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rPr>
          <w:rFonts w:hint="eastAsia" w:ascii="宋体" w:hAnsi="宋体" w:cs="宋体"/>
        </w:rPr>
      </w:pPr>
      <w:r>
        <w:rPr>
          <w:rFonts w:hint="eastAsia" w:ascii="宋体" w:hAnsi="宋体" w:cs="宋体"/>
        </w:rPr>
      </w:r>
      <w:r/>
    </w:p>
    <w:p>
      <w:pPr>
        <w:pStyle w:val="1012"/>
      </w:pPr>
      <w:r/>
      <w:r/>
    </w:p>
    <w:p>
      <w:pPr>
        <w:pStyle w:val="1053"/>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72"/>
          <w:szCs w:val="72"/>
        </w:rPr>
      </w:pPr>
      <w:r/>
      <w:bookmarkStart w:id="0" w:name="OLE_LINK7"/>
      <w:r/>
      <w:bookmarkStart w:id="1" w:name="OLE_LINK8"/>
      <w:r/>
      <w:bookmarkStart w:id="2" w:name="OLE_LINK9"/>
      <w:r/>
      <w:bookmarkStart w:id="3" w:name="OLE_LINK5"/>
      <w:r>
        <w:rPr>
          <w:rFonts w:hint="eastAsia" w:ascii="宋体" w:hAnsi="宋体" w:cs="宋体"/>
          <w:b/>
          <w:sz w:val="56"/>
          <w:szCs w:val="56"/>
        </w:rPr>
        <w:t xml:space="preserve">江宁高新区生态环境技术运维项目</w:t>
      </w:r>
      <w:bookmarkEnd w:id="0"/>
      <w:r/>
      <w:bookmarkEnd w:id="1"/>
      <w:r/>
      <w:bookmarkEnd w:id="2"/>
      <w:r/>
      <w:bookmarkEnd w:id="3"/>
      <w:r/>
      <w:r/>
    </w:p>
    <w:p>
      <w:pPr>
        <w:pStyle w:val="1014"/>
      </w:pPr>
      <w:r/>
      <w:r/>
    </w:p>
    <w:p>
      <w:pPr>
        <w:pStyle w:val="1015"/>
        <w:ind w:left="0" w:firstLine="0"/>
        <w:jc w:val="both"/>
        <w:rPr>
          <w:rFonts w:hint="eastAsia"/>
          <w:lang w:eastAsia="zh-CN"/>
        </w:rPr>
      </w:pPr>
      <w:r>
        <w:rPr>
          <w:rFonts w:hint="eastAsia"/>
          <w:lang w:eastAsia="zh-CN"/>
        </w:rPr>
      </w:r>
      <w:r/>
    </w:p>
    <w:p>
      <w:pPr>
        <w:pStyle w:val="1039"/>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JSZC-320115-JCEC-G2025-0117</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（服务类项目，非专门面向中小企业）</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pStyle w:val="1014"/>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采购人：南京江宁高新技术产业开发区管理委员会</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2025年4月</w:t>
      </w:r>
      <w:r/>
    </w:p>
    <w:p>
      <w:pPr>
        <w:pStyle w:val="1158"/>
        <w:rPr>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lang w:val="zh-CN"/>
        </w:rPr>
      </w:r>
      <w:r/>
    </w:p>
    <w:p>
      <w:pPr>
        <w:pStyle w:val="1158"/>
        <w:jc w:val="center"/>
      </w:pPr>
      <w:r>
        <w:rPr>
          <w:rFonts w:hint="eastAsia"/>
          <w:lang w:val="zh-CN"/>
        </w:rPr>
        <w:t xml:space="preserve">目录</w:t>
      </w:r>
      <w:r/>
    </w:p>
    <w:p>
      <w:pPr>
        <w:pStyle w:val="1030"/>
        <w:tabs>
          <w:tab w:val="right" w:pos="8296" w:leader="dot"/>
        </w:tabs>
        <w:rPr>
          <w:rFonts w:hint="eastAsia" w:ascii="宋体" w:hAnsi="宋体" w:cs="宋体"/>
          <w:sz w:val="28"/>
          <w:szCs w:val="28"/>
        </w:rPr>
      </w:pPr>
      <w:r>
        <w:rPr>
          <w:rFonts w:hint="eastAsia" w:ascii="宋体" w:hAnsi="宋体" w:cs="宋体"/>
          <w:sz w:val="28"/>
          <w:szCs w:val="28"/>
        </w:rPr>
      </w:r>
      <w:r/>
    </w:p>
    <w:p>
      <w:pPr>
        <w:pStyle w:val="1030"/>
        <w:spacing w:line="360" w:lineRule="auto"/>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hyperlink w:tooltip="#_Toc29397" w:anchor="_Toc29397" w:history="1">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_Toc29397 \h </w:instrText>
        </w:r>
        <w:r>
          <w:fldChar w:fldCharType="separate"/>
        </w:r>
        <w:r>
          <w:t xml:space="preserve">1</w:t>
        </w:r>
        <w:r>
          <w:fldChar w:fldCharType="end"/>
        </w:r>
      </w:hyperlink>
      <w:r/>
      <w:r/>
    </w:p>
    <w:p>
      <w:pPr>
        <w:pStyle w:val="1030"/>
        <w:spacing w:line="360" w:lineRule="auto"/>
        <w:tabs>
          <w:tab w:val="right" w:pos="9638" w:leader="dot"/>
        </w:tabs>
      </w:pPr>
      <w:r/>
      <w:hyperlink w:tooltip="#_Toc24258" w:anchor="_Toc24258" w:history="1">
        <w:r>
          <w:rPr>
            <w:rFonts w:hint="eastAsia" w:ascii="宋体" w:hAnsi="宋体" w:cs="宋体"/>
          </w:rPr>
          <w:t xml:space="preserve">第二章 投标人须知</w:t>
        </w:r>
        <w:r>
          <w:tab/>
        </w:r>
        <w:r>
          <w:fldChar w:fldCharType="begin"/>
        </w:r>
        <w:r>
          <w:instrText xml:space="preserve"> PAGEREF _Toc24258 \h </w:instrText>
        </w:r>
        <w:r>
          <w:fldChar w:fldCharType="separate"/>
        </w:r>
        <w:r>
          <w:t xml:space="preserve">5</w:t>
        </w:r>
        <w:r>
          <w:fldChar w:fldCharType="end"/>
        </w:r>
      </w:hyperlink>
      <w:r/>
      <w:r/>
    </w:p>
    <w:p>
      <w:pPr>
        <w:pStyle w:val="1030"/>
        <w:spacing w:line="360" w:lineRule="auto"/>
        <w:tabs>
          <w:tab w:val="right" w:pos="9638" w:leader="dot"/>
        </w:tabs>
      </w:pPr>
      <w:r/>
      <w:hyperlink w:tooltip="#_Toc2306" w:anchor="_Toc2306" w:history="1">
        <w:r>
          <w:rPr>
            <w:rFonts w:hint="eastAsia" w:ascii="宋体" w:hAnsi="宋体" w:cs="宋体"/>
          </w:rPr>
          <w:t xml:space="preserve">第三章 评标标准</w:t>
        </w:r>
        <w:r>
          <w:tab/>
        </w:r>
        <w:r>
          <w:fldChar w:fldCharType="begin"/>
        </w:r>
        <w:r>
          <w:instrText xml:space="preserve"> PAGEREF _Toc2306 \h </w:instrText>
        </w:r>
        <w:r>
          <w:fldChar w:fldCharType="separate"/>
        </w:r>
        <w:r>
          <w:t xml:space="preserve">15</w:t>
        </w:r>
        <w:r>
          <w:fldChar w:fldCharType="end"/>
        </w:r>
      </w:hyperlink>
      <w:r/>
      <w:r/>
    </w:p>
    <w:p>
      <w:pPr>
        <w:pStyle w:val="1030"/>
        <w:spacing w:line="360" w:lineRule="auto"/>
        <w:tabs>
          <w:tab w:val="right" w:pos="9638" w:leader="dot"/>
        </w:tabs>
      </w:pPr>
      <w:r/>
      <w:hyperlink w:tooltip="#_Toc31319" w:anchor="_Toc31319" w:history="1">
        <w:r>
          <w:rPr>
            <w:rFonts w:hint="eastAsia" w:ascii="宋体" w:hAnsi="宋体" w:cs="宋体"/>
          </w:rPr>
          <w:t xml:space="preserve">第四章 采购需求</w:t>
        </w:r>
        <w:r>
          <w:tab/>
        </w:r>
        <w:r>
          <w:fldChar w:fldCharType="begin"/>
        </w:r>
        <w:r>
          <w:instrText xml:space="preserve"> PAGEREF _Toc31319 \h </w:instrText>
        </w:r>
        <w:r>
          <w:fldChar w:fldCharType="separate"/>
        </w:r>
        <w:r>
          <w:t xml:space="preserve">18</w:t>
        </w:r>
        <w:r>
          <w:fldChar w:fldCharType="end"/>
        </w:r>
      </w:hyperlink>
      <w:r/>
      <w:r/>
    </w:p>
    <w:p>
      <w:pPr>
        <w:pStyle w:val="1030"/>
        <w:spacing w:line="360" w:lineRule="auto"/>
        <w:tabs>
          <w:tab w:val="right" w:pos="9638" w:leader="dot"/>
        </w:tabs>
      </w:pPr>
      <w:r/>
      <w:hyperlink w:tooltip="#_Toc26505" w:anchor="_Toc26505" w:history="1">
        <w:r>
          <w:rPr>
            <w:rFonts w:hint="eastAsia" w:ascii="宋体" w:hAnsi="宋体" w:cs="宋体"/>
          </w:rPr>
          <w:t xml:space="preserve">第五章 合同主要条款及格式</w:t>
        </w:r>
        <w:r>
          <w:tab/>
        </w:r>
        <w:r>
          <w:fldChar w:fldCharType="begin"/>
        </w:r>
        <w:r>
          <w:instrText xml:space="preserve"> PAGEREF _Toc26505 \h </w:instrText>
        </w:r>
        <w:r>
          <w:fldChar w:fldCharType="separate"/>
        </w:r>
        <w:r>
          <w:t xml:space="preserve">23</w:t>
        </w:r>
        <w:r>
          <w:fldChar w:fldCharType="end"/>
        </w:r>
      </w:hyperlink>
      <w:r/>
      <w:r/>
    </w:p>
    <w:p>
      <w:pPr>
        <w:pStyle w:val="1030"/>
        <w:spacing w:line="360" w:lineRule="auto"/>
        <w:tabs>
          <w:tab w:val="right" w:pos="9638" w:leader="dot"/>
        </w:tabs>
      </w:pPr>
      <w:r/>
      <w:hyperlink w:tooltip="#_Toc26645" w:anchor="_Toc26645" w:history="1">
        <w:r>
          <w:rPr>
            <w:rFonts w:hint="eastAsia" w:ascii="宋体" w:hAnsi="宋体" w:cs="宋体"/>
          </w:rPr>
          <w:t xml:space="preserve">第六章 投标文件格式及附件</w:t>
        </w:r>
        <w:r>
          <w:tab/>
        </w:r>
        <w:r>
          <w:fldChar w:fldCharType="begin"/>
        </w:r>
        <w:r>
          <w:instrText xml:space="preserve"> PAGEREF _Toc26645 \h </w:instrText>
        </w:r>
        <w:r>
          <w:fldChar w:fldCharType="separate"/>
        </w:r>
        <w:r>
          <w:t xml:space="preserve">27</w:t>
        </w:r>
        <w:r>
          <w:fldChar w:fldCharType="end"/>
        </w:r>
      </w:hyperlink>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95"/>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4" w:name="_Toc481057143"/>
      <w:r/>
      <w:bookmarkStart w:id="5" w:name="_Hlk54715254"/>
      <w:r/>
      <w:bookmarkStart w:id="6" w:name="_Hlk52290185"/>
      <w:r/>
      <w:r/>
    </w:p>
    <w:p>
      <w:pPr>
        <w:pStyle w:val="995"/>
        <w:rPr>
          <w:szCs w:val="21"/>
        </w:rPr>
      </w:pPr>
      <w:r>
        <w:rPr>
          <w:rFonts w:hint="eastAsia"/>
        </w:rPr>
        <w:t xml:space="preserve"> </w:t>
      </w:r>
      <w:bookmarkStart w:id="7" w:name="_Toc29397"/>
      <w:r>
        <w:rPr>
          <w:rFonts w:hint="eastAsia"/>
        </w:rPr>
        <w:t xml:space="preserve">招标公告</w:t>
      </w:r>
      <w:bookmarkEnd w:id="4"/>
      <w:r/>
      <w:bookmarkEnd w:id="7"/>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江宁高新区生态环境技术运维项目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ascii="SimSun" w:hAnsi="SimSun" w:eastAsia="SimSun" w:cs="SimSun"/>
          <w:b/>
          <w:color w:val="000000"/>
          <w:sz w:val="21"/>
        </w:rPr>
        <w:t xml:space="preserve">2025</w:t>
      </w:r>
      <w:r>
        <w:rPr>
          <w:rFonts w:ascii="SimSun" w:hAnsi="SimSun" w:eastAsia="SimSun" w:cs="SimSun"/>
          <w:b/>
          <w:color w:val="000000"/>
          <w:spacing w:val="8"/>
          <w:sz w:val="21"/>
        </w:rPr>
        <w:t xml:space="preserve">年5月7日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30</w:t>
      </w:r>
      <w:r>
        <w:rPr>
          <w:rFonts w:ascii="SimSun" w:hAnsi="SimSun" w:eastAsia="SimSun" w:cs="SimSun"/>
          <w:b/>
          <w:color w:val="000000"/>
          <w:spacing w:val="8"/>
          <w:sz w:val="21"/>
        </w:rPr>
        <w:t xml:space="preserve">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5"/>
      <w:r/>
      <w:bookmarkEnd w:id="6"/>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JSZC-320115-JCEC-G2025-0117</w: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1.2项目名称：江宁高新区生态环境技术运维项目</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1.3预算金额：人民币160万元</w:t>
      </w:r>
      <w:r/>
    </w:p>
    <w:p>
      <w:pPr>
        <w:ind w:firstLine="422"/>
        <w:spacing w:line="360" w:lineRule="auto"/>
        <w:rPr>
          <w:rFonts w:hint="eastAsia" w:ascii="宋体" w:hAnsi="宋体" w:cs="宋体"/>
          <w:bCs/>
          <w:szCs w:val="21"/>
        </w:rPr>
      </w:pPr>
      <w:r>
        <w:rPr>
          <w:rFonts w:hint="eastAsia" w:ascii="宋体" w:hAnsi="宋体" w:cs="宋体"/>
          <w:bCs/>
          <w:szCs w:val="21"/>
        </w:rPr>
        <w:t xml:space="preserve">1.4最高限价：</w:t>
      </w:r>
      <w:r/>
    </w:p>
    <w:p>
      <w:pPr>
        <w:ind w:firstLine="422"/>
        <w:spacing w:line="360" w:lineRule="auto"/>
        <w:rPr>
          <w:rFonts w:hint="eastAsia" w:ascii="宋体" w:hAnsi="宋体" w:cs="宋体"/>
          <w:b/>
          <w:szCs w:val="21"/>
        </w:rPr>
      </w:pPr>
      <w:r>
        <w:rPr>
          <w:rFonts w:hint="eastAsia" w:ascii="宋体" w:hAnsi="宋体" w:cs="宋体"/>
          <w:b/>
          <w:szCs w:val="21"/>
        </w:rPr>
        <w:t xml:space="preserve">包1</w:t>
      </w:r>
      <w:r>
        <w:rPr>
          <w:rFonts w:hint="eastAsia" w:ascii="宋体" w:hAnsi="宋体" w:cs="宋体"/>
          <w:bCs/>
          <w:szCs w:val="21"/>
        </w:rPr>
        <w:t xml:space="preserve">：</w:t>
      </w:r>
      <w:r>
        <w:rPr>
          <w:rFonts w:ascii="宋体" w:hAnsi="宋体" w:cs="宋体"/>
          <w:b/>
          <w:szCs w:val="21"/>
        </w:rPr>
        <w:t xml:space="preserve"> </w:t>
      </w:r>
      <w:r>
        <w:rPr>
          <w:rFonts w:hint="eastAsia" w:ascii="宋体" w:hAnsi="宋体" w:cs="宋体"/>
          <w:b/>
          <w:szCs w:val="21"/>
        </w:rPr>
        <w:t xml:space="preserve">80万元；</w:t>
      </w:r>
      <w:r/>
    </w:p>
    <w:p>
      <w:pPr>
        <w:ind w:firstLine="422"/>
        <w:spacing w:line="360" w:lineRule="auto"/>
        <w:rPr>
          <w:rFonts w:hint="eastAsia" w:ascii="宋体" w:hAnsi="宋体" w:cs="宋体"/>
          <w:b/>
          <w:szCs w:val="21"/>
        </w:rPr>
      </w:pPr>
      <w:r>
        <w:rPr>
          <w:rFonts w:hint="eastAsia" w:ascii="宋体" w:hAnsi="宋体" w:cs="宋体"/>
          <w:b/>
          <w:szCs w:val="21"/>
        </w:rPr>
        <w:t xml:space="preserve">包2</w:t>
      </w:r>
      <w:r>
        <w:rPr>
          <w:rFonts w:hint="eastAsia" w:ascii="宋体" w:hAnsi="宋体" w:cs="宋体"/>
          <w:bCs/>
          <w:szCs w:val="21"/>
        </w:rPr>
        <w:t xml:space="preserve">：</w:t>
      </w:r>
      <w:r>
        <w:rPr>
          <w:rFonts w:ascii="宋体" w:hAnsi="宋体" w:cs="宋体"/>
          <w:b/>
          <w:szCs w:val="21"/>
        </w:rPr>
        <w:t xml:space="preserve"> </w:t>
      </w:r>
      <w:r>
        <w:rPr>
          <w:rFonts w:hint="eastAsia" w:ascii="宋体" w:hAnsi="宋体" w:cs="宋体"/>
          <w:b/>
          <w:szCs w:val="21"/>
        </w:rPr>
        <w:t xml:space="preserve">80万元。</w:t>
      </w:r>
      <w:r/>
    </w:p>
    <w:p>
      <w:pPr>
        <w:ind w:firstLine="420"/>
        <w:spacing w:line="360" w:lineRule="auto"/>
        <w:rPr>
          <w:rFonts w:hint="eastAsia" w:ascii="宋体" w:hAnsi="宋体" w:cs="宋体"/>
          <w:bCs/>
          <w:szCs w:val="21"/>
        </w:rPr>
      </w:pPr>
      <w:r>
        <w:rPr>
          <w:rFonts w:hint="eastAsia" w:ascii="宋体" w:hAnsi="宋体" w:cs="宋体"/>
          <w:bCs/>
          <w:szCs w:val="21"/>
        </w:rPr>
        <w:t xml:space="preserve">1.5标包划分：本次招标分为2个标包</w:t>
      </w:r>
      <w:r/>
    </w:p>
    <w:p>
      <w:pPr>
        <w:ind w:firstLine="420"/>
        <w:jc w:val="left"/>
        <w:spacing w:line="360" w:lineRule="auto"/>
        <w:shd w:val="clear" w:color="auto" w:fill="ffffff"/>
        <w:widowControl/>
        <w:rPr>
          <w:rFonts w:hint="eastAsia" w:ascii="宋体" w:hAnsi="宋体" w:cs="Arial"/>
          <w:bCs/>
          <w:szCs w:val="21"/>
        </w:rPr>
      </w:pPr>
      <w:r>
        <w:rPr>
          <w:rFonts w:hint="eastAsia" w:ascii="宋体" w:hAnsi="宋体" w:cs="Arial"/>
          <w:bCs/>
          <w:szCs w:val="21"/>
        </w:rPr>
        <w:t xml:space="preserve">包1：秦淮河以东、外港河以南、赤乌路、神凤路、104国道、端拱路、福英路、长深高速、南京绕城高速等合围范围。</w:t>
      </w:r>
      <w:r/>
    </w:p>
    <w:p>
      <w:pPr>
        <w:ind w:firstLine="420"/>
        <w:jc w:val="left"/>
        <w:spacing w:line="360" w:lineRule="auto"/>
        <w:shd w:val="clear" w:color="auto" w:fill="ffffff"/>
        <w:widowControl/>
        <w:rPr>
          <w:rFonts w:hint="eastAsia" w:ascii="宋体" w:hAnsi="宋体" w:cs="Arial"/>
          <w:bCs/>
          <w:szCs w:val="21"/>
        </w:rPr>
      </w:pPr>
      <w:r>
        <w:rPr>
          <w:rFonts w:hint="eastAsia" w:ascii="宋体" w:hAnsi="宋体" w:cs="Arial"/>
          <w:bCs/>
          <w:szCs w:val="21"/>
        </w:rPr>
        <w:t xml:space="preserve">包2：南京绕城高速以东、竹山路以东、吉印大道以北、福英路以西、长深高速以西等合围范围。</w:t>
      </w:r>
      <w:r/>
    </w:p>
    <w:p>
      <w:pPr>
        <w:ind w:firstLine="422"/>
        <w:spacing w:line="360" w:lineRule="auto"/>
        <w:rPr>
          <w:rFonts w:hint="eastAsia" w:ascii="宋体" w:hAnsi="宋体" w:cs="宋体"/>
          <w:b/>
          <w:szCs w:val="21"/>
        </w:rPr>
      </w:pPr>
      <w:r>
        <w:rPr>
          <w:rFonts w:hint="eastAsia" w:ascii="宋体" w:hAnsi="宋体" w:cs="宋体"/>
          <w:b/>
          <w:szCs w:val="21"/>
        </w:rPr>
        <w:t xml:space="preserve">本项目评标顺序依次为包1、包2，各供应商可以参与一个或多个标包的投标，但最多只能中标一个标包，已经中标的供应商可以参加后续标包的评审，但不再被推荐为中标候选人。</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1.6采购需求：包括但不限于：（一）江宁高新区大气、水环境、危废固废等整治提升常态化开展。（二）应急性、突发性专项工作。（三）日常工作交流促进及培训。具体要求详见第四章采购需求。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1.7合同履行期限：自合同签订，并正式开展工作起1年。</w:t>
      </w:r>
      <w:r/>
    </w:p>
    <w:p>
      <w:pPr>
        <w:ind w:firstLine="420"/>
        <w:spacing w:line="360" w:lineRule="auto"/>
        <w:rPr>
          <w:rFonts w:hint="eastAsia" w:ascii="宋体" w:hAnsi="宋体" w:cs="宋体"/>
          <w:bCs/>
          <w:szCs w:val="21"/>
        </w:rPr>
      </w:pPr>
      <w:r>
        <w:rPr>
          <w:rFonts w:hint="eastAsia" w:ascii="宋体" w:hAnsi="宋体" w:cs="宋体"/>
          <w:bCs/>
          <w:szCs w:val="21"/>
        </w:rPr>
        <w:t xml:space="preserve">1.8行业划分：</w:t>
      </w:r>
      <w:r>
        <w:rPr>
          <w:rFonts w:hint="eastAsia" w:ascii="宋体" w:hAnsi="宋体" w:cs="Arial"/>
          <w:spacing w:val="8"/>
        </w:rPr>
        <w:t xml:space="preserve">商务服务业。</w:t>
      </w:r>
      <w:r/>
    </w:p>
    <w:p>
      <w:pPr>
        <w:ind w:firstLine="420"/>
        <w:spacing w:line="360" w:lineRule="auto"/>
      </w:pPr>
      <w:r>
        <w:rPr>
          <w:rFonts w:hint="eastAsia" w:ascii="宋体" w:hAnsi="宋体" w:cs="宋体"/>
          <w:bCs/>
          <w:szCs w:val="21"/>
        </w:rPr>
        <w:t xml:space="preserve">1.9本项目不接受联合体投标。</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（2）具有良好的商业信誉和健全的财务会计制度（提供2023年度或者2024年度的财务报表，或投标截止时间前六个月内银行出具的资信证明）；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rPr>
          <w:rFonts w:hint="eastAsia" w:ascii="宋体" w:hAnsi="宋体" w:cs="宋体"/>
          <w:b/>
          <w:szCs w:val="21"/>
        </w:rPr>
        <w:t xml:space="preserve">无。</w:t>
      </w:r>
      <w:r/>
    </w:p>
    <w:p>
      <w:pPr>
        <w:ind w:firstLine="426"/>
        <w:spacing w:line="360" w:lineRule="auto"/>
        <w:rPr>
          <w:rFonts w:hint="eastAsia" w:ascii="宋体" w:hAnsi="宋体" w:cs="宋体"/>
          <w:b/>
          <w:szCs w:val="21"/>
        </w:rPr>
      </w:pPr>
      <w:r>
        <w:rPr>
          <w:rFonts w:hint="eastAsia" w:ascii="宋体" w:hAnsi="宋体" w:cs="宋体"/>
          <w:b/>
          <w:szCs w:val="21"/>
        </w:rPr>
        <w:t xml:space="preserve">2.4提供《南京市政府采购供应商信用记录表暨信用承诺书》网站在线打印，法定代表人签字并盖单位公章。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3.3方式：网上下载</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SimSun" w:hAnsi="SimSun" w:eastAsia="SimSun" w:cs="SimSun"/>
          <w:b/>
          <w:color w:val="000000"/>
          <w:sz w:val="21"/>
        </w:rPr>
        <w:t xml:space="preserve">2025</w:t>
      </w:r>
      <w:r>
        <w:rPr>
          <w:rFonts w:ascii="SimSun" w:hAnsi="SimSun" w:eastAsia="SimSun" w:cs="SimSun"/>
          <w:b/>
          <w:color w:val="000000"/>
          <w:spacing w:val="8"/>
          <w:sz w:val="21"/>
        </w:rPr>
        <w:t xml:space="preserve">年5月7日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30</w:t>
      </w:r>
      <w:r>
        <w:rPr>
          <w:rFonts w:ascii="SimSun" w:hAnsi="SimSun" w:eastAsia="SimSun" w:cs="SimSun"/>
          <w:b/>
          <w:color w:val="000000"/>
          <w:spacing w:val="8"/>
          <w:sz w:val="21"/>
        </w:rPr>
        <w:t xml:space="preserve">分</w:t>
      </w:r>
      <w:r>
        <w:rPr>
          <w:rFonts w:hint="eastAsia" w:ascii="宋体" w:hAnsi="宋体" w:cs="宋体"/>
          <w:spacing w:val="8"/>
          <w:szCs w:val="21"/>
        </w:rPr>
        <w:t xml:space="preserve">（北京时间）</w:t>
      </w:r>
      <w:r/>
    </w:p>
    <w:p>
      <w:pPr>
        <w:pStyle w:val="104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104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53"/>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1053"/>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1053"/>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1053"/>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1054"/>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名称：南京江宁高新技术产业开发区管理委员会</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联系人：顾先生</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联系方式：</w:t>
      </w:r>
      <w:r>
        <w:rPr>
          <w:rFonts w:ascii="宋体" w:hAnsi="宋体" w:cs="宋体"/>
          <w:bCs/>
          <w:szCs w:val="21"/>
          <w:lang w:val="zh-CN"/>
        </w:rPr>
        <w:t xml:space="preserve">15851813537</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地址：</w:t>
      </w:r>
      <w:r>
        <w:rPr>
          <w:rFonts w:hint="eastAsia" w:ascii="宋体" w:hAnsi="宋体" w:cs="宋体"/>
          <w:szCs w:val="21"/>
        </w:rPr>
        <w:t xml:space="preserve">江苏省南京市江宁区诚信大道2211号</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联系人：赵娴宇 唐大维</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电子邮箱：zhaoxy@jcec.cn</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联系方式：</w:t>
      </w:r>
      <w:r>
        <w:rPr>
          <w:rFonts w:ascii="宋体" w:hAnsi="宋体" w:cs="宋体"/>
          <w:bCs/>
          <w:szCs w:val="21"/>
        </w:rPr>
        <w:t xml:space="preserve">025-83325825</w:t>
      </w:r>
      <w:r>
        <w:rPr>
          <w:rFonts w:hint="eastAsia" w:ascii="宋体" w:hAnsi="宋体" w:cs="宋体"/>
          <w:bCs/>
          <w:szCs w:val="21"/>
        </w:rPr>
        <w:t xml:space="preserve">  025-86639285</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联系人：赵娴宇 唐大维</w:t>
      </w:r>
      <w:r/>
    </w:p>
    <w:p>
      <w:pPr>
        <w:ind w:firstLine="363"/>
        <w:spacing w:line="360" w:lineRule="auto"/>
        <w:widowControl/>
        <w:rPr>
          <w:rFonts w:hint="eastAsia" w:ascii="宋体" w:hAnsi="宋体" w:cs="宋体"/>
        </w:rPr>
      </w:pPr>
      <w:r>
        <w:rPr>
          <w:rFonts w:hint="eastAsia" w:ascii="宋体" w:hAnsi="宋体" w:cs="宋体"/>
          <w:bCs/>
          <w:szCs w:val="21"/>
        </w:rPr>
        <w:t xml:space="preserve">电话：025-83325825  025-86639285</w:t>
      </w:r>
      <w:r>
        <w:rPr>
          <w:rFonts w:hint="eastAsia" w:ascii="宋体" w:hAnsi="宋体" w:cs="宋体"/>
        </w:rPr>
        <w:br w:type="page" w:clear="all"/>
      </w:r>
      <w:r/>
    </w:p>
    <w:p>
      <w:pPr>
        <w:pStyle w:val="995"/>
      </w:pPr>
      <w:r/>
      <w:bookmarkStart w:id="8" w:name="_Toc24258"/>
      <w:r/>
      <w:bookmarkStart w:id="9" w:name="_Toc452625218"/>
      <w:r>
        <w:rPr>
          <w:rFonts w:hint="eastAsia"/>
        </w:rPr>
        <w:t xml:space="preserve">投标人须知</w:t>
      </w:r>
      <w:bookmarkEnd w:id="8"/>
      <w:r/>
      <w:bookmarkEnd w:id="9"/>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黑体" w:hAnsi="黑体" w:eastAsia="黑体" w:cs="黑体"/>
          <w:sz w:val="24"/>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本次招标，各中标人参照《招标代理服务费管理暂行办法》（国家发展计划委员会计价格【2002】1980号）代理服务招标收费基准费率计算（不足捌仟按照捌仟元整计取），在领取中标通知书前向采购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黑体" w:hAnsi="黑体" w:eastAsia="黑体" w:cs="黑体"/>
          <w:sz w:val="24"/>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pStyle w:val="995"/>
      </w:pPr>
      <w:r/>
      <w:bookmarkStart w:id="10" w:name="_Toc481057145"/>
      <w:r>
        <w:rPr>
          <w:rFonts w:hint="eastAsia"/>
        </w:rPr>
        <w:t xml:space="preserve"> </w:t>
      </w:r>
      <w:bookmarkStart w:id="11" w:name="_Toc2306"/>
      <w:r>
        <w:rPr>
          <w:rFonts w:hint="eastAsia"/>
        </w:rPr>
        <w:t xml:space="preserve">评标标准</w:t>
      </w:r>
      <w:bookmarkEnd w:id="11"/>
      <w:r/>
      <w:bookmarkEnd w:id="10"/>
      <w:r/>
      <w:r/>
    </w:p>
    <w:p>
      <w:pPr>
        <w:ind w:firstLine="315"/>
        <w:jc w:val="center"/>
        <w:spacing w:line="360" w:lineRule="auto"/>
        <w:shd w:val="clear" w:color="auto" w:fill="ffffff"/>
        <w:widowControl/>
        <w:rPr>
          <w:rFonts w:hint="eastAsia" w:ascii="宋体" w:hAnsi="宋体" w:cs="宋体"/>
          <w:sz w:val="28"/>
          <w:szCs w:val="28"/>
        </w:rPr>
      </w:pPr>
      <w:r>
        <w:rPr>
          <w:rFonts w:hint="eastAsia" w:ascii="宋体" w:hAnsi="宋体" w:cs="宋体"/>
          <w:b/>
          <w:bCs/>
          <w:sz w:val="28"/>
          <w:szCs w:val="28"/>
        </w:rPr>
        <w:t xml:space="preserve">（</w:t>
      </w:r>
      <w:r>
        <w:rPr>
          <w:rFonts w:hint="eastAsia" w:ascii="宋体" w:hAnsi="宋体" w:cs="宋体"/>
          <w:b/>
          <w:bCs/>
          <w:color w:val="000000"/>
          <w:sz w:val="28"/>
          <w:szCs w:val="28"/>
          <w:lang w:bidi="ar"/>
        </w:rPr>
        <w:t xml:space="preserve">适用于包1、包2</w:t>
      </w:r>
      <w:r>
        <w:rPr>
          <w:rFonts w:hint="eastAsia" w:ascii="宋体" w:hAnsi="宋体" w:cs="宋体"/>
          <w:b/>
          <w:bCs/>
          <w:sz w:val="28"/>
          <w:szCs w:val="28"/>
        </w:rPr>
        <w:t xml:space="preserve">）</w:t>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9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245"/>
        <w:gridCol w:w="6961"/>
        <w:gridCol w:w="850"/>
      </w:tblGrid>
      <w:tr>
        <w:trPr>
          <w:jc w:val="center"/>
          <w:trHeight w:val="402"/>
        </w:trPr>
        <w:tc>
          <w:tcPr>
            <w:shd w:val="clear" w:color="auto" w:fill="auto"/>
            <w:tcW w:w="79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124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评分因素</w:t>
            </w:r>
            <w:r/>
          </w:p>
        </w:tc>
        <w:tc>
          <w:tcPr>
            <w:shd w:val="clear" w:color="auto" w:fill="auto"/>
            <w:tcW w:w="696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评审标准</w:t>
            </w:r>
            <w:r/>
          </w:p>
        </w:tc>
        <w:tc>
          <w:tcPr>
            <w:shd w:val="clear" w:color="auto" w:fill="auto"/>
            <w:tcW w:w="85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r>
      <w:tr>
        <w:trPr>
          <w:jc w:val="center"/>
        </w:trPr>
        <w:tc>
          <w:tcPr>
            <w:shd w:val="clear" w:color="auto" w:fill="auto"/>
            <w:tcW w:w="79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auto" w:fill="auto"/>
            <w:tcW w:w="1245" w:type="dxa"/>
            <w:vAlign w:val="center"/>
            <w:textDirection w:val="lrTb"/>
            <w:noWrap w:val="false"/>
          </w:tcPr>
          <w:p>
            <w:pPr>
              <w:jc w:val="center"/>
              <w:widowControl/>
            </w:pPr>
            <w:r>
              <w:rPr>
                <w:rFonts w:hint="eastAsia"/>
              </w:rPr>
              <w:t xml:space="preserve">价格</w:t>
            </w:r>
            <w:r/>
          </w:p>
        </w:tc>
        <w:tc>
          <w:tcPr>
            <w:shd w:val="clear" w:color="auto" w:fill="auto"/>
            <w:tcW w:w="69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20（小数点保留两位）</w:t>
            </w:r>
            <w:r/>
          </w:p>
          <w:p>
            <w:r>
              <w:rPr>
                <w:rFonts w:hint="eastAsia"/>
              </w:rPr>
              <w:t xml:space="preserve">（</w:t>
            </w:r>
            <w:r>
              <w:rPr>
                <w:rFonts w:hint="eastAsia"/>
                <w:b/>
                <w:bCs/>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rPr>
              <w:t xml:space="preserve">）</w:t>
            </w:r>
            <w:r/>
          </w:p>
        </w:tc>
        <w:tc>
          <w:tcPr>
            <w:shd w:val="clear" w:color="auto" w:fill="auto"/>
            <w:tcW w:w="850"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20</w:t>
            </w:r>
            <w:r/>
          </w:p>
        </w:tc>
      </w:tr>
      <w:tr>
        <w:trPr>
          <w:jc w:val="center"/>
        </w:trPr>
        <w:tc>
          <w:tcPr>
            <w:shd w:val="clear" w:color="auto" w:fill="auto"/>
            <w:tcW w:w="79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2.1</w:t>
            </w:r>
            <w:r/>
          </w:p>
        </w:tc>
        <w:tc>
          <w:tcPr>
            <w:shd w:val="clear" w:color="auto" w:fill="auto"/>
            <w:tcW w:w="1245" w:type="dxa"/>
            <w:vAlign w:val="center"/>
            <w:vMerge w:val="restart"/>
            <w:textDirection w:val="lrTb"/>
            <w:noWrap w:val="false"/>
          </w:tcPr>
          <w:p>
            <w:pPr>
              <w:jc w:val="center"/>
              <w:widowControl/>
            </w:pPr>
            <w:r>
              <w:rPr>
                <w:rFonts w:hint="eastAsia"/>
              </w:rPr>
              <w:t xml:space="preserve">服务方案</w:t>
            </w:r>
            <w:r/>
          </w:p>
        </w:tc>
        <w:tc>
          <w:tcPr>
            <w:shd w:val="clear" w:color="auto" w:fill="auto"/>
            <w:tcW w:w="6961"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根据供应商提供的对项目所在地的基本情况了解和熟悉程度，包括园区的基本情况、重点企业、主要环境问题、各种污染源等进行评审：</w:t>
            </w:r>
            <w:r/>
          </w:p>
          <w:p>
            <w:pPr>
              <w:jc w:val="left"/>
              <w:rPr>
                <w:rFonts w:hint="eastAsia" w:ascii="宋体" w:hAnsi="宋体" w:cs="宋体"/>
                <w:szCs w:val="21"/>
              </w:rPr>
            </w:pPr>
            <w:r>
              <w:rPr>
                <w:rFonts w:hint="eastAsia" w:ascii="宋体" w:hAnsi="宋体" w:cs="宋体"/>
                <w:szCs w:val="21"/>
              </w:rPr>
              <w:t xml:space="preserve">对园区总体情况熟悉，完全掌握园区内基本情况、重点企业、主要环境问题、各种污染源得10分；</w:t>
            </w:r>
            <w:r/>
          </w:p>
          <w:p>
            <w:pPr>
              <w:jc w:val="left"/>
              <w:rPr>
                <w:rFonts w:hint="eastAsia" w:ascii="宋体" w:hAnsi="宋体" w:cs="宋体"/>
                <w:szCs w:val="21"/>
              </w:rPr>
            </w:pPr>
            <w:r>
              <w:rPr>
                <w:rFonts w:hint="eastAsia" w:ascii="宋体" w:hAnsi="宋体" w:cs="宋体"/>
                <w:szCs w:val="21"/>
              </w:rPr>
              <w:t xml:space="preserve">对园区总体情况较熟悉，基本掌握园区内基本情况、重点企业、主要环境问题、各种污染源得7分；</w:t>
            </w:r>
            <w:r/>
          </w:p>
          <w:p>
            <w:pPr>
              <w:jc w:val="left"/>
              <w:rPr>
                <w:rFonts w:hint="eastAsia" w:ascii="宋体" w:hAnsi="宋体" w:cs="宋体"/>
                <w:szCs w:val="21"/>
              </w:rPr>
            </w:pPr>
            <w:r>
              <w:rPr>
                <w:rFonts w:hint="eastAsia" w:ascii="宋体" w:hAnsi="宋体" w:cs="宋体"/>
                <w:szCs w:val="21"/>
              </w:rPr>
              <w:t xml:space="preserve">对园区总体情况有一定了解，掌握园区内部分污染源情况得4分；</w:t>
            </w:r>
            <w:r/>
          </w:p>
          <w:p>
            <w:pPr>
              <w:jc w:val="left"/>
              <w:rPr>
                <w:rFonts w:hint="eastAsia" w:ascii="宋体" w:hAnsi="宋体" w:cs="宋体"/>
                <w:szCs w:val="21"/>
              </w:rPr>
            </w:pPr>
            <w:r>
              <w:rPr>
                <w:rFonts w:hint="eastAsia" w:ascii="宋体" w:hAnsi="宋体" w:cs="宋体"/>
                <w:szCs w:val="21"/>
              </w:rPr>
              <w:t xml:space="preserve">对园区情况熟悉度欠缺，不清楚园区内污染源情况得1分；</w:t>
            </w:r>
            <w:r/>
          </w:p>
          <w:p>
            <w:pPr>
              <w:jc w:val="left"/>
              <w:rPr>
                <w:rFonts w:hint="eastAsia" w:ascii="宋体" w:hAnsi="宋体" w:cs="宋体"/>
                <w:szCs w:val="21"/>
              </w:rPr>
            </w:pPr>
            <w:r>
              <w:rPr>
                <w:rFonts w:hint="eastAsia" w:ascii="宋体" w:hAnsi="宋体" w:cs="宋体"/>
                <w:szCs w:val="21"/>
              </w:rPr>
              <w:t xml:space="preserve">未提供不得分。</w:t>
            </w:r>
            <w:r/>
          </w:p>
        </w:tc>
        <w:tc>
          <w:tcPr>
            <w:shd w:val="clear" w:color="auto" w:fill="auto"/>
            <w:tcW w:w="85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r>
      <w:tr>
        <w:trPr>
          <w:jc w:val="center"/>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2.2</w:t>
            </w:r>
            <w:r/>
          </w:p>
        </w:tc>
        <w:tc>
          <w:tcPr>
            <w:shd w:val="clear" w:color="auto" w:fill="auto"/>
            <w:tcW w:w="1245" w:type="dxa"/>
            <w:vAlign w:val="center"/>
            <w:vMerge w:val="continue"/>
            <w:textDirection w:val="lrTb"/>
            <w:noWrap w:val="false"/>
          </w:tcPr>
          <w:p>
            <w:pPr>
              <w:pStyle w:val="1018"/>
              <w:jc w:val="center"/>
              <w:rPr>
                <w:rFonts w:hint="eastAsia" w:ascii="宋体" w:hAnsi="宋体" w:cs="宋体"/>
                <w:szCs w:val="21"/>
              </w:rPr>
            </w:pPr>
            <w:r>
              <w:rPr>
                <w:rFonts w:hint="eastAsia" w:ascii="宋体" w:hAnsi="宋体" w:cs="宋体"/>
                <w:szCs w:val="21"/>
              </w:rPr>
            </w:r>
            <w:r/>
          </w:p>
        </w:tc>
        <w:tc>
          <w:tcPr>
            <w:shd w:val="clear" w:color="auto" w:fill="auto"/>
            <w:tcW w:w="6961"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根据供应商提供的服务实施方案的整体服务目标、工作计划、工作思路、处理方法和措施等进行评审：</w:t>
            </w:r>
            <w:r/>
          </w:p>
          <w:p>
            <w:pPr>
              <w:jc w:val="left"/>
              <w:widowControl/>
              <w:rPr>
                <w:rFonts w:hint="eastAsia" w:ascii="宋体" w:hAnsi="宋体" w:cs="宋体"/>
                <w:szCs w:val="21"/>
              </w:rPr>
            </w:pPr>
            <w:r>
              <w:rPr>
                <w:rFonts w:hint="eastAsia" w:ascii="宋体" w:hAnsi="宋体" w:cs="宋体"/>
                <w:color w:val="000000"/>
                <w:szCs w:val="21"/>
                <w:lang w:bidi="ar"/>
              </w:rPr>
              <w:t xml:space="preserve">计划可行、思路清晰、重点明确、工作部署得当、内容全面详实得8分；</w:t>
            </w:r>
            <w:r/>
          </w:p>
          <w:p>
            <w:pPr>
              <w:jc w:val="left"/>
              <w:widowControl/>
              <w:rPr>
                <w:rFonts w:hint="eastAsia" w:ascii="宋体" w:hAnsi="宋体" w:cs="宋体"/>
                <w:szCs w:val="21"/>
              </w:rPr>
            </w:pPr>
            <w:r>
              <w:rPr>
                <w:rFonts w:hint="eastAsia" w:ascii="宋体" w:hAnsi="宋体" w:cs="宋体"/>
                <w:color w:val="000000"/>
                <w:szCs w:val="21"/>
                <w:lang w:bidi="ar"/>
              </w:rPr>
              <w:t xml:space="preserve">计划较全面、思路和重点基本明确、措施基本可行得5分；</w:t>
            </w:r>
            <w:r/>
          </w:p>
          <w:p>
            <w:pPr>
              <w:jc w:val="left"/>
              <w:widowControl/>
              <w:rPr>
                <w:rFonts w:hint="eastAsia" w:ascii="宋体" w:hAnsi="宋体" w:cs="宋体"/>
                <w:szCs w:val="21"/>
              </w:rPr>
            </w:pPr>
            <w:r>
              <w:rPr>
                <w:rFonts w:hint="eastAsia" w:ascii="宋体" w:hAnsi="宋体" w:cs="宋体"/>
                <w:color w:val="000000"/>
                <w:szCs w:val="21"/>
                <w:lang w:bidi="ar"/>
              </w:rPr>
              <w:t xml:space="preserve">工作计划、思路、方法和措施不太具有可行性得2分； </w:t>
            </w:r>
            <w:r/>
          </w:p>
          <w:p>
            <w:pPr>
              <w:jc w:val="left"/>
              <w:widowControl/>
              <w:rPr>
                <w:rFonts w:hint="eastAsia" w:ascii="宋体" w:hAnsi="宋体" w:cs="宋体"/>
                <w:color w:val="000000"/>
                <w:szCs w:val="21"/>
              </w:rPr>
            </w:pPr>
            <w:r>
              <w:rPr>
                <w:rFonts w:hint="eastAsia" w:ascii="宋体" w:hAnsi="宋体" w:cs="宋体"/>
                <w:color w:val="000000"/>
                <w:szCs w:val="21"/>
                <w:lang w:bidi="ar"/>
              </w:rPr>
              <w:t xml:space="preserve">未提供不得分。</w:t>
            </w:r>
            <w:r/>
          </w:p>
        </w:tc>
        <w:tc>
          <w:tcPr>
            <w:shd w:val="clear" w:color="auto" w:fill="auto"/>
            <w:tcW w:w="85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jc w:val="center"/>
          <w:trHeight w:val="821"/>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2.3</w:t>
            </w:r>
            <w:r/>
          </w:p>
        </w:tc>
        <w:tc>
          <w:tcPr>
            <w:shd w:val="clear" w:color="auto" w:fill="auto"/>
            <w:tcW w:w="1245" w:type="dxa"/>
            <w:vAlign w:val="center"/>
            <w:vMerge w:val="continue"/>
            <w:textDirection w:val="lrTb"/>
            <w:noWrap w:val="false"/>
          </w:tcPr>
          <w:p>
            <w:pPr>
              <w:pStyle w:val="1252"/>
              <w:jc w:val="center"/>
              <w:rPr>
                <w:rFonts w:hint="eastAsia" w:ascii="宋体" w:hAnsi="宋体" w:cs="宋体"/>
                <w:szCs w:val="21"/>
              </w:rPr>
            </w:pPr>
            <w:r>
              <w:rPr>
                <w:rFonts w:hint="eastAsia" w:ascii="宋体" w:hAnsi="宋体" w:cs="宋体"/>
                <w:szCs w:val="21"/>
              </w:rPr>
            </w:r>
            <w:r/>
          </w:p>
        </w:tc>
        <w:tc>
          <w:tcPr>
            <w:shd w:val="clear" w:color="auto" w:fill="auto"/>
            <w:tcW w:w="6961"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根据供应商提供的针对工作目标任务的部署执行、处理流程、应急响应及处理时间、保障措施等方案内容进行评审：</w:t>
            </w:r>
            <w:r/>
          </w:p>
          <w:p>
            <w:pPr>
              <w:jc w:val="left"/>
              <w:widowControl/>
              <w:rPr>
                <w:rFonts w:hint="eastAsia" w:ascii="宋体" w:hAnsi="宋体" w:cs="宋体"/>
                <w:szCs w:val="21"/>
              </w:rPr>
            </w:pPr>
            <w:r>
              <w:rPr>
                <w:rFonts w:hint="eastAsia" w:ascii="宋体" w:hAnsi="宋体" w:cs="宋体"/>
                <w:color w:val="000000"/>
                <w:szCs w:val="21"/>
                <w:lang w:bidi="ar"/>
              </w:rPr>
              <w:t xml:space="preserve">方案高度契合项目需求并切合实际的得8分；</w:t>
            </w:r>
            <w:r/>
          </w:p>
          <w:p>
            <w:pPr>
              <w:jc w:val="left"/>
              <w:widowControl/>
              <w:rPr>
                <w:rFonts w:hint="eastAsia" w:ascii="宋体" w:hAnsi="宋体" w:cs="宋体"/>
                <w:szCs w:val="21"/>
              </w:rPr>
            </w:pPr>
            <w:r>
              <w:rPr>
                <w:rFonts w:hint="eastAsia" w:ascii="宋体" w:hAnsi="宋体" w:cs="宋体"/>
                <w:color w:val="000000"/>
                <w:szCs w:val="21"/>
                <w:lang w:bidi="ar"/>
              </w:rPr>
              <w:t xml:space="preserve">方案基本满足项目需求，较好符合要求并切合实际的得5分；</w:t>
            </w:r>
            <w:r/>
          </w:p>
          <w:p>
            <w:pPr>
              <w:jc w:val="left"/>
              <w:widowControl/>
              <w:rPr>
                <w:rFonts w:hint="eastAsia" w:ascii="宋体" w:hAnsi="宋体" w:cs="宋体"/>
                <w:szCs w:val="21"/>
              </w:rPr>
            </w:pPr>
            <w:r>
              <w:rPr>
                <w:rFonts w:hint="eastAsia" w:ascii="宋体" w:hAnsi="宋体" w:cs="宋体"/>
                <w:color w:val="000000"/>
                <w:szCs w:val="21"/>
                <w:lang w:bidi="ar"/>
              </w:rPr>
              <w:t xml:space="preserve">方案与项目实际需求偏离较大的得2分；</w:t>
            </w:r>
            <w:r/>
          </w:p>
          <w:p>
            <w:pPr>
              <w:jc w:val="left"/>
              <w:widowControl/>
              <w:rPr>
                <w:rFonts w:hint="eastAsia" w:ascii="宋体" w:hAnsi="宋体" w:cs="宋体"/>
                <w:szCs w:val="21"/>
              </w:rPr>
            </w:pPr>
            <w:r>
              <w:rPr>
                <w:rFonts w:hint="eastAsia" w:ascii="宋体" w:hAnsi="宋体" w:cs="宋体"/>
                <w:color w:val="000000"/>
                <w:szCs w:val="21"/>
                <w:lang w:bidi="ar"/>
              </w:rPr>
              <w:t xml:space="preserve">未提供不得分。</w:t>
            </w:r>
            <w:r/>
          </w:p>
        </w:tc>
        <w:tc>
          <w:tcPr>
            <w:shd w:val="clear" w:color="auto" w:fill="auto"/>
            <w:tcW w:w="85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jc w:val="center"/>
          <w:trHeight w:val="589"/>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2.4</w:t>
            </w:r>
            <w:r/>
          </w:p>
        </w:tc>
        <w:tc>
          <w:tcPr>
            <w:shd w:val="clear" w:color="auto" w:fill="auto"/>
            <w:tcW w:w="1245" w:type="dxa"/>
            <w:vAlign w:val="center"/>
            <w:vMerge w:val="continue"/>
            <w:textDirection w:val="lrTb"/>
            <w:noWrap w:val="false"/>
          </w:tcPr>
          <w:p>
            <w:pPr>
              <w:pStyle w:val="1252"/>
              <w:jc w:val="center"/>
              <w:rPr>
                <w:rFonts w:hint="eastAsia" w:ascii="宋体" w:hAnsi="宋体" w:cs="宋体"/>
                <w:szCs w:val="21"/>
              </w:rPr>
            </w:pPr>
            <w:r>
              <w:rPr>
                <w:rFonts w:hint="eastAsia" w:ascii="宋体" w:hAnsi="宋体" w:cs="宋体"/>
                <w:szCs w:val="21"/>
              </w:rPr>
            </w:r>
            <w:r/>
          </w:p>
        </w:tc>
        <w:tc>
          <w:tcPr>
            <w:shd w:val="clear" w:color="auto" w:fill="auto"/>
            <w:tcW w:w="6961"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lang w:bidi="ar"/>
              </w:rPr>
              <w:t xml:space="preserve">结合项目所在地实际情况针对重点区域、重点时段、重点任务进行水、大气、声、固体废弃物、土壤等污染源监管方案进行评审：</w:t>
            </w:r>
            <w:r/>
          </w:p>
          <w:p>
            <w:pPr>
              <w:jc w:val="left"/>
              <w:widowControl/>
              <w:rPr>
                <w:rFonts w:hint="eastAsia" w:ascii="宋体" w:hAnsi="宋体" w:cs="宋体"/>
                <w:szCs w:val="21"/>
              </w:rPr>
            </w:pPr>
            <w:r>
              <w:rPr>
                <w:rFonts w:hint="eastAsia" w:ascii="宋体" w:hAnsi="宋体" w:cs="宋体"/>
                <w:color w:val="000000"/>
                <w:szCs w:val="21"/>
                <w:lang w:bidi="ar"/>
              </w:rPr>
              <w:t xml:space="preserve">方案高度契合项目需求，针对性强，内容详实，设备使用熟练得8分；</w:t>
            </w:r>
            <w:r/>
          </w:p>
          <w:p>
            <w:pPr>
              <w:jc w:val="left"/>
              <w:widowControl/>
              <w:rPr>
                <w:rFonts w:hint="eastAsia" w:ascii="宋体" w:hAnsi="宋体" w:cs="宋体"/>
                <w:szCs w:val="21"/>
              </w:rPr>
            </w:pPr>
            <w:r>
              <w:rPr>
                <w:rFonts w:hint="eastAsia" w:ascii="宋体" w:hAnsi="宋体" w:cs="宋体"/>
                <w:color w:val="000000"/>
                <w:szCs w:val="21"/>
                <w:lang w:bidi="ar"/>
              </w:rPr>
              <w:t xml:space="preserve">方案基本符合项目需求，具备一定针对性，内容基本齐全，设备使用较熟练得5分；</w:t>
            </w:r>
            <w:r/>
          </w:p>
          <w:p>
            <w:pPr>
              <w:jc w:val="left"/>
              <w:widowControl/>
              <w:rPr>
                <w:rFonts w:hint="eastAsia" w:ascii="宋体" w:hAnsi="宋体" w:cs="宋体"/>
                <w:szCs w:val="21"/>
              </w:rPr>
            </w:pPr>
            <w:r>
              <w:rPr>
                <w:rFonts w:hint="eastAsia" w:ascii="宋体" w:hAnsi="宋体" w:cs="宋体"/>
                <w:color w:val="000000"/>
                <w:szCs w:val="21"/>
                <w:lang w:bidi="ar"/>
              </w:rPr>
              <w:t xml:space="preserve">方案与项目需求偏离较大，不太具有可行性的得2分； </w:t>
            </w:r>
            <w:r/>
          </w:p>
          <w:p>
            <w:pPr>
              <w:jc w:val="left"/>
              <w:widowControl/>
              <w:rPr>
                <w:rFonts w:hint="eastAsia" w:ascii="宋体" w:hAnsi="宋体" w:cs="宋体"/>
                <w:szCs w:val="21"/>
              </w:rPr>
            </w:pPr>
            <w:r>
              <w:rPr>
                <w:rFonts w:hint="eastAsia" w:ascii="宋体" w:hAnsi="宋体" w:cs="宋体"/>
                <w:color w:val="000000"/>
                <w:szCs w:val="21"/>
                <w:lang w:bidi="ar"/>
              </w:rPr>
              <w:t xml:space="preserve">未提供不得分。</w:t>
            </w:r>
            <w:r/>
          </w:p>
        </w:tc>
        <w:tc>
          <w:tcPr>
            <w:shd w:val="clear" w:color="auto" w:fill="auto"/>
            <w:tcW w:w="85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jc w:val="center"/>
          <w:trHeight w:val="589"/>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2.5</w:t>
            </w:r>
            <w:r/>
          </w:p>
        </w:tc>
        <w:tc>
          <w:tcPr>
            <w:shd w:val="clear" w:color="auto" w:fill="auto"/>
            <w:tcW w:w="1245"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针对本项目服务过程中提出的合理化建议或措施或增值服务进行评审：</w:t>
            </w:r>
            <w:r/>
          </w:p>
          <w:p>
            <w:pPr>
              <w:jc w:val="left"/>
              <w:rPr>
                <w:rFonts w:hint="eastAsia" w:ascii="宋体" w:hAnsi="宋体" w:cs="宋体"/>
                <w:color w:val="000000"/>
                <w:szCs w:val="21"/>
                <w:lang w:bidi="ar"/>
              </w:rPr>
            </w:pPr>
            <w:r>
              <w:rPr>
                <w:rFonts w:hint="eastAsia" w:ascii="宋体" w:hAnsi="宋体" w:cs="宋体"/>
                <w:color w:val="000000"/>
                <w:szCs w:val="21"/>
                <w:lang w:bidi="ar"/>
              </w:rPr>
              <w:t xml:space="preserve">供应商根据项目需求，提出对采购人有实际意义并切实可行的建议或措施或增值服务得6分；</w:t>
            </w:r>
            <w:r/>
          </w:p>
          <w:p>
            <w:pPr>
              <w:jc w:val="left"/>
              <w:rPr>
                <w:rFonts w:hint="eastAsia" w:ascii="宋体" w:hAnsi="宋体" w:cs="宋体"/>
                <w:color w:val="000000"/>
                <w:szCs w:val="21"/>
                <w:lang w:bidi="ar"/>
              </w:rPr>
            </w:pPr>
            <w:r>
              <w:rPr>
                <w:rFonts w:hint="eastAsia" w:ascii="宋体" w:hAnsi="宋体" w:cs="宋体"/>
                <w:color w:val="000000"/>
                <w:szCs w:val="21"/>
                <w:lang w:bidi="ar"/>
              </w:rPr>
              <w:t xml:space="preserve">供应商根据项目需求，提出对采购人有实际意义并基本可行的建议或措施或增值服务得4分；</w:t>
            </w:r>
            <w:r/>
          </w:p>
          <w:p>
            <w:pPr>
              <w:jc w:val="left"/>
              <w:rPr>
                <w:rFonts w:hint="eastAsia" w:ascii="宋体" w:hAnsi="宋体" w:cs="宋体"/>
                <w:color w:val="000000"/>
                <w:szCs w:val="21"/>
                <w:lang w:bidi="ar"/>
              </w:rPr>
            </w:pPr>
            <w:r>
              <w:rPr>
                <w:rFonts w:hint="eastAsia" w:ascii="宋体" w:hAnsi="宋体" w:cs="宋体"/>
                <w:color w:val="000000"/>
                <w:szCs w:val="21"/>
                <w:lang w:bidi="ar"/>
              </w:rPr>
              <w:t xml:space="preserve">供应商根据项目需求，提出的建议或措施或增值服务对采购人有意义但意</w:t>
            </w:r>
            <w:r>
              <w:rPr>
                <w:rFonts w:hint="eastAsia" w:ascii="宋体" w:hAnsi="宋体" w:cs="宋体"/>
                <w:color w:val="000000"/>
                <w:szCs w:val="21"/>
                <w:lang w:bidi="ar"/>
              </w:rPr>
              <w:t xml:space="preserve">义不大，不太可行的得2分；</w:t>
            </w:r>
            <w:r/>
          </w:p>
          <w:p>
            <w:pPr>
              <w:pStyle w:val="1012"/>
              <w:rPr>
                <w:rFonts w:hint="eastAsia" w:ascii="宋体" w:hAnsi="宋体" w:cs="宋体"/>
                <w:color w:val="000000"/>
                <w:szCs w:val="21"/>
                <w:lang w:bidi="ar"/>
              </w:rPr>
            </w:pPr>
            <w:r>
              <w:rPr>
                <w:rFonts w:hint="eastAsia" w:ascii="宋体" w:hAnsi="宋体" w:cs="宋体"/>
                <w:color w:val="000000"/>
                <w:szCs w:val="21"/>
                <w:lang w:bidi="ar"/>
              </w:rPr>
              <w:t xml:space="preserve">未提供不得分。</w:t>
            </w:r>
            <w:r/>
          </w:p>
        </w:tc>
        <w:tc>
          <w:tcPr>
            <w:shd w:val="clear" w:color="auto" w:fill="auto"/>
            <w:tcW w:w="85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jc w:val="center"/>
        </w:trPr>
        <w:tc>
          <w:tcPr>
            <w:shd w:val="clear" w:color="auto" w:fill="auto"/>
            <w:tcW w:w="79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3.1</w:t>
            </w:r>
            <w:r/>
          </w:p>
        </w:tc>
        <w:tc>
          <w:tcPr>
            <w:shd w:val="clear" w:color="auto" w:fill="auto"/>
            <w:tcW w:w="1245" w:type="dxa"/>
            <w:vAlign w:val="center"/>
            <w:vMerge w:val="restart"/>
            <w:textDirection w:val="lrTb"/>
            <w:noWrap w:val="false"/>
          </w:tcPr>
          <w:p>
            <w:pPr>
              <w:jc w:val="center"/>
              <w:widowControl/>
            </w:pPr>
            <w:r>
              <w:rPr>
                <w:rFonts w:hint="eastAsia"/>
              </w:rPr>
              <w:t xml:space="preserve">项目团队配备</w:t>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1、供应商为</w:t>
            </w:r>
            <w:bookmarkStart w:id="12" w:name="_Hlk194096358"/>
            <w:r>
              <w:rPr>
                <w:rFonts w:hint="eastAsia" w:ascii="宋体" w:hAnsi="宋体" w:cs="宋体"/>
                <w:color w:val="000000"/>
                <w:szCs w:val="21"/>
                <w:lang w:bidi="ar"/>
              </w:rPr>
              <w:t xml:space="preserve">本项目拟派项目负责人具备有效期内的</w:t>
            </w:r>
            <w:bookmarkStart w:id="13" w:name="OLE_LINK3"/>
            <w:r/>
            <w:bookmarkStart w:id="14" w:name="OLE_LINK1"/>
            <w:r>
              <w:rPr>
                <w:rFonts w:hint="eastAsia" w:ascii="宋体" w:hAnsi="宋体" w:cs="宋体"/>
                <w:color w:val="000000"/>
                <w:szCs w:val="21"/>
                <w:lang w:bidi="ar"/>
              </w:rPr>
              <w:t xml:space="preserve">环境保护工程专业</w:t>
            </w:r>
            <w:bookmarkEnd w:id="13"/>
            <w:r/>
            <w:bookmarkEnd w:id="14"/>
            <w:r>
              <w:rPr>
                <w:rFonts w:hint="eastAsia" w:ascii="宋体" w:hAnsi="宋体" w:cs="宋体"/>
                <w:color w:val="000000"/>
                <w:szCs w:val="21"/>
                <w:lang w:bidi="ar"/>
              </w:rPr>
              <w:t xml:space="preserve">高级及以上技术职称的得3分；具备有效期内的环境保护工程专业中级技术职称的得</w:t>
            </w:r>
            <w:r>
              <w:rPr>
                <w:rFonts w:ascii="宋体" w:hAnsi="宋体" w:cs="宋体"/>
                <w:color w:val="000000"/>
                <w:szCs w:val="21"/>
                <w:lang w:bidi="ar"/>
              </w:rPr>
              <w:t xml:space="preserve">2</w:t>
            </w:r>
            <w:r>
              <w:rPr>
                <w:rFonts w:hint="eastAsia" w:ascii="宋体" w:hAnsi="宋体" w:cs="宋体"/>
                <w:color w:val="000000"/>
                <w:szCs w:val="21"/>
                <w:lang w:bidi="ar"/>
              </w:rPr>
              <w:t xml:space="preserve">分。</w:t>
            </w:r>
            <w:bookmarkEnd w:id="12"/>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2、供应商为本项目拟派项目负责人具备</w:t>
            </w:r>
            <w:bookmarkStart w:id="15" w:name="OLE_LINK6"/>
            <w:r/>
            <w:bookmarkStart w:id="16" w:name="OLE_LINK4"/>
            <w:r>
              <w:rPr>
                <w:rFonts w:hint="eastAsia" w:ascii="宋体" w:hAnsi="宋体" w:cs="宋体"/>
                <w:color w:val="000000"/>
                <w:szCs w:val="21"/>
                <w:lang w:bidi="ar"/>
              </w:rPr>
              <w:t xml:space="preserve">注册环境影响评价工程师职业资格证书的得</w:t>
            </w:r>
            <w:bookmarkEnd w:id="15"/>
            <w:r/>
            <w:bookmarkEnd w:id="16"/>
            <w:r>
              <w:rPr>
                <w:rFonts w:hint="eastAsia" w:ascii="宋体" w:hAnsi="宋体" w:cs="宋体"/>
                <w:color w:val="000000"/>
                <w:szCs w:val="21"/>
                <w:lang w:bidi="ar"/>
              </w:rPr>
              <w:t xml:space="preserve">3分。</w:t>
            </w:r>
            <w:r/>
          </w:p>
          <w:p>
            <w:pPr>
              <w:jc w:val="left"/>
              <w:widowControl/>
              <w:rPr>
                <w:rFonts w:hint="eastAsia" w:ascii="宋体" w:hAnsi="宋体" w:cs="宋体"/>
                <w:szCs w:val="21"/>
              </w:rPr>
            </w:pPr>
            <w:r>
              <w:rPr>
                <w:rFonts w:hint="eastAsia" w:ascii="宋体" w:hAnsi="宋体" w:cs="宋体"/>
                <w:color w:val="000000"/>
                <w:szCs w:val="21"/>
                <w:lang w:bidi="ar"/>
              </w:rPr>
              <w:t xml:space="preserve">本项最高得6分。</w:t>
            </w:r>
            <w:r/>
          </w:p>
          <w:p>
            <w:pPr>
              <w:jc w:val="left"/>
              <w:widowControl/>
              <w:rPr>
                <w:rFonts w:hint="eastAsia" w:ascii="宋体" w:hAnsi="宋体" w:cs="宋体"/>
                <w:szCs w:val="21"/>
              </w:rPr>
            </w:pPr>
            <w:r>
              <w:rPr>
                <w:rFonts w:hint="eastAsia" w:ascii="宋体" w:hAnsi="宋体" w:cs="宋体"/>
                <w:color w:val="000000"/>
                <w:szCs w:val="21"/>
                <w:lang w:bidi="ar"/>
              </w:rPr>
              <w:t xml:space="preserve">注：须提供上述有效证书复印件及近半年（</w:t>
            </w:r>
            <w:r>
              <w:rPr>
                <w:rFonts w:ascii="宋体" w:hAnsi="宋体" w:cs="宋体"/>
                <w:color w:val="000000"/>
                <w:szCs w:val="21"/>
                <w:lang w:bidi="ar"/>
              </w:rPr>
              <w:t xml:space="preserve">2024年10月-2025年3月）</w:t>
            </w:r>
            <w:r>
              <w:rPr>
                <w:rFonts w:hint="eastAsia" w:ascii="宋体" w:hAnsi="宋体" w:cs="宋体"/>
                <w:color w:val="000000"/>
                <w:szCs w:val="21"/>
                <w:lang w:bidi="ar"/>
              </w:rPr>
              <w:t xml:space="preserve">内任意一个月供应商为其缴纳的社保缴费证明有效复印件并加盖公章。</w:t>
            </w:r>
            <w:r/>
          </w:p>
        </w:tc>
        <w:tc>
          <w:tcPr>
            <w:shd w:val="clear" w:color="auto" w:fill="auto"/>
            <w:tcW w:w="850" w:type="dxa"/>
            <w:vAlign w:val="center"/>
            <w:textDirection w:val="lrTb"/>
            <w:noWrap w:val="false"/>
          </w:tcPr>
          <w:p>
            <w:pPr>
              <w:jc w:val="center"/>
              <w:shd w:val="clear" w:color="auto" w:fill="ffffff"/>
              <w:widowControl/>
              <w:rPr>
                <w:rFonts w:hint="eastAsia" w:ascii="宋体" w:hAnsi="宋体" w:cs="宋体"/>
                <w:bCs/>
                <w:szCs w:val="21"/>
              </w:rPr>
            </w:pPr>
            <w:r>
              <w:rPr>
                <w:rFonts w:hint="eastAsia" w:ascii="宋体" w:hAnsi="宋体" w:cs="宋体"/>
                <w:bCs/>
                <w:szCs w:val="21"/>
              </w:rPr>
              <w:t xml:space="preserve">6</w:t>
            </w:r>
            <w:r/>
          </w:p>
        </w:tc>
      </w:tr>
      <w:tr>
        <w:trPr>
          <w:jc w:val="center"/>
        </w:trPr>
        <w:tc>
          <w:tcPr>
            <w:shd w:val="clear" w:color="auto" w:fill="auto"/>
            <w:tcW w:w="79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3.2</w:t>
            </w:r>
            <w:r/>
          </w:p>
        </w:tc>
        <w:tc>
          <w:tcPr>
            <w:shd w:val="clear" w:color="auto" w:fill="auto"/>
            <w:tcW w:w="1245"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供应商须承诺项目组至少有4名成员（除项目负责人外），且中标后项目组人员不得随意更换（确需更换须书面向采购人报备且经采购人同意），否则本项不得分；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在此基础上，</w:t>
            </w:r>
            <w:bookmarkStart w:id="17" w:name="_Hlk194097767"/>
            <w:r>
              <w:rPr>
                <w:rFonts w:hint="eastAsia" w:ascii="宋体" w:hAnsi="宋体" w:cs="宋体"/>
                <w:color w:val="000000"/>
                <w:szCs w:val="21"/>
                <w:lang w:bidi="ar"/>
              </w:rPr>
              <w:t xml:space="preserve">其中</w:t>
            </w:r>
            <w:r>
              <w:rPr>
                <w:rFonts w:hint="eastAsia" w:ascii="宋体" w:hAnsi="宋体" w:cs="宋体"/>
                <w:szCs w:val="21"/>
                <w:lang w:bidi="ar"/>
              </w:rPr>
              <w:t xml:space="preserve">每有一名具备有效期内的环境保护工程专业高级及以上技术职称的得</w:t>
            </w:r>
            <w:r>
              <w:rPr>
                <w:rFonts w:ascii="宋体" w:hAnsi="宋体" w:cs="宋体"/>
                <w:szCs w:val="21"/>
                <w:lang w:bidi="ar"/>
              </w:rPr>
              <w:t xml:space="preserve">2</w:t>
            </w:r>
            <w:r>
              <w:rPr>
                <w:rFonts w:hint="eastAsia" w:ascii="宋体" w:hAnsi="宋体" w:cs="宋体"/>
                <w:szCs w:val="21"/>
                <w:lang w:bidi="ar"/>
              </w:rPr>
              <w:t xml:space="preserve">分；具备有效期内的环境保护工程专业环境类中级技术职称的得</w:t>
            </w:r>
            <w:r>
              <w:rPr>
                <w:rFonts w:ascii="宋体" w:hAnsi="宋体" w:cs="宋体"/>
                <w:szCs w:val="21"/>
                <w:lang w:bidi="ar"/>
              </w:rPr>
              <w:t xml:space="preserve">1</w:t>
            </w:r>
            <w:r>
              <w:rPr>
                <w:rFonts w:hint="eastAsia" w:ascii="宋体" w:hAnsi="宋体" w:cs="宋体"/>
                <w:szCs w:val="21"/>
                <w:lang w:bidi="ar"/>
              </w:rPr>
              <w:t xml:space="preserve">分（限评4人）；最高得8分。同时每有一名具备注册环境影响评价工程师职业资格证书的得1分，最高得4分。本项合计最高得12分。</w:t>
            </w:r>
            <w:bookmarkEnd w:id="17"/>
            <w:r/>
            <w:r/>
          </w:p>
          <w:p>
            <w:pPr>
              <w:jc w:val="left"/>
              <w:widowControl/>
              <w:rPr>
                <w:rFonts w:hint="eastAsia" w:ascii="宋体" w:hAnsi="宋体" w:cs="宋体"/>
                <w:szCs w:val="21"/>
              </w:rPr>
            </w:pPr>
            <w:r>
              <w:rPr>
                <w:rFonts w:hint="eastAsia" w:ascii="宋体" w:hAnsi="宋体" w:cs="宋体"/>
                <w:color w:val="000000"/>
                <w:szCs w:val="21"/>
                <w:lang w:bidi="ar"/>
              </w:rPr>
              <w:t xml:space="preserve">注：须提供承诺书原件及上述有效证书复印件及近半年（</w:t>
            </w:r>
            <w:r>
              <w:rPr>
                <w:rFonts w:ascii="宋体" w:hAnsi="宋体" w:cs="宋体"/>
                <w:color w:val="000000"/>
                <w:szCs w:val="21"/>
                <w:lang w:bidi="ar"/>
              </w:rPr>
              <w:t xml:space="preserve">2024年10月-2025年3月）</w:t>
            </w:r>
            <w:r>
              <w:rPr>
                <w:rFonts w:hint="eastAsia" w:ascii="宋体" w:hAnsi="宋体" w:cs="宋体"/>
                <w:color w:val="000000"/>
                <w:szCs w:val="21"/>
                <w:lang w:bidi="ar"/>
              </w:rPr>
              <w:t xml:space="preserve">内任意一个月供应商为其缴纳的社保缴费证明有效复印件并加盖公章。</w:t>
            </w:r>
            <w:r/>
          </w:p>
        </w:tc>
        <w:tc>
          <w:tcPr>
            <w:shd w:val="clear" w:color="auto" w:fill="auto"/>
            <w:tcW w:w="850" w:type="dxa"/>
            <w:vAlign w:val="center"/>
            <w:textDirection w:val="lrTb"/>
            <w:noWrap w:val="false"/>
          </w:tcPr>
          <w:p>
            <w:pPr>
              <w:jc w:val="center"/>
              <w:shd w:val="clear" w:color="auto" w:fill="ffffff"/>
              <w:widowControl/>
              <w:rPr>
                <w:rFonts w:hint="eastAsia" w:ascii="宋体" w:hAnsi="宋体" w:cs="宋体"/>
                <w:bCs/>
                <w:szCs w:val="21"/>
              </w:rPr>
            </w:pPr>
            <w:r>
              <w:rPr>
                <w:rFonts w:hint="eastAsia" w:ascii="宋体" w:hAnsi="宋体" w:cs="宋体"/>
                <w:bCs/>
                <w:szCs w:val="21"/>
              </w:rPr>
              <w:t xml:space="preserve">12</w:t>
            </w:r>
            <w:r/>
          </w:p>
        </w:tc>
      </w:tr>
      <w:tr>
        <w:trPr>
          <w:jc w:val="center"/>
        </w:trPr>
        <w:tc>
          <w:tcPr>
            <w:shd w:val="clear" w:color="auto" w:fill="auto"/>
            <w:tcW w:w="79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auto" w:fill="auto"/>
            <w:tcW w:w="1245" w:type="dxa"/>
            <w:vAlign w:val="center"/>
            <w:textDirection w:val="lrTb"/>
            <w:noWrap w:val="false"/>
          </w:tcPr>
          <w:p>
            <w:pPr>
              <w:jc w:val="center"/>
              <w:widowControl/>
            </w:pPr>
            <w:r>
              <w:rPr>
                <w:rFonts w:hint="eastAsia"/>
              </w:rPr>
              <w:t xml:space="preserve">业绩</w:t>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自2022年1月1日以来（以合同签订日期为准），供应商具备类似项目业绩（包括环保管家类或第三方环境监管服务类等相关环保服务项目的），每提供1个得2分，最高得10分。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注：须提供有效的合同有效复印件并加盖公章，合同须能反映项目名称、主要标的物，签订时间和签章清晰可见，否则不得分。</w:t>
            </w:r>
            <w:r/>
          </w:p>
        </w:tc>
        <w:tc>
          <w:tcPr>
            <w:shd w:val="clear" w:color="auto" w:fill="auto"/>
            <w:tcW w:w="850"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10</w:t>
            </w:r>
            <w:r/>
          </w:p>
        </w:tc>
      </w:tr>
      <w:tr>
        <w:trPr>
          <w:jc w:val="center"/>
          <w:trHeight w:val="2410"/>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5.1</w:t>
            </w:r>
            <w:r/>
          </w:p>
        </w:tc>
        <w:tc>
          <w:tcPr>
            <w:shd w:val="clear" w:color="auto" w:fill="auto"/>
            <w:tcW w:w="1245" w:type="dxa"/>
            <w:vAlign w:val="center"/>
            <w:vMerge w:val="restart"/>
            <w:textDirection w:val="lrTb"/>
            <w:noWrap w:val="false"/>
          </w:tcPr>
          <w:p>
            <w:pPr>
              <w:jc w:val="center"/>
              <w:widowControl/>
            </w:pPr>
            <w:r>
              <w:rPr>
                <w:rFonts w:hint="eastAsia"/>
              </w:rPr>
              <w:t xml:space="preserve">综合实力</w:t>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1、供应商自2022年1月1日以来在水、大气、危废等环境管理服务或环境信访调处方面，有帮助属地解决重点难点问题的经验做法的，得3分。</w:t>
            </w:r>
            <w:r/>
          </w:p>
          <w:p>
            <w:pPr>
              <w:jc w:val="left"/>
              <w:widowControl/>
              <w:rPr>
                <w:rFonts w:hint="eastAsia" w:ascii="宋体" w:hAnsi="宋体" w:cs="宋体"/>
                <w:szCs w:val="21"/>
              </w:rPr>
            </w:pPr>
            <w:r>
              <w:rPr>
                <w:rFonts w:hint="eastAsia" w:ascii="宋体" w:hAnsi="宋体" w:cs="宋体"/>
                <w:color w:val="000000"/>
                <w:szCs w:val="21"/>
                <w:lang w:bidi="ar"/>
              </w:rPr>
              <w:t xml:space="preserve">注：须提供政府部门表彰其做法或作为试点示范的书面证明材料或其他能够证明其上述经验做法的证明材料复印件加盖公章，证明材料中须能反映要求的相关信息。</w:t>
            </w:r>
            <w:r/>
          </w:p>
          <w:p>
            <w:pPr>
              <w:jc w:val="left"/>
              <w:widowControl/>
              <w:rPr>
                <w:rFonts w:hint="eastAsia" w:ascii="宋体" w:hAnsi="宋体" w:cs="宋体"/>
                <w:color w:val="000000"/>
                <w:szCs w:val="21"/>
                <w:lang w:bidi="ar"/>
              </w:rPr>
            </w:pPr>
            <w:r/>
            <w:bookmarkStart w:id="18" w:name="_Hlk194099675"/>
            <w:r>
              <w:rPr>
                <w:rFonts w:hint="eastAsia" w:ascii="宋体" w:hAnsi="宋体" w:cs="宋体"/>
                <w:color w:val="000000"/>
                <w:szCs w:val="21"/>
                <w:lang w:bidi="ar"/>
              </w:rPr>
              <w:t xml:space="preserve">2、供应商自2022年1月1日以来开展过工业企业环保培训的，得</w:t>
            </w:r>
            <w:r>
              <w:rPr>
                <w:rFonts w:ascii="宋体" w:hAnsi="宋体" w:cs="宋体"/>
                <w:color w:val="000000"/>
                <w:szCs w:val="21"/>
                <w:lang w:bidi="ar"/>
              </w:rPr>
              <w:t xml:space="preserve">2</w:t>
            </w:r>
            <w:r>
              <w:rPr>
                <w:rFonts w:hint="eastAsia" w:ascii="宋体" w:hAnsi="宋体" w:cs="宋体"/>
                <w:color w:val="000000"/>
                <w:szCs w:val="21"/>
                <w:lang w:bidi="ar"/>
              </w:rPr>
              <w:t xml:space="preserve">分。</w:t>
            </w:r>
            <w:bookmarkEnd w:id="18"/>
            <w:r/>
            <w:r/>
          </w:p>
          <w:p>
            <w:pPr>
              <w:jc w:val="left"/>
              <w:widowControl/>
            </w:pPr>
            <w:r>
              <w:rPr>
                <w:rFonts w:hint="eastAsia" w:ascii="宋体" w:hAnsi="宋体" w:cs="宋体"/>
                <w:color w:val="000000"/>
                <w:szCs w:val="21"/>
                <w:lang w:bidi="ar"/>
              </w:rPr>
              <w:t xml:space="preserve">注：须提供政府部门介绍其做法的工作信息简报或区级以上媒体公开报道的证明材料或提供其他能够证明其开展过上述培训的证明材料（例如：培训签到表及现场照片及培训方案等）复印件加盖公章，证明材料中须能反映要求的相关信息。</w:t>
            </w:r>
            <w:r/>
          </w:p>
        </w:tc>
        <w:tc>
          <w:tcPr>
            <w:shd w:val="clear" w:color="auto" w:fill="auto"/>
            <w:tcW w:w="850"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w:t>
            </w:r>
            <w:r/>
          </w:p>
        </w:tc>
      </w:tr>
      <w:tr>
        <w:trPr>
          <w:jc w:val="center"/>
          <w:trHeight w:val="1274"/>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5.2</w:t>
            </w:r>
            <w:r/>
          </w:p>
        </w:tc>
        <w:tc>
          <w:tcPr>
            <w:shd w:val="clear" w:color="auto" w:fill="auto"/>
            <w:tcW w:w="1245"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供应商为本项目服务配置相关设备（便携式VOCs检测仪、无人机、</w:t>
            </w:r>
            <w:r>
              <w:rPr>
                <w:rFonts w:hint="eastAsia" w:ascii="宋体" w:hAnsi="宋体" w:cs="宋体"/>
              </w:rPr>
              <w:t xml:space="preserve">PM2.5检测仪、风速仪、土壤快速检测仪</w:t>
            </w:r>
            <w:r>
              <w:rPr>
                <w:rFonts w:hint="eastAsia" w:ascii="宋体" w:hAnsi="宋体" w:cs="宋体"/>
                <w:color w:val="000000"/>
                <w:szCs w:val="21"/>
                <w:lang w:bidi="ar"/>
              </w:rPr>
              <w:t xml:space="preserve">等）的，每有1种专业设备得1分，每多1种设备加1分，5种设备均配备可得满分5分。</w:t>
            </w:r>
            <w:r/>
          </w:p>
          <w:p>
            <w:pPr>
              <w:jc w:val="left"/>
              <w:widowControl/>
              <w:rPr>
                <w:rFonts w:hint="eastAsia" w:ascii="宋体" w:hAnsi="宋体" w:cs="宋体"/>
                <w:szCs w:val="21"/>
              </w:rPr>
            </w:pPr>
            <w:r>
              <w:rPr>
                <w:rFonts w:hint="eastAsia" w:ascii="宋体" w:hAnsi="宋体" w:cs="宋体"/>
                <w:color w:val="000000"/>
                <w:szCs w:val="21"/>
                <w:lang w:bidi="ar"/>
              </w:rPr>
              <w:t xml:space="preserve">注：设备若为自有，须提供设备购置发票；若为租赁，须提供租赁协议及设备购置发票等有效证明材料。</w:t>
            </w:r>
            <w:r/>
          </w:p>
        </w:tc>
        <w:tc>
          <w:tcPr>
            <w:shd w:val="clear" w:color="auto" w:fill="auto"/>
            <w:tcW w:w="85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r>
      <w:tr>
        <w:trPr>
          <w:jc w:val="center"/>
          <w:trHeight w:val="275"/>
        </w:trPr>
        <w:tc>
          <w:tcPr>
            <w:shd w:val="clear" w:color="auto" w:fill="auto"/>
            <w:tcW w:w="79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auto" w:fill="auto"/>
            <w:tcW w:w="1245" w:type="dxa"/>
            <w:vAlign w:val="center"/>
            <w:textDirection w:val="lrTb"/>
            <w:noWrap w:val="false"/>
          </w:tcPr>
          <w:p>
            <w:pPr>
              <w:jc w:val="center"/>
              <w:widowControl/>
            </w:pPr>
            <w:r>
              <w:rPr>
                <w:rFonts w:hint="eastAsia"/>
              </w:rPr>
              <w:t xml:space="preserve">服务承诺</w:t>
            </w:r>
            <w:r/>
          </w:p>
        </w:tc>
        <w:tc>
          <w:tcPr>
            <w:shd w:val="clear" w:color="auto" w:fill="auto"/>
            <w:tcW w:w="6961"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供应商具有本地化服务能力的得2分</w:t>
            </w:r>
            <w:r>
              <w:rPr>
                <w:rFonts w:hint="eastAsia" w:ascii="宋体" w:hAnsi="宋体" w:cs="宋体"/>
                <w:color w:val="000000"/>
                <w:szCs w:val="21"/>
                <w:lang w:bidi="ar"/>
              </w:rPr>
              <w:t xml:space="preserve">。</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注：须提供相关证明材料或承诺书原件（格式自拟，加盖公章）。</w:t>
            </w:r>
            <w:r/>
          </w:p>
        </w:tc>
        <w:tc>
          <w:tcPr>
            <w:shd w:val="clear" w:color="auto" w:fill="auto"/>
            <w:tcW w:w="85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jc w:val="center"/>
          <w:trHeight w:val="527"/>
        </w:trPr>
        <w:tc>
          <w:tcPr>
            <w:gridSpan w:val="3"/>
            <w:shd w:val="clear" w:color="auto" w:fill="auto"/>
            <w:tcW w:w="8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shd w:val="clear" w:color="auto" w:fill="auto"/>
            <w:tcW w:w="85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100</w:t>
            </w:r>
            <w:r/>
          </w:p>
        </w:tc>
      </w:tr>
    </w:tbl>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
          <w:bCs/>
          <w:szCs w:val="21"/>
        </w:rPr>
      </w:pPr>
      <w:r>
        <w:rPr>
          <w:rFonts w:hint="eastAsia" w:ascii="宋体" w:hAnsi="宋体" w:cs="宋体"/>
          <w:bCs/>
          <w:szCs w:val="21"/>
        </w:rPr>
        <w:t xml:space="preserve">5. 监狱企业、残疾人福利性单位属于小型、微型企业的，不重复享受政策。</w:t>
      </w:r>
      <w:r>
        <w:rPr>
          <w:rFonts w:hint="eastAsia" w:ascii="宋体" w:hAnsi="宋体" w:cs="宋体"/>
          <w:szCs w:val="21"/>
        </w:rPr>
        <w:br w:type="page" w:clear="all"/>
      </w:r>
      <w:r/>
    </w:p>
    <w:p>
      <w:pPr>
        <w:pStyle w:val="995"/>
      </w:pPr>
      <w:r/>
      <w:bookmarkStart w:id="19" w:name="_Toc31739"/>
      <w:r/>
      <w:bookmarkStart w:id="20" w:name="_Toc31319"/>
      <w:r/>
      <w:bookmarkStart w:id="21" w:name="_Toc481057147"/>
      <w:r/>
      <w:bookmarkStart w:id="22" w:name="_Hlk96071152"/>
      <w:r>
        <w:rPr>
          <w:rFonts w:hint="eastAsia"/>
        </w:rPr>
        <w:t xml:space="preserve">采购需求</w:t>
      </w:r>
      <w:bookmarkEnd w:id="19"/>
      <w:r/>
      <w:bookmarkEnd w:id="20"/>
      <w:r/>
      <w:r/>
    </w:p>
    <w:p>
      <w:pPr>
        <w:ind w:firstLine="422"/>
        <w:spacing w:line="360" w:lineRule="auto"/>
      </w:pPr>
      <w:r>
        <w:rPr>
          <w:rFonts w:hint="eastAsia" w:ascii="宋体" w:hAnsi="宋体" w:cs="宋体"/>
          <w:b/>
          <w:bCs/>
          <w:color w:val="000000"/>
          <w:szCs w:val="21"/>
          <w:lang w:bidi="ar"/>
        </w:rPr>
        <w:t xml:space="preserve">（本章所有要求均为实质性要求，不接受负偏离，否则作为无效投标处理。本章所有要求投标人须在《采购需求偏离表》中列明响应情况。本采购需求适用于包1、包2）</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一、项目背景</w:t>
      </w:r>
      <w:r/>
    </w:p>
    <w:p>
      <w:pPr>
        <w:ind w:firstLine="420"/>
        <w:spacing w:line="360" w:lineRule="auto"/>
        <w:rPr>
          <w:rFonts w:hint="eastAsia" w:ascii="宋体" w:hAnsi="宋体" w:cs="宋体"/>
          <w:szCs w:val="21"/>
        </w:rPr>
      </w:pPr>
      <w:r>
        <w:rPr>
          <w:rFonts w:hint="eastAsia" w:ascii="宋体" w:hAnsi="宋体" w:cs="宋体"/>
          <w:szCs w:val="21"/>
        </w:rPr>
        <w:t xml:space="preserve">为贯彻落实《国务院办公厅关于加强环境监管执法的通知》精神和省、市关于建立环境执法监管网格的要求，按照“属地管理、分级履职、无缝对接、全面覆盖、责任到人、监管到位</w:t>
      </w:r>
      <w:r>
        <w:rPr>
          <w:rFonts w:ascii="宋体" w:hAnsi="宋体" w:cs="宋体"/>
          <w:szCs w:val="21"/>
        </w:rPr>
        <w:t xml:space="preserve">”</w:t>
      </w:r>
      <w:r>
        <w:rPr>
          <w:rFonts w:hint="eastAsia" w:ascii="宋体" w:hAnsi="宋体" w:cs="宋体"/>
          <w:szCs w:val="21"/>
        </w:rPr>
        <w:t xml:space="preserve">的原则，全面推行网格化环境监管体系，根据我园区实际，拟通过公开招标方式选择供应商开展此项工作，进一步提高园区环境管理水平。</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二、服务内容</w:t>
      </w:r>
      <w:r/>
    </w:p>
    <w:p>
      <w:pPr>
        <w:ind w:firstLine="420"/>
        <w:spacing w:line="360" w:lineRule="auto"/>
        <w:rPr>
          <w:rFonts w:hint="eastAsia" w:ascii="宋体" w:hAnsi="宋体" w:cs="宋体"/>
          <w:szCs w:val="21"/>
        </w:rPr>
      </w:pPr>
      <w:r>
        <w:rPr>
          <w:rFonts w:hint="eastAsia" w:ascii="宋体" w:hAnsi="宋体" w:cs="宋体"/>
          <w:szCs w:val="21"/>
        </w:rPr>
        <w:t xml:space="preserve">（一）围绕彩虹桥国控点、大气、水环境、危废固废等整治提升常态化开展。包括但不限于：一是调查并梳理工业企业污染环节排放达标并结合新规范标准提出治理方向及建议，并将相关整改纳入年度治气任务。二是园区涉气企业日常检查，每天分两组人员（2人/组，1人负责监测、1人负责记</w:t>
      </w:r>
      <w:r>
        <w:rPr>
          <w:rFonts w:hint="eastAsia" w:ascii="宋体" w:hAnsi="宋体" w:cs="宋体"/>
          <w:szCs w:val="21"/>
        </w:rPr>
        <w:t xml:space="preserve">录）落实白天6家企业，夜间5家企业开展昼夜检查，重点开展企业日常巡查、检查、监测工作，该项工作每季度至少完成1轮全覆盖检查。三是活性炭设施入户核查及常态化监督，按照每周至少2天开展核查（核查时间约2h/家），半年内完成1轮全覆盖，每年根据企业入驻情况动态更新活性炭设施总量。四是大气热点网格报警处理（24h无差别），至少2-3名人员24小时关注大气网格报警平台，并根据平台推送的报警情况，要求8h内完成报警点位现场及周边环境排查，问题的处置、反馈，逾期未处理，通报并纳入年终考核。五是对O3、PM2.5、VOCs</w:t>
      </w:r>
      <w:r>
        <w:rPr>
          <w:rFonts w:hint="eastAsia" w:ascii="宋体" w:hAnsi="宋体" w:cs="宋体"/>
          <w:szCs w:val="21"/>
        </w:rPr>
        <w:t xml:space="preserve">高浓度点位现场核查检测处理（区局要求1h内响应），根据区生态环境局下达的应急指令，至少1-2名人员1小时内赶赴并抵达高值浓度点位，结合便携式设备进行检测及周边环境排查，并根据现场问题处理或联系相关部门解决结果反馈区局。六是对玉带圩、解溪河、外港河沿线企业、高校及事业单位雨水排口节点井点位动态排查，以上点位需要至少2人每季度排查覆盖。七是针对企业危险废物产生、贮存等方面进行排查整治，至少2-3人开展产废单位检查（每年一轮全覆盖），100吨以上产废企业（20天一轮覆盖），产废10吨以上企业（40天一轮全覆盖）。</w:t>
      </w:r>
      <w:r/>
    </w:p>
    <w:p>
      <w:pPr>
        <w:ind w:firstLine="420"/>
        <w:spacing w:line="360" w:lineRule="auto"/>
        <w:rPr>
          <w:rFonts w:hint="eastAsia" w:ascii="宋体" w:hAnsi="宋体" w:cs="宋体"/>
          <w:szCs w:val="21"/>
        </w:rPr>
      </w:pPr>
      <w:r>
        <w:rPr>
          <w:rFonts w:hint="eastAsia" w:ascii="宋体" w:hAnsi="宋体" w:cs="宋体"/>
          <w:szCs w:val="21"/>
        </w:rPr>
        <w:t xml:space="preserve">（二）应急性、突发性专项工作。此类工作主要特点是周期短、时间紧、任务重、专业性强，需要依靠第三方技术力量支持。包括但不限于：一是每年重污染天气应急管控企业评级报告、豁免申请等材料收集、初审，园区企业审核周期1个月内。二是每年开展的大气污染源清单填</w:t>
      </w:r>
      <w:r>
        <w:rPr>
          <w:rFonts w:hint="eastAsia" w:ascii="宋体" w:hAnsi="宋体" w:cs="宋体"/>
          <w:szCs w:val="21"/>
        </w:rPr>
        <w:t xml:space="preserve">报工作，每年开展的环境统计填报工作。三是园区企业开展突发环境事件隐患排查工作，排查周期20日左右（每天最多完成排查3-4家企业）。四是智能门禁系统上门核查，根据区局要求对园区企业门禁系统的数据完整性、视频完整性、备案完整性等方面进行核查（每天核查最多3-4家企业）。其他包括但不限于：完成园区涉及废金属处置方式及产生量摸排统计，园区企业汽修废油、废电瓶产生及处置情况初步排查核实；完成园区涉工业污泥产生的企业产生、处置情况排查核实并汇总；涉及化学物质企业网上填报信息准确性及合规性上门核查等均为阶段性专项等工作。</w:t>
      </w:r>
      <w:r/>
    </w:p>
    <w:p>
      <w:pPr>
        <w:ind w:firstLine="420"/>
        <w:spacing w:line="360" w:lineRule="auto"/>
        <w:rPr>
          <w:rFonts w:hint="eastAsia" w:ascii="宋体" w:hAnsi="宋体" w:cs="宋体"/>
          <w:szCs w:val="21"/>
        </w:rPr>
      </w:pPr>
      <w:r>
        <w:rPr>
          <w:rFonts w:hint="eastAsia" w:ascii="宋体" w:hAnsi="宋体" w:cs="宋体"/>
          <w:szCs w:val="21"/>
        </w:rPr>
        <w:t xml:space="preserve">（三）日常工作交流促进及培训。通过引入第三方服务机构（后称“中标供应商”），一是能够与第</w:t>
      </w:r>
      <w:r>
        <w:rPr>
          <w:rFonts w:hint="eastAsia" w:ascii="宋体" w:hAnsi="宋体" w:cs="宋体"/>
          <w:szCs w:val="21"/>
        </w:rPr>
        <w:t xml:space="preserve">三方单位在日常工作中互为补充、互相学习。二是组织专家不定期结合水、气、声、固废和土壤开展专项业务培训。</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三、服务要求、费用、时限</w:t>
      </w:r>
      <w:r/>
    </w:p>
    <w:p>
      <w:pPr>
        <w:ind w:firstLine="420"/>
        <w:spacing w:line="360" w:lineRule="auto"/>
        <w:rPr>
          <w:rFonts w:hint="eastAsia" w:ascii="宋体" w:hAnsi="宋体" w:cs="宋体"/>
          <w:color w:val="000000"/>
          <w:szCs w:val="21"/>
          <w:lang w:bidi="ar"/>
        </w:rPr>
      </w:pPr>
      <w:r/>
      <w:bookmarkStart w:id="23" w:name="OLE_LINK15"/>
      <w:r/>
      <w:bookmarkStart w:id="24" w:name="OLE_LINK16"/>
      <w:r/>
      <w:bookmarkStart w:id="25" w:name="OLE_LINK12"/>
      <w:r>
        <w:rPr>
          <w:rFonts w:hint="eastAsia" w:ascii="宋体" w:hAnsi="宋体" w:cs="宋体"/>
          <w:szCs w:val="21"/>
        </w:rPr>
        <w:t xml:space="preserve">本项目分为两个标包（包1、包2），每标包预算为80万元，预算160万元/年，一年一招。要求由两家中标供应商各派遣不少于5名技术人员（1名项目负责人，4名项目组成员）及2辆工作车开展“</w:t>
      </w:r>
      <w:r>
        <w:rPr>
          <w:rFonts w:hint="eastAsia" w:ascii="宋体" w:hAnsi="宋体" w:cs="宋体"/>
          <w:bCs/>
          <w:szCs w:val="21"/>
        </w:rPr>
        <w:t xml:space="preserve">江宁高新区生态环境技术运维</w:t>
      </w:r>
      <w:r>
        <w:rPr>
          <w:rFonts w:hint="eastAsia" w:ascii="宋体" w:hAnsi="宋体" w:cs="宋体"/>
          <w:color w:val="000000"/>
          <w:szCs w:val="21"/>
          <w:lang w:bidi="ar"/>
        </w:rPr>
        <w:t xml:space="preserve">”，</w:t>
      </w:r>
      <w:bookmarkStart w:id="26" w:name="OLE_LINK10"/>
      <w:r/>
      <w:bookmarkStart w:id="27" w:name="OLE_LINK11"/>
      <w:r>
        <w:rPr>
          <w:rFonts w:hint="eastAsia" w:ascii="宋体" w:hAnsi="宋体" w:cs="宋体"/>
          <w:color w:val="000000"/>
          <w:szCs w:val="21"/>
          <w:lang w:bidi="ar"/>
        </w:rPr>
        <w:t xml:space="preserve">原则上每周一至周日开展日常环境工作，</w:t>
      </w:r>
      <w:bookmarkEnd w:id="26"/>
      <w:r/>
      <w:bookmarkEnd w:id="27"/>
      <w:r>
        <w:rPr>
          <w:rFonts w:hint="eastAsia" w:ascii="宋体" w:hAnsi="宋体" w:cs="宋体"/>
          <w:color w:val="000000"/>
          <w:szCs w:val="21"/>
          <w:lang w:bidi="ar"/>
        </w:rPr>
        <w:t xml:space="preserve">每天白天工作时间早上9:00-晚上18:00（8h），夜间19:00-23:00（4h）开展专项夜查。</w:t>
      </w:r>
      <w:bookmarkEnd w:id="23"/>
      <w:r/>
      <w:bookmarkEnd w:id="24"/>
      <w:r/>
      <w:bookmarkEnd w:id="25"/>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服务期：自合同签订，并正式开展工作起1年。</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在服务期内，中标供应商接到采购人指令后须在0.5小时以内到达本次招标涉及的任一场所并开展工作，并在江宁高新区驻点工作。</w:t>
      </w:r>
      <w:r/>
    </w:p>
    <w:p>
      <w:pPr>
        <w:ind w:firstLine="422"/>
        <w:jc w:val="left"/>
        <w:spacing w:line="360" w:lineRule="auto"/>
        <w:widowControl/>
      </w:pPr>
      <w:r>
        <w:rPr>
          <w:rFonts w:hint="eastAsia" w:ascii="宋体" w:hAnsi="宋体" w:cs="宋体"/>
          <w:b/>
          <w:bCs/>
          <w:color w:val="000000"/>
          <w:szCs w:val="21"/>
          <w:lang w:bidi="ar"/>
        </w:rPr>
        <w:t xml:space="preserve">四、付款方式</w:t>
      </w:r>
      <w:r/>
    </w:p>
    <w:p>
      <w:pPr>
        <w:ind w:firstLine="420"/>
        <w:spacing w:line="360" w:lineRule="auto"/>
        <w:rPr>
          <w:rFonts w:hint="eastAsia" w:ascii="宋体" w:hAnsi="宋体" w:cs="宋体"/>
          <w:szCs w:val="21"/>
        </w:rPr>
      </w:pPr>
      <w:r/>
      <w:bookmarkStart w:id="28" w:name="_Hlk194908524"/>
      <w:r>
        <w:rPr>
          <w:rFonts w:ascii="宋体" w:hAnsi="宋体" w:cs="宋体"/>
          <w:color w:val="000000"/>
          <w:szCs w:val="21"/>
          <w:lang w:bidi="ar"/>
        </w:rPr>
        <w:t xml:space="preserve">江宁高新区生态环境主管部门</w:t>
      </w:r>
      <w:r>
        <w:rPr>
          <w:rFonts w:hint="eastAsia" w:ascii="宋体" w:hAnsi="宋体" w:cs="宋体"/>
          <w:color w:val="000000"/>
          <w:szCs w:val="21"/>
          <w:lang w:bidi="ar"/>
        </w:rPr>
        <w:t xml:space="preserve">负责每季度对各中标供应商进行考核，并根据每季度考核金额由采购人按季拨付：</w:t>
      </w:r>
      <w:r>
        <w:rPr>
          <w:rFonts w:hint="eastAsia" w:ascii="宋体" w:hAnsi="宋体" w:cs="宋体"/>
          <w:szCs w:val="21"/>
        </w:rPr>
        <w:t xml:space="preserve">（1）综合考核分数在80分（含）以上的，当季全额支付服务费用；（2）综合考核分数在70（含）-80分的，</w:t>
      </w:r>
      <w:r>
        <w:rPr>
          <w:rFonts w:hint="eastAsia" w:ascii="宋体" w:hAnsi="宋体" w:cs="宋体"/>
          <w:spacing w:val="-13"/>
          <w:szCs w:val="21"/>
        </w:rPr>
        <w:t xml:space="preserve">扣除当季服务费用的</w:t>
      </w:r>
      <w:r>
        <w:rPr>
          <w:rFonts w:hint="eastAsia" w:ascii="宋体" w:hAnsi="宋体" w:cs="宋体"/>
          <w:szCs w:val="21"/>
        </w:rPr>
        <w:t xml:space="preserve">1%；（3）综合考核分数在60（含）-70分的，扣除</w:t>
      </w:r>
      <w:r>
        <w:rPr>
          <w:rFonts w:hint="eastAsia" w:ascii="宋体" w:hAnsi="宋体" w:cs="宋体"/>
          <w:spacing w:val="-13"/>
          <w:szCs w:val="21"/>
        </w:rPr>
        <w:t xml:space="preserve">当季服务费用</w:t>
      </w:r>
      <w:r>
        <w:rPr>
          <w:rFonts w:hint="eastAsia" w:ascii="宋体" w:hAnsi="宋体" w:cs="宋体"/>
          <w:szCs w:val="21"/>
        </w:rPr>
        <w:t xml:space="preserve">的2%；（4）综合考核分数在60分以下的，扣除</w:t>
      </w:r>
      <w:r>
        <w:rPr>
          <w:rFonts w:hint="eastAsia" w:ascii="宋体" w:hAnsi="宋体" w:cs="宋体"/>
          <w:spacing w:val="-13"/>
          <w:szCs w:val="21"/>
        </w:rPr>
        <w:t xml:space="preserve">当季服务费用</w:t>
      </w:r>
      <w:r>
        <w:rPr>
          <w:rFonts w:hint="eastAsia" w:ascii="宋体" w:hAnsi="宋体" w:cs="宋体"/>
          <w:szCs w:val="21"/>
        </w:rPr>
        <w:t xml:space="preserve">的5%。</w:t>
      </w:r>
      <w:bookmarkEnd w:id="28"/>
      <w:r/>
      <w:r/>
    </w:p>
    <w:p>
      <w:pPr>
        <w:ind w:firstLine="422"/>
        <w:spacing w:line="360" w:lineRule="auto"/>
        <w:rPr>
          <w:rFonts w:hint="eastAsia" w:ascii="宋体" w:hAnsi="宋体" w:cs="宋体"/>
          <w:b/>
          <w:bCs/>
          <w:szCs w:val="21"/>
        </w:rPr>
      </w:pPr>
      <w:r>
        <w:rPr>
          <w:rFonts w:hint="eastAsia" w:ascii="宋体" w:hAnsi="宋体" w:cs="宋体"/>
          <w:b/>
          <w:bCs/>
          <w:szCs w:val="21"/>
        </w:rPr>
        <w:t xml:space="preserve">五、考核办法</w:t>
      </w:r>
      <w:r/>
    </w:p>
    <w:p>
      <w:pPr>
        <w:ind w:firstLine="420"/>
        <w:spacing w:line="360" w:lineRule="auto"/>
        <w:rPr>
          <w:rFonts w:hint="eastAsia" w:ascii="宋体" w:hAnsi="宋体" w:cs="宋体"/>
          <w:szCs w:val="21"/>
        </w:rPr>
      </w:pPr>
      <w:r>
        <w:rPr>
          <w:rFonts w:hint="eastAsia" w:ascii="宋体" w:hAnsi="宋体" w:cs="宋体"/>
          <w:szCs w:val="21"/>
          <w:lang w:bidi="ar"/>
        </w:rPr>
        <w:t xml:space="preserve">1、中标供应商根据职责对企业的环保法规、政策执行情况及产污治污情况进行管理，同时加强技术服务与指导，协助企业优化治污工艺技术和运行参数，保证三废稳定达标排放，提高企业的环境管理水平。</w:t>
      </w:r>
      <w:r/>
    </w:p>
    <w:p>
      <w:pPr>
        <w:ind w:firstLine="420"/>
        <w:spacing w:line="360" w:lineRule="auto"/>
        <w:rPr>
          <w:rFonts w:hint="eastAsia" w:ascii="宋体" w:hAnsi="宋体" w:cs="宋体"/>
          <w:szCs w:val="21"/>
        </w:rPr>
      </w:pPr>
      <w:r>
        <w:rPr>
          <w:rFonts w:hint="eastAsia" w:ascii="宋体" w:hAnsi="宋体" w:cs="宋体"/>
          <w:szCs w:val="21"/>
          <w:lang w:bidi="ar"/>
        </w:rPr>
        <w:t xml:space="preserve">2、中标供应商提供管理服务须实事求是，不得从事违法违规活动，不得在监测数据、运维台账、其他管理数据等进行弄虚作假、人为更改，保持数据真实性、有效性。</w:t>
      </w:r>
      <w:r/>
    </w:p>
    <w:p>
      <w:pPr>
        <w:ind w:firstLine="420"/>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负责中标供应商的日常管理和考核工作。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4、中标供应商需按项目要求配备相应的技术人员和专用的管理用车，相关资料报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5、中标供应商需制定和完善管理服务的实施方案。建立健全各项管理工作制度，制定问题发现和抄告制度、问题跟踪管理工作制度和应急管理响应制度等，相关制度报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6、中标供应商根据合同内容要求开展管理工作。重点查看企业环评制度履行情况、污染物处理设施运行和污染物排放情况，管理设施运行记录、台账记录；定期对企业污染物排放进行监测分析。</w:t>
      </w:r>
      <w:r/>
    </w:p>
    <w:p>
      <w:pPr>
        <w:ind w:firstLine="420"/>
        <w:spacing w:line="360" w:lineRule="auto"/>
        <w:rPr>
          <w:rFonts w:hint="eastAsia" w:ascii="宋体" w:hAnsi="宋体" w:cs="宋体"/>
          <w:szCs w:val="21"/>
        </w:rPr>
      </w:pPr>
      <w:r>
        <w:rPr>
          <w:rFonts w:hint="eastAsia" w:ascii="宋体" w:hAnsi="宋体" w:cs="宋体"/>
          <w:szCs w:val="21"/>
          <w:lang w:bidi="ar"/>
        </w:rPr>
        <w:t xml:space="preserve">7、中标供应商对管理过程中发现的问题进行分析，提出整改意见，每月形成月报，每季度形成季报，分别于次月5日和次季度10日前上报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8、中标供应商每年至少开展2次以上环保业务集中式培训，帮助企业培训设施操作人员和环保管理人员。对于管理过程中发现的企业环保工作人员的操作问题，要在现场及时提出并帮助企业整改。</w:t>
      </w:r>
      <w:r/>
    </w:p>
    <w:p>
      <w:pPr>
        <w:ind w:firstLine="420"/>
        <w:spacing w:line="360" w:lineRule="auto"/>
        <w:rPr>
          <w:rFonts w:hint="eastAsia" w:ascii="宋体" w:hAnsi="宋体" w:cs="宋体"/>
          <w:szCs w:val="21"/>
        </w:rPr>
      </w:pPr>
      <w:r>
        <w:rPr>
          <w:rFonts w:hint="eastAsia" w:ascii="宋体" w:hAnsi="宋体" w:cs="宋体"/>
          <w:szCs w:val="21"/>
          <w:lang w:bidi="ar"/>
        </w:rPr>
        <w:t xml:space="preserve">9、中标供应商协助采购人处理信访投诉、处置突发环境事故及完成布置的其他工作。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10、中标供应商要建立与</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日常沟通机制，及时反馈管理信息。</w:t>
      </w:r>
      <w:r/>
    </w:p>
    <w:p>
      <w:pPr>
        <w:ind w:firstLine="420"/>
        <w:spacing w:line="360" w:lineRule="auto"/>
        <w:rPr>
          <w:rFonts w:hint="eastAsia" w:ascii="宋体" w:hAnsi="宋体" w:cs="宋体"/>
          <w:szCs w:val="21"/>
        </w:rPr>
      </w:pPr>
      <w:r>
        <w:rPr>
          <w:rFonts w:hint="eastAsia" w:ascii="宋体" w:hAnsi="宋体" w:cs="宋体"/>
          <w:szCs w:val="21"/>
          <w:lang w:bidi="ar"/>
        </w:rPr>
        <w:t xml:space="preserve">11、中标供应商对于管理过程中发现的企业“三废”台账记录不规范，雨污分流不彻底等行为，要及时督促企业立即整改；发现企业有涉嫌逃避监管、私设暗管等行为，以及企业周边环境有异常等情况，应</w:t>
      </w:r>
      <w:r>
        <w:rPr>
          <w:rFonts w:hint="eastAsia" w:ascii="宋体" w:hAnsi="宋体" w:cs="宋体"/>
          <w:szCs w:val="21"/>
          <w:lang w:bidi="ar"/>
        </w:rPr>
        <w:t xml:space="preserve">立即上报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12、中标供应商对于管理过程中发现的企业“三废”排放出现异常情况，应做好现场的保护工作并立即上报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13、中标供应商对于发生环境污染事件或事故的，要在第一时间协助企业启动环境应急预案并上报</w:t>
      </w:r>
      <w:r>
        <w:rPr>
          <w:rFonts w:hint="eastAsia" w:ascii="宋体" w:hAnsi="宋体" w:cs="宋体"/>
          <w:color w:val="000000"/>
          <w:szCs w:val="21"/>
          <w:lang w:bidi="ar"/>
        </w:rPr>
        <w:t xml:space="preserve">江宁高新区生态环境主管部门</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14、中标供应商要积极配合园区，做好各级生态环境部门检查中发现环境违法行为的后续跟踪管理工作。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t xml:space="preserve">江宁高新区生态环境主管部门</w:t>
      </w:r>
      <w:r>
        <w:rPr>
          <w:rFonts w:hint="eastAsia" w:ascii="宋体" w:hAnsi="宋体" w:cs="宋体"/>
          <w:szCs w:val="21"/>
          <w:lang w:bidi="ar"/>
        </w:rPr>
        <w:t xml:space="preserve">不定期对中标供应商工作开展情况进行督查，同时结合日常巡查对中标供应商进行考核。</w:t>
      </w:r>
      <w:r>
        <w:rPr>
          <w:rFonts w:hint="eastAsia" w:ascii="宋体" w:hAnsi="宋体" w:cs="宋体"/>
          <w:szCs w:val="21"/>
        </w:rPr>
        <w:t xml:space="preserve">每个季度结束，由中标供应商对现阶段工作总结汇报，江宁高新区生态环境主管部门根据汇报内容，对中标供应商每季度日常行为、工作情况及服务成果三项进行评价。 </w:t>
      </w:r>
      <w:r/>
    </w:p>
    <w:p>
      <w:pPr>
        <w:ind w:firstLine="420"/>
        <w:spacing w:line="360" w:lineRule="auto"/>
        <w:rPr>
          <w:rFonts w:hint="eastAsia" w:ascii="宋体" w:hAnsi="宋体" w:cs="宋体"/>
          <w:szCs w:val="21"/>
        </w:rPr>
      </w:pPr>
      <w:r>
        <w:rPr>
          <w:rFonts w:hint="eastAsia" w:ascii="宋体" w:hAnsi="宋体" w:cs="宋体"/>
          <w:szCs w:val="21"/>
          <w:lang w:bidi="ar"/>
        </w:rPr>
        <w:t xml:space="preserve">16、考核标准</w:t>
      </w:r>
      <w:r/>
    </w:p>
    <w:p>
      <w:pPr>
        <w:ind w:firstLine="420"/>
        <w:spacing w:line="360" w:lineRule="auto"/>
        <w:rPr>
          <w:rFonts w:hint="eastAsia" w:ascii="宋体" w:hAnsi="宋体" w:cs="宋体"/>
          <w:szCs w:val="21"/>
        </w:rPr>
      </w:pPr>
      <w:r>
        <w:rPr>
          <w:rFonts w:hint="eastAsia" w:ascii="宋体" w:hAnsi="宋体" w:cs="宋体"/>
          <w:szCs w:val="21"/>
          <w:lang w:bidi="ar"/>
        </w:rPr>
        <w:t xml:space="preserve">考核结果设优秀（80分以上，含80分）、良好（70-80分，含70分）、合格（60-70分，含60分）、不合格（60分以下）四个档次。考核标准详见附件《考核评分标准》。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出现以下情况的，年度考核直接评定为不合格：（1）对企业巡查结果弄虚作假，隐瞒真实情况；（2）无故不履行职责，故意拖延日常管理工作；（3）其他损坏园区形象，弄虚作假，损害企业合法权益，职业道德不良的行为。</w:t>
      </w:r>
      <w:r>
        <w:rPr>
          <w:rFonts w:hint="eastAsia" w:ascii="宋体" w:hAnsi="宋体" w:cs="宋体"/>
          <w:szCs w:val="21"/>
          <w:lang w:bidi="ar"/>
        </w:rPr>
        <w:br w:type="page" w:clear="all"/>
      </w:r>
      <w:r/>
    </w:p>
    <w:p>
      <w:pPr>
        <w:ind w:firstLine="420"/>
        <w:spacing w:line="360" w:lineRule="auto"/>
      </w:pPr>
      <w:r>
        <w:rPr>
          <w:b/>
          <w:bCs/>
        </w:rPr>
        <w:t xml:space="preserve">附件</w:t>
      </w:r>
      <w:r>
        <w:t xml:space="preserve">：</w:t>
      </w:r>
      <w:r>
        <w:rPr>
          <w:rFonts w:hint="eastAsia" w:ascii="宋体" w:hAnsi="宋体" w:cs="宋体"/>
          <w:b/>
          <w:bCs/>
          <w:szCs w:val="21"/>
          <w:lang w:bidi="ar"/>
        </w:rPr>
        <w:t xml:space="preserve">考核评分标准</w:t>
      </w:r>
      <w:r>
        <w:rPr>
          <w:b/>
          <w:bCs/>
        </w:rPr>
        <w:t xml:space="preserve"> </w:t>
      </w:r>
      <w:r/>
    </w:p>
    <w:p>
      <w:pPr>
        <w:pStyle w:val="1014"/>
        <w:spacing w:before="9"/>
        <w:rPr>
          <w:sz w:val="10"/>
        </w:rPr>
      </w:pPr>
      <w:r>
        <w:rPr>
          <w:sz w:val="10"/>
        </w:rPr>
      </w:r>
      <w:r/>
    </w:p>
    <w:tbl>
      <w:tblPr>
        <w:tblW w:w="10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76"/>
        <w:gridCol w:w="991"/>
        <w:gridCol w:w="3540"/>
        <w:gridCol w:w="851"/>
        <w:gridCol w:w="3083"/>
        <w:gridCol w:w="567"/>
      </w:tblGrid>
      <w:tr>
        <w:trPr>
          <w:jc w:val="center"/>
          <w:trHeight w:val="726"/>
          <w:tblHeader/>
        </w:trPr>
        <w:tc>
          <w:tcPr>
            <w:gridSpan w:val="2"/>
            <w:tcW w:w="2267" w:type="dxa"/>
            <w:vAlign w:val="center"/>
            <w:textDirection w:val="lrTb"/>
            <w:noWrap w:val="false"/>
          </w:tcPr>
          <w:p>
            <w:pPr>
              <w:pStyle w:val="1238"/>
              <w:jc w:val="center"/>
              <w:spacing w:line="320" w:lineRule="exact"/>
              <w:rPr>
                <w:b/>
              </w:rPr>
            </w:pPr>
            <w:r>
              <w:rPr>
                <w:b/>
              </w:rPr>
              <w:t xml:space="preserve">类别</w:t>
            </w:r>
            <w:r/>
          </w:p>
        </w:tc>
        <w:tc>
          <w:tcPr>
            <w:tcW w:w="3540" w:type="dxa"/>
            <w:vAlign w:val="center"/>
            <w:textDirection w:val="lrTb"/>
            <w:noWrap w:val="false"/>
          </w:tcPr>
          <w:p>
            <w:pPr>
              <w:pStyle w:val="1238"/>
              <w:jc w:val="center"/>
              <w:spacing w:line="320" w:lineRule="exact"/>
              <w:rPr>
                <w:b/>
              </w:rPr>
            </w:pPr>
            <w:r>
              <w:rPr>
                <w:b/>
              </w:rPr>
              <w:t xml:space="preserve">考核内容</w:t>
            </w:r>
            <w:r/>
          </w:p>
        </w:tc>
        <w:tc>
          <w:tcPr>
            <w:tcW w:w="851" w:type="dxa"/>
            <w:vAlign w:val="center"/>
            <w:textDirection w:val="lrTb"/>
            <w:noWrap w:val="false"/>
          </w:tcPr>
          <w:p>
            <w:pPr>
              <w:pStyle w:val="1238"/>
              <w:jc w:val="center"/>
              <w:spacing w:line="320" w:lineRule="exact"/>
              <w:rPr>
                <w:b/>
              </w:rPr>
            </w:pPr>
            <w:r>
              <w:rPr>
                <w:b/>
              </w:rPr>
              <w:t xml:space="preserve">标准分</w:t>
            </w:r>
            <w:r/>
          </w:p>
        </w:tc>
        <w:tc>
          <w:tcPr>
            <w:tcW w:w="3083" w:type="dxa"/>
            <w:vAlign w:val="center"/>
            <w:textDirection w:val="lrTb"/>
            <w:noWrap w:val="false"/>
          </w:tcPr>
          <w:p>
            <w:pPr>
              <w:pStyle w:val="1238"/>
              <w:jc w:val="center"/>
              <w:spacing w:line="320" w:lineRule="exact"/>
              <w:rPr>
                <w:b/>
              </w:rPr>
            </w:pPr>
            <w:r>
              <w:rPr>
                <w:b/>
              </w:rPr>
              <w:t xml:space="preserve">评分细则</w:t>
            </w:r>
            <w:r/>
          </w:p>
        </w:tc>
        <w:tc>
          <w:tcPr>
            <w:tcW w:w="567" w:type="dxa"/>
            <w:vAlign w:val="center"/>
            <w:textDirection w:val="lrTb"/>
            <w:noWrap w:val="false"/>
          </w:tcPr>
          <w:p>
            <w:pPr>
              <w:pStyle w:val="1238"/>
              <w:jc w:val="center"/>
              <w:spacing w:line="320" w:lineRule="exact"/>
              <w:rPr>
                <w:b/>
              </w:rPr>
            </w:pPr>
            <w:r>
              <w:rPr>
                <w:b/>
              </w:rPr>
              <w:t xml:space="preserve">实际得分</w:t>
            </w:r>
            <w:r/>
          </w:p>
        </w:tc>
      </w:tr>
      <w:tr>
        <w:trPr>
          <w:jc w:val="center"/>
          <w:trHeight w:val="966"/>
        </w:trPr>
        <w:tc>
          <w:tcPr>
            <w:gridSpan w:val="2"/>
            <w:tcW w:w="2267" w:type="dxa"/>
            <w:vAlign w:val="center"/>
            <w:vMerge w:val="restart"/>
            <w:textDirection w:val="lrTb"/>
            <w:noWrap w:val="false"/>
          </w:tcPr>
          <w:p>
            <w:pPr>
              <w:pStyle w:val="1238"/>
              <w:ind w:hanging="420"/>
              <w:jc w:val="center"/>
              <w:spacing w:line="320" w:lineRule="exact"/>
            </w:pPr>
            <w:r>
              <w:rPr>
                <w:rFonts w:hint="eastAsia"/>
              </w:rPr>
              <w:t xml:space="preserve">    </w:t>
            </w:r>
            <w:r>
              <w:rPr>
                <w:rFonts w:hint="eastAsia"/>
                <w:szCs w:val="21"/>
              </w:rPr>
              <w:t xml:space="preserve">日常行为管理</w:t>
            </w:r>
            <w:r>
              <w:t xml:space="preserve">（</w:t>
            </w:r>
            <w:r>
              <w:t xml:space="preserve">20</w:t>
            </w:r>
            <w:r>
              <w:t xml:space="preserve">分）</w:t>
            </w:r>
            <w:r/>
          </w:p>
        </w:tc>
        <w:tc>
          <w:tcPr>
            <w:tcW w:w="3540" w:type="dxa"/>
            <w:vAlign w:val="center"/>
            <w:textDirection w:val="lrTb"/>
            <w:noWrap w:val="false"/>
          </w:tcPr>
          <w:p>
            <w:pPr>
              <w:pStyle w:val="1238"/>
              <w:spacing w:line="320" w:lineRule="exact"/>
            </w:pPr>
            <w:r>
              <w:t xml:space="preserve">1</w:t>
            </w:r>
            <w:r>
              <w:t xml:space="preserve">、遵守园区规章制度，按时打考勤，要求人员按时到岗，不早退，不无故缺勤</w:t>
            </w:r>
            <w:r/>
          </w:p>
        </w:tc>
        <w:tc>
          <w:tcPr>
            <w:tcW w:w="851" w:type="dxa"/>
            <w:vAlign w:val="center"/>
            <w:textDirection w:val="lrTb"/>
            <w:noWrap w:val="false"/>
          </w:tcPr>
          <w:p>
            <w:pPr>
              <w:pStyle w:val="1238"/>
              <w:jc w:val="center"/>
              <w:spacing w:line="320" w:lineRule="exact"/>
            </w:pPr>
            <w:r>
              <w:t xml:space="preserve">4</w:t>
            </w:r>
            <w:r>
              <w:t xml:space="preserve">分</w:t>
            </w:r>
            <w:r/>
          </w:p>
        </w:tc>
        <w:tc>
          <w:tcPr>
            <w:tcW w:w="3083" w:type="dxa"/>
            <w:vAlign w:val="center"/>
            <w:textDirection w:val="lrTb"/>
            <w:noWrap w:val="false"/>
          </w:tcPr>
          <w:p>
            <w:pPr>
              <w:pStyle w:val="1238"/>
              <w:spacing w:line="320" w:lineRule="exact"/>
            </w:pPr>
            <w:r>
              <w:rPr>
                <w:spacing w:val="-3"/>
              </w:rPr>
              <w:t xml:space="preserve">根据考勤情况，迟到一</w:t>
            </w:r>
            <w:r>
              <w:rPr>
                <w:spacing w:val="-19"/>
              </w:rPr>
              <w:t xml:space="preserve">次扣</w:t>
            </w:r>
            <w:r>
              <w:rPr>
                <w:spacing w:val="-19"/>
              </w:rPr>
              <w:t xml:space="preserve"> </w:t>
            </w:r>
            <w:r>
              <w:t xml:space="preserve">0.5</w:t>
            </w:r>
            <w:r>
              <w:rPr>
                <w:spacing w:val="-26"/>
              </w:rPr>
              <w:t xml:space="preserve">分</w:t>
            </w:r>
            <w:r>
              <w:t xml:space="preserve">/</w:t>
            </w:r>
            <w:r>
              <w:rPr>
                <w:spacing w:val="-5"/>
              </w:rPr>
              <w:t xml:space="preserve">人；早退一</w:t>
            </w:r>
            <w:r>
              <w:rPr>
                <w:spacing w:val="-17"/>
              </w:rPr>
              <w:t xml:space="preserve">次扣</w:t>
            </w:r>
            <w:r>
              <w:t xml:space="preserve">0.5</w:t>
            </w:r>
            <w:r>
              <w:rPr>
                <w:spacing w:val="-26"/>
              </w:rPr>
              <w:t xml:space="preserve">分</w:t>
            </w:r>
            <w:r>
              <w:t xml:space="preserve">/</w:t>
            </w:r>
            <w:r>
              <w:rPr>
                <w:spacing w:val="-3"/>
              </w:rPr>
              <w:t xml:space="preserve">人；缺勤一</w:t>
            </w:r>
            <w:r>
              <w:t xml:space="preserve">次扣</w:t>
            </w:r>
            <w:r>
              <w:t xml:space="preserve">1</w:t>
            </w:r>
            <w:r>
              <w:t xml:space="preserve">分</w:t>
            </w:r>
            <w:r>
              <w:t xml:space="preserve">/</w:t>
            </w:r>
            <w:r>
              <w:t xml:space="preserve">人</w:t>
            </w:r>
            <w:r/>
          </w:p>
        </w:tc>
        <w:tc>
          <w:tcPr>
            <w:tcW w:w="567" w:type="dxa"/>
            <w:vAlign w:val="center"/>
            <w:textDirection w:val="lrTb"/>
            <w:noWrap w:val="false"/>
          </w:tcPr>
          <w:p>
            <w:pPr>
              <w:pStyle w:val="1238"/>
              <w:spacing w:line="320" w:lineRule="exact"/>
            </w:pPr>
            <w:r/>
            <w:r/>
          </w:p>
        </w:tc>
      </w:tr>
      <w:tr>
        <w:trPr>
          <w:jc w:val="center"/>
          <w:trHeight w:val="726"/>
        </w:trPr>
        <w:tc>
          <w:tcPr>
            <w:gridSpan w:val="2"/>
            <w:tcW w:w="2267" w:type="dxa"/>
            <w:vAlign w:val="center"/>
            <w:vMerge w:val="continue"/>
            <w:textDirection w:val="lrTb"/>
            <w:noWrap w:val="false"/>
          </w:tcPr>
          <w:p>
            <w:pPr>
              <w:jc w:val="center"/>
              <w:spacing w:line="320" w:lineRule="exact"/>
              <w:rPr>
                <w:sz w:val="2"/>
                <w:szCs w:val="2"/>
              </w:rPr>
            </w:pPr>
            <w:r>
              <w:rPr>
                <w:sz w:val="2"/>
                <w:szCs w:val="2"/>
              </w:rPr>
            </w:r>
            <w:r/>
          </w:p>
        </w:tc>
        <w:tc>
          <w:tcPr>
            <w:tcW w:w="3540" w:type="dxa"/>
            <w:vAlign w:val="center"/>
            <w:textDirection w:val="lrTb"/>
            <w:noWrap w:val="false"/>
          </w:tcPr>
          <w:p>
            <w:pPr>
              <w:pStyle w:val="1238"/>
              <w:spacing w:line="320" w:lineRule="exact"/>
            </w:pPr>
            <w:r>
              <w:t xml:space="preserve">2</w:t>
            </w:r>
            <w:r>
              <w:t xml:space="preserve">、需要夜间巡查时，根据要求及时到场处理突发环境事件并做好反馈工作</w:t>
            </w:r>
            <w:r/>
          </w:p>
        </w:tc>
        <w:tc>
          <w:tcPr>
            <w:tcW w:w="851" w:type="dxa"/>
            <w:vAlign w:val="center"/>
            <w:textDirection w:val="lrTb"/>
            <w:noWrap w:val="false"/>
          </w:tcPr>
          <w:p>
            <w:pPr>
              <w:pStyle w:val="1238"/>
              <w:jc w:val="center"/>
              <w:spacing w:line="320" w:lineRule="exact"/>
            </w:pPr>
            <w:r>
              <w:t xml:space="preserve">4</w:t>
            </w:r>
            <w:r>
              <w:t xml:space="preserve">分</w:t>
            </w:r>
            <w:r/>
          </w:p>
        </w:tc>
        <w:tc>
          <w:tcPr>
            <w:tcW w:w="3083" w:type="dxa"/>
            <w:vAlign w:val="center"/>
            <w:textDirection w:val="lrTb"/>
            <w:noWrap w:val="false"/>
          </w:tcPr>
          <w:p>
            <w:pPr>
              <w:pStyle w:val="1238"/>
              <w:spacing w:line="320" w:lineRule="exact"/>
            </w:pPr>
            <w:r>
              <w:t xml:space="preserve">响应不及时扣</w:t>
            </w:r>
            <w:r>
              <w:t xml:space="preserve">0.5</w:t>
            </w:r>
            <w:r>
              <w:t xml:space="preserve">分；</w:t>
            </w:r>
            <w:r/>
          </w:p>
          <w:p>
            <w:pPr>
              <w:pStyle w:val="1238"/>
              <w:spacing w:line="320" w:lineRule="exact"/>
            </w:pPr>
            <w:r>
              <w:t xml:space="preserve">未巡查扣</w:t>
            </w:r>
            <w:r>
              <w:t xml:space="preserve">1</w:t>
            </w:r>
            <w:r>
              <w:t xml:space="preserve">分</w:t>
            </w:r>
            <w:r/>
          </w:p>
        </w:tc>
        <w:tc>
          <w:tcPr>
            <w:tcW w:w="567" w:type="dxa"/>
            <w:vAlign w:val="center"/>
            <w:textDirection w:val="lrTb"/>
            <w:noWrap w:val="false"/>
          </w:tcPr>
          <w:p>
            <w:pPr>
              <w:pStyle w:val="1238"/>
              <w:spacing w:line="320" w:lineRule="exact"/>
            </w:pPr>
            <w:r/>
            <w:r/>
          </w:p>
        </w:tc>
      </w:tr>
      <w:tr>
        <w:trPr>
          <w:jc w:val="center"/>
          <w:trHeight w:val="648"/>
        </w:trPr>
        <w:tc>
          <w:tcPr>
            <w:gridSpan w:val="2"/>
            <w:tcW w:w="2267" w:type="dxa"/>
            <w:vAlign w:val="center"/>
            <w:vMerge w:val="continue"/>
            <w:textDirection w:val="lrTb"/>
            <w:noWrap w:val="false"/>
          </w:tcPr>
          <w:p>
            <w:pPr>
              <w:jc w:val="center"/>
              <w:spacing w:line="320" w:lineRule="exact"/>
              <w:rPr>
                <w:sz w:val="2"/>
                <w:szCs w:val="2"/>
              </w:rPr>
            </w:pPr>
            <w:r>
              <w:rPr>
                <w:sz w:val="2"/>
                <w:szCs w:val="2"/>
              </w:rPr>
            </w:r>
            <w:r/>
          </w:p>
        </w:tc>
        <w:tc>
          <w:tcPr>
            <w:tcW w:w="3540" w:type="dxa"/>
            <w:vAlign w:val="center"/>
            <w:textDirection w:val="lrTb"/>
            <w:noWrap w:val="false"/>
          </w:tcPr>
          <w:p>
            <w:pPr>
              <w:pStyle w:val="1238"/>
              <w:spacing w:line="320" w:lineRule="exact"/>
            </w:pPr>
            <w:r>
              <w:t xml:space="preserve">3</w:t>
            </w:r>
            <w:r>
              <w:t xml:space="preserve">、周末及节假日需要值班工作时，及时上报值班表并组织专人专班</w:t>
            </w:r>
            <w:r/>
          </w:p>
        </w:tc>
        <w:tc>
          <w:tcPr>
            <w:tcW w:w="851" w:type="dxa"/>
            <w:vAlign w:val="center"/>
            <w:textDirection w:val="lrTb"/>
            <w:noWrap w:val="false"/>
          </w:tcPr>
          <w:p>
            <w:pPr>
              <w:pStyle w:val="1238"/>
              <w:jc w:val="center"/>
              <w:spacing w:line="320" w:lineRule="exact"/>
            </w:pPr>
            <w:r>
              <w:t xml:space="preserve">4</w:t>
            </w:r>
            <w:r>
              <w:t xml:space="preserve">分</w:t>
            </w:r>
            <w:r/>
          </w:p>
        </w:tc>
        <w:tc>
          <w:tcPr>
            <w:tcW w:w="3083" w:type="dxa"/>
            <w:vAlign w:val="center"/>
            <w:textDirection w:val="lrTb"/>
            <w:noWrap w:val="false"/>
          </w:tcPr>
          <w:p>
            <w:pPr>
              <w:pStyle w:val="1238"/>
              <w:spacing w:line="320" w:lineRule="exact"/>
            </w:pPr>
            <w:r>
              <w:rPr>
                <w:rFonts w:hint="eastAsia"/>
                <w:szCs w:val="21"/>
              </w:rPr>
              <w:t xml:space="preserve">值班迟到一次扣</w:t>
            </w:r>
            <w:r>
              <w:rPr>
                <w:rFonts w:hint="eastAsia"/>
                <w:szCs w:val="21"/>
              </w:rPr>
              <w:t xml:space="preserve">0.5</w:t>
            </w:r>
            <w:r>
              <w:rPr>
                <w:rFonts w:hint="eastAsia"/>
                <w:szCs w:val="21"/>
              </w:rPr>
              <w:t xml:space="preserve">分；</w:t>
            </w:r>
            <w:r>
              <w:t xml:space="preserve">未值班扣</w:t>
            </w:r>
            <w:r>
              <w:t xml:space="preserve">1</w:t>
            </w:r>
            <w:r>
              <w:t xml:space="preserve">分</w:t>
            </w:r>
            <w:r/>
          </w:p>
        </w:tc>
        <w:tc>
          <w:tcPr>
            <w:tcW w:w="567" w:type="dxa"/>
            <w:vAlign w:val="center"/>
            <w:textDirection w:val="lrTb"/>
            <w:noWrap w:val="false"/>
          </w:tcPr>
          <w:p>
            <w:pPr>
              <w:pStyle w:val="1238"/>
              <w:spacing w:line="320" w:lineRule="exact"/>
              <w:rPr>
                <w:b/>
                <w:sz w:val="14"/>
              </w:rPr>
            </w:pPr>
            <w:r>
              <w:rPr>
                <w:b/>
                <w:sz w:val="14"/>
              </w:rPr>
            </w:r>
            <w:r/>
          </w:p>
          <w:p>
            <w:pPr>
              <w:pStyle w:val="1238"/>
              <w:spacing w:line="320" w:lineRule="exact"/>
            </w:pPr>
            <w:r/>
            <w:r/>
          </w:p>
        </w:tc>
      </w:tr>
      <w:tr>
        <w:trPr>
          <w:jc w:val="center"/>
          <w:trHeight w:val="256"/>
        </w:trPr>
        <w:tc>
          <w:tcPr>
            <w:gridSpan w:val="2"/>
            <w:tcW w:w="2267" w:type="dxa"/>
            <w:vAlign w:val="center"/>
            <w:vMerge w:val="continue"/>
            <w:textDirection w:val="lrTb"/>
            <w:noWrap w:val="false"/>
          </w:tcPr>
          <w:p>
            <w:pPr>
              <w:jc w:val="center"/>
              <w:spacing w:line="320" w:lineRule="exact"/>
              <w:rPr>
                <w:sz w:val="2"/>
                <w:szCs w:val="2"/>
              </w:rPr>
            </w:pPr>
            <w:r>
              <w:rPr>
                <w:sz w:val="2"/>
                <w:szCs w:val="2"/>
              </w:rPr>
            </w:r>
            <w:r/>
          </w:p>
        </w:tc>
        <w:tc>
          <w:tcPr>
            <w:tcW w:w="3540" w:type="dxa"/>
            <w:vAlign w:val="center"/>
            <w:textDirection w:val="lrTb"/>
            <w:noWrap w:val="false"/>
          </w:tcPr>
          <w:p>
            <w:pPr>
              <w:pStyle w:val="1238"/>
              <w:spacing w:line="320" w:lineRule="exact"/>
            </w:pPr>
            <w:r>
              <w:t xml:space="preserve">4</w:t>
            </w:r>
            <w:r>
              <w:t xml:space="preserve">、合理调配车辆，及时响应</w:t>
            </w:r>
            <w:r>
              <w:t xml:space="preserve">“</w:t>
            </w:r>
            <w:r>
              <w:t xml:space="preserve">看现场</w:t>
            </w:r>
            <w:r>
              <w:t xml:space="preserve">”</w:t>
            </w:r>
            <w:r>
              <w:t xml:space="preserve">车辆需求</w:t>
            </w:r>
            <w:r/>
          </w:p>
        </w:tc>
        <w:tc>
          <w:tcPr>
            <w:tcW w:w="851" w:type="dxa"/>
            <w:vAlign w:val="center"/>
            <w:textDirection w:val="lrTb"/>
            <w:noWrap w:val="false"/>
          </w:tcPr>
          <w:p>
            <w:pPr>
              <w:pStyle w:val="1238"/>
              <w:jc w:val="center"/>
              <w:spacing w:line="320" w:lineRule="exact"/>
            </w:pPr>
            <w:r>
              <w:t xml:space="preserve">4</w:t>
            </w:r>
            <w:r>
              <w:t xml:space="preserve">分</w:t>
            </w:r>
            <w:r/>
          </w:p>
        </w:tc>
        <w:tc>
          <w:tcPr>
            <w:tcW w:w="3083" w:type="dxa"/>
            <w:vAlign w:val="center"/>
            <w:textDirection w:val="lrTb"/>
            <w:noWrap w:val="false"/>
          </w:tcPr>
          <w:p>
            <w:pPr>
              <w:pStyle w:val="1238"/>
              <w:spacing w:line="320" w:lineRule="exact"/>
            </w:pPr>
            <w:r>
              <w:t xml:space="preserve">车辆调配不及时一次扣</w:t>
            </w:r>
            <w:r>
              <w:t xml:space="preserve">0.5 </w:t>
            </w:r>
            <w:r>
              <w:t xml:space="preserve">分；无车辆配合工作一次扣</w:t>
            </w:r>
            <w:r>
              <w:t xml:space="preserve"> 2</w:t>
            </w:r>
            <w:r>
              <w:t xml:space="preserve">分</w:t>
            </w:r>
            <w:r/>
          </w:p>
        </w:tc>
        <w:tc>
          <w:tcPr>
            <w:tcW w:w="567" w:type="dxa"/>
            <w:vAlign w:val="center"/>
            <w:textDirection w:val="lrTb"/>
            <w:noWrap w:val="false"/>
          </w:tcPr>
          <w:p>
            <w:pPr>
              <w:pStyle w:val="1238"/>
              <w:spacing w:line="320" w:lineRule="exact"/>
            </w:pPr>
            <w:r/>
            <w:r/>
          </w:p>
        </w:tc>
      </w:tr>
      <w:tr>
        <w:trPr>
          <w:jc w:val="center"/>
          <w:trHeight w:val="128"/>
        </w:trPr>
        <w:tc>
          <w:tcPr>
            <w:gridSpan w:val="2"/>
            <w:tcW w:w="2267" w:type="dxa"/>
            <w:vAlign w:val="center"/>
            <w:vMerge w:val="continue"/>
            <w:textDirection w:val="lrTb"/>
            <w:noWrap w:val="false"/>
          </w:tcPr>
          <w:p>
            <w:pPr>
              <w:jc w:val="center"/>
              <w:spacing w:line="320" w:lineRule="exact"/>
              <w:rPr>
                <w:sz w:val="2"/>
                <w:szCs w:val="2"/>
              </w:rPr>
            </w:pPr>
            <w:r>
              <w:rPr>
                <w:sz w:val="2"/>
                <w:szCs w:val="2"/>
              </w:rPr>
            </w:r>
            <w:r/>
          </w:p>
        </w:tc>
        <w:tc>
          <w:tcPr>
            <w:tcW w:w="3540" w:type="dxa"/>
            <w:vAlign w:val="center"/>
            <w:textDirection w:val="lrTb"/>
            <w:noWrap w:val="false"/>
          </w:tcPr>
          <w:p>
            <w:pPr>
              <w:pStyle w:val="1238"/>
              <w:spacing w:line="320" w:lineRule="exact"/>
              <w:rPr>
                <w:rFonts w:hint="eastAsia" w:ascii="宋体" w:hAnsi="宋体" w:cs="宋体"/>
                <w:szCs w:val="21"/>
              </w:rPr>
            </w:pPr>
            <w:r>
              <w:rPr>
                <w:rFonts w:ascii="宋体" w:hAnsi="宋体" w:cs="宋体"/>
                <w:szCs w:val="21"/>
              </w:rPr>
              <w:t xml:space="preserve">5、其他未尽事项，以具体工作要求为准</w:t>
            </w:r>
            <w:r/>
          </w:p>
        </w:tc>
        <w:tc>
          <w:tcPr>
            <w:tcW w:w="851" w:type="dxa"/>
            <w:vAlign w:val="center"/>
            <w:textDirection w:val="lrTb"/>
            <w:noWrap w:val="false"/>
          </w:tcPr>
          <w:p>
            <w:pPr>
              <w:pStyle w:val="1238"/>
              <w:jc w:val="center"/>
              <w:spacing w:line="320" w:lineRule="exact"/>
              <w:rPr>
                <w:rFonts w:hint="eastAsia" w:ascii="宋体" w:hAnsi="宋体" w:cs="宋体"/>
                <w:szCs w:val="21"/>
              </w:rPr>
            </w:pPr>
            <w:r>
              <w:rPr>
                <w:rFonts w:ascii="宋体" w:hAnsi="宋体" w:cs="宋体"/>
                <w:szCs w:val="21"/>
              </w:rPr>
              <w:t xml:space="preserve">4分</w:t>
            </w:r>
            <w:r/>
          </w:p>
        </w:tc>
        <w:tc>
          <w:tcPr>
            <w:tcW w:w="3083" w:type="dxa"/>
            <w:vAlign w:val="center"/>
            <w:textDirection w:val="lrTb"/>
            <w:noWrap w:val="false"/>
          </w:tcPr>
          <w:p>
            <w:pPr>
              <w:pStyle w:val="1238"/>
              <w:spacing w:line="320" w:lineRule="exact"/>
              <w:rPr>
                <w:rFonts w:hint="eastAsia" w:ascii="宋体" w:hAnsi="宋体" w:cs="宋体"/>
                <w:szCs w:val="21"/>
              </w:rPr>
            </w:pPr>
            <w:r>
              <w:rPr>
                <w:rFonts w:hint="eastAsia" w:ascii="宋体" w:hAnsi="宋体" w:cs="宋体"/>
                <w:szCs w:val="21"/>
              </w:rPr>
              <w:t xml:space="preserve">根据具体事项酌情扣分</w:t>
            </w:r>
            <w:r/>
          </w:p>
        </w:tc>
        <w:tc>
          <w:tcPr>
            <w:tcW w:w="567" w:type="dxa"/>
            <w:vAlign w:val="center"/>
            <w:textDirection w:val="lrTb"/>
            <w:noWrap w:val="false"/>
          </w:tcPr>
          <w:p>
            <w:pPr>
              <w:pStyle w:val="1238"/>
              <w:spacing w:line="320" w:lineRule="exact"/>
              <w:rPr>
                <w:b/>
                <w:sz w:val="24"/>
              </w:rPr>
            </w:pPr>
            <w:r>
              <w:rPr>
                <w:b/>
                <w:sz w:val="24"/>
              </w:rPr>
            </w:r>
            <w:r/>
          </w:p>
          <w:p>
            <w:pPr>
              <w:pStyle w:val="1238"/>
              <w:spacing w:line="320" w:lineRule="exact"/>
            </w:pPr>
            <w:r/>
            <w:r/>
          </w:p>
        </w:tc>
      </w:tr>
      <w:tr>
        <w:trPr>
          <w:jc w:val="center"/>
          <w:trHeight w:val="2745"/>
        </w:trPr>
        <w:tc>
          <w:tcPr>
            <w:tcW w:w="1276" w:type="dxa"/>
            <w:vAlign w:val="center"/>
            <w:vMerge w:val="restart"/>
            <w:textDirection w:val="lrTb"/>
            <w:noWrap w:val="false"/>
          </w:tcPr>
          <w:p>
            <w:pPr>
              <w:pStyle w:val="1238"/>
              <w:jc w:val="center"/>
              <w:spacing w:line="320" w:lineRule="exact"/>
            </w:pPr>
            <w:r>
              <w:rPr>
                <w:rFonts w:hint="eastAsia"/>
              </w:rPr>
              <w:t xml:space="preserve">工作情况管理</w:t>
            </w:r>
            <w:r>
              <w:t xml:space="preserve">（</w:t>
            </w:r>
            <w:r>
              <w:rPr>
                <w:rFonts w:hint="eastAsia"/>
              </w:rPr>
              <w:t xml:space="preserve">7</w:t>
            </w:r>
            <w:r>
              <w:t xml:space="preserve">0</w:t>
            </w:r>
            <w:r>
              <w:t xml:space="preserve">分</w:t>
            </w:r>
            <w:r>
              <w:rPr>
                <w:spacing w:val="-3"/>
              </w:rPr>
              <w:t xml:space="preserve">）</w:t>
            </w:r>
            <w:r/>
          </w:p>
        </w:tc>
        <w:tc>
          <w:tcPr>
            <w:tcW w:w="991" w:type="dxa"/>
            <w:vAlign w:val="center"/>
            <w:textDirection w:val="lrTb"/>
            <w:noWrap w:val="false"/>
          </w:tcPr>
          <w:p>
            <w:pPr>
              <w:pStyle w:val="1238"/>
              <w:ind w:hanging="104"/>
              <w:jc w:val="center"/>
              <w:spacing w:line="320" w:lineRule="exact"/>
              <w:rPr>
                <w:spacing w:val="-1"/>
              </w:rPr>
            </w:pPr>
            <w:r>
              <w:t xml:space="preserve">污染防</w:t>
            </w:r>
            <w:r>
              <w:rPr>
                <w:spacing w:val="-1"/>
              </w:rPr>
              <w:t xml:space="preserve">治</w:t>
            </w:r>
            <w:r/>
          </w:p>
          <w:p>
            <w:pPr>
              <w:pStyle w:val="1238"/>
              <w:ind w:hanging="104"/>
              <w:jc w:val="center"/>
              <w:spacing w:line="320" w:lineRule="exact"/>
            </w:pPr>
            <w:r>
              <w:rPr>
                <w:spacing w:val="-1"/>
              </w:rPr>
              <w:t xml:space="preserve">监管</w:t>
            </w:r>
            <w:r/>
          </w:p>
          <w:p>
            <w:pPr>
              <w:pStyle w:val="1238"/>
              <w:ind w:hanging="104"/>
              <w:jc w:val="center"/>
              <w:spacing w:line="320" w:lineRule="exact"/>
            </w:pPr>
            <w:r>
              <w:t xml:space="preserve">（</w:t>
            </w:r>
            <w:r>
              <w:t xml:space="preserve">35</w:t>
            </w:r>
            <w:r>
              <w:t xml:space="preserve">分</w:t>
            </w:r>
            <w:r>
              <w:rPr>
                <w:spacing w:val="-3"/>
              </w:rPr>
              <w:t xml:space="preserve">）</w:t>
            </w:r>
            <w:r/>
          </w:p>
        </w:tc>
        <w:tc>
          <w:tcPr>
            <w:tcW w:w="3540" w:type="dxa"/>
            <w:vAlign w:val="center"/>
            <w:textDirection w:val="lrTb"/>
            <w:noWrap w:val="false"/>
          </w:tcPr>
          <w:p>
            <w:pPr>
              <w:pStyle w:val="1238"/>
              <w:spacing w:line="320" w:lineRule="exact"/>
            </w:pPr>
            <w:r>
              <w:t xml:space="preserve">1</w:t>
            </w:r>
            <w:r>
              <w:rPr>
                <w:spacing w:val="-3"/>
              </w:rPr>
              <w:t xml:space="preserve">、园区大气环境日常监管管理</w:t>
            </w:r>
            <w:r>
              <w:rPr>
                <w:spacing w:val="-3"/>
              </w:rPr>
              <w:t xml:space="preserve">,</w:t>
            </w:r>
            <w:r>
              <w:rPr>
                <w:spacing w:val="-3"/>
              </w:rPr>
              <w:t xml:space="preserve">针对涉及产生排放废气企业的日常管控（</w:t>
            </w:r>
            <w:r>
              <w:rPr>
                <w:spacing w:val="-6"/>
              </w:rPr>
              <w:t xml:space="preserve">包含园</w:t>
            </w:r>
            <w:r>
              <w:rPr>
                <w:spacing w:val="-14"/>
              </w:rPr>
              <w:t xml:space="preserve">区企业</w:t>
            </w:r>
            <w:r>
              <w:rPr>
                <w:rFonts w:hint="eastAsia"/>
                <w:szCs w:val="21"/>
              </w:rPr>
              <w:t xml:space="preserve">O</w:t>
            </w:r>
            <w:r>
              <w:rPr>
                <w:rFonts w:hint="eastAsia"/>
                <w:szCs w:val="21"/>
                <w:vertAlign w:val="subscript"/>
              </w:rPr>
              <w:t xml:space="preserve">3</w:t>
            </w:r>
            <w:r>
              <w:rPr>
                <w:rFonts w:hint="eastAsia"/>
                <w:szCs w:val="21"/>
              </w:rPr>
              <w:t xml:space="preserve">、</w:t>
            </w:r>
            <w:r>
              <w:rPr>
                <w:rFonts w:hint="eastAsia"/>
                <w:szCs w:val="21"/>
              </w:rPr>
              <w:t xml:space="preserve">PM2.5</w:t>
            </w:r>
            <w:r>
              <w:rPr>
                <w:rFonts w:hint="eastAsia"/>
                <w:szCs w:val="21"/>
              </w:rPr>
              <w:t xml:space="preserve">、</w:t>
            </w:r>
            <w:r>
              <w:t xml:space="preserve">VOCs</w:t>
            </w:r>
            <w:r>
              <w:rPr>
                <w:spacing w:val="-10"/>
              </w:rPr>
              <w:t xml:space="preserve">整治工作、企</w:t>
            </w:r>
            <w:r>
              <w:rPr>
                <w:spacing w:val="-5"/>
              </w:rPr>
              <w:t xml:space="preserve">业提标改造工程等专项工作），收集相关运行维护台</w:t>
            </w:r>
            <w:r>
              <w:t xml:space="preserve">账；</w:t>
            </w:r>
            <w:r/>
          </w:p>
          <w:p>
            <w:pPr>
              <w:pStyle w:val="1238"/>
              <w:spacing w:line="320" w:lineRule="exact"/>
            </w:pPr>
            <w:r>
              <w:t xml:space="preserve">2</w:t>
            </w:r>
            <w:r>
              <w:t xml:space="preserve">、园区水污染企业的日常监管工作，针对产生排放生产废水企业的日常管控（包含企业提标改造工程等）</w:t>
            </w:r>
            <w:r>
              <w:rPr>
                <w:rFonts w:hint="eastAsia"/>
              </w:rPr>
              <w:t xml:space="preserve">，</w:t>
            </w:r>
            <w:r>
              <w:t xml:space="preserve">收集相关运行维护台账；</w:t>
            </w:r>
            <w:r/>
          </w:p>
          <w:p>
            <w:pPr>
              <w:pStyle w:val="1238"/>
              <w:spacing w:line="320" w:lineRule="exact"/>
            </w:pPr>
            <w:r>
              <w:t xml:space="preserve">3</w:t>
            </w:r>
            <w:r>
              <w:t xml:space="preserve">、园区涉及噪音污染企业的日常监管工作，针对涉及噪音污染企业的日常管控</w:t>
            </w:r>
            <w:r>
              <w:t xml:space="preserve">,</w:t>
            </w:r>
            <w:r>
              <w:t xml:space="preserve">收集相关运行维护台账；</w:t>
            </w:r>
            <w:r/>
          </w:p>
          <w:p>
            <w:pPr>
              <w:pStyle w:val="1238"/>
              <w:spacing w:line="320" w:lineRule="exact"/>
            </w:pPr>
            <w:r>
              <w:t xml:space="preserve">4</w:t>
            </w:r>
            <w:r>
              <w:t xml:space="preserve">、园区企业固体废弃物日常监管管理</w:t>
            </w:r>
            <w:r>
              <w:t xml:space="preserve">,</w:t>
            </w:r>
            <w:r>
              <w:t xml:space="preserve">对产生固废、危险废物企事业单位从固废产生、贮存、转移、处置的全过程进行监管，收集相关运行维护台账</w:t>
            </w:r>
            <w:r>
              <w:rPr>
                <w:rFonts w:hint="eastAsia"/>
              </w:rPr>
              <w:t xml:space="preserve">；</w:t>
            </w:r>
            <w:r/>
          </w:p>
        </w:tc>
        <w:tc>
          <w:tcPr>
            <w:tcW w:w="851" w:type="dxa"/>
            <w:vAlign w:val="center"/>
            <w:textDirection w:val="lrTb"/>
            <w:noWrap w:val="false"/>
          </w:tcPr>
          <w:p>
            <w:pPr>
              <w:pStyle w:val="1238"/>
              <w:jc w:val="center"/>
              <w:spacing w:line="320" w:lineRule="exact"/>
            </w:pPr>
            <w:r>
              <w:t xml:space="preserve">35</w:t>
            </w:r>
            <w:r>
              <w:t xml:space="preserve">分</w:t>
            </w:r>
            <w:r/>
          </w:p>
        </w:tc>
        <w:tc>
          <w:tcPr>
            <w:tcW w:w="3083" w:type="dxa"/>
            <w:vAlign w:val="center"/>
            <w:textDirection w:val="lrTb"/>
            <w:noWrap w:val="false"/>
          </w:tcPr>
          <w:p>
            <w:pPr>
              <w:pStyle w:val="1238"/>
              <w:spacing w:line="320" w:lineRule="exact"/>
            </w:pPr>
            <w:r>
              <w:rPr>
                <w:spacing w:val="-9"/>
              </w:rPr>
              <w:t xml:space="preserve">每季度完成不少于</w:t>
            </w:r>
            <w:r>
              <w:t xml:space="preserve">35</w:t>
            </w:r>
            <w:r>
              <w:rPr>
                <w:spacing w:val="-32"/>
              </w:rPr>
              <w:t xml:space="preserve">家</w:t>
            </w:r>
            <w:r>
              <w:rPr>
                <w:spacing w:val="-3"/>
              </w:rPr>
              <w:t xml:space="preserve">企业日常巡查工作，并记录相关问题形成巡查记录表</w:t>
            </w:r>
            <w:r>
              <w:t xml:space="preserve">（</w:t>
            </w:r>
            <w:r>
              <w:rPr>
                <w:spacing w:val="-3"/>
              </w:rPr>
              <w:t xml:space="preserve">附带水印照片）及时反馈。少一次</w:t>
            </w:r>
            <w:r>
              <w:rPr>
                <w:spacing w:val="-27"/>
              </w:rPr>
              <w:t xml:space="preserve">扣</w:t>
            </w:r>
            <w:r>
              <w:rPr>
                <w:spacing w:val="-27"/>
              </w:rPr>
              <w:t xml:space="preserve"> </w:t>
            </w:r>
            <w:r>
              <w:t xml:space="preserve">0.5</w:t>
            </w:r>
            <w:r>
              <w:rPr>
                <w:spacing w:val="-9"/>
              </w:rPr>
              <w:t xml:space="preserve">分，台账缺失扣</w:t>
            </w:r>
            <w:r>
              <w:t xml:space="preserve">0.5</w:t>
            </w:r>
            <w:r>
              <w:t xml:space="preserve">分</w:t>
            </w:r>
            <w:r/>
          </w:p>
        </w:tc>
        <w:tc>
          <w:tcPr>
            <w:tcW w:w="567" w:type="dxa"/>
            <w:vAlign w:val="center"/>
            <w:textDirection w:val="lrTb"/>
            <w:noWrap w:val="false"/>
          </w:tcPr>
          <w:p>
            <w:pPr>
              <w:pStyle w:val="1238"/>
              <w:spacing w:line="320" w:lineRule="exact"/>
            </w:pPr>
            <w:r/>
            <w:r/>
          </w:p>
        </w:tc>
      </w:tr>
      <w:tr>
        <w:trPr>
          <w:jc w:val="center"/>
          <w:trHeight w:val="70"/>
        </w:trPr>
        <w:tc>
          <w:tcPr>
            <w:tcW w:w="1276" w:type="dxa"/>
            <w:vAlign w:val="center"/>
            <w:vMerge w:val="continue"/>
            <w:textDirection w:val="lrTb"/>
            <w:noWrap w:val="false"/>
          </w:tcPr>
          <w:p>
            <w:pPr>
              <w:pStyle w:val="1238"/>
              <w:jc w:val="center"/>
              <w:spacing w:line="320" w:lineRule="exact"/>
            </w:pPr>
            <w:r/>
            <w:r/>
          </w:p>
        </w:tc>
        <w:tc>
          <w:tcPr>
            <w:tcW w:w="991" w:type="dxa"/>
            <w:vAlign w:val="center"/>
            <w:vMerge w:val="restart"/>
            <w:textDirection w:val="lrTb"/>
            <w:noWrap w:val="false"/>
          </w:tcPr>
          <w:p>
            <w:pPr>
              <w:pStyle w:val="1238"/>
              <w:jc w:val="center"/>
              <w:spacing w:line="320" w:lineRule="exact"/>
            </w:pPr>
            <w:r>
              <w:t xml:space="preserve">环境管理</w:t>
            </w:r>
            <w:r/>
          </w:p>
          <w:p>
            <w:pPr>
              <w:pStyle w:val="1238"/>
              <w:ind w:hanging="104"/>
              <w:jc w:val="center"/>
              <w:spacing w:line="320" w:lineRule="exact"/>
            </w:pPr>
            <w:r>
              <w:t xml:space="preserve">（</w:t>
            </w:r>
            <w:r>
              <w:t xml:space="preserve">2</w:t>
            </w:r>
            <w:r>
              <w:rPr>
                <w:rFonts w:hint="eastAsia"/>
              </w:rPr>
              <w:t xml:space="preserve">0</w:t>
            </w:r>
            <w:r>
              <w:t xml:space="preserve">分</w:t>
            </w:r>
            <w:r>
              <w:rPr>
                <w:spacing w:val="-3"/>
              </w:rPr>
              <w:t xml:space="preserve">）</w:t>
            </w:r>
            <w:r/>
          </w:p>
        </w:tc>
        <w:tc>
          <w:tcPr>
            <w:tcW w:w="3540" w:type="dxa"/>
            <w:vAlign w:val="center"/>
            <w:textDirection w:val="lrTb"/>
            <w:noWrap w:val="false"/>
          </w:tcPr>
          <w:p>
            <w:pPr>
              <w:pStyle w:val="1238"/>
              <w:spacing w:line="320" w:lineRule="exact"/>
            </w:pPr>
            <w:r>
              <w:rPr>
                <w:rFonts w:hint="eastAsia"/>
              </w:rPr>
              <w:t xml:space="preserve">1</w:t>
            </w:r>
            <w:r>
              <w:t xml:space="preserve">、及时完成驻园企业</w:t>
            </w:r>
            <w:r>
              <w:t xml:space="preserve">“</w:t>
            </w:r>
            <w:r>
              <w:t xml:space="preserve">一企一档</w:t>
            </w:r>
            <w:r>
              <w:t xml:space="preserve">”</w:t>
            </w:r>
            <w:r>
              <w:t xml:space="preserve">的档案更新、完善工作</w:t>
            </w:r>
            <w:r>
              <w:rPr>
                <w:rFonts w:hint="eastAsia"/>
              </w:rPr>
              <w:t xml:space="preserve">，</w:t>
            </w:r>
            <w:r>
              <w:t xml:space="preserve">要求收集好各企业环保相关材料，做到台账资料全面，台账目录清晰完善（包含新企业入驻档案、老企业新项目材料等）</w:t>
            </w:r>
            <w:r/>
          </w:p>
        </w:tc>
        <w:tc>
          <w:tcPr>
            <w:tcW w:w="851" w:type="dxa"/>
            <w:vAlign w:val="center"/>
            <w:textDirection w:val="lrTb"/>
            <w:noWrap w:val="false"/>
          </w:tcPr>
          <w:p>
            <w:pPr>
              <w:pStyle w:val="1238"/>
              <w:jc w:val="center"/>
              <w:spacing w:line="320" w:lineRule="exact"/>
            </w:pPr>
            <w:r>
              <w:t xml:space="preserve">1</w:t>
            </w:r>
            <w:r>
              <w:rPr>
                <w:rFonts w:hint="eastAsia"/>
              </w:rPr>
              <w:t xml:space="preserve">0</w:t>
            </w:r>
            <w:r>
              <w:t xml:space="preserve">分</w:t>
            </w:r>
            <w:r/>
          </w:p>
        </w:tc>
        <w:tc>
          <w:tcPr>
            <w:tcW w:w="3083" w:type="dxa"/>
            <w:vAlign w:val="center"/>
            <w:textDirection w:val="lrTb"/>
            <w:noWrap w:val="false"/>
          </w:tcPr>
          <w:p>
            <w:pPr>
              <w:pStyle w:val="1238"/>
              <w:spacing w:line="320" w:lineRule="exact"/>
              <w:rPr>
                <w:spacing w:val="-9"/>
              </w:rPr>
            </w:pPr>
            <w:r>
              <w:rPr>
                <w:rFonts w:hint="eastAsia"/>
                <w:szCs w:val="21"/>
              </w:rPr>
              <w:t xml:space="preserve">企业台账资料不全扣</w:t>
            </w:r>
            <w:r>
              <w:rPr>
                <w:rFonts w:hint="eastAsia"/>
                <w:szCs w:val="21"/>
              </w:rPr>
              <w:t xml:space="preserve">1</w:t>
            </w:r>
            <w:r>
              <w:rPr>
                <w:rFonts w:hint="eastAsia"/>
                <w:szCs w:val="21"/>
              </w:rPr>
              <w:t xml:space="preserve">分</w:t>
            </w:r>
            <w:r>
              <w:rPr>
                <w:rFonts w:hint="eastAsia"/>
                <w:szCs w:val="21"/>
              </w:rPr>
              <w:t xml:space="preserve">/</w:t>
            </w:r>
            <w:r>
              <w:rPr>
                <w:rFonts w:hint="eastAsia"/>
                <w:szCs w:val="21"/>
              </w:rPr>
              <w:t xml:space="preserve">家；台账目录不全一例扣</w:t>
            </w:r>
            <w:r>
              <w:rPr>
                <w:rFonts w:hint="eastAsia"/>
                <w:szCs w:val="21"/>
              </w:rPr>
              <w:t xml:space="preserve">1</w:t>
            </w:r>
            <w:r>
              <w:rPr>
                <w:rFonts w:hint="eastAsia"/>
                <w:szCs w:val="21"/>
              </w:rPr>
              <w:t xml:space="preserve">分</w:t>
            </w:r>
            <w:r>
              <w:rPr>
                <w:rFonts w:hint="eastAsia"/>
                <w:szCs w:val="21"/>
              </w:rPr>
              <w:t xml:space="preserve">/</w:t>
            </w:r>
            <w:r>
              <w:rPr>
                <w:rFonts w:hint="eastAsia"/>
                <w:szCs w:val="21"/>
              </w:rPr>
              <w:t xml:space="preserve">家</w:t>
            </w:r>
            <w:r/>
          </w:p>
        </w:tc>
        <w:tc>
          <w:tcPr>
            <w:tcW w:w="567" w:type="dxa"/>
            <w:vAlign w:val="center"/>
            <w:textDirection w:val="lrTb"/>
            <w:noWrap w:val="false"/>
          </w:tcPr>
          <w:p>
            <w:pPr>
              <w:pStyle w:val="1238"/>
              <w:spacing w:line="320" w:lineRule="exact"/>
            </w:pPr>
            <w:r/>
            <w:r/>
          </w:p>
        </w:tc>
      </w:tr>
      <w:tr>
        <w:trPr>
          <w:jc w:val="center"/>
          <w:trHeight w:val="361"/>
        </w:trPr>
        <w:tc>
          <w:tcPr>
            <w:tcW w:w="1276" w:type="dxa"/>
            <w:vAlign w:val="center"/>
            <w:vMerge w:val="continue"/>
            <w:textDirection w:val="lrTb"/>
            <w:noWrap w:val="false"/>
          </w:tcPr>
          <w:p>
            <w:pPr>
              <w:pStyle w:val="1238"/>
              <w:jc w:val="center"/>
              <w:spacing w:line="320" w:lineRule="exact"/>
            </w:pPr>
            <w:r/>
            <w:r/>
          </w:p>
        </w:tc>
        <w:tc>
          <w:tcPr>
            <w:tcW w:w="991" w:type="dxa"/>
            <w:vAlign w:val="center"/>
            <w:vMerge w:val="continue"/>
            <w:textDirection w:val="lrTb"/>
            <w:noWrap w:val="false"/>
          </w:tcPr>
          <w:p>
            <w:pPr>
              <w:pStyle w:val="1238"/>
              <w:ind w:hanging="104"/>
              <w:jc w:val="center"/>
              <w:spacing w:line="320" w:lineRule="exact"/>
            </w:pPr>
            <w:r/>
            <w:r/>
          </w:p>
        </w:tc>
        <w:tc>
          <w:tcPr>
            <w:tcW w:w="3540" w:type="dxa"/>
            <w:vAlign w:val="center"/>
            <w:textDirection w:val="lrTb"/>
            <w:noWrap w:val="false"/>
          </w:tcPr>
          <w:p>
            <w:pPr>
              <w:pStyle w:val="1238"/>
              <w:spacing w:line="320" w:lineRule="exact"/>
            </w:pPr>
            <w:r>
              <w:rPr>
                <w:rFonts w:hint="eastAsia"/>
              </w:rPr>
              <w:t xml:space="preserve">2</w:t>
            </w:r>
            <w:r>
              <w:rPr>
                <w:spacing w:val="-3"/>
              </w:rPr>
              <w:t xml:space="preserve">、发生突发环境事件（</w:t>
            </w:r>
            <w:r>
              <w:t xml:space="preserve">包</w:t>
            </w:r>
            <w:r>
              <w:rPr>
                <w:spacing w:val="-4"/>
              </w:rPr>
              <w:t xml:space="preserve">含大气热点网格报警处理、</w:t>
            </w:r>
            <w:r>
              <w:t xml:space="preserve">12345</w:t>
            </w:r>
            <w:r>
              <w:rPr>
                <w:spacing w:val="-3"/>
              </w:rPr>
              <w:t xml:space="preserve">、其他督办单、交办件类投诉等</w:t>
            </w:r>
            <w:r>
              <w:t xml:space="preserve">）</w:t>
            </w:r>
            <w:r>
              <w:rPr>
                <w:spacing w:val="-5"/>
              </w:rPr>
              <w:t xml:space="preserve">，及时配合园</w:t>
            </w:r>
            <w:r>
              <w:rPr>
                <w:spacing w:val="-4"/>
              </w:rPr>
              <w:t xml:space="preserve">区环保人员到场处理；做好</w:t>
            </w:r>
            <w:r>
              <w:t xml:space="preserve">环境调查处理工作</w:t>
            </w:r>
            <w:r/>
          </w:p>
        </w:tc>
        <w:tc>
          <w:tcPr>
            <w:tcW w:w="851" w:type="dxa"/>
            <w:vAlign w:val="center"/>
            <w:textDirection w:val="lrTb"/>
            <w:noWrap w:val="false"/>
          </w:tcPr>
          <w:p>
            <w:pPr>
              <w:pStyle w:val="1238"/>
              <w:jc w:val="center"/>
              <w:spacing w:line="320" w:lineRule="exact"/>
            </w:pPr>
            <w:r>
              <w:t xml:space="preserve">10</w:t>
            </w:r>
            <w:r>
              <w:t xml:space="preserve">分</w:t>
            </w:r>
            <w:r/>
          </w:p>
        </w:tc>
        <w:tc>
          <w:tcPr>
            <w:tcW w:w="3083" w:type="dxa"/>
            <w:vAlign w:val="center"/>
            <w:textDirection w:val="lrTb"/>
            <w:noWrap w:val="false"/>
          </w:tcPr>
          <w:p>
            <w:pPr>
              <w:pStyle w:val="1238"/>
              <w:spacing w:line="320" w:lineRule="exact"/>
              <w:rPr>
                <w:spacing w:val="-9"/>
              </w:rPr>
            </w:pPr>
            <w:r>
              <w:t xml:space="preserve">响应不及时一次扣</w:t>
            </w:r>
            <w:r>
              <w:t xml:space="preserve">0.5</w:t>
            </w:r>
            <w:r>
              <w:t xml:space="preserve">分；未处理一次扣</w:t>
            </w:r>
            <w:r>
              <w:t xml:space="preserve">1</w:t>
            </w:r>
            <w:r>
              <w:t xml:space="preserve">分</w:t>
            </w:r>
            <w:r/>
          </w:p>
        </w:tc>
        <w:tc>
          <w:tcPr>
            <w:tcW w:w="567" w:type="dxa"/>
            <w:vAlign w:val="center"/>
            <w:textDirection w:val="lrTb"/>
            <w:noWrap w:val="false"/>
          </w:tcPr>
          <w:p>
            <w:pPr>
              <w:pStyle w:val="1238"/>
              <w:spacing w:line="320" w:lineRule="exact"/>
            </w:pPr>
            <w:r/>
            <w:r/>
          </w:p>
        </w:tc>
      </w:tr>
      <w:tr>
        <w:trPr>
          <w:jc w:val="center"/>
          <w:trHeight w:val="474"/>
        </w:trPr>
        <w:tc>
          <w:tcPr>
            <w:tcW w:w="1276" w:type="dxa"/>
            <w:vAlign w:val="center"/>
            <w:vMerge w:val="continue"/>
            <w:textDirection w:val="lrTb"/>
            <w:noWrap w:val="false"/>
          </w:tcPr>
          <w:p>
            <w:pPr>
              <w:pStyle w:val="1238"/>
              <w:jc w:val="center"/>
              <w:spacing w:line="320" w:lineRule="exact"/>
            </w:pPr>
            <w:r/>
            <w:r/>
          </w:p>
        </w:tc>
        <w:tc>
          <w:tcPr>
            <w:tcW w:w="99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环评管理</w:t>
            </w:r>
            <w:r/>
          </w:p>
          <w:p>
            <w:pPr>
              <w:jc w:val="center"/>
            </w:pPr>
            <w:r>
              <w:rPr>
                <w:rFonts w:hint="eastAsia" w:ascii="宋体" w:hAnsi="宋体" w:cs="宋体"/>
                <w:szCs w:val="21"/>
              </w:rPr>
              <w:t xml:space="preserve">（5分）</w:t>
            </w:r>
            <w:r/>
          </w:p>
        </w:tc>
        <w:tc>
          <w:tcPr>
            <w:tcW w:w="3540" w:type="dxa"/>
            <w:vAlign w:val="center"/>
            <w:textDirection w:val="lrTb"/>
            <w:noWrap w:val="false"/>
          </w:tcPr>
          <w:p>
            <w:r>
              <w:rPr>
                <w:rFonts w:hint="eastAsia" w:ascii="宋体" w:hAnsi="宋体" w:cs="宋体"/>
                <w:szCs w:val="21"/>
              </w:rPr>
              <w:t xml:space="preserve">1、指导、协助企业完成环评编制工作,上报企业环评报告审批</w:t>
            </w:r>
            <w:r/>
          </w:p>
        </w:tc>
        <w:tc>
          <w:tcPr>
            <w:tcW w:w="851" w:type="dxa"/>
            <w:vAlign w:val="center"/>
            <w:textDirection w:val="lrTb"/>
            <w:noWrap w:val="false"/>
          </w:tcPr>
          <w:p>
            <w:pPr>
              <w:jc w:val="center"/>
            </w:pPr>
            <w:r>
              <w:rPr>
                <w:rFonts w:hint="eastAsia" w:ascii="宋体" w:hAnsi="宋体" w:cs="宋体"/>
                <w:szCs w:val="21"/>
              </w:rPr>
              <w:t xml:space="preserve">2分</w:t>
            </w:r>
            <w:r/>
          </w:p>
        </w:tc>
        <w:tc>
          <w:tcPr>
            <w:tcW w:w="3083" w:type="dxa"/>
            <w:vAlign w:val="center"/>
            <w:textDirection w:val="lrTb"/>
            <w:noWrap w:val="false"/>
          </w:tcPr>
          <w:p>
            <w:r>
              <w:rPr>
                <w:rFonts w:hint="eastAsia" w:ascii="宋体" w:hAnsi="宋体" w:cs="宋体"/>
                <w:szCs w:val="21"/>
              </w:rPr>
              <w:t xml:space="preserve">协助不到位一次扣0.5分</w:t>
            </w:r>
            <w:r/>
          </w:p>
        </w:tc>
        <w:tc>
          <w:tcPr>
            <w:tcW w:w="567" w:type="dxa"/>
            <w:vAlign w:val="center"/>
            <w:vMerge w:val="restart"/>
            <w:textDirection w:val="lrTb"/>
            <w:noWrap w:val="false"/>
          </w:tcPr>
          <w:p>
            <w:r/>
            <w:r/>
          </w:p>
        </w:tc>
      </w:tr>
      <w:tr>
        <w:trPr>
          <w:jc w:val="center"/>
          <w:trHeight w:val="75"/>
        </w:trPr>
        <w:tc>
          <w:tcPr>
            <w:tcW w:w="1276" w:type="dxa"/>
            <w:vAlign w:val="center"/>
            <w:vMerge w:val="continue"/>
            <w:textDirection w:val="lrTb"/>
            <w:noWrap w:val="false"/>
          </w:tcPr>
          <w:p>
            <w:pPr>
              <w:pStyle w:val="1238"/>
              <w:jc w:val="center"/>
              <w:spacing w:line="320" w:lineRule="exact"/>
            </w:pPr>
            <w:r/>
            <w:r/>
          </w:p>
        </w:tc>
        <w:tc>
          <w:tcPr>
            <w:tcW w:w="991" w:type="dxa"/>
            <w:vAlign w:val="center"/>
            <w:vMerge w:val="continue"/>
            <w:textDirection w:val="lrTb"/>
            <w:noWrap w:val="false"/>
          </w:tcPr>
          <w:p>
            <w:r/>
            <w:r/>
          </w:p>
        </w:tc>
        <w:tc>
          <w:tcPr>
            <w:tcW w:w="3540" w:type="dxa"/>
            <w:vAlign w:val="center"/>
            <w:textDirection w:val="lrTb"/>
            <w:noWrap w:val="false"/>
          </w:tcPr>
          <w:p>
            <w:r>
              <w:rPr>
                <w:rFonts w:hint="eastAsia" w:ascii="宋体" w:hAnsi="宋体" w:cs="宋体"/>
                <w:szCs w:val="21"/>
              </w:rPr>
              <w:t xml:space="preserve">2、指导、帮助、协同并督促企业依据环评批复完成“三同时”业务办理工作</w:t>
            </w:r>
            <w:r/>
          </w:p>
        </w:tc>
        <w:tc>
          <w:tcPr>
            <w:tcW w:w="851" w:type="dxa"/>
            <w:vAlign w:val="center"/>
            <w:textDirection w:val="lrTb"/>
            <w:noWrap w:val="false"/>
          </w:tcPr>
          <w:p>
            <w:pPr>
              <w:jc w:val="center"/>
            </w:pPr>
            <w:r>
              <w:rPr>
                <w:rFonts w:hint="eastAsia" w:ascii="宋体" w:hAnsi="宋体" w:cs="宋体"/>
                <w:szCs w:val="21"/>
              </w:rPr>
              <w:t xml:space="preserve">3分</w:t>
            </w:r>
            <w:r/>
          </w:p>
        </w:tc>
        <w:tc>
          <w:tcPr>
            <w:tcW w:w="3083" w:type="dxa"/>
            <w:vAlign w:val="center"/>
            <w:textDirection w:val="lrTb"/>
            <w:noWrap w:val="false"/>
          </w:tcPr>
          <w:p>
            <w:r>
              <w:rPr>
                <w:rFonts w:hint="eastAsia" w:ascii="宋体" w:hAnsi="宋体" w:cs="宋体"/>
                <w:szCs w:val="21"/>
              </w:rPr>
              <w:t xml:space="preserve">协助不到位一次扣0.5分</w:t>
            </w:r>
            <w:r/>
          </w:p>
        </w:tc>
        <w:tc>
          <w:tcPr>
            <w:tcW w:w="567" w:type="dxa"/>
            <w:vAlign w:val="center"/>
            <w:vMerge w:val="continue"/>
            <w:textDirection w:val="lrTb"/>
            <w:noWrap w:val="false"/>
          </w:tcPr>
          <w:p>
            <w:r/>
            <w:r/>
          </w:p>
        </w:tc>
      </w:tr>
      <w:tr>
        <w:trPr>
          <w:jc w:val="center"/>
          <w:trHeight w:val="419"/>
        </w:trPr>
        <w:tc>
          <w:tcPr>
            <w:tcW w:w="1276" w:type="dxa"/>
            <w:vAlign w:val="center"/>
            <w:vMerge w:val="continue"/>
            <w:textDirection w:val="lrTb"/>
            <w:noWrap w:val="false"/>
          </w:tcPr>
          <w:p>
            <w:pPr>
              <w:pStyle w:val="1238"/>
              <w:jc w:val="center"/>
              <w:spacing w:line="320" w:lineRule="exact"/>
            </w:pPr>
            <w:r/>
            <w:r/>
          </w:p>
        </w:tc>
        <w:tc>
          <w:tcPr>
            <w:tcW w:w="99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环保法律</w:t>
            </w:r>
            <w:r/>
          </w:p>
          <w:p>
            <w:pPr>
              <w:jc w:val="center"/>
            </w:pPr>
            <w:r>
              <w:rPr>
                <w:rFonts w:hint="eastAsia" w:ascii="宋体" w:hAnsi="宋体" w:cs="宋体"/>
                <w:szCs w:val="21"/>
              </w:rPr>
              <w:t xml:space="preserve">（5分）</w:t>
            </w:r>
            <w:r/>
          </w:p>
        </w:tc>
        <w:tc>
          <w:tcPr>
            <w:tcW w:w="3540" w:type="dxa"/>
            <w:vAlign w:val="center"/>
            <w:textDirection w:val="lrTb"/>
            <w:noWrap w:val="false"/>
          </w:tcPr>
          <w:p>
            <w:pPr>
              <w:rPr>
                <w:rFonts w:hint="eastAsia" w:ascii="宋体" w:hAnsi="宋体" w:cs="宋体"/>
                <w:szCs w:val="21"/>
              </w:rPr>
            </w:pPr>
            <w:r>
              <w:rPr>
                <w:rFonts w:hint="eastAsia" w:ascii="宋体" w:hAnsi="宋体" w:cs="宋体"/>
                <w:szCs w:val="21"/>
              </w:rPr>
              <w:t xml:space="preserve">1、指导帮助企业依法建立环保管理制度</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2分</w:t>
            </w:r>
            <w:r/>
          </w:p>
        </w:tc>
        <w:tc>
          <w:tcPr>
            <w:tcW w:w="3083" w:type="dxa"/>
            <w:vAlign w:val="center"/>
            <w:textDirection w:val="lrTb"/>
            <w:noWrap w:val="false"/>
          </w:tcPr>
          <w:p>
            <w:pPr>
              <w:rPr>
                <w:rFonts w:hint="eastAsia" w:ascii="宋体" w:hAnsi="宋体" w:cs="宋体"/>
                <w:szCs w:val="21"/>
              </w:rPr>
            </w:pPr>
            <w:r>
              <w:rPr>
                <w:rFonts w:hint="eastAsia" w:ascii="宋体" w:hAnsi="宋体" w:cs="宋体"/>
                <w:szCs w:val="21"/>
              </w:rPr>
              <w:t xml:space="preserve">协助不到位一次扣0.5分</w:t>
            </w:r>
            <w:r/>
          </w:p>
        </w:tc>
        <w:tc>
          <w:tcPr>
            <w:tcW w:w="567" w:type="dxa"/>
            <w:vAlign w:val="center"/>
            <w:textDirection w:val="lrTb"/>
            <w:noWrap w:val="false"/>
          </w:tcPr>
          <w:p>
            <w:r/>
            <w:r/>
          </w:p>
        </w:tc>
      </w:tr>
      <w:tr>
        <w:trPr>
          <w:jc w:val="center"/>
          <w:trHeight w:val="419"/>
        </w:trPr>
        <w:tc>
          <w:tcPr>
            <w:tcW w:w="1276" w:type="dxa"/>
            <w:vAlign w:val="center"/>
            <w:vMerge w:val="continue"/>
            <w:textDirection w:val="lrTb"/>
            <w:noWrap w:val="false"/>
          </w:tcPr>
          <w:p>
            <w:pPr>
              <w:pStyle w:val="1238"/>
              <w:jc w:val="center"/>
              <w:spacing w:line="320" w:lineRule="exact"/>
            </w:pPr>
            <w:r/>
            <w:r/>
          </w:p>
        </w:tc>
        <w:tc>
          <w:tcPr>
            <w:tcW w:w="991" w:type="dxa"/>
            <w:vAlign w:val="center"/>
            <w:vMerge w:val="continue"/>
            <w:textDirection w:val="lrTb"/>
            <w:noWrap w:val="false"/>
          </w:tcPr>
          <w:p>
            <w:r/>
            <w:r/>
          </w:p>
        </w:tc>
        <w:tc>
          <w:tcPr>
            <w:tcW w:w="3540" w:type="dxa"/>
            <w:vAlign w:val="center"/>
            <w:textDirection w:val="lrTb"/>
            <w:noWrap w:val="false"/>
          </w:tcPr>
          <w:p>
            <w:pPr>
              <w:rPr>
                <w:rFonts w:hint="eastAsia" w:ascii="宋体" w:hAnsi="宋体" w:cs="宋体"/>
                <w:szCs w:val="21"/>
              </w:rPr>
            </w:pPr>
            <w:r>
              <w:rPr>
                <w:rFonts w:hint="eastAsia" w:ascii="宋体" w:hAnsi="宋体" w:cs="宋体"/>
                <w:szCs w:val="21"/>
              </w:rPr>
              <w:t xml:space="preserve">2、指导企业处理环保违法事宜</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3分</w:t>
            </w:r>
            <w:r/>
          </w:p>
        </w:tc>
        <w:tc>
          <w:tcPr>
            <w:tcW w:w="3083" w:type="dxa"/>
            <w:vAlign w:val="center"/>
            <w:textDirection w:val="lrTb"/>
            <w:noWrap w:val="false"/>
          </w:tcPr>
          <w:p>
            <w:pPr>
              <w:rPr>
                <w:rFonts w:hint="eastAsia" w:ascii="宋体" w:hAnsi="宋体" w:cs="宋体"/>
                <w:szCs w:val="21"/>
              </w:rPr>
            </w:pPr>
            <w:r>
              <w:rPr>
                <w:rFonts w:hint="eastAsia" w:ascii="宋体" w:hAnsi="宋体" w:cs="宋体"/>
                <w:szCs w:val="21"/>
              </w:rPr>
              <w:t xml:space="preserve">处理不到位一次扣0.5分</w:t>
            </w:r>
            <w:r/>
          </w:p>
        </w:tc>
        <w:tc>
          <w:tcPr>
            <w:tcW w:w="567" w:type="dxa"/>
            <w:vAlign w:val="center"/>
            <w:textDirection w:val="lrTb"/>
            <w:noWrap w:val="false"/>
          </w:tcPr>
          <w:p>
            <w:r/>
            <w:r/>
          </w:p>
        </w:tc>
      </w:tr>
      <w:tr>
        <w:trPr>
          <w:jc w:val="center"/>
          <w:trHeight w:val="966"/>
        </w:trPr>
        <w:tc>
          <w:tcPr>
            <w:tcW w:w="1276" w:type="dxa"/>
            <w:vAlign w:val="center"/>
            <w:vMerge w:val="continue"/>
            <w:textDirection w:val="lrTb"/>
            <w:noWrap w:val="false"/>
          </w:tcPr>
          <w:p>
            <w:pPr>
              <w:pStyle w:val="1238"/>
              <w:jc w:val="center"/>
              <w:spacing w:line="320" w:lineRule="exact"/>
            </w:pPr>
            <w:r/>
            <w:r/>
          </w:p>
        </w:tc>
        <w:tc>
          <w:tcPr>
            <w:tcW w:w="991" w:type="dxa"/>
            <w:vAlign w:val="center"/>
            <w:textDirection w:val="lrTb"/>
            <w:noWrap w:val="false"/>
          </w:tcPr>
          <w:p>
            <w:pPr>
              <w:pStyle w:val="1238"/>
              <w:jc w:val="center"/>
              <w:spacing w:line="320" w:lineRule="exact"/>
            </w:pPr>
            <w:r>
              <w:t xml:space="preserve">综合服务</w:t>
            </w:r>
            <w:r/>
          </w:p>
          <w:p>
            <w:pPr>
              <w:pStyle w:val="1238"/>
              <w:ind w:hanging="104"/>
              <w:jc w:val="center"/>
              <w:spacing w:line="320" w:lineRule="exact"/>
            </w:pPr>
            <w:r>
              <w:t xml:space="preserve">（</w:t>
            </w:r>
            <w:r>
              <w:rPr>
                <w:rFonts w:hint="eastAsia"/>
              </w:rPr>
              <w:t xml:space="preserve">5</w:t>
            </w:r>
            <w:r>
              <w:t xml:space="preserve">分</w:t>
            </w:r>
            <w:r>
              <w:rPr>
                <w:spacing w:val="-3"/>
              </w:rPr>
              <w:t xml:space="preserve">）</w:t>
            </w:r>
            <w:r/>
          </w:p>
        </w:tc>
        <w:tc>
          <w:tcPr>
            <w:tcW w:w="3540" w:type="dxa"/>
            <w:vAlign w:val="center"/>
            <w:textDirection w:val="lrTb"/>
            <w:noWrap w:val="false"/>
          </w:tcPr>
          <w:p>
            <w:pPr>
              <w:pStyle w:val="1238"/>
              <w:spacing w:line="320" w:lineRule="exact"/>
            </w:pPr>
            <w:r>
              <w:t xml:space="preserve">1</w:t>
            </w:r>
            <w:r>
              <w:t xml:space="preserve">、协助园区完成其他类专项考核任务（包含排污许可证进度、排水许可证进度的跟进、大气管控保障工作等）</w:t>
            </w:r>
            <w:r/>
          </w:p>
        </w:tc>
        <w:tc>
          <w:tcPr>
            <w:tcW w:w="851" w:type="dxa"/>
            <w:vAlign w:val="center"/>
            <w:textDirection w:val="lrTb"/>
            <w:noWrap w:val="false"/>
          </w:tcPr>
          <w:p>
            <w:pPr>
              <w:pStyle w:val="1238"/>
              <w:jc w:val="center"/>
              <w:spacing w:line="320" w:lineRule="exact"/>
            </w:pPr>
            <w:r>
              <w:rPr>
                <w:rFonts w:hint="eastAsia"/>
              </w:rPr>
              <w:t xml:space="preserve">5</w:t>
            </w:r>
            <w:r>
              <w:t xml:space="preserve">分</w:t>
            </w:r>
            <w:r/>
          </w:p>
        </w:tc>
        <w:tc>
          <w:tcPr>
            <w:tcW w:w="3083" w:type="dxa"/>
            <w:vAlign w:val="center"/>
            <w:textDirection w:val="lrTb"/>
            <w:noWrap w:val="false"/>
          </w:tcPr>
          <w:p>
            <w:pPr>
              <w:pStyle w:val="1238"/>
              <w:spacing w:line="320" w:lineRule="exact"/>
              <w:rPr>
                <w:spacing w:val="-9"/>
              </w:rPr>
            </w:pPr>
            <w:r>
              <w:t xml:space="preserve">未跟踪落实扣</w:t>
            </w:r>
            <w:r>
              <w:t xml:space="preserve">0.5</w:t>
            </w:r>
            <w:r>
              <w:t xml:space="preserve">分</w:t>
            </w:r>
            <w:r/>
          </w:p>
        </w:tc>
        <w:tc>
          <w:tcPr>
            <w:tcW w:w="567" w:type="dxa"/>
            <w:vAlign w:val="center"/>
            <w:textDirection w:val="lrTb"/>
            <w:noWrap w:val="false"/>
          </w:tcPr>
          <w:p>
            <w:pPr>
              <w:pStyle w:val="1238"/>
              <w:spacing w:line="320" w:lineRule="exact"/>
            </w:pPr>
            <w:r/>
            <w:r/>
          </w:p>
        </w:tc>
      </w:tr>
      <w:tr>
        <w:trPr>
          <w:jc w:val="center"/>
          <w:trHeight w:val="648"/>
        </w:trPr>
        <w:tc>
          <w:tcPr>
            <w:tcW w:w="1276" w:type="dxa"/>
            <w:vAlign w:val="center"/>
            <w:vMerge w:val="restart"/>
            <w:textDirection w:val="lrTb"/>
            <w:noWrap w:val="false"/>
          </w:tcPr>
          <w:p>
            <w:pPr>
              <w:pStyle w:val="1238"/>
              <w:ind w:firstLine="2"/>
              <w:jc w:val="center"/>
              <w:spacing w:line="320" w:lineRule="exact"/>
            </w:pPr>
            <w:r>
              <w:t xml:space="preserve">服务成果</w:t>
            </w:r>
            <w:r>
              <w:rPr>
                <w:rFonts w:hint="eastAsia"/>
              </w:rPr>
              <w:t xml:space="preserve">管理</w:t>
            </w:r>
            <w:r>
              <w:t xml:space="preserve">（</w:t>
            </w:r>
            <w:r>
              <w:t xml:space="preserve">10</w:t>
            </w:r>
            <w:r>
              <w:t xml:space="preserve">分</w:t>
            </w:r>
            <w:r>
              <w:rPr>
                <w:spacing w:val="-3"/>
              </w:rPr>
              <w:t xml:space="preserve">）</w:t>
            </w:r>
            <w:r/>
          </w:p>
        </w:tc>
        <w:tc>
          <w:tcPr>
            <w:tcW w:w="991" w:type="dxa"/>
            <w:vAlign w:val="center"/>
            <w:vMerge w:val="restart"/>
            <w:textDirection w:val="lrTb"/>
            <w:noWrap w:val="false"/>
          </w:tcPr>
          <w:p>
            <w:pPr>
              <w:pStyle w:val="1238"/>
              <w:jc w:val="center"/>
              <w:spacing w:line="320" w:lineRule="exact"/>
            </w:pPr>
            <w:r>
              <w:rPr>
                <w:spacing w:val="-6"/>
              </w:rPr>
              <w:t xml:space="preserve">日常报</w:t>
            </w:r>
            <w:r>
              <w:t xml:space="preserve">送</w:t>
            </w:r>
            <w:r/>
          </w:p>
          <w:p>
            <w:pPr>
              <w:pStyle w:val="1238"/>
              <w:jc w:val="center"/>
              <w:spacing w:line="320" w:lineRule="exact"/>
            </w:pPr>
            <w:r>
              <w:t xml:space="preserve">（</w:t>
            </w:r>
            <w:r>
              <w:t xml:space="preserve">10</w:t>
            </w:r>
            <w:r>
              <w:t xml:space="preserve">分</w:t>
            </w:r>
            <w:r>
              <w:rPr>
                <w:spacing w:val="-3"/>
              </w:rPr>
              <w:t xml:space="preserve">）</w:t>
            </w:r>
            <w:r/>
          </w:p>
        </w:tc>
        <w:tc>
          <w:tcPr>
            <w:tcW w:w="3540" w:type="dxa"/>
            <w:vAlign w:val="center"/>
            <w:textDirection w:val="lrTb"/>
            <w:noWrap w:val="false"/>
          </w:tcPr>
          <w:p>
            <w:pPr>
              <w:pStyle w:val="1238"/>
              <w:spacing w:line="320" w:lineRule="exact"/>
            </w:pPr>
            <w:r>
              <w:t xml:space="preserve">1</w:t>
            </w:r>
            <w:r>
              <w:t xml:space="preserve">、每周六</w:t>
            </w:r>
            <w:r>
              <w:rPr>
                <w:rFonts w:hint="eastAsia"/>
              </w:rPr>
              <w:t xml:space="preserve">18:00</w:t>
            </w:r>
            <w:r>
              <w:rPr>
                <w:rFonts w:hint="eastAsia"/>
              </w:rPr>
              <w:t xml:space="preserve">前</w:t>
            </w:r>
            <w:r>
              <w:t xml:space="preserve">上报本周工作日志及下周工作计划</w:t>
            </w:r>
            <w:r/>
          </w:p>
        </w:tc>
        <w:tc>
          <w:tcPr>
            <w:tcW w:w="851" w:type="dxa"/>
            <w:vAlign w:val="center"/>
            <w:textDirection w:val="lrTb"/>
            <w:noWrap w:val="false"/>
          </w:tcPr>
          <w:p>
            <w:pPr>
              <w:pStyle w:val="1238"/>
              <w:jc w:val="center"/>
              <w:spacing w:line="320" w:lineRule="exact"/>
            </w:pPr>
            <w:r>
              <w:rPr>
                <w:rFonts w:hint="eastAsia"/>
              </w:rPr>
              <w:t xml:space="preserve">5</w:t>
            </w:r>
            <w:r>
              <w:t xml:space="preserve">分</w:t>
            </w:r>
            <w:r/>
          </w:p>
        </w:tc>
        <w:tc>
          <w:tcPr>
            <w:tcW w:w="3083" w:type="dxa"/>
            <w:vAlign w:val="center"/>
            <w:textDirection w:val="lrTb"/>
            <w:noWrap w:val="false"/>
          </w:tcPr>
          <w:p>
            <w:pPr>
              <w:pStyle w:val="1238"/>
              <w:spacing w:line="320" w:lineRule="exact"/>
              <w:rPr>
                <w:spacing w:val="-9"/>
              </w:rPr>
            </w:pPr>
            <w:r>
              <w:rPr>
                <w:rFonts w:hint="eastAsia"/>
                <w:szCs w:val="21"/>
              </w:rPr>
              <w:t xml:space="preserve">迟报一次扣</w:t>
            </w:r>
            <w:r>
              <w:rPr>
                <w:rFonts w:hint="eastAsia"/>
                <w:szCs w:val="21"/>
              </w:rPr>
              <w:t xml:space="preserve">0.5</w:t>
            </w:r>
            <w:r>
              <w:rPr>
                <w:rFonts w:hint="eastAsia"/>
                <w:szCs w:val="21"/>
              </w:rPr>
              <w:t xml:space="preserve">分；</w:t>
            </w:r>
            <w:r>
              <w:t xml:space="preserve">未报扣</w:t>
            </w:r>
            <w:r>
              <w:t xml:space="preserve">1 </w:t>
            </w:r>
            <w:r>
              <w:t xml:space="preserve">分</w:t>
            </w:r>
            <w:r/>
          </w:p>
        </w:tc>
        <w:tc>
          <w:tcPr>
            <w:tcW w:w="567" w:type="dxa"/>
            <w:vAlign w:val="center"/>
            <w:textDirection w:val="lrTb"/>
            <w:noWrap w:val="false"/>
          </w:tcPr>
          <w:p>
            <w:pPr>
              <w:pStyle w:val="1238"/>
              <w:spacing w:line="320" w:lineRule="exact"/>
            </w:pPr>
            <w:r/>
            <w:r/>
          </w:p>
        </w:tc>
      </w:tr>
      <w:tr>
        <w:trPr>
          <w:jc w:val="center"/>
          <w:trHeight w:val="628"/>
        </w:trPr>
        <w:tc>
          <w:tcPr>
            <w:tcW w:w="1276" w:type="dxa"/>
            <w:vAlign w:val="center"/>
            <w:vMerge w:val="continue"/>
            <w:textDirection w:val="lrTb"/>
            <w:noWrap w:val="false"/>
          </w:tcPr>
          <w:p>
            <w:pPr>
              <w:spacing w:line="320" w:lineRule="exact"/>
            </w:pPr>
            <w:r/>
            <w:r/>
          </w:p>
        </w:tc>
        <w:tc>
          <w:tcPr>
            <w:tcW w:w="991" w:type="dxa"/>
            <w:vAlign w:val="center"/>
            <w:vMerge w:val="continue"/>
            <w:textDirection w:val="lrTb"/>
            <w:noWrap w:val="false"/>
          </w:tcPr>
          <w:p>
            <w:pPr>
              <w:spacing w:line="320" w:lineRule="exact"/>
            </w:pPr>
            <w:r/>
            <w:r/>
          </w:p>
        </w:tc>
        <w:tc>
          <w:tcPr>
            <w:tcW w:w="3540" w:type="dxa"/>
            <w:vAlign w:val="center"/>
            <w:textDirection w:val="lrTb"/>
            <w:noWrap w:val="false"/>
          </w:tcPr>
          <w:p>
            <w:pPr>
              <w:pStyle w:val="1238"/>
              <w:spacing w:line="320" w:lineRule="exact"/>
            </w:pPr>
            <w:r>
              <w:t xml:space="preserve">2</w:t>
            </w:r>
            <w:r>
              <w:t xml:space="preserve">、每季度</w:t>
            </w:r>
            <w:r>
              <w:rPr>
                <w:rFonts w:hint="eastAsia"/>
              </w:rPr>
              <w:t xml:space="preserve">最后一个月</w:t>
            </w:r>
            <w:r>
              <w:rPr>
                <w:rFonts w:hint="eastAsia"/>
              </w:rPr>
              <w:t xml:space="preserve">25</w:t>
            </w:r>
            <w:r>
              <w:rPr>
                <w:rFonts w:hint="eastAsia"/>
              </w:rPr>
              <w:t xml:space="preserve">日前</w:t>
            </w:r>
            <w:r>
              <w:t xml:space="preserve">报送本季度工作小结</w:t>
            </w:r>
            <w:r/>
          </w:p>
        </w:tc>
        <w:tc>
          <w:tcPr>
            <w:tcW w:w="851" w:type="dxa"/>
            <w:vAlign w:val="center"/>
            <w:textDirection w:val="lrTb"/>
            <w:noWrap w:val="false"/>
          </w:tcPr>
          <w:p>
            <w:pPr>
              <w:pStyle w:val="1238"/>
              <w:jc w:val="center"/>
              <w:spacing w:line="320" w:lineRule="exact"/>
            </w:pPr>
            <w:r>
              <w:rPr>
                <w:rFonts w:hint="eastAsia"/>
              </w:rPr>
              <w:t xml:space="preserve">5</w:t>
            </w:r>
            <w:r>
              <w:t xml:space="preserve">分</w:t>
            </w:r>
            <w:r/>
          </w:p>
        </w:tc>
        <w:tc>
          <w:tcPr>
            <w:tcW w:w="3083" w:type="dxa"/>
            <w:vAlign w:val="center"/>
            <w:textDirection w:val="lrTb"/>
            <w:noWrap w:val="false"/>
          </w:tcPr>
          <w:p>
            <w:pPr>
              <w:pStyle w:val="1238"/>
              <w:spacing w:line="320" w:lineRule="exact"/>
              <w:rPr>
                <w:spacing w:val="-9"/>
              </w:rPr>
            </w:pPr>
            <w:r>
              <w:rPr>
                <w:rFonts w:hint="eastAsia"/>
                <w:szCs w:val="21"/>
              </w:rPr>
              <w:t xml:space="preserve">迟报一次扣</w:t>
            </w:r>
            <w:r>
              <w:rPr>
                <w:rFonts w:hint="eastAsia"/>
                <w:szCs w:val="21"/>
              </w:rPr>
              <w:t xml:space="preserve">0.5</w:t>
            </w:r>
            <w:r>
              <w:rPr>
                <w:rFonts w:hint="eastAsia"/>
                <w:szCs w:val="21"/>
              </w:rPr>
              <w:t xml:space="preserve">分；</w:t>
            </w:r>
            <w:r>
              <w:t xml:space="preserve">未报扣</w:t>
            </w:r>
            <w:r>
              <w:t xml:space="preserve">2 </w:t>
            </w:r>
            <w:r>
              <w:t xml:space="preserve">分</w:t>
            </w:r>
            <w:r/>
          </w:p>
        </w:tc>
        <w:tc>
          <w:tcPr>
            <w:tcW w:w="567" w:type="dxa"/>
            <w:vAlign w:val="center"/>
            <w:textDirection w:val="lrTb"/>
            <w:noWrap w:val="false"/>
          </w:tcPr>
          <w:p>
            <w:pPr>
              <w:pStyle w:val="1238"/>
              <w:spacing w:line="320" w:lineRule="exact"/>
            </w:pPr>
            <w:r/>
            <w:r/>
          </w:p>
        </w:tc>
      </w:tr>
    </w:tbl>
    <w:p>
      <w:pPr>
        <w:jc w:val="left"/>
        <w:spacing w:line="360" w:lineRule="auto"/>
        <w:rPr>
          <w:rFonts w:hint="eastAsia" w:ascii="宋体" w:hAnsi="宋体" w:cs="宋体"/>
        </w:rPr>
        <w:sectPr>
          <w:footerReference w:type="default" r:id="rId12"/>
          <w:footnotePr/>
          <w:endnotePr/>
          <w:type w:val="nextPage"/>
          <w:pgSz w:w="11910" w:h="16840" w:orient="portrait"/>
          <w:pgMar w:top="1420" w:right="880" w:bottom="280" w:left="1380" w:header="720" w:footer="720" w:gutter="0"/>
          <w:pgNumType w:start="1"/>
          <w:cols w:num="1" w:sep="0" w:space="720" w:equalWidth="1"/>
          <w:docGrid w:linePitch="360"/>
        </w:sectPr>
      </w:pPr>
      <w:r>
        <w:rPr>
          <w:rFonts w:hint="eastAsia" w:ascii="宋体" w:hAnsi="宋体" w:cs="宋体"/>
          <w:szCs w:val="21"/>
        </w:rPr>
        <w:t xml:space="preserve">注：如出现未列入评分细则，但确实属于服务单位未履行好服务职责的情形，由江宁高新区生态环境主管部门根据过失大小、影响轻重等情况酌情扣分。</w:t>
      </w:r>
      <w:bookmarkEnd w:id="21"/>
      <w:r/>
      <w:bookmarkEnd w:id="22"/>
      <w:r/>
      <w:r/>
    </w:p>
    <w:p>
      <w:pPr>
        <w:pStyle w:val="995"/>
      </w:pPr>
      <w:r>
        <w:rPr>
          <w:rFonts w:hint="eastAsia"/>
        </w:rPr>
        <w:t xml:space="preserve"> </w:t>
      </w:r>
      <w:bookmarkStart w:id="29" w:name="_Toc26505"/>
      <w:r/>
      <w:bookmarkStart w:id="30" w:name="_Toc28129"/>
      <w:r>
        <w:rPr>
          <w:rFonts w:hint="eastAsia"/>
        </w:rPr>
        <w:t xml:space="preserve">合同主要条款及格式</w:t>
      </w:r>
      <w:bookmarkEnd w:id="29"/>
      <w:r/>
      <w:bookmarkEnd w:id="30"/>
      <w:r/>
      <w:r/>
    </w:p>
    <w:p>
      <w:r/>
      <w:bookmarkStart w:id="31" w:name="_Toc20823315"/>
      <w:r/>
      <w:bookmarkStart w:id="32" w:name="_Toc16938559"/>
      <w:r/>
      <w:bookmarkStart w:id="33" w:name="_Toc513029243"/>
      <w:r/>
      <w:bookmarkEnd w:id="31"/>
      <w:r/>
      <w:bookmarkEnd w:id="32"/>
      <w:r/>
      <w:bookmarkEnd w:id="33"/>
      <w:r/>
      <w:r/>
    </w:p>
    <w:p>
      <w:pPr>
        <w:jc w:val="center"/>
        <w:spacing w:line="360" w:lineRule="auto"/>
        <w:shd w:val="clear" w:color="auto" w:fill="ffffff"/>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t xml:space="preserve">南京市政府采购合同</w:t>
      </w:r>
      <w:r/>
    </w:p>
    <w:p>
      <w:pPr>
        <w:ind w:firstLine="315"/>
        <w:jc w:val="center"/>
        <w:spacing w:line="360" w:lineRule="auto"/>
        <w:shd w:val="clear" w:color="auto" w:fill="ffffff"/>
        <w:widowControl/>
        <w:rPr>
          <w:rFonts w:hint="eastAsia" w:ascii="宋体" w:hAnsi="宋体" w:cs="宋体"/>
          <w:sz w:val="28"/>
          <w:szCs w:val="28"/>
        </w:rPr>
      </w:pPr>
      <w:r>
        <w:rPr>
          <w:rFonts w:hint="eastAsia" w:ascii="宋体" w:hAnsi="宋体" w:cs="宋体"/>
          <w:b/>
          <w:bCs/>
          <w:sz w:val="28"/>
          <w:szCs w:val="28"/>
        </w:rPr>
        <w:t xml:space="preserve">（</w:t>
      </w:r>
      <w:r>
        <w:rPr>
          <w:rFonts w:hint="eastAsia" w:ascii="宋体" w:hAnsi="宋体" w:cs="宋体"/>
          <w:b/>
          <w:bCs/>
          <w:color w:val="000000"/>
          <w:sz w:val="28"/>
          <w:szCs w:val="28"/>
          <w:lang w:bidi="ar"/>
        </w:rPr>
        <w:t xml:space="preserve">适用于包1、包2</w:t>
      </w:r>
      <w:r>
        <w:rPr>
          <w:rFonts w:hint="eastAsia" w:ascii="宋体" w:hAnsi="宋体" w:cs="宋体"/>
          <w:b/>
          <w:bCs/>
          <w:sz w:val="28"/>
          <w:szCs w:val="28"/>
        </w:rPr>
        <w:t xml:space="preserve">）</w:t>
      </w:r>
      <w:r/>
    </w:p>
    <w:p>
      <w:pPr>
        <w:ind w:firstLine="315"/>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315"/>
        <w:spacing w:line="360" w:lineRule="auto"/>
        <w:shd w:val="clear" w:color="auto" w:fill="ffffff"/>
        <w:widowControl/>
        <w:rPr>
          <w:rFonts w:hint="eastAsia"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hint="eastAsia"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t xml:space="preserve"> </w:t>
      </w:r>
      <w:r/>
    </w:p>
    <w:p>
      <w:pPr>
        <w:ind w:firstLine="315"/>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spacing w:line="360" w:lineRule="auto"/>
        <w:shd w:val="clear" w:color="auto" w:fill="ffffff"/>
        <w:widowControl/>
        <w:rPr>
          <w:rFonts w:hint="eastAsia" w:ascii="宋体" w:hAnsi="宋体" w:cs="宋体"/>
        </w:rPr>
      </w:pPr>
      <w:r>
        <w:rPr>
          <w:rFonts w:hint="eastAsia" w:ascii="宋体" w:hAnsi="宋体" w:cs="宋体"/>
          <w:sz w:val="24"/>
        </w:rPr>
        <w:br w:type="page" w:clear="all"/>
      </w:r>
      <w:r>
        <w:rPr>
          <w:rFonts w:hint="eastAsia" w:ascii="宋体" w:hAnsi="宋体" w:cs="宋体"/>
        </w:rPr>
        <w:t xml:space="preserve">合同编号：</w:t>
      </w:r>
      <w:r/>
    </w:p>
    <w:p>
      <w:pPr>
        <w:spacing w:line="360" w:lineRule="auto"/>
        <w:shd w:val="clear" w:color="auto" w:fill="ffffff"/>
        <w:widowControl/>
        <w:rPr>
          <w:rFonts w:hint="eastAsia" w:ascii="宋体" w:hAnsi="宋体" w:cs="宋体"/>
        </w:rPr>
      </w:pPr>
      <w:r>
        <w:rPr>
          <w:rFonts w:hint="eastAsia" w:ascii="宋体" w:hAnsi="宋体" w:cs="宋体"/>
        </w:rPr>
        <w:t xml:space="preserve">政府采购计划号：</w:t>
      </w:r>
      <w:r/>
    </w:p>
    <w:p>
      <w:pPr>
        <w:jc w:val="center"/>
        <w:spacing w:line="360" w:lineRule="auto"/>
        <w:shd w:val="clear" w:color="auto" w:fill="ffffff"/>
        <w:widowControl/>
        <w:rPr>
          <w:rFonts w:hint="eastAsia" w:ascii="宋体" w:hAnsi="宋体" w:cs="宋体"/>
        </w:rPr>
      </w:pPr>
      <w:r>
        <w:rPr>
          <w:rFonts w:hint="eastAsia" w:ascii="宋体" w:hAnsi="宋体" w:cs="宋体"/>
        </w:rPr>
        <w:t xml:space="preserve"> </w:t>
      </w:r>
      <w:r/>
    </w:p>
    <w:tbl>
      <w:tblPr>
        <w:tblW w:w="0" w:type="auto"/>
        <w:tblInd w:w="108" w:type="dxa"/>
        <w:tblLayout w:type="fixed"/>
        <w:tblCellMar>
          <w:left w:w="0" w:type="dxa"/>
          <w:right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r>
    </w:tbl>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第一条  合同标的</w:t>
      </w:r>
      <w:r>
        <w:rPr>
          <w:rFonts w:hint="eastAsia" w:ascii="宋体" w:hAnsi="宋体" w:cs="宋体"/>
          <w:color w:val="000000"/>
          <w:szCs w:val="21"/>
        </w:rPr>
        <w:t xml:space="preserve"> </w:t>
      </w:r>
      <w:r/>
    </w:p>
    <w:p>
      <w:pPr>
        <w:ind w:firstLine="420"/>
        <w:jc w:val="left"/>
        <w:spacing w:line="360" w:lineRule="auto"/>
        <w:shd w:val="clear" w:color="auto" w:fill="ffffff"/>
        <w:widowControl/>
        <w:rPr>
          <w:rFonts w:hint="eastAsia" w:ascii="宋体" w:hAnsi="宋体" w:cs="宋体"/>
          <w:b/>
          <w:bCs/>
          <w:color w:val="000000"/>
          <w:szCs w:val="21"/>
        </w:rPr>
      </w:pPr>
      <w:r>
        <w:rPr>
          <w:rFonts w:hint="eastAsia" w:ascii="宋体" w:hAnsi="宋体" w:cs="宋体"/>
          <w:bCs/>
          <w:szCs w:val="21"/>
        </w:rPr>
        <w:t xml:space="preserve">江宁高新区生态环境技术运维项目</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第二条  合同总价款</w:t>
      </w:r>
      <w:r>
        <w:rPr>
          <w:rFonts w:hint="eastAsia" w:ascii="宋体" w:hAnsi="宋体" w:cs="宋体"/>
          <w:color w:val="000000"/>
          <w:szCs w:val="21"/>
        </w:rPr>
        <w:t xml:space="preserve"> </w:t>
      </w:r>
      <w:r/>
    </w:p>
    <w:p>
      <w:pPr>
        <w:ind w:firstLine="420"/>
        <w:jc w:val="left"/>
        <w:spacing w:line="360" w:lineRule="auto"/>
        <w:shd w:val="clear" w:color="auto" w:fill="ffffff"/>
        <w:widowControl/>
        <w:rPr>
          <w:rFonts w:hint="eastAsia" w:ascii="宋体" w:hAnsi="宋体" w:cs="宋体"/>
          <w:color w:val="000000"/>
          <w:szCs w:val="21"/>
        </w:rPr>
      </w:pPr>
      <w:r/>
      <w:bookmarkStart w:id="34" w:name="_Hlk194100247"/>
      <w:r>
        <w:rPr>
          <w:rFonts w:hint="eastAsia" w:ascii="宋体" w:hAnsi="宋体" w:cs="宋体"/>
          <w:color w:val="000000"/>
          <w:szCs w:val="21"/>
        </w:rPr>
        <w:t xml:space="preserve">本合同项下服务价款为___________万元（大写）人民币。</w:t>
      </w:r>
      <w:bookmarkEnd w:id="34"/>
      <w:r/>
      <w:r/>
    </w:p>
    <w:p>
      <w:pPr>
        <w:ind w:firstLine="413"/>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第三条 组成本合同的有关文件</w:t>
      </w:r>
      <w:r>
        <w:rPr>
          <w:rFonts w:hint="eastAsia" w:ascii="宋体" w:hAnsi="宋体" w:cs="宋体"/>
          <w:color w:val="000000"/>
          <w:szCs w:val="21"/>
        </w:rPr>
        <w:t xml:space="preserve">  </w:t>
      </w:r>
      <w:r/>
    </w:p>
    <w:p>
      <w:pPr>
        <w:ind w:firstLine="411"/>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第四条 权利保证</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第五条 质量保证</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第六条 服务期及服务要求</w:t>
      </w:r>
      <w:r/>
    </w:p>
    <w:p>
      <w:pPr>
        <w:ind w:firstLine="420"/>
        <w:spacing w:line="360" w:lineRule="auto"/>
        <w:rPr>
          <w:rFonts w:hint="eastAsia" w:ascii="宋体" w:hAnsi="宋体" w:cs="宋体"/>
          <w:szCs w:val="21"/>
        </w:rPr>
      </w:pPr>
      <w:r>
        <w:rPr>
          <w:rFonts w:hint="eastAsia" w:ascii="宋体" w:hAnsi="宋体" w:cs="宋体"/>
          <w:szCs w:val="21"/>
        </w:rPr>
        <w:t xml:space="preserve">1、本项目服务期限：自合同签订，并正式开展工作起1年。</w:t>
      </w:r>
      <w:r/>
    </w:p>
    <w:p>
      <w:pPr>
        <w:ind w:firstLine="420"/>
        <w:spacing w:line="360" w:lineRule="auto"/>
        <w:rPr>
          <w:rFonts w:hint="eastAsia" w:ascii="宋体" w:hAnsi="宋体" w:cs="宋体"/>
          <w:szCs w:val="21"/>
        </w:rPr>
      </w:pPr>
      <w:r>
        <w:rPr>
          <w:rFonts w:hint="eastAsia" w:ascii="宋体" w:hAnsi="宋体" w:cs="宋体"/>
          <w:szCs w:val="21"/>
        </w:rPr>
        <w:t xml:space="preserve">2、乙方派遣</w:t>
      </w:r>
      <w:r>
        <w:rPr>
          <w:rFonts w:hint="eastAsia" w:ascii="宋体" w:hAnsi="宋体" w:cs="宋体"/>
          <w:i/>
          <w:iCs/>
          <w:szCs w:val="21"/>
          <w:u w:val="single"/>
        </w:rPr>
        <w:t xml:space="preserve">  不少于5名技术人员（1名项目负责人，4名项目组成员）</w:t>
      </w:r>
      <w:r>
        <w:rPr>
          <w:rFonts w:hint="eastAsia" w:ascii="宋体" w:hAnsi="宋体" w:cs="宋体"/>
          <w:szCs w:val="21"/>
        </w:rPr>
        <w:t xml:space="preserve">及2辆工作车开展“</w:t>
      </w:r>
      <w:r>
        <w:rPr>
          <w:rFonts w:hint="eastAsia" w:ascii="宋体" w:hAnsi="宋体" w:cs="宋体"/>
          <w:bCs/>
          <w:szCs w:val="21"/>
        </w:rPr>
        <w:t xml:space="preserve">江宁高新区生态环境技术运维</w:t>
      </w:r>
      <w:r>
        <w:rPr>
          <w:rFonts w:hint="eastAsia" w:ascii="宋体" w:hAnsi="宋体" w:cs="宋体"/>
          <w:szCs w:val="21"/>
        </w:rPr>
        <w:t xml:space="preserve">”，原则上每周一至周日开展日常环境工作，每天白天工作时间早上9:00-晚上18:00（8h），夜间19:00-23:00（4h）开展专项夜查。</w:t>
      </w:r>
      <w:r/>
    </w:p>
    <w:p>
      <w:pPr>
        <w:ind w:firstLine="420"/>
        <w:spacing w:line="360" w:lineRule="auto"/>
      </w:pPr>
      <w:r>
        <w:rPr>
          <w:rFonts w:hint="eastAsia"/>
        </w:rPr>
        <w:t xml:space="preserve">在服务期内，乙方接到采购人指令后须在</w:t>
      </w:r>
      <w:r>
        <w:rPr>
          <w:rFonts w:hint="eastAsia"/>
        </w:rPr>
        <w:t xml:space="preserve">0.5</w:t>
      </w:r>
      <w:r>
        <w:rPr>
          <w:rFonts w:hint="eastAsia"/>
        </w:rPr>
        <w:t xml:space="preserve">小时以内到达本次招标涉及的任一场所并开展工作，并在江宁高新区驻点工作。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3、甲方自行组织或视情邀请相关专家或国家认可的质量检测机构参加验收，乙方提供的服务不符合采购文件和合同规定的，甲方有权拒收，并承担验收费用等。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第七条 履约保证金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第八条 合同款支付</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1、本合同项下所有款项均以人民币支付。</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2、本合同项下的采购资金由甲方自行支付，乙方向甲方开具发票。</w:t>
      </w:r>
      <w:r/>
    </w:p>
    <w:p>
      <w:pPr>
        <w:ind w:firstLine="420"/>
        <w:spacing w:line="360" w:lineRule="auto"/>
        <w:rPr>
          <w:rFonts w:hint="eastAsia" w:ascii="宋体" w:hAnsi="宋体" w:cs="宋体"/>
          <w:color w:val="000000"/>
          <w:szCs w:val="21"/>
          <w:lang w:bidi="ar"/>
        </w:rPr>
      </w:pPr>
      <w:r>
        <w:rPr>
          <w:rFonts w:hint="eastAsia" w:ascii="宋体" w:hAnsi="宋体" w:cs="宋体"/>
          <w:szCs w:val="21"/>
        </w:rPr>
        <w:t xml:space="preserve">3、付款方式：</w:t>
      </w:r>
      <w:r/>
    </w:p>
    <w:p>
      <w:pPr>
        <w:ind w:firstLine="420"/>
        <w:spacing w:line="360" w:lineRule="auto"/>
        <w:rPr>
          <w:rFonts w:hint="eastAsia" w:ascii="宋体" w:hAnsi="宋体" w:cs="宋体"/>
          <w:szCs w:val="21"/>
        </w:rPr>
      </w:pPr>
      <w:r>
        <w:rPr>
          <w:rFonts w:ascii="宋体" w:hAnsi="宋体" w:cs="宋体"/>
          <w:color w:val="000000"/>
          <w:szCs w:val="21"/>
          <w:lang w:bidi="ar"/>
        </w:rPr>
        <w:t xml:space="preserve">江宁高新区生态环境主管部门</w:t>
      </w:r>
      <w:r>
        <w:rPr>
          <w:rFonts w:hint="eastAsia" w:ascii="宋体" w:hAnsi="宋体" w:cs="宋体"/>
          <w:color w:val="000000"/>
          <w:szCs w:val="21"/>
          <w:lang w:bidi="ar"/>
        </w:rPr>
        <w:t xml:space="preserve">负责每季度对各乙方进行考核，并根据每季度考核金额由采购人按季拨付：</w:t>
      </w:r>
      <w:r>
        <w:rPr>
          <w:rFonts w:hint="eastAsia" w:ascii="宋体" w:hAnsi="宋体" w:cs="宋体"/>
          <w:szCs w:val="21"/>
        </w:rPr>
        <w:t xml:space="preserve">（1）综合考核分数在80分（含）以上的，当季全额支付服务费用；（2）综合考核分数在70（含）-80分的，</w:t>
      </w:r>
      <w:r>
        <w:rPr>
          <w:rFonts w:hint="eastAsia" w:ascii="宋体" w:hAnsi="宋体" w:cs="宋体"/>
          <w:spacing w:val="-13"/>
          <w:szCs w:val="21"/>
        </w:rPr>
        <w:t xml:space="preserve">扣除当季服务费用的</w:t>
      </w:r>
      <w:r>
        <w:rPr>
          <w:rFonts w:hint="eastAsia" w:ascii="宋体" w:hAnsi="宋体" w:cs="宋体"/>
          <w:szCs w:val="21"/>
        </w:rPr>
        <w:t xml:space="preserve">1%；（3）综合考核分数在60（含）-70分的，扣除</w:t>
      </w:r>
      <w:r>
        <w:rPr>
          <w:rFonts w:hint="eastAsia" w:ascii="宋体" w:hAnsi="宋体" w:cs="宋体"/>
          <w:spacing w:val="-13"/>
          <w:szCs w:val="21"/>
        </w:rPr>
        <w:t xml:space="preserve">当季服务费用</w:t>
      </w:r>
      <w:r>
        <w:rPr>
          <w:rFonts w:hint="eastAsia" w:ascii="宋体" w:hAnsi="宋体" w:cs="宋体"/>
          <w:szCs w:val="21"/>
        </w:rPr>
        <w:t xml:space="preserve">的2%；（4）综合考核分数在60分以下的，扣除</w:t>
      </w:r>
      <w:r>
        <w:rPr>
          <w:rFonts w:hint="eastAsia" w:ascii="宋体" w:hAnsi="宋体" w:cs="宋体"/>
          <w:spacing w:val="-13"/>
          <w:szCs w:val="21"/>
        </w:rPr>
        <w:t xml:space="preserve">当季服务费用</w:t>
      </w:r>
      <w:r>
        <w:rPr>
          <w:rFonts w:hint="eastAsia" w:ascii="宋体" w:hAnsi="宋体" w:cs="宋体"/>
          <w:szCs w:val="21"/>
        </w:rPr>
        <w:t xml:space="preserve">的5%。</w:t>
      </w:r>
      <w:r/>
    </w:p>
    <w:p>
      <w:pPr>
        <w:ind w:firstLine="422"/>
        <w:spacing w:line="360" w:lineRule="auto"/>
        <w:rPr>
          <w:rFonts w:hint="eastAsia" w:ascii="宋体" w:hAnsi="宋体" w:cs="宋体"/>
          <w:szCs w:val="21"/>
        </w:rPr>
      </w:pPr>
      <w:r>
        <w:rPr>
          <w:rFonts w:hint="eastAsia" w:ascii="宋体" w:hAnsi="宋体" w:cs="宋体"/>
          <w:b/>
          <w:bCs/>
          <w:szCs w:val="21"/>
        </w:rPr>
        <w:t xml:space="preserve">第九条 违约责任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２、甲方未按合同规定的期限向乙方支付合同款的，每逾期1天甲方向乙方偿付欠款总额的5‰滞纳金，但累计滞纳金总额不超过欠款总额的5%。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３、如乙方不能按期交付服务的，甲方有权扣留全部履约保证金；同时乙方应向甲方支付合同总价5%的违约金。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第十条 合同的变更和终止</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保证金不予退还，在三年内不得参加江苏省设备成套有限公司组织的政府采购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第十一条 合同的转让</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第十二条 争议的解决</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w:t>
      </w:r>
      <w:r>
        <w:rPr>
          <w:rFonts w:ascii="宋体" w:hAnsi="宋体" w:cs="宋体"/>
          <w:szCs w:val="21"/>
        </w:rPr>
        <w:t xml:space="preserve">1</w:t>
      </w:r>
      <w:r>
        <w:rPr>
          <w:rFonts w:hint="eastAsia" w:ascii="宋体" w:hAnsi="宋体" w:cs="宋体"/>
          <w:szCs w:val="21"/>
        </w:rPr>
        <w:t xml:space="preserve">）种方式解决争议：</w:t>
      </w:r>
      <w:r/>
    </w:p>
    <w:p>
      <w:pPr>
        <w:ind w:firstLine="56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2、在仲裁期间，本合同应继续履行。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第十三条 诚实信用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第十四条 合同生效及其他</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1、本合同自签订之日起生效。</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2、本合同一式陆份，甲、乙双方各执叁份。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tbl>
      <w:tblPr>
        <w:tblW w:w="9286" w:type="dxa"/>
        <w:tblInd w:w="-108"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r>
    </w:tbl>
    <w:p>
      <w:pPr>
        <w:pStyle w:val="1012"/>
        <w:rPr>
          <w:rFonts w:cs="宋体"/>
          <w:color w:val="000000"/>
          <w:szCs w:val="21"/>
        </w:rPr>
      </w:pPr>
      <w:r>
        <w:rPr>
          <w:rFonts w:cs="宋体"/>
          <w:color w:val="000000"/>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95"/>
      </w:pPr>
      <w:r/>
      <w:bookmarkStart w:id="35" w:name="_Toc26645"/>
      <w:r/>
      <w:bookmarkStart w:id="36" w:name="_Toc15886"/>
      <w:r>
        <w:rPr>
          <w:rFonts w:hint="eastAsia"/>
        </w:rPr>
        <w:t xml:space="preserve">投标文件格式及附件</w:t>
      </w:r>
      <w:bookmarkEnd w:id="35"/>
      <w:r/>
      <w:bookmarkEnd w:id="36"/>
      <w:r/>
      <w:r/>
    </w:p>
    <w:p>
      <w:pPr>
        <w:pStyle w:val="1054"/>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 包 </w:t>
      </w:r>
      <w:r>
        <w:rPr>
          <w:rFonts w:hint="eastAsia" w:ascii="宋体" w:hAnsi="宋体" w:cs="宋体"/>
          <w:szCs w:val="21"/>
          <w:u w:val="single"/>
        </w:rPr>
        <w:t xml:space="preserve">  </w:t>
      </w:r>
      <w:r>
        <w:rPr>
          <w:rFonts w:hint="eastAsia" w:ascii="宋体" w:hAnsi="宋体" w:cs="宋体"/>
          <w:szCs w:val="21"/>
        </w:rPr>
        <w:t xml:space="preserve">（标包号）投标邀请，正式授权下述签字人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37" w:name="_Toc26810"/>
      <w:r>
        <w:rPr>
          <w:rFonts w:hint="eastAsia" w:ascii="宋体" w:hAnsi="宋体" w:cs="宋体"/>
          <w:b/>
          <w:bCs/>
          <w:szCs w:val="21"/>
          <w:lang w:val="zh-CN"/>
        </w:rPr>
        <w:t xml:space="preserve">附件三、</w:t>
      </w:r>
      <w:bookmarkEnd w:id="37"/>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100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标包号：     </w:t>
      </w:r>
      <w:r/>
    </w:p>
    <w:tbl>
      <w:tblPr>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pStyle w:val="1009"/>
              <w:ind w:firstLine="473"/>
              <w:rPr>
                <w:rFonts w:hint="eastAsia" w:ascii="宋体" w:hAnsi="宋体" w:cs="宋体"/>
                <w:b w:val="0"/>
                <w:bCs/>
                <w:sz w:val="21"/>
                <w:szCs w:val="21"/>
              </w:rPr>
            </w:pPr>
            <w:r>
              <w:rPr>
                <w:rFonts w:hint="eastAsia" w:ascii="宋体" w:hAnsi="宋体" w:cs="宋体"/>
                <w:b w:val="0"/>
                <w:bCs/>
                <w:sz w:val="21"/>
                <w:szCs w:val="21"/>
              </w:rPr>
              <w:t xml:space="preserve">详见苏采云系统</w:t>
            </w:r>
            <w:r/>
          </w:p>
        </w:tc>
        <w:tc>
          <w:tcPr>
            <w:tcW w:w="1657"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备注：</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459" w:type="dxa"/>
            <w:vAlign w:val="center"/>
            <w:textDirection w:val="lrTb"/>
            <w:noWrap w:val="false"/>
          </w:tcPr>
          <w:p>
            <w:pPr>
              <w:pStyle w:val="1009"/>
              <w:ind w:firstLine="473"/>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657" w:type="dxa"/>
            <w:vAlign w:val="center"/>
            <w:textDirection w:val="lrTb"/>
            <w:noWrap w:val="false"/>
          </w:tcPr>
          <w:p>
            <w:pPr>
              <w:ind w:firstLine="473"/>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1009"/>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459" w:type="dxa"/>
            <w:vAlign w:val="center"/>
            <w:textDirection w:val="lrTb"/>
            <w:noWrap w:val="false"/>
          </w:tcPr>
          <w:p>
            <w:pPr>
              <w:pStyle w:val="1009"/>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657" w:type="dxa"/>
            <w:vAlign w:val="center"/>
            <w:textDirection w:val="lrTb"/>
            <w:noWrap w:val="false"/>
          </w:tcPr>
          <w:p>
            <w:pPr>
              <w:ind w:firstLine="473"/>
              <w:spacing w:line="440" w:lineRule="exact"/>
              <w:rPr>
                <w:rFonts w:hint="eastAsia" w:ascii="宋体" w:hAnsi="宋体" w:cs="宋体"/>
                <w:szCs w:val="21"/>
              </w:rPr>
            </w:pPr>
            <w:r>
              <w:rPr>
                <w:rFonts w:hint="eastAsia" w:ascii="宋体" w:hAnsi="宋体" w:cs="宋体"/>
                <w:szCs w:val="21"/>
              </w:rPr>
            </w:r>
            <w:r/>
          </w:p>
        </w:tc>
      </w:tr>
    </w:tbl>
    <w:p>
      <w:pPr>
        <w:pStyle w:val="1009"/>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6"/>
        </w:numPr>
        <w:ind w:firstLine="422"/>
        <w:jc w:val="left"/>
        <w:spacing w:line="360" w:lineRule="auto"/>
        <w:shd w:val="clear" w:color="auto" w:fill="ffffff"/>
        <w:widowControl/>
        <w:rPr>
          <w:rFonts w:hint="eastAsia" w:ascii="宋体" w:hAnsi="宋体" w:cs="宋体"/>
          <w:b/>
          <w:bCs/>
          <w:szCs w:val="21"/>
        </w:rPr>
      </w:pPr>
      <w:r/>
      <w:bookmarkStart w:id="38"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38"/>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（如有格式自拟）</w:t>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pStyle w:val="100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标包号：     </w:t>
      </w:r>
      <w:r/>
    </w:p>
    <w:tbl>
      <w:tblPr>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pStyle w:val="100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标包号：     </w:t>
      </w:r>
      <w:r/>
    </w:p>
    <w:tbl>
      <w:tblPr>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185"/>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pStyle w:val="100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标包号：     </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after="312" w:line="480" w:lineRule="auto"/>
        <w:rPr>
          <w:rFonts w:hint="eastAsia" w:ascii="宋体" w:hAnsi="宋体" w:cs="宋体"/>
          <w:b/>
          <w:bCs/>
          <w:sz w:val="28"/>
          <w:szCs w:val="28"/>
        </w:rPr>
      </w:pPr>
      <w:r/>
      <w:bookmarkStart w:id="39" w:name="OLE_LINK13"/>
      <w:r/>
      <w:bookmarkStart w:id="40"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39"/>
      <w:r/>
      <w:bookmarkEnd w:id="40"/>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1053"/>
        <w:rPr>
          <w:rFonts w:hint="eastAsia" w:ascii="宋体" w:hAnsi="宋体" w:cs="宋体"/>
          <w:bCs/>
        </w:rPr>
      </w:pPr>
      <w:r>
        <w:rPr>
          <w:rFonts w:hint="eastAsia" w:ascii="宋体" w:hAnsi="宋体" w:cs="宋体"/>
          <w:bCs/>
        </w:rPr>
      </w:r>
      <w:r/>
    </w:p>
    <w:p>
      <w:pPr>
        <w:pStyle w:val="1053"/>
        <w:rPr>
          <w:rFonts w:hint="eastAsia" w:ascii="宋体" w:hAnsi="宋体" w:cs="宋体"/>
          <w:bCs/>
        </w:rPr>
      </w:pPr>
      <w:r>
        <w:rPr>
          <w:rFonts w:hint="eastAsia" w:ascii="宋体" w:hAnsi="宋体" w:cs="宋体"/>
          <w:bCs/>
        </w:rPr>
      </w:r>
      <w:r/>
    </w:p>
    <w:p>
      <w:pPr>
        <w:pStyle w:val="1053"/>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9"/>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附件十三、联合体协议及联合体授权委托书（如允许联合体、格式自拟）</w:t>
      </w:r>
      <w:r/>
    </w:p>
    <w:p>
      <w:pPr>
        <w:pStyle w:val="1053"/>
      </w:pPr>
      <w:r/>
      <w:r/>
    </w:p>
    <w:p>
      <w:pPr>
        <w:spacing w:line="360" w:lineRule="auto"/>
        <w:rPr>
          <w:rFonts w:hint="eastAsia" w:ascii="宋体" w:hAnsi="宋体" w:cs="宋体"/>
          <w:b/>
        </w:rPr>
      </w:pPr>
      <w:r>
        <w:rPr>
          <w:rFonts w:hint="eastAsia" w:ascii="宋体" w:hAnsi="宋体" w:cs="宋体"/>
          <w:b/>
        </w:rPr>
      </w:r>
      <w:r/>
    </w:p>
    <w:p>
      <w:pPr>
        <w:pStyle w:val="1053"/>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1053"/>
        <w:ind w:firstLine="0"/>
        <w:jc w:val="left"/>
        <w:spacing w:line="360" w:lineRule="auto"/>
        <w:rPr>
          <w:rFonts w:hint="eastAsia" w:ascii="宋体" w:hAnsi="宋体" w:cs="宋体"/>
          <w:b/>
        </w:rPr>
      </w:pPr>
      <w:r>
        <w:rPr>
          <w:rFonts w:hint="eastAsia" w:ascii="宋体" w:hAnsi="宋体" w:cs="宋体"/>
          <w:b/>
        </w:rPr>
      </w:r>
      <w:r/>
    </w:p>
    <w:p>
      <w:pPr>
        <w:pStyle w:val="1053"/>
        <w:ind w:firstLine="0"/>
        <w:jc w:val="left"/>
        <w:spacing w:line="360" w:lineRule="auto"/>
        <w:rPr>
          <w:rFonts w:hint="eastAsia" w:ascii="宋体" w:hAnsi="宋体" w:cs="宋体"/>
          <w:szCs w:val="20"/>
        </w:rPr>
      </w:pPr>
      <w:r>
        <w:rPr>
          <w:rFonts w:hint="eastAsia" w:ascii="宋体" w:hAnsi="宋体" w:cs="宋体"/>
          <w:b/>
        </w:rPr>
        <w:t xml:space="preserve">附件十五、</w:t>
      </w:r>
      <w:bookmarkStart w:id="41" w:name="OLE_LINK2"/>
      <w:r>
        <w:rPr>
          <w:rFonts w:hint="eastAsia" w:ascii="宋体" w:hAnsi="宋体" w:cs="宋体"/>
          <w:b/>
        </w:rPr>
        <w:t xml:space="preserve">投标人需要提供的其他材料</w:t>
      </w:r>
      <w:bookmarkEnd w:id="41"/>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pStyle w:val="996"/>
      <w:isLgl w:val="false"/>
      <w:suff w:val="nothing"/>
      <w:lvlText w:val=""/>
      <w:lvlJc w:val="left"/>
      <w:pPr>
        <w:ind w:left="0" w:firstLine="0"/>
      </w:pPr>
    </w:lvl>
    <w:lvl w:ilvl="2">
      <w:start w:val="1"/>
      <w:numFmt w:val="none"/>
      <w:pStyle w:val="997"/>
      <w:isLgl w:val="false"/>
      <w:suff w:val="nothing"/>
      <w:lvlText w:val=""/>
      <w:lvlJc w:val="left"/>
      <w:pPr>
        <w:ind w:left="0" w:firstLine="0"/>
      </w:pPr>
    </w:lvl>
    <w:lvl w:ilvl="3">
      <w:start w:val="1"/>
      <w:numFmt w:val="none"/>
      <w:pStyle w:val="998"/>
      <w:isLgl w:val="false"/>
      <w:suff w:val="nothing"/>
      <w:lvlText w:val=""/>
      <w:lvlJc w:val="left"/>
      <w:pPr>
        <w:ind w:left="0" w:firstLine="0"/>
      </w:pPr>
    </w:lvl>
    <w:lvl w:ilvl="4">
      <w:start w:val="1"/>
      <w:numFmt w:val="none"/>
      <w:pStyle w:val="999"/>
      <w:isLgl w:val="false"/>
      <w:suff w:val="nothing"/>
      <w:lvlText w:val=""/>
      <w:lvlJc w:val="left"/>
      <w:pPr>
        <w:ind w:left="0" w:firstLine="0"/>
      </w:pPr>
    </w:lvl>
    <w:lvl w:ilvl="5">
      <w:start w:val="1"/>
      <w:numFmt w:val="none"/>
      <w:pStyle w:val="1000"/>
      <w:isLgl w:val="false"/>
      <w:suff w:val="nothing"/>
      <w:lvlText w:val=""/>
      <w:lvlJc w:val="left"/>
      <w:pPr>
        <w:ind w:left="0" w:firstLine="0"/>
      </w:pPr>
    </w:lvl>
    <w:lvl w:ilvl="6">
      <w:start w:val="1"/>
      <w:numFmt w:val="none"/>
      <w:pStyle w:val="1001"/>
      <w:isLgl w:val="false"/>
      <w:suff w:val="nothing"/>
      <w:lvlText w:val=""/>
      <w:lvlJc w:val="left"/>
      <w:pPr>
        <w:ind w:left="0" w:firstLine="0"/>
      </w:pPr>
    </w:lvl>
    <w:lvl w:ilvl="7">
      <w:start w:val="1"/>
      <w:numFmt w:val="none"/>
      <w:pStyle w:val="1002"/>
      <w:isLgl w:val="false"/>
      <w:suff w:val="nothing"/>
      <w:lvlText w:val=""/>
      <w:lvlJc w:val="left"/>
      <w:pPr>
        <w:ind w:left="0" w:firstLine="0"/>
      </w:pPr>
    </w:lvl>
    <w:lvl w:ilvl="8">
      <w:start w:val="1"/>
      <w:numFmt w:val="none"/>
      <w:pStyle w:val="1003"/>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14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8"/>
      <w:isLgl/>
      <w:suff w:val="tab"/>
      <w:lvlText w:val="%1.%2"/>
      <w:lvlJc w:val="left"/>
      <w:pPr>
        <w:ind w:left="425" w:hanging="425"/>
      </w:pPr>
      <w:rPr>
        <w:rFonts w:hint="eastAsia" w:ascii="Arial Unicode MS" w:hAnsi="Arial Unicode MS" w:eastAsia="微软雅黑"/>
        <w:b/>
        <w:i w:val="0"/>
      </w:rPr>
    </w:lvl>
    <w:lvl w:ilvl="2">
      <w:start w:val="1"/>
      <w:numFmt w:val="decimal"/>
      <w:pStyle w:val="118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995"/>
      <w:isLgl w:val="false"/>
      <w:suff w:val="space"/>
      <w:lvlText w:val="第%1章"/>
      <w:lvlJc w:val="left"/>
      <w:pPr>
        <w:ind w:left="3687"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4"/>
    <w:link w:val="995"/>
    <w:uiPriority w:val="9"/>
    <w:rPr>
      <w:rFonts w:ascii="Arial" w:hAnsi="Arial" w:eastAsia="Arial" w:cs="Arial"/>
      <w:sz w:val="40"/>
      <w:szCs w:val="40"/>
    </w:rPr>
  </w:style>
  <w:style w:type="character" w:styleId="843">
    <w:name w:val="Heading 2 Char"/>
    <w:basedOn w:val="1004"/>
    <w:link w:val="996"/>
    <w:uiPriority w:val="9"/>
    <w:rPr>
      <w:rFonts w:ascii="Arial" w:hAnsi="Arial" w:eastAsia="Arial" w:cs="Arial"/>
      <w:sz w:val="34"/>
    </w:rPr>
  </w:style>
  <w:style w:type="character" w:styleId="844">
    <w:name w:val="Heading 3 Char"/>
    <w:basedOn w:val="1004"/>
    <w:link w:val="997"/>
    <w:uiPriority w:val="9"/>
    <w:rPr>
      <w:rFonts w:ascii="Arial" w:hAnsi="Arial" w:eastAsia="Arial" w:cs="Arial"/>
      <w:sz w:val="30"/>
      <w:szCs w:val="30"/>
    </w:rPr>
  </w:style>
  <w:style w:type="character" w:styleId="845">
    <w:name w:val="Heading 4 Char"/>
    <w:basedOn w:val="1004"/>
    <w:link w:val="998"/>
    <w:uiPriority w:val="9"/>
    <w:rPr>
      <w:rFonts w:ascii="Arial" w:hAnsi="Arial" w:eastAsia="Arial" w:cs="Arial"/>
      <w:b/>
      <w:bCs/>
      <w:sz w:val="26"/>
      <w:szCs w:val="26"/>
    </w:rPr>
  </w:style>
  <w:style w:type="character" w:styleId="846">
    <w:name w:val="Heading 5 Char"/>
    <w:basedOn w:val="1004"/>
    <w:link w:val="999"/>
    <w:uiPriority w:val="9"/>
    <w:rPr>
      <w:rFonts w:ascii="Arial" w:hAnsi="Arial" w:eastAsia="Arial" w:cs="Arial"/>
      <w:b/>
      <w:bCs/>
      <w:sz w:val="24"/>
      <w:szCs w:val="24"/>
    </w:rPr>
  </w:style>
  <w:style w:type="character" w:styleId="847">
    <w:name w:val="Heading 6 Char"/>
    <w:basedOn w:val="1004"/>
    <w:link w:val="1000"/>
    <w:uiPriority w:val="9"/>
    <w:rPr>
      <w:rFonts w:ascii="Arial" w:hAnsi="Arial" w:eastAsia="Arial" w:cs="Arial"/>
      <w:b/>
      <w:bCs/>
      <w:sz w:val="22"/>
      <w:szCs w:val="22"/>
    </w:rPr>
  </w:style>
  <w:style w:type="character" w:styleId="848">
    <w:name w:val="Heading 7 Char"/>
    <w:basedOn w:val="1004"/>
    <w:link w:val="1001"/>
    <w:uiPriority w:val="9"/>
    <w:rPr>
      <w:rFonts w:ascii="Arial" w:hAnsi="Arial" w:eastAsia="Arial" w:cs="Arial"/>
      <w:b/>
      <w:bCs/>
      <w:i/>
      <w:iCs/>
      <w:sz w:val="22"/>
      <w:szCs w:val="22"/>
    </w:rPr>
  </w:style>
  <w:style w:type="character" w:styleId="849">
    <w:name w:val="Heading 8 Char"/>
    <w:basedOn w:val="1004"/>
    <w:link w:val="1002"/>
    <w:uiPriority w:val="9"/>
    <w:rPr>
      <w:rFonts w:ascii="Arial" w:hAnsi="Arial" w:eastAsia="Arial" w:cs="Arial"/>
      <w:i/>
      <w:iCs/>
      <w:sz w:val="22"/>
      <w:szCs w:val="22"/>
    </w:rPr>
  </w:style>
  <w:style w:type="character" w:styleId="850">
    <w:name w:val="Heading 9 Char"/>
    <w:basedOn w:val="1004"/>
    <w:link w:val="1003"/>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character" w:styleId="852">
    <w:name w:val="Title Char"/>
    <w:basedOn w:val="1004"/>
    <w:link w:val="1041"/>
    <w:uiPriority w:val="10"/>
    <w:rPr>
      <w:sz w:val="48"/>
      <w:szCs w:val="48"/>
    </w:rPr>
  </w:style>
  <w:style w:type="character" w:styleId="853">
    <w:name w:val="Subtitle Char"/>
    <w:basedOn w:val="1004"/>
    <w:link w:val="1034"/>
    <w:uiPriority w:val="11"/>
    <w:rPr>
      <w:sz w:val="24"/>
      <w:szCs w:val="24"/>
    </w:rPr>
  </w:style>
  <w:style w:type="paragraph" w:styleId="854">
    <w:name w:val="Quote"/>
    <w:basedOn w:val="994"/>
    <w:next w:val="994"/>
    <w:link w:val="855"/>
    <w:uiPriority w:val="29"/>
    <w:qFormat/>
    <w:pPr>
      <w:ind w:left="720" w:right="720"/>
    </w:pPr>
    <w:rPr>
      <w:i/>
    </w:rPr>
  </w:style>
  <w:style w:type="character" w:styleId="855">
    <w:name w:val="Quote Char"/>
    <w:link w:val="854"/>
    <w:uiPriority w:val="29"/>
    <w:rPr>
      <w:i/>
    </w:rPr>
  </w:style>
  <w:style w:type="paragraph" w:styleId="856">
    <w:name w:val="Intense Quote"/>
    <w:basedOn w:val="994"/>
    <w:next w:val="994"/>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character" w:styleId="858">
    <w:name w:val="Header Char"/>
    <w:basedOn w:val="1004"/>
    <w:link w:val="1029"/>
    <w:uiPriority w:val="99"/>
  </w:style>
  <w:style w:type="character" w:styleId="859">
    <w:name w:val="Footer Char"/>
    <w:basedOn w:val="1004"/>
    <w:link w:val="1028"/>
    <w:uiPriority w:val="99"/>
  </w:style>
  <w:style w:type="character" w:styleId="860">
    <w:name w:val="Caption Char"/>
    <w:basedOn w:val="1010"/>
    <w:link w:val="1028"/>
    <w:uiPriority w:val="99"/>
  </w:style>
  <w:style w:type="table" w:styleId="861">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6">
    <w:name w:val="footnote text"/>
    <w:basedOn w:val="994"/>
    <w:link w:val="987"/>
    <w:uiPriority w:val="99"/>
    <w:semiHidden/>
    <w:unhideWhenUsed/>
    <w:pPr>
      <w:spacing w:after="40" w:line="240" w:lineRule="auto"/>
    </w:pPr>
    <w:rPr>
      <w:sz w:val="18"/>
    </w:rPr>
  </w:style>
  <w:style w:type="character" w:styleId="987">
    <w:name w:val="Footnote Text Char"/>
    <w:link w:val="986"/>
    <w:uiPriority w:val="99"/>
    <w:rPr>
      <w:sz w:val="18"/>
    </w:rPr>
  </w:style>
  <w:style w:type="character" w:styleId="988">
    <w:name w:val="footnote reference"/>
    <w:basedOn w:val="1004"/>
    <w:uiPriority w:val="99"/>
    <w:unhideWhenUsed/>
    <w:rPr>
      <w:vertAlign w:val="superscript"/>
    </w:rPr>
  </w:style>
  <w:style w:type="paragraph" w:styleId="989">
    <w:name w:val="endnote text"/>
    <w:basedOn w:val="994"/>
    <w:link w:val="990"/>
    <w:uiPriority w:val="99"/>
    <w:semiHidden/>
    <w:unhideWhenUsed/>
    <w:pPr>
      <w:spacing w:after="0" w:line="240" w:lineRule="auto"/>
    </w:pPr>
    <w:rPr>
      <w:sz w:val="20"/>
    </w:rPr>
  </w:style>
  <w:style w:type="character" w:styleId="990">
    <w:name w:val="Endnote Text Char"/>
    <w:link w:val="989"/>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qFormat/>
    <w:pPr>
      <w:jc w:val="both"/>
      <w:widowControl w:val="off"/>
    </w:pPr>
    <w:rPr>
      <w:sz w:val="21"/>
      <w:szCs w:val="24"/>
    </w:rPr>
  </w:style>
  <w:style w:type="paragraph" w:styleId="995">
    <w:name w:val="Heading 1"/>
    <w:basedOn w:val="994"/>
    <w:next w:val="994"/>
    <w:link w:val="1058"/>
    <w:qFormat/>
    <w:pPr>
      <w:numPr>
        <w:numId w:val="1"/>
      </w:numPr>
      <w:ind w:left="0"/>
      <w:jc w:val="center"/>
      <w:keepLines/>
      <w:keepNext/>
      <w:pageBreakBefore/>
      <w:spacing w:before="340" w:line="578" w:lineRule="auto"/>
      <w:outlineLvl w:val="0"/>
    </w:pPr>
    <w:rPr>
      <w:b/>
      <w:bCs/>
      <w:sz w:val="32"/>
      <w:szCs w:val="44"/>
    </w:rPr>
  </w:style>
  <w:style w:type="paragraph" w:styleId="996">
    <w:name w:val="Heading 2"/>
    <w:basedOn w:val="994"/>
    <w:next w:val="994"/>
    <w:link w:val="1064"/>
    <w:qFormat/>
    <w:pPr>
      <w:numPr>
        <w:ilvl w:val="1"/>
        <w:numId w:val="2"/>
      </w:numPr>
      <w:keepLines/>
      <w:keepNext/>
      <w:spacing w:before="260" w:after="260" w:line="416" w:lineRule="auto"/>
      <w:outlineLvl w:val="1"/>
    </w:pPr>
    <w:rPr>
      <w:rFonts w:ascii="Cambria" w:hAnsi="Cambria"/>
      <w:b/>
      <w:bCs/>
      <w:sz w:val="32"/>
      <w:szCs w:val="32"/>
    </w:rPr>
  </w:style>
  <w:style w:type="paragraph" w:styleId="997">
    <w:name w:val="Heading 3"/>
    <w:basedOn w:val="994"/>
    <w:next w:val="994"/>
    <w:link w:val="1103"/>
    <w:qFormat/>
    <w:pPr>
      <w:numPr>
        <w:ilvl w:val="2"/>
        <w:numId w:val="2"/>
      </w:numPr>
      <w:keepLines/>
      <w:keepNext/>
      <w:spacing w:before="260" w:after="260" w:line="416" w:lineRule="auto"/>
      <w:outlineLvl w:val="2"/>
    </w:pPr>
    <w:rPr>
      <w:b/>
      <w:bCs/>
      <w:sz w:val="32"/>
      <w:szCs w:val="32"/>
    </w:rPr>
  </w:style>
  <w:style w:type="paragraph" w:styleId="998">
    <w:name w:val="Heading 4"/>
    <w:basedOn w:val="994"/>
    <w:next w:val="994"/>
    <w:link w:val="1140"/>
    <w:qFormat/>
    <w:pPr>
      <w:numPr>
        <w:ilvl w:val="3"/>
        <w:numId w:val="2"/>
      </w:numPr>
      <w:keepLines/>
      <w:keepNext/>
      <w:spacing w:before="280" w:after="290" w:line="376" w:lineRule="auto"/>
      <w:outlineLvl w:val="3"/>
    </w:pPr>
    <w:rPr>
      <w:rFonts w:ascii="Cambria" w:hAnsi="Cambria"/>
      <w:b/>
      <w:bCs/>
      <w:sz w:val="28"/>
      <w:szCs w:val="28"/>
    </w:rPr>
  </w:style>
  <w:style w:type="paragraph" w:styleId="999">
    <w:name w:val="Heading 5"/>
    <w:basedOn w:val="994"/>
    <w:next w:val="994"/>
    <w:link w:val="1093"/>
    <w:qFormat/>
    <w:pPr>
      <w:numPr>
        <w:ilvl w:val="4"/>
        <w:numId w:val="2"/>
      </w:numPr>
      <w:keepLines/>
      <w:keepNext/>
      <w:spacing w:before="280" w:after="290" w:line="376" w:lineRule="auto"/>
      <w:outlineLvl w:val="4"/>
    </w:pPr>
    <w:rPr>
      <w:b/>
      <w:bCs/>
      <w:sz w:val="28"/>
      <w:szCs w:val="28"/>
    </w:rPr>
  </w:style>
  <w:style w:type="paragraph" w:styleId="1000">
    <w:name w:val="Heading 6"/>
    <w:basedOn w:val="994"/>
    <w:next w:val="994"/>
    <w:link w:val="1079"/>
    <w:qFormat/>
    <w:pPr>
      <w:numPr>
        <w:ilvl w:val="5"/>
        <w:numId w:val="2"/>
      </w:numPr>
      <w:keepLines/>
      <w:keepNext/>
      <w:spacing w:before="240" w:after="64" w:line="320" w:lineRule="auto"/>
      <w:outlineLvl w:val="5"/>
    </w:pPr>
    <w:rPr>
      <w:rFonts w:ascii="Cambria" w:hAnsi="Cambria"/>
      <w:b/>
      <w:bCs/>
      <w:sz w:val="24"/>
    </w:rPr>
  </w:style>
  <w:style w:type="paragraph" w:styleId="1001">
    <w:name w:val="Heading 7"/>
    <w:basedOn w:val="994"/>
    <w:next w:val="994"/>
    <w:link w:val="1134"/>
    <w:qFormat/>
    <w:pPr>
      <w:numPr>
        <w:ilvl w:val="6"/>
        <w:numId w:val="2"/>
      </w:numPr>
      <w:keepLines/>
      <w:keepNext/>
      <w:spacing w:before="240" w:after="64" w:line="320" w:lineRule="auto"/>
      <w:outlineLvl w:val="6"/>
    </w:pPr>
    <w:rPr>
      <w:b/>
      <w:bCs/>
      <w:sz w:val="24"/>
    </w:rPr>
  </w:style>
  <w:style w:type="paragraph" w:styleId="1002">
    <w:name w:val="Heading 8"/>
    <w:basedOn w:val="994"/>
    <w:next w:val="994"/>
    <w:link w:val="1119"/>
    <w:qFormat/>
    <w:pPr>
      <w:numPr>
        <w:ilvl w:val="7"/>
        <w:numId w:val="2"/>
      </w:numPr>
      <w:keepLines/>
      <w:keepNext/>
      <w:spacing w:before="240" w:after="64" w:line="320" w:lineRule="auto"/>
      <w:outlineLvl w:val="7"/>
    </w:pPr>
    <w:rPr>
      <w:rFonts w:ascii="Cambria" w:hAnsi="Cambria"/>
      <w:sz w:val="24"/>
    </w:rPr>
  </w:style>
  <w:style w:type="paragraph" w:styleId="1003">
    <w:name w:val="Heading 9"/>
    <w:basedOn w:val="994"/>
    <w:next w:val="994"/>
    <w:link w:val="1097"/>
    <w:qFormat/>
    <w:pPr>
      <w:numPr>
        <w:ilvl w:val="8"/>
        <w:numId w:val="2"/>
      </w:numPr>
      <w:keepLines/>
      <w:keepNext/>
      <w:spacing w:before="240" w:after="64" w:line="320" w:lineRule="auto"/>
      <w:outlineLvl w:val="8"/>
    </w:pPr>
    <w:rPr>
      <w:rFonts w:ascii="Cambria" w:hAnsi="Cambria"/>
      <w:szCs w:val="21"/>
    </w:rPr>
  </w:style>
  <w:style w:type="character" w:styleId="1004" w:default="1">
    <w:name w:val="Default Paragraph Font"/>
    <w:uiPriority w:val="1"/>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List 3"/>
    <w:basedOn w:val="994"/>
    <w:uiPriority w:val="99"/>
    <w:unhideWhenUsed/>
    <w:qFormat/>
    <w:pPr>
      <w:ind w:left="1260" w:hanging="420"/>
      <w:spacing w:before="100" w:beforeAutospacing="1" w:after="100" w:afterAutospacing="1"/>
    </w:pPr>
    <w:rPr>
      <w:szCs w:val="21"/>
    </w:rPr>
  </w:style>
  <w:style w:type="paragraph" w:styleId="1008">
    <w:name w:val="toc 7"/>
    <w:basedOn w:val="994"/>
    <w:next w:val="994"/>
    <w:uiPriority w:val="39"/>
    <w:unhideWhenUsed/>
    <w:qFormat/>
    <w:pPr>
      <w:ind w:left="2520"/>
    </w:pPr>
    <w:rPr>
      <w:rFonts w:ascii="Calibri" w:hAnsi="Calibri"/>
      <w:szCs w:val="22"/>
    </w:rPr>
  </w:style>
  <w:style w:type="paragraph" w:styleId="1009">
    <w:name w:val="Normal Indent"/>
    <w:basedOn w:val="994"/>
    <w:qFormat/>
    <w:pPr>
      <w:ind w:firstLine="420"/>
    </w:pPr>
    <w:rPr>
      <w:b/>
      <w:sz w:val="24"/>
      <w:szCs w:val="20"/>
    </w:rPr>
  </w:style>
  <w:style w:type="paragraph" w:styleId="1010">
    <w:name w:val="Caption"/>
    <w:basedOn w:val="994"/>
    <w:next w:val="994"/>
    <w:qFormat/>
    <w:rPr>
      <w:rFonts w:ascii="Cambria" w:hAnsi="Cambria" w:eastAsia="黑体"/>
      <w:sz w:val="20"/>
      <w:szCs w:val="22"/>
    </w:rPr>
  </w:style>
  <w:style w:type="paragraph" w:styleId="1011">
    <w:name w:val="Document Map"/>
    <w:basedOn w:val="994"/>
    <w:link w:val="1087"/>
    <w:qFormat/>
    <w:rPr>
      <w:rFonts w:ascii="宋体"/>
      <w:sz w:val="18"/>
      <w:szCs w:val="18"/>
    </w:rPr>
  </w:style>
  <w:style w:type="paragraph" w:styleId="1012">
    <w:name w:val="annotation text"/>
    <w:basedOn w:val="994"/>
    <w:link w:val="1111"/>
    <w:uiPriority w:val="99"/>
    <w:qFormat/>
    <w:pPr>
      <w:jc w:val="left"/>
    </w:pPr>
  </w:style>
  <w:style w:type="paragraph" w:styleId="1013">
    <w:name w:val="Body Text 3"/>
    <w:basedOn w:val="994"/>
    <w:link w:val="1130"/>
    <w:qFormat/>
    <w:rPr>
      <w:rFonts w:ascii="宋体"/>
      <w:sz w:val="24"/>
      <w:szCs w:val="20"/>
    </w:rPr>
  </w:style>
  <w:style w:type="paragraph" w:styleId="1014">
    <w:name w:val="Body Text"/>
    <w:basedOn w:val="994"/>
    <w:next w:val="1015"/>
    <w:link w:val="1118"/>
    <w:qFormat/>
    <w:pPr>
      <w:jc w:val="center"/>
    </w:pPr>
    <w:rPr>
      <w:rFonts w:eastAsia="幼圆"/>
      <w:b/>
      <w:bCs/>
      <w:sz w:val="44"/>
    </w:rPr>
  </w:style>
  <w:style w:type="paragraph" w:styleId="1015" w:customStyle="1">
    <w:name w:val="一级条标题"/>
    <w:basedOn w:val="1016"/>
    <w:next w:val="101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basedOn w:val="994"/>
    <w:next w:val="994"/>
    <w:qFormat/>
    <w:pPr>
      <w:jc w:val="center"/>
      <w:spacing w:before="158" w:after="153" w:line="1292" w:lineRule="atLeast"/>
      <w:widowControl/>
    </w:pPr>
    <w:rPr>
      <w:rFonts w:ascii="Arial" w:hAnsi="Calibri" w:eastAsia="黑体" w:cs="黑体"/>
      <w:sz w:val="31"/>
      <w:szCs w:val="22"/>
      <w:lang w:eastAsia="en-US" w:bidi="en-US"/>
    </w:rPr>
  </w:style>
  <w:style w:type="paragraph" w:styleId="1017" w:customStyle="1">
    <w:name w:val="段"/>
    <w:basedOn w:val="994"/>
    <w:next w:val="994"/>
    <w:qFormat/>
    <w:pPr>
      <w:ind w:firstLine="200"/>
      <w:widowControl/>
    </w:pPr>
    <w:rPr>
      <w:rFonts w:hint="eastAsia" w:ascii="宋体"/>
      <w:szCs w:val="20"/>
    </w:rPr>
  </w:style>
  <w:style w:type="paragraph" w:styleId="1018">
    <w:name w:val="Body Text Indent"/>
    <w:basedOn w:val="994"/>
    <w:next w:val="1019"/>
    <w:link w:val="1074"/>
    <w:qFormat/>
    <w:pPr>
      <w:ind w:left="420"/>
      <w:spacing w:after="120"/>
    </w:pPr>
  </w:style>
  <w:style w:type="paragraph" w:styleId="1019">
    <w:name w:val="envelope return"/>
    <w:basedOn w:val="994"/>
    <w:qFormat/>
    <w:rPr>
      <w:rFonts w:ascii="Arial" w:hAnsi="Arial" w:cs="宋体"/>
    </w:rPr>
  </w:style>
  <w:style w:type="paragraph" w:styleId="1020">
    <w:name w:val="index 4"/>
    <w:basedOn w:val="994"/>
    <w:next w:val="994"/>
    <w:qFormat/>
    <w:pPr>
      <w:ind w:left="600"/>
    </w:pPr>
    <w:rPr>
      <w:rFonts w:ascii="Calibri" w:hAnsi="Calibri"/>
    </w:rPr>
  </w:style>
  <w:style w:type="paragraph" w:styleId="1021">
    <w:name w:val="toc 5"/>
    <w:basedOn w:val="994"/>
    <w:next w:val="994"/>
    <w:uiPriority w:val="39"/>
    <w:unhideWhenUsed/>
    <w:qFormat/>
    <w:pPr>
      <w:ind w:left="1680"/>
    </w:pPr>
    <w:rPr>
      <w:rFonts w:ascii="Calibri" w:hAnsi="Calibri"/>
      <w:szCs w:val="22"/>
    </w:rPr>
  </w:style>
  <w:style w:type="paragraph" w:styleId="1022">
    <w:name w:val="toc 3"/>
    <w:basedOn w:val="994"/>
    <w:next w:val="994"/>
    <w:uiPriority w:val="39"/>
    <w:qFormat/>
    <w:pPr>
      <w:ind w:left="840"/>
    </w:pPr>
    <w:rPr>
      <w:rFonts w:ascii="Calibri" w:hAnsi="Calibri"/>
      <w:szCs w:val="22"/>
    </w:rPr>
  </w:style>
  <w:style w:type="paragraph" w:styleId="1023">
    <w:name w:val="Plain Text"/>
    <w:basedOn w:val="994"/>
    <w:link w:val="1080"/>
    <w:qFormat/>
    <w:rPr>
      <w:rFonts w:ascii="Ari"/>
    </w:rPr>
  </w:style>
  <w:style w:type="paragraph" w:styleId="1024">
    <w:name w:val="toc 8"/>
    <w:basedOn w:val="994"/>
    <w:next w:val="994"/>
    <w:uiPriority w:val="39"/>
    <w:unhideWhenUsed/>
    <w:qFormat/>
    <w:pPr>
      <w:ind w:left="2940"/>
    </w:pPr>
    <w:rPr>
      <w:rFonts w:ascii="Calibri" w:hAnsi="Calibri"/>
      <w:szCs w:val="22"/>
    </w:rPr>
  </w:style>
  <w:style w:type="paragraph" w:styleId="1025">
    <w:name w:val="Date"/>
    <w:basedOn w:val="994"/>
    <w:next w:val="994"/>
    <w:link w:val="1088"/>
    <w:unhideWhenUsed/>
    <w:qFormat/>
  </w:style>
  <w:style w:type="paragraph" w:styleId="1026">
    <w:name w:val="Body Text Indent 2"/>
    <w:basedOn w:val="994"/>
    <w:link w:val="1110"/>
    <w:uiPriority w:val="99"/>
    <w:unhideWhenUsed/>
    <w:qFormat/>
    <w:pPr>
      <w:ind w:firstLine="525"/>
      <w:spacing w:line="420" w:lineRule="exact"/>
    </w:pPr>
    <w:rPr>
      <w:rFonts w:ascii="宋体"/>
      <w:sz w:val="20"/>
      <w:szCs w:val="20"/>
    </w:rPr>
  </w:style>
  <w:style w:type="paragraph" w:styleId="1027">
    <w:name w:val="Balloon Text"/>
    <w:basedOn w:val="994"/>
    <w:link w:val="1133"/>
    <w:qFormat/>
    <w:rPr>
      <w:sz w:val="18"/>
      <w:szCs w:val="18"/>
    </w:rPr>
  </w:style>
  <w:style w:type="paragraph" w:styleId="1028">
    <w:name w:val="Footer"/>
    <w:basedOn w:val="994"/>
    <w:link w:val="1123"/>
    <w:uiPriority w:val="99"/>
    <w:qFormat/>
    <w:pPr>
      <w:jc w:val="left"/>
      <w:tabs>
        <w:tab w:val="center" w:pos="4153" w:leader="none"/>
        <w:tab w:val="right" w:pos="8306" w:leader="none"/>
      </w:tabs>
    </w:pPr>
    <w:rPr>
      <w:sz w:val="18"/>
      <w:szCs w:val="18"/>
    </w:rPr>
  </w:style>
  <w:style w:type="paragraph" w:styleId="1029">
    <w:name w:val="Header"/>
    <w:basedOn w:val="994"/>
    <w:link w:val="1078"/>
    <w:qFormat/>
    <w:pPr>
      <w:jc w:val="center"/>
      <w:tabs>
        <w:tab w:val="center" w:pos="4153" w:leader="none"/>
        <w:tab w:val="right" w:pos="8306" w:leader="none"/>
      </w:tabs>
      <w:pBdr>
        <w:bottom w:val="single" w:color="auto" w:sz="6" w:space="1"/>
      </w:pBdr>
    </w:pPr>
    <w:rPr>
      <w:sz w:val="18"/>
      <w:szCs w:val="18"/>
    </w:rPr>
  </w:style>
  <w:style w:type="paragraph" w:styleId="1030">
    <w:name w:val="toc 1"/>
    <w:basedOn w:val="994"/>
    <w:next w:val="994"/>
    <w:uiPriority w:val="39"/>
    <w:qFormat/>
  </w:style>
  <w:style w:type="paragraph" w:styleId="1031">
    <w:name w:val="toc 4"/>
    <w:basedOn w:val="994"/>
    <w:next w:val="994"/>
    <w:uiPriority w:val="39"/>
    <w:unhideWhenUsed/>
    <w:qFormat/>
    <w:pPr>
      <w:ind w:left="1260"/>
    </w:pPr>
    <w:rPr>
      <w:rFonts w:ascii="Calibri" w:hAnsi="Calibri"/>
      <w:szCs w:val="22"/>
    </w:rPr>
  </w:style>
  <w:style w:type="paragraph" w:styleId="1032">
    <w:name w:val="index heading"/>
    <w:basedOn w:val="994"/>
    <w:next w:val="1033"/>
    <w:uiPriority w:val="99"/>
    <w:unhideWhenUsed/>
    <w:qFormat/>
    <w:pPr>
      <w:tabs>
        <w:tab w:val="left" w:pos="240" w:leader="none"/>
      </w:tabs>
    </w:pPr>
  </w:style>
  <w:style w:type="paragraph" w:styleId="1033">
    <w:name w:val="index 1"/>
    <w:basedOn w:val="994"/>
    <w:next w:val="994"/>
    <w:qFormat/>
    <w:pPr>
      <w:jc w:val="center"/>
      <w:spacing w:line="220" w:lineRule="exact"/>
    </w:pPr>
    <w:rPr>
      <w:rFonts w:ascii="仿宋_GB2312" w:hAnsi="Calibri" w:eastAsia="仿宋_GB2312"/>
      <w:szCs w:val="22"/>
    </w:rPr>
  </w:style>
  <w:style w:type="paragraph" w:styleId="1034">
    <w:name w:val="Subtitle"/>
    <w:basedOn w:val="994"/>
    <w:next w:val="994"/>
    <w:link w:val="1106"/>
    <w:qFormat/>
    <w:pPr>
      <w:jc w:val="center"/>
      <w:spacing w:before="240" w:after="60" w:line="312" w:lineRule="auto"/>
      <w:outlineLvl w:val="1"/>
    </w:pPr>
    <w:rPr>
      <w:rFonts w:ascii="Cambria" w:hAnsi="Cambria"/>
      <w:b/>
      <w:bCs/>
      <w:sz w:val="32"/>
      <w:szCs w:val="32"/>
    </w:rPr>
  </w:style>
  <w:style w:type="paragraph" w:styleId="1035">
    <w:name w:val="toc 6"/>
    <w:basedOn w:val="994"/>
    <w:next w:val="994"/>
    <w:uiPriority w:val="39"/>
    <w:unhideWhenUsed/>
    <w:qFormat/>
    <w:pPr>
      <w:ind w:left="2100"/>
    </w:pPr>
    <w:rPr>
      <w:rFonts w:ascii="Calibri" w:hAnsi="Calibri"/>
      <w:szCs w:val="22"/>
    </w:rPr>
  </w:style>
  <w:style w:type="paragraph" w:styleId="1036">
    <w:name w:val="Body Text Indent 3"/>
    <w:basedOn w:val="994"/>
    <w:link w:val="1131"/>
    <w:qFormat/>
    <w:pPr>
      <w:ind w:left="420"/>
      <w:spacing w:after="120"/>
    </w:pPr>
    <w:rPr>
      <w:sz w:val="16"/>
      <w:szCs w:val="20"/>
    </w:rPr>
  </w:style>
  <w:style w:type="paragraph" w:styleId="1037">
    <w:name w:val="toc 2"/>
    <w:basedOn w:val="994"/>
    <w:next w:val="994"/>
    <w:uiPriority w:val="39"/>
    <w:qFormat/>
    <w:pPr>
      <w:ind w:left="420"/>
    </w:pPr>
    <w:rPr>
      <w:rFonts w:ascii="Calibri" w:hAnsi="Calibri"/>
      <w:szCs w:val="22"/>
    </w:rPr>
  </w:style>
  <w:style w:type="paragraph" w:styleId="1038">
    <w:name w:val="toc 9"/>
    <w:basedOn w:val="994"/>
    <w:next w:val="994"/>
    <w:uiPriority w:val="39"/>
    <w:unhideWhenUsed/>
    <w:qFormat/>
    <w:pPr>
      <w:ind w:left="3360"/>
    </w:pPr>
    <w:rPr>
      <w:rFonts w:ascii="Calibri" w:hAnsi="Calibri"/>
      <w:szCs w:val="22"/>
    </w:rPr>
  </w:style>
  <w:style w:type="paragraph" w:styleId="1039">
    <w:name w:val="HTML Preformatted"/>
    <w:basedOn w:val="9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40">
    <w:name w:val="Normal (Web)"/>
    <w:basedOn w:val="994"/>
    <w:uiPriority w:val="99"/>
    <w:qFormat/>
    <w:pPr>
      <w:jc w:val="left"/>
      <w:spacing w:before="100" w:beforeAutospacing="1" w:after="100" w:afterAutospacing="1"/>
      <w:widowControl/>
    </w:pPr>
    <w:rPr>
      <w:rFonts w:ascii="宋体" w:hAnsi="宋体" w:cs="宋体"/>
      <w:sz w:val="24"/>
    </w:rPr>
  </w:style>
  <w:style w:type="paragraph" w:styleId="1041">
    <w:name w:val="Title"/>
    <w:basedOn w:val="994"/>
    <w:next w:val="994"/>
    <w:link w:val="1083"/>
    <w:qFormat/>
    <w:pPr>
      <w:jc w:val="center"/>
      <w:spacing w:before="240" w:after="60" w:line="420" w:lineRule="atLeast"/>
      <w:outlineLvl w:val="0"/>
    </w:pPr>
    <w:rPr>
      <w:rFonts w:ascii="Arial" w:hAnsi="Arial"/>
      <w:b/>
      <w:sz w:val="32"/>
      <w:szCs w:val="20"/>
    </w:rPr>
  </w:style>
  <w:style w:type="paragraph" w:styleId="1042">
    <w:name w:val="annotation subject"/>
    <w:basedOn w:val="1012"/>
    <w:next w:val="1012"/>
    <w:link w:val="1121"/>
    <w:qFormat/>
    <w:rPr>
      <w:b/>
      <w:bCs/>
    </w:rPr>
  </w:style>
  <w:style w:type="paragraph" w:styleId="1043">
    <w:name w:val="Body Text First Indent"/>
    <w:basedOn w:val="1014"/>
    <w:link w:val="1251"/>
    <w:uiPriority w:val="99"/>
    <w:semiHidden/>
    <w:unhideWhenUsed/>
    <w:qFormat/>
    <w:pPr>
      <w:ind w:firstLine="420"/>
      <w:jc w:val="both"/>
      <w:spacing w:after="120"/>
    </w:pPr>
    <w:rPr>
      <w:rFonts w:eastAsia="宋体"/>
      <w:b w:val="0"/>
      <w:bCs w:val="0"/>
      <w:sz w:val="21"/>
    </w:rPr>
  </w:style>
  <w:style w:type="paragraph" w:styleId="1044">
    <w:name w:val="Body Text First Indent 2"/>
    <w:basedOn w:val="1018"/>
    <w:uiPriority w:val="99"/>
    <w:qFormat/>
    <w:pPr>
      <w:ind w:firstLine="420"/>
    </w:pPr>
  </w:style>
  <w:style w:type="table" w:styleId="1045">
    <w:name w:val="Table Grid"/>
    <w:basedOn w:val="10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name w:val="Strong"/>
    <w:qFormat/>
    <w:rPr>
      <w:rFonts w:cs="Times New Roman"/>
      <w:b/>
    </w:rPr>
  </w:style>
  <w:style w:type="character" w:styleId="1047">
    <w:name w:val="page number"/>
    <w:basedOn w:val="1004"/>
    <w:qFormat/>
    <w:rPr>
      <w:rFonts w:eastAsia="宋体"/>
      <w:b/>
      <w:spacing w:val="0"/>
      <w:sz w:val="24"/>
      <w:szCs w:val="24"/>
      <w:vertAlign w:val="baseline"/>
      <w:lang w:val="en-US" w:eastAsia="zh-CN" w:bidi="ar-SA"/>
    </w:rPr>
  </w:style>
  <w:style w:type="character" w:styleId="1048">
    <w:name w:val="FollowedHyperlink"/>
    <w:qFormat/>
    <w:rPr>
      <w:color w:val="800080"/>
      <w:u w:val="single"/>
    </w:rPr>
  </w:style>
  <w:style w:type="character" w:styleId="1049">
    <w:name w:val="Emphasis"/>
    <w:qFormat/>
    <w:rPr>
      <w:color w:val="cc0000"/>
    </w:rPr>
  </w:style>
  <w:style w:type="character" w:styleId="1050">
    <w:name w:val="Hyperlink"/>
    <w:basedOn w:val="1004"/>
    <w:uiPriority w:val="99"/>
    <w:qFormat/>
    <w:rPr>
      <w:color w:val="0000ff"/>
      <w:u w:val="single"/>
    </w:rPr>
  </w:style>
  <w:style w:type="character" w:styleId="1051">
    <w:name w:val="annotation reference"/>
    <w:uiPriority w:val="99"/>
    <w:qFormat/>
    <w:rPr>
      <w:sz w:val="21"/>
      <w:szCs w:val="21"/>
    </w:rPr>
  </w:style>
  <w:style w:type="character" w:styleId="1052">
    <w:name w:val="HTML Cite"/>
    <w:qFormat/>
    <w:rPr>
      <w:color w:val="008000"/>
    </w:rPr>
  </w:style>
  <w:style w:type="paragraph" w:styleId="1053" w:customStyle="1">
    <w:name w:val="列表段落1"/>
    <w:basedOn w:val="994"/>
    <w:next w:val="1012"/>
    <w:uiPriority w:val="99"/>
    <w:qFormat/>
    <w:pPr>
      <w:ind w:firstLine="420"/>
    </w:pPr>
  </w:style>
  <w:style w:type="paragraph" w:styleId="1054" w:customStyle="1">
    <w:name w:val="列表段落2"/>
    <w:basedOn w:val="994"/>
    <w:uiPriority w:val="34"/>
    <w:qFormat/>
    <w:pPr>
      <w:ind w:firstLine="420"/>
    </w:pPr>
  </w:style>
  <w:style w:type="paragraph" w:styleId="1055" w:customStyle="1">
    <w:name w:val="AONormal"/>
    <w:qFormat/>
    <w:pPr>
      <w:ind w:firstLine="440"/>
      <w:spacing w:line="400" w:lineRule="exact"/>
    </w:pPr>
    <w:rPr>
      <w:rFonts w:ascii="华文楷体" w:hAnsi="华文楷体" w:eastAsia="华文楷体" w:cs="华文楷体"/>
      <w:sz w:val="22"/>
      <w:szCs w:val="21"/>
    </w:rPr>
  </w:style>
  <w:style w:type="paragraph" w:styleId="1056" w:customStyle="1">
    <w:name w:val="正文首行缩进 21"/>
    <w:basedOn w:val="1057"/>
    <w:next w:val="994"/>
    <w:qFormat/>
    <w:pPr>
      <w:ind w:firstLine="420"/>
      <w:spacing w:before="100" w:beforeAutospacing="1"/>
    </w:pPr>
    <w:rPr>
      <w:rFonts w:ascii="宋体" w:hAnsi="宋体"/>
      <w:szCs w:val="21"/>
    </w:rPr>
  </w:style>
  <w:style w:type="paragraph" w:styleId="1057" w:customStyle="1">
    <w:name w:val="正文文本缩进1"/>
    <w:basedOn w:val="994"/>
    <w:qFormat/>
    <w:pPr>
      <w:ind w:firstLine="880"/>
      <w:spacing w:line="500" w:lineRule="exact"/>
    </w:pPr>
  </w:style>
  <w:style w:type="character" w:styleId="1058" w:customStyle="1">
    <w:name w:val="标题 1 字符"/>
    <w:link w:val="995"/>
    <w:qFormat/>
    <w:rPr>
      <w:b/>
      <w:bCs/>
      <w:sz w:val="32"/>
      <w:szCs w:val="44"/>
    </w:rPr>
  </w:style>
  <w:style w:type="character" w:styleId="1059" w:customStyle="1">
    <w:name w:val="明显强调1"/>
    <w:qFormat/>
    <w:rPr>
      <w:b/>
      <w:bCs/>
      <w:i/>
      <w:iCs/>
      <w:color w:val="4f81bd"/>
    </w:rPr>
  </w:style>
  <w:style w:type="character" w:styleId="1060" w:customStyle="1">
    <w:name w:val="批注文字 Char2"/>
    <w:qFormat/>
    <w:rPr>
      <w:sz w:val="21"/>
    </w:rPr>
  </w:style>
  <w:style w:type="character" w:styleId="1061" w:customStyle="1">
    <w:name w:val="标题 3 Char_0"/>
    <w:link w:val="1062"/>
    <w:qFormat/>
    <w:rPr>
      <w:b/>
      <w:bCs/>
      <w:sz w:val="32"/>
      <w:szCs w:val="32"/>
    </w:rPr>
  </w:style>
  <w:style w:type="paragraph" w:styleId="1062" w:customStyle="1">
    <w:name w:val="标题 3_0"/>
    <w:basedOn w:val="1063"/>
    <w:next w:val="1063"/>
    <w:link w:val="1061"/>
    <w:qFormat/>
    <w:pPr>
      <w:keepLines/>
      <w:keepNext/>
      <w:spacing w:before="260" w:after="260" w:line="416" w:lineRule="auto"/>
      <w:outlineLvl w:val="2"/>
    </w:pPr>
    <w:rPr>
      <w:b/>
      <w:bCs/>
      <w:sz w:val="32"/>
      <w:szCs w:val="32"/>
    </w:rPr>
  </w:style>
  <w:style w:type="paragraph" w:styleId="1063" w:customStyle="1">
    <w:name w:val="正文_0"/>
    <w:qFormat/>
    <w:pPr>
      <w:jc w:val="both"/>
      <w:widowControl w:val="off"/>
    </w:pPr>
    <w:rPr>
      <w:sz w:val="21"/>
      <w:szCs w:val="24"/>
    </w:rPr>
  </w:style>
  <w:style w:type="character" w:styleId="1064" w:customStyle="1">
    <w:name w:val="标题 2 字符"/>
    <w:link w:val="996"/>
    <w:qFormat/>
    <w:rPr>
      <w:rFonts w:ascii="Cambria" w:hAnsi="Cambria"/>
      <w:b/>
      <w:bCs/>
      <w:sz w:val="32"/>
      <w:szCs w:val="32"/>
    </w:rPr>
  </w:style>
  <w:style w:type="character" w:styleId="1065" w:customStyle="1">
    <w:name w:val="正文文本 Char2"/>
    <w:uiPriority w:val="99"/>
    <w:semiHidden/>
    <w:qFormat/>
    <w:rPr>
      <w:rFonts w:ascii="Calibri" w:hAnsi="Calibri" w:eastAsia="宋体" w:cs="Times New Roman"/>
    </w:rPr>
  </w:style>
  <w:style w:type="character" w:styleId="1066" w:customStyle="1">
    <w:name w:val="页脚 Char1"/>
    <w:uiPriority w:val="99"/>
    <w:semiHidden/>
    <w:qFormat/>
    <w:rPr>
      <w:rFonts w:ascii="Calibri" w:hAnsi="Calibri" w:eastAsia="宋体" w:cs="Times New Roman"/>
      <w:sz w:val="18"/>
      <w:szCs w:val="18"/>
    </w:rPr>
  </w:style>
  <w:style w:type="character" w:styleId="1067" w:customStyle="1">
    <w:name w:val="明显引用 Char2"/>
    <w:uiPriority w:val="99"/>
    <w:qFormat/>
    <w:rPr>
      <w:b/>
      <w:bCs/>
      <w:i/>
      <w:iCs/>
      <w:color w:val="4f81bd"/>
      <w:sz w:val="21"/>
      <w:szCs w:val="24"/>
    </w:rPr>
  </w:style>
  <w:style w:type="character" w:styleId="1068" w:customStyle="1">
    <w:name w:val="引用 Char"/>
    <w:link w:val="1069"/>
    <w:qFormat/>
    <w:rPr>
      <w:i/>
      <w:iCs/>
      <w:color w:val="000000"/>
    </w:rPr>
  </w:style>
  <w:style w:type="paragraph" w:styleId="1069" w:customStyle="1">
    <w:name w:val="引用1"/>
    <w:basedOn w:val="994"/>
    <w:next w:val="994"/>
    <w:link w:val="1068"/>
    <w:qFormat/>
    <w:rPr>
      <w:i/>
      <w:iCs/>
      <w:color w:val="000000"/>
      <w:sz w:val="20"/>
      <w:szCs w:val="20"/>
    </w:rPr>
  </w:style>
  <w:style w:type="character" w:styleId="1070" w:customStyle="1">
    <w:name w:val="标题 1 Char_0"/>
    <w:link w:val="1071"/>
    <w:qFormat/>
    <w:rPr>
      <w:b/>
      <w:bCs/>
      <w:sz w:val="44"/>
      <w:szCs w:val="44"/>
    </w:rPr>
  </w:style>
  <w:style w:type="paragraph" w:styleId="1071" w:customStyle="1">
    <w:name w:val="标题 1_0"/>
    <w:basedOn w:val="1063"/>
    <w:next w:val="1063"/>
    <w:link w:val="1070"/>
    <w:qFormat/>
    <w:pPr>
      <w:keepLines/>
      <w:keepNext/>
      <w:spacing w:before="340" w:after="330" w:line="578" w:lineRule="auto"/>
      <w:outlineLvl w:val="0"/>
    </w:pPr>
    <w:rPr>
      <w:b/>
      <w:bCs/>
      <w:sz w:val="44"/>
      <w:szCs w:val="44"/>
    </w:rPr>
  </w:style>
  <w:style w:type="character" w:styleId="1072" w:customStyle="1">
    <w:name w:val="正文文本缩进 3 Char1"/>
    <w:uiPriority w:val="99"/>
    <w:semiHidden/>
    <w:qFormat/>
    <w:rPr>
      <w:sz w:val="16"/>
      <w:szCs w:val="16"/>
    </w:rPr>
  </w:style>
  <w:style w:type="character" w:styleId="1073" w:customStyle="1">
    <w:name w:val="引用 Char1"/>
    <w:uiPriority w:val="29"/>
    <w:qFormat/>
    <w:rPr>
      <w:i/>
      <w:iCs/>
      <w:color w:val="000000"/>
      <w:sz w:val="21"/>
    </w:rPr>
  </w:style>
  <w:style w:type="character" w:styleId="1074" w:customStyle="1">
    <w:name w:val="正文文本缩进 字符"/>
    <w:link w:val="1018"/>
    <w:qFormat/>
    <w:rPr>
      <w:sz w:val="21"/>
      <w:szCs w:val="24"/>
    </w:rPr>
  </w:style>
  <w:style w:type="character" w:styleId="1075" w:customStyle="1">
    <w:name w:val="font161"/>
    <w:qFormat/>
    <w:rPr>
      <w:b/>
      <w:sz w:val="32"/>
    </w:rPr>
  </w:style>
  <w:style w:type="character" w:styleId="1076" w:customStyle="1">
    <w:name w:val="标题 4 Char_0"/>
    <w:link w:val="1077"/>
    <w:qFormat/>
    <w:rPr>
      <w:rFonts w:ascii="Arial" w:hAnsi="Arial" w:eastAsia="黑体"/>
      <w:b/>
      <w:bCs/>
      <w:sz w:val="28"/>
      <w:szCs w:val="28"/>
    </w:rPr>
  </w:style>
  <w:style w:type="paragraph" w:styleId="1077" w:customStyle="1">
    <w:name w:val="标题 4_0"/>
    <w:basedOn w:val="1063"/>
    <w:next w:val="1063"/>
    <w:link w:val="1076"/>
    <w:qFormat/>
    <w:pPr>
      <w:keepLines/>
      <w:keepNext/>
      <w:spacing w:before="280" w:after="290" w:line="376" w:lineRule="auto"/>
      <w:outlineLvl w:val="3"/>
    </w:pPr>
    <w:rPr>
      <w:rFonts w:ascii="Arial" w:hAnsi="Arial" w:eastAsia="黑体"/>
      <w:b/>
      <w:bCs/>
      <w:sz w:val="28"/>
      <w:szCs w:val="28"/>
    </w:rPr>
  </w:style>
  <w:style w:type="character" w:styleId="1078" w:customStyle="1">
    <w:name w:val="页眉 字符"/>
    <w:link w:val="1029"/>
    <w:qFormat/>
    <w:rPr>
      <w:sz w:val="18"/>
      <w:szCs w:val="18"/>
    </w:rPr>
  </w:style>
  <w:style w:type="character" w:styleId="1079" w:customStyle="1">
    <w:name w:val="标题 6 字符"/>
    <w:link w:val="1000"/>
    <w:qFormat/>
    <w:rPr>
      <w:rFonts w:ascii="Cambria" w:hAnsi="Cambria" w:eastAsia="宋体" w:cs="Times New Roman"/>
      <w:b/>
      <w:bCs/>
      <w:sz w:val="24"/>
      <w:szCs w:val="24"/>
    </w:rPr>
  </w:style>
  <w:style w:type="character" w:styleId="1080" w:customStyle="1">
    <w:name w:val="纯文本 字符"/>
    <w:link w:val="1023"/>
    <w:qFormat/>
    <w:rPr>
      <w:rFonts w:ascii="Ari"/>
      <w:lang w:val="en-US" w:eastAsia="zh-CN" w:bidi="ar-SA"/>
    </w:rPr>
  </w:style>
  <w:style w:type="character" w:styleId="1081" w:customStyle="1">
    <w:name w:val="引用 Char2"/>
    <w:uiPriority w:val="99"/>
    <w:qFormat/>
    <w:rPr>
      <w:i/>
      <w:iCs/>
      <w:color w:val="000000"/>
      <w:sz w:val="21"/>
      <w:szCs w:val="24"/>
    </w:rPr>
  </w:style>
  <w:style w:type="character" w:styleId="1082" w:customStyle="1">
    <w:name w:val="rvts11"/>
    <w:qFormat/>
    <w:rPr>
      <w:rFonts w:hint="default" w:ascii="KNLe" w:hAnsi="KNLe"/>
      <w:sz w:val="24"/>
      <w:szCs w:val="24"/>
      <w:u w:val="single"/>
    </w:rPr>
  </w:style>
  <w:style w:type="character" w:styleId="1083" w:customStyle="1">
    <w:name w:val="标题 字符"/>
    <w:link w:val="1041"/>
    <w:qFormat/>
    <w:rPr>
      <w:rFonts w:ascii="Arial" w:hAnsi="Arial"/>
      <w:b/>
      <w:sz w:val="32"/>
    </w:rPr>
  </w:style>
  <w:style w:type="character" w:styleId="1084" w:customStyle="1">
    <w:name w:val="标题5 Char Char"/>
    <w:link w:val="1085"/>
    <w:qFormat/>
    <w:rPr>
      <w:rFonts w:ascii="Arial" w:hAnsi="Arial"/>
      <w:b/>
      <w:bCs/>
      <w:sz w:val="24"/>
      <w:szCs w:val="32"/>
    </w:rPr>
  </w:style>
  <w:style w:type="paragraph" w:styleId="1085" w:customStyle="1">
    <w:name w:val="标题5"/>
    <w:basedOn w:val="997"/>
    <w:link w:val="1084"/>
    <w:qFormat/>
    <w:pPr>
      <w:numPr>
        <w:ilvl w:val="0"/>
        <w:numId w:val="0"/>
      </w:numPr>
      <w:spacing w:line="413" w:lineRule="auto"/>
    </w:pPr>
    <w:rPr>
      <w:rFonts w:ascii="Arial" w:hAnsi="Arial"/>
      <w:sz w:val="24"/>
    </w:rPr>
  </w:style>
  <w:style w:type="character" w:styleId="1086" w:customStyle="1">
    <w:name w:val="副标题 Char2"/>
    <w:uiPriority w:val="11"/>
    <w:qFormat/>
    <w:rPr>
      <w:rFonts w:ascii="Cambria" w:hAnsi="Cambria" w:cs="Times New Roman"/>
      <w:b/>
      <w:bCs/>
      <w:sz w:val="32"/>
      <w:szCs w:val="32"/>
    </w:rPr>
  </w:style>
  <w:style w:type="character" w:styleId="1087" w:customStyle="1">
    <w:name w:val="文档结构图 字符"/>
    <w:link w:val="1011"/>
    <w:qFormat/>
    <w:rPr>
      <w:rFonts w:ascii="宋体"/>
      <w:sz w:val="18"/>
      <w:szCs w:val="18"/>
    </w:rPr>
  </w:style>
  <w:style w:type="character" w:styleId="1088" w:customStyle="1">
    <w:name w:val="日期 字符"/>
    <w:link w:val="1025"/>
    <w:qFormat/>
    <w:rPr>
      <w:sz w:val="21"/>
      <w:szCs w:val="24"/>
    </w:rPr>
  </w:style>
  <w:style w:type="character" w:styleId="1089" w:customStyle="1">
    <w:name w:val="批注主题 Char1"/>
    <w:qFormat/>
    <w:rPr>
      <w:b/>
      <w:bCs/>
      <w:sz w:val="21"/>
      <w:szCs w:val="22"/>
    </w:rPr>
  </w:style>
  <w:style w:type="character" w:styleId="1090" w:customStyle="1">
    <w:name w:val="font31"/>
    <w:qFormat/>
    <w:rPr>
      <w:rFonts w:hint="eastAsia" w:ascii="宋体" w:hAnsi="宋体" w:eastAsia="宋体" w:cs="宋体"/>
      <w:color w:val="000000"/>
      <w:sz w:val="20"/>
      <w:szCs w:val="20"/>
      <w:u w:val="none"/>
    </w:rPr>
  </w:style>
  <w:style w:type="character" w:styleId="1091" w:customStyle="1">
    <w:name w:val="明显引用 Char"/>
    <w:link w:val="1092"/>
    <w:qFormat/>
    <w:rPr>
      <w:b/>
      <w:bCs/>
      <w:i/>
      <w:iCs/>
      <w:color w:val="4f81bd"/>
    </w:rPr>
  </w:style>
  <w:style w:type="paragraph" w:styleId="1092" w:customStyle="1">
    <w:name w:val="明显引用1"/>
    <w:basedOn w:val="994"/>
    <w:next w:val="994"/>
    <w:link w:val="1091"/>
    <w:qFormat/>
    <w:pPr>
      <w:ind w:left="936" w:right="936"/>
      <w:spacing w:before="200" w:after="280"/>
      <w:pBdr>
        <w:bottom w:val="single" w:color="4F81BD" w:sz="4" w:space="4"/>
      </w:pBdr>
    </w:pPr>
    <w:rPr>
      <w:b/>
      <w:bCs/>
      <w:i/>
      <w:iCs/>
      <w:color w:val="4f81bd"/>
      <w:sz w:val="20"/>
      <w:szCs w:val="20"/>
    </w:rPr>
  </w:style>
  <w:style w:type="character" w:styleId="1093" w:customStyle="1">
    <w:name w:val="标题 5 字符"/>
    <w:link w:val="999"/>
    <w:qFormat/>
    <w:rPr>
      <w:b/>
      <w:bCs/>
      <w:sz w:val="28"/>
      <w:szCs w:val="28"/>
    </w:rPr>
  </w:style>
  <w:style w:type="character" w:styleId="1094" w:customStyle="1">
    <w:name w:val="日期 Char1"/>
    <w:qFormat/>
    <w:rPr>
      <w:rFonts w:ascii="Calibri" w:hAnsi="Calibri" w:eastAsia="宋体" w:cs="Times New Roman"/>
    </w:rPr>
  </w:style>
  <w:style w:type="character" w:styleId="1095" w:customStyle="1">
    <w:name w:val="批注框文本 Char1"/>
    <w:qFormat/>
    <w:rPr>
      <w:sz w:val="18"/>
      <w:szCs w:val="18"/>
    </w:rPr>
  </w:style>
  <w:style w:type="character" w:styleId="1096" w:customStyle="1">
    <w:name w:val="标题 Char1"/>
    <w:uiPriority w:val="10"/>
    <w:qFormat/>
    <w:rPr>
      <w:rFonts w:ascii="Cambria" w:hAnsi="Cambria" w:eastAsia="宋体" w:cs="Times New Roman"/>
      <w:b/>
      <w:bCs/>
      <w:sz w:val="32"/>
      <w:szCs w:val="32"/>
    </w:rPr>
  </w:style>
  <w:style w:type="character" w:styleId="1097" w:customStyle="1">
    <w:name w:val="标题 9 字符"/>
    <w:link w:val="1003"/>
    <w:qFormat/>
    <w:rPr>
      <w:rFonts w:ascii="Cambria" w:hAnsi="Cambria" w:eastAsia="宋体" w:cs="Times New Roman"/>
      <w:sz w:val="21"/>
      <w:szCs w:val="21"/>
    </w:rPr>
  </w:style>
  <w:style w:type="character" w:styleId="1098" w:customStyle="1">
    <w:name w:val="不明显参考1"/>
    <w:qFormat/>
    <w:rPr>
      <w:smallCaps/>
      <w:color w:val="c0504d"/>
      <w:u w:val="single"/>
    </w:rPr>
  </w:style>
  <w:style w:type="character" w:styleId="1099" w:customStyle="1">
    <w:name w:val="批注文字 Char1"/>
    <w:qFormat/>
    <w:rPr>
      <w:rFonts w:ascii="Calibri" w:hAnsi="Calibri" w:eastAsia="宋体" w:cs="Times New Roman"/>
    </w:rPr>
  </w:style>
  <w:style w:type="character" w:styleId="1100" w:customStyle="1">
    <w:name w:val="标题 Char2"/>
    <w:uiPriority w:val="10"/>
    <w:qFormat/>
    <w:rPr>
      <w:rFonts w:ascii="Cambria" w:hAnsi="Cambria" w:cs="Times New Roman"/>
      <w:b/>
      <w:bCs/>
      <w:sz w:val="32"/>
      <w:szCs w:val="32"/>
    </w:rPr>
  </w:style>
  <w:style w:type="character" w:styleId="1101" w:customStyle="1">
    <w:name w:val="正文文本 3 Char1"/>
    <w:uiPriority w:val="99"/>
    <w:semiHidden/>
    <w:qFormat/>
    <w:rPr>
      <w:sz w:val="16"/>
      <w:szCs w:val="16"/>
    </w:rPr>
  </w:style>
  <w:style w:type="character" w:styleId="1102" w:customStyle="1">
    <w:name w:val="批注主题 Char2"/>
    <w:qFormat/>
    <w:rPr>
      <w:b/>
      <w:bCs/>
      <w:sz w:val="21"/>
    </w:rPr>
  </w:style>
  <w:style w:type="character" w:styleId="1103" w:customStyle="1">
    <w:name w:val="标题 3 字符"/>
    <w:link w:val="997"/>
    <w:qFormat/>
    <w:rPr>
      <w:b/>
      <w:bCs/>
      <w:sz w:val="32"/>
      <w:szCs w:val="32"/>
    </w:rPr>
  </w:style>
  <w:style w:type="character" w:styleId="1104" w:customStyle="1">
    <w:name w:val="正文文本 Char_0"/>
    <w:link w:val="1105"/>
    <w:qFormat/>
    <w:rPr>
      <w:szCs w:val="24"/>
    </w:rPr>
  </w:style>
  <w:style w:type="paragraph" w:styleId="1105" w:customStyle="1">
    <w:name w:val="正文文本_0"/>
    <w:basedOn w:val="1063"/>
    <w:link w:val="1104"/>
    <w:qFormat/>
    <w:pPr>
      <w:spacing w:after="120"/>
    </w:pPr>
    <w:rPr>
      <w:sz w:val="20"/>
    </w:rPr>
  </w:style>
  <w:style w:type="character" w:styleId="1106" w:customStyle="1">
    <w:name w:val="副标题 字符"/>
    <w:link w:val="1034"/>
    <w:qFormat/>
    <w:rPr>
      <w:rFonts w:ascii="Cambria" w:hAnsi="Cambria"/>
      <w:b/>
      <w:bCs/>
      <w:sz w:val="32"/>
      <w:szCs w:val="32"/>
    </w:rPr>
  </w:style>
  <w:style w:type="character" w:styleId="1107" w:customStyle="1">
    <w:name w:val="bookmark"/>
    <w:basedOn w:val="1004"/>
    <w:qFormat/>
  </w:style>
  <w:style w:type="character" w:styleId="1108" w:customStyle="1">
    <w:name w:val="标题 5 Char_0"/>
    <w:link w:val="1109"/>
    <w:qFormat/>
    <w:rPr>
      <w:rFonts w:ascii="Calibri" w:hAnsi="Calibri"/>
      <w:b/>
      <w:bCs/>
      <w:sz w:val="28"/>
      <w:szCs w:val="28"/>
    </w:rPr>
  </w:style>
  <w:style w:type="paragraph" w:styleId="1109" w:customStyle="1">
    <w:name w:val="标题 5_0"/>
    <w:basedOn w:val="1063"/>
    <w:next w:val="1063"/>
    <w:link w:val="1108"/>
    <w:qFormat/>
    <w:pPr>
      <w:keepLines/>
      <w:keepNext/>
      <w:spacing w:before="280" w:after="290" w:line="372" w:lineRule="auto"/>
      <w:outlineLvl w:val="4"/>
    </w:pPr>
    <w:rPr>
      <w:rFonts w:ascii="Calibri" w:hAnsi="Calibri"/>
      <w:b/>
      <w:bCs/>
      <w:sz w:val="28"/>
      <w:szCs w:val="28"/>
    </w:rPr>
  </w:style>
  <w:style w:type="character" w:styleId="1110" w:customStyle="1">
    <w:name w:val="正文文本缩进 2 字符"/>
    <w:link w:val="1026"/>
    <w:uiPriority w:val="99"/>
    <w:qFormat/>
    <w:rPr>
      <w:rFonts w:ascii="宋体"/>
    </w:rPr>
  </w:style>
  <w:style w:type="character" w:styleId="1111" w:customStyle="1">
    <w:name w:val="批注文字 字符"/>
    <w:link w:val="1012"/>
    <w:uiPriority w:val="99"/>
    <w:qFormat/>
    <w:rPr>
      <w:sz w:val="21"/>
      <w:szCs w:val="24"/>
    </w:rPr>
  </w:style>
  <w:style w:type="character" w:styleId="1112" w:customStyle="1">
    <w:name w:val="font11"/>
    <w:qFormat/>
    <w:rPr>
      <w:rFonts w:hint="eastAsia" w:ascii="宋体" w:hAnsi="宋体" w:eastAsia="宋体" w:cs="宋体"/>
      <w:color w:val="000000"/>
      <w:sz w:val="20"/>
      <w:szCs w:val="20"/>
      <w:u w:val="none"/>
    </w:rPr>
  </w:style>
  <w:style w:type="character" w:styleId="1113" w:customStyle="1">
    <w:name w:val="明显参考1"/>
    <w:qFormat/>
    <w:rPr>
      <w:b/>
      <w:bCs/>
      <w:smallCaps/>
      <w:color w:val="c0504d"/>
      <w:spacing w:val="5"/>
      <w:u w:val="single"/>
    </w:rPr>
  </w:style>
  <w:style w:type="character" w:styleId="1114" w:customStyle="1">
    <w:name w:val="超链接_0"/>
    <w:uiPriority w:val="99"/>
    <w:qFormat/>
    <w:rPr>
      <w:rFonts w:ascii="Calibri" w:hAnsi="Calibri"/>
      <w:color w:val="0000ff"/>
      <w:u w:val="single"/>
    </w:rPr>
  </w:style>
  <w:style w:type="character" w:styleId="1115" w:customStyle="1">
    <w:name w:val="文档结构图 Char2"/>
    <w:uiPriority w:val="99"/>
    <w:semiHidden/>
    <w:qFormat/>
    <w:rPr>
      <w:rFonts w:ascii="宋体" w:hAnsi="Calibri" w:eastAsia="宋体" w:cs="Times New Roman"/>
      <w:sz w:val="18"/>
      <w:szCs w:val="18"/>
    </w:rPr>
  </w:style>
  <w:style w:type="character" w:styleId="1116" w:customStyle="1">
    <w:name w:val="textcontents"/>
    <w:qFormat/>
    <w:rPr>
      <w:rFonts w:cs="Times New Roman"/>
    </w:rPr>
  </w:style>
  <w:style w:type="character" w:styleId="1117" w:customStyle="1">
    <w:name w:val="标题 1 Char"/>
    <w:qFormat/>
    <w:rPr>
      <w:b/>
      <w:bCs/>
      <w:sz w:val="32"/>
      <w:szCs w:val="44"/>
    </w:rPr>
  </w:style>
  <w:style w:type="character" w:styleId="1118" w:customStyle="1">
    <w:name w:val="正文文本 字符"/>
    <w:link w:val="1014"/>
    <w:qFormat/>
    <w:rPr>
      <w:rFonts w:eastAsia="幼圆"/>
      <w:b/>
      <w:bCs/>
      <w:sz w:val="44"/>
      <w:szCs w:val="24"/>
    </w:rPr>
  </w:style>
  <w:style w:type="character" w:styleId="1119" w:customStyle="1">
    <w:name w:val="标题 8 字符"/>
    <w:link w:val="1002"/>
    <w:qFormat/>
    <w:rPr>
      <w:rFonts w:ascii="Cambria" w:hAnsi="Cambria" w:eastAsia="宋体" w:cs="Times New Roman"/>
      <w:sz w:val="24"/>
      <w:szCs w:val="24"/>
    </w:rPr>
  </w:style>
  <w:style w:type="character" w:styleId="1120" w:customStyle="1">
    <w:name w:val="副标题 Char1"/>
    <w:uiPriority w:val="11"/>
    <w:qFormat/>
    <w:rPr>
      <w:rFonts w:ascii="Cambria" w:hAnsi="Cambria" w:cs="Times New Roman"/>
      <w:b/>
      <w:bCs/>
      <w:sz w:val="32"/>
      <w:szCs w:val="32"/>
    </w:rPr>
  </w:style>
  <w:style w:type="character" w:styleId="1121" w:customStyle="1">
    <w:name w:val="批注主题 字符"/>
    <w:link w:val="1042"/>
    <w:qFormat/>
    <w:rPr>
      <w:b/>
      <w:bCs/>
      <w:sz w:val="21"/>
      <w:szCs w:val="24"/>
    </w:rPr>
  </w:style>
  <w:style w:type="character" w:styleId="1122" w:customStyle="1">
    <w:name w:val="书籍标题1"/>
    <w:qFormat/>
    <w:rPr>
      <w:b/>
      <w:bCs/>
      <w:smallCaps/>
      <w:spacing w:val="5"/>
    </w:rPr>
  </w:style>
  <w:style w:type="character" w:styleId="1123" w:customStyle="1">
    <w:name w:val="页脚 字符"/>
    <w:link w:val="1028"/>
    <w:uiPriority w:val="99"/>
    <w:qFormat/>
    <w:rPr>
      <w:sz w:val="18"/>
      <w:szCs w:val="18"/>
    </w:rPr>
  </w:style>
  <w:style w:type="character" w:styleId="1124" w:customStyle="1">
    <w:name w:val="标题4 Char Char"/>
    <w:link w:val="1125"/>
    <w:qFormat/>
    <w:rPr>
      <w:rFonts w:ascii="Arial" w:hAnsi="Arial"/>
      <w:b/>
      <w:bCs/>
      <w:sz w:val="24"/>
      <w:szCs w:val="32"/>
    </w:rPr>
  </w:style>
  <w:style w:type="paragraph" w:styleId="1125" w:customStyle="1">
    <w:name w:val="标题4"/>
    <w:basedOn w:val="996"/>
    <w:next w:val="1020"/>
    <w:link w:val="1124"/>
    <w:qFormat/>
    <w:pPr>
      <w:numPr>
        <w:ilvl w:val="0"/>
        <w:numId w:val="0"/>
      </w:numPr>
      <w:spacing w:line="413" w:lineRule="auto"/>
    </w:pPr>
    <w:rPr>
      <w:rFonts w:ascii="Arial" w:hAnsi="Arial"/>
      <w:sz w:val="24"/>
    </w:rPr>
  </w:style>
  <w:style w:type="character" w:styleId="1126" w:customStyle="1">
    <w:name w:val="正文文本 Char1"/>
    <w:qFormat/>
    <w:rPr>
      <w:rFonts w:ascii="Calibri" w:hAnsi="Calibri" w:eastAsia="宋体" w:cs="Times New Roman"/>
    </w:rPr>
  </w:style>
  <w:style w:type="character" w:styleId="1127" w:customStyle="1">
    <w:name w:val="明显引用 Char1"/>
    <w:uiPriority w:val="30"/>
    <w:qFormat/>
    <w:rPr>
      <w:b/>
      <w:bCs/>
      <w:i/>
      <w:iCs/>
      <w:color w:val="4f81bd"/>
      <w:sz w:val="21"/>
    </w:rPr>
  </w:style>
  <w:style w:type="character" w:styleId="1128" w:customStyle="1">
    <w:name w:val="页眉 Char1"/>
    <w:uiPriority w:val="99"/>
    <w:semiHidden/>
    <w:qFormat/>
    <w:rPr>
      <w:rFonts w:ascii="Calibri" w:hAnsi="Calibri" w:eastAsia="宋体" w:cs="Times New Roman"/>
      <w:sz w:val="18"/>
      <w:szCs w:val="18"/>
    </w:rPr>
  </w:style>
  <w:style w:type="character" w:styleId="1129" w:customStyle="1">
    <w:name w:val="不明显强调1"/>
    <w:qFormat/>
    <w:rPr>
      <w:i/>
      <w:iCs/>
      <w:color w:val="808080"/>
    </w:rPr>
  </w:style>
  <w:style w:type="character" w:styleId="1130" w:customStyle="1">
    <w:name w:val="正文文本 3 字符"/>
    <w:link w:val="1013"/>
    <w:qFormat/>
    <w:rPr>
      <w:rFonts w:ascii="宋体"/>
      <w:sz w:val="24"/>
    </w:rPr>
  </w:style>
  <w:style w:type="character" w:styleId="1131" w:customStyle="1">
    <w:name w:val="正文文本缩进 3 字符"/>
    <w:link w:val="1036"/>
    <w:qFormat/>
    <w:rPr>
      <w:sz w:val="16"/>
    </w:rPr>
  </w:style>
  <w:style w:type="character" w:styleId="1132" w:customStyle="1">
    <w:name w:val="font21"/>
    <w:basedOn w:val="1004"/>
    <w:qFormat/>
    <w:rPr>
      <w:rFonts w:hint="eastAsia" w:ascii="宋体" w:hAnsi="宋体" w:eastAsia="宋体" w:cs="宋体"/>
      <w:color w:val="000000"/>
      <w:sz w:val="20"/>
      <w:szCs w:val="20"/>
      <w:u w:val="none"/>
    </w:rPr>
  </w:style>
  <w:style w:type="character" w:styleId="1133" w:customStyle="1">
    <w:name w:val="批注框文本 字符"/>
    <w:link w:val="1027"/>
    <w:qFormat/>
    <w:rPr>
      <w:sz w:val="18"/>
      <w:szCs w:val="18"/>
    </w:rPr>
  </w:style>
  <w:style w:type="character" w:styleId="1134" w:customStyle="1">
    <w:name w:val="标题 7 字符"/>
    <w:link w:val="1001"/>
    <w:qFormat/>
    <w:rPr>
      <w:b/>
      <w:bCs/>
      <w:sz w:val="24"/>
      <w:szCs w:val="24"/>
    </w:rPr>
  </w:style>
  <w:style w:type="character" w:styleId="1135" w:customStyle="1">
    <w:name w:val="文档结构图 Char1"/>
    <w:qFormat/>
    <w:rPr>
      <w:rFonts w:ascii="宋体" w:hAnsi="Calibri" w:eastAsia="宋体" w:cs="Times New Roman"/>
      <w:sz w:val="18"/>
      <w:szCs w:val="18"/>
    </w:rPr>
  </w:style>
  <w:style w:type="character" w:styleId="1136" w:customStyle="1">
    <w:name w:val="标题 2 Char_0"/>
    <w:link w:val="1137"/>
    <w:qFormat/>
    <w:rPr>
      <w:rFonts w:ascii="Cambria" w:hAnsi="Cambria"/>
      <w:b/>
      <w:bCs/>
      <w:sz w:val="32"/>
      <w:szCs w:val="32"/>
    </w:rPr>
  </w:style>
  <w:style w:type="paragraph" w:styleId="1137" w:customStyle="1">
    <w:name w:val="标题 2_0"/>
    <w:basedOn w:val="1063"/>
    <w:next w:val="1063"/>
    <w:link w:val="1136"/>
    <w:unhideWhenUsed/>
    <w:qFormat/>
    <w:pPr>
      <w:keepLines/>
      <w:keepNext/>
      <w:spacing w:before="260" w:after="260" w:line="416" w:lineRule="auto"/>
      <w:outlineLvl w:val="1"/>
    </w:pPr>
    <w:rPr>
      <w:rFonts w:ascii="Cambria" w:hAnsi="Cambria"/>
      <w:b/>
      <w:bCs/>
      <w:sz w:val="32"/>
      <w:szCs w:val="32"/>
    </w:rPr>
  </w:style>
  <w:style w:type="character" w:styleId="1138" w:customStyle="1">
    <w:name w:val="日期 Char2"/>
    <w:uiPriority w:val="99"/>
    <w:semiHidden/>
    <w:qFormat/>
    <w:rPr>
      <w:rFonts w:ascii="Calibri" w:hAnsi="Calibri" w:eastAsia="宋体" w:cs="Times New Roman"/>
    </w:rPr>
  </w:style>
  <w:style w:type="character" w:styleId="1139" w:customStyle="1">
    <w:name w:val="批注框文本 Char2"/>
    <w:uiPriority w:val="99"/>
    <w:semiHidden/>
    <w:qFormat/>
    <w:rPr>
      <w:rFonts w:ascii="Calibri" w:hAnsi="Calibri" w:eastAsia="宋体" w:cs="Times New Roman"/>
      <w:sz w:val="18"/>
      <w:szCs w:val="18"/>
    </w:rPr>
  </w:style>
  <w:style w:type="character" w:styleId="1140" w:customStyle="1">
    <w:name w:val="标题 4 字符"/>
    <w:link w:val="998"/>
    <w:qFormat/>
    <w:rPr>
      <w:rFonts w:ascii="Cambria" w:hAnsi="Cambria" w:eastAsia="宋体" w:cs="Times New Roman"/>
      <w:b/>
      <w:bCs/>
      <w:sz w:val="28"/>
      <w:szCs w:val="28"/>
    </w:rPr>
  </w:style>
  <w:style w:type="character" w:styleId="1141" w:customStyle="1">
    <w:name w:val="列出段落 Char"/>
    <w:link w:val="1142"/>
    <w:uiPriority w:val="99"/>
    <w:qFormat/>
    <w:rPr>
      <w:sz w:val="21"/>
      <w:szCs w:val="24"/>
    </w:rPr>
  </w:style>
  <w:style w:type="paragraph" w:styleId="1142" w:customStyle="1">
    <w:name w:val="List Paragraph1"/>
    <w:basedOn w:val="994"/>
    <w:link w:val="1141"/>
    <w:uiPriority w:val="99"/>
    <w:qFormat/>
    <w:pPr>
      <w:ind w:firstLine="420"/>
    </w:pPr>
  </w:style>
  <w:style w:type="paragraph" w:styleId="1143" w:customStyle="1">
    <w:name w:val="样式 标题 3 + (中文) 黑体 小四 非加粗 段前: 7.8 磅 段后: 0 磅 行距: 固定值 20 磅"/>
    <w:basedOn w:val="997"/>
    <w:next w:val="994"/>
    <w:qFormat/>
    <w:pPr>
      <w:spacing w:before="0" w:after="0" w:line="400" w:lineRule="exact"/>
    </w:pPr>
    <w:rPr>
      <w:rFonts w:eastAsia="黑体" w:cs="宋体"/>
      <w:b w:val="0"/>
      <w:bCs w:val="0"/>
      <w:sz w:val="24"/>
      <w:szCs w:val="20"/>
    </w:rPr>
  </w:style>
  <w:style w:type="paragraph" w:styleId="1144" w:customStyle="1">
    <w:name w:val="_Style 34"/>
    <w:next w:val="994"/>
    <w:qFormat/>
    <w:pPr>
      <w:jc w:val="both"/>
      <w:widowControl w:val="off"/>
    </w:pPr>
    <w:rPr>
      <w:sz w:val="21"/>
    </w:rPr>
  </w:style>
  <w:style w:type="paragraph" w:styleId="1145" w:customStyle="1">
    <w:name w:val="正文_3"/>
    <w:qFormat/>
    <w:pPr>
      <w:jc w:val="both"/>
      <w:widowControl w:val="off"/>
    </w:pPr>
    <w:rPr>
      <w:sz w:val="21"/>
      <w:szCs w:val="22"/>
    </w:rPr>
  </w:style>
  <w:style w:type="paragraph" w:styleId="1146" w:customStyle="1">
    <w:name w:val="_Style 36"/>
    <w:next w:val="994"/>
    <w:qFormat/>
    <w:pPr>
      <w:jc w:val="both"/>
      <w:widowControl w:val="off"/>
    </w:pPr>
    <w:rPr>
      <w:sz w:val="21"/>
    </w:rPr>
  </w:style>
  <w:style w:type="paragraph" w:styleId="1147" w:customStyle="1">
    <w:name w:val="空半行"/>
    <w:basedOn w:val="994"/>
    <w:qFormat/>
    <w:pPr>
      <w:spacing w:line="120" w:lineRule="exact"/>
    </w:pPr>
    <w:rPr>
      <w:rFonts w:ascii="Calibri" w:hAnsi="Calibri" w:eastAsia="仿宋_GB2312"/>
      <w:color w:val="ffffff"/>
      <w:sz w:val="30"/>
      <w:szCs w:val="22"/>
    </w:rPr>
  </w:style>
  <w:style w:type="paragraph" w:styleId="1148" w:customStyle="1">
    <w:name w:val="1方案格式1"/>
    <w:basedOn w:val="995"/>
    <w:qFormat/>
    <w:pPr>
      <w:numPr>
        <w:numId w:val="3"/>
      </w:numPr>
      <w:ind w:left="0" w:firstLine="0"/>
      <w:spacing w:line="360" w:lineRule="auto"/>
      <w:tabs>
        <w:tab w:val="left" w:pos="360" w:leader="none"/>
      </w:tabs>
    </w:pPr>
    <w:rPr>
      <w:rFonts w:eastAsia="微软雅黑"/>
      <w:bCs w:val="0"/>
      <w:sz w:val="48"/>
    </w:rPr>
  </w:style>
  <w:style w:type="paragraph" w:styleId="1149" w:customStyle="1">
    <w:name w:val="格式３"/>
    <w:basedOn w:val="994"/>
    <w:qFormat/>
    <w:pPr>
      <w:ind w:left="600" w:hanging="600"/>
      <w:spacing w:line="420" w:lineRule="exact"/>
    </w:pPr>
    <w:rPr>
      <w:rFonts w:ascii="宋体" w:hAnsi="宋体"/>
      <w:color w:val="000000"/>
      <w:sz w:val="24"/>
      <w:szCs w:val="20"/>
    </w:rPr>
  </w:style>
  <w:style w:type="paragraph" w:styleId="1150" w:customStyle="1">
    <w:name w:val="正文1"/>
    <w:qFormat/>
    <w:pPr>
      <w:jc w:val="both"/>
      <w:widowControl w:val="off"/>
    </w:pPr>
    <w:rPr>
      <w:rFonts w:ascii="Calibri" w:hAnsi="Calibri"/>
    </w:rPr>
  </w:style>
  <w:style w:type="paragraph" w:styleId="1151" w:customStyle="1">
    <w:name w:val="列出段落1"/>
    <w:basedOn w:val="994"/>
    <w:uiPriority w:val="34"/>
    <w:qFormat/>
    <w:pPr>
      <w:contextualSpacing/>
      <w:ind w:left="720"/>
      <w:jc w:val="left"/>
      <w:widowControl/>
    </w:pPr>
    <w:rPr>
      <w:rFonts w:ascii="Arial" w:hAnsi="Arial" w:eastAsia="黑体"/>
      <w:sz w:val="24"/>
      <w:lang w:eastAsia="en-US"/>
    </w:rPr>
  </w:style>
  <w:style w:type="paragraph" w:styleId="1152" w:customStyle="1">
    <w:name w:val="正文空2字"/>
    <w:basedOn w:val="994"/>
    <w:qFormat/>
    <w:pPr>
      <w:ind w:firstLine="200"/>
      <w:spacing w:line="360" w:lineRule="auto"/>
    </w:pPr>
    <w:rPr>
      <w:sz w:val="24"/>
      <w:lang w:bidi="en-US"/>
    </w:rPr>
  </w:style>
  <w:style w:type="paragraph" w:styleId="1153" w:customStyle="1">
    <w:name w:val="正文_0_0_0"/>
    <w:qFormat/>
    <w:pPr>
      <w:jc w:val="both"/>
      <w:widowControl w:val="off"/>
    </w:pPr>
  </w:style>
  <w:style w:type="paragraph" w:styleId="1154" w:customStyle="1">
    <w:name w:val="目录 5_0"/>
    <w:basedOn w:val="1063"/>
    <w:next w:val="1063"/>
    <w:uiPriority w:val="39"/>
    <w:qFormat/>
    <w:pPr>
      <w:ind w:left="1680"/>
    </w:pPr>
    <w:rPr>
      <w:rFonts w:ascii="Calibri" w:hAnsi="Calibri"/>
    </w:rPr>
  </w:style>
  <w:style w:type="paragraph" w:styleId="1155" w:customStyle="1">
    <w:name w:val="修订1"/>
    <w:qFormat/>
    <w:rPr>
      <w:sz w:val="21"/>
      <w:szCs w:val="24"/>
    </w:rPr>
  </w:style>
  <w:style w:type="paragraph" w:styleId="1156" w:customStyle="1">
    <w:name w:val="标题 11"/>
    <w:basedOn w:val="1150"/>
    <w:next w:val="1150"/>
    <w:qFormat/>
    <w:pPr>
      <w:keepLines/>
      <w:keepNext/>
      <w:spacing w:before="340" w:after="330" w:line="576" w:lineRule="auto"/>
      <w:outlineLvl w:val="0"/>
    </w:pPr>
    <w:rPr>
      <w:rFonts w:ascii="Times New Roman" w:hAnsi="Times New Roman" w:eastAsia="Times New Roman"/>
      <w:b/>
      <w:sz w:val="44"/>
      <w:lang w:val="zh-CN"/>
    </w:rPr>
  </w:style>
  <w:style w:type="paragraph" w:styleId="1157" w:customStyle="1">
    <w:name w:val="正文 + 行距: 固定值 20 磅"/>
    <w:basedOn w:val="994"/>
    <w:qFormat/>
    <w:pPr>
      <w:ind w:firstLine="716"/>
      <w:spacing w:line="400" w:lineRule="exact"/>
    </w:pPr>
    <w:rPr>
      <w:rFonts w:ascii="Calibri" w:hAnsi="Calibri"/>
      <w:szCs w:val="22"/>
    </w:rPr>
  </w:style>
  <w:style w:type="paragraph" w:styleId="1158" w:customStyle="1">
    <w:name w:val="TOC 标题1"/>
    <w:basedOn w:val="995"/>
    <w:next w:val="994"/>
    <w:qFormat/>
    <w:pPr>
      <w:numPr>
        <w:numId w:val="0"/>
      </w:numPr>
      <w:jc w:val="left"/>
      <w:spacing w:before="480" w:line="276" w:lineRule="auto"/>
      <w:widowControl/>
      <w:outlineLvl w:val="9"/>
    </w:pPr>
    <w:rPr>
      <w:rFonts w:ascii="Cambria" w:hAnsi="Cambria"/>
      <w:color w:val="365f91"/>
      <w:sz w:val="28"/>
      <w:szCs w:val="28"/>
    </w:rPr>
  </w:style>
  <w:style w:type="paragraph" w:styleId="1159" w:customStyle="1">
    <w:name w:val="表格文字"/>
    <w:basedOn w:val="994"/>
    <w:link w:val="1190"/>
    <w:qFormat/>
    <w:pPr>
      <w:jc w:val="left"/>
      <w:spacing w:line="420" w:lineRule="atLeast"/>
    </w:pPr>
    <w:rPr>
      <w:rFonts w:ascii="Calibri" w:hAnsi="Calibri"/>
      <w:szCs w:val="22"/>
    </w:rPr>
  </w:style>
  <w:style w:type="paragraph" w:styleId="1160" w:customStyle="1">
    <w:name w:val="flNote"/>
    <w:basedOn w:val="994"/>
    <w:qFormat/>
    <w:pPr>
      <w:jc w:val="center"/>
      <w:spacing w:before="320" w:after="160" w:line="360" w:lineRule="atLeast"/>
    </w:pPr>
    <w:rPr>
      <w:rFonts w:ascii="Arial" w:hAnsi="Calibri" w:eastAsia="黑体"/>
      <w:sz w:val="30"/>
      <w:szCs w:val="22"/>
    </w:rPr>
  </w:style>
  <w:style w:type="paragraph" w:styleId="1161" w:customStyle="1">
    <w:name w:val="文章正文"/>
    <w:basedOn w:val="994"/>
    <w:uiPriority w:val="99"/>
    <w:qFormat/>
    <w:pPr>
      <w:ind w:firstLine="480"/>
      <w:spacing w:line="360" w:lineRule="auto"/>
    </w:pPr>
    <w:rPr>
      <w:rFonts w:ascii="仿宋_GB2312" w:hAnsi="宋体" w:eastAsia="仿宋_GB2312"/>
      <w:color w:val="ff0000"/>
      <w:sz w:val="24"/>
    </w:rPr>
  </w:style>
  <w:style w:type="paragraph" w:styleId="1162" w:customStyle="1">
    <w:name w:val="表格"/>
    <w:basedOn w:val="994"/>
    <w:qFormat/>
    <w:pPr>
      <w:jc w:val="center"/>
    </w:pPr>
    <w:rPr>
      <w:rFonts w:ascii="华文细黑" w:hAnsi="华文细黑"/>
      <w:szCs w:val="22"/>
    </w:rPr>
  </w:style>
  <w:style w:type="paragraph" w:styleId="1163" w:customStyle="1">
    <w:name w:val="Char"/>
    <w:basedOn w:val="994"/>
    <w:qFormat/>
    <w:pPr>
      <w:jc w:val="left"/>
      <w:spacing w:after="160" w:line="240" w:lineRule="exact"/>
      <w:widowControl/>
    </w:pPr>
    <w:rPr>
      <w:rFonts w:ascii="Verdana" w:hAnsi="Verdana"/>
      <w:sz w:val="20"/>
      <w:szCs w:val="20"/>
      <w:lang w:eastAsia="en-US"/>
    </w:rPr>
  </w:style>
  <w:style w:type="paragraph" w:styleId="1164" w:customStyle="1">
    <w:name w:val="Default"/>
    <w:qFormat/>
    <w:pPr>
      <w:widowControl w:val="off"/>
    </w:pPr>
    <w:rPr>
      <w:rFonts w:ascii="宋体" w:cs="宋体"/>
      <w:color w:val="000000"/>
      <w:sz w:val="24"/>
      <w:szCs w:val="24"/>
    </w:rPr>
  </w:style>
  <w:style w:type="paragraph" w:styleId="1165" w:customStyle="1">
    <w:name w:val="列出段落2"/>
    <w:basedOn w:val="994"/>
    <w:uiPriority w:val="99"/>
    <w:qFormat/>
    <w:pPr>
      <w:ind w:firstLine="420"/>
    </w:pPr>
  </w:style>
  <w:style w:type="paragraph" w:styleId="1166" w:customStyle="1">
    <w:name w:val="6'"/>
    <w:basedOn w:val="994"/>
    <w:qFormat/>
    <w:pPr>
      <w:jc w:val="center"/>
      <w:spacing w:line="320" w:lineRule="exact"/>
    </w:pPr>
    <w:rPr>
      <w:rFonts w:ascii="Calibri" w:hAnsi="Calibri"/>
      <w:spacing w:val="20"/>
      <w:szCs w:val="22"/>
    </w:rPr>
  </w:style>
  <w:style w:type="paragraph" w:styleId="1167" w:customStyle="1">
    <w:name w:val="Char Char Char Char Char Char Char"/>
    <w:basedOn w:val="994"/>
    <w:qFormat/>
    <w:pPr>
      <w:spacing w:line="360" w:lineRule="auto"/>
    </w:pPr>
    <w:rPr>
      <w:sz w:val="24"/>
      <w:szCs w:val="20"/>
    </w:rPr>
  </w:style>
  <w:style w:type="paragraph" w:styleId="1168" w:customStyle="1">
    <w:name w:val="2方案格式2"/>
    <w:basedOn w:val="1148"/>
    <w:qFormat/>
    <w:pPr>
      <w:numPr>
        <w:ilvl w:val="1"/>
      </w:numPr>
      <w:spacing w:before="50" w:after="50" w:line="240" w:lineRule="auto"/>
      <w:outlineLvl w:val="1"/>
    </w:pPr>
    <w:rPr>
      <w:sz w:val="44"/>
    </w:rPr>
  </w:style>
  <w:style w:type="paragraph" w:styleId="1169" w:customStyle="1">
    <w:name w:val="无间隔1"/>
    <w:qFormat/>
    <w:pPr>
      <w:jc w:val="both"/>
      <w:widowControl w:val="off"/>
    </w:pPr>
    <w:rPr>
      <w:rFonts w:ascii="Calibri" w:hAnsi="Calibri"/>
      <w:sz w:val="21"/>
      <w:szCs w:val="22"/>
    </w:rPr>
  </w:style>
  <w:style w:type="paragraph" w:styleId="1170" w:customStyle="1">
    <w:name w:val="文档正文"/>
    <w:basedOn w:val="994"/>
    <w:qFormat/>
    <w:pPr>
      <w:ind w:firstLine="567"/>
      <w:spacing w:line="480" w:lineRule="atLeast"/>
    </w:pPr>
    <w:rPr>
      <w:rFonts w:ascii="Ari" w:eastAsia="Ari"/>
      <w:sz w:val="28"/>
      <w:szCs w:val="20"/>
    </w:rPr>
  </w:style>
  <w:style w:type="paragraph" w:styleId="1171" w:customStyle="1">
    <w:name w:val="txt"/>
    <w:basedOn w:val="994"/>
    <w:qFormat/>
    <w:pPr>
      <w:jc w:val="left"/>
      <w:spacing w:before="100" w:beforeAutospacing="1" w:after="100" w:afterAutospacing="1"/>
      <w:widowControl/>
    </w:pPr>
    <w:rPr>
      <w:rFonts w:ascii="宋体" w:hAnsi="宋体" w:cs="宋体"/>
      <w:sz w:val="24"/>
    </w:rPr>
  </w:style>
  <w:style w:type="paragraph" w:styleId="1172" w:customStyle="1">
    <w:name w:val="目录 4_0"/>
    <w:basedOn w:val="1063"/>
    <w:next w:val="1063"/>
    <w:uiPriority w:val="39"/>
    <w:qFormat/>
    <w:pPr>
      <w:ind w:left="1260"/>
    </w:pPr>
    <w:rPr>
      <w:rFonts w:ascii="Calibri" w:hAnsi="Calibri"/>
    </w:rPr>
  </w:style>
  <w:style w:type="paragraph" w:styleId="1173" w:customStyle="1">
    <w:name w:val="目录 3_0"/>
    <w:basedOn w:val="1063"/>
    <w:next w:val="1063"/>
    <w:uiPriority w:val="39"/>
    <w:qFormat/>
    <w:pPr>
      <w:ind w:left="840"/>
    </w:pPr>
    <w:rPr>
      <w:rFonts w:ascii="Calibri" w:hAnsi="Calibri"/>
    </w:rPr>
  </w:style>
  <w:style w:type="paragraph" w:styleId="1174" w:customStyle="1">
    <w:name w:val="样式 标题 1 + 黑体 三号 非加粗 居中 段前: 6 磅 段后: 6 磅 行距: 固定值 20 磅"/>
    <w:basedOn w:val="995"/>
    <w:qFormat/>
    <w:pPr>
      <w:numPr>
        <w:numId w:val="0"/>
      </w:numPr>
      <w:spacing w:before="120" w:after="120" w:line="400" w:lineRule="exact"/>
    </w:pPr>
    <w:rPr>
      <w:rFonts w:ascii="黑体" w:hAnsi="黑体" w:eastAsia="黑体"/>
      <w:b w:val="0"/>
      <w:bCs w:val="0"/>
      <w:szCs w:val="20"/>
    </w:rPr>
  </w:style>
  <w:style w:type="paragraph" w:styleId="1175" w:customStyle="1">
    <w:name w:val="1"/>
    <w:basedOn w:val="994"/>
    <w:next w:val="994"/>
    <w:qFormat/>
    <w:rPr>
      <w:rFonts w:ascii="Calibri" w:hAnsi="Calibri"/>
      <w:szCs w:val="22"/>
    </w:rPr>
  </w:style>
  <w:style w:type="paragraph" w:styleId="1176" w:customStyle="1">
    <w:name w:val="Blockquote_0"/>
    <w:basedOn w:val="1063"/>
    <w:qFormat/>
    <w:pPr>
      <w:ind w:left="360" w:right="360"/>
      <w:jc w:val="left"/>
      <w:spacing w:before="100" w:after="100"/>
    </w:pPr>
    <w:rPr>
      <w:rFonts w:ascii="Calibri" w:hAnsi="Calibri" w:eastAsia="Times New Roman"/>
      <w:sz w:val="24"/>
      <w:szCs w:val="20"/>
    </w:rPr>
  </w:style>
  <w:style w:type="paragraph" w:styleId="1177" w:customStyle="1">
    <w:name w:val="列出段落11"/>
    <w:basedOn w:val="994"/>
    <w:qFormat/>
    <w:pPr>
      <w:contextualSpacing/>
      <w:ind w:left="720"/>
      <w:jc w:val="left"/>
      <w:widowControl/>
    </w:pPr>
    <w:rPr>
      <w:rFonts w:ascii="Arial" w:hAnsi="Arial" w:eastAsia="黑体"/>
      <w:sz w:val="24"/>
      <w:lang w:eastAsia="en-US"/>
    </w:rPr>
  </w:style>
  <w:style w:type="paragraph" w:styleId="1178" w:customStyle="1">
    <w:name w:val="样式 标题 2 + Times New Roman 四号 非加粗 段前: 5 磅 段后: 0 磅 行距: 固定值 20..._0"/>
    <w:basedOn w:val="994"/>
    <w:qFormat/>
    <w:pPr>
      <w:keepLines/>
      <w:keepNext/>
      <w:spacing w:before="100" w:line="360" w:lineRule="auto"/>
      <w:outlineLvl w:val="1"/>
    </w:pPr>
    <w:rPr>
      <w:rFonts w:eastAsia="Times New Roman" w:cs="宋体"/>
      <w:sz w:val="28"/>
      <w:szCs w:val="20"/>
    </w:rPr>
  </w:style>
  <w:style w:type="paragraph" w:styleId="1179" w:customStyle="1">
    <w:name w:val="op_mapdots_left"/>
    <w:basedOn w:val="994"/>
    <w:qFormat/>
    <w:pPr>
      <w:jc w:val="left"/>
      <w:spacing w:before="100" w:beforeAutospacing="1" w:after="100" w:afterAutospacing="1"/>
      <w:widowControl/>
    </w:pPr>
    <w:rPr>
      <w:rFonts w:ascii="宋体" w:hAnsi="宋体" w:cs="宋体"/>
      <w:sz w:val="24"/>
    </w:rPr>
  </w:style>
  <w:style w:type="paragraph" w:styleId="1180" w:customStyle="1">
    <w:name w:val="p0"/>
    <w:basedOn w:val="994"/>
    <w:qFormat/>
    <w:pPr>
      <w:widowControl/>
    </w:pPr>
    <w:rPr>
      <w:b/>
      <w:bCs/>
      <w:sz w:val="24"/>
    </w:rPr>
  </w:style>
  <w:style w:type="paragraph" w:styleId="1181" w:customStyle="1">
    <w:name w:val="Blockquote"/>
    <w:basedOn w:val="994"/>
    <w:qFormat/>
    <w:pPr>
      <w:ind w:left="360" w:right="360"/>
      <w:jc w:val="left"/>
      <w:spacing w:before="100" w:after="100"/>
    </w:pPr>
    <w:rPr>
      <w:rFonts w:ascii="Calibri" w:hAnsi="Calibri"/>
      <w:sz w:val="24"/>
      <w:szCs w:val="22"/>
    </w:rPr>
  </w:style>
  <w:style w:type="paragraph" w:styleId="1182" w:customStyle="1">
    <w:name w:val="3方案格式3"/>
    <w:basedOn w:val="1168"/>
    <w:qFormat/>
    <w:pPr>
      <w:numPr>
        <w:ilvl w:val="2"/>
      </w:numPr>
      <w:outlineLvl w:val="2"/>
    </w:pPr>
    <w:rPr>
      <w:sz w:val="32"/>
    </w:rPr>
  </w:style>
  <w:style w:type="paragraph" w:styleId="1183" w:customStyle="1">
    <w:name w:val="样式 标题 2 + Times New Roman 四号 非加粗 段前: 5 磅 段后: 0 磅 行距: 固定值 20..."/>
    <w:basedOn w:val="996"/>
    <w:qFormat/>
    <w:pPr>
      <w:numPr>
        <w:ilvl w:val="0"/>
        <w:numId w:val="0"/>
      </w:numPr>
      <w:spacing w:before="100" w:after="0" w:line="400" w:lineRule="exact"/>
    </w:pPr>
    <w:rPr>
      <w:rFonts w:ascii="Times New Roman" w:hAnsi="Times New Roman" w:eastAsia="黑体"/>
      <w:b w:val="0"/>
      <w:bCs w:val="0"/>
      <w:sz w:val="28"/>
      <w:szCs w:val="20"/>
    </w:rPr>
  </w:style>
  <w:style w:type="paragraph" w:styleId="1184" w:customStyle="1">
    <w:name w:val="标题2"/>
    <w:basedOn w:val="996"/>
    <w:next w:val="1014"/>
    <w:qFormat/>
    <w:pPr>
      <w:spacing w:before="156" w:after="156" w:line="360" w:lineRule="auto"/>
    </w:pPr>
    <w:rPr>
      <w:bCs w:val="0"/>
      <w:sz w:val="24"/>
    </w:rPr>
  </w:style>
  <w:style w:type="paragraph" w:styleId="1185" w:customStyle="1">
    <w:name w:val="普通正文"/>
    <w:basedOn w:val="994"/>
    <w:qFormat/>
    <w:pPr>
      <w:ind w:firstLine="480"/>
      <w:jc w:val="left"/>
      <w:spacing w:before="120" w:after="120" w:line="360" w:lineRule="auto"/>
    </w:pPr>
    <w:rPr>
      <w:rFonts w:ascii="Arial" w:hAnsi="Arial"/>
      <w:sz w:val="24"/>
    </w:rPr>
  </w:style>
  <w:style w:type="paragraph" w:styleId="1186" w:customStyle="1">
    <w:name w:val="正文11"/>
    <w:qFormat/>
    <w:rPr>
      <w:rFonts w:ascii="Calibri" w:hAnsi="Calibri" w:cs="Calibri"/>
      <w:sz w:val="24"/>
      <w:szCs w:val="24"/>
    </w:rPr>
  </w:style>
  <w:style w:type="paragraph" w:styleId="1187" w:customStyle="1">
    <w:name w:val="正文2"/>
    <w:qFormat/>
    <w:rPr>
      <w:rFonts w:eastAsia="微软雅黑"/>
      <w:sz w:val="24"/>
      <w:szCs w:val="24"/>
    </w:rPr>
  </w:style>
  <w:style w:type="paragraph" w:styleId="1188" w:customStyle="1">
    <w:name w:val="列出段落3"/>
    <w:basedOn w:val="994"/>
    <w:uiPriority w:val="34"/>
    <w:qFormat/>
    <w:pPr>
      <w:ind w:firstLine="420"/>
      <w:jc w:val="left"/>
      <w:spacing w:after="200"/>
      <w:widowControl/>
    </w:pPr>
    <w:rPr>
      <w:rFonts w:ascii="Tahoma" w:hAnsi="Tahoma" w:eastAsia="微软雅黑"/>
      <w:sz w:val="22"/>
      <w:szCs w:val="22"/>
    </w:rPr>
  </w:style>
  <w:style w:type="paragraph" w:styleId="1189" w:customStyle="1">
    <w:name w:val="纯文本2"/>
    <w:basedOn w:val="994"/>
    <w:qFormat/>
    <w:pPr>
      <w:jc w:val="left"/>
    </w:pPr>
    <w:rPr>
      <w:rFonts w:hint="eastAsia" w:ascii="宋体" w:hAnsi="宋体" w:cs="Courier New"/>
      <w:sz w:val="24"/>
      <w:szCs w:val="20"/>
      <w:lang w:bidi="hi-IN"/>
    </w:rPr>
  </w:style>
  <w:style w:type="character" w:styleId="1190" w:customStyle="1">
    <w:name w:val="表格文字 字符"/>
    <w:link w:val="1159"/>
    <w:qFormat/>
    <w:rPr>
      <w:rFonts w:ascii="Calibri" w:hAnsi="Calibri" w:eastAsia="宋体" w:cs="Times New Roman"/>
      <w:sz w:val="21"/>
      <w:szCs w:val="22"/>
    </w:rPr>
  </w:style>
  <w:style w:type="paragraph" w:styleId="1191" w:customStyle="1">
    <w:name w:val="trs_editor"/>
    <w:basedOn w:val="994"/>
    <w:qFormat/>
    <w:pPr>
      <w:jc w:val="left"/>
      <w:spacing w:before="100" w:beforeAutospacing="1" w:after="100" w:afterAutospacing="1"/>
      <w:widowControl/>
    </w:pPr>
    <w:rPr>
      <w:rFonts w:ascii="宋体" w:hAnsi="宋体" w:cs="宋体"/>
      <w:sz w:val="24"/>
    </w:rPr>
  </w:style>
  <w:style w:type="paragraph" w:styleId="1192" w:customStyle="1">
    <w:name w:val="标题二级"/>
    <w:basedOn w:val="994"/>
    <w:qFormat/>
    <w:pPr>
      <w:ind w:firstLine="412"/>
    </w:pPr>
    <w:rPr>
      <w:rFonts w:ascii="宋体" w:hAnsi="宋体"/>
      <w:szCs w:val="21"/>
    </w:rPr>
  </w:style>
  <w:style w:type="paragraph" w:styleId="1193" w:customStyle="1">
    <w:name w:val="修订2"/>
    <w:hidden/>
    <w:uiPriority w:val="99"/>
    <w:semiHidden/>
    <w:qFormat/>
    <w:rPr>
      <w:sz w:val="21"/>
      <w:szCs w:val="24"/>
    </w:rPr>
  </w:style>
  <w:style w:type="paragraph" w:styleId="1194" w:customStyle="1">
    <w:name w:val="修订3"/>
    <w:hidden/>
    <w:uiPriority w:val="99"/>
    <w:semiHidden/>
    <w:qFormat/>
    <w:rPr>
      <w:sz w:val="21"/>
      <w:szCs w:val="24"/>
    </w:rPr>
  </w:style>
  <w:style w:type="character" w:styleId="1195" w:customStyle="1">
    <w:name w:val="无"/>
    <w:qFormat/>
  </w:style>
  <w:style w:type="paragraph" w:styleId="1196" w:customStyle="1">
    <w:name w:val="Heading #2|1"/>
    <w:basedOn w:val="994"/>
    <w:qFormat/>
    <w:pPr>
      <w:ind w:firstLine="310"/>
      <w:jc w:val="center"/>
      <w:spacing w:after="720" w:line="648" w:lineRule="exact"/>
      <w:outlineLvl w:val="1"/>
    </w:pPr>
    <w:rPr>
      <w:rFonts w:ascii="宋体" w:hAnsi="宋体" w:cs="宋体"/>
      <w:sz w:val="42"/>
      <w:szCs w:val="42"/>
      <w:lang w:val="zh-TW" w:eastAsia="zh-TW" w:bidi="zh-TW"/>
    </w:rPr>
  </w:style>
  <w:style w:type="paragraph" w:styleId="1197" w:customStyle="1">
    <w:name w:val="Body text|1"/>
    <w:basedOn w:val="994"/>
    <w:qFormat/>
    <w:pPr>
      <w:ind w:firstLine="400"/>
      <w:spacing w:line="401" w:lineRule="auto"/>
    </w:pPr>
    <w:rPr>
      <w:rFonts w:ascii="宋体" w:hAnsi="宋体" w:cs="宋体"/>
      <w:sz w:val="30"/>
      <w:szCs w:val="30"/>
      <w:lang w:val="zh-TW" w:eastAsia="zh-TW" w:bidi="zh-TW"/>
    </w:rPr>
  </w:style>
  <w:style w:type="paragraph" w:styleId="1198" w:customStyle="1">
    <w:name w:val="_Style 1931"/>
    <w:basedOn w:val="994"/>
    <w:next w:val="1054"/>
    <w:uiPriority w:val="34"/>
    <w:qFormat/>
    <w:pPr>
      <w:ind w:firstLine="420"/>
    </w:pPr>
  </w:style>
  <w:style w:type="paragraph" w:styleId="1199" w:customStyle="1">
    <w:name w:val="段落"/>
    <w:basedOn w:val="994"/>
    <w:qFormat/>
    <w:pPr>
      <w:ind w:firstLine="480"/>
      <w:spacing w:line="460" w:lineRule="exact"/>
    </w:pPr>
    <w:rPr>
      <w:rFonts w:ascii="Calibri" w:hAnsi="Calibri"/>
      <w:sz w:val="24"/>
      <w:szCs w:val="20"/>
    </w:rPr>
  </w:style>
  <w:style w:type="paragraph" w:styleId="1200" w:customStyle="1">
    <w:name w:val="首行缩进"/>
    <w:basedOn w:val="994"/>
    <w:qFormat/>
    <w:pPr>
      <w:ind w:firstLine="480"/>
      <w:spacing w:line="360" w:lineRule="auto"/>
    </w:pPr>
    <w:rPr>
      <w:rFonts w:ascii="宋体" w:hAnsi="宋体" w:cs="宋体"/>
      <w:sz w:val="24"/>
    </w:rPr>
  </w:style>
  <w:style w:type="paragraph" w:styleId="1201" w:customStyle="1">
    <w:name w:val="列出段落4"/>
    <w:basedOn w:val="994"/>
    <w:uiPriority w:val="99"/>
    <w:unhideWhenUsed/>
    <w:qFormat/>
    <w:pPr>
      <w:ind w:firstLine="420"/>
      <w:spacing w:line="360" w:lineRule="auto"/>
    </w:pPr>
    <w:rPr>
      <w:rFonts w:ascii="Calibri" w:hAnsi="Calibri" w:eastAsia="仿宋_GB2312"/>
      <w:sz w:val="32"/>
      <w:szCs w:val="22"/>
    </w:rPr>
  </w:style>
  <w:style w:type="paragraph" w:styleId="1202" w:customStyle="1">
    <w:name w:val="修订4"/>
    <w:hidden/>
    <w:uiPriority w:val="99"/>
    <w:semiHidden/>
    <w:qFormat/>
    <w:rPr>
      <w:sz w:val="21"/>
      <w:szCs w:val="24"/>
    </w:rPr>
  </w:style>
  <w:style w:type="paragraph" w:styleId="1203" w:customStyle="1">
    <w:name w:val="正文 A"/>
    <w:next w:val="1014"/>
    <w:qFormat/>
    <w:pPr>
      <w:jc w:val="both"/>
      <w:widowControl w:val="off"/>
    </w:pPr>
    <w:rPr>
      <w:rFonts w:eastAsia="ヒラギノ角ゴ Pro W3"/>
      <w:color w:val="000000"/>
      <w:sz w:val="21"/>
    </w:rPr>
  </w:style>
  <w:style w:type="paragraph" w:styleId="1204" w:customStyle="1">
    <w:name w:val="无间距"/>
    <w:qFormat/>
    <w:pPr>
      <w:jc w:val="both"/>
      <w:widowControl w:val="off"/>
    </w:pPr>
    <w:rPr>
      <w:rFonts w:ascii="Calibri" w:hAnsi="Calibri"/>
      <w:sz w:val="21"/>
      <w:szCs w:val="22"/>
    </w:rPr>
  </w:style>
  <w:style w:type="paragraph" w:styleId="1205" w:customStyle="1">
    <w:name w:val="*正文"/>
    <w:basedOn w:val="994"/>
    <w:qFormat/>
    <w:pPr>
      <w:spacing w:line="360" w:lineRule="auto"/>
      <w:widowControl/>
    </w:pPr>
    <w:rPr>
      <w:rFonts w:ascii="仿宋_GB2312" w:eastAsia="仿宋_GB2312"/>
      <w:sz w:val="24"/>
      <w:szCs w:val="28"/>
    </w:rPr>
  </w:style>
  <w:style w:type="table" w:styleId="1206" w:customStyle="1">
    <w:name w:val="Table Normal"/>
    <w:unhideWhenUsed/>
    <w:qFormat/>
    <w:tblPr>
      <w:tblCellMar>
        <w:left w:w="0" w:type="dxa"/>
        <w:top w:w="0" w:type="dxa"/>
        <w:right w:w="0" w:type="dxa"/>
        <w:bottom w:w="0" w:type="dxa"/>
      </w:tblCellMar>
    </w:tblPr>
  </w:style>
  <w:style w:type="character" w:styleId="1207" w:customStyle="1">
    <w:name w:val="form-textarea-print1"/>
    <w:qFormat/>
    <w:rPr>
      <w:rFonts w:hint="default" w:ascii="微软雅黑" w:hAnsi="微软雅黑" w:eastAsia="宋体" w:cs="Times New Roman"/>
      <w:sz w:val="18"/>
      <w:szCs w:val="18"/>
    </w:rPr>
  </w:style>
  <w:style w:type="character" w:styleId="1208" w:customStyle="1">
    <w:name w:val="cke_colorbox"/>
    <w:basedOn w:val="1004"/>
    <w:qFormat/>
  </w:style>
  <w:style w:type="character" w:styleId="1209" w:customStyle="1">
    <w:name w:val="cke_colorbox1"/>
    <w:basedOn w:val="1004"/>
    <w:qFormat/>
  </w:style>
  <w:style w:type="character" w:styleId="1210" w:customStyle="1">
    <w:name w:val="pwdtips_alert"/>
    <w:basedOn w:val="1004"/>
    <w:qFormat/>
    <w:rPr>
      <w:shd w:val="clear" w:color="auto" w:fill="ffeaa6"/>
    </w:rPr>
  </w:style>
  <w:style w:type="character" w:styleId="1211" w:customStyle="1">
    <w:name w:val="l-btn-left"/>
    <w:basedOn w:val="1004"/>
    <w:qFormat/>
  </w:style>
  <w:style w:type="character" w:styleId="1212" w:customStyle="1">
    <w:name w:val="l-btn-left1"/>
    <w:basedOn w:val="1004"/>
    <w:qFormat/>
  </w:style>
  <w:style w:type="character" w:styleId="1213" w:customStyle="1">
    <w:name w:val="l-btn-left2"/>
    <w:basedOn w:val="1004"/>
    <w:qFormat/>
  </w:style>
  <w:style w:type="character" w:styleId="1214" w:customStyle="1">
    <w:name w:val="l-btn-left3"/>
    <w:basedOn w:val="1004"/>
    <w:qFormat/>
  </w:style>
  <w:style w:type="character" w:styleId="1215" w:customStyle="1">
    <w:name w:val="combo2"/>
    <w:basedOn w:val="1004"/>
    <w:qFormat/>
  </w:style>
  <w:style w:type="character" w:styleId="1216" w:customStyle="1">
    <w:name w:val="l-btn-empty"/>
    <w:basedOn w:val="1004"/>
    <w:qFormat/>
  </w:style>
  <w:style w:type="character" w:styleId="1217" w:customStyle="1">
    <w:name w:val="red"/>
    <w:basedOn w:val="1004"/>
    <w:qFormat/>
    <w:rPr>
      <w:color w:val="ff0000"/>
    </w:rPr>
  </w:style>
  <w:style w:type="character" w:styleId="1218" w:customStyle="1">
    <w:name w:val="l-btn-text"/>
    <w:basedOn w:val="1004"/>
    <w:qFormat/>
    <w:rPr>
      <w:color w:val="1864ac"/>
      <w:sz w:val="14"/>
      <w:szCs w:val="14"/>
    </w:rPr>
  </w:style>
  <w:style w:type="character" w:styleId="1219" w:customStyle="1">
    <w:name w:val="l-btn-text1"/>
    <w:basedOn w:val="1004"/>
    <w:qFormat/>
  </w:style>
  <w:style w:type="character" w:styleId="1220" w:customStyle="1">
    <w:name w:val="green"/>
    <w:basedOn w:val="1004"/>
    <w:qFormat/>
    <w:rPr>
      <w:color w:val="00a521"/>
    </w:rPr>
  </w:style>
  <w:style w:type="character" w:styleId="1221" w:customStyle="1">
    <w:name w:val="valueinfo"/>
    <w:basedOn w:val="1004"/>
    <w:qFormat/>
    <w:rPr>
      <w:color w:val="666666"/>
    </w:rPr>
  </w:style>
  <w:style w:type="character" w:styleId="1222" w:customStyle="1">
    <w:name w:val="tree-file2"/>
    <w:basedOn w:val="1004"/>
    <w:qFormat/>
  </w:style>
  <w:style w:type="character" w:styleId="1223" w:customStyle="1">
    <w:name w:val="vainfo"/>
    <w:basedOn w:val="1004"/>
    <w:qFormat/>
    <w:rPr>
      <w:color w:val="ff0000"/>
      <w:shd w:val="clear" w:color="auto" w:fill="ffe4e4"/>
    </w:rPr>
  </w:style>
  <w:style w:type="character" w:styleId="1224" w:customStyle="1">
    <w:name w:val="pwdtips_ok"/>
    <w:basedOn w:val="1004"/>
    <w:qFormat/>
    <w:rPr>
      <w:shd w:val="clear" w:color="auto" w:fill="b4ffa6"/>
    </w:rPr>
  </w:style>
  <w:style w:type="character" w:styleId="1225" w:customStyle="1">
    <w:name w:val="pwdtips_error"/>
    <w:basedOn w:val="1004"/>
    <w:qFormat/>
    <w:rPr>
      <w:shd w:val="clear" w:color="auto" w:fill="ffa6a6"/>
    </w:rPr>
  </w:style>
  <w:style w:type="character" w:styleId="1226" w:customStyle="1">
    <w:name w:val="tree-title4"/>
    <w:basedOn w:val="1004"/>
    <w:qFormat/>
    <w:rPr>
      <w:color w:val="1864ac"/>
    </w:rPr>
  </w:style>
  <w:style w:type="character" w:styleId="1227" w:customStyle="1">
    <w:name w:val="tree-title5"/>
    <w:basedOn w:val="1004"/>
    <w:qFormat/>
    <w:rPr>
      <w:color w:val="ffffff"/>
      <w:shd w:val="clear" w:color="auto" w:fill="3366cc"/>
    </w:rPr>
  </w:style>
  <w:style w:type="character" w:styleId="1228" w:customStyle="1">
    <w:name w:val="info"/>
    <w:basedOn w:val="1004"/>
    <w:qFormat/>
  </w:style>
  <w:style w:type="character" w:styleId="1229" w:customStyle="1">
    <w:name w:val="topic"/>
    <w:basedOn w:val="1004"/>
    <w:qFormat/>
    <w:rPr>
      <w:color w:val="ff0000"/>
    </w:rPr>
  </w:style>
  <w:style w:type="paragraph" w:styleId="1230" w:customStyle="1">
    <w:name w:val="_Style 213"/>
    <w:basedOn w:val="994"/>
    <w:next w:val="1054"/>
    <w:uiPriority w:val="34"/>
    <w:qFormat/>
    <w:pPr>
      <w:ind w:firstLine="420"/>
      <w:jc w:val="left"/>
      <w:spacing w:line="360" w:lineRule="atLeast"/>
    </w:pPr>
    <w:rPr>
      <w:rFonts w:ascii="Arial" w:hAnsi="Arial"/>
      <w:sz w:val="24"/>
    </w:rPr>
  </w:style>
  <w:style w:type="paragraph" w:styleId="1231" w:customStyle="1">
    <w:name w:val="修订5"/>
    <w:hidden/>
    <w:uiPriority w:val="99"/>
    <w:semiHidden/>
    <w:qFormat/>
    <w:rPr>
      <w:sz w:val="21"/>
      <w:szCs w:val="24"/>
    </w:rPr>
  </w:style>
  <w:style w:type="paragraph" w:styleId="1232" w:customStyle="1">
    <w:name w:val="修订6"/>
    <w:hidden/>
    <w:uiPriority w:val="99"/>
    <w:semiHidden/>
    <w:qFormat/>
    <w:rPr>
      <w:sz w:val="21"/>
      <w:szCs w:val="24"/>
    </w:rPr>
  </w:style>
  <w:style w:type="character" w:styleId="1233" w:customStyle="1">
    <w:name w:val="NormalCharacter"/>
    <w:semiHidden/>
    <w:qFormat/>
    <w:rPr>
      <w:rFonts w:ascii="Calibri" w:hAnsi="Calibri" w:eastAsia="宋体"/>
      <w:sz w:val="21"/>
      <w:szCs w:val="24"/>
      <w:lang w:val="en-US" w:eastAsia="zh-CN" w:bidi="ar-SA"/>
    </w:rPr>
  </w:style>
  <w:style w:type="paragraph" w:styleId="1234" w:customStyle="1">
    <w:name w:val="无间隔2"/>
    <w:uiPriority w:val="1"/>
    <w:qFormat/>
    <w:pPr>
      <w:jc w:val="both"/>
      <w:widowControl w:val="off"/>
    </w:pPr>
    <w:rPr>
      <w:sz w:val="21"/>
    </w:rPr>
  </w:style>
  <w:style w:type="paragraph" w:styleId="1235" w:customStyle="1">
    <w:name w:val="列表段落21"/>
    <w:basedOn w:val="994"/>
    <w:qFormat/>
    <w:pPr>
      <w:ind w:firstLine="420"/>
    </w:pPr>
    <w:rPr>
      <w:szCs w:val="21"/>
    </w:rPr>
  </w:style>
  <w:style w:type="paragraph" w:styleId="1236" w:customStyle="1">
    <w:name w:val="正文_9_0"/>
    <w:basedOn w:val="994"/>
    <w:qFormat/>
    <w:rPr>
      <w:szCs w:val="21"/>
    </w:rPr>
  </w:style>
  <w:style w:type="paragraph" w:styleId="1237" w:customStyle="1">
    <w:name w:val="p15"/>
    <w:basedOn w:val="994"/>
    <w:qFormat/>
    <w:pPr>
      <w:jc w:val="left"/>
      <w:widowControl/>
    </w:pPr>
    <w:rPr>
      <w:rFonts w:ascii="黑体" w:hAnsi="黑体" w:eastAsia="黑体" w:cs="宋体"/>
      <w:color w:val="000000"/>
      <w:sz w:val="24"/>
    </w:rPr>
  </w:style>
  <w:style w:type="paragraph" w:styleId="1238" w:customStyle="1">
    <w:name w:val="Table Paragraph"/>
    <w:basedOn w:val="994"/>
    <w:uiPriority w:val="1"/>
    <w:qFormat/>
    <w:pPr>
      <w:spacing w:before="1"/>
    </w:pPr>
  </w:style>
  <w:style w:type="character" w:styleId="1239" w:customStyle="1">
    <w:name w:val="font131"/>
    <w:basedOn w:val="1004"/>
    <w:qFormat/>
    <w:rPr>
      <w:rFonts w:ascii="Arial" w:hAnsi="Arial" w:cs="Arial"/>
      <w:color w:val="000000"/>
      <w:sz w:val="28"/>
      <w:szCs w:val="28"/>
      <w:u w:val="none"/>
    </w:rPr>
  </w:style>
  <w:style w:type="character" w:styleId="1240" w:customStyle="1">
    <w:name w:val="font71"/>
    <w:basedOn w:val="1004"/>
    <w:qFormat/>
    <w:rPr>
      <w:rFonts w:hint="default" w:ascii="方正仿宋_GBK" w:hAnsi="方正仿宋_GBK" w:eastAsia="方正仿宋_GBK" w:cs="方正仿宋_GBK"/>
      <w:color w:val="000000"/>
      <w:sz w:val="28"/>
      <w:szCs w:val="28"/>
      <w:u w:val="none"/>
    </w:rPr>
  </w:style>
  <w:style w:type="character" w:styleId="1241" w:customStyle="1">
    <w:name w:val="font41"/>
    <w:basedOn w:val="1004"/>
    <w:qFormat/>
    <w:rPr>
      <w:rFonts w:hint="default" w:ascii="Tahoma" w:hAnsi="Tahoma" w:eastAsia="Tahoma" w:cs="Tahoma"/>
      <w:color w:val="000000"/>
      <w:sz w:val="28"/>
      <w:szCs w:val="28"/>
      <w:u w:val="none"/>
    </w:rPr>
  </w:style>
  <w:style w:type="character" w:styleId="1242" w:customStyle="1">
    <w:name w:val="font141"/>
    <w:basedOn w:val="1004"/>
    <w:qFormat/>
    <w:rPr>
      <w:rFonts w:hint="eastAsia" w:ascii="宋体" w:hAnsi="宋体" w:eastAsia="宋体" w:cs="宋体"/>
      <w:color w:val="000000"/>
      <w:sz w:val="28"/>
      <w:szCs w:val="28"/>
      <w:u w:val="none"/>
    </w:rPr>
  </w:style>
  <w:style w:type="paragraph" w:styleId="1243" w:customStyle="1">
    <w:name w:val="Normal_4"/>
    <w:qFormat/>
    <w:pPr>
      <w:jc w:val="both"/>
      <w:widowControl w:val="off"/>
    </w:pPr>
    <w:rPr>
      <w:rFonts w:ascii="Calibri" w:hAnsi="Calibri"/>
    </w:rPr>
  </w:style>
  <w:style w:type="character" w:styleId="1244" w:customStyle="1">
    <w:name w:val="font121"/>
    <w:basedOn w:val="1004"/>
    <w:qFormat/>
    <w:rPr>
      <w:rFonts w:ascii="Arial" w:hAnsi="Arial" w:cs="Arial"/>
      <w:color w:val="000000"/>
      <w:sz w:val="16"/>
      <w:szCs w:val="16"/>
      <w:u w:val="none"/>
    </w:rPr>
  </w:style>
  <w:style w:type="character" w:styleId="1245" w:customStyle="1">
    <w:name w:val="font51"/>
    <w:basedOn w:val="1004"/>
    <w:qFormat/>
    <w:rPr>
      <w:rFonts w:hint="default" w:ascii="方正仿宋_GBK" w:hAnsi="方正仿宋_GBK" w:eastAsia="方正仿宋_GBK" w:cs="方正仿宋_GBK"/>
      <w:color w:val="000000"/>
      <w:sz w:val="16"/>
      <w:szCs w:val="16"/>
      <w:u w:val="none"/>
    </w:rPr>
  </w:style>
  <w:style w:type="character" w:styleId="1246" w:customStyle="1">
    <w:name w:val="font91"/>
    <w:basedOn w:val="1004"/>
    <w:qFormat/>
    <w:rPr>
      <w:rFonts w:hint="eastAsia" w:ascii="宋体" w:hAnsi="宋体" w:eastAsia="宋体" w:cs="宋体"/>
      <w:color w:val="000000"/>
      <w:sz w:val="16"/>
      <w:szCs w:val="16"/>
      <w:u w:val="none"/>
    </w:rPr>
  </w:style>
  <w:style w:type="paragraph" w:styleId="1247" w:customStyle="1">
    <w:name w:val="索引 41"/>
    <w:basedOn w:val="994"/>
    <w:next w:val="994"/>
    <w:semiHidden/>
    <w:qFormat/>
    <w:pPr>
      <w:ind w:left="1260"/>
    </w:pPr>
    <w:rPr>
      <w:rFonts w:ascii="Calibri" w:hAnsi="Calibri" w:eastAsia="Calibri" w:cs="宋体"/>
      <w:sz w:val="20"/>
      <w:lang w:val="zh-CN"/>
    </w:rPr>
  </w:style>
  <w:style w:type="paragraph" w:styleId="1248" w:customStyle="1">
    <w:name w:val="纯文本11"/>
    <w:basedOn w:val="994"/>
    <w:qFormat/>
    <w:rPr>
      <w:rFonts w:ascii="宋体" w:hAnsi="Courier New" w:cs="Courier New"/>
    </w:rPr>
  </w:style>
  <w:style w:type="paragraph" w:styleId="1249" w:customStyle="1">
    <w:name w:val="正文文本缩进11"/>
    <w:basedOn w:val="994"/>
    <w:next w:val="1250"/>
    <w:unhideWhenUsed/>
    <w:qFormat/>
    <w:pPr>
      <w:ind w:left="420"/>
      <w:spacing w:after="120"/>
    </w:pPr>
  </w:style>
  <w:style w:type="paragraph" w:styleId="1250" w:customStyle="1">
    <w:name w:val="寄信人地址1"/>
    <w:basedOn w:val="994"/>
    <w:qFormat/>
    <w:rPr>
      <w:rFonts w:ascii="Arial" w:hAnsi="Arial" w:cs="宋体"/>
    </w:rPr>
  </w:style>
  <w:style w:type="character" w:styleId="1251" w:customStyle="1">
    <w:name w:val="正文文本首行缩进 字符"/>
    <w:basedOn w:val="1118"/>
    <w:link w:val="1043"/>
    <w:uiPriority w:val="99"/>
    <w:semiHidden/>
    <w:qFormat/>
    <w:rPr>
      <w:rFonts w:eastAsia="幼圆"/>
      <w:b w:val="0"/>
      <w:bCs w:val="0"/>
      <w:sz w:val="21"/>
      <w:szCs w:val="24"/>
    </w:rPr>
  </w:style>
  <w:style w:type="paragraph" w:styleId="1252">
    <w:name w:val="List Paragraph"/>
    <w:basedOn w:val="994"/>
    <w:uiPriority w:val="99"/>
    <w:qFormat/>
    <w:pPr>
      <w:contextualSpacing/>
      <w:ind w:left="720"/>
    </w:pPr>
  </w:style>
  <w:style w:type="paragraph" w:styleId="1253"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褚晶晶</cp:lastModifiedBy>
  <cp:revision>6</cp:revision>
  <dcterms:created xsi:type="dcterms:W3CDTF">2025-04-09T08:45:00Z</dcterms:created>
  <dcterms:modified xsi:type="dcterms:W3CDTF">2025-04-09T10:30:21Z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C5133B029C2A430F8B0367D7AA052231_13</vt:lpwstr>
  </property>
  <property fmtid="{D5CDD505-2E9C-101B-9397-08002B2CF9AE}" pid="4" name="KSOTemplateDocerSaveRecord">
    <vt:lpwstr>eyJoZGlkIjoiYTc2ZGZiNzZiNDVlOGViOWVmM2JhOTY0NGJkNjUyYzgiLCJ1c2VySWQiOiIxMTQ0NDg0NzI4In0=</vt:lpwstr>
  </property>
</Properties>
</file>