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8B701C">
      <w:pPr>
        <w:autoSpaceDE w:val="0"/>
        <w:autoSpaceDN w:val="0"/>
        <w:adjustRightInd w:val="0"/>
        <w:ind w:firstLine="880"/>
        <w:rPr>
          <w:rFonts w:asciiTheme="minorEastAsia" w:hAnsiTheme="minorEastAsia" w:eastAsiaTheme="minorEastAsia" w:cstheme="minorEastAsia"/>
          <w:caps/>
          <w:color w:val="auto"/>
          <w:sz w:val="44"/>
          <w:szCs w:val="44"/>
          <w:highlight w:val="none"/>
          <w:lang w:val="zh-CN"/>
        </w:rPr>
      </w:pPr>
    </w:p>
    <w:p w14:paraId="4663ECCC">
      <w:pPr>
        <w:autoSpaceDE w:val="0"/>
        <w:autoSpaceDN w:val="0"/>
        <w:adjustRightInd w:val="0"/>
        <w:ind w:firstLine="880"/>
        <w:rPr>
          <w:rFonts w:asciiTheme="minorEastAsia" w:hAnsiTheme="minorEastAsia" w:eastAsiaTheme="minorEastAsia" w:cstheme="minorEastAsia"/>
          <w:caps/>
          <w:color w:val="auto"/>
          <w:sz w:val="44"/>
          <w:szCs w:val="44"/>
          <w:highlight w:val="none"/>
          <w:lang w:val="zh-CN"/>
        </w:rPr>
      </w:pPr>
    </w:p>
    <w:p w14:paraId="65056EE4">
      <w:pPr>
        <w:pStyle w:val="19"/>
        <w:ind w:firstLine="600"/>
        <w:rPr>
          <w:rFonts w:asciiTheme="minorEastAsia" w:hAnsiTheme="minorEastAsia" w:eastAsiaTheme="minorEastAsia" w:cstheme="minorEastAsia"/>
          <w:color w:val="auto"/>
          <w:highlight w:val="none"/>
          <w:lang w:val="zh-CN"/>
        </w:rPr>
      </w:pPr>
    </w:p>
    <w:p w14:paraId="785211B3">
      <w:pPr>
        <w:pStyle w:val="19"/>
        <w:ind w:firstLine="600"/>
        <w:rPr>
          <w:rFonts w:asciiTheme="minorEastAsia" w:hAnsiTheme="minorEastAsia" w:eastAsiaTheme="minorEastAsia" w:cstheme="minorEastAsia"/>
          <w:color w:val="auto"/>
          <w:highlight w:val="none"/>
          <w:lang w:val="zh-CN"/>
        </w:rPr>
      </w:pPr>
    </w:p>
    <w:p w14:paraId="530B1EE2">
      <w:pPr>
        <w:autoSpaceDE w:val="0"/>
        <w:autoSpaceDN w:val="0"/>
        <w:adjustRightInd w:val="0"/>
        <w:ind w:firstLine="2000"/>
        <w:jc w:val="both"/>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公开招标文件</w:t>
      </w:r>
    </w:p>
    <w:p w14:paraId="6C45A829">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45EC07B2">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（专门面向中小企业）</w:t>
      </w:r>
    </w:p>
    <w:p w14:paraId="425064C8">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6A0CE865">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5AFC2005">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183D3B65">
      <w:pPr>
        <w:pStyle w:val="19"/>
        <w:ind w:firstLine="600"/>
        <w:rPr>
          <w:rFonts w:asciiTheme="minorEastAsia" w:hAnsiTheme="minorEastAsia" w:eastAsiaTheme="minorEastAsia" w:cstheme="minorEastAsia"/>
          <w:color w:val="auto"/>
          <w:highlight w:val="none"/>
          <w:lang w:val="zh-CN"/>
        </w:rPr>
      </w:pPr>
    </w:p>
    <w:p w14:paraId="6454B858">
      <w:pPr>
        <w:pStyle w:val="19"/>
        <w:ind w:firstLine="600"/>
        <w:rPr>
          <w:rFonts w:asciiTheme="minorEastAsia" w:hAnsiTheme="minorEastAsia" w:eastAsiaTheme="minorEastAsia" w:cstheme="minorEastAsia"/>
          <w:color w:val="auto"/>
          <w:highlight w:val="none"/>
          <w:lang w:val="zh-CN"/>
        </w:rPr>
      </w:pPr>
    </w:p>
    <w:p w14:paraId="25940B45">
      <w:pPr>
        <w:pStyle w:val="19"/>
        <w:ind w:firstLine="600"/>
        <w:rPr>
          <w:rFonts w:asciiTheme="minorEastAsia" w:hAnsiTheme="minorEastAsia" w:eastAsiaTheme="minorEastAsia" w:cstheme="minorEastAsia"/>
          <w:color w:val="auto"/>
          <w:highlight w:val="none"/>
          <w:lang w:val="zh-CN"/>
        </w:rPr>
      </w:pPr>
    </w:p>
    <w:p w14:paraId="2B623ABC">
      <w:pPr>
        <w:pStyle w:val="19"/>
        <w:ind w:firstLine="600"/>
        <w:rPr>
          <w:rFonts w:asciiTheme="minorEastAsia" w:hAnsiTheme="minorEastAsia" w:eastAsiaTheme="minorEastAsia" w:cstheme="minorEastAsia"/>
          <w:color w:val="auto"/>
          <w:highlight w:val="none"/>
          <w:lang w:val="zh-CN"/>
        </w:rPr>
      </w:pPr>
    </w:p>
    <w:p w14:paraId="14B72F74">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tbl>
      <w:tblPr>
        <w:tblStyle w:val="43"/>
        <w:tblW w:w="0" w:type="auto"/>
        <w:tblInd w:w="0" w:type="dxa"/>
        <w:tblLayout w:type="fixed"/>
        <w:tblCellMar>
          <w:top w:w="0" w:type="dxa"/>
          <w:left w:w="108" w:type="dxa"/>
          <w:bottom w:w="0" w:type="dxa"/>
          <w:right w:w="108" w:type="dxa"/>
        </w:tblCellMar>
      </w:tblPr>
      <w:tblGrid>
        <w:gridCol w:w="9472"/>
      </w:tblGrid>
      <w:tr w14:paraId="116225CE">
        <w:tblPrEx>
          <w:tblCellMar>
            <w:top w:w="0" w:type="dxa"/>
            <w:left w:w="108" w:type="dxa"/>
            <w:bottom w:w="0" w:type="dxa"/>
            <w:right w:w="108" w:type="dxa"/>
          </w:tblCellMar>
        </w:tblPrEx>
        <w:trPr>
          <w:trHeight w:val="90" w:hRule="atLeast"/>
        </w:trPr>
        <w:tc>
          <w:tcPr>
            <w:tcW w:w="9472" w:type="dxa"/>
            <w:tcBorders>
              <w:top w:val="nil"/>
              <w:left w:val="nil"/>
              <w:bottom w:val="nil"/>
              <w:right w:val="nil"/>
            </w:tcBorders>
          </w:tcPr>
          <w:p w14:paraId="45234ED7">
            <w:pPr>
              <w:autoSpaceDE w:val="0"/>
              <w:autoSpaceDN w:val="0"/>
              <w:adjustRightInd w:val="0"/>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项目</w:t>
            </w:r>
            <w:r>
              <w:rPr>
                <w:rFonts w:hint="eastAsia" w:asciiTheme="minorEastAsia" w:hAnsiTheme="minorEastAsia" w:eastAsiaTheme="minorEastAsia" w:cstheme="minorEastAsia"/>
                <w:color w:val="auto"/>
                <w:sz w:val="44"/>
                <w:szCs w:val="44"/>
                <w:highlight w:val="none"/>
                <w:lang w:val="zh-CN"/>
              </w:rPr>
              <w:t>编号：JSZC-320115-NJDX-G2025-0007</w:t>
            </w:r>
          </w:p>
          <w:p w14:paraId="36181550">
            <w:pPr>
              <w:autoSpaceDE w:val="0"/>
              <w:autoSpaceDN w:val="0"/>
              <w:adjustRightInd w:val="0"/>
              <w:ind w:left="2125" w:hanging="2125" w:hangingChars="483"/>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项目名称：南京市公安局江宁分局看守所食堂食材采购</w:t>
            </w:r>
          </w:p>
        </w:tc>
      </w:tr>
    </w:tbl>
    <w:p w14:paraId="6E599EED">
      <w:pPr>
        <w:autoSpaceDE w:val="0"/>
        <w:autoSpaceDN w:val="0"/>
        <w:adjustRightInd w:val="0"/>
        <w:ind w:firstLine="640"/>
        <w:jc w:val="center"/>
        <w:rPr>
          <w:rFonts w:asciiTheme="minorEastAsia" w:hAnsiTheme="minorEastAsia" w:eastAsiaTheme="minorEastAsia" w:cstheme="minorEastAsia"/>
          <w:color w:val="auto"/>
          <w:sz w:val="32"/>
          <w:szCs w:val="32"/>
          <w:highlight w:val="none"/>
          <w:lang w:val="zh-CN"/>
        </w:rPr>
      </w:pPr>
    </w:p>
    <w:p w14:paraId="634F6FB6">
      <w:pPr>
        <w:ind w:firstLine="883"/>
        <w:rPr>
          <w:rFonts w:asciiTheme="minorEastAsia" w:hAnsiTheme="minorEastAsia" w:eastAsiaTheme="minorEastAsia" w:cstheme="minorEastAsia"/>
          <w:b/>
          <w:color w:val="auto"/>
          <w:sz w:val="44"/>
          <w:highlight w:val="none"/>
          <w:lang w:val="zh-CN"/>
        </w:rPr>
      </w:pPr>
    </w:p>
    <w:p w14:paraId="33FC407A">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5ECFEFDF">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3B799868">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69295599">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0F25040C">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4F2936DE">
      <w:pPr>
        <w:autoSpaceDE w:val="0"/>
        <w:autoSpaceDN w:val="0"/>
        <w:adjustRightInd w:val="0"/>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南京东兴工程咨询有限公司</w:t>
      </w:r>
    </w:p>
    <w:p w14:paraId="572A573D">
      <w:pPr>
        <w:autoSpaceDE w:val="0"/>
        <w:autoSpaceDN w:val="0"/>
        <w:adjustRightInd w:val="0"/>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二○二</w:t>
      </w:r>
      <w:r>
        <w:rPr>
          <w:rFonts w:hint="eastAsia" w:asciiTheme="minorEastAsia" w:hAnsiTheme="minorEastAsia" w:eastAsiaTheme="minorEastAsia" w:cstheme="minorEastAsia"/>
          <w:color w:val="auto"/>
          <w:sz w:val="44"/>
          <w:szCs w:val="44"/>
          <w:highlight w:val="none"/>
          <w:lang w:val="en-US" w:eastAsia="zh-CN"/>
        </w:rPr>
        <w:t>五</w:t>
      </w:r>
      <w:r>
        <w:rPr>
          <w:rFonts w:hint="eastAsia" w:asciiTheme="minorEastAsia" w:hAnsiTheme="minorEastAsia" w:eastAsiaTheme="minorEastAsia" w:cstheme="minorEastAsia"/>
          <w:color w:val="auto"/>
          <w:sz w:val="44"/>
          <w:szCs w:val="44"/>
          <w:highlight w:val="none"/>
          <w:lang w:val="zh-CN"/>
        </w:rPr>
        <w:t>年</w:t>
      </w:r>
      <w:r>
        <w:rPr>
          <w:rFonts w:hint="eastAsia" w:asciiTheme="minorEastAsia" w:hAnsiTheme="minorEastAsia" w:eastAsiaTheme="minorEastAsia" w:cstheme="minorEastAsia"/>
          <w:color w:val="auto"/>
          <w:sz w:val="44"/>
          <w:szCs w:val="44"/>
          <w:highlight w:val="none"/>
          <w:lang w:val="en-US" w:eastAsia="zh-CN"/>
        </w:rPr>
        <w:t>四</w:t>
      </w:r>
      <w:r>
        <w:rPr>
          <w:rFonts w:hint="eastAsia" w:asciiTheme="minorEastAsia" w:hAnsiTheme="minorEastAsia" w:eastAsiaTheme="minorEastAsia" w:cstheme="minorEastAsia"/>
          <w:color w:val="auto"/>
          <w:sz w:val="44"/>
          <w:szCs w:val="44"/>
          <w:highlight w:val="none"/>
          <w:lang w:val="zh-CN"/>
        </w:rPr>
        <w:t>月</w:t>
      </w:r>
    </w:p>
    <w:p w14:paraId="1B854501">
      <w:pPr>
        <w:autoSpaceDE w:val="0"/>
        <w:autoSpaceDN w:val="0"/>
        <w:adjustRightInd w:val="0"/>
        <w:ind w:firstLine="880"/>
        <w:jc w:val="center"/>
        <w:rPr>
          <w:rFonts w:asciiTheme="minorEastAsia" w:hAnsiTheme="minorEastAsia" w:eastAsiaTheme="minorEastAsia" w:cstheme="minorEastAsia"/>
          <w:color w:val="auto"/>
          <w:sz w:val="44"/>
          <w:szCs w:val="44"/>
          <w:highlight w:val="none"/>
        </w:rPr>
        <w:sectPr>
          <w:headerReference r:id="rId3" w:type="default"/>
          <w:footerReference r:id="rId4" w:type="default"/>
          <w:pgSz w:w="11906" w:h="16838"/>
          <w:pgMar w:top="1418" w:right="1134" w:bottom="1247" w:left="1304" w:header="851" w:footer="992" w:gutter="0"/>
          <w:pgNumType w:fmt="numberInDash"/>
          <w:cols w:space="720" w:num="1"/>
          <w:docGrid w:linePitch="312" w:charSpace="0"/>
        </w:sectPr>
      </w:pPr>
    </w:p>
    <w:p w14:paraId="6F78DA22">
      <w:pPr>
        <w:autoSpaceDE w:val="0"/>
        <w:autoSpaceDN w:val="0"/>
        <w:adjustRightInd w:val="0"/>
        <w:ind w:firstLine="880"/>
        <w:jc w:val="center"/>
        <w:rPr>
          <w:rFonts w:asciiTheme="minorEastAsia" w:hAnsiTheme="minorEastAsia" w:eastAsiaTheme="minorEastAsia" w:cstheme="minorEastAsia"/>
          <w:color w:val="auto"/>
          <w:sz w:val="44"/>
          <w:szCs w:val="44"/>
          <w:highlight w:val="none"/>
        </w:rPr>
      </w:pPr>
    </w:p>
    <w:p w14:paraId="2F556B3F">
      <w:pPr>
        <w:autoSpaceDE w:val="0"/>
        <w:autoSpaceDN w:val="0"/>
        <w:adjustRightInd w:val="0"/>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目录</w:t>
      </w:r>
    </w:p>
    <w:p w14:paraId="564FD780">
      <w:pPr>
        <w:pStyle w:val="31"/>
        <w:tabs>
          <w:tab w:val="right" w:leader="dot" w:pos="9070"/>
        </w:tabs>
      </w:pPr>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_Toc8738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第一章 投标邀请</w:t>
      </w:r>
      <w:r>
        <w:tab/>
      </w:r>
      <w:r>
        <w:fldChar w:fldCharType="begin"/>
      </w:r>
      <w:r>
        <w:instrText xml:space="preserve"> PAGEREF _Toc8738 \h </w:instrText>
      </w:r>
      <w:r>
        <w:fldChar w:fldCharType="separate"/>
      </w:r>
      <w:r>
        <w:t>- 3 -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ABC183F">
      <w:pPr>
        <w:pStyle w:val="31"/>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_Toc16937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第二章 供应商须知</w:t>
      </w:r>
      <w:r>
        <w:tab/>
      </w:r>
      <w:r>
        <w:fldChar w:fldCharType="begin"/>
      </w:r>
      <w:r>
        <w:instrText xml:space="preserve"> PAGEREF _Toc16937 \h </w:instrText>
      </w:r>
      <w:r>
        <w:fldChar w:fldCharType="separate"/>
      </w:r>
      <w:r>
        <w:t>- 6 -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9F0261A">
      <w:pPr>
        <w:pStyle w:val="31"/>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_Toc9793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rPr>
        <w:t>第三章 评标方法和标准</w:t>
      </w:r>
      <w:r>
        <w:tab/>
      </w:r>
      <w:r>
        <w:fldChar w:fldCharType="begin"/>
      </w:r>
      <w:r>
        <w:instrText xml:space="preserve"> PAGEREF _Toc9793 \h </w:instrText>
      </w:r>
      <w:r>
        <w:fldChar w:fldCharType="separate"/>
      </w:r>
      <w:r>
        <w:t>- 14 -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4C25155">
      <w:pPr>
        <w:pStyle w:val="31"/>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_Toc31270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第四章 招标项目说明及技术要求</w:t>
      </w:r>
      <w:r>
        <w:tab/>
      </w:r>
      <w:r>
        <w:fldChar w:fldCharType="begin"/>
      </w:r>
      <w:r>
        <w:instrText xml:space="preserve"> PAGEREF _Toc31270 \h </w:instrText>
      </w:r>
      <w:r>
        <w:fldChar w:fldCharType="separate"/>
      </w:r>
      <w:r>
        <w:t>- 17 -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2AB8F646">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_Toc22494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一、项目概况</w:t>
      </w:r>
      <w:r>
        <w:tab/>
      </w:r>
      <w:r>
        <w:fldChar w:fldCharType="begin"/>
      </w:r>
      <w:r>
        <w:instrText xml:space="preserve"> PAGEREF _Toc22494 \h </w:instrText>
      </w:r>
      <w:r>
        <w:fldChar w:fldCharType="separate"/>
      </w:r>
      <w:r>
        <w:t>- 17 -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186DB0F">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_Toc25776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lang w:val="en-US" w:eastAsia="zh-CN"/>
        </w:rPr>
        <w:t>二、</w:t>
      </w:r>
      <w:r>
        <w:rPr>
          <w:rFonts w:hint="eastAsia" w:asciiTheme="minorEastAsia" w:hAnsiTheme="minorEastAsia" w:eastAsiaTheme="minorEastAsia" w:cstheme="minorEastAsia"/>
          <w:bCs/>
          <w:szCs w:val="28"/>
          <w:highlight w:val="none"/>
        </w:rPr>
        <w:t>部分主要食材清单</w:t>
      </w:r>
      <w:r>
        <w:tab/>
      </w:r>
      <w:r>
        <w:fldChar w:fldCharType="begin"/>
      </w:r>
      <w:r>
        <w:instrText xml:space="preserve"> PAGEREF _Toc25776 \h </w:instrText>
      </w:r>
      <w:r>
        <w:fldChar w:fldCharType="separate"/>
      </w:r>
      <w:r>
        <w:t>- 17 -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AF39977">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_Toc30136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三、技术要求</w:t>
      </w:r>
      <w:r>
        <w:tab/>
      </w:r>
      <w:r>
        <w:fldChar w:fldCharType="begin"/>
      </w:r>
      <w:r>
        <w:instrText xml:space="preserve"> PAGEREF _Toc30136 \h </w:instrText>
      </w:r>
      <w:r>
        <w:fldChar w:fldCharType="separate"/>
      </w:r>
      <w:r>
        <w:t>- 18 -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163151AC">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_Toc24535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（一）产品质量要求</w:t>
      </w:r>
      <w:r>
        <w:tab/>
      </w:r>
      <w:r>
        <w:fldChar w:fldCharType="begin"/>
      </w:r>
      <w:r>
        <w:instrText xml:space="preserve"> PAGEREF _Toc24535 \h </w:instrText>
      </w:r>
      <w:r>
        <w:fldChar w:fldCharType="separate"/>
      </w:r>
      <w:r>
        <w:t>- 18 -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63244EA8">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_Toc16066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（二）供货方式</w:t>
      </w:r>
      <w:r>
        <w:tab/>
      </w:r>
      <w:r>
        <w:fldChar w:fldCharType="begin"/>
      </w:r>
      <w:r>
        <w:instrText xml:space="preserve"> PAGEREF _Toc16066 \h </w:instrText>
      </w:r>
      <w:r>
        <w:fldChar w:fldCharType="separate"/>
      </w:r>
      <w:r>
        <w:t>- 19 -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6B81737B">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_Toc11102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（三）其他供货要求</w:t>
      </w:r>
      <w:r>
        <w:tab/>
      </w:r>
      <w:r>
        <w:fldChar w:fldCharType="begin"/>
      </w:r>
      <w:r>
        <w:instrText xml:space="preserve"> PAGEREF _Toc11102 \h </w:instrText>
      </w:r>
      <w:r>
        <w:fldChar w:fldCharType="separate"/>
      </w:r>
      <w:r>
        <w:t>- 19 -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634E261">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_Toc26083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四、</w:t>
      </w:r>
      <w:r>
        <w:rPr>
          <w:rFonts w:hint="eastAsia" w:asciiTheme="minorEastAsia" w:hAnsiTheme="minorEastAsia" w:eastAsiaTheme="minorEastAsia" w:cstheme="minorEastAsia"/>
          <w:bCs/>
          <w:szCs w:val="28"/>
          <w:highlight w:val="none"/>
          <w:lang w:val="en-US" w:eastAsia="zh-CN"/>
        </w:rPr>
        <w:t>其他</w:t>
      </w:r>
      <w:r>
        <w:rPr>
          <w:rFonts w:hint="eastAsia" w:asciiTheme="minorEastAsia" w:hAnsiTheme="minorEastAsia" w:eastAsiaTheme="minorEastAsia" w:cstheme="minorEastAsia"/>
          <w:bCs/>
          <w:szCs w:val="28"/>
          <w:highlight w:val="none"/>
        </w:rPr>
        <w:t>要求</w:t>
      </w:r>
      <w:r>
        <w:tab/>
      </w:r>
      <w:r>
        <w:fldChar w:fldCharType="begin"/>
      </w:r>
      <w:r>
        <w:instrText xml:space="preserve"> PAGEREF _Toc26083 \h </w:instrText>
      </w:r>
      <w:r>
        <w:fldChar w:fldCharType="separate"/>
      </w:r>
      <w:r>
        <w:t>- 19 -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9D86CC8">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_Toc8179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五、履约及违约</w:t>
      </w:r>
      <w:r>
        <w:tab/>
      </w:r>
      <w:r>
        <w:fldChar w:fldCharType="begin"/>
      </w:r>
      <w:r>
        <w:instrText xml:space="preserve"> PAGEREF _Toc8179 \h </w:instrText>
      </w:r>
      <w:r>
        <w:fldChar w:fldCharType="separate"/>
      </w:r>
      <w:r>
        <w:t>- 21 -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ACDA0B2">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_Toc13525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六、关于费用</w:t>
      </w:r>
      <w:r>
        <w:tab/>
      </w:r>
      <w:r>
        <w:fldChar w:fldCharType="begin"/>
      </w:r>
      <w:r>
        <w:instrText xml:space="preserve"> PAGEREF _Toc13525 \h </w:instrText>
      </w:r>
      <w:r>
        <w:fldChar w:fldCharType="separate"/>
      </w:r>
      <w:r>
        <w:t>- 21 -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452BEDA">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_Toc27945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七、</w:t>
      </w:r>
      <w:r>
        <w:rPr>
          <w:rFonts w:hint="eastAsia" w:asciiTheme="minorEastAsia" w:hAnsiTheme="minorEastAsia" w:eastAsiaTheme="minorEastAsia" w:cstheme="minorEastAsia"/>
          <w:bCs/>
          <w:szCs w:val="28"/>
          <w:highlight w:val="none"/>
          <w:lang w:val="en-US" w:eastAsia="zh-CN"/>
        </w:rPr>
        <w:t>结算及</w:t>
      </w:r>
      <w:r>
        <w:rPr>
          <w:rFonts w:hint="eastAsia" w:asciiTheme="minorEastAsia" w:hAnsiTheme="minorEastAsia" w:eastAsiaTheme="minorEastAsia" w:cstheme="minorEastAsia"/>
          <w:bCs/>
          <w:szCs w:val="28"/>
          <w:highlight w:val="none"/>
        </w:rPr>
        <w:t>付款</w:t>
      </w:r>
      <w:r>
        <w:tab/>
      </w:r>
      <w:r>
        <w:fldChar w:fldCharType="begin"/>
      </w:r>
      <w:r>
        <w:instrText xml:space="preserve"> PAGEREF _Toc27945 \h </w:instrText>
      </w:r>
      <w:r>
        <w:fldChar w:fldCharType="separate"/>
      </w:r>
      <w:r>
        <w:t>- 22 -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06020F4">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_Toc24243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lang w:val="en-US" w:eastAsia="zh-CN"/>
        </w:rPr>
        <w:t>八、</w:t>
      </w:r>
      <w:r>
        <w:rPr>
          <w:rFonts w:hint="eastAsia" w:asciiTheme="minorEastAsia" w:hAnsiTheme="minorEastAsia" w:eastAsiaTheme="minorEastAsia" w:cstheme="minorEastAsia"/>
        </w:rPr>
        <w:t>考核办法</w:t>
      </w:r>
      <w:r>
        <w:tab/>
      </w:r>
      <w:r>
        <w:fldChar w:fldCharType="begin"/>
      </w:r>
      <w:r>
        <w:instrText xml:space="preserve"> PAGEREF _Toc24243 \h </w:instrText>
      </w:r>
      <w:r>
        <w:fldChar w:fldCharType="separate"/>
      </w:r>
      <w:r>
        <w:t>- 22 -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5FA2312">
      <w:pPr>
        <w:pStyle w:val="31"/>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_Toc31799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第五章 政府采购合同格式</w:t>
      </w:r>
      <w:r>
        <w:tab/>
      </w:r>
      <w:r>
        <w:fldChar w:fldCharType="begin"/>
      </w:r>
      <w:r>
        <w:instrText xml:space="preserve"> PAGEREF _Toc31799 \h </w:instrText>
      </w:r>
      <w:r>
        <w:fldChar w:fldCharType="separate"/>
      </w:r>
      <w:r>
        <w:t>- 31 -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6F52DCEC">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_Toc18483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rPr>
        <w:t>一、合同范围</w:t>
      </w:r>
      <w:r>
        <w:tab/>
      </w:r>
      <w:r>
        <w:fldChar w:fldCharType="begin"/>
      </w:r>
      <w:r>
        <w:instrText xml:space="preserve"> PAGEREF _Toc18483 \h </w:instrText>
      </w:r>
      <w:r>
        <w:fldChar w:fldCharType="separate"/>
      </w:r>
      <w:r>
        <w:t>- 32 -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76A4A76">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_Toc17873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rPr>
        <w:t>二、合同供货期限</w:t>
      </w:r>
      <w:r>
        <w:tab/>
      </w:r>
      <w:r>
        <w:fldChar w:fldCharType="begin"/>
      </w:r>
      <w:r>
        <w:instrText xml:space="preserve"> PAGEREF _Toc17873 \h </w:instrText>
      </w:r>
      <w:r>
        <w:fldChar w:fldCharType="separate"/>
      </w:r>
      <w:r>
        <w:t>- 32 -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3F140C0">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_Toc31411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rPr>
        <w:t>三、供货品种</w:t>
      </w:r>
      <w:r>
        <w:tab/>
      </w:r>
      <w:r>
        <w:fldChar w:fldCharType="begin"/>
      </w:r>
      <w:r>
        <w:instrText xml:space="preserve"> PAGEREF _Toc31411 \h </w:instrText>
      </w:r>
      <w:r>
        <w:fldChar w:fldCharType="separate"/>
      </w:r>
      <w:r>
        <w:t>- 32 -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C68DE41">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_Toc7053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rPr>
        <w:t>四、合同金额及付款方式</w:t>
      </w:r>
      <w:r>
        <w:tab/>
      </w:r>
      <w:r>
        <w:fldChar w:fldCharType="begin"/>
      </w:r>
      <w:r>
        <w:instrText xml:space="preserve"> PAGEREF _Toc7053 \h </w:instrText>
      </w:r>
      <w:r>
        <w:fldChar w:fldCharType="separate"/>
      </w:r>
      <w:r>
        <w:t>- 32 -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34FFA98">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_Toc24684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五</w:t>
      </w:r>
      <w:r>
        <w:rPr>
          <w:rFonts w:hint="eastAsia" w:asciiTheme="minorEastAsia" w:hAnsiTheme="minorEastAsia" w:eastAsiaTheme="minorEastAsia" w:cstheme="minorEastAsia"/>
          <w:bCs/>
          <w:spacing w:val="-6"/>
          <w:szCs w:val="21"/>
          <w:highlight w:val="none"/>
        </w:rPr>
        <w:t>、合同文件的组成和解释顺序如下：</w:t>
      </w:r>
      <w:r>
        <w:tab/>
      </w:r>
      <w:r>
        <w:fldChar w:fldCharType="begin"/>
      </w:r>
      <w:r>
        <w:instrText xml:space="preserve"> PAGEREF _Toc24684 \h </w:instrText>
      </w:r>
      <w:r>
        <w:fldChar w:fldCharType="separate"/>
      </w:r>
      <w:r>
        <w:t>- 33 -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3EA4879">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_Toc10680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六</w:t>
      </w:r>
      <w:r>
        <w:rPr>
          <w:rFonts w:hint="eastAsia" w:asciiTheme="minorEastAsia" w:hAnsiTheme="minorEastAsia" w:eastAsiaTheme="minorEastAsia" w:cstheme="minorEastAsia"/>
          <w:bCs/>
          <w:spacing w:val="-6"/>
          <w:szCs w:val="21"/>
          <w:highlight w:val="none"/>
        </w:rPr>
        <w:t>、合同条款：</w:t>
      </w:r>
      <w:r>
        <w:tab/>
      </w:r>
      <w:r>
        <w:fldChar w:fldCharType="begin"/>
      </w:r>
      <w:r>
        <w:instrText xml:space="preserve"> PAGEREF _Toc10680 \h </w:instrText>
      </w:r>
      <w:r>
        <w:fldChar w:fldCharType="separate"/>
      </w:r>
      <w:r>
        <w:t>- 33 -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2CB134C8">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_Toc7056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七、</w:t>
      </w:r>
      <w:r>
        <w:rPr>
          <w:rFonts w:hint="eastAsia" w:asciiTheme="minorEastAsia" w:hAnsiTheme="minorEastAsia" w:eastAsiaTheme="minorEastAsia" w:cstheme="minorEastAsia"/>
          <w:bCs/>
          <w:spacing w:val="-6"/>
          <w:szCs w:val="21"/>
          <w:highlight w:val="none"/>
        </w:rPr>
        <w:t>其它约定事项：</w:t>
      </w:r>
      <w:r>
        <w:tab/>
      </w:r>
      <w:r>
        <w:fldChar w:fldCharType="begin"/>
      </w:r>
      <w:r>
        <w:instrText xml:space="preserve"> PAGEREF _Toc7056 \h </w:instrText>
      </w:r>
      <w:r>
        <w:fldChar w:fldCharType="separate"/>
      </w:r>
      <w:r>
        <w:t>- 35 -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9BD7040">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_Toc23683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八、</w:t>
      </w:r>
      <w:r>
        <w:rPr>
          <w:rFonts w:hint="eastAsia" w:asciiTheme="minorEastAsia" w:hAnsiTheme="minorEastAsia" w:eastAsiaTheme="minorEastAsia" w:cstheme="minorEastAsia"/>
          <w:bCs/>
          <w:spacing w:val="-6"/>
          <w:szCs w:val="21"/>
          <w:highlight w:val="none"/>
        </w:rPr>
        <w:t>合同附件</w:t>
      </w:r>
      <w:r>
        <w:tab/>
      </w:r>
      <w:r>
        <w:fldChar w:fldCharType="begin"/>
      </w:r>
      <w:r>
        <w:instrText xml:space="preserve"> PAGEREF _Toc23683 \h </w:instrText>
      </w:r>
      <w:r>
        <w:fldChar w:fldCharType="separate"/>
      </w:r>
      <w:r>
        <w:t>- 36 -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81F04F5">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_Toc5927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九、</w:t>
      </w:r>
      <w:r>
        <w:rPr>
          <w:rFonts w:hint="eastAsia" w:asciiTheme="minorEastAsia" w:hAnsiTheme="minorEastAsia" w:eastAsiaTheme="minorEastAsia" w:cstheme="minorEastAsia"/>
          <w:bCs/>
          <w:spacing w:val="-6"/>
          <w:szCs w:val="21"/>
          <w:highlight w:val="none"/>
        </w:rPr>
        <w:t>合同修改</w:t>
      </w:r>
      <w:r>
        <w:tab/>
      </w:r>
      <w:r>
        <w:fldChar w:fldCharType="begin"/>
      </w:r>
      <w:r>
        <w:instrText xml:space="preserve"> PAGEREF _Toc5927 \h </w:instrText>
      </w:r>
      <w:r>
        <w:fldChar w:fldCharType="separate"/>
      </w:r>
      <w:r>
        <w:t>- 36 -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23EF519">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_Toc27635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十、</w:t>
      </w:r>
      <w:r>
        <w:rPr>
          <w:rFonts w:hint="eastAsia" w:asciiTheme="minorEastAsia" w:hAnsiTheme="minorEastAsia" w:eastAsiaTheme="minorEastAsia" w:cstheme="minorEastAsia"/>
          <w:bCs/>
          <w:spacing w:val="-6"/>
          <w:szCs w:val="21"/>
          <w:highlight w:val="none"/>
        </w:rPr>
        <w:t>合同生效及其他</w:t>
      </w:r>
      <w:r>
        <w:tab/>
      </w:r>
      <w:r>
        <w:fldChar w:fldCharType="begin"/>
      </w:r>
      <w:r>
        <w:instrText xml:space="preserve"> PAGEREF _Toc27635 \h </w:instrText>
      </w:r>
      <w:r>
        <w:fldChar w:fldCharType="separate"/>
      </w:r>
      <w:r>
        <w:t>- 36 -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1517136B">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_Toc10200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十一、</w:t>
      </w:r>
      <w:r>
        <w:rPr>
          <w:rFonts w:hint="eastAsia" w:asciiTheme="minorEastAsia" w:hAnsiTheme="minorEastAsia" w:eastAsiaTheme="minorEastAsia" w:cstheme="minorEastAsia"/>
          <w:bCs/>
          <w:spacing w:val="-6"/>
          <w:szCs w:val="21"/>
          <w:highlight w:val="none"/>
        </w:rPr>
        <w:t>本合同应按照中华人民共和国的现行法律进行解释。</w:t>
      </w:r>
      <w:r>
        <w:tab/>
      </w:r>
      <w:r>
        <w:fldChar w:fldCharType="begin"/>
      </w:r>
      <w:r>
        <w:instrText xml:space="preserve"> PAGEREF _Toc10200 \h </w:instrText>
      </w:r>
      <w:r>
        <w:fldChar w:fldCharType="separate"/>
      </w:r>
      <w:r>
        <w:t>- 36 -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7F9736BC">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_Toc11259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pacing w:val="-6"/>
          <w:szCs w:val="21"/>
          <w:highlight w:val="none"/>
          <w:lang w:val="en-US" w:eastAsia="zh-CN"/>
        </w:rPr>
        <w:t>附件1：项目说明及技术要求</w:t>
      </w:r>
      <w:r>
        <w:tab/>
      </w:r>
      <w:r>
        <w:fldChar w:fldCharType="begin"/>
      </w:r>
      <w:r>
        <w:instrText xml:space="preserve"> PAGEREF _Toc11259 \h </w:instrText>
      </w:r>
      <w:r>
        <w:fldChar w:fldCharType="separate"/>
      </w:r>
      <w:r>
        <w:t>- 36 -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67878E4">
      <w:pPr>
        <w:pStyle w:val="31"/>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_Toc1035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val="0"/>
          <w:kern w:val="2"/>
          <w:szCs w:val="30"/>
          <w:highlight w:val="none"/>
          <w:lang w:val="zh-CN"/>
        </w:rPr>
        <w:t xml:space="preserve">第六章 </w:t>
      </w:r>
      <w:r>
        <w:rPr>
          <w:rFonts w:hint="eastAsia" w:asciiTheme="minorEastAsia" w:hAnsiTheme="minorEastAsia" w:eastAsiaTheme="minorEastAsia" w:cstheme="minorEastAsia"/>
          <w:bCs w:val="0"/>
          <w:kern w:val="2"/>
          <w:szCs w:val="30"/>
          <w:highlight w:val="none"/>
        </w:rPr>
        <w:t>投标书</w:t>
      </w:r>
      <w:r>
        <w:tab/>
      </w:r>
      <w:r>
        <w:fldChar w:fldCharType="begin"/>
      </w:r>
      <w:r>
        <w:instrText xml:space="preserve"> PAGEREF _Toc1035 \h </w:instrText>
      </w:r>
      <w:r>
        <w:fldChar w:fldCharType="separate"/>
      </w:r>
      <w:r>
        <w:t>- 37 -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C2437CB">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_Toc27297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28"/>
          <w:highlight w:val="none"/>
        </w:rPr>
        <w:t>商务部分</w:t>
      </w:r>
      <w:r>
        <w:tab/>
      </w:r>
      <w:r>
        <w:fldChar w:fldCharType="begin"/>
      </w:r>
      <w:r>
        <w:instrText xml:space="preserve"> PAGEREF _Toc27297 \h </w:instrText>
      </w:r>
      <w:r>
        <w:fldChar w:fldCharType="separate"/>
      </w:r>
      <w:r>
        <w:t>- 38 -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17CCC21">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_Toc22018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一、</w:t>
      </w:r>
      <w:bookmarkStart w:id="0" w:name="OLE_LINK3"/>
      <w:r>
        <w:rPr>
          <w:rFonts w:hint="eastAsia" w:asciiTheme="minorEastAsia" w:hAnsiTheme="minorEastAsia" w:eastAsiaTheme="minorEastAsia" w:cstheme="minorEastAsia"/>
          <w:bCs/>
          <w:highlight w:val="none"/>
          <w:lang w:val="zh-CN"/>
        </w:rPr>
        <w:t>投标申请及声明</w:t>
      </w:r>
      <w:bookmarkEnd w:id="0"/>
      <w:r>
        <w:rPr>
          <w:rFonts w:hint="eastAsia" w:asciiTheme="minorEastAsia" w:hAnsiTheme="minorEastAsia" w:eastAsiaTheme="minorEastAsia" w:cstheme="minorEastAsia"/>
          <w:bCs/>
          <w:highlight w:val="none"/>
          <w:lang w:val="zh-CN"/>
        </w:rPr>
        <w:t>格式</w:t>
      </w:r>
      <w:r>
        <w:tab/>
      </w:r>
      <w:r>
        <w:fldChar w:fldCharType="begin"/>
      </w:r>
      <w:r>
        <w:instrText xml:space="preserve"> PAGEREF _Toc22018 \h </w:instrText>
      </w:r>
      <w:r>
        <w:fldChar w:fldCharType="separate"/>
      </w:r>
      <w:r>
        <w:t>- 38 -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CBAAA69">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_Toc13348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二、南京市政府采购供应商信用记录表暨信用承诺书</w:t>
      </w:r>
      <w:r>
        <w:tab/>
      </w:r>
      <w:r>
        <w:fldChar w:fldCharType="begin"/>
      </w:r>
      <w:r>
        <w:instrText xml:space="preserve"> PAGEREF _Toc13348 \h </w:instrText>
      </w:r>
      <w:r>
        <w:fldChar w:fldCharType="separate"/>
      </w:r>
      <w:r>
        <w:t>- 39 -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FCDEEFF">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_Toc32735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en-US" w:eastAsia="zh-CN"/>
        </w:rPr>
        <w:t>三</w:t>
      </w:r>
      <w:r>
        <w:rPr>
          <w:rFonts w:hint="eastAsia" w:asciiTheme="minorEastAsia" w:hAnsiTheme="minorEastAsia" w:eastAsiaTheme="minorEastAsia" w:cstheme="minorEastAsia"/>
          <w:bCs/>
          <w:highlight w:val="none"/>
        </w:rPr>
        <w:t>、</w:t>
      </w:r>
      <w:r>
        <w:rPr>
          <w:rFonts w:hint="eastAsia" w:asciiTheme="minorEastAsia" w:hAnsiTheme="minorEastAsia" w:eastAsiaTheme="minorEastAsia" w:cstheme="minorEastAsia"/>
          <w:highlight w:val="none"/>
        </w:rPr>
        <w:t>企业业绩</w:t>
      </w:r>
      <w:r>
        <w:tab/>
      </w:r>
      <w:r>
        <w:fldChar w:fldCharType="begin"/>
      </w:r>
      <w:r>
        <w:instrText xml:space="preserve"> PAGEREF _Toc32735 \h </w:instrText>
      </w:r>
      <w:r>
        <w:fldChar w:fldCharType="separate"/>
      </w:r>
      <w:r>
        <w:t>- 40 -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1D428C3E">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_Toc21883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en-US" w:eastAsia="zh-CN"/>
        </w:rPr>
        <w:t>四、</w:t>
      </w:r>
      <w:bookmarkStart w:id="1" w:name="OLE_LINK31"/>
      <w:r>
        <w:rPr>
          <w:rFonts w:hint="eastAsia" w:asciiTheme="minorEastAsia" w:hAnsiTheme="minorEastAsia" w:eastAsiaTheme="minorEastAsia" w:cstheme="minorEastAsia"/>
          <w:bCs/>
          <w:highlight w:val="none"/>
          <w:lang w:val="en-US" w:eastAsia="zh-CN"/>
        </w:rPr>
        <w:t>供应商认为需要</w:t>
      </w:r>
      <w:r>
        <w:rPr>
          <w:rFonts w:hint="eastAsia" w:asciiTheme="minorEastAsia" w:hAnsiTheme="minorEastAsia" w:eastAsiaTheme="minorEastAsia" w:cstheme="minorEastAsia"/>
          <w:bCs/>
          <w:highlight w:val="none"/>
          <w:lang w:val="zh-CN" w:eastAsia="zh-CN"/>
        </w:rPr>
        <w:t>提供的其他资格证明文件和商务资料</w:t>
      </w:r>
      <w:bookmarkEnd w:id="1"/>
      <w:r>
        <w:tab/>
      </w:r>
      <w:r>
        <w:fldChar w:fldCharType="begin"/>
      </w:r>
      <w:r>
        <w:instrText xml:space="preserve"> PAGEREF _Toc21883 \h </w:instrText>
      </w:r>
      <w:r>
        <w:fldChar w:fldCharType="separate"/>
      </w:r>
      <w:r>
        <w:t>- 40 -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24BF7965">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_Toc30633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kern w:val="0"/>
          <w:szCs w:val="28"/>
          <w:highlight w:val="none"/>
        </w:rPr>
        <w:t>价格部分</w:t>
      </w:r>
      <w:r>
        <w:tab/>
      </w:r>
      <w:r>
        <w:fldChar w:fldCharType="begin"/>
      </w:r>
      <w:r>
        <w:instrText xml:space="preserve"> PAGEREF _Toc30633 \h </w:instrText>
      </w:r>
      <w:r>
        <w:fldChar w:fldCharType="separate"/>
      </w:r>
      <w:r>
        <w:t>- 41 -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23946EF3">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_Toc8943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一</w:t>
      </w:r>
      <w:r>
        <w:rPr>
          <w:rFonts w:hint="eastAsia" w:asciiTheme="minorEastAsia" w:hAnsiTheme="minorEastAsia" w:eastAsiaTheme="minorEastAsia" w:cstheme="minorEastAsia"/>
          <w:bCs/>
          <w:highlight w:val="none"/>
          <w:lang w:val="zh-CN"/>
        </w:rPr>
        <w:t>、开标一览表</w:t>
      </w:r>
      <w:r>
        <w:tab/>
      </w:r>
      <w:r>
        <w:fldChar w:fldCharType="begin"/>
      </w:r>
      <w:r>
        <w:instrText xml:space="preserve"> PAGEREF _Toc8943 \h </w:instrText>
      </w:r>
      <w:r>
        <w:fldChar w:fldCharType="separate"/>
      </w:r>
      <w:r>
        <w:t>- 41 -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46D8E45D">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_Toc17069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kern w:val="0"/>
          <w:szCs w:val="28"/>
          <w:highlight w:val="none"/>
        </w:rPr>
        <w:t>技术部分</w:t>
      </w:r>
      <w:r>
        <w:tab/>
      </w:r>
      <w:r>
        <w:fldChar w:fldCharType="begin"/>
      </w:r>
      <w:r>
        <w:instrText xml:space="preserve"> PAGEREF _Toc17069 \h </w:instrText>
      </w:r>
      <w:r>
        <w:fldChar w:fldCharType="separate"/>
      </w:r>
      <w:r>
        <w:t>- 42 -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C3ACC58">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_Toc47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一、</w:t>
      </w:r>
      <w:r>
        <w:rPr>
          <w:rFonts w:hint="eastAsia" w:asciiTheme="minorEastAsia" w:hAnsiTheme="minorEastAsia" w:eastAsiaTheme="minorEastAsia" w:cstheme="minorEastAsia"/>
          <w:bCs/>
          <w:highlight w:val="none"/>
          <w:lang w:val="zh-CN"/>
        </w:rPr>
        <w:t>项目服务方案（格式自拟）</w:t>
      </w:r>
      <w:r>
        <w:tab/>
      </w:r>
      <w:r>
        <w:fldChar w:fldCharType="begin"/>
      </w:r>
      <w:r>
        <w:instrText xml:space="preserve"> PAGEREF _Toc47 \h </w:instrText>
      </w:r>
      <w:r>
        <w:fldChar w:fldCharType="separate"/>
      </w:r>
      <w:r>
        <w:t>- 42 -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E1485DE">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_Toc690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en-US" w:eastAsia="zh-CN"/>
        </w:rPr>
        <w:t>二</w:t>
      </w:r>
      <w:r>
        <w:rPr>
          <w:rFonts w:hint="eastAsia" w:asciiTheme="minorEastAsia" w:hAnsiTheme="minorEastAsia" w:eastAsiaTheme="minorEastAsia" w:cstheme="minorEastAsia"/>
          <w:bCs/>
          <w:highlight w:val="none"/>
        </w:rPr>
        <w:t>、</w:t>
      </w:r>
      <w:bookmarkStart w:id="2" w:name="OLE_LINK32"/>
      <w:r>
        <w:rPr>
          <w:rFonts w:hint="eastAsia" w:asciiTheme="minorEastAsia" w:hAnsiTheme="minorEastAsia" w:eastAsiaTheme="minorEastAsia" w:cstheme="minorEastAsia"/>
          <w:bCs/>
          <w:highlight w:val="none"/>
        </w:rPr>
        <w:t>质量保证及服务承诺</w:t>
      </w:r>
      <w:bookmarkEnd w:id="2"/>
      <w:r>
        <w:tab/>
      </w:r>
      <w:r>
        <w:fldChar w:fldCharType="begin"/>
      </w:r>
      <w:r>
        <w:instrText xml:space="preserve"> PAGEREF _Toc690 \h </w:instrText>
      </w:r>
      <w:r>
        <w:fldChar w:fldCharType="separate"/>
      </w:r>
      <w:r>
        <w:t>- 42 -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DCEE0E8">
      <w:pPr>
        <w:pStyle w:val="22"/>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_Toc1509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en-US" w:eastAsia="zh-CN"/>
        </w:rPr>
        <w:t>三、</w:t>
      </w:r>
      <w:bookmarkStart w:id="3" w:name="OLE_LINK30"/>
      <w:r>
        <w:rPr>
          <w:rFonts w:hint="eastAsia" w:asciiTheme="minorEastAsia" w:hAnsiTheme="minorEastAsia" w:eastAsiaTheme="minorEastAsia" w:cstheme="minorEastAsia"/>
          <w:bCs/>
          <w:highlight w:val="none"/>
          <w:lang w:val="zh-CN"/>
        </w:rPr>
        <w:t>供应商认为需要提供的其他技术文件或资料</w:t>
      </w:r>
      <w:bookmarkEnd w:id="3"/>
      <w:r>
        <w:tab/>
      </w:r>
      <w:r>
        <w:fldChar w:fldCharType="begin"/>
      </w:r>
      <w:r>
        <w:instrText xml:space="preserve"> PAGEREF _Toc1509 \h </w:instrText>
      </w:r>
      <w:r>
        <w:fldChar w:fldCharType="separate"/>
      </w:r>
      <w:r>
        <w:t>- 42 -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7D76577">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_Toc25927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附件一、</w:t>
      </w:r>
      <w:r>
        <w:rPr>
          <w:rFonts w:hint="eastAsia" w:asciiTheme="minorEastAsia" w:hAnsiTheme="minorEastAsia" w:eastAsiaTheme="minorEastAsia" w:cstheme="minorEastAsia"/>
          <w:highlight w:val="none"/>
        </w:rPr>
        <w:t>中小企业声明函格式</w:t>
      </w:r>
      <w:r>
        <w:tab/>
      </w:r>
      <w:r>
        <w:fldChar w:fldCharType="begin"/>
      </w:r>
      <w:r>
        <w:instrText xml:space="preserve"> PAGEREF _Toc25927 \h </w:instrText>
      </w:r>
      <w:r>
        <w:fldChar w:fldCharType="separate"/>
      </w:r>
      <w:r>
        <w:t>- 43 -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0082BA71">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_Toc28389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附件二、残疾人福利性单位声明函（如有）</w:t>
      </w:r>
      <w:r>
        <w:tab/>
      </w:r>
      <w:r>
        <w:fldChar w:fldCharType="begin"/>
      </w:r>
      <w:r>
        <w:instrText xml:space="preserve"> PAGEREF _Toc28389 \h </w:instrText>
      </w:r>
      <w:r>
        <w:fldChar w:fldCharType="separate"/>
      </w:r>
      <w:r>
        <w:t>- 44 -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3242866A">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_Toc29355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附件</w:t>
      </w:r>
      <w:r>
        <w:rPr>
          <w:rFonts w:hint="eastAsia" w:asciiTheme="minorEastAsia" w:hAnsiTheme="minorEastAsia" w:eastAsiaTheme="minorEastAsia" w:cstheme="minorEastAsia"/>
          <w:bCs/>
          <w:highlight w:val="none"/>
        </w:rPr>
        <w:t>三</w:t>
      </w:r>
      <w:r>
        <w:rPr>
          <w:rFonts w:hint="eastAsia" w:asciiTheme="minorEastAsia" w:hAnsiTheme="minorEastAsia" w:eastAsiaTheme="minorEastAsia" w:cstheme="minorEastAsia"/>
          <w:bCs/>
          <w:highlight w:val="none"/>
          <w:lang w:val="zh-CN"/>
        </w:rPr>
        <w:t>：具备履行合同所必需的设备和专业技术能力的书面声明</w:t>
      </w:r>
      <w:r>
        <w:tab/>
      </w:r>
      <w:r>
        <w:fldChar w:fldCharType="begin"/>
      </w:r>
      <w:r>
        <w:instrText xml:space="preserve"> PAGEREF _Toc29355 \h </w:instrText>
      </w:r>
      <w:r>
        <w:fldChar w:fldCharType="separate"/>
      </w:r>
      <w:r>
        <w:t>- 44 -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6F152F4B">
      <w:pPr>
        <w:pStyle w:val="37"/>
        <w:tabs>
          <w:tab w:val="right" w:leader="dot" w:pos="9070"/>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_Toc32169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highlight w:val="none"/>
        </w:rPr>
        <w:t>附件四：无重大违法记录声明格式</w:t>
      </w:r>
      <w:r>
        <w:tab/>
      </w:r>
      <w:r>
        <w:fldChar w:fldCharType="begin"/>
      </w:r>
      <w:r>
        <w:instrText xml:space="preserve"> PAGEREF _Toc32169 \h </w:instrText>
      </w:r>
      <w:r>
        <w:fldChar w:fldCharType="separate"/>
      </w:r>
      <w:r>
        <w:t>- 44 -</w:t>
      </w:r>
      <w:r>
        <w:fldChar w:fldCharType="end"/>
      </w:r>
      <w:r>
        <w:rPr>
          <w:rFonts w:hint="eastAsia" w:asciiTheme="minorEastAsia" w:hAnsiTheme="minorEastAsia" w:eastAsiaTheme="minorEastAsia" w:cstheme="minorEastAsia"/>
          <w:color w:val="auto"/>
          <w:szCs w:val="28"/>
          <w:highlight w:val="none"/>
          <w:lang w:val="zh-CN"/>
        </w:rPr>
        <w:fldChar w:fldCharType="end"/>
      </w:r>
    </w:p>
    <w:p w14:paraId="597B1289">
      <w:pPr>
        <w:autoSpaceDE w:val="0"/>
        <w:autoSpaceDN w:val="0"/>
        <w:adjustRightInd w:val="0"/>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Cs w:val="28"/>
          <w:highlight w:val="none"/>
          <w:lang w:val="zh-CN"/>
        </w:rPr>
        <w:fldChar w:fldCharType="end"/>
      </w:r>
    </w:p>
    <w:p w14:paraId="37083687">
      <w:pPr>
        <w:autoSpaceDE w:val="0"/>
        <w:autoSpaceDN w:val="0"/>
        <w:adjustRightInd w:val="0"/>
        <w:ind w:firstLine="560"/>
        <w:jc w:val="center"/>
        <w:outlineLvl w:val="0"/>
        <w:rPr>
          <w:rFonts w:asciiTheme="minorEastAsia" w:hAnsiTheme="minorEastAsia" w:eastAsiaTheme="minorEastAsia" w:cstheme="minorEastAsia"/>
          <w:b/>
          <w:color w:val="auto"/>
          <w:sz w:val="36"/>
          <w:szCs w:val="36"/>
          <w:highlight w:val="none"/>
          <w:lang w:val="zh-CN"/>
        </w:rPr>
      </w:pPr>
      <w:r>
        <w:rPr>
          <w:rFonts w:hint="eastAsia" w:asciiTheme="minorEastAsia" w:hAnsiTheme="minorEastAsia" w:eastAsiaTheme="minorEastAsia" w:cstheme="minorEastAsia"/>
          <w:color w:val="auto"/>
          <w:sz w:val="28"/>
          <w:szCs w:val="28"/>
          <w:highlight w:val="none"/>
          <w:lang w:val="zh-CN"/>
        </w:rPr>
        <w:br w:type="page"/>
      </w:r>
      <w:bookmarkStart w:id="4" w:name="_Toc30442"/>
      <w:bookmarkStart w:id="5" w:name="_Toc21802"/>
      <w:bookmarkStart w:id="6" w:name="_Toc31849"/>
      <w:bookmarkStart w:id="7" w:name="_Toc15675"/>
      <w:bookmarkStart w:id="8" w:name="_Toc32573"/>
      <w:bookmarkStart w:id="9" w:name="_Toc19150"/>
      <w:bookmarkStart w:id="10" w:name="_Toc26665"/>
      <w:bookmarkStart w:id="11" w:name="_Toc20150"/>
      <w:bookmarkStart w:id="12" w:name="_Toc27679"/>
      <w:bookmarkStart w:id="13" w:name="_Toc20050"/>
      <w:bookmarkStart w:id="14" w:name="_Toc9992"/>
      <w:bookmarkStart w:id="15" w:name="_Toc116284540"/>
      <w:bookmarkStart w:id="16" w:name="_Toc15092"/>
      <w:bookmarkStart w:id="17" w:name="_Toc27392"/>
      <w:bookmarkStart w:id="18" w:name="_Toc18235"/>
      <w:bookmarkStart w:id="19" w:name="_Toc30293"/>
      <w:bookmarkStart w:id="20" w:name="_Toc18842"/>
      <w:bookmarkStart w:id="21" w:name="_Toc9497"/>
      <w:bookmarkStart w:id="22" w:name="_Toc13418"/>
      <w:bookmarkStart w:id="23" w:name="_Toc3288"/>
      <w:bookmarkStart w:id="24" w:name="_Toc26245"/>
      <w:bookmarkStart w:id="25" w:name="_Toc7975"/>
      <w:bookmarkStart w:id="26" w:name="_Toc23403"/>
      <w:bookmarkStart w:id="27" w:name="_Toc5320"/>
      <w:bookmarkStart w:id="28" w:name="_Toc8577"/>
      <w:bookmarkStart w:id="29" w:name="_Toc2414"/>
      <w:bookmarkStart w:id="30" w:name="_Toc26696"/>
      <w:bookmarkStart w:id="31" w:name="_Toc3375"/>
      <w:bookmarkStart w:id="32" w:name="_Toc31544"/>
      <w:bookmarkStart w:id="33" w:name="_Toc8738"/>
      <w:bookmarkStart w:id="34" w:name="_Toc32267"/>
      <w:bookmarkStart w:id="35" w:name="_Toc7220"/>
      <w:r>
        <w:rPr>
          <w:rFonts w:hint="eastAsia" w:asciiTheme="minorEastAsia" w:hAnsiTheme="minorEastAsia" w:eastAsiaTheme="minorEastAsia" w:cstheme="minorEastAsia"/>
          <w:b/>
          <w:color w:val="auto"/>
          <w:sz w:val="36"/>
          <w:szCs w:val="36"/>
          <w:highlight w:val="none"/>
          <w:lang w:val="zh-CN"/>
        </w:rPr>
        <w:t>第一章 投标邀请</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7F134B7D">
      <w:pPr>
        <w:spacing w:line="360" w:lineRule="auto"/>
        <w:ind w:firstLine="562"/>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南京市公安局江宁分局看守所食堂食材采购</w:t>
      </w:r>
    </w:p>
    <w:p w14:paraId="47B8EC00">
      <w:pPr>
        <w:spacing w:line="360" w:lineRule="auto"/>
        <w:ind w:firstLine="562"/>
        <w:jc w:val="center"/>
        <w:rPr>
          <w:rStyle w:val="97"/>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公开招标采购公告</w:t>
      </w:r>
    </w:p>
    <w:p w14:paraId="4D2FBEA3">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项目概况</w:t>
      </w:r>
    </w:p>
    <w:p w14:paraId="1032F1B4">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lang w:eastAsia="zh-CN"/>
        </w:rPr>
        <w:t>南京市公安局江宁分局看守所食堂食材采购</w:t>
      </w:r>
      <w:r>
        <w:rPr>
          <w:rFonts w:hint="eastAsia" w:asciiTheme="minorEastAsia" w:hAnsiTheme="minorEastAsia" w:eastAsiaTheme="minorEastAsia" w:cstheme="minorEastAsia"/>
          <w:color w:val="auto"/>
          <w:highlight w:val="none"/>
        </w:rPr>
        <w:t>招标项目的潜在</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 xml:space="preserve">应在 </w:t>
      </w:r>
      <w:r>
        <w:rPr>
          <w:rFonts w:hint="eastAsia" w:asciiTheme="minorEastAsia" w:hAnsiTheme="minorEastAsia" w:eastAsiaTheme="minorEastAsia" w:cstheme="minorEastAsia"/>
          <w:color w:val="auto"/>
          <w:highlight w:val="none"/>
          <w:u w:val="single"/>
        </w:rPr>
        <w:t>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auto"/>
          <w:highlight w:val="none"/>
          <w:u w:val="single"/>
          <w:lang w:eastAsia="zh-CN"/>
        </w:rPr>
        <w:t>2025年5月8日09点30分</w:t>
      </w:r>
      <w:r>
        <w:rPr>
          <w:rFonts w:hint="eastAsia" w:asciiTheme="minorEastAsia" w:hAnsiTheme="minorEastAsia" w:eastAsiaTheme="minorEastAsia" w:cstheme="minorEastAsia"/>
          <w:color w:val="auto"/>
          <w:highlight w:val="none"/>
        </w:rPr>
        <w:t>（北京时间）前递交投标文件。</w:t>
      </w:r>
    </w:p>
    <w:p w14:paraId="1D354C54">
      <w:pPr>
        <w:spacing w:line="360" w:lineRule="exact"/>
        <w:ind w:firstLine="42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 </w:t>
      </w:r>
    </w:p>
    <w:p w14:paraId="7DAB216E">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lang w:eastAsia="zh-CN"/>
        </w:rPr>
        <w:t>JSZC-320115-NJDX-G2025-0007</w:t>
      </w:r>
    </w:p>
    <w:p w14:paraId="51110F2F">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bookmarkStart w:id="36" w:name="OLE_LINK2"/>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lang w:eastAsia="zh-CN"/>
        </w:rPr>
        <w:t>南京市公安局江宁分局看守所食堂食材采购</w:t>
      </w:r>
    </w:p>
    <w:p w14:paraId="6C19781C">
      <w:pPr>
        <w:spacing w:line="360" w:lineRule="exact"/>
        <w:ind w:firstLine="420" w:firstLineChars="200"/>
        <w:jc w:val="left"/>
        <w:rPr>
          <w:rFonts w:hint="default" w:asciiTheme="minorEastAsia" w:hAnsiTheme="minorEastAsia" w:eastAsiaTheme="minorEastAsia" w:cstheme="minorEastAsia"/>
          <w:color w:val="auto"/>
          <w:highlight w:val="none"/>
          <w:lang w:val="en-US"/>
        </w:rPr>
      </w:pPr>
      <w:bookmarkStart w:id="37" w:name="OLE_LINK1"/>
      <w:r>
        <w:rPr>
          <w:rFonts w:hint="eastAsia" w:asciiTheme="minorEastAsia" w:hAnsiTheme="minorEastAsia" w:eastAsiaTheme="minorEastAsia" w:cstheme="minorEastAsia"/>
          <w:color w:val="auto"/>
          <w:highlight w:val="none"/>
        </w:rPr>
        <w:t>预算金额：</w:t>
      </w:r>
      <w:r>
        <w:rPr>
          <w:rFonts w:hint="eastAsia" w:asciiTheme="minorEastAsia" w:hAnsiTheme="minorEastAsia" w:eastAsiaTheme="minorEastAsia" w:cstheme="minorEastAsia"/>
          <w:color w:val="auto"/>
          <w:highlight w:val="none"/>
          <w:lang w:val="en-US" w:eastAsia="zh-CN"/>
        </w:rPr>
        <w:t>290.8万元（采购包1：</w:t>
      </w:r>
      <w:r>
        <w:rPr>
          <w:rFonts w:hint="eastAsia" w:asciiTheme="minorEastAsia" w:hAnsiTheme="minorEastAsia" w:eastAsiaTheme="minorEastAsia" w:cstheme="minorEastAsia"/>
          <w:color w:val="auto"/>
          <w:szCs w:val="21"/>
          <w:highlight w:val="none"/>
          <w:lang w:val="en-US" w:eastAsia="zh-CN"/>
        </w:rPr>
        <w:t>89.8</w:t>
      </w:r>
      <w:r>
        <w:rPr>
          <w:rFonts w:hint="eastAsia" w:asciiTheme="minorEastAsia" w:hAnsiTheme="minorEastAsia" w:eastAsiaTheme="minorEastAsia" w:cstheme="minorEastAsia"/>
          <w:color w:val="auto"/>
          <w:highlight w:val="none"/>
          <w:lang w:val="en-US" w:eastAsia="zh-CN"/>
        </w:rPr>
        <w:t>万元；采购包2：</w:t>
      </w:r>
      <w:r>
        <w:rPr>
          <w:rFonts w:hint="eastAsia" w:asciiTheme="minorEastAsia" w:hAnsiTheme="minorEastAsia" w:eastAsiaTheme="minorEastAsia" w:cstheme="minorEastAsia"/>
          <w:color w:val="auto"/>
          <w:kern w:val="2"/>
          <w:sz w:val="21"/>
          <w:szCs w:val="21"/>
          <w:highlight w:val="none"/>
          <w:lang w:val="en-US" w:eastAsia="zh-CN" w:bidi="ar-SA"/>
        </w:rPr>
        <w:t>58</w:t>
      </w:r>
      <w:r>
        <w:rPr>
          <w:rFonts w:hint="eastAsia" w:asciiTheme="minorEastAsia" w:hAnsiTheme="minorEastAsia" w:eastAsiaTheme="minorEastAsia" w:cstheme="minorEastAsia"/>
          <w:color w:val="auto"/>
          <w:highlight w:val="none"/>
          <w:lang w:val="en-US" w:eastAsia="zh-CN"/>
        </w:rPr>
        <w:t>万元；采购包3：</w:t>
      </w:r>
      <w:r>
        <w:rPr>
          <w:rFonts w:hint="eastAsia" w:asciiTheme="minorEastAsia" w:hAnsiTheme="minorEastAsia" w:eastAsiaTheme="minorEastAsia" w:cstheme="minorEastAsia"/>
          <w:color w:val="auto"/>
          <w:kern w:val="2"/>
          <w:sz w:val="21"/>
          <w:szCs w:val="21"/>
          <w:highlight w:val="none"/>
          <w:lang w:val="en-US" w:eastAsia="zh-CN" w:bidi="ar-SA"/>
        </w:rPr>
        <w:t>74</w:t>
      </w:r>
      <w:r>
        <w:rPr>
          <w:rFonts w:hint="eastAsia" w:asciiTheme="minorEastAsia" w:hAnsiTheme="minorEastAsia" w:eastAsiaTheme="minorEastAsia" w:cstheme="minorEastAsia"/>
          <w:color w:val="auto"/>
          <w:highlight w:val="none"/>
          <w:lang w:val="en-US" w:eastAsia="zh-CN"/>
        </w:rPr>
        <w:t>万元；采购包4：</w:t>
      </w:r>
      <w:r>
        <w:rPr>
          <w:rFonts w:hint="eastAsia" w:asciiTheme="minorEastAsia" w:hAnsiTheme="minorEastAsia" w:eastAsiaTheme="minorEastAsia" w:cstheme="minorEastAsia"/>
          <w:color w:val="auto"/>
          <w:kern w:val="2"/>
          <w:sz w:val="21"/>
          <w:szCs w:val="21"/>
          <w:highlight w:val="none"/>
          <w:lang w:val="en-US" w:eastAsia="zh-CN" w:bidi="ar-SA"/>
        </w:rPr>
        <w:t>69</w:t>
      </w:r>
      <w:r>
        <w:rPr>
          <w:rFonts w:hint="eastAsia" w:asciiTheme="minorEastAsia" w:hAnsiTheme="minorEastAsia" w:eastAsiaTheme="minorEastAsia" w:cstheme="minorEastAsia"/>
          <w:color w:val="auto"/>
          <w:highlight w:val="none"/>
          <w:lang w:val="en-US" w:eastAsia="zh-CN"/>
        </w:rPr>
        <w:t>万元；）</w:t>
      </w:r>
    </w:p>
    <w:p w14:paraId="047F8E8E">
      <w:pPr>
        <w:spacing w:line="36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采购需求：</w:t>
      </w:r>
      <w:bookmarkStart w:id="38" w:name="OLE_LINK4"/>
      <w:r>
        <w:rPr>
          <w:rFonts w:hint="eastAsia" w:asciiTheme="minorEastAsia" w:hAnsiTheme="minorEastAsia" w:eastAsiaTheme="minorEastAsia" w:cstheme="minorEastAsia"/>
          <w:color w:val="auto"/>
          <w:highlight w:val="none"/>
          <w:lang w:eastAsia="zh-CN"/>
        </w:rPr>
        <w:t>南京市公安局江宁分局看守所</w:t>
      </w:r>
      <w:r>
        <w:rPr>
          <w:rFonts w:hint="eastAsia" w:asciiTheme="minorEastAsia" w:hAnsiTheme="minorEastAsia" w:eastAsiaTheme="minorEastAsia" w:cstheme="minorEastAsia"/>
          <w:color w:val="auto"/>
          <w:highlight w:val="none"/>
          <w:lang w:val="en-US" w:eastAsia="zh-CN"/>
        </w:rPr>
        <w:t>现需采购</w:t>
      </w:r>
      <w:r>
        <w:rPr>
          <w:rFonts w:hint="eastAsia" w:asciiTheme="minorEastAsia" w:hAnsiTheme="minorEastAsia" w:eastAsiaTheme="minorEastAsia" w:cstheme="minorEastAsia"/>
          <w:color w:val="auto"/>
          <w:highlight w:val="none"/>
          <w:lang w:eastAsia="zh-CN"/>
        </w:rPr>
        <w:t>食堂食材</w:t>
      </w:r>
      <w:r>
        <w:rPr>
          <w:rFonts w:hint="eastAsia" w:asciiTheme="minorEastAsia" w:hAnsiTheme="minorEastAsia" w:eastAsiaTheme="minorEastAsia" w:cstheme="minorEastAsia"/>
          <w:color w:val="auto"/>
          <w:highlight w:val="none"/>
          <w:lang w:val="en-US" w:eastAsia="zh-CN"/>
        </w:rPr>
        <w:t>及定时定点保质保量的配送服务</w:t>
      </w:r>
      <w:r>
        <w:rPr>
          <w:rFonts w:hint="eastAsia" w:asciiTheme="minorEastAsia" w:hAnsiTheme="minorEastAsia" w:eastAsiaTheme="minorEastAsia" w:cstheme="minorEastAsia"/>
          <w:color w:val="auto"/>
          <w:highlight w:val="none"/>
        </w:rPr>
        <w:t>。本项目共</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个包，各</w:t>
      </w:r>
      <w:r>
        <w:rPr>
          <w:rFonts w:hint="eastAsia" w:asciiTheme="minorEastAsia" w:hAnsiTheme="minorEastAsia" w:eastAsiaTheme="minorEastAsia" w:cstheme="minorEastAsia"/>
          <w:color w:val="auto"/>
          <w:highlight w:val="none"/>
          <w:lang w:eastAsia="zh-CN"/>
        </w:rPr>
        <w:t>采购包</w:t>
      </w:r>
      <w:r>
        <w:rPr>
          <w:rFonts w:hint="eastAsia" w:asciiTheme="minorEastAsia" w:hAnsiTheme="minorEastAsia" w:eastAsiaTheme="minorEastAsia" w:cstheme="minorEastAsia"/>
          <w:color w:val="auto"/>
          <w:highlight w:val="none"/>
          <w:lang w:val="en-US" w:eastAsia="zh-CN"/>
        </w:rPr>
        <w:t>基本</w:t>
      </w:r>
      <w:r>
        <w:rPr>
          <w:rFonts w:hint="eastAsia" w:asciiTheme="minorEastAsia" w:hAnsiTheme="minorEastAsia" w:eastAsiaTheme="minorEastAsia" w:cstheme="minorEastAsia"/>
          <w:color w:val="auto"/>
          <w:highlight w:val="none"/>
        </w:rPr>
        <w:t>情况如下</w:t>
      </w:r>
      <w:r>
        <w:rPr>
          <w:rFonts w:hint="eastAsia" w:asciiTheme="minorEastAsia" w:hAnsiTheme="minorEastAsia" w:eastAsiaTheme="minorEastAsia" w:cstheme="minorEastAsia"/>
          <w:color w:val="auto"/>
          <w:highlight w:val="none"/>
          <w:lang w:val="en-US" w:eastAsia="zh-CN"/>
        </w:rPr>
        <w:t>表</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具体详见采购文件。</w:t>
      </w:r>
    </w:p>
    <w:bookmarkEnd w:id="36"/>
    <w:bookmarkEnd w:id="37"/>
    <w:tbl>
      <w:tblPr>
        <w:tblStyle w:val="44"/>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3"/>
        <w:gridCol w:w="2650"/>
        <w:gridCol w:w="1535"/>
        <w:gridCol w:w="855"/>
      </w:tblGrid>
      <w:tr w14:paraId="63773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3" w:type="dxa"/>
            <w:vAlign w:val="center"/>
          </w:tcPr>
          <w:p w14:paraId="6E05F58F">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eastAsia="zh-CN"/>
              </w:rPr>
              <w:t>采购包</w:t>
            </w:r>
            <w:r>
              <w:rPr>
                <w:rFonts w:hint="eastAsia" w:asciiTheme="minorEastAsia" w:hAnsiTheme="minorEastAsia" w:eastAsiaTheme="minorEastAsia" w:cstheme="minorEastAsia"/>
                <w:b/>
                <w:color w:val="auto"/>
                <w:highlight w:val="none"/>
              </w:rPr>
              <w:t>编号</w:t>
            </w:r>
          </w:p>
        </w:tc>
        <w:tc>
          <w:tcPr>
            <w:tcW w:w="2650" w:type="dxa"/>
            <w:vAlign w:val="center"/>
          </w:tcPr>
          <w:p w14:paraId="23F61DC2">
            <w:pPr>
              <w:adjustRightInd w:val="0"/>
              <w:snapToGrid w:val="0"/>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lang w:eastAsia="zh-CN"/>
              </w:rPr>
              <w:t>采购包</w:t>
            </w:r>
            <w:r>
              <w:rPr>
                <w:rFonts w:hint="eastAsia" w:asciiTheme="minorEastAsia" w:hAnsiTheme="minorEastAsia" w:eastAsiaTheme="minorEastAsia" w:cstheme="minorEastAsia"/>
                <w:b/>
                <w:color w:val="auto"/>
                <w:highlight w:val="none"/>
              </w:rPr>
              <w:t>名称</w:t>
            </w:r>
          </w:p>
        </w:tc>
        <w:tc>
          <w:tcPr>
            <w:tcW w:w="1535" w:type="dxa"/>
            <w:shd w:val="clear" w:color="auto" w:fill="auto"/>
            <w:vAlign w:val="center"/>
          </w:tcPr>
          <w:p w14:paraId="0A16F291">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采购包</w:t>
            </w:r>
            <w:r>
              <w:rPr>
                <w:rFonts w:hint="eastAsia" w:asciiTheme="minorEastAsia" w:hAnsiTheme="minorEastAsia" w:eastAsiaTheme="minorEastAsia" w:cstheme="minorEastAsia"/>
                <w:b/>
                <w:bCs/>
                <w:color w:val="auto"/>
                <w:szCs w:val="21"/>
                <w:highlight w:val="none"/>
              </w:rPr>
              <w:t>预算</w:t>
            </w:r>
          </w:p>
          <w:p w14:paraId="4226D721">
            <w:pPr>
              <w:jc w:val="center"/>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w:t>
            </w:r>
            <w:r>
              <w:rPr>
                <w:rFonts w:hint="eastAsia" w:asciiTheme="minorEastAsia" w:hAnsiTheme="minorEastAsia" w:eastAsiaTheme="minorEastAsia" w:cstheme="minorEastAsia"/>
                <w:b/>
                <w:bCs/>
                <w:color w:val="auto"/>
                <w:szCs w:val="21"/>
                <w:highlight w:val="none"/>
                <w:lang w:val="en-US" w:eastAsia="zh-CN"/>
              </w:rPr>
              <w:t>万</w:t>
            </w:r>
            <w:r>
              <w:rPr>
                <w:rFonts w:hint="eastAsia" w:asciiTheme="minorEastAsia" w:hAnsiTheme="minorEastAsia" w:eastAsiaTheme="minorEastAsia" w:cstheme="minorEastAsia"/>
                <w:b/>
                <w:bCs/>
                <w:color w:val="auto"/>
                <w:szCs w:val="21"/>
                <w:highlight w:val="none"/>
              </w:rPr>
              <w:t>元）</w:t>
            </w:r>
          </w:p>
        </w:tc>
        <w:tc>
          <w:tcPr>
            <w:tcW w:w="855" w:type="dxa"/>
            <w:shd w:val="clear" w:color="auto" w:fill="auto"/>
            <w:vAlign w:val="center"/>
          </w:tcPr>
          <w:p w14:paraId="1BB7E953">
            <w:pPr>
              <w:jc w:val="center"/>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备注</w:t>
            </w:r>
          </w:p>
        </w:tc>
      </w:tr>
      <w:tr w14:paraId="7FEC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03" w:type="dxa"/>
            <w:vAlign w:val="center"/>
          </w:tcPr>
          <w:p w14:paraId="7F2819DF">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kern w:val="0"/>
                <w:szCs w:val="21"/>
                <w:highlight w:val="none"/>
                <w:lang w:val="en-US" w:eastAsia="zh-CN"/>
              </w:rPr>
              <w:t>采购包</w:t>
            </w:r>
            <w:r>
              <w:rPr>
                <w:rFonts w:hint="eastAsia" w:ascii="宋体" w:hAnsi="宋体" w:cs="宋体"/>
                <w:color w:val="auto"/>
                <w:kern w:val="0"/>
                <w:szCs w:val="21"/>
                <w:highlight w:val="none"/>
              </w:rPr>
              <w:t>1</w:t>
            </w:r>
          </w:p>
        </w:tc>
        <w:tc>
          <w:tcPr>
            <w:tcW w:w="2650" w:type="dxa"/>
            <w:vAlign w:val="center"/>
          </w:tcPr>
          <w:p w14:paraId="4F4418BB">
            <w:pPr>
              <w:jc w:val="left"/>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米油类</w:t>
            </w:r>
          </w:p>
        </w:tc>
        <w:tc>
          <w:tcPr>
            <w:tcW w:w="1535" w:type="dxa"/>
            <w:shd w:val="clear" w:color="auto" w:fill="auto"/>
            <w:vAlign w:val="center"/>
          </w:tcPr>
          <w:p w14:paraId="7320321A">
            <w:pPr>
              <w:widowControl/>
              <w:jc w:val="center"/>
              <w:textAlignment w:val="top"/>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89.8</w:t>
            </w:r>
          </w:p>
        </w:tc>
        <w:tc>
          <w:tcPr>
            <w:tcW w:w="855" w:type="dxa"/>
            <w:shd w:val="clear" w:color="auto" w:fill="auto"/>
            <w:vAlign w:val="top"/>
          </w:tcPr>
          <w:p w14:paraId="39774F67">
            <w:pPr>
              <w:rPr>
                <w:rFonts w:hint="eastAsia" w:asciiTheme="minorEastAsia" w:hAnsiTheme="minorEastAsia" w:eastAsiaTheme="minorEastAsia" w:cstheme="minorEastAsia"/>
                <w:color w:val="auto"/>
                <w:kern w:val="2"/>
                <w:sz w:val="21"/>
                <w:szCs w:val="21"/>
                <w:highlight w:val="none"/>
                <w:lang w:val="en-US" w:eastAsia="zh-CN" w:bidi="ar-SA"/>
              </w:rPr>
            </w:pPr>
          </w:p>
        </w:tc>
      </w:tr>
      <w:tr w14:paraId="30C5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03" w:type="dxa"/>
            <w:vAlign w:val="center"/>
          </w:tcPr>
          <w:p w14:paraId="02A1CED2">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kern w:val="0"/>
                <w:szCs w:val="21"/>
                <w:highlight w:val="none"/>
                <w:lang w:val="en-US" w:eastAsia="zh-CN"/>
              </w:rPr>
              <w:t>采购包</w:t>
            </w:r>
            <w:r>
              <w:rPr>
                <w:rFonts w:hint="eastAsia" w:ascii="宋体" w:hAnsi="宋体" w:cs="宋体"/>
                <w:color w:val="auto"/>
                <w:kern w:val="0"/>
                <w:szCs w:val="21"/>
                <w:highlight w:val="none"/>
              </w:rPr>
              <w:t>2</w:t>
            </w:r>
          </w:p>
        </w:tc>
        <w:tc>
          <w:tcPr>
            <w:tcW w:w="2650" w:type="dxa"/>
            <w:vAlign w:val="center"/>
          </w:tcPr>
          <w:p w14:paraId="42DB48CB">
            <w:pPr>
              <w:widowControl/>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肉类</w:t>
            </w:r>
          </w:p>
        </w:tc>
        <w:tc>
          <w:tcPr>
            <w:tcW w:w="1535" w:type="dxa"/>
            <w:shd w:val="clear" w:color="auto" w:fill="auto"/>
            <w:vAlign w:val="center"/>
          </w:tcPr>
          <w:p w14:paraId="3EB72B82">
            <w:pPr>
              <w:widowControl/>
              <w:jc w:val="center"/>
              <w:textAlignment w:val="top"/>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58</w:t>
            </w:r>
          </w:p>
        </w:tc>
        <w:tc>
          <w:tcPr>
            <w:tcW w:w="855" w:type="dxa"/>
            <w:shd w:val="clear" w:color="auto" w:fill="auto"/>
            <w:vAlign w:val="top"/>
          </w:tcPr>
          <w:p w14:paraId="773E65B5">
            <w:pPr>
              <w:rPr>
                <w:rFonts w:hint="eastAsia" w:asciiTheme="minorEastAsia" w:hAnsiTheme="minorEastAsia" w:eastAsiaTheme="minorEastAsia" w:cstheme="minorEastAsia"/>
                <w:color w:val="auto"/>
                <w:kern w:val="2"/>
                <w:sz w:val="21"/>
                <w:szCs w:val="21"/>
                <w:highlight w:val="none"/>
                <w:lang w:val="en-US" w:eastAsia="zh-CN" w:bidi="ar-SA"/>
              </w:rPr>
            </w:pPr>
          </w:p>
        </w:tc>
      </w:tr>
      <w:tr w14:paraId="1795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03" w:type="dxa"/>
            <w:vAlign w:val="center"/>
          </w:tcPr>
          <w:p w14:paraId="6E245B1E">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kern w:val="0"/>
                <w:szCs w:val="21"/>
                <w:highlight w:val="none"/>
                <w:lang w:val="en-US" w:eastAsia="zh-CN"/>
              </w:rPr>
              <w:t>采购包3</w:t>
            </w:r>
          </w:p>
        </w:tc>
        <w:tc>
          <w:tcPr>
            <w:tcW w:w="2650" w:type="dxa"/>
            <w:vAlign w:val="center"/>
          </w:tcPr>
          <w:p w14:paraId="57DA2267">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蔬菜类</w:t>
            </w:r>
          </w:p>
        </w:tc>
        <w:tc>
          <w:tcPr>
            <w:tcW w:w="1535" w:type="dxa"/>
            <w:shd w:val="clear" w:color="auto" w:fill="auto"/>
            <w:vAlign w:val="center"/>
          </w:tcPr>
          <w:p w14:paraId="1DC6451D">
            <w:pPr>
              <w:widowControl/>
              <w:jc w:val="center"/>
              <w:textAlignment w:val="top"/>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74</w:t>
            </w:r>
          </w:p>
        </w:tc>
        <w:tc>
          <w:tcPr>
            <w:tcW w:w="855" w:type="dxa"/>
            <w:shd w:val="clear" w:color="auto" w:fill="auto"/>
            <w:vAlign w:val="top"/>
          </w:tcPr>
          <w:p w14:paraId="307AE685">
            <w:pPr>
              <w:rPr>
                <w:rFonts w:hint="eastAsia" w:asciiTheme="minorEastAsia" w:hAnsiTheme="minorEastAsia" w:eastAsiaTheme="minorEastAsia" w:cstheme="minorEastAsia"/>
                <w:color w:val="auto"/>
                <w:kern w:val="2"/>
                <w:sz w:val="21"/>
                <w:szCs w:val="21"/>
                <w:highlight w:val="none"/>
                <w:lang w:val="en-US" w:eastAsia="zh-CN" w:bidi="ar-SA"/>
              </w:rPr>
            </w:pPr>
          </w:p>
        </w:tc>
      </w:tr>
      <w:tr w14:paraId="04A9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03" w:type="dxa"/>
            <w:vAlign w:val="center"/>
          </w:tcPr>
          <w:p w14:paraId="72662DCF">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kern w:val="0"/>
                <w:szCs w:val="21"/>
                <w:highlight w:val="none"/>
                <w:lang w:val="en-US" w:eastAsia="zh-CN"/>
              </w:rPr>
              <w:t>采购包4</w:t>
            </w:r>
          </w:p>
        </w:tc>
        <w:tc>
          <w:tcPr>
            <w:tcW w:w="2650" w:type="dxa"/>
            <w:vAlign w:val="center"/>
          </w:tcPr>
          <w:p w14:paraId="1279BB9E">
            <w:pPr>
              <w:widowControl/>
              <w:jc w:val="left"/>
              <w:rPr>
                <w:rFonts w:hint="default"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水果及其他副食品类</w:t>
            </w:r>
          </w:p>
        </w:tc>
        <w:tc>
          <w:tcPr>
            <w:tcW w:w="1535" w:type="dxa"/>
            <w:shd w:val="clear" w:color="auto" w:fill="auto"/>
            <w:vAlign w:val="center"/>
          </w:tcPr>
          <w:p w14:paraId="213B1698">
            <w:pPr>
              <w:widowControl/>
              <w:jc w:val="center"/>
              <w:textAlignment w:val="top"/>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69</w:t>
            </w:r>
          </w:p>
        </w:tc>
        <w:tc>
          <w:tcPr>
            <w:tcW w:w="855" w:type="dxa"/>
            <w:shd w:val="clear" w:color="auto" w:fill="auto"/>
            <w:vAlign w:val="top"/>
          </w:tcPr>
          <w:p w14:paraId="634AAC3C">
            <w:pPr>
              <w:rPr>
                <w:rFonts w:hint="eastAsia" w:asciiTheme="minorEastAsia" w:hAnsiTheme="minorEastAsia" w:eastAsiaTheme="minorEastAsia" w:cstheme="minorEastAsia"/>
                <w:color w:val="auto"/>
                <w:kern w:val="2"/>
                <w:sz w:val="21"/>
                <w:szCs w:val="21"/>
                <w:highlight w:val="none"/>
                <w:lang w:val="en-US" w:eastAsia="zh-CN" w:bidi="ar-SA"/>
              </w:rPr>
            </w:pPr>
          </w:p>
        </w:tc>
      </w:tr>
      <w:tr w14:paraId="2C59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53" w:type="dxa"/>
            <w:gridSpan w:val="2"/>
            <w:vAlign w:val="center"/>
          </w:tcPr>
          <w:p w14:paraId="6C822AC7">
            <w:pPr>
              <w:widowControl/>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合计</w:t>
            </w:r>
          </w:p>
        </w:tc>
        <w:tc>
          <w:tcPr>
            <w:tcW w:w="1535" w:type="dxa"/>
            <w:shd w:val="clear" w:color="auto" w:fill="auto"/>
            <w:vAlign w:val="center"/>
          </w:tcPr>
          <w:p w14:paraId="359FD2A9">
            <w:pPr>
              <w:widowControl/>
              <w:jc w:val="center"/>
              <w:textAlignment w:val="top"/>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290.8</w:t>
            </w:r>
          </w:p>
        </w:tc>
        <w:tc>
          <w:tcPr>
            <w:tcW w:w="855" w:type="dxa"/>
            <w:shd w:val="clear" w:color="auto" w:fill="auto"/>
            <w:vAlign w:val="top"/>
          </w:tcPr>
          <w:p w14:paraId="28C8BA55">
            <w:pPr>
              <w:widowControl/>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p>
        </w:tc>
      </w:tr>
    </w:tbl>
    <w:p w14:paraId="1F97676E">
      <w:pPr>
        <w:pBdr>
          <w:top w:val="none" w:color="000000" w:sz="0" w:space="0"/>
          <w:left w:val="none" w:color="000000" w:sz="0" w:space="0"/>
          <w:bottom w:val="none" w:color="000000" w:sz="0" w:space="0"/>
          <w:right w:val="none" w:color="000000" w:sz="0" w:space="0"/>
        </w:pBdr>
        <w:spacing w:before="210" w:after="0" w:line="85" w:lineRule="atLeast"/>
        <w:ind w:left="0" w:right="0" w:firstLine="422"/>
        <w:jc w:val="both"/>
        <w:rPr>
          <w:color w:val="auto"/>
          <w:highlight w:val="none"/>
        </w:rPr>
      </w:pPr>
      <w:r>
        <w:rPr>
          <w:rFonts w:ascii="宋体" w:hAnsi="宋体" w:eastAsia="宋体" w:cs="宋体"/>
          <w:b/>
          <w:color w:val="auto"/>
          <w:sz w:val="21"/>
          <w:highlight w:val="none"/>
        </w:rPr>
        <w:t>注：</w:t>
      </w:r>
      <w:r>
        <w:rPr>
          <w:rFonts w:hint="eastAsia" w:ascii="宋体" w:hAnsi="宋体" w:eastAsia="宋体" w:cs="宋体"/>
          <w:b/>
          <w:color w:val="auto"/>
          <w:sz w:val="21"/>
          <w:highlight w:val="none"/>
        </w:rPr>
        <w:t>本项目共分</w:t>
      </w:r>
      <w:r>
        <w:rPr>
          <w:rFonts w:hint="eastAsia" w:ascii="宋体" w:hAnsi="宋体" w:eastAsia="宋体" w:cs="宋体"/>
          <w:b/>
          <w:color w:val="auto"/>
          <w:sz w:val="21"/>
          <w:highlight w:val="none"/>
          <w:lang w:val="en-US" w:eastAsia="zh-CN"/>
        </w:rPr>
        <w:t>4</w:t>
      </w:r>
      <w:r>
        <w:rPr>
          <w:rFonts w:hint="eastAsia" w:ascii="宋体" w:hAnsi="宋体" w:eastAsia="宋体" w:cs="宋体"/>
          <w:b/>
          <w:color w:val="auto"/>
          <w:sz w:val="21"/>
          <w:highlight w:val="none"/>
        </w:rPr>
        <w:t>个包，各供应商可以参与一个或多个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包的竞争，但最多只能</w:t>
      </w:r>
      <w:r>
        <w:rPr>
          <w:rFonts w:hint="eastAsia" w:ascii="宋体" w:hAnsi="宋体" w:eastAsia="宋体" w:cs="宋体"/>
          <w:b/>
          <w:color w:val="auto"/>
          <w:sz w:val="21"/>
          <w:highlight w:val="none"/>
          <w:lang w:val="en-US" w:eastAsia="zh-CN"/>
        </w:rPr>
        <w:t>成交</w:t>
      </w:r>
      <w:r>
        <w:rPr>
          <w:rFonts w:hint="eastAsia" w:ascii="宋体" w:hAnsi="宋体" w:eastAsia="宋体" w:cs="宋体"/>
          <w:b/>
          <w:color w:val="auto"/>
          <w:sz w:val="21"/>
          <w:highlight w:val="none"/>
        </w:rPr>
        <w:t>一个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包。按照</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包1、</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包2</w:t>
      </w:r>
      <w:r>
        <w:rPr>
          <w:rFonts w:hint="eastAsia" w:ascii="宋体" w:hAnsi="宋体" w:eastAsia="宋体" w:cs="宋体"/>
          <w:b/>
          <w:color w:val="auto"/>
          <w:sz w:val="21"/>
          <w:highlight w:val="none"/>
          <w:lang w:eastAsia="zh-CN"/>
        </w:rPr>
        <w:t>……</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w:t>
      </w:r>
      <w:r>
        <w:rPr>
          <w:rFonts w:hint="eastAsia" w:ascii="宋体" w:hAnsi="宋体" w:eastAsia="宋体" w:cs="宋体"/>
          <w:b/>
          <w:color w:val="auto"/>
          <w:sz w:val="21"/>
          <w:highlight w:val="none"/>
          <w:lang w:val="en-US" w:eastAsia="zh-CN"/>
        </w:rPr>
        <w:t>4</w:t>
      </w:r>
      <w:r>
        <w:rPr>
          <w:rFonts w:hint="eastAsia" w:ascii="宋体" w:hAnsi="宋体" w:eastAsia="宋体" w:cs="宋体"/>
          <w:b/>
          <w:color w:val="auto"/>
          <w:sz w:val="21"/>
          <w:highlight w:val="none"/>
        </w:rPr>
        <w:t>顺序评标、</w:t>
      </w:r>
      <w:r>
        <w:rPr>
          <w:rFonts w:hint="eastAsia" w:ascii="宋体" w:hAnsi="宋体" w:eastAsia="宋体" w:cs="宋体"/>
          <w:b/>
          <w:color w:val="auto"/>
          <w:sz w:val="21"/>
          <w:highlight w:val="none"/>
          <w:lang w:val="en-US" w:eastAsia="zh-CN"/>
        </w:rPr>
        <w:t>成交</w:t>
      </w:r>
      <w:r>
        <w:rPr>
          <w:rFonts w:hint="eastAsia" w:ascii="宋体" w:hAnsi="宋体" w:eastAsia="宋体" w:cs="宋体"/>
          <w:b/>
          <w:color w:val="auto"/>
          <w:sz w:val="21"/>
          <w:highlight w:val="none"/>
        </w:rPr>
        <w:t>。每个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包取得分最高者为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，同一供应商若已在前一</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包中被推荐为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，在后续其他</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包中不再被推荐为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，由排名其后的供应商递补，以此类推</w:t>
      </w:r>
      <w:r>
        <w:rPr>
          <w:rFonts w:ascii="宋体" w:hAnsi="宋体" w:eastAsia="宋体" w:cs="宋体"/>
          <w:b/>
          <w:color w:val="auto"/>
          <w:sz w:val="21"/>
          <w:highlight w:val="none"/>
        </w:rPr>
        <w:t>。</w:t>
      </w:r>
    </w:p>
    <w:bookmarkEnd w:id="38"/>
    <w:p w14:paraId="5C099193">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合同履行期限：</w:t>
      </w:r>
      <w:r>
        <w:rPr>
          <w:rFonts w:hint="eastAsia" w:asciiTheme="minorEastAsia" w:hAnsiTheme="minorEastAsia" w:eastAsiaTheme="minorEastAsia" w:cstheme="minorEastAsia"/>
          <w:color w:val="auto"/>
          <w:highlight w:val="none"/>
          <w:lang w:val="en-US" w:eastAsia="zh-CN"/>
        </w:rPr>
        <w:t>1年</w:t>
      </w:r>
      <w:r>
        <w:rPr>
          <w:rFonts w:hint="eastAsia" w:asciiTheme="minorEastAsia" w:hAnsiTheme="minorEastAsia" w:eastAsiaTheme="minorEastAsia" w:cstheme="minorEastAsia"/>
          <w:color w:val="auto"/>
          <w:highlight w:val="none"/>
        </w:rPr>
        <w:t>。</w:t>
      </w:r>
    </w:p>
    <w:p w14:paraId="62C50BFA">
      <w:pPr>
        <w:keepNext w:val="0"/>
        <w:keepLines w:val="0"/>
        <w:pageBreakBefore w:val="0"/>
        <w:widowControl w:val="0"/>
        <w:kinsoku/>
        <w:wordWrap/>
        <w:overflowPunct/>
        <w:topLinePunct w:val="0"/>
        <w:bidi w:val="0"/>
        <w:adjustRightInd/>
        <w:snapToGrid/>
        <w:spacing w:line="360" w:lineRule="exact"/>
        <w:ind w:firstLine="420" w:firstLineChars="200"/>
        <w:jc w:val="left"/>
        <w:textAlignment w:val="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w:t>
      </w:r>
      <w:r>
        <w:rPr>
          <w:rFonts w:hint="eastAsia" w:asciiTheme="minorEastAsia" w:hAnsiTheme="minorEastAsia" w:eastAsiaTheme="minorEastAsia" w:cstheme="minorEastAsia"/>
          <w:b/>
          <w:bCs/>
          <w:color w:val="auto"/>
          <w:highlight w:val="none"/>
          <w:u w:val="single"/>
        </w:rPr>
        <w:t>不接受</w:t>
      </w:r>
      <w:r>
        <w:rPr>
          <w:rFonts w:hint="eastAsia" w:asciiTheme="minorEastAsia" w:hAnsiTheme="minorEastAsia" w:eastAsiaTheme="minorEastAsia" w:cstheme="minorEastAsia"/>
          <w:color w:val="auto"/>
          <w:highlight w:val="none"/>
        </w:rPr>
        <w:t>联合体投标。</w:t>
      </w:r>
    </w:p>
    <w:p w14:paraId="17E68D31">
      <w:pPr>
        <w:keepNext w:val="0"/>
        <w:keepLines w:val="0"/>
        <w:pageBreakBefore w:val="0"/>
        <w:widowControl w:val="0"/>
        <w:kinsoku/>
        <w:wordWrap/>
        <w:overflowPunct/>
        <w:topLinePunct w:val="0"/>
        <w:bidi w:val="0"/>
        <w:adjustRightInd/>
        <w:snapToGrid/>
        <w:spacing w:line="360" w:lineRule="exact"/>
        <w:ind w:firstLine="422"/>
        <w:jc w:val="left"/>
        <w:textAlignment w:val="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二、申请人的资格要求</w:t>
      </w:r>
    </w:p>
    <w:p w14:paraId="0A040E1F">
      <w:pPr>
        <w:keepNext w:val="0"/>
        <w:keepLines w:val="0"/>
        <w:pageBreakBefore w:val="0"/>
        <w:widowControl w:val="0"/>
        <w:kinsoku/>
        <w:wordWrap/>
        <w:overflowPunct/>
        <w:topLinePunct w:val="0"/>
        <w:bidi w:val="0"/>
        <w:adjustRightInd/>
        <w:snapToGrid/>
        <w:spacing w:line="360" w:lineRule="exact"/>
        <w:ind w:firstLine="482" w:firstLineChars="200"/>
        <w:textAlignment w:val="auto"/>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《中华人民共和国政府采购法》规定的条件:</w:t>
      </w:r>
    </w:p>
    <w:p w14:paraId="48A23BBC">
      <w:pPr>
        <w:pageBreakBefore w:val="0"/>
        <w:spacing w:line="240" w:lineRule="auto"/>
        <w:ind w:firstLine="420"/>
        <w:rPr>
          <w:color w:val="auto"/>
        </w:rPr>
      </w:pPr>
      <w:r>
        <w:rPr>
          <w:rFonts w:hint="eastAsia" w:ascii="宋体" w:hAnsi="宋体" w:cs="宋体"/>
          <w:color w:val="auto"/>
          <w:szCs w:val="21"/>
          <w:highlight w:val="none"/>
        </w:rPr>
        <w:t>（1）</w:t>
      </w:r>
      <w:bookmarkStart w:id="39" w:name="OLE_LINK6"/>
      <w:r>
        <w:rPr>
          <w:rFonts w:hint="eastAsia" w:ascii="宋体" w:hAnsi="宋体" w:cs="宋体"/>
          <w:color w:val="auto"/>
          <w:szCs w:val="21"/>
          <w:highlight w:val="none"/>
        </w:rPr>
        <w:t>具有独立承担民事责任的能力。（供应商为法人或者其他组织的，提供营业执照或法人证书或组织机构代码证</w:t>
      </w:r>
      <w:r>
        <w:rPr>
          <w:rFonts w:hint="eastAsia" w:ascii="宋体" w:hAnsi="宋体" w:cs="宋体"/>
          <w:color w:val="auto"/>
          <w:szCs w:val="21"/>
          <w:highlight w:val="none"/>
          <w:lang w:val="en-US" w:eastAsia="zh-CN"/>
        </w:rPr>
        <w:t>等证明文件</w:t>
      </w:r>
      <w:r>
        <w:rPr>
          <w:rFonts w:hint="eastAsia" w:ascii="宋体" w:hAnsi="宋体" w:cs="宋体"/>
          <w:color w:val="auto"/>
          <w:szCs w:val="21"/>
          <w:highlight w:val="none"/>
        </w:rPr>
        <w:t>；供应商为自然人的，提供其身份证。）</w:t>
      </w:r>
    </w:p>
    <w:bookmarkEnd w:id="39"/>
    <w:p w14:paraId="23346472">
      <w:pPr>
        <w:spacing w:line="240" w:lineRule="auto"/>
        <w:ind w:firstLine="420" w:firstLineChars="200"/>
        <w:rPr>
          <w:rFonts w:hint="eastAsia" w:asciiTheme="minorEastAsia" w:hAnsiTheme="minorEastAsia" w:eastAsiaTheme="minorEastAsia" w:cstheme="minorEastAsia"/>
          <w:b w:val="0"/>
          <w:bCs w:val="0"/>
          <w:color w:val="auto"/>
          <w:szCs w:val="21"/>
          <w:highlight w:val="none"/>
        </w:rPr>
      </w:pPr>
      <w:r>
        <w:rPr>
          <w:rFonts w:hint="eastAsia" w:ascii="宋体" w:hAnsi="宋体" w:cs="宋体"/>
          <w:color w:val="auto"/>
          <w:szCs w:val="21"/>
          <w:highlight w:val="none"/>
        </w:rPr>
        <w:t>（2）</w:t>
      </w:r>
      <w:bookmarkStart w:id="40" w:name="OLE_LINK8"/>
      <w:r>
        <w:rPr>
          <w:rFonts w:hint="eastAsia" w:ascii="宋体" w:hAnsi="宋体" w:cs="宋体"/>
          <w:color w:val="auto"/>
          <w:szCs w:val="21"/>
          <w:highlight w:val="none"/>
        </w:rPr>
        <w:t>本次政府采购活动采用信用承诺制，具体要求详见本公告“</w:t>
      </w:r>
      <w:r>
        <w:rPr>
          <w:rFonts w:hint="eastAsia" w:ascii="宋体" w:hAnsi="宋体" w:cs="宋体"/>
          <w:color w:val="auto"/>
          <w:szCs w:val="21"/>
          <w:highlight w:val="none"/>
          <w:lang w:val="en-US" w:eastAsia="zh-CN"/>
        </w:rPr>
        <w:t>六</w:t>
      </w:r>
      <w:r>
        <w:rPr>
          <w:rFonts w:hint="eastAsia" w:ascii="宋体" w:hAnsi="宋体" w:cs="宋体"/>
          <w:color w:val="auto"/>
          <w:szCs w:val="21"/>
          <w:highlight w:val="none"/>
        </w:rPr>
        <w:t>、其他补充事宜”。（供应商提供由法定代表人签字并盖单位公章的《南京市政府采购供应商信用记录表暨信用承诺书》。）</w:t>
      </w:r>
    </w:p>
    <w:bookmarkEnd w:id="40"/>
    <w:p w14:paraId="307A12B2">
      <w:pPr>
        <w:keepNext w:val="0"/>
        <w:keepLines w:val="0"/>
        <w:pageBreakBefore w:val="0"/>
        <w:widowControl w:val="0"/>
        <w:kinsoku/>
        <w:wordWrap/>
        <w:overflowPunct/>
        <w:topLinePunct w:val="0"/>
        <w:bidi w:val="0"/>
        <w:adjustRightInd/>
        <w:snapToGrid/>
        <w:spacing w:line="360" w:lineRule="exact"/>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ascii="宋体" w:hAnsi="宋体" w:cs="宋体"/>
          <w:b/>
          <w:bCs/>
          <w:color w:val="auto"/>
          <w:sz w:val="24"/>
          <w:highlight w:val="none"/>
        </w:rPr>
        <w:t>落实政府采购政策需满足的资格要求：</w:t>
      </w:r>
    </w:p>
    <w:p w14:paraId="525A5A2D">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default" w:eastAsia="宋体"/>
          <w:b w:val="0"/>
          <w:bCs w:val="0"/>
          <w:color w:val="auto"/>
          <w:sz w:val="21"/>
          <w:szCs w:val="21"/>
          <w:highlight w:val="none"/>
          <w:lang w:val="en-US" w:eastAsia="zh-CN"/>
        </w:rPr>
      </w:pPr>
      <w:r>
        <w:rPr>
          <w:b w:val="0"/>
          <w:bCs w:val="0"/>
          <w:color w:val="auto"/>
          <w:sz w:val="21"/>
          <w:szCs w:val="21"/>
          <w:highlight w:val="none"/>
        </w:rPr>
        <w:t>如属于</w:t>
      </w:r>
      <w:bookmarkStart w:id="41" w:name="OLE_LINK9"/>
      <w:bookmarkStart w:id="42" w:name="OLE_LINK10"/>
      <w:r>
        <w:rPr>
          <w:b w:val="0"/>
          <w:bCs w:val="0"/>
          <w:color w:val="auto"/>
          <w:sz w:val="21"/>
          <w:szCs w:val="21"/>
          <w:highlight w:val="none"/>
        </w:rPr>
        <w:t>专门面向中小企业采购的项目，供应商应为中小微企业、监狱企业、残疾人福利性单位</w:t>
      </w:r>
      <w:r>
        <w:rPr>
          <w:rFonts w:hint="eastAsia"/>
          <w:b w:val="0"/>
          <w:bCs w:val="0"/>
          <w:color w:val="auto"/>
          <w:sz w:val="21"/>
          <w:szCs w:val="21"/>
          <w:highlight w:val="none"/>
          <w:lang w:eastAsia="zh-CN"/>
        </w:rPr>
        <w:t>。（</w:t>
      </w:r>
      <w:r>
        <w:rPr>
          <w:rFonts w:hint="eastAsia"/>
          <w:b w:val="0"/>
          <w:bCs w:val="0"/>
          <w:color w:val="auto"/>
          <w:sz w:val="21"/>
          <w:szCs w:val="21"/>
          <w:highlight w:val="none"/>
          <w:lang w:val="en-US" w:eastAsia="zh-CN"/>
        </w:rPr>
        <w:t>中小微企业按采购文件要求提供《中小企业申明函》原件</w:t>
      </w:r>
      <w:r>
        <w:rPr>
          <w:rFonts w:hint="eastAsia"/>
          <w:b w:val="0"/>
          <w:bCs w:val="0"/>
          <w:color w:val="auto"/>
          <w:sz w:val="21"/>
          <w:szCs w:val="21"/>
          <w:highlight w:val="none"/>
          <w:lang w:eastAsia="zh-CN"/>
        </w:rPr>
        <w:t>）</w:t>
      </w:r>
      <w:bookmarkEnd w:id="41"/>
    </w:p>
    <w:bookmarkEnd w:id="42"/>
    <w:p w14:paraId="278CB214">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color w:val="auto"/>
          <w:highlight w:val="none"/>
        </w:rPr>
        <w:t>本项目按照采用以下第(</w:t>
      </w:r>
      <w:r>
        <w:rPr>
          <w:rFonts w:hint="eastAsia"/>
          <w:color w:val="auto"/>
          <w:highlight w:val="none"/>
          <w:u w:val="single"/>
        </w:rPr>
        <w:t xml:space="preserve">  </w:t>
      </w:r>
      <w:r>
        <w:rPr>
          <w:rFonts w:hint="eastAsia"/>
          <w:color w:val="auto"/>
          <w:highlight w:val="none"/>
          <w:u w:val="single"/>
          <w:lang w:val="en-US" w:eastAsia="zh-CN"/>
        </w:rPr>
        <w:t xml:space="preserve">1 </w:t>
      </w:r>
      <w:r>
        <w:rPr>
          <w:rFonts w:hint="eastAsia"/>
          <w:color w:val="auto"/>
          <w:highlight w:val="none"/>
          <w:u w:val="single"/>
        </w:rPr>
        <w:t xml:space="preserve"> </w:t>
      </w:r>
      <w:r>
        <w:rPr>
          <w:color w:val="auto"/>
          <w:highlight w:val="none"/>
        </w:rPr>
        <w:t>)种方式落实政府采购促进中小企业发展的要求：</w:t>
      </w:r>
    </w:p>
    <w:p w14:paraId="2D4238B5">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color w:val="auto"/>
          <w:highlight w:val="none"/>
        </w:rPr>
        <w:t>（1）</w:t>
      </w:r>
      <w:bookmarkStart w:id="43" w:name="OLE_LINK11"/>
      <w:r>
        <w:rPr>
          <w:color w:val="auto"/>
          <w:highlight w:val="none"/>
        </w:rPr>
        <w:t>本项目整体专门面向中小企业采购服务</w:t>
      </w:r>
      <w:bookmarkEnd w:id="43"/>
      <w:r>
        <w:rPr>
          <w:color w:val="auto"/>
          <w:highlight w:val="none"/>
        </w:rPr>
        <w:t>。</w:t>
      </w:r>
    </w:p>
    <w:p w14:paraId="7F4F3E44">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color w:val="auto"/>
          <w:highlight w:val="none"/>
        </w:rPr>
        <w:t>（2）本项目整体专门面向小微企业采购服务。</w:t>
      </w:r>
    </w:p>
    <w:p w14:paraId="593113B1">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color w:val="auto"/>
          <w:highlight w:val="none"/>
        </w:rPr>
        <w:t>（3）本项目通过以下第种方式预留部分采购份额采购中小企业服务：</w:t>
      </w:r>
    </w:p>
    <w:p w14:paraId="32C7B046">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rFonts w:hint="eastAsia" w:ascii="宋体" w:hAnsi="宋体" w:cs="宋体"/>
          <w:color w:val="auto"/>
          <w:highlight w:val="none"/>
        </w:rPr>
        <w:t>①</w:t>
      </w:r>
      <w:r>
        <w:rPr>
          <w:color w:val="auto"/>
          <w:highlight w:val="none"/>
        </w:rPr>
        <w:t>本项目要求供应商以联合体形式参加，企业合同金额应当达到的比例为%。</w:t>
      </w:r>
    </w:p>
    <w:p w14:paraId="7C657264">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rFonts w:hint="eastAsia" w:ascii="宋体" w:hAnsi="宋体" w:cs="宋体"/>
          <w:color w:val="auto"/>
          <w:highlight w:val="none"/>
        </w:rPr>
        <w:t>②</w:t>
      </w:r>
      <w:r>
        <w:rPr>
          <w:color w:val="auto"/>
          <w:highlight w:val="none"/>
        </w:rPr>
        <w:t>本项目要求供应商进行合同分包，企业合同金额应当达到的比例为%。</w:t>
      </w:r>
    </w:p>
    <w:p w14:paraId="2EF3C708">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eastAsia"/>
          <w:color w:val="auto"/>
          <w:highlight w:val="none"/>
        </w:rPr>
      </w:pPr>
      <w:r>
        <w:rPr>
          <w:color w:val="auto"/>
          <w:highlight w:val="none"/>
        </w:rPr>
        <w:t>（4）本项目为非预留份额的采购项目或采购包，执行价格扣除优惠政策，具体详见</w:t>
      </w:r>
      <w:r>
        <w:rPr>
          <w:rFonts w:hint="eastAsia"/>
          <w:color w:val="auto"/>
          <w:highlight w:val="none"/>
        </w:rPr>
        <w:t>采购文件。</w:t>
      </w:r>
    </w:p>
    <w:p w14:paraId="07360F56">
      <w:pPr>
        <w:ind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（注：</w:t>
      </w:r>
      <w:r>
        <w:rPr>
          <w:rFonts w:hint="eastAsia" w:asciiTheme="minorEastAsia" w:hAnsiTheme="minorEastAsia" w:eastAsiaTheme="minorEastAsia" w:cstheme="minorEastAsia"/>
          <w:b/>
          <w:bCs/>
          <w:color w:val="auto"/>
          <w:highlight w:val="none"/>
          <w:lang w:val="en-US" w:eastAsia="zh-CN"/>
        </w:rPr>
        <w:t>本项目</w:t>
      </w:r>
      <w:r>
        <w:rPr>
          <w:rFonts w:hint="eastAsia" w:asciiTheme="minorEastAsia" w:hAnsiTheme="minorEastAsia" w:eastAsiaTheme="minorEastAsia" w:cstheme="minorEastAsia"/>
          <w:b/>
          <w:bCs/>
          <w:color w:val="auto"/>
          <w:highlight w:val="none"/>
        </w:rPr>
        <w:t>所属行业</w:t>
      </w:r>
      <w:r>
        <w:rPr>
          <w:rFonts w:hint="eastAsia" w:asciiTheme="minorEastAsia" w:hAnsiTheme="minorEastAsia" w:eastAsiaTheme="minorEastAsia" w:cstheme="minorEastAsia"/>
          <w:b/>
          <w:bCs/>
          <w:color w:val="auto"/>
          <w:highlight w:val="none"/>
          <w:lang w:val="en-US" w:eastAsia="zh-CN"/>
        </w:rPr>
        <w:t>为：批发业。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bCs/>
          <w:color w:val="auto"/>
          <w:highlight w:val="none"/>
        </w:rPr>
        <w:t>）</w:t>
      </w:r>
    </w:p>
    <w:p w14:paraId="3BA20368">
      <w:pPr>
        <w:keepNext w:val="0"/>
        <w:keepLines w:val="0"/>
        <w:pageBreakBefore w:val="0"/>
        <w:widowControl w:val="0"/>
        <w:kinsoku/>
        <w:wordWrap/>
        <w:overflowPunct/>
        <w:topLinePunct w:val="0"/>
        <w:autoSpaceDE w:val="0"/>
        <w:autoSpaceDN w:val="0"/>
        <w:bidi w:val="0"/>
        <w:adjustRightInd/>
        <w:snapToGrid/>
        <w:spacing w:line="360" w:lineRule="exact"/>
        <w:ind w:firstLine="482" w:firstLineChars="200"/>
        <w:jc w:val="left"/>
        <w:textAlignment w:val="auto"/>
        <w:rPr>
          <w:rFonts w:hint="eastAsia" w:ascii="宋体" w:hAnsi="宋体" w:cs="宋体"/>
          <w:color w:val="auto"/>
          <w:szCs w:val="21"/>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采购人根据采购项目的特殊要求规定的特定条件</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并提供相关证明文件</w:t>
      </w:r>
      <w:r>
        <w:rPr>
          <w:rFonts w:hint="eastAsia" w:ascii="宋体" w:hAnsi="宋体" w:cs="宋体"/>
          <w:b/>
          <w:bCs/>
          <w:color w:val="auto"/>
          <w:highlight w:val="none"/>
        </w:rPr>
        <w:t>：</w:t>
      </w:r>
      <w:r>
        <w:rPr>
          <w:rFonts w:hint="eastAsia" w:ascii="宋体" w:hAnsi="宋体" w:cs="宋体"/>
          <w:color w:val="auto"/>
          <w:sz w:val="21"/>
          <w:szCs w:val="21"/>
          <w:highlight w:val="none"/>
          <w:lang w:val="en-US" w:eastAsia="zh-CN"/>
        </w:rPr>
        <w:t>无</w:t>
      </w:r>
      <w:r>
        <w:rPr>
          <w:rFonts w:hint="eastAsia" w:ascii="宋体" w:hAnsi="宋体" w:eastAsia="宋体" w:cs="宋体"/>
          <w:color w:val="auto"/>
          <w:sz w:val="21"/>
          <w:szCs w:val="21"/>
          <w:highlight w:val="none"/>
        </w:rPr>
        <w:t>。</w:t>
      </w:r>
    </w:p>
    <w:p w14:paraId="7DFF47C0">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三、获取招标文件</w:t>
      </w:r>
    </w:p>
    <w:p w14:paraId="11872C58">
      <w:pPr>
        <w:spacing w:line="360" w:lineRule="exact"/>
        <w:ind w:firstLine="422"/>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时间：</w:t>
      </w:r>
      <w:r>
        <w:rPr>
          <w:rFonts w:hint="eastAsia" w:ascii="宋体" w:hAnsi="宋体" w:cs="宋体"/>
          <w:color w:val="auto"/>
          <w:szCs w:val="21"/>
          <w:highlight w:val="none"/>
          <w:lang w:eastAsia="zh-CN"/>
        </w:rPr>
        <w:t>自本公告发布之日起</w:t>
      </w:r>
      <w:r>
        <w:rPr>
          <w:rFonts w:hint="eastAsia" w:ascii="宋体" w:hAnsi="宋体" w:cs="宋体"/>
          <w:color w:val="auto"/>
          <w:szCs w:val="21"/>
          <w:highlight w:val="none"/>
          <w:lang w:val="en-US" w:eastAsia="zh-CN"/>
        </w:rPr>
        <w:t>5个工作日</w:t>
      </w:r>
    </w:p>
    <w:p w14:paraId="0733A7D8">
      <w:pPr>
        <w:spacing w:line="360" w:lineRule="exact"/>
        <w:ind w:firstLine="422"/>
        <w:jc w:val="left"/>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地点：</w:t>
      </w:r>
      <w:r>
        <w:rPr>
          <w:rFonts w:hint="eastAsia" w:ascii="宋体" w:hAnsi="宋体" w:eastAsia="宋体" w:cs="宋体"/>
          <w:color w:val="auto"/>
          <w:kern w:val="2"/>
          <w:sz w:val="21"/>
          <w:szCs w:val="24"/>
          <w:highlight w:val="none"/>
          <w:lang w:val="en-US" w:eastAsia="zh-CN" w:bidi="ar-SA"/>
        </w:rPr>
        <w:t>江苏省政府采购管理交易系统（苏采云系统）</w:t>
      </w:r>
    </w:p>
    <w:p w14:paraId="28280AF7">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方式：</w:t>
      </w:r>
      <w:r>
        <w:rPr>
          <w:rFonts w:hint="eastAsia" w:ascii="宋体" w:hAnsi="宋体" w:cs="宋体"/>
          <w:color w:val="auto"/>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78DADAD">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售价：</w:t>
      </w:r>
      <w:r>
        <w:rPr>
          <w:rFonts w:hint="eastAsia" w:ascii="宋体" w:hAnsi="宋体" w:cs="宋体"/>
          <w:color w:val="auto"/>
          <w:szCs w:val="21"/>
          <w:highlight w:val="none"/>
          <w:lang w:val="en-US" w:eastAsia="zh-CN"/>
        </w:rPr>
        <w:t>0元</w:t>
      </w:r>
      <w:r>
        <w:rPr>
          <w:rFonts w:hint="eastAsia" w:ascii="宋体" w:hAnsi="宋体" w:cs="宋体"/>
          <w:color w:val="auto"/>
          <w:highlight w:val="none"/>
        </w:rPr>
        <w:t>。</w:t>
      </w:r>
      <w:r>
        <w:rPr>
          <w:rFonts w:hint="eastAsia" w:asciiTheme="minorEastAsia" w:hAnsiTheme="minorEastAsia" w:eastAsiaTheme="minorEastAsia" w:cstheme="minorEastAsia"/>
          <w:color w:val="auto"/>
          <w:highlight w:val="none"/>
        </w:rPr>
        <w:t xml:space="preserve"> </w:t>
      </w:r>
    </w:p>
    <w:p w14:paraId="1DAA4D27">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四、提交投标文件截止时间、开标时间和地点</w:t>
      </w:r>
    </w:p>
    <w:p w14:paraId="3CCF45E8">
      <w:pPr>
        <w:pStyle w:val="4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ind w:left="0" w:leftChars="0" w:firstLine="420" w:firstLineChars="200"/>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截止时间：</w:t>
      </w:r>
      <w:r>
        <w:rPr>
          <w:rFonts w:hint="eastAsia" w:cs="宋体"/>
          <w:color w:val="auto"/>
          <w:kern w:val="0"/>
          <w:sz w:val="21"/>
          <w:szCs w:val="21"/>
          <w:highlight w:val="none"/>
          <w:lang w:eastAsia="zh-CN"/>
        </w:rPr>
        <w:t>2025年5月8日09点30分</w:t>
      </w:r>
      <w:r>
        <w:rPr>
          <w:rFonts w:hint="eastAsia" w:ascii="宋体" w:hAnsi="宋体" w:eastAsia="宋体" w:cs="宋体"/>
          <w:color w:val="auto"/>
          <w:kern w:val="2"/>
          <w:sz w:val="21"/>
          <w:szCs w:val="24"/>
          <w:highlight w:val="none"/>
          <w:lang w:val="en-US" w:eastAsia="zh-CN" w:bidi="ar-SA"/>
        </w:rPr>
        <w:t>（北京时间）</w:t>
      </w:r>
    </w:p>
    <w:p w14:paraId="4605C32A">
      <w:pPr>
        <w:spacing w:line="360" w:lineRule="exact"/>
        <w:ind w:firstLine="420" w:firstLineChars="200"/>
        <w:rPr>
          <w:rFonts w:asciiTheme="minorEastAsia" w:hAnsiTheme="minorEastAsia" w:eastAsiaTheme="minorEastAsia" w:cstheme="minorEastAsia"/>
          <w:color w:val="auto"/>
          <w:highlight w:val="none"/>
        </w:rPr>
      </w:pPr>
      <w:r>
        <w:rPr>
          <w:rFonts w:hint="eastAsia" w:ascii="宋体" w:hAnsi="宋体" w:eastAsia="宋体" w:cs="宋体"/>
          <w:color w:val="auto"/>
          <w:kern w:val="2"/>
          <w:sz w:val="21"/>
          <w:szCs w:val="24"/>
          <w:highlight w:val="none"/>
          <w:lang w:val="en-US" w:eastAsia="zh-CN" w:bidi="ar-SA"/>
        </w:rPr>
        <w:t>地点：江苏省政府采购管理交易系统（苏采云系统）</w:t>
      </w:r>
    </w:p>
    <w:p w14:paraId="22C15FC1">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五、公告期限</w:t>
      </w:r>
    </w:p>
    <w:p w14:paraId="181174CC">
      <w:pPr>
        <w:spacing w:line="36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自本公告发布之日起5个工作日。</w:t>
      </w:r>
    </w:p>
    <w:p w14:paraId="6554727D">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六、其他补充事宜</w:t>
      </w:r>
    </w:p>
    <w:p w14:paraId="1385AF80">
      <w:pPr>
        <w:autoSpaceDE w:val="0"/>
        <w:autoSpaceDN w:val="0"/>
        <w:spacing w:line="360" w:lineRule="exact"/>
        <w:ind w:firstLine="422" w:firstLineChars="20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本次采购采用“政府采购管理交易系统（苏采云）”</w:t>
      </w:r>
      <w:r>
        <w:rPr>
          <w:rFonts w:hint="eastAsia" w:ascii="宋体" w:hAnsi="宋体" w:eastAsia="宋体" w:cs="宋体"/>
          <w:b/>
          <w:bCs/>
          <w:color w:val="auto"/>
          <w:szCs w:val="21"/>
          <w:highlight w:val="none"/>
          <w:lang w:eastAsia="zh-CN"/>
        </w:rPr>
        <w:t>：</w:t>
      </w:r>
    </w:p>
    <w:p w14:paraId="01F27D1D">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本次</w:t>
      </w:r>
      <w:r>
        <w:rPr>
          <w:rFonts w:hint="eastAsia" w:ascii="宋体" w:hAnsi="宋体" w:eastAsia="宋体" w:cs="宋体"/>
          <w:b w:val="0"/>
          <w:bCs w:val="0"/>
          <w:color w:val="auto"/>
          <w:szCs w:val="21"/>
          <w:highlight w:val="none"/>
          <w:lang w:val="en-US" w:eastAsia="zh-CN"/>
        </w:rPr>
        <w:t>采购</w:t>
      </w:r>
      <w:r>
        <w:rPr>
          <w:rFonts w:hint="eastAsia" w:ascii="宋体" w:hAnsi="宋体" w:eastAsia="宋体" w:cs="宋体"/>
          <w:color w:val="auto"/>
          <w:szCs w:val="21"/>
          <w:highlight w:val="none"/>
        </w:rPr>
        <w:t>全程电子化，开标方式为不见面开标。</w:t>
      </w:r>
    </w:p>
    <w:p w14:paraId="7C59B974">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供应商通过苏采云系统参与政府采购项目，需要办理江苏省政府采购数字证书及电子签章，具体详见苏采云系统登录页“新CA办理指南”。</w:t>
      </w:r>
    </w:p>
    <w:p w14:paraId="276BB553">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供应商按《</w:t>
      </w:r>
      <w:r>
        <w:rPr>
          <w:rFonts w:hint="eastAsia" w:ascii="宋体" w:hAnsi="宋体" w:eastAsia="宋体" w:cs="宋体"/>
          <w:color w:val="auto"/>
          <w:szCs w:val="21"/>
          <w:highlight w:val="none"/>
          <w:lang w:val="en-US" w:eastAsia="zh-CN"/>
        </w:rPr>
        <w:t>江苏省政府采购管理交易系统（</w:t>
      </w:r>
      <w:r>
        <w:rPr>
          <w:rFonts w:hint="eastAsia" w:ascii="宋体" w:hAnsi="宋体" w:eastAsia="宋体" w:cs="宋体"/>
          <w:color w:val="auto"/>
          <w:szCs w:val="21"/>
          <w:highlight w:val="none"/>
        </w:rPr>
        <w:t>苏采云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供应商操作手册》（以下简称“操作手册”）进行注册，并制作上传电子响应文件。《操作手册》下载地址：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51"/>
          <w:rFonts w:hint="eastAsia" w:ascii="宋体" w:hAnsi="宋体" w:eastAsia="宋体" w:cs="宋体"/>
          <w:color w:val="auto"/>
          <w:sz w:val="21"/>
          <w:szCs w:val="21"/>
          <w:highlight w:val="none"/>
        </w:rPr>
        <w:t>http://www.ccgp-jiangsu.gov.cn/jiangsu/zlxz/ee/ee3a4bc5a3454aa2b0d9312230633ce9.html</w:t>
      </w:r>
      <w:r>
        <w:rPr>
          <w:rFonts w:hint="eastAsia" w:ascii="宋体" w:hAnsi="宋体" w:eastAsia="宋体" w:cs="宋体"/>
          <w:color w:val="auto"/>
          <w:sz w:val="21"/>
          <w:szCs w:val="21"/>
          <w:highlight w:val="none"/>
        </w:rPr>
        <w:fldChar w:fldCharType="end"/>
      </w:r>
    </w:p>
    <w:p w14:paraId="2E756EBF">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（“苏采云”南京地区客服热线025-83633744、025-83633743。）</w:t>
      </w:r>
    </w:p>
    <w:p w14:paraId="46C3A1BD">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2、政府采购信用承诺：</w:t>
      </w:r>
    </w:p>
    <w:p w14:paraId="7E50AE93">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2.1</w:t>
      </w:r>
      <w:r>
        <w:rPr>
          <w:rFonts w:hint="eastAsia" w:ascii="宋体" w:hAnsi="宋体" w:eastAsia="宋体" w:cs="宋体"/>
          <w:color w:val="auto"/>
          <w:szCs w:val="21"/>
          <w:highlight w:val="none"/>
        </w:rPr>
        <w:t>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eastAsia="宋体" w:cs="宋体"/>
          <w:b/>
          <w:bCs/>
          <w:color w:val="auto"/>
          <w:kern w:val="0"/>
          <w:szCs w:val="21"/>
          <w:highlight w:val="none"/>
        </w:rPr>
        <w:t>每次参加政府采购活动投标（响应）截至日前，</w:t>
      </w:r>
      <w:r>
        <w:rPr>
          <w:rFonts w:hint="eastAsia" w:ascii="宋体" w:hAnsi="宋体" w:eastAsia="宋体" w:cs="宋体"/>
          <w:color w:val="auto"/>
          <w:szCs w:val="21"/>
          <w:highlight w:val="none"/>
        </w:rPr>
        <w:t>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w:t>
      </w:r>
      <w:r>
        <w:rPr>
          <w:rFonts w:hint="eastAsia" w:ascii="宋体" w:hAnsi="宋体" w:eastAsia="宋体" w:cs="宋体"/>
          <w:color w:val="auto"/>
          <w:szCs w:val="21"/>
          <w:highlight w:val="none"/>
          <w:lang w:val="en-US" w:eastAsia="zh-CN"/>
        </w:rPr>
        <w:t>定代表人</w:t>
      </w:r>
      <w:r>
        <w:rPr>
          <w:rFonts w:hint="eastAsia" w:ascii="宋体" w:hAnsi="宋体" w:eastAsia="宋体" w:cs="宋体"/>
          <w:color w:val="auto"/>
          <w:szCs w:val="21"/>
          <w:highlight w:val="none"/>
        </w:rPr>
        <w:t>签字并盖单位公章，随响应文件一并递交。</w:t>
      </w:r>
    </w:p>
    <w:p w14:paraId="53DF5FC0">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 xml:space="preserve">在政府采购资格审查环节，供应商只需提供书面《南京市政府采购供应商信用记录表暨信用承诺书》，即可替代以下证明材料： </w:t>
      </w:r>
    </w:p>
    <w:p w14:paraId="630FF157">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（1）参加本次政府采购活动前的会计报表，成立不满一年的无需提供。 </w:t>
      </w:r>
    </w:p>
    <w:p w14:paraId="098CA354">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（2）参加本次政府采购活动前半年内至少一个月依法缴纳税收和社会保障资金的相关资料，提供相关主管部门证明或银行代扣证明，根据国家相关政策免缴或迟缴的需提供相关证明材料。</w:t>
      </w:r>
    </w:p>
    <w:p w14:paraId="523CAD3A">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（3）具备履行政府采购合同所必需的设备和专业技术能力的书面声明，格式见</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val="en-US" w:eastAsia="zh-CN"/>
        </w:rPr>
        <w:t>文件附件。 </w:t>
      </w:r>
    </w:p>
    <w:p w14:paraId="3B700295">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（4）参加政府采购活动前三年内在经营活动中没有重大违法记录的书面声明，格式见</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val="en-US" w:eastAsia="zh-CN"/>
        </w:rPr>
        <w:t>文件附件。 </w:t>
      </w:r>
    </w:p>
    <w:p w14:paraId="401EF3BE">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（5）未被列入失信被执行人、重大税收违法失信主体、政府采购严重违法失信行为记录名单的证明材料。</w:t>
      </w:r>
    </w:p>
    <w:p w14:paraId="2FB3FCED">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4E890BE8">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2.3</w:t>
      </w:r>
      <w:r>
        <w:rPr>
          <w:rFonts w:hint="eastAsia" w:ascii="宋体" w:hAnsi="宋体" w:eastAsia="宋体" w:cs="宋体"/>
          <w:color w:val="auto"/>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601851B5">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2.4</w:t>
      </w:r>
      <w:r>
        <w:rPr>
          <w:rFonts w:hint="eastAsia" w:ascii="宋体" w:hAnsi="宋体" w:eastAsia="宋体" w:cs="宋体"/>
          <w:color w:val="auto"/>
          <w:szCs w:val="21"/>
          <w:highlight w:val="none"/>
        </w:rPr>
        <w:t xml:space="preserve">供应商涉及以下情形的，不适用信用承诺： </w:t>
      </w:r>
    </w:p>
    <w:p w14:paraId="1AFDFFD0">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（1）供应商被列入严重失信主体名单； </w:t>
      </w:r>
    </w:p>
    <w:p w14:paraId="4656D208">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（2）被相关监管部门作出行政处罚且尚在处罚有效期内； </w:t>
      </w:r>
    </w:p>
    <w:p w14:paraId="6B8D2B3A">
      <w:pPr>
        <w:autoSpaceDE w:val="0"/>
        <w:autoSpaceDN w:val="0"/>
        <w:spacing w:line="3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（3）其他法律、行政法规规定的不适用信用承诺的情形。 </w:t>
      </w:r>
    </w:p>
    <w:p w14:paraId="58E29704">
      <w:pPr>
        <w:autoSpaceDE w:val="0"/>
        <w:autoSpaceDN w:val="0"/>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供应商对信用承诺内容的真实性、合法性、有效性负责。如作出虚假信用承诺，视同为“提供虚假材料谋取中标、成交”的违法行为。</w:t>
      </w:r>
    </w:p>
    <w:p w14:paraId="1BE36369">
      <w:pPr>
        <w:spacing w:line="360" w:lineRule="exact"/>
        <w:ind w:firstLine="422" w:firstLineChars="200"/>
        <w:jc w:val="lef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拒绝下述供应商参加本次采购活动</w:t>
      </w:r>
    </w:p>
    <w:p w14:paraId="2D720534">
      <w:pPr>
        <w:spacing w:line="36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（1）供应商单位负责人为同一人或者存在直接控股、管理关系的不同供应商，不得参加同一合同项下的政府采购活动。</w:t>
      </w:r>
    </w:p>
    <w:p w14:paraId="4CE27D54">
      <w:pPr>
        <w:spacing w:line="36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（2）除单一来源采购项目外，为采购项目提供整体设计、规范编制或者项目管理、监理、检测等服务的供应商，不得再参加该采购项目的其他采购活动。</w:t>
      </w:r>
    </w:p>
    <w:p w14:paraId="6831270E">
      <w:pPr>
        <w:spacing w:line="36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（3）供应商被“信用中国”网站、“中国政府采购网”列入失信被执行人、重大税收违法案件当事人名单、政府采购严重违法失信行为记录名单。</w:t>
      </w:r>
    </w:p>
    <w:p w14:paraId="79ABA426">
      <w:pPr>
        <w:spacing w:line="360" w:lineRule="exact"/>
        <w:ind w:firstLine="422" w:firstLineChars="200"/>
        <w:jc w:val="left"/>
        <w:rPr>
          <w:rFonts w:hint="eastAsia" w:ascii="宋体" w:hAnsi="宋体" w:eastAsia="宋体" w:cs="宋体"/>
          <w:b/>
          <w:bCs w:val="0"/>
          <w:color w:val="auto"/>
          <w:highlight w:val="none"/>
        </w:rPr>
      </w:pPr>
      <w:r>
        <w:rPr>
          <w:rFonts w:hint="eastAsia" w:ascii="宋体" w:hAnsi="宋体" w:eastAsia="宋体" w:cs="宋体"/>
          <w:b/>
          <w:bCs w:val="0"/>
          <w:color w:val="auto"/>
          <w:szCs w:val="21"/>
          <w:highlight w:val="none"/>
          <w:lang w:val="en-US" w:eastAsia="zh-CN"/>
        </w:rPr>
        <w:t>4、</w:t>
      </w:r>
      <w:r>
        <w:rPr>
          <w:rFonts w:hint="eastAsia" w:ascii="宋体" w:hAnsi="宋体" w:eastAsia="宋体" w:cs="宋体"/>
          <w:b/>
          <w:bCs w:val="0"/>
          <w:color w:val="auto"/>
          <w:highlight w:val="none"/>
        </w:rPr>
        <w:t>现场考察：</w:t>
      </w:r>
    </w:p>
    <w:p w14:paraId="7EA703F8">
      <w:pPr>
        <w:spacing w:line="36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采购人不组织，</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可自行踏勘。请务必对项目现场和周围环境进行仔细认真地查勘，在随后的采购中，对现场资料和数据所作出的推论、解释和结论及由此造成的后果由供应商负责。</w:t>
      </w:r>
    </w:p>
    <w:p w14:paraId="1C94920D">
      <w:pPr>
        <w:ind w:firstLine="420" w:firstLineChars="200"/>
        <w:jc w:val="left"/>
        <w:rPr>
          <w:rFonts w:asciiTheme="minorEastAsia" w:hAnsiTheme="minorEastAsia" w:eastAsiaTheme="minorEastAsia" w:cstheme="minorEastAsia"/>
          <w:color w:val="auto"/>
          <w:highlight w:val="none"/>
        </w:rPr>
      </w:pPr>
      <w:r>
        <w:rPr>
          <w:rFonts w:hint="eastAsia" w:ascii="宋体" w:hAnsi="宋体" w:eastAsia="宋体" w:cs="宋体"/>
          <w:bCs/>
          <w:color w:val="auto"/>
          <w:highlight w:val="none"/>
          <w:lang w:val="en-US" w:eastAsia="zh-CN"/>
        </w:rPr>
        <w:t>5、</w:t>
      </w:r>
      <w:r>
        <w:rPr>
          <w:rFonts w:hint="eastAsia" w:ascii="宋体" w:hAnsi="宋体" w:eastAsia="宋体" w:cs="宋体"/>
          <w:bCs/>
          <w:color w:val="auto"/>
          <w:highlight w:val="none"/>
        </w:rPr>
        <w:t>有关本次</w:t>
      </w:r>
      <w:r>
        <w:rPr>
          <w:rFonts w:hint="eastAsia" w:ascii="宋体" w:hAnsi="宋体" w:eastAsia="宋体" w:cs="宋体"/>
          <w:bCs/>
          <w:color w:val="auto"/>
          <w:highlight w:val="none"/>
          <w:lang w:eastAsia="zh-CN"/>
        </w:rPr>
        <w:t>采购</w:t>
      </w:r>
      <w:r>
        <w:rPr>
          <w:rFonts w:hint="eastAsia" w:ascii="宋体" w:hAnsi="宋体" w:eastAsia="宋体" w:cs="宋体"/>
          <w:bCs/>
          <w:color w:val="auto"/>
          <w:highlight w:val="none"/>
        </w:rPr>
        <w:t>的事项若存在变动或修改，敬请及时关注</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中国政府采购网</w:t>
      </w:r>
      <w:r>
        <w:rPr>
          <w:rFonts w:hint="eastAsia" w:ascii="宋体" w:hAnsi="宋体" w:eastAsia="宋体" w:cs="宋体"/>
          <w:bCs/>
          <w:color w:val="auto"/>
          <w:highlight w:val="none"/>
          <w:lang w:eastAsia="zh-CN"/>
        </w:rPr>
        <w:t>”</w:t>
      </w:r>
      <w:r>
        <w:rPr>
          <w:rFonts w:hint="eastAsia" w:ascii="宋体" w:hAnsi="宋体" w:eastAsia="宋体" w:cs="宋体"/>
          <w:bCs/>
          <w:color w:val="auto"/>
          <w:szCs w:val="21"/>
          <w:highlight w:val="none"/>
        </w:rPr>
        <w:t>“江苏政府采购网”“南京公共采购信息网”</w:t>
      </w:r>
      <w:r>
        <w:rPr>
          <w:rFonts w:hint="eastAsia" w:ascii="宋体" w:hAnsi="宋体" w:eastAsia="宋体" w:cs="宋体"/>
          <w:bCs/>
          <w:color w:val="auto"/>
          <w:highlight w:val="none"/>
        </w:rPr>
        <w:t>发布的信息更正公告。</w:t>
      </w:r>
      <w:r>
        <w:rPr>
          <w:rFonts w:hint="eastAsia" w:asciiTheme="minorEastAsia" w:hAnsiTheme="minorEastAsia" w:eastAsiaTheme="minorEastAsia" w:cstheme="minorEastAsia"/>
          <w:bCs/>
          <w:color w:val="auto"/>
          <w:highlight w:val="none"/>
        </w:rPr>
        <w:t xml:space="preserve"> </w:t>
      </w:r>
    </w:p>
    <w:p w14:paraId="2972A5B3">
      <w:pPr>
        <w:spacing w:line="360" w:lineRule="exact"/>
        <w:ind w:firstLine="422"/>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七、对本次招标提出询问，请按以下方式联系。 </w:t>
      </w:r>
    </w:p>
    <w:p w14:paraId="0A330D49">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1.采购人信息</w:t>
      </w:r>
    </w:p>
    <w:p w14:paraId="7C868F41">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单位名称：</w:t>
      </w:r>
      <w:r>
        <w:rPr>
          <w:rFonts w:hint="eastAsia" w:asciiTheme="minorEastAsia" w:hAnsiTheme="minorEastAsia" w:eastAsiaTheme="minorEastAsia" w:cstheme="minorEastAsia"/>
          <w:color w:val="auto"/>
          <w:highlight w:val="none"/>
          <w:lang w:eastAsia="zh-CN"/>
        </w:rPr>
        <w:t>南京市公安局江宁分局</w:t>
      </w:r>
    </w:p>
    <w:p w14:paraId="311EA37F">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采购单位地址：</w:t>
      </w:r>
      <w:r>
        <w:rPr>
          <w:rFonts w:hint="eastAsia" w:asciiTheme="minorEastAsia" w:hAnsiTheme="minorEastAsia" w:eastAsiaTheme="minorEastAsia" w:cstheme="minorEastAsia"/>
          <w:color w:val="auto"/>
          <w:highlight w:val="none"/>
          <w:lang w:eastAsia="zh-CN"/>
        </w:rPr>
        <w:t>江苏省南京市江宁区天印大道2020号</w:t>
      </w:r>
    </w:p>
    <w:p w14:paraId="5909B6F1">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lang w:eastAsia="zh-CN"/>
        </w:rPr>
        <w:t>025-51835905</w:t>
      </w:r>
    </w:p>
    <w:p w14:paraId="408ECE48">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2.采购代理机构信息</w:t>
      </w:r>
    </w:p>
    <w:p w14:paraId="508AEF69">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采购代理机构：南京东兴工程咨询有限公司</w:t>
      </w:r>
    </w:p>
    <w:p w14:paraId="14D0C1F0">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地址：南京江宁天元中路128号诚基大厦2栋618室</w:t>
      </w:r>
    </w:p>
    <w:p w14:paraId="203747A3">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联系电话：025-52140133</w:t>
      </w:r>
    </w:p>
    <w:p w14:paraId="66B443E0">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3.项目联系方式</w:t>
      </w:r>
    </w:p>
    <w:p w14:paraId="4E4BA8E1">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联系人：赵工</w:t>
      </w:r>
    </w:p>
    <w:p w14:paraId="06448490">
      <w:pPr>
        <w:spacing w:line="360" w:lineRule="exact"/>
        <w:ind w:firstLine="420" w:firstLineChars="200"/>
        <w:jc w:val="left"/>
        <w:rPr>
          <w:rFonts w:asciiTheme="minorEastAsia" w:hAnsiTheme="minorEastAsia" w:eastAsiaTheme="minorEastAsia" w:cstheme="minorEastAsia"/>
          <w:bCs/>
          <w:color w:val="auto"/>
          <w:kern w:val="2"/>
          <w:position w:val="0"/>
          <w:sz w:val="21"/>
          <w:szCs w:val="24"/>
          <w:highlight w:val="none"/>
        </w:rPr>
      </w:pPr>
      <w:r>
        <w:rPr>
          <w:rFonts w:hint="eastAsia" w:asciiTheme="minorEastAsia" w:hAnsiTheme="minorEastAsia" w:eastAsiaTheme="minorEastAsia" w:cstheme="minorEastAsia"/>
          <w:color w:val="auto"/>
          <w:highlight w:val="none"/>
        </w:rPr>
        <w:t>联系电话：025-52140133</w:t>
      </w:r>
    </w:p>
    <w:p w14:paraId="33BA5E0F">
      <w:pPr>
        <w:spacing w:line="420" w:lineRule="exact"/>
        <w:ind w:firstLine="491" w:firstLineChars="233"/>
        <w:jc w:val="center"/>
        <w:outlineLvl w:val="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b/>
          <w:color w:val="auto"/>
          <w:highlight w:val="none"/>
          <w:lang w:val="zh-CN"/>
        </w:rPr>
        <w:br w:type="page"/>
      </w:r>
      <w:bookmarkStart w:id="44" w:name="_Toc22607"/>
      <w:bookmarkStart w:id="45" w:name="_Toc6889"/>
      <w:bookmarkStart w:id="46" w:name="_Toc29963"/>
      <w:bookmarkStart w:id="47" w:name="_Toc16937"/>
      <w:bookmarkStart w:id="48" w:name="_Toc1855"/>
      <w:bookmarkStart w:id="49" w:name="_Toc13126"/>
      <w:bookmarkStart w:id="50" w:name="_Toc28322"/>
      <w:bookmarkStart w:id="51" w:name="_Toc11944"/>
      <w:bookmarkStart w:id="52" w:name="_Toc9569"/>
      <w:bookmarkStart w:id="53" w:name="_Toc20699"/>
      <w:bookmarkStart w:id="54" w:name="_Toc11534"/>
      <w:bookmarkStart w:id="55" w:name="_Toc12162"/>
      <w:bookmarkStart w:id="56" w:name="_Toc4108"/>
      <w:bookmarkStart w:id="57" w:name="_Toc7921"/>
      <w:bookmarkStart w:id="58" w:name="_Toc27836"/>
      <w:bookmarkStart w:id="59" w:name="_Toc22025"/>
      <w:bookmarkStart w:id="60" w:name="_Toc18283"/>
      <w:bookmarkStart w:id="61" w:name="_Toc24110"/>
      <w:bookmarkStart w:id="62" w:name="_Toc16849"/>
      <w:bookmarkStart w:id="63" w:name="_Toc116284541"/>
      <w:bookmarkStart w:id="64" w:name="_Toc28386"/>
      <w:bookmarkStart w:id="65" w:name="_Toc27827"/>
      <w:bookmarkStart w:id="66" w:name="_Toc14038"/>
      <w:bookmarkStart w:id="67" w:name="_Toc16689"/>
      <w:bookmarkStart w:id="68" w:name="_Toc6141"/>
      <w:bookmarkStart w:id="69" w:name="_Toc21822"/>
      <w:bookmarkStart w:id="70" w:name="_Toc2628"/>
      <w:bookmarkStart w:id="71" w:name="_Toc473"/>
      <w:bookmarkStart w:id="72" w:name="_Toc17692"/>
      <w:bookmarkStart w:id="73" w:name="_Toc19714"/>
      <w:bookmarkStart w:id="74" w:name="_Toc22872"/>
      <w:bookmarkStart w:id="75" w:name="_Toc3037"/>
      <w:r>
        <w:rPr>
          <w:rFonts w:hint="eastAsia" w:asciiTheme="minorEastAsia" w:hAnsiTheme="minorEastAsia" w:eastAsiaTheme="minorEastAsia" w:cstheme="minorEastAsia"/>
          <w:b/>
          <w:color w:val="auto"/>
          <w:sz w:val="36"/>
          <w:szCs w:val="36"/>
          <w:highlight w:val="none"/>
          <w:lang w:val="zh-CN"/>
        </w:rPr>
        <w:t>第二章 供应商须知</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64DFD4AC">
      <w:pPr>
        <w:spacing w:beforeLines="50" w:afterLines="50"/>
        <w:ind w:firstLine="422" w:firstLineChars="200"/>
        <w:jc w:val="lef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lang w:eastAsia="zh-CN"/>
        </w:rPr>
        <w:t>南京市公安局江宁分局</w:t>
      </w:r>
      <w:r>
        <w:rPr>
          <w:rFonts w:hint="eastAsia" w:asciiTheme="minorEastAsia" w:hAnsiTheme="minorEastAsia" w:eastAsiaTheme="minorEastAsia" w:cstheme="minorEastAsia"/>
          <w:color w:val="auto"/>
          <w:szCs w:val="21"/>
          <w:highlight w:val="none"/>
        </w:rPr>
        <w:t>（采购人）委托，对其</w:t>
      </w:r>
      <w:r>
        <w:rPr>
          <w:rFonts w:hint="eastAsia" w:asciiTheme="minorEastAsia" w:hAnsiTheme="minorEastAsia" w:eastAsiaTheme="minorEastAsia" w:cstheme="minorEastAsia"/>
          <w:b/>
          <w:bCs/>
          <w:color w:val="auto"/>
          <w:szCs w:val="21"/>
          <w:highlight w:val="none"/>
          <w:lang w:eastAsia="zh-CN"/>
        </w:rPr>
        <w:t>南京市公安局江宁分局看守所食堂食材采购</w:t>
      </w:r>
      <w:r>
        <w:rPr>
          <w:rFonts w:hint="eastAsia" w:asciiTheme="minorEastAsia" w:hAnsiTheme="minorEastAsia" w:eastAsiaTheme="minorEastAsia" w:cstheme="minorEastAsia"/>
          <w:color w:val="auto"/>
          <w:szCs w:val="21"/>
          <w:highlight w:val="none"/>
          <w:lang w:eastAsia="zh-CN"/>
        </w:rPr>
        <w:t>JSZC-320115-NJDX-G2025-0007</w:t>
      </w:r>
      <w:r>
        <w:rPr>
          <w:rFonts w:hint="eastAsia" w:asciiTheme="minorEastAsia" w:hAnsiTheme="minorEastAsia" w:eastAsiaTheme="minorEastAsia" w:cstheme="minorEastAsia"/>
          <w:color w:val="auto"/>
          <w:szCs w:val="21"/>
          <w:highlight w:val="none"/>
        </w:rPr>
        <w:t>进行公开招标，兹邀请符合条件的供应商参与投标，相关信息如下：</w:t>
      </w:r>
    </w:p>
    <w:tbl>
      <w:tblPr>
        <w:tblStyle w:val="43"/>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00"/>
        <w:gridCol w:w="1080"/>
        <w:gridCol w:w="1620"/>
        <w:gridCol w:w="4530"/>
      </w:tblGrid>
      <w:tr w14:paraId="11EA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20" w:type="dxa"/>
            <w:tcBorders>
              <w:top w:val="single" w:color="auto" w:sz="4" w:space="0"/>
              <w:left w:val="single" w:color="auto" w:sz="4" w:space="0"/>
              <w:bottom w:val="single" w:color="auto" w:sz="4" w:space="0"/>
              <w:right w:val="single" w:color="auto" w:sz="4" w:space="0"/>
            </w:tcBorders>
            <w:vAlign w:val="center"/>
          </w:tcPr>
          <w:p w14:paraId="524B2C74">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B59353C">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项  目</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47D88A30">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内         容</w:t>
            </w:r>
          </w:p>
        </w:tc>
      </w:tr>
      <w:tr w14:paraId="38C7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720" w:type="dxa"/>
            <w:tcBorders>
              <w:top w:val="single" w:color="auto" w:sz="4" w:space="0"/>
              <w:left w:val="single" w:color="auto" w:sz="4" w:space="0"/>
              <w:bottom w:val="single" w:color="auto" w:sz="4" w:space="0"/>
              <w:right w:val="single" w:color="auto" w:sz="4" w:space="0"/>
            </w:tcBorders>
            <w:vAlign w:val="center"/>
          </w:tcPr>
          <w:p w14:paraId="127FBF7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177D5B37">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项目编号</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855DA77">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JSZC-320115-NJDX-G2025-0007</w:t>
            </w:r>
          </w:p>
        </w:tc>
      </w:tr>
      <w:tr w14:paraId="6511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0" w:type="dxa"/>
            <w:tcBorders>
              <w:top w:val="single" w:color="auto" w:sz="4" w:space="0"/>
              <w:left w:val="single" w:color="auto" w:sz="4" w:space="0"/>
              <w:bottom w:val="single" w:color="auto" w:sz="4" w:space="0"/>
              <w:right w:val="single" w:color="auto" w:sz="4" w:space="0"/>
            </w:tcBorders>
            <w:vAlign w:val="center"/>
          </w:tcPr>
          <w:p w14:paraId="407BD0D2">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5D46E5D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0A1D7FF4">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南京市公安局江宁分局看守所食堂食材采购</w:t>
            </w:r>
          </w:p>
        </w:tc>
      </w:tr>
      <w:tr w14:paraId="4C1C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0" w:type="dxa"/>
            <w:tcBorders>
              <w:top w:val="single" w:color="auto" w:sz="4" w:space="0"/>
              <w:left w:val="single" w:color="auto" w:sz="4" w:space="0"/>
              <w:bottom w:val="single" w:color="auto" w:sz="4" w:space="0"/>
              <w:right w:val="single" w:color="auto" w:sz="4" w:space="0"/>
            </w:tcBorders>
            <w:vAlign w:val="center"/>
          </w:tcPr>
          <w:p w14:paraId="249FE49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5AB9F0D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15301ED6">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南京东兴工程咨询有限公司</w:t>
            </w:r>
          </w:p>
        </w:tc>
      </w:tr>
      <w:tr w14:paraId="237E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bottom w:val="single" w:color="auto" w:sz="4" w:space="0"/>
              <w:right w:val="single" w:color="auto" w:sz="4" w:space="0"/>
            </w:tcBorders>
            <w:vAlign w:val="center"/>
          </w:tcPr>
          <w:p w14:paraId="5F9AB08C">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352672D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代理机构地址</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39FF122">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南京市江宁区天元中路128号诚基名苑2幢618室</w:t>
            </w:r>
          </w:p>
        </w:tc>
      </w:tr>
      <w:tr w14:paraId="112F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tcBorders>
              <w:top w:val="single" w:color="auto" w:sz="4" w:space="0"/>
              <w:left w:val="single" w:color="auto" w:sz="4" w:space="0"/>
              <w:bottom w:val="single" w:color="auto" w:sz="4" w:space="0"/>
              <w:right w:val="single" w:color="auto" w:sz="4" w:space="0"/>
            </w:tcBorders>
            <w:vAlign w:val="center"/>
          </w:tcPr>
          <w:p w14:paraId="353381B8">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1CA0DD20">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项目预算及</w:t>
            </w:r>
          </w:p>
          <w:p w14:paraId="46CDE2CA">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服务期限</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261E90E3">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预算金额：</w:t>
            </w:r>
            <w:r>
              <w:rPr>
                <w:rFonts w:hint="eastAsia" w:asciiTheme="minorEastAsia" w:hAnsiTheme="minorEastAsia" w:eastAsiaTheme="minorEastAsia" w:cstheme="minorEastAsia"/>
                <w:color w:val="auto"/>
                <w:highlight w:val="none"/>
                <w:lang w:val="en-US" w:eastAsia="zh-CN"/>
              </w:rPr>
              <w:t>290.8万元</w:t>
            </w:r>
            <w:r>
              <w:rPr>
                <w:rFonts w:hint="eastAsia" w:asciiTheme="minorEastAsia" w:hAnsiTheme="minorEastAsia" w:eastAsiaTheme="minorEastAsia" w:cstheme="minorEastAsia"/>
                <w:color w:val="auto"/>
                <w:highlight w:val="none"/>
              </w:rPr>
              <w:t xml:space="preserve"> </w:t>
            </w:r>
          </w:p>
          <w:p w14:paraId="7F990BAC">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服务期限：</w:t>
            </w:r>
            <w:r>
              <w:rPr>
                <w:rFonts w:hint="eastAsia" w:asciiTheme="minorEastAsia" w:hAnsiTheme="minorEastAsia" w:eastAsiaTheme="minorEastAsia" w:cstheme="minorEastAsia"/>
                <w:color w:val="auto"/>
                <w:szCs w:val="21"/>
                <w:highlight w:val="none"/>
                <w:lang w:val="en-US" w:eastAsia="zh-CN"/>
              </w:rPr>
              <w:t>1年</w:t>
            </w:r>
            <w:r>
              <w:rPr>
                <w:rFonts w:hint="eastAsia" w:asciiTheme="minorEastAsia" w:hAnsiTheme="minorEastAsia" w:eastAsiaTheme="minorEastAsia" w:cstheme="minorEastAsia"/>
                <w:color w:val="auto"/>
                <w:szCs w:val="21"/>
                <w:highlight w:val="none"/>
              </w:rPr>
              <w:t>。</w:t>
            </w:r>
          </w:p>
        </w:tc>
      </w:tr>
      <w:tr w14:paraId="554E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20" w:type="dxa"/>
            <w:tcBorders>
              <w:top w:val="single" w:color="auto" w:sz="4" w:space="0"/>
              <w:left w:val="single" w:color="auto" w:sz="4" w:space="0"/>
              <w:bottom w:val="single" w:color="auto" w:sz="4" w:space="0"/>
              <w:right w:val="single" w:color="auto" w:sz="4" w:space="0"/>
            </w:tcBorders>
            <w:vAlign w:val="center"/>
          </w:tcPr>
          <w:p w14:paraId="4727481F">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01B29B58">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投标有效期</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3B5656CD">
            <w:pPr>
              <w:autoSpaceDE w:val="0"/>
              <w:autoSpaceDN w:val="0"/>
              <w:adjustRightIn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投标截止</w:t>
            </w:r>
            <w:r>
              <w:rPr>
                <w:rFonts w:hint="eastAsia" w:asciiTheme="minorEastAsia" w:hAnsiTheme="minorEastAsia" w:eastAsiaTheme="minorEastAsia" w:cstheme="minorEastAsia"/>
                <w:color w:val="auto"/>
                <w:szCs w:val="21"/>
                <w:highlight w:val="none"/>
                <w:lang w:val="zh-CN"/>
              </w:rPr>
              <w:t>之日起</w:t>
            </w:r>
            <w:r>
              <w:rPr>
                <w:rFonts w:hint="eastAsia" w:asciiTheme="minorEastAsia" w:hAnsiTheme="minorEastAsia" w:eastAsiaTheme="minorEastAsia" w:cstheme="minorEastAsia"/>
                <w:color w:val="auto"/>
                <w:szCs w:val="21"/>
                <w:highlight w:val="none"/>
              </w:rPr>
              <w:t>90</w:t>
            </w:r>
            <w:r>
              <w:rPr>
                <w:rFonts w:hint="eastAsia" w:asciiTheme="minorEastAsia" w:hAnsiTheme="minorEastAsia" w:eastAsiaTheme="minorEastAsia" w:cstheme="minorEastAsia"/>
                <w:color w:val="auto"/>
                <w:szCs w:val="21"/>
                <w:highlight w:val="none"/>
                <w:lang w:val="zh-CN"/>
              </w:rPr>
              <w:t>天</w:t>
            </w:r>
          </w:p>
        </w:tc>
      </w:tr>
      <w:tr w14:paraId="2758C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720" w:type="dxa"/>
            <w:vMerge w:val="restart"/>
            <w:tcBorders>
              <w:top w:val="single" w:color="auto" w:sz="4" w:space="0"/>
              <w:left w:val="single" w:color="auto" w:sz="4" w:space="0"/>
              <w:bottom w:val="single" w:color="auto" w:sz="4" w:space="0"/>
              <w:right w:val="single" w:color="auto" w:sz="4" w:space="0"/>
            </w:tcBorders>
            <w:vAlign w:val="center"/>
          </w:tcPr>
          <w:p w14:paraId="44C13B70">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7</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14:paraId="2D2606CB">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w:t>
            </w:r>
          </w:p>
          <w:p w14:paraId="3F57F61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报名</w:t>
            </w:r>
          </w:p>
        </w:tc>
        <w:tc>
          <w:tcPr>
            <w:tcW w:w="1080" w:type="dxa"/>
            <w:tcBorders>
              <w:top w:val="single" w:color="auto" w:sz="4" w:space="0"/>
              <w:left w:val="single" w:color="auto" w:sz="4" w:space="0"/>
              <w:bottom w:val="single" w:color="auto" w:sz="4" w:space="0"/>
              <w:right w:val="single" w:color="auto" w:sz="4" w:space="0"/>
            </w:tcBorders>
            <w:vAlign w:val="center"/>
          </w:tcPr>
          <w:p w14:paraId="0C35445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7BD0BE">
            <w:pP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eastAsia="zh-CN"/>
              </w:rPr>
              <w:t>自本公告发布之日起</w:t>
            </w:r>
            <w:r>
              <w:rPr>
                <w:rFonts w:hint="eastAsia" w:ascii="宋体" w:hAnsi="宋体" w:cs="宋体"/>
                <w:color w:val="auto"/>
                <w:szCs w:val="21"/>
                <w:highlight w:val="none"/>
                <w:lang w:val="en-US" w:eastAsia="zh-CN"/>
              </w:rPr>
              <w:t>5个工作日</w:t>
            </w:r>
          </w:p>
        </w:tc>
      </w:tr>
      <w:tr w14:paraId="514E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364A463D">
            <w:pPr>
              <w:widowControl/>
              <w:jc w:val="left"/>
              <w:rPr>
                <w:rFonts w:asciiTheme="minorEastAsia" w:hAnsiTheme="minorEastAsia" w:eastAsiaTheme="minorEastAsia" w:cstheme="minorEastAsia"/>
                <w:color w:val="auto"/>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14:paraId="100B327E">
            <w:pPr>
              <w:widowControl/>
              <w:jc w:val="left"/>
              <w:rPr>
                <w:rFonts w:asciiTheme="minorEastAsia" w:hAnsiTheme="minorEastAsia" w:eastAsiaTheme="minorEastAsia" w:cstheme="minorEastAsia"/>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49706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FD1497">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4"/>
                <w:highlight w:val="none"/>
                <w:lang w:val="en-US" w:eastAsia="zh-CN" w:bidi="ar-SA"/>
              </w:rPr>
              <w:t>江苏省政府采购管理交易系统（苏采云系统）</w:t>
            </w:r>
          </w:p>
        </w:tc>
      </w:tr>
      <w:tr w14:paraId="3F8F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39C0A072">
            <w:pPr>
              <w:widowControl/>
              <w:jc w:val="left"/>
              <w:rPr>
                <w:rFonts w:asciiTheme="minorEastAsia" w:hAnsiTheme="minorEastAsia" w:eastAsiaTheme="minorEastAsia" w:cstheme="minorEastAsia"/>
                <w:color w:val="auto"/>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14:paraId="41C05F7F">
            <w:pPr>
              <w:widowControl/>
              <w:jc w:val="left"/>
              <w:rPr>
                <w:rFonts w:asciiTheme="minorEastAsia" w:hAnsiTheme="minorEastAsia" w:eastAsiaTheme="minorEastAsia" w:cstheme="minorEastAsia"/>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AA9B7F2">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要求</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175517">
            <w:pP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0312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20" w:type="dxa"/>
            <w:vMerge w:val="restart"/>
            <w:tcBorders>
              <w:top w:val="single" w:color="auto" w:sz="4" w:space="0"/>
              <w:left w:val="single" w:color="auto" w:sz="4" w:space="0"/>
              <w:right w:val="single" w:color="auto" w:sz="4" w:space="0"/>
            </w:tcBorders>
            <w:vAlign w:val="center"/>
          </w:tcPr>
          <w:p w14:paraId="135C75B7">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w:t>
            </w:r>
          </w:p>
        </w:tc>
        <w:tc>
          <w:tcPr>
            <w:tcW w:w="900" w:type="dxa"/>
            <w:vMerge w:val="restart"/>
            <w:tcBorders>
              <w:top w:val="single" w:color="auto" w:sz="4" w:space="0"/>
              <w:left w:val="single" w:color="auto" w:sz="4" w:space="0"/>
              <w:right w:val="single" w:color="auto" w:sz="4" w:space="0"/>
            </w:tcBorders>
            <w:vAlign w:val="center"/>
          </w:tcPr>
          <w:p w14:paraId="2BD03F98">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 文件递交信息</w:t>
            </w:r>
          </w:p>
        </w:tc>
        <w:tc>
          <w:tcPr>
            <w:tcW w:w="1080" w:type="dxa"/>
            <w:tcBorders>
              <w:top w:val="single" w:color="auto" w:sz="4" w:space="0"/>
              <w:left w:val="single" w:color="auto" w:sz="4" w:space="0"/>
              <w:bottom w:val="single" w:color="auto" w:sz="4" w:space="0"/>
              <w:right w:val="single" w:color="auto" w:sz="4" w:space="0"/>
            </w:tcBorders>
            <w:vAlign w:val="center"/>
          </w:tcPr>
          <w:p w14:paraId="78ADED8C">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13B36C58">
            <w:pPr>
              <w:rPr>
                <w:rFonts w:asciiTheme="minorEastAsia" w:hAnsiTheme="minorEastAsia" w:eastAsiaTheme="minorEastAsia" w:cstheme="minorEastAsia"/>
                <w:color w:val="auto"/>
                <w:szCs w:val="21"/>
                <w:highlight w:val="none"/>
              </w:rPr>
            </w:pPr>
            <w:r>
              <w:rPr>
                <w:rFonts w:hint="eastAsia" w:ascii="宋体" w:hAnsi="宋体" w:cs="宋体"/>
                <w:color w:val="auto"/>
                <w:kern w:val="0"/>
                <w:sz w:val="21"/>
                <w:szCs w:val="21"/>
                <w:highlight w:val="none"/>
                <w:lang w:eastAsia="zh-CN"/>
              </w:rPr>
              <w:t>2025年5月8日</w:t>
            </w:r>
            <w:bookmarkStart w:id="677" w:name="_GoBack"/>
            <w:bookmarkEnd w:id="677"/>
            <w:r>
              <w:rPr>
                <w:rFonts w:hint="eastAsia" w:ascii="宋体" w:hAnsi="宋体" w:cs="宋体"/>
                <w:color w:val="auto"/>
                <w:kern w:val="0"/>
                <w:sz w:val="21"/>
                <w:szCs w:val="21"/>
                <w:highlight w:val="none"/>
                <w:lang w:eastAsia="zh-CN"/>
              </w:rPr>
              <w:t>09点30分</w:t>
            </w:r>
            <w:r>
              <w:rPr>
                <w:rFonts w:hint="eastAsia" w:ascii="宋体" w:hAnsi="宋体" w:eastAsia="宋体" w:cs="宋体"/>
                <w:color w:val="auto"/>
                <w:kern w:val="2"/>
                <w:sz w:val="21"/>
                <w:szCs w:val="24"/>
                <w:highlight w:val="none"/>
                <w:lang w:val="en-US" w:eastAsia="zh-CN" w:bidi="ar-SA"/>
              </w:rPr>
              <w:t>（北京时间）</w:t>
            </w:r>
          </w:p>
        </w:tc>
      </w:tr>
      <w:tr w14:paraId="3AA9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720" w:type="dxa"/>
            <w:vMerge w:val="continue"/>
            <w:tcBorders>
              <w:left w:val="single" w:color="auto" w:sz="4" w:space="0"/>
              <w:right w:val="single" w:color="auto" w:sz="4" w:space="0"/>
            </w:tcBorders>
            <w:vAlign w:val="center"/>
          </w:tcPr>
          <w:p w14:paraId="6BAF9B1C">
            <w:pPr>
              <w:widowControl/>
              <w:jc w:val="left"/>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017B1860">
            <w:pPr>
              <w:widowControl/>
              <w:jc w:val="left"/>
              <w:rPr>
                <w:rFonts w:asciiTheme="minorEastAsia" w:hAnsiTheme="minorEastAsia" w:eastAsiaTheme="minorEastAsia" w:cstheme="minorEastAsia"/>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7E7EBF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0B14DA74">
            <w:pPr>
              <w:rPr>
                <w:rFonts w:asciiTheme="minorEastAsia" w:hAnsiTheme="minorEastAsia" w:eastAsiaTheme="minorEastAsia" w:cstheme="minorEastAsia"/>
                <w:color w:val="auto"/>
                <w:szCs w:val="21"/>
                <w:highlight w:val="none"/>
              </w:rPr>
            </w:pPr>
            <w:r>
              <w:rPr>
                <w:rFonts w:hint="eastAsia" w:ascii="宋体" w:hAnsi="宋体" w:eastAsia="宋体" w:cs="宋体"/>
                <w:color w:val="auto"/>
                <w:kern w:val="2"/>
                <w:sz w:val="21"/>
                <w:szCs w:val="24"/>
                <w:highlight w:val="none"/>
                <w:lang w:val="en-US" w:eastAsia="zh-CN" w:bidi="ar-SA"/>
              </w:rPr>
              <w:t>江苏省政府采购管理交易系统（苏采云系统）</w:t>
            </w:r>
          </w:p>
        </w:tc>
      </w:tr>
      <w:tr w14:paraId="409B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20" w:type="dxa"/>
            <w:tcBorders>
              <w:top w:val="single" w:color="auto" w:sz="4" w:space="0"/>
              <w:left w:val="single" w:color="auto" w:sz="4" w:space="0"/>
              <w:bottom w:val="single" w:color="auto" w:sz="4" w:space="0"/>
              <w:right w:val="single" w:color="auto" w:sz="4" w:space="0"/>
            </w:tcBorders>
            <w:vAlign w:val="center"/>
          </w:tcPr>
          <w:p w14:paraId="4814CA19">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9</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6DABE809">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纸质</w:t>
            </w:r>
            <w:r>
              <w:rPr>
                <w:rFonts w:hint="eastAsia" w:asciiTheme="minorEastAsia" w:hAnsiTheme="minorEastAsia" w:eastAsiaTheme="minorEastAsia" w:cstheme="minorEastAsia"/>
                <w:b/>
                <w:bCs/>
                <w:color w:val="auto"/>
                <w:szCs w:val="21"/>
                <w:highlight w:val="none"/>
              </w:rPr>
              <w:t>投标文件及相关资料份数</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46FC116">
            <w:pPr>
              <w:numPr>
                <w:ilvl w:val="0"/>
                <w:numId w:val="0"/>
              </w:numPr>
              <w:ind w:left="0" w:leftChars="0" w:firstLine="0" w:firstLineChars="0"/>
              <w:rPr>
                <w:rFonts w:asciiTheme="minorEastAsia" w:hAnsiTheme="minorEastAsia" w:eastAsiaTheme="minorEastAsia" w:cstheme="minorEastAsia"/>
                <w:bCs/>
                <w:color w:val="auto"/>
                <w:szCs w:val="21"/>
                <w:highlight w:val="none"/>
              </w:rPr>
            </w:pPr>
            <w:r>
              <w:rPr>
                <w:rFonts w:hint="eastAsia" w:ascii="宋体" w:hAnsi="宋体" w:eastAsia="宋体" w:cs="宋体"/>
                <w:b/>
                <w:bCs/>
                <w:color w:val="auto"/>
                <w:szCs w:val="21"/>
                <w:highlight w:val="none"/>
              </w:rPr>
              <w:t>在成交后，</w:t>
            </w:r>
            <w:r>
              <w:rPr>
                <w:rFonts w:hint="eastAsia" w:ascii="宋体" w:hAnsi="宋体" w:cs="宋体"/>
                <w:b/>
                <w:bCs/>
                <w:color w:val="auto"/>
                <w:szCs w:val="21"/>
                <w:highlight w:val="none"/>
                <w:lang w:val="en-US" w:eastAsia="zh-CN"/>
              </w:rPr>
              <w:t>中标供应商</w:t>
            </w:r>
            <w:r>
              <w:rPr>
                <w:rFonts w:hint="eastAsia" w:ascii="宋体" w:hAnsi="宋体" w:cs="宋体"/>
                <w:b/>
                <w:bCs/>
                <w:color w:val="auto"/>
                <w:szCs w:val="21"/>
                <w:highlight w:val="none"/>
                <w:lang w:eastAsia="zh-CN"/>
              </w:rPr>
              <w:t>须配合采购人提供纸质投标文件（</w:t>
            </w:r>
            <w:r>
              <w:rPr>
                <w:rFonts w:hint="eastAsia" w:ascii="宋体" w:hAnsi="宋体" w:cs="宋体"/>
                <w:b/>
                <w:bCs/>
                <w:color w:val="auto"/>
                <w:szCs w:val="21"/>
                <w:highlight w:val="none"/>
                <w:lang w:val="en-US" w:eastAsia="zh-CN"/>
              </w:rPr>
              <w:t>与在苏采云系统内最终提交的响应文件一致）</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具体数量如下：</w:t>
            </w:r>
            <w:r>
              <w:rPr>
                <w:rFonts w:hint="eastAsia" w:ascii="宋体" w:hAnsi="宋体" w:cs="宋体"/>
                <w:b/>
                <w:bCs/>
                <w:color w:val="auto"/>
                <w:szCs w:val="21"/>
                <w:highlight w:val="none"/>
              </w:rPr>
              <w:t>正本壹份；副本贰份。</w:t>
            </w:r>
          </w:p>
        </w:tc>
      </w:tr>
      <w:tr w14:paraId="7668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right w:val="single" w:color="auto" w:sz="4" w:space="0"/>
            </w:tcBorders>
            <w:vAlign w:val="center"/>
          </w:tcPr>
          <w:p w14:paraId="41E2E39E">
            <w:pPr>
              <w:spacing w:line="440" w:lineRule="exact"/>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10</w:t>
            </w:r>
          </w:p>
        </w:tc>
        <w:tc>
          <w:tcPr>
            <w:tcW w:w="1980" w:type="dxa"/>
            <w:gridSpan w:val="2"/>
            <w:tcBorders>
              <w:top w:val="single" w:color="auto" w:sz="4" w:space="0"/>
              <w:left w:val="single" w:color="auto" w:sz="4" w:space="0"/>
              <w:right w:val="single" w:color="auto" w:sz="4" w:space="0"/>
            </w:tcBorders>
            <w:vAlign w:val="center"/>
          </w:tcPr>
          <w:p w14:paraId="5F8F7E1B">
            <w:pPr>
              <w:jc w:val="center"/>
              <w:rPr>
                <w:rFonts w:hint="default" w:asciiTheme="minorEastAsia" w:hAnsiTheme="minorEastAsia" w:eastAsiaTheme="minorEastAsia" w:cstheme="minorEastAsia"/>
                <w:b/>
                <w:bCs/>
                <w:color w:val="auto"/>
                <w:szCs w:val="21"/>
                <w:highlight w:val="none"/>
                <w:lang w:val="en-US"/>
              </w:rPr>
            </w:pPr>
            <w:r>
              <w:rPr>
                <w:rFonts w:hint="eastAsia" w:asciiTheme="minorEastAsia" w:hAnsiTheme="minorEastAsia" w:eastAsiaTheme="minorEastAsia" w:cstheme="minorEastAsia"/>
                <w:b/>
                <w:bCs/>
                <w:color w:val="auto"/>
                <w:szCs w:val="21"/>
                <w:highlight w:val="none"/>
                <w:lang w:val="en-US" w:eastAsia="zh-CN"/>
              </w:rPr>
              <w:t>资格承诺制的应用</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DF376B2">
            <w:pPr>
              <w:widowControl/>
              <w:spacing w:line="240" w:lineRule="auto"/>
              <w:jc w:val="left"/>
              <w:rPr>
                <w:rFonts w:asciiTheme="minorEastAsia" w:hAnsiTheme="minorEastAsia" w:eastAsiaTheme="minorEastAsia" w:cstheme="minorEastAsia"/>
                <w:color w:val="auto"/>
                <w:szCs w:val="21"/>
                <w:highlight w:val="none"/>
              </w:rPr>
            </w:pPr>
            <w:r>
              <w:rPr>
                <w:rFonts w:hint="eastAsia" w:ascii="宋体" w:hAnsi="宋体" w:eastAsia="宋体" w:cs="宋体"/>
                <w:b/>
                <w:bCs/>
                <w:color w:val="auto"/>
                <w:szCs w:val="21"/>
                <w:highlight w:val="none"/>
              </w:rPr>
              <w:t>在成交后，</w:t>
            </w:r>
            <w:r>
              <w:rPr>
                <w:rFonts w:hint="eastAsia" w:ascii="宋体" w:hAnsi="宋体" w:cs="宋体"/>
                <w:b/>
                <w:bCs/>
                <w:color w:val="auto"/>
                <w:szCs w:val="21"/>
                <w:highlight w:val="none"/>
                <w:lang w:val="en-US" w:eastAsia="zh-CN"/>
              </w:rPr>
              <w:t>中标供应商</w:t>
            </w:r>
            <w:r>
              <w:rPr>
                <w:rFonts w:hint="eastAsia" w:ascii="宋体" w:hAnsi="宋体" w:eastAsia="宋体" w:cs="宋体"/>
                <w:b/>
                <w:bCs/>
                <w:color w:val="auto"/>
                <w:kern w:val="0"/>
                <w:szCs w:val="21"/>
                <w:highlight w:val="none"/>
                <w:lang w:bidi="ar"/>
              </w:rPr>
              <w:t>仅提供</w:t>
            </w:r>
            <w:r>
              <w:rPr>
                <w:rFonts w:hint="eastAsia" w:ascii="宋体" w:hAnsi="宋体" w:eastAsia="宋体" w:cs="宋体"/>
                <w:b/>
                <w:bCs/>
                <w:color w:val="auto"/>
                <w:kern w:val="0"/>
                <w:szCs w:val="21"/>
                <w:highlight w:val="none"/>
                <w:lang w:val="en-US" w:eastAsia="zh-CN" w:bidi="ar"/>
              </w:rPr>
              <w:t>资格</w:t>
            </w:r>
            <w:r>
              <w:rPr>
                <w:rFonts w:hint="eastAsia" w:ascii="宋体" w:hAnsi="宋体" w:eastAsia="宋体" w:cs="宋体"/>
                <w:b/>
                <w:bCs/>
                <w:color w:val="auto"/>
                <w:kern w:val="0"/>
                <w:szCs w:val="21"/>
                <w:highlight w:val="none"/>
                <w:lang w:bidi="ar"/>
              </w:rPr>
              <w:t>承诺书而未提供</w:t>
            </w:r>
            <w:r>
              <w:rPr>
                <w:rFonts w:hint="eastAsia" w:ascii="宋体" w:hAnsi="宋体" w:eastAsia="宋体" w:cs="宋体"/>
                <w:b/>
                <w:bCs/>
                <w:color w:val="auto"/>
                <w:kern w:val="0"/>
                <w:szCs w:val="21"/>
                <w:highlight w:val="none"/>
                <w:lang w:val="en-US" w:eastAsia="zh-CN" w:bidi="ar"/>
              </w:rPr>
              <w:t>资格条件</w:t>
            </w:r>
            <w:r>
              <w:rPr>
                <w:rFonts w:hint="eastAsia" w:ascii="宋体" w:hAnsi="宋体" w:eastAsia="宋体" w:cs="宋体"/>
                <w:b/>
                <w:bCs/>
                <w:color w:val="auto"/>
                <w:kern w:val="0"/>
                <w:szCs w:val="21"/>
                <w:highlight w:val="none"/>
                <w:lang w:bidi="ar"/>
              </w:rPr>
              <w:t>中涉及的证明材料的，须在结果公告发布后 7 个工作日内另行提供由</w:t>
            </w:r>
            <w:r>
              <w:rPr>
                <w:rFonts w:hint="eastAsia" w:ascii="宋体" w:hAnsi="宋体" w:eastAsia="宋体" w:cs="宋体"/>
                <w:b/>
                <w:bCs/>
                <w:color w:val="auto"/>
                <w:kern w:val="0"/>
                <w:szCs w:val="21"/>
                <w:highlight w:val="none"/>
                <w:lang w:val="en-US" w:eastAsia="zh-CN" w:bidi="ar"/>
              </w:rPr>
              <w:t>资格</w:t>
            </w:r>
            <w:r>
              <w:rPr>
                <w:rFonts w:hint="eastAsia" w:ascii="宋体" w:hAnsi="宋体" w:eastAsia="宋体" w:cs="宋体"/>
                <w:b/>
                <w:bCs/>
                <w:color w:val="auto"/>
                <w:kern w:val="0"/>
                <w:szCs w:val="21"/>
                <w:highlight w:val="none"/>
                <w:lang w:bidi="ar"/>
              </w:rPr>
              <w:t>承诺书替代的证明材料（一式三份），材料须加盖公章并按</w:t>
            </w:r>
            <w:r>
              <w:rPr>
                <w:rFonts w:hint="eastAsia" w:ascii="宋体" w:hAnsi="宋体" w:eastAsia="宋体" w:cs="宋体"/>
                <w:b/>
                <w:bCs/>
                <w:color w:val="auto"/>
                <w:kern w:val="0"/>
                <w:szCs w:val="21"/>
                <w:highlight w:val="none"/>
                <w:lang w:eastAsia="zh-CN" w:bidi="ar"/>
              </w:rPr>
              <w:t>采购</w:t>
            </w:r>
            <w:r>
              <w:rPr>
                <w:rFonts w:hint="eastAsia" w:ascii="宋体" w:hAnsi="宋体" w:eastAsia="宋体" w:cs="宋体"/>
                <w:b/>
                <w:bCs/>
                <w:color w:val="auto"/>
                <w:kern w:val="0"/>
                <w:szCs w:val="21"/>
                <w:highlight w:val="none"/>
                <w:lang w:bidi="ar"/>
              </w:rPr>
              <w:t>文件要求提交采购人或采购代理机构核验。经核验无误后，由采购人或采购代理机构发出中标通知书。</w:t>
            </w:r>
          </w:p>
        </w:tc>
      </w:tr>
      <w:tr w14:paraId="67E0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vMerge w:val="restart"/>
            <w:tcBorders>
              <w:top w:val="single" w:color="auto" w:sz="4" w:space="0"/>
              <w:left w:val="single" w:color="auto" w:sz="4" w:space="0"/>
              <w:right w:val="single" w:color="auto" w:sz="4" w:space="0"/>
            </w:tcBorders>
            <w:vAlign w:val="center"/>
          </w:tcPr>
          <w:p w14:paraId="17158581">
            <w:pPr>
              <w:spacing w:line="44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1</w:t>
            </w:r>
          </w:p>
        </w:tc>
        <w:tc>
          <w:tcPr>
            <w:tcW w:w="900" w:type="dxa"/>
            <w:vMerge w:val="restart"/>
            <w:tcBorders>
              <w:top w:val="single" w:color="auto" w:sz="4" w:space="0"/>
              <w:left w:val="single" w:color="auto" w:sz="4" w:space="0"/>
              <w:right w:val="single" w:color="auto" w:sz="4" w:space="0"/>
            </w:tcBorders>
            <w:vAlign w:val="center"/>
          </w:tcPr>
          <w:p w14:paraId="5254CE22">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 事项</w:t>
            </w:r>
          </w:p>
        </w:tc>
        <w:tc>
          <w:tcPr>
            <w:tcW w:w="1080" w:type="dxa"/>
            <w:vMerge w:val="restart"/>
            <w:tcBorders>
              <w:top w:val="single" w:color="auto" w:sz="4" w:space="0"/>
              <w:left w:val="single" w:color="auto" w:sz="4" w:space="0"/>
              <w:right w:val="single" w:color="auto" w:sz="4" w:space="0"/>
            </w:tcBorders>
            <w:vAlign w:val="center"/>
          </w:tcPr>
          <w:p w14:paraId="77A03CDD">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采购单位</w:t>
            </w:r>
          </w:p>
        </w:tc>
        <w:tc>
          <w:tcPr>
            <w:tcW w:w="1620" w:type="dxa"/>
            <w:tcBorders>
              <w:top w:val="single" w:color="auto" w:sz="4" w:space="0"/>
              <w:left w:val="single" w:color="auto" w:sz="4" w:space="0"/>
              <w:bottom w:val="single" w:color="auto" w:sz="4" w:space="0"/>
              <w:right w:val="single" w:color="auto" w:sz="4" w:space="0"/>
            </w:tcBorders>
            <w:vAlign w:val="center"/>
          </w:tcPr>
          <w:p w14:paraId="0D8EAD5C">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vAlign w:val="center"/>
          </w:tcPr>
          <w:p w14:paraId="0A02A88B">
            <w:pPr>
              <w:widowControl/>
              <w:jc w:val="lef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w:t>
            </w:r>
          </w:p>
        </w:tc>
      </w:tr>
      <w:tr w14:paraId="79C8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20" w:type="dxa"/>
            <w:vMerge w:val="continue"/>
            <w:tcBorders>
              <w:left w:val="single" w:color="auto" w:sz="4" w:space="0"/>
              <w:right w:val="single" w:color="auto" w:sz="4" w:space="0"/>
            </w:tcBorders>
            <w:vAlign w:val="center"/>
          </w:tcPr>
          <w:p w14:paraId="67FDF9A4">
            <w:pPr>
              <w:spacing w:line="440" w:lineRule="exact"/>
              <w:jc w:val="center"/>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4169ABCA">
            <w:pPr>
              <w:jc w:val="center"/>
              <w:rPr>
                <w:rFonts w:asciiTheme="minorEastAsia" w:hAnsiTheme="minorEastAsia" w:eastAsiaTheme="minorEastAsia" w:cstheme="minorEastAsia"/>
                <w:color w:val="auto"/>
                <w:szCs w:val="21"/>
                <w:highlight w:val="none"/>
              </w:rPr>
            </w:pPr>
          </w:p>
        </w:tc>
        <w:tc>
          <w:tcPr>
            <w:tcW w:w="1080" w:type="dxa"/>
            <w:vMerge w:val="continue"/>
            <w:tcBorders>
              <w:left w:val="single" w:color="auto" w:sz="4" w:space="0"/>
              <w:bottom w:val="single" w:color="auto" w:sz="4" w:space="0"/>
              <w:right w:val="single" w:color="auto" w:sz="4" w:space="0"/>
            </w:tcBorders>
            <w:vAlign w:val="center"/>
          </w:tcPr>
          <w:p w14:paraId="64E11802">
            <w:pPr>
              <w:rPr>
                <w:rFonts w:asciiTheme="minorEastAsia" w:hAnsiTheme="minorEastAsia" w:eastAsiaTheme="minorEastAsia" w:cstheme="minorEastAsia"/>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4231E49E">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vAlign w:val="center"/>
          </w:tcPr>
          <w:p w14:paraId="57A749F9">
            <w:pPr>
              <w:rPr>
                <w:rFonts w:hint="default" w:asciiTheme="minorEastAsia" w:hAnsiTheme="minorEastAsia" w:eastAsiaTheme="minorEastAsia" w:cstheme="minorEastAsia"/>
                <w:color w:val="auto"/>
                <w:szCs w:val="21"/>
                <w:highlight w:val="none"/>
                <w:lang w:val="en-US" w:eastAsia="zh-CN"/>
              </w:rPr>
            </w:pPr>
            <w:bookmarkStart w:id="76" w:name="OLE_LINK5"/>
            <w:r>
              <w:rPr>
                <w:rFonts w:hint="eastAsia" w:asciiTheme="minorEastAsia" w:hAnsiTheme="minorEastAsia" w:eastAsiaTheme="minorEastAsia" w:cstheme="minorEastAsia"/>
                <w:color w:val="auto"/>
                <w:spacing w:val="-13"/>
                <w:szCs w:val="21"/>
                <w:highlight w:val="none"/>
                <w:lang w:eastAsia="zh-CN"/>
              </w:rPr>
              <w:t>025-51835905</w:t>
            </w:r>
            <w:bookmarkEnd w:id="76"/>
          </w:p>
        </w:tc>
      </w:tr>
      <w:tr w14:paraId="24CA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720" w:type="dxa"/>
            <w:vMerge w:val="continue"/>
            <w:tcBorders>
              <w:left w:val="single" w:color="auto" w:sz="4" w:space="0"/>
              <w:right w:val="single" w:color="auto" w:sz="4" w:space="0"/>
            </w:tcBorders>
            <w:vAlign w:val="center"/>
          </w:tcPr>
          <w:p w14:paraId="31D67B00">
            <w:pPr>
              <w:spacing w:line="440" w:lineRule="exact"/>
              <w:jc w:val="center"/>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034B10BC">
            <w:pPr>
              <w:jc w:val="center"/>
              <w:rPr>
                <w:rFonts w:asciiTheme="minorEastAsia" w:hAnsiTheme="minorEastAsia" w:eastAsiaTheme="minorEastAsia" w:cstheme="minorEastAsia"/>
                <w:color w:val="auto"/>
                <w:szCs w:val="21"/>
                <w:highlight w:val="none"/>
              </w:rPr>
            </w:pPr>
          </w:p>
        </w:tc>
        <w:tc>
          <w:tcPr>
            <w:tcW w:w="1080" w:type="dxa"/>
            <w:vMerge w:val="restart"/>
            <w:tcBorders>
              <w:top w:val="single" w:color="auto" w:sz="4" w:space="0"/>
              <w:left w:val="single" w:color="auto" w:sz="4" w:space="0"/>
              <w:right w:val="single" w:color="auto" w:sz="4" w:space="0"/>
            </w:tcBorders>
            <w:vAlign w:val="center"/>
          </w:tcPr>
          <w:p w14:paraId="2B92AC17">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w:t>
            </w:r>
          </w:p>
        </w:tc>
        <w:tc>
          <w:tcPr>
            <w:tcW w:w="1620" w:type="dxa"/>
            <w:tcBorders>
              <w:top w:val="single" w:color="auto" w:sz="4" w:space="0"/>
              <w:left w:val="single" w:color="auto" w:sz="4" w:space="0"/>
              <w:bottom w:val="single" w:color="auto" w:sz="4" w:space="0"/>
              <w:right w:val="single" w:color="auto" w:sz="4" w:space="0"/>
            </w:tcBorders>
            <w:vAlign w:val="center"/>
          </w:tcPr>
          <w:p w14:paraId="24AA9E6A">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vAlign w:val="center"/>
          </w:tcPr>
          <w:p w14:paraId="183666D3">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赵工</w:t>
            </w:r>
          </w:p>
        </w:tc>
      </w:tr>
      <w:tr w14:paraId="2F83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0" w:type="dxa"/>
            <w:vMerge w:val="continue"/>
            <w:tcBorders>
              <w:left w:val="single" w:color="auto" w:sz="4" w:space="0"/>
              <w:right w:val="single" w:color="auto" w:sz="4" w:space="0"/>
            </w:tcBorders>
            <w:vAlign w:val="center"/>
          </w:tcPr>
          <w:p w14:paraId="6CC43E7A">
            <w:pPr>
              <w:widowControl/>
              <w:jc w:val="left"/>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7EC130C6">
            <w:pPr>
              <w:widowControl/>
              <w:jc w:val="left"/>
              <w:rPr>
                <w:rFonts w:asciiTheme="minorEastAsia" w:hAnsiTheme="minorEastAsia" w:eastAsiaTheme="minorEastAsia" w:cstheme="minorEastAsia"/>
                <w:color w:val="auto"/>
                <w:szCs w:val="21"/>
                <w:highlight w:val="none"/>
              </w:rPr>
            </w:pPr>
          </w:p>
        </w:tc>
        <w:tc>
          <w:tcPr>
            <w:tcW w:w="1080" w:type="dxa"/>
            <w:vMerge w:val="continue"/>
            <w:tcBorders>
              <w:left w:val="single" w:color="auto" w:sz="4" w:space="0"/>
              <w:right w:val="single" w:color="auto" w:sz="4" w:space="0"/>
            </w:tcBorders>
            <w:vAlign w:val="center"/>
          </w:tcPr>
          <w:p w14:paraId="183F3A0F">
            <w:pPr>
              <w:widowControl/>
              <w:rPr>
                <w:rFonts w:asciiTheme="minorEastAsia" w:hAnsiTheme="minorEastAsia" w:eastAsiaTheme="minorEastAsia" w:cstheme="minorEastAsia"/>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79C8BF73">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vAlign w:val="center"/>
          </w:tcPr>
          <w:p w14:paraId="1E5B63D2">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025-52140133</w:t>
            </w:r>
          </w:p>
        </w:tc>
      </w:tr>
    </w:tbl>
    <w:p w14:paraId="50CC26DA">
      <w:pPr>
        <w:autoSpaceDE w:val="0"/>
        <w:autoSpaceDN w:val="0"/>
        <w:adjustRightInd w:val="0"/>
        <w:ind w:firstLine="422"/>
        <w:rPr>
          <w:rFonts w:asciiTheme="minorEastAsia" w:hAnsiTheme="minorEastAsia" w:eastAsiaTheme="minorEastAsia" w:cstheme="minorEastAsia"/>
          <w:b/>
          <w:color w:val="auto"/>
          <w:highlight w:val="none"/>
          <w:lang w:val="zh-CN"/>
        </w:rPr>
      </w:pPr>
    </w:p>
    <w:p w14:paraId="70DED97B">
      <w:pPr>
        <w:rPr>
          <w:rFonts w:hint="eastAsia" w:asciiTheme="minorEastAsia" w:hAnsiTheme="minorEastAsia" w:eastAsiaTheme="minorEastAsia" w:cstheme="minorEastAsia"/>
          <w:b/>
          <w:color w:val="auto"/>
          <w:highlight w:val="none"/>
          <w:lang w:val="zh-CN"/>
        </w:rPr>
      </w:pPr>
    </w:p>
    <w:p w14:paraId="341E6D8B">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一、总则</w:t>
      </w:r>
    </w:p>
    <w:p w14:paraId="601CAE1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1、适用法律</w:t>
      </w:r>
    </w:p>
    <w:p w14:paraId="59468984">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 《中华人民共和国政府采购法》《中华人民共和国政府采购法实施条例》《政府采购货物和服务招标投标管理办法》等有关法律、规章和规定等。</w:t>
      </w:r>
    </w:p>
    <w:p w14:paraId="42E79658">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2、定义</w:t>
      </w:r>
    </w:p>
    <w:p w14:paraId="6683C877">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2.1 “</w:t>
      </w:r>
      <w:r>
        <w:rPr>
          <w:rFonts w:hint="eastAsia" w:asciiTheme="minorEastAsia" w:hAnsiTheme="minorEastAsia" w:eastAsiaTheme="minorEastAsia" w:cstheme="minorEastAsia"/>
          <w:b/>
          <w:color w:val="auto"/>
          <w:highlight w:val="none"/>
          <w:lang w:val="zh-CN"/>
        </w:rPr>
        <w:t>供应商</w:t>
      </w:r>
      <w:r>
        <w:rPr>
          <w:rFonts w:hint="eastAsia" w:asciiTheme="minorEastAsia" w:hAnsiTheme="minorEastAsia" w:eastAsiaTheme="minorEastAsia" w:cstheme="minorEastAsia"/>
          <w:b/>
          <w:color w:val="auto"/>
          <w:highlight w:val="none"/>
          <w:lang w:val="en-US" w:eastAsia="zh-CN"/>
        </w:rPr>
        <w:t>/投标人</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是指参加投标竞争，并符合招标文件规定资格条件的法人、其他组织或者自然人。</w:t>
      </w:r>
    </w:p>
    <w:p w14:paraId="7509B61D">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“货物和服务”</w:t>
      </w:r>
      <w:r>
        <w:rPr>
          <w:rFonts w:hint="eastAsia" w:asciiTheme="minorEastAsia" w:hAnsiTheme="minorEastAsia" w:eastAsiaTheme="minorEastAsia" w:cstheme="minorEastAsia"/>
          <w:color w:val="auto"/>
          <w:highlight w:val="none"/>
          <w:lang w:val="zh-CN"/>
        </w:rPr>
        <w:t>指本招标文件中所述</w:t>
      </w:r>
      <w:r>
        <w:rPr>
          <w:rFonts w:hint="eastAsia" w:asciiTheme="minorEastAsia" w:hAnsiTheme="minorEastAsia" w:eastAsiaTheme="minorEastAsia" w:cstheme="minorEastAsia"/>
          <w:b/>
          <w:color w:val="auto"/>
          <w:highlight w:val="none"/>
          <w:lang w:val="zh-CN"/>
        </w:rPr>
        <w:t>产品</w:t>
      </w:r>
      <w:r>
        <w:rPr>
          <w:rFonts w:hint="eastAsia" w:asciiTheme="minorEastAsia" w:hAnsiTheme="minorEastAsia" w:eastAsiaTheme="minorEastAsia" w:cstheme="minorEastAsia"/>
          <w:color w:val="auto"/>
          <w:highlight w:val="none"/>
          <w:lang w:val="zh-CN"/>
        </w:rPr>
        <w:t>及相关服务。</w:t>
      </w:r>
      <w:r>
        <w:rPr>
          <w:rFonts w:hint="eastAsia" w:asciiTheme="minorEastAsia" w:hAnsiTheme="minorEastAsia" w:eastAsiaTheme="minorEastAsia" w:cstheme="minorEastAsia"/>
          <w:b/>
          <w:color w:val="auto"/>
          <w:szCs w:val="21"/>
          <w:highlight w:val="none"/>
          <w:lang w:val="zh-CN"/>
        </w:rPr>
        <w:t>本次采购不接受进口产品投标</w:t>
      </w:r>
      <w:r>
        <w:rPr>
          <w:rFonts w:hint="eastAsia" w:asciiTheme="minorEastAsia" w:hAnsiTheme="minorEastAsia" w:eastAsiaTheme="minorEastAsia" w:cstheme="minorEastAsia"/>
          <w:color w:val="auto"/>
          <w:szCs w:val="21"/>
          <w:highlight w:val="none"/>
          <w:lang w:val="zh-CN"/>
        </w:rPr>
        <w:t>，进口产品是指通过中国海关报关验放进入中国境内且产自关境外的产品。</w:t>
      </w:r>
    </w:p>
    <w:p w14:paraId="034B284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2.3 “</w:t>
      </w:r>
      <w:r>
        <w:rPr>
          <w:rFonts w:hint="eastAsia" w:asciiTheme="minorEastAsia" w:hAnsiTheme="minorEastAsia" w:eastAsia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lang w:val="zh-CN"/>
        </w:rPr>
        <w:t>用户</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zh-CN"/>
        </w:rPr>
        <w:t>使用单位</w:t>
      </w:r>
      <w:r>
        <w:rPr>
          <w:rFonts w:hint="eastAsia" w:asciiTheme="minorEastAsia" w:hAnsiTheme="minorEastAsia" w:eastAsiaTheme="minorEastAsia" w:cstheme="minorEastAsia"/>
          <w:color w:val="auto"/>
          <w:highlight w:val="none"/>
          <w:lang w:val="en-US" w:eastAsia="zh-CN"/>
        </w:rPr>
        <w:t>/招标人</w:t>
      </w:r>
      <w:r>
        <w:rPr>
          <w:rFonts w:hint="eastAsia" w:asciiTheme="minorEastAsia" w:hAnsiTheme="minorEastAsia" w:eastAsiaTheme="minorEastAsia" w:cstheme="minorEastAsia"/>
          <w:color w:val="auto"/>
          <w:highlight w:val="none"/>
          <w:lang w:val="zh-CN"/>
        </w:rPr>
        <w:t>”是指使用服务的单位。</w:t>
      </w:r>
    </w:p>
    <w:p w14:paraId="70D1E781">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3、政策功能</w:t>
      </w:r>
    </w:p>
    <w:p w14:paraId="14299C76">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3.1政府采购促进中小企业发展，在政府采购活动中，供应商提供的货物、工程或者服务符合下列情形的，享受中小企业扶持政策：</w:t>
      </w:r>
    </w:p>
    <w:p w14:paraId="49EAD826">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（1）在货物采购项目中，货物由中小企业制造，即货物由中小企业生产且使用该中小企业商号或者注册商标；</w:t>
      </w:r>
    </w:p>
    <w:p w14:paraId="4231718C">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（2）在工程采购项目中，工程由中小企业承建，即工程施工单位为中小企业；</w:t>
      </w:r>
    </w:p>
    <w:p w14:paraId="67EBF906">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（3）在服务采购项目中，服务由中小企业承接，即提供服务的人员为中小企业依照《中华人民共和国劳动合同法》订立劳动合同的从业人员。</w:t>
      </w:r>
    </w:p>
    <w:p w14:paraId="185BBC21">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在货物采购项目中，供应商提供的货物既有中小企业制造货物，也有大型企业制造货物的，不享受中小企业扶持政策。</w:t>
      </w:r>
    </w:p>
    <w:p w14:paraId="1CE3EC95">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以联合体形式参加政府采购活动，联合体各方均为中小企业的，联合体视同中小企业。其中，联合体各方均为小微企业的，联合体视同小微企业。</w:t>
      </w:r>
    </w:p>
    <w:p w14:paraId="16CD939A">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中小企业供应商参加政府采购活动，应当出具《中小企业声明函》（格式见后附件），否则不得享受相关中小企业扶持政策。</w:t>
      </w:r>
    </w:p>
    <w:p w14:paraId="38E61813">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F3B2A10">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6F1285BA">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65C73D3">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1EAFC35A">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3.5提供的产品属于信息安全产品的，供应商应当选择经国家认证的信息安全产品投标，并提供由中国信息安全认证中心按国家标准认证颁发的有效认证证书复印件。</w:t>
      </w:r>
    </w:p>
    <w:p w14:paraId="380E58E7">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3.6提供的产品属于政府强制采购节能产品的，供应商应当选择经过认证的节能产品投标，并提供有效的节能产品认证证书复印件。</w:t>
      </w:r>
    </w:p>
    <w:p w14:paraId="2F05DB6C">
      <w:pPr>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3.7提供的产品属于环境标志产品的,供应商应当选择经过认证的环境标志产品投标,并提供有效的环境标志产品认证证书复印件。</w:t>
      </w:r>
    </w:p>
    <w:p w14:paraId="1956913A">
      <w:pPr>
        <w:ind w:firstLine="413" w:firstLineChars="196"/>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二、招标文件</w:t>
      </w:r>
    </w:p>
    <w:p w14:paraId="731C97EF">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4、招标文件组成</w:t>
      </w:r>
    </w:p>
    <w:p w14:paraId="1C37F872">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30F49BA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4.2 招标的最小单位是包。招标服务数量及技术要求中未分包的，供应商对要求提供的服务不得部分投标；招标服务数量及技术要求中已经分包的，应当以包为单位投标。</w:t>
      </w:r>
    </w:p>
    <w:p w14:paraId="593B054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4.3 招标文件如果要求供应商提交备选投标方案的，供应商可以提交备选方案；否则，备选方案将被拒绝。</w:t>
      </w:r>
    </w:p>
    <w:p w14:paraId="6D4B1498">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5、招标文件的澄清、修改</w:t>
      </w:r>
    </w:p>
    <w:p w14:paraId="0DFB3D9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十五日</w:t>
      </w:r>
      <w:r>
        <w:rPr>
          <w:rFonts w:hint="eastAsia" w:asciiTheme="minorEastAsia" w:hAnsiTheme="minorEastAsia" w:eastAsiaTheme="minorEastAsia" w:cstheme="minorEastAsia"/>
          <w:color w:val="auto"/>
          <w:highlight w:val="none"/>
          <w:lang w:val="zh-CN"/>
        </w:rPr>
        <w:t>前，在原招标公告媒体发布更正公告，该澄清或者修改的内容为招标文件的组成部分。</w:t>
      </w:r>
    </w:p>
    <w:p w14:paraId="3796C0E8">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5.2 代理机构在招标文件要求提交投标文件截止时间</w:t>
      </w:r>
      <w:r>
        <w:rPr>
          <w:rFonts w:hint="eastAsia" w:asciiTheme="minorEastAsia" w:hAnsiTheme="minorEastAsia" w:eastAsiaTheme="minorEastAsia" w:cstheme="minorEastAsia"/>
          <w:b/>
          <w:color w:val="auto"/>
          <w:highlight w:val="none"/>
          <w:u w:val="single"/>
          <w:lang w:val="zh-CN"/>
        </w:rPr>
        <w:t>三日</w:t>
      </w:r>
      <w:r>
        <w:rPr>
          <w:rFonts w:hint="eastAsia" w:asciiTheme="minorEastAsia" w:hAnsiTheme="minorEastAsia" w:eastAsiaTheme="minorEastAsia" w:cstheme="minorEastAsia"/>
          <w:color w:val="auto"/>
          <w:highlight w:val="none"/>
          <w:lang w:val="zh-CN"/>
        </w:rPr>
        <w:t>前，有权决定延长投标截止时间和开标时间，并</w:t>
      </w:r>
      <w:r>
        <w:rPr>
          <w:rFonts w:hint="eastAsia" w:asciiTheme="minorEastAsia" w:hAnsiTheme="minorEastAsia" w:eastAsiaTheme="minorEastAsia" w:cstheme="minorEastAsia"/>
          <w:color w:val="auto"/>
          <w:highlight w:val="none"/>
        </w:rPr>
        <w:t>在原采购信息发布媒体上发布变更公告。</w:t>
      </w:r>
    </w:p>
    <w:p w14:paraId="35A15D90">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val="zh-CN"/>
        </w:rPr>
        <w:t>.3 供应商应在投标截止时间前关注</w:t>
      </w:r>
      <w:r>
        <w:rPr>
          <w:rFonts w:hint="eastAsia" w:asciiTheme="minorEastAsia" w:hAnsiTheme="minorEastAsia" w:eastAsiaTheme="minorEastAsia" w:cstheme="minorEastAsia"/>
          <w:color w:val="auto"/>
          <w:highlight w:val="none"/>
        </w:rPr>
        <w:t>原采购信息发布媒体上</w:t>
      </w:r>
      <w:r>
        <w:rPr>
          <w:rFonts w:hint="eastAsia" w:asciiTheme="minorEastAsia" w:hAnsiTheme="minorEastAsia" w:eastAsiaTheme="minorEastAsia" w:cstheme="minorEastAsia"/>
          <w:color w:val="auto"/>
          <w:highlight w:val="none"/>
          <w:lang w:val="zh-CN"/>
        </w:rPr>
        <w:t>有关本招标项目有无变更公告。</w:t>
      </w:r>
    </w:p>
    <w:p w14:paraId="4E2A73B3">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p>
    <w:p w14:paraId="27EB3CAC">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三、投标</w:t>
      </w:r>
    </w:p>
    <w:p w14:paraId="438AE190">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6、投标文件的语言、计量单位、货币和编制</w:t>
      </w:r>
    </w:p>
    <w:p w14:paraId="675EAC3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37762DE0">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6.2 供应商所使用的计量单位应为国家法定计量单位。</w:t>
      </w:r>
    </w:p>
    <w:p w14:paraId="11509D85">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6.3 供应商应用人民币报价。</w:t>
      </w:r>
    </w:p>
    <w:p w14:paraId="37413DB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6.4 投标文件应字迹清楚、内容齐全、不得涂改。如有修改，修改处须有供应商公章和法定代表人或其授权的供应商代表签字。</w:t>
      </w:r>
    </w:p>
    <w:p w14:paraId="45E6290F">
      <w:pPr>
        <w:autoSpaceDE w:val="0"/>
        <w:autoSpaceDN w:val="0"/>
        <w:adjustRightInd w:val="0"/>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6.5</w:t>
      </w:r>
      <w:r>
        <w:rPr>
          <w:rFonts w:hint="eastAsia" w:asciiTheme="minorEastAsia" w:hAnsiTheme="minorEastAsia" w:eastAsiaTheme="minorEastAsia" w:cstheme="minorEastAsia"/>
          <w:b/>
          <w:color w:val="auto"/>
          <w:szCs w:val="21"/>
          <w:highlight w:val="none"/>
          <w:lang w:val="zh-CN"/>
        </w:rPr>
        <w:t>投标文件应按照招标文件规定的顺序，统一用A4规格幅面打印、装订成册并编制目录，由于编排混乱导致投标文件被误读或查找不到，责任由供应商承担。</w:t>
      </w:r>
    </w:p>
    <w:p w14:paraId="75166724">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6.6 供应商应在投标文件中写清相应的项目编号、项目名称、供应商全称、地址、电话、传真等。</w:t>
      </w:r>
    </w:p>
    <w:p w14:paraId="594584FF">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7</w:t>
      </w:r>
      <w:r>
        <w:rPr>
          <w:rFonts w:hint="eastAsia" w:asciiTheme="minorEastAsia" w:hAnsiTheme="minorEastAsia" w:eastAsiaTheme="minorEastAsia" w:cstheme="minorEastAsia"/>
          <w:b/>
          <w:color w:val="auto"/>
          <w:highlight w:val="none"/>
          <w:lang w:val="zh-CN"/>
        </w:rPr>
        <w:t>、联合投标</w:t>
      </w:r>
    </w:p>
    <w:p w14:paraId="6D49A17E">
      <w:pPr>
        <w:ind w:firstLine="420" w:firstLineChars="200"/>
        <w:rPr>
          <w:rFonts w:asciiTheme="minorEastAsia" w:hAnsiTheme="minorEastAsia" w:eastAsiaTheme="minorEastAsia" w:cstheme="minorEastAsia"/>
          <w:b/>
          <w:i/>
          <w:color w:val="auto"/>
          <w:kern w:val="0"/>
          <w:highlight w:val="none"/>
        </w:rPr>
      </w:pPr>
      <w:r>
        <w:rPr>
          <w:rFonts w:hint="eastAsia" w:asciiTheme="minorEastAsia" w:hAnsiTheme="minorEastAsia" w:eastAsiaTheme="minorEastAsia" w:cstheme="minorEastAsia"/>
          <w:color w:val="auto"/>
          <w:kern w:val="0"/>
          <w:highlight w:val="none"/>
        </w:rPr>
        <w:t>7.1</w:t>
      </w:r>
      <w:r>
        <w:rPr>
          <w:rFonts w:hint="eastAsia" w:asciiTheme="minorEastAsia" w:hAnsiTheme="minorEastAsia" w:eastAsiaTheme="minorEastAsia" w:cstheme="minorEastAsia"/>
          <w:b/>
          <w:color w:val="auto"/>
          <w:szCs w:val="21"/>
          <w:highlight w:val="none"/>
        </w:rPr>
        <w:t>本次采购不接受联合体投标。</w:t>
      </w:r>
    </w:p>
    <w:p w14:paraId="3B0C3C75">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8、投标费用</w:t>
      </w:r>
    </w:p>
    <w:p w14:paraId="68A227DB">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8.1 供应商应承担所有与准备和参加投标有关的费用。</w:t>
      </w:r>
    </w:p>
    <w:p w14:paraId="45539E48">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8.2本次招标，由中标供应商在领取中标通知书时，</w:t>
      </w:r>
      <w:r>
        <w:rPr>
          <w:rFonts w:hint="eastAsia" w:ascii="宋体" w:hAnsi="宋体" w:cs="宋体"/>
          <w:b/>
          <w:color w:val="auto"/>
          <w:szCs w:val="21"/>
          <w:highlight w:val="none"/>
          <w:lang w:val="zh-CN"/>
        </w:rPr>
        <w:t>一次性向采购代理机构支付采购代理费（按照计价格【2002】1980号文收费标准</w:t>
      </w:r>
      <w:r>
        <w:rPr>
          <w:rFonts w:hint="eastAsia" w:ascii="宋体" w:hAnsi="宋体" w:cs="宋体"/>
          <w:b/>
          <w:color w:val="auto"/>
          <w:szCs w:val="21"/>
          <w:highlight w:val="none"/>
          <w:lang w:val="en-US" w:eastAsia="zh-CN"/>
        </w:rPr>
        <w:t>的80%</w:t>
      </w:r>
      <w:r>
        <w:rPr>
          <w:rFonts w:hint="eastAsia" w:ascii="宋体" w:hAnsi="宋体" w:cs="宋体"/>
          <w:b/>
          <w:color w:val="auto"/>
          <w:szCs w:val="21"/>
          <w:highlight w:val="none"/>
          <w:lang w:val="zh-CN"/>
        </w:rPr>
        <w:t>执行，不足</w:t>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lang w:val="zh-CN"/>
        </w:rPr>
        <w:t>千按</w:t>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lang w:val="zh-CN"/>
        </w:rPr>
        <w:t>千计取）、清单控制价编制费（</w:t>
      </w:r>
      <w:r>
        <w:rPr>
          <w:rFonts w:hint="eastAsia" w:ascii="宋体" w:hAnsi="宋体" w:cs="宋体"/>
          <w:b/>
          <w:color w:val="auto"/>
          <w:szCs w:val="21"/>
          <w:highlight w:val="none"/>
        </w:rPr>
        <w:t>如有，</w:t>
      </w:r>
      <w:r>
        <w:rPr>
          <w:rFonts w:hint="eastAsia" w:ascii="宋体" w:hAnsi="宋体" w:cs="宋体"/>
          <w:b/>
          <w:color w:val="auto"/>
          <w:szCs w:val="21"/>
          <w:highlight w:val="none"/>
          <w:lang w:val="zh-CN"/>
        </w:rPr>
        <w:t>按苏价服【2014】383号文标准执行，不足3千按3千计取）以及专家评委费（按实支付）</w:t>
      </w:r>
      <w:r>
        <w:rPr>
          <w:rFonts w:hint="eastAsia" w:asciiTheme="minorEastAsia" w:hAnsiTheme="minorEastAsia" w:eastAsiaTheme="minorEastAsia" w:cstheme="minorEastAsia"/>
          <w:b/>
          <w:color w:val="auto"/>
          <w:highlight w:val="none"/>
          <w:lang w:val="zh-CN"/>
        </w:rPr>
        <w:t>。无论是否将该费用在报价中列明，均视为已含在总价中。</w:t>
      </w:r>
    </w:p>
    <w:p w14:paraId="6718E576">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9、投标文件组成</w:t>
      </w:r>
    </w:p>
    <w:p w14:paraId="0B3A8639">
      <w:pPr>
        <w:widowControl/>
        <w:adjustRightInd w:val="0"/>
        <w:ind w:firstLine="420"/>
        <w:rPr>
          <w:rFonts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color w:val="auto"/>
          <w:highlight w:val="none"/>
          <w:lang w:val="zh-CN"/>
        </w:rPr>
        <w:t>9.1</w:t>
      </w:r>
      <w:r>
        <w:rPr>
          <w:rFonts w:hint="eastAsia" w:asciiTheme="minorEastAsia" w:hAnsiTheme="minorEastAsia" w:eastAsiaTheme="minorEastAsia" w:cstheme="minorEastAsia"/>
          <w:color w:val="auto"/>
          <w:highlight w:val="none"/>
        </w:rPr>
        <w:t>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kern w:val="0"/>
          <w:highlight w:val="none"/>
        </w:rPr>
        <w:t>对带星号（“★或*”）的技术条款必须在投标文件中提供技术支持资料（如白皮书、彩页、手册、检测报告等），未提供技术支持资料的，评审时不予认可。</w:t>
      </w:r>
    </w:p>
    <w:p w14:paraId="695D0467">
      <w:pPr>
        <w:ind w:firstLine="413" w:firstLineChars="196"/>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9</w:t>
      </w: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p>
    <w:p w14:paraId="261BA71D">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9</w:t>
      </w:r>
      <w:r>
        <w:rPr>
          <w:rFonts w:hint="eastAsia" w:asciiTheme="minorEastAsia" w:hAnsiTheme="minorEastAsia" w:eastAsiaTheme="minorEastAsia" w:cstheme="minorEastAsia"/>
          <w:color w:val="auto"/>
          <w:highlight w:val="none"/>
          <w:lang w:val="zh-CN"/>
        </w:rPr>
        <w:t>.3 投标文件由商务部分、技术部分、价格部分，以及其他部分组成。</w:t>
      </w:r>
    </w:p>
    <w:p w14:paraId="3EDA7B88">
      <w:pPr>
        <w:ind w:firstLine="42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10、投标文件的商务部分</w:t>
      </w:r>
    </w:p>
    <w:p w14:paraId="58AE7C9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10.1 商务部分是证明供应商有资格参加投标和中标后有能力履行合同的文件，</w:t>
      </w:r>
      <w:r>
        <w:rPr>
          <w:rFonts w:hint="eastAsia" w:asciiTheme="minorEastAsia" w:hAnsiTheme="minorEastAsia" w:eastAsiaTheme="minorEastAsia" w:cstheme="minorEastAsia"/>
          <w:color w:val="auto"/>
          <w:highlight w:val="none"/>
        </w:rPr>
        <w:t>这些文件应能满足招标的要求</w:t>
      </w:r>
      <w:r>
        <w:rPr>
          <w:rFonts w:hint="eastAsia" w:asciiTheme="minorEastAsia" w:hAnsiTheme="minorEastAsia" w:eastAsiaTheme="minorEastAsia" w:cstheme="minorEastAsia"/>
          <w:color w:val="auto"/>
          <w:highlight w:val="none"/>
          <w:lang w:val="zh-CN"/>
        </w:rPr>
        <w:t>，包括但不限于下列文件，</w:t>
      </w:r>
      <w:r>
        <w:rPr>
          <w:rFonts w:hint="eastAsia" w:asciiTheme="minorEastAsia" w:hAnsiTheme="minorEastAsia" w:eastAsiaTheme="minorEastAsia" w:cstheme="minorEastAsia"/>
          <w:b/>
          <w:color w:val="auto"/>
          <w:highlight w:val="none"/>
          <w:lang w:val="zh-CN"/>
        </w:rPr>
        <w:t>其中加</w:t>
      </w:r>
      <w:r>
        <w:rPr>
          <w:rFonts w:hint="eastAsia" w:asciiTheme="minorEastAsia" w:hAnsiTheme="minorEastAsia" w:eastAsiaTheme="minorEastAsia" w:cstheme="minorEastAsia"/>
          <w:b/>
          <w:color w:val="auto"/>
          <w:kern w:val="0"/>
          <w:highlight w:val="none"/>
        </w:rPr>
        <w:t>★</w:t>
      </w:r>
      <w:r>
        <w:rPr>
          <w:rFonts w:hint="eastAsia" w:asciiTheme="minorEastAsia" w:hAnsiTheme="minorEastAsia" w:eastAsiaTheme="minorEastAsia" w:cstheme="minorEastAsia"/>
          <w:b/>
          <w:color w:val="auto"/>
          <w:highlight w:val="none"/>
          <w:lang w:val="zh-CN"/>
        </w:rPr>
        <w:t>项目不得有缺失或无效</w:t>
      </w:r>
      <w:r>
        <w:rPr>
          <w:rFonts w:hint="eastAsia" w:asciiTheme="minorEastAsia" w:hAnsiTheme="minorEastAsia" w:eastAsiaTheme="minorEastAsia" w:cstheme="minorEastAsia"/>
          <w:color w:val="auto"/>
          <w:highlight w:val="none"/>
          <w:lang w:val="zh-CN"/>
        </w:rPr>
        <w:t>。</w:t>
      </w:r>
    </w:p>
    <w:p w14:paraId="2B04200A">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投标函（投标申请及声明）；</w:t>
      </w:r>
    </w:p>
    <w:p w14:paraId="4E0D9708">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一</w:t>
      </w:r>
      <w:r>
        <w:rPr>
          <w:rFonts w:hint="eastAsia" w:ascii="宋体" w:hAnsi="宋体" w:cs="宋体"/>
          <w:color w:val="auto"/>
          <w:kern w:val="0"/>
          <w:szCs w:val="21"/>
          <w:highlight w:val="none"/>
          <w:lang w:eastAsia="zh-CN"/>
        </w:rPr>
        <w:t>）</w:t>
      </w:r>
      <w:r>
        <w:rPr>
          <w:rFonts w:hint="eastAsia" w:ascii="宋体" w:hAnsi="宋体" w:cs="宋体"/>
          <w:color w:val="auto"/>
          <w:szCs w:val="21"/>
          <w:highlight w:val="none"/>
          <w:lang w:val="zh-CN"/>
        </w:rPr>
        <w:t>规定的条件</w:t>
      </w:r>
      <w:r>
        <w:rPr>
          <w:rFonts w:hint="eastAsia" w:ascii="宋体" w:hAnsi="宋体" w:cs="宋体"/>
          <w:color w:val="auto"/>
          <w:kern w:val="0"/>
          <w:szCs w:val="21"/>
          <w:highlight w:val="none"/>
          <w:lang w:val="zh-CN"/>
        </w:rPr>
        <w:t>；</w:t>
      </w:r>
    </w:p>
    <w:p w14:paraId="6CAA8B36">
      <w:pPr>
        <w:widowControl/>
        <w:adjustRightInd w:val="0"/>
        <w:ind w:firstLine="42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二</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zh-CN"/>
        </w:rPr>
        <w:t>落实政府采购政策需满足的资格要求</w:t>
      </w:r>
      <w:r>
        <w:rPr>
          <w:rFonts w:hint="eastAsia" w:ascii="宋体" w:hAnsi="宋体" w:cs="宋体"/>
          <w:color w:val="auto"/>
          <w:kern w:val="0"/>
          <w:szCs w:val="21"/>
          <w:highlight w:val="none"/>
          <w:lang w:val="en-US" w:eastAsia="zh-CN"/>
        </w:rPr>
        <w:t>证明文件（如有）；</w:t>
      </w:r>
    </w:p>
    <w:p w14:paraId="73928098">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lang w:val="zh-CN"/>
        </w:rPr>
        <w:t>）</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三</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zh-CN"/>
        </w:rPr>
        <w:t>采购人根据采购项目的特殊要求规定的特定条件证明文件</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如</w:t>
      </w:r>
      <w:r>
        <w:rPr>
          <w:rFonts w:hint="eastAsia" w:ascii="宋体" w:hAnsi="宋体" w:cs="宋体"/>
          <w:color w:val="auto"/>
          <w:kern w:val="0"/>
          <w:szCs w:val="21"/>
          <w:highlight w:val="none"/>
        </w:rPr>
        <w:t>有)</w:t>
      </w:r>
      <w:r>
        <w:rPr>
          <w:rFonts w:hint="eastAsia" w:ascii="宋体" w:hAnsi="宋体" w:cs="宋体"/>
          <w:color w:val="auto"/>
          <w:kern w:val="0"/>
          <w:szCs w:val="21"/>
          <w:highlight w:val="none"/>
          <w:lang w:val="zh-CN"/>
        </w:rPr>
        <w:t>；</w:t>
      </w:r>
    </w:p>
    <w:p w14:paraId="47A18A7A">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w:t>
      </w:r>
      <w:r>
        <w:rPr>
          <w:rFonts w:hint="eastAsia" w:ascii="宋体" w:hAnsi="宋体" w:cs="宋体"/>
          <w:color w:val="auto"/>
          <w:szCs w:val="21"/>
          <w:highlight w:val="none"/>
        </w:rPr>
        <w:t>经营业绩及奖惩情况；</w:t>
      </w:r>
    </w:p>
    <w:p w14:paraId="557CB8A0">
      <w:pPr>
        <w:ind w:firstLine="420" w:firstLineChars="200"/>
        <w:jc w:val="left"/>
        <w:rPr>
          <w:rFonts w:ascii="宋体" w:hAnsi="宋体" w:cs="宋体"/>
          <w:color w:val="auto"/>
          <w:kern w:val="0"/>
          <w:szCs w:val="21"/>
          <w:highlight w:val="none"/>
          <w:lang w:val="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）供应商认为需要</w:t>
      </w:r>
      <w:r>
        <w:rPr>
          <w:rFonts w:hint="eastAsia" w:ascii="宋体" w:hAnsi="宋体" w:cs="宋体"/>
          <w:color w:val="auto"/>
          <w:kern w:val="0"/>
          <w:szCs w:val="21"/>
          <w:highlight w:val="none"/>
          <w:lang w:val="zh-CN"/>
        </w:rPr>
        <w:t>提供的其他资格证明文件和商务资料等。</w:t>
      </w:r>
    </w:p>
    <w:p w14:paraId="693142F6">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11、投标文件的技术部分</w:t>
      </w:r>
    </w:p>
    <w:p w14:paraId="318D5B7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11.1 技术部分是证明</w:t>
      </w:r>
      <w:r>
        <w:rPr>
          <w:rFonts w:hint="eastAsia" w:asciiTheme="minorEastAsia" w:hAnsiTheme="minorEastAsia" w:eastAsiaTheme="minorEastAsia" w:cstheme="minorEastAsia"/>
          <w:color w:val="auto"/>
          <w:highlight w:val="none"/>
        </w:rPr>
        <w:t>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对投标报价表中的服务的详细说明，这些文件可以是文字资料、图纸和数据等。</w:t>
      </w:r>
    </w:p>
    <w:p w14:paraId="2DA47524">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11.2 若技术性能无特殊说明，则按国家有关部门最新颁布的标准及规范为准；</w:t>
      </w:r>
    </w:p>
    <w:p w14:paraId="4AAF3074">
      <w:pPr>
        <w:autoSpaceDE w:val="0"/>
        <w:autoSpaceDN w:val="0"/>
        <w:adjustRightInd w:val="0"/>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11.</w:t>
      </w: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w:t>
      </w:r>
      <w:r>
        <w:rPr>
          <w:rFonts w:hint="eastAsia" w:asciiTheme="minorEastAsia" w:hAnsiTheme="minorEastAsia" w:eastAsiaTheme="minorEastAsia" w:cstheme="minorEastAsia"/>
          <w:b/>
          <w:color w:val="auto"/>
          <w:highlight w:val="none"/>
          <w:lang w:val="zh-CN"/>
        </w:rPr>
        <w:t>其中加</w:t>
      </w:r>
      <w:r>
        <w:rPr>
          <w:rFonts w:hint="eastAsia" w:asciiTheme="minorEastAsia" w:hAnsiTheme="minorEastAsia" w:eastAsiaTheme="minorEastAsia" w:cstheme="minorEastAsia"/>
          <w:b/>
          <w:color w:val="auto"/>
          <w:kern w:val="0"/>
          <w:highlight w:val="none"/>
        </w:rPr>
        <w:t>★</w:t>
      </w:r>
      <w:r>
        <w:rPr>
          <w:rFonts w:hint="eastAsia" w:asciiTheme="minorEastAsia" w:hAnsiTheme="minorEastAsia" w:eastAsiaTheme="minorEastAsia" w:cstheme="minorEastAsia"/>
          <w:b/>
          <w:color w:val="auto"/>
          <w:highlight w:val="none"/>
          <w:lang w:val="zh-CN"/>
        </w:rPr>
        <w:t>项目不得有缺失或无效：</w:t>
      </w:r>
    </w:p>
    <w:p w14:paraId="0AD748D2">
      <w:pPr>
        <w:tabs>
          <w:tab w:val="left" w:pos="732"/>
        </w:tabs>
        <w:autoSpaceDE w:val="0"/>
        <w:autoSpaceDN w:val="0"/>
        <w:adjustRightInd w:val="0"/>
        <w:ind w:firstLine="420" w:firstLineChars="200"/>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（1）</w:t>
      </w:r>
      <w:r>
        <w:rPr>
          <w:rFonts w:hint="eastAsia" w:asciiTheme="minorEastAsia" w:hAnsiTheme="minorEastAsia" w:eastAsiaTheme="minorEastAsia" w:cstheme="minorEastAsia"/>
          <w:color w:val="auto"/>
          <w:szCs w:val="21"/>
          <w:highlight w:val="none"/>
          <w:lang w:val="zh-CN"/>
        </w:rPr>
        <w:t>项目服务方案；</w:t>
      </w:r>
    </w:p>
    <w:p w14:paraId="0D197743">
      <w:pPr>
        <w:autoSpaceDE w:val="0"/>
        <w:autoSpaceDN w:val="0"/>
        <w:adjustRightInd w:val="0"/>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val="zh-CN"/>
        </w:rPr>
        <w:t>）质量保证及服务承诺（不得低于招标文件要求）</w:t>
      </w:r>
      <w:r>
        <w:rPr>
          <w:rFonts w:hint="eastAsia" w:asciiTheme="minorEastAsia" w:hAnsiTheme="minorEastAsia" w:eastAsiaTheme="minorEastAsia" w:cstheme="minorEastAsia"/>
          <w:color w:val="auto"/>
          <w:kern w:val="0"/>
          <w:szCs w:val="21"/>
          <w:highlight w:val="none"/>
          <w:lang w:val="zh-CN"/>
        </w:rPr>
        <w:t>；</w:t>
      </w:r>
    </w:p>
    <w:p w14:paraId="3E396BA4">
      <w:pPr>
        <w:autoSpaceDE w:val="0"/>
        <w:autoSpaceDN w:val="0"/>
        <w:adjustRightInd w:val="0"/>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val="zh-CN"/>
        </w:rPr>
        <w:t>）供应商认为需要提供的其他技术文件或资料等。</w:t>
      </w:r>
    </w:p>
    <w:p w14:paraId="6646CC7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12、投标文件的价格部分</w:t>
      </w:r>
    </w:p>
    <w:p w14:paraId="33041E1F">
      <w:pPr>
        <w:widowControl/>
        <w:adjustRightInd w:val="0"/>
        <w:ind w:firstLine="420"/>
        <w:jc w:val="lef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highlight w:val="none"/>
          <w:lang w:val="zh-CN"/>
        </w:rPr>
        <w:t>12.1 价格部分是对投标货物及服务价格构成的说明，每一项服务仅接受一个价格。</w:t>
      </w:r>
    </w:p>
    <w:p w14:paraId="104507C6">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kern w:val="0"/>
          <w:szCs w:val="21"/>
          <w:highlight w:val="none"/>
          <w:lang w:val="zh-CN"/>
        </w:rPr>
        <w:t>12.2</w:t>
      </w:r>
      <w:r>
        <w:rPr>
          <w:rFonts w:hint="eastAsia" w:asciiTheme="minorEastAsia" w:hAnsiTheme="minorEastAsia" w:eastAsiaTheme="minorEastAsia" w:cstheme="minorEastAsia"/>
          <w:b/>
          <w:bCs/>
          <w:color w:val="auto"/>
          <w:szCs w:val="21"/>
          <w:highlight w:val="none"/>
        </w:rPr>
        <w:t>政府采购提倡公平竞争，反对低于成本、串通报价、哄抬价格等恶意竞争行为，任何盲目压价、低于成本报价、串通哄抬报价等价格将会被拒绝。报价应低于市场平均价。</w:t>
      </w:r>
    </w:p>
    <w:p w14:paraId="0A09490B">
      <w:pPr>
        <w:ind w:firstLine="420" w:firstLineChars="20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kern w:val="0"/>
          <w:szCs w:val="21"/>
          <w:highlight w:val="none"/>
        </w:rPr>
        <w:t>12.3投标报价</w:t>
      </w:r>
      <w:r>
        <w:rPr>
          <w:rFonts w:hint="eastAsia" w:asciiTheme="minorEastAsia" w:hAnsiTheme="minorEastAsia" w:eastAsiaTheme="minorEastAsia" w:cstheme="minorEastAsia"/>
          <w:color w:val="auto"/>
          <w:szCs w:val="21"/>
          <w:highlight w:val="none"/>
          <w:lang w:val="zh-CN"/>
        </w:rPr>
        <w:t>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p>
    <w:p w14:paraId="403B3928">
      <w:pPr>
        <w:ind w:firstLine="42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供应商的任何错漏、优惠、竞争性报价不得作为减轻责任、减少服务、增加收费、降低质量的理由。在验收过程中，如发现有漏项、缺件，投标方应无条件、无偿补齐，所发生的一切费用，视为已包含在投标方的最终投标报价中。</w:t>
      </w:r>
    </w:p>
    <w:p w14:paraId="38EBF12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12.5 供应商应在《开标一览表》等标明提供货物及服务的</w:t>
      </w:r>
      <w:r>
        <w:rPr>
          <w:rFonts w:hint="eastAsia" w:asciiTheme="minorEastAsia" w:hAnsiTheme="minorEastAsia" w:eastAsiaTheme="minorEastAsia" w:cstheme="minorEastAsia"/>
          <w:bCs/>
          <w:color w:val="auto"/>
          <w:highlight w:val="none"/>
          <w:lang w:val="zh-CN"/>
        </w:rPr>
        <w:t>投标</w:t>
      </w:r>
      <w:r>
        <w:rPr>
          <w:rFonts w:hint="eastAsia" w:asciiTheme="minorEastAsia" w:hAnsiTheme="minorEastAsia" w:eastAsiaTheme="minorEastAsia" w:cstheme="minorEastAsia"/>
          <w:color w:val="auto"/>
          <w:highlight w:val="none"/>
          <w:lang w:val="zh-CN"/>
        </w:rPr>
        <w:t>报价。供应商系</w:t>
      </w:r>
      <w:r>
        <w:rPr>
          <w:rFonts w:hint="eastAsia" w:asciiTheme="minorEastAsia" w:hAnsiTheme="minorEastAsia" w:eastAsiaTheme="minorEastAsia" w:cstheme="minorEastAsia"/>
          <w:b/>
          <w:color w:val="auto"/>
          <w:highlight w:val="none"/>
          <w:lang w:val="zh-CN"/>
        </w:rPr>
        <w:t>小企业（含小型、微型企业、</w:t>
      </w:r>
      <w:r>
        <w:rPr>
          <w:rFonts w:hint="eastAsia" w:asciiTheme="minorEastAsia" w:hAnsiTheme="minorEastAsia" w:eastAsiaTheme="minorEastAsia" w:cstheme="minorEastAsia"/>
          <w:b/>
          <w:color w:val="auto"/>
          <w:highlight w:val="none"/>
        </w:rPr>
        <w:t>监狱企业</w:t>
      </w:r>
      <w:r>
        <w:rPr>
          <w:rFonts w:hint="eastAsia" w:asciiTheme="minorEastAsia" w:hAnsiTheme="minorEastAsia" w:eastAsiaTheme="minorEastAsia" w:cstheme="minorEastAsia"/>
          <w:b/>
          <w:color w:val="auto"/>
          <w:highlight w:val="none"/>
          <w:lang w:val="zh-CN"/>
        </w:rPr>
        <w:t>），</w:t>
      </w:r>
      <w:r>
        <w:rPr>
          <w:rFonts w:hint="eastAsia" w:asciiTheme="minorEastAsia" w:hAnsiTheme="minorEastAsia" w:eastAsiaTheme="minorEastAsia" w:cstheme="minorEastAsia"/>
          <w:color w:val="auto"/>
          <w:kern w:val="0"/>
          <w:highlight w:val="none"/>
        </w:rPr>
        <w:t>须在</w:t>
      </w:r>
      <w:r>
        <w:rPr>
          <w:rFonts w:hint="eastAsia" w:asciiTheme="minorEastAsia" w:hAnsiTheme="minorEastAsia" w:eastAsiaTheme="minorEastAsia" w:cstheme="minorEastAsia"/>
          <w:color w:val="auto"/>
          <w:highlight w:val="none"/>
          <w:lang w:val="zh-CN"/>
        </w:rPr>
        <w:t>《开标一览表》中注明，如无法划分计算的，将不予认可。</w:t>
      </w:r>
    </w:p>
    <w:p w14:paraId="545C500A">
      <w:pPr>
        <w:widowControl/>
        <w:adjustRightInd w:val="0"/>
        <w:ind w:firstLine="42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12.6 </w:t>
      </w:r>
      <w:r>
        <w:rPr>
          <w:rFonts w:hint="eastAsia" w:asciiTheme="minorEastAsia" w:hAnsiTheme="minorEastAsia" w:eastAsiaTheme="minorEastAsia" w:cstheme="minorEastAsia"/>
          <w:color w:val="auto"/>
          <w:szCs w:val="21"/>
          <w:highlight w:val="none"/>
          <w:lang w:val="zh-CN"/>
        </w:rPr>
        <w:t>投标供应商应充分考虑到市场价格变动，以及项目实施过程中的不可预见因素，一旦成交，如果有漏项，视同让利。</w:t>
      </w:r>
    </w:p>
    <w:p w14:paraId="13185314">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13、投标文件的其他部分</w:t>
      </w:r>
    </w:p>
    <w:p w14:paraId="0ECE93ED">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13.1 其他部分由供应商根据编制投标文件需要提供的其他相关文件。</w:t>
      </w:r>
    </w:p>
    <w:p w14:paraId="6F8F5B95">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w:t>
      </w:r>
      <w:r>
        <w:rPr>
          <w:rFonts w:hint="eastAsia" w:asciiTheme="minorEastAsia" w:hAnsiTheme="minorEastAsia" w:eastAsiaTheme="minorEastAsia" w:cstheme="minorEastAsia"/>
          <w:b/>
          <w:color w:val="auto"/>
          <w:highlight w:val="none"/>
        </w:rPr>
        <w:t>4</w:t>
      </w:r>
      <w:r>
        <w:rPr>
          <w:rFonts w:hint="eastAsia" w:asciiTheme="minorEastAsia" w:hAnsiTheme="minorEastAsia" w:eastAsiaTheme="minorEastAsia" w:cstheme="minorEastAsia"/>
          <w:b/>
          <w:color w:val="auto"/>
          <w:highlight w:val="none"/>
          <w:lang w:val="zh-CN"/>
        </w:rPr>
        <w:t>、投标有效期</w:t>
      </w:r>
    </w:p>
    <w:p w14:paraId="67A9DBBF">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w:t>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zh-CN"/>
        </w:rPr>
        <w:t>.1 自开标之日起</w:t>
      </w:r>
      <w:r>
        <w:rPr>
          <w:rFonts w:hint="eastAsia" w:asciiTheme="minorEastAsia" w:hAnsiTheme="minorEastAsia" w:eastAsiaTheme="minorEastAsia" w:cstheme="minorEastAsia"/>
          <w:color w:val="auto"/>
          <w:highlight w:val="none"/>
        </w:rPr>
        <w:t>90</w:t>
      </w:r>
      <w:r>
        <w:rPr>
          <w:rFonts w:hint="eastAsia" w:asciiTheme="minorEastAsia" w:hAnsiTheme="minorEastAsia" w:eastAsiaTheme="minorEastAsia" w:cstheme="minorEastAsia"/>
          <w:color w:val="auto"/>
          <w:highlight w:val="none"/>
          <w:lang w:val="zh-CN"/>
        </w:rPr>
        <w:t>天内投标有效。</w:t>
      </w:r>
    </w:p>
    <w:p w14:paraId="3F67295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w:t>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zh-CN"/>
        </w:rPr>
        <w:t>.2 在特殊情况下，在原投标有效期截止之前，代理机构可要求供应商同意延长投标有效期，这种要求与答复均以书面形式提交。供应商可拒绝这种要求。接受延长投标有效期的供应商将不会要求和允许修正其投标。</w:t>
      </w:r>
    </w:p>
    <w:p w14:paraId="376EDA2D">
      <w:pPr>
        <w:autoSpaceDE w:val="0"/>
        <w:autoSpaceDN w:val="0"/>
        <w:adjustRightInd w:val="0"/>
        <w:ind w:firstLine="422"/>
        <w:rPr>
          <w:rFonts w:hint="default" w:asciiTheme="minorEastAsia" w:hAnsiTheme="minorEastAsia" w:eastAsiaTheme="minorEastAsia" w:cstheme="minorEastAsia"/>
          <w:b/>
          <w:color w:val="auto"/>
          <w:highlight w:val="none"/>
          <w:lang w:val="en-US" w:eastAsia="zh-CN"/>
        </w:rPr>
      </w:pPr>
      <w:r>
        <w:rPr>
          <w:rFonts w:hint="eastAsia" w:asciiTheme="minorEastAsia" w:hAnsiTheme="minorEastAsia" w:eastAsiaTheme="minorEastAsia" w:cstheme="minorEastAsia"/>
          <w:b/>
          <w:color w:val="auto"/>
          <w:highlight w:val="none"/>
          <w:lang w:val="zh-CN"/>
        </w:rPr>
        <w:t>1</w:t>
      </w:r>
      <w:r>
        <w:rPr>
          <w:rFonts w:hint="eastAsia" w:asciiTheme="minorEastAsia" w:hAnsiTheme="minorEastAsia" w:eastAsiaTheme="minorEastAsia" w:cstheme="minorEastAsia"/>
          <w:b/>
          <w:color w:val="auto"/>
          <w:highlight w:val="none"/>
        </w:rPr>
        <w:t>5</w:t>
      </w:r>
      <w:r>
        <w:rPr>
          <w:rFonts w:hint="eastAsia" w:asciiTheme="minorEastAsia" w:hAnsiTheme="minorEastAsia" w:eastAsiaTheme="minorEastAsia" w:cstheme="minorEastAsia"/>
          <w:b/>
          <w:color w:val="auto"/>
          <w:highlight w:val="none"/>
          <w:lang w:val="zh-CN"/>
        </w:rPr>
        <w:t>、投标文件</w:t>
      </w:r>
      <w:r>
        <w:rPr>
          <w:rFonts w:hint="eastAsia" w:asciiTheme="minorEastAsia" w:hAnsiTheme="minorEastAsia" w:eastAsiaTheme="minorEastAsia" w:cstheme="minorEastAsia"/>
          <w:b/>
          <w:color w:val="auto"/>
          <w:highlight w:val="none"/>
        </w:rPr>
        <w:t>的</w:t>
      </w:r>
      <w:r>
        <w:rPr>
          <w:rFonts w:hint="eastAsia" w:asciiTheme="minorEastAsia" w:hAnsiTheme="minorEastAsia" w:eastAsiaTheme="minorEastAsia" w:cstheme="minorEastAsia"/>
          <w:b/>
          <w:color w:val="auto"/>
          <w:highlight w:val="none"/>
          <w:lang w:val="en-US" w:eastAsia="zh-CN"/>
        </w:rPr>
        <w:t>递交</w:t>
      </w:r>
    </w:p>
    <w:p w14:paraId="12133557">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15.1 供应商应当按照《操作手册》规定，在招标公告规定的投标截止时间前制作并上传电子投标文件。</w:t>
      </w:r>
    </w:p>
    <w:p w14:paraId="0533B43E">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15.2 供应商应充分考虑网络环境、网络带宽等因素可能对投标产生的影响，如因供应商自身原因造成的电子投标文件上传不成功的，按照本招标文件第二章第22.2.3条规定做无效投标处理。</w:t>
      </w:r>
    </w:p>
    <w:p w14:paraId="0EA9FD0A">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15.3代理机构可以按照规定，通过修改招标文件酌情延长投标截止时间，在此情况下，供应商的所有权利和义务均以延长后新的截止时间为准。</w:t>
      </w:r>
    </w:p>
    <w:p w14:paraId="77AADF3E">
      <w:pPr>
        <w:autoSpaceDE w:val="0"/>
        <w:autoSpaceDN w:val="0"/>
        <w:adjustRightInd w:val="0"/>
        <w:ind w:firstLine="42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16.投标文件的拒收</w:t>
      </w:r>
    </w:p>
    <w:p w14:paraId="714C9836">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16.1代理机构拒绝接收投标截止时间后上传的任何投标文件</w:t>
      </w:r>
      <w:r>
        <w:rPr>
          <w:rFonts w:hint="eastAsia" w:ascii="宋体" w:hAnsi="宋体" w:cs="宋体"/>
          <w:color w:val="auto"/>
          <w:highlight w:val="none"/>
          <w:lang w:val="en-US" w:eastAsia="zh-CN"/>
        </w:rPr>
        <w:t>。</w:t>
      </w:r>
    </w:p>
    <w:p w14:paraId="669276EA">
      <w:pPr>
        <w:autoSpaceDE w:val="0"/>
        <w:autoSpaceDN w:val="0"/>
        <w:adjustRightInd w:val="0"/>
        <w:ind w:firstLine="42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17.投标文件的撤回和修改</w:t>
      </w:r>
    </w:p>
    <w:p w14:paraId="3445C3A8">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17.1 投标文件的撤回</w:t>
      </w:r>
    </w:p>
    <w:p w14:paraId="4B9C0098">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17.1.1供应商可在投标截止时间前撤回其电子投标文件，具体操作方法见《操作手册》。</w:t>
      </w:r>
    </w:p>
    <w:p w14:paraId="7B18E5A5">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17.1.2供应商撤回电子投标文件，则认为其不再参与本项目投标活动。</w:t>
      </w:r>
    </w:p>
    <w:p w14:paraId="1F226EF2">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17.2 投标文件的修改</w:t>
      </w:r>
    </w:p>
    <w:p w14:paraId="4D81969A">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17.2.1供应商可在投标截止时间前对其电子投标文件进行修改，具体操作方法见《操作手册》。</w:t>
      </w:r>
    </w:p>
    <w:p w14:paraId="5A17C4D5">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17.2.2投标截止时间之后，供应商不得对其电子投标文件作任何修改。</w:t>
      </w:r>
    </w:p>
    <w:p w14:paraId="6A3FCE6B">
      <w:pPr>
        <w:autoSpaceDE w:val="0"/>
        <w:autoSpaceDN w:val="0"/>
        <w:adjustRightInd w:val="0"/>
        <w:ind w:firstLine="422"/>
        <w:rPr>
          <w:rFonts w:hint="eastAsia" w:ascii="宋体" w:hAnsi="宋体" w:cs="宋体"/>
          <w:color w:val="auto"/>
          <w:highlight w:val="none"/>
          <w:lang w:val="en-US" w:eastAsia="zh-CN"/>
        </w:rPr>
      </w:pPr>
      <w:r>
        <w:rPr>
          <w:rFonts w:hint="eastAsia" w:ascii="宋体" w:hAnsi="宋体" w:cs="宋体"/>
          <w:color w:val="auto"/>
          <w:highlight w:val="none"/>
          <w:lang w:val="en-US" w:eastAsia="zh-CN"/>
        </w:rPr>
        <w:t>17.3 在投标截止时间至招标文件中规定的投标有效期满之间的这段时间内，供应商不得撤回其投标。</w:t>
      </w:r>
    </w:p>
    <w:p w14:paraId="5A318F12">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四、开标、评标与确定中标供应商</w:t>
      </w:r>
    </w:p>
    <w:p w14:paraId="1CC88B4A">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1</w:t>
      </w:r>
      <w:r>
        <w:rPr>
          <w:rFonts w:hint="eastAsia" w:asciiTheme="minorEastAsia" w:hAnsiTheme="minorEastAsia" w:eastAsiaTheme="minorEastAsia" w:cstheme="minorEastAsia"/>
          <w:b/>
          <w:color w:val="auto"/>
          <w:highlight w:val="none"/>
          <w:lang w:val="en-US" w:eastAsia="zh-CN"/>
        </w:rPr>
        <w:t>8</w:t>
      </w:r>
      <w:r>
        <w:rPr>
          <w:rFonts w:hint="eastAsia" w:asciiTheme="minorEastAsia" w:hAnsiTheme="minorEastAsia" w:eastAsiaTheme="minorEastAsia" w:cstheme="minorEastAsia"/>
          <w:b/>
          <w:color w:val="auto"/>
          <w:highlight w:val="none"/>
          <w:lang w:val="zh-CN"/>
        </w:rPr>
        <w:t>、开标</w:t>
      </w:r>
    </w:p>
    <w:p w14:paraId="3D7078B6">
      <w:pPr>
        <w:autoSpaceDE w:val="0"/>
        <w:autoSpaceDN w:val="0"/>
        <w:adjustRightInd w:val="0"/>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lang w:eastAsia="zh-CN"/>
        </w:rPr>
        <w:t>代理机构</w:t>
      </w:r>
      <w:r>
        <w:rPr>
          <w:rFonts w:hint="eastAsia" w:asciiTheme="minorEastAsia" w:hAnsiTheme="minorEastAsia" w:eastAsiaTheme="minorEastAsia" w:cstheme="minorEastAsia"/>
          <w:color w:val="auto"/>
          <w:highlight w:val="none"/>
        </w:rPr>
        <w:t>在招标公告中规定的时间和地点组织公开开标。</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按照《操作手册》规定参加开标活动，并在苏采云系统规定的时间内对投标文件进行解密。苏采云系统公布各</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名称和投标价格。</w:t>
      </w:r>
    </w:p>
    <w:p w14:paraId="745E47F8">
      <w:pPr>
        <w:autoSpaceDE w:val="0"/>
        <w:autoSpaceDN w:val="0"/>
        <w:adjustRightInd w:val="0"/>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在开标过程中涉及到的投标文件解密、开标结果确认等工作，应按照《操作手册》规定执行。</w:t>
      </w:r>
    </w:p>
    <w:p w14:paraId="3DF57130">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rPr>
        <w:t xml:space="preserve">.3 </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如果对开标过程和开标结果有疑义，应当根据《操作手册》规定提出，苏采云系统中《开标记录表》公布后5分钟内未提出的，视同认可开标结果。</w:t>
      </w:r>
    </w:p>
    <w:p w14:paraId="01CFF7C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lang w:val="zh-CN"/>
        </w:rPr>
        <w:t>.4 开标时，开标一览表中的投标总报价应与投标分项报价表中的投标总报价一致，如不一致不作为无效投标处理，评标时以开标一览表中价格为准。</w:t>
      </w:r>
    </w:p>
    <w:p w14:paraId="69A83796">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lang w:val="zh-CN"/>
        </w:rPr>
        <w:t>.5 投标文件、《开标一览表》中报价出现前后不一致的，除采购文件另有规定外，按照下列规定修正：</w:t>
      </w:r>
    </w:p>
    <w:p w14:paraId="427D9ED6">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 大写金额和小写金额不一致的，以大写金额为准；</w:t>
      </w:r>
    </w:p>
    <w:p w14:paraId="5F41A887">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 单价金额小数点或者百分比有明显错位的，以报价表的总价为准，并修改单价；</w:t>
      </w:r>
    </w:p>
    <w:p w14:paraId="51773F58">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 总价金额与按单价汇总金额不一致的，以单价金额计算结果为准。</w:t>
      </w:r>
    </w:p>
    <w:p w14:paraId="067F6646">
      <w:pPr>
        <w:autoSpaceDE w:val="0"/>
        <w:autoSpaceDN w:val="0"/>
        <w:adjustRightInd w:val="0"/>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（4）同时出现两种以上不一致的，按照前款规定的顺序修正。</w:t>
      </w:r>
    </w:p>
    <w:p w14:paraId="4517474F">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评标委员会将按上述修正错误的方法调整响应文件中的投标报价，并通过苏采云系统告知供应商，调整后的价格对供应商具有约束力。如果供应商不接受修正后的价格，则其投标将被拒绝。</w:t>
      </w:r>
    </w:p>
    <w:p w14:paraId="041763D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lang w:val="zh-CN"/>
        </w:rPr>
        <w:t>.6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color w:val="auto"/>
          <w:highlight w:val="none"/>
        </w:rPr>
        <w:t>代理机构根据招标文件中的采购需求编制谈判文件，只与该两家供应商进行竞争性谈判采购。</w:t>
      </w:r>
    </w:p>
    <w:p w14:paraId="228AE5D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en-US" w:eastAsia="zh-CN"/>
        </w:rPr>
        <w:t>19</w:t>
      </w:r>
      <w:r>
        <w:rPr>
          <w:rFonts w:hint="eastAsia" w:asciiTheme="minorEastAsia" w:hAnsiTheme="minorEastAsia" w:eastAsiaTheme="minorEastAsia" w:cstheme="minorEastAsia"/>
          <w:b/>
          <w:color w:val="auto"/>
          <w:highlight w:val="none"/>
          <w:lang w:val="zh-CN"/>
        </w:rPr>
        <w:t>、评标</w:t>
      </w:r>
    </w:p>
    <w:p w14:paraId="525F7B9D">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en-US" w:eastAsia="zh-CN"/>
        </w:rPr>
        <w:t>19</w:t>
      </w:r>
      <w:r>
        <w:rPr>
          <w:rFonts w:hint="eastAsia" w:asciiTheme="minorEastAsia" w:hAnsiTheme="minorEastAsia" w:eastAsiaTheme="minorEastAsia" w:cstheme="minorEastAsia"/>
          <w:b w:val="0"/>
          <w:bCs/>
          <w:color w:val="auto"/>
          <w:highlight w:val="none"/>
          <w:lang w:val="zh-CN"/>
        </w:rPr>
        <w:t>.1 评标由代理机构组织评标委员会（以下简称“评委会”）进行。</w:t>
      </w:r>
    </w:p>
    <w:p w14:paraId="6A9D64D5">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en-US" w:eastAsia="zh-CN"/>
        </w:rPr>
        <w:t>19</w:t>
      </w:r>
      <w:r>
        <w:rPr>
          <w:rFonts w:hint="eastAsia" w:asciiTheme="minorEastAsia" w:hAnsiTheme="minorEastAsia" w:eastAsiaTheme="minorEastAsia" w:cstheme="minorEastAsia"/>
          <w:b w:val="0"/>
          <w:bCs/>
          <w:color w:val="auto"/>
          <w:highlight w:val="none"/>
          <w:lang w:val="zh-CN"/>
        </w:rPr>
        <w:t>.2 评委会由采购人代表和有关技术、经济等方面的专家组成，且人员构成符合政府采购有关规定。</w:t>
      </w:r>
    </w:p>
    <w:p w14:paraId="7521896C">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en-US" w:eastAsia="zh-CN"/>
        </w:rPr>
        <w:t>19</w:t>
      </w:r>
      <w:r>
        <w:rPr>
          <w:rFonts w:hint="eastAsia" w:asciiTheme="minorEastAsia" w:hAnsiTheme="minorEastAsia" w:eastAsiaTheme="minorEastAsia" w:cstheme="minorEastAsia"/>
          <w:b w:val="0"/>
          <w:bCs/>
          <w:color w:val="auto"/>
          <w:highlight w:val="none"/>
          <w:lang w:val="zh-CN"/>
        </w:rPr>
        <w:t>.3评委会独立工作，负责评审所有投标文件并推荐中标候选人，或根据采购人授权直接确定中标供应商。</w:t>
      </w:r>
    </w:p>
    <w:p w14:paraId="46BCAE0F">
      <w:pPr>
        <w:widowControl/>
        <w:adjustRightInd w:val="0"/>
        <w:ind w:firstLine="422"/>
        <w:rPr>
          <w:rFonts w:hint="eastAsia" w:asciiTheme="minorEastAsia" w:hAnsiTheme="minorEastAsia" w:eastAsiaTheme="minorEastAsia" w:cstheme="minorEastAsia"/>
          <w:b/>
          <w:bCs w:val="0"/>
          <w:color w:val="auto"/>
          <w:highlight w:val="none"/>
          <w:lang w:val="zh-CN"/>
        </w:rPr>
      </w:pPr>
      <w:r>
        <w:rPr>
          <w:rFonts w:hint="eastAsia" w:asciiTheme="minorEastAsia" w:hAnsiTheme="minorEastAsia" w:eastAsiaTheme="minorEastAsia" w:cstheme="minorEastAsia"/>
          <w:b/>
          <w:bCs w:val="0"/>
          <w:color w:val="auto"/>
          <w:highlight w:val="none"/>
          <w:lang w:val="zh-CN"/>
        </w:rPr>
        <w:t>2</w:t>
      </w:r>
      <w:r>
        <w:rPr>
          <w:rFonts w:hint="eastAsia" w:asciiTheme="minorEastAsia" w:hAnsiTheme="minorEastAsia" w:eastAsiaTheme="minorEastAsia" w:cstheme="minorEastAsia"/>
          <w:b/>
          <w:bCs w:val="0"/>
          <w:color w:val="auto"/>
          <w:highlight w:val="none"/>
          <w:lang w:val="en-US" w:eastAsia="zh-CN"/>
        </w:rPr>
        <w:t>0</w:t>
      </w:r>
      <w:r>
        <w:rPr>
          <w:rFonts w:hint="eastAsia" w:asciiTheme="minorEastAsia" w:hAnsiTheme="minorEastAsia" w:eastAsiaTheme="minorEastAsia" w:cstheme="minorEastAsia"/>
          <w:b/>
          <w:bCs w:val="0"/>
          <w:color w:val="auto"/>
          <w:highlight w:val="none"/>
          <w:lang w:val="zh-CN"/>
        </w:rPr>
        <w:t>.评标过程的保密与公正</w:t>
      </w:r>
    </w:p>
    <w:p w14:paraId="245823E0">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0</w:t>
      </w:r>
      <w:r>
        <w:rPr>
          <w:rFonts w:hint="eastAsia" w:asciiTheme="minorEastAsia" w:hAnsiTheme="minorEastAsia" w:eastAsiaTheme="minorEastAsia" w:cstheme="minorEastAsia"/>
          <w:b w:val="0"/>
          <w:bCs/>
          <w:color w:val="auto"/>
          <w:highlight w:val="none"/>
          <w:lang w:val="zh-CN"/>
        </w:rPr>
        <w:t>.1凡是与审查、澄清、评价和比较投标的有关资料以及授标建议等，采购人、评委、代理机构均不得向供应商或与评标无关的其他人员透露。</w:t>
      </w:r>
    </w:p>
    <w:p w14:paraId="0CAAC003">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0</w:t>
      </w:r>
      <w:r>
        <w:rPr>
          <w:rFonts w:hint="eastAsia" w:asciiTheme="minorEastAsia" w:hAnsiTheme="minorEastAsia" w:eastAsiaTheme="minorEastAsia" w:cstheme="minorEastAsia"/>
          <w:b w:val="0"/>
          <w:bCs/>
          <w:color w:val="auto"/>
          <w:highlight w:val="none"/>
          <w:lang w:val="zh-CN"/>
        </w:rPr>
        <w:t>.2供应商不得以任何方式影响评标，否则其投标文件将被作为无效投标文件。</w:t>
      </w:r>
    </w:p>
    <w:p w14:paraId="25ABA8BD">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0</w:t>
      </w:r>
      <w:r>
        <w:rPr>
          <w:rFonts w:hint="eastAsia" w:asciiTheme="minorEastAsia" w:hAnsiTheme="minorEastAsia" w:eastAsiaTheme="minorEastAsia" w:cstheme="minorEastAsia"/>
          <w:b w:val="0"/>
          <w:bCs/>
          <w:color w:val="auto"/>
          <w:highlight w:val="none"/>
          <w:lang w:val="zh-CN"/>
        </w:rPr>
        <w:t>.3 代理机构和评委会不向未中标的供应商解释未中标原因，也不公布评标过程中的相关细节。</w:t>
      </w:r>
    </w:p>
    <w:p w14:paraId="5BE224BA">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0</w:t>
      </w:r>
      <w:r>
        <w:rPr>
          <w:rFonts w:hint="eastAsia" w:asciiTheme="minorEastAsia" w:hAnsiTheme="minorEastAsia" w:eastAsiaTheme="minorEastAsia" w:cstheme="minorEastAsia"/>
          <w:b w:val="0"/>
          <w:bCs/>
          <w:color w:val="auto"/>
          <w:highlight w:val="none"/>
          <w:lang w:val="zh-CN"/>
        </w:rPr>
        <w:t>.4 采用综合评分法的项目，未中标的供应商可于中标结果公告期限届满之日起通过苏采云系统查看本单位的评审得分及排名情况。</w:t>
      </w:r>
    </w:p>
    <w:p w14:paraId="2AB29B80">
      <w:pPr>
        <w:widowControl/>
        <w:adjustRightInd w:val="0"/>
        <w:ind w:firstLine="422"/>
        <w:rPr>
          <w:rFonts w:hint="eastAsia" w:asciiTheme="minorEastAsia" w:hAnsiTheme="minorEastAsia" w:eastAsiaTheme="minorEastAsia" w:cstheme="minorEastAsia"/>
          <w:b/>
          <w:bCs w:val="0"/>
          <w:color w:val="auto"/>
          <w:highlight w:val="none"/>
          <w:lang w:val="zh-CN"/>
        </w:rPr>
      </w:pPr>
      <w:r>
        <w:rPr>
          <w:rFonts w:hint="eastAsia" w:asciiTheme="minorEastAsia" w:hAnsiTheme="minorEastAsia" w:eastAsiaTheme="minorEastAsia" w:cstheme="minorEastAsia"/>
          <w:b/>
          <w:bCs w:val="0"/>
          <w:color w:val="auto"/>
          <w:highlight w:val="none"/>
          <w:lang w:val="zh-CN"/>
        </w:rPr>
        <w:t>2</w:t>
      </w:r>
      <w:r>
        <w:rPr>
          <w:rFonts w:hint="eastAsia" w:asciiTheme="minorEastAsia" w:hAnsiTheme="minorEastAsia" w:eastAsiaTheme="minorEastAsia" w:cstheme="minorEastAsia"/>
          <w:b/>
          <w:bCs w:val="0"/>
          <w:color w:val="auto"/>
          <w:highlight w:val="none"/>
          <w:lang w:val="en-US" w:eastAsia="zh-CN"/>
        </w:rPr>
        <w:t>1</w:t>
      </w:r>
      <w:r>
        <w:rPr>
          <w:rFonts w:hint="eastAsia" w:asciiTheme="minorEastAsia" w:hAnsiTheme="minorEastAsia" w:eastAsiaTheme="minorEastAsia" w:cstheme="minorEastAsia"/>
          <w:b/>
          <w:bCs w:val="0"/>
          <w:color w:val="auto"/>
          <w:highlight w:val="none"/>
          <w:lang w:val="zh-CN"/>
        </w:rPr>
        <w:t>.投标文件的澄清</w:t>
      </w:r>
    </w:p>
    <w:p w14:paraId="7E5E88B3">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1</w:t>
      </w:r>
      <w:r>
        <w:rPr>
          <w:rFonts w:hint="eastAsia" w:asciiTheme="minorEastAsia" w:hAnsiTheme="minorEastAsia" w:eastAsiaTheme="minorEastAsia" w:cstheme="minorEastAsia"/>
          <w:b w:val="0"/>
          <w:bCs/>
          <w:color w:val="auto"/>
          <w:highlight w:val="none"/>
          <w:lang w:val="zh-CN"/>
        </w:rPr>
        <w:t>.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p>
    <w:p w14:paraId="4E5B26BB">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1</w:t>
      </w:r>
      <w:r>
        <w:rPr>
          <w:rFonts w:hint="eastAsia" w:asciiTheme="minorEastAsia" w:hAnsiTheme="minorEastAsia" w:eastAsiaTheme="minorEastAsia" w:cstheme="minorEastAsia"/>
          <w:b w:val="0"/>
          <w:bCs/>
          <w:color w:val="auto"/>
          <w:highlight w:val="none"/>
          <w:lang w:val="zh-CN"/>
        </w:rPr>
        <w:t>.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6F224BF5">
      <w:pPr>
        <w:widowControl/>
        <w:adjustRightInd w:val="0"/>
        <w:ind w:firstLine="422"/>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w:t>
      </w:r>
      <w:r>
        <w:rPr>
          <w:rFonts w:hint="eastAsia" w:asciiTheme="minorEastAsia" w:hAnsiTheme="minorEastAsia" w:eastAsiaTheme="minorEastAsia" w:cstheme="minorEastAsia"/>
          <w:b w:val="0"/>
          <w:bCs/>
          <w:color w:val="auto"/>
          <w:highlight w:val="none"/>
          <w:lang w:val="en-US" w:eastAsia="zh-CN"/>
        </w:rPr>
        <w:t>1</w:t>
      </w:r>
      <w:r>
        <w:rPr>
          <w:rFonts w:hint="eastAsia" w:asciiTheme="minorEastAsia" w:hAnsiTheme="minorEastAsia" w:eastAsiaTheme="minorEastAsia" w:cstheme="minorEastAsia"/>
          <w:b w:val="0"/>
          <w:bCs/>
          <w:color w:val="auto"/>
          <w:highlight w:val="none"/>
          <w:lang w:val="zh-CN"/>
        </w:rPr>
        <w:t>.3 接到评委会澄清、说明和补正要求的，供应商如未按规定作出澄清、说明和补正，其风险由供应商自行承担。</w:t>
      </w:r>
    </w:p>
    <w:p w14:paraId="067E2728">
      <w:pPr>
        <w:widowControl/>
        <w:adjustRightInd w:val="0"/>
        <w:ind w:firstLine="422"/>
        <w:rPr>
          <w:rFonts w:hint="eastAsia" w:asciiTheme="minorEastAsia" w:hAnsiTheme="minorEastAsia" w:eastAsiaTheme="minorEastAsia" w:cstheme="minorEastAsia"/>
          <w:b/>
          <w:color w:val="auto"/>
          <w:kern w:val="0"/>
          <w:highlight w:val="none"/>
          <w:lang w:val="zh-CN"/>
        </w:rPr>
      </w:pPr>
      <w:r>
        <w:rPr>
          <w:rFonts w:hint="eastAsia" w:asciiTheme="minorEastAsia" w:hAnsiTheme="minorEastAsia" w:eastAsiaTheme="minorEastAsia" w:cstheme="minorEastAsia"/>
          <w:b/>
          <w:color w:val="auto"/>
          <w:kern w:val="0"/>
          <w:highlight w:val="none"/>
          <w:lang w:val="zh-CN"/>
        </w:rPr>
        <w:t>2</w:t>
      </w:r>
      <w:r>
        <w:rPr>
          <w:rFonts w:hint="eastAsia" w:asciiTheme="minorEastAsia" w:hAnsiTheme="minorEastAsia" w:eastAsiaTheme="minorEastAsia" w:cstheme="minorEastAsia"/>
          <w:b/>
          <w:color w:val="auto"/>
          <w:kern w:val="0"/>
          <w:highlight w:val="none"/>
          <w:lang w:val="en-US" w:eastAsia="zh-CN"/>
        </w:rPr>
        <w:t>2</w:t>
      </w:r>
      <w:r>
        <w:rPr>
          <w:rFonts w:hint="eastAsia" w:asciiTheme="minorEastAsia" w:hAnsiTheme="minorEastAsia" w:eastAsiaTheme="minorEastAsia" w:cstheme="minorEastAsia"/>
          <w:b/>
          <w:color w:val="auto"/>
          <w:kern w:val="0"/>
          <w:highlight w:val="none"/>
          <w:lang w:val="zh-CN"/>
        </w:rPr>
        <w:t>.投标文件的审查</w:t>
      </w:r>
    </w:p>
    <w:p w14:paraId="070C172E">
      <w:pPr>
        <w:widowControl/>
        <w:adjustRightInd w:val="0"/>
        <w:ind w:firstLine="422"/>
        <w:rPr>
          <w:rFonts w:hint="eastAsia" w:asciiTheme="minorEastAsia" w:hAnsiTheme="minorEastAsia" w:eastAsiaTheme="minorEastAsia" w:cstheme="minorEastAsia"/>
          <w:b w:val="0"/>
          <w:bCs/>
          <w:color w:val="auto"/>
          <w:kern w:val="0"/>
          <w:highlight w:val="none"/>
          <w:lang w:val="zh-CN"/>
        </w:rPr>
      </w:pPr>
      <w:r>
        <w:rPr>
          <w:rFonts w:hint="eastAsia" w:asciiTheme="minorEastAsia" w:hAnsiTheme="minorEastAsia" w:eastAsiaTheme="minorEastAsia" w:cstheme="minorEastAsia"/>
          <w:b w:val="0"/>
          <w:bCs/>
          <w:color w:val="auto"/>
          <w:kern w:val="0"/>
          <w:highlight w:val="none"/>
          <w:lang w:val="zh-CN"/>
        </w:rPr>
        <w:t>投标文件审查分为资格</w:t>
      </w:r>
      <w:r>
        <w:rPr>
          <w:rFonts w:hint="eastAsia" w:asciiTheme="minorEastAsia" w:hAnsiTheme="minorEastAsia" w:eastAsiaTheme="minorEastAsia" w:cstheme="minorEastAsia"/>
          <w:b w:val="0"/>
          <w:bCs/>
          <w:color w:val="auto"/>
          <w:kern w:val="0"/>
          <w:highlight w:val="none"/>
          <w:lang w:val="en-US" w:eastAsia="zh-CN"/>
        </w:rPr>
        <w:t>性</w:t>
      </w:r>
      <w:r>
        <w:rPr>
          <w:rFonts w:hint="eastAsia" w:asciiTheme="minorEastAsia" w:hAnsiTheme="minorEastAsia" w:eastAsiaTheme="minorEastAsia" w:cstheme="minorEastAsia"/>
          <w:b w:val="0"/>
          <w:bCs/>
          <w:color w:val="auto"/>
          <w:kern w:val="0"/>
          <w:highlight w:val="none"/>
          <w:lang w:val="zh-CN"/>
        </w:rPr>
        <w:t>审查和符合性审查。</w:t>
      </w:r>
    </w:p>
    <w:p w14:paraId="1C17CD96">
      <w:pPr>
        <w:widowControl/>
        <w:adjustRightInd w:val="0"/>
        <w:ind w:firstLine="422"/>
        <w:rPr>
          <w:rFonts w:hint="eastAsia" w:asciiTheme="minorEastAsia" w:hAnsiTheme="minorEastAsia" w:eastAsiaTheme="minorEastAsia" w:cstheme="minorEastAsia"/>
          <w:b w:val="0"/>
          <w:bCs/>
          <w:color w:val="auto"/>
          <w:kern w:val="0"/>
          <w:highlight w:val="none"/>
          <w:lang w:val="zh-CN"/>
        </w:rPr>
      </w:pPr>
      <w:r>
        <w:rPr>
          <w:rFonts w:hint="eastAsia" w:asciiTheme="minorEastAsia" w:hAnsiTheme="minorEastAsia" w:eastAsiaTheme="minorEastAsia" w:cstheme="minorEastAsia"/>
          <w:b w:val="0"/>
          <w:bCs/>
          <w:color w:val="auto"/>
          <w:kern w:val="0"/>
          <w:highlight w:val="none"/>
          <w:lang w:val="zh-CN"/>
        </w:rPr>
        <w:t>22.1 投标文件的资格性检查</w:t>
      </w:r>
    </w:p>
    <w:p w14:paraId="7016ED24">
      <w:pPr>
        <w:widowControl/>
        <w:adjustRightInd w:val="0"/>
        <w:ind w:firstLine="422"/>
        <w:rPr>
          <w:rFonts w:hint="eastAsia" w:asciiTheme="minorEastAsia" w:hAnsiTheme="minorEastAsia" w:eastAsiaTheme="minorEastAsia" w:cstheme="minorEastAsia"/>
          <w:color w:val="auto"/>
          <w:kern w:val="0"/>
          <w:highlight w:val="none"/>
          <w:lang w:val="zh-CN"/>
        </w:rPr>
      </w:pPr>
      <w:r>
        <w:rPr>
          <w:rFonts w:hint="eastAsia" w:asciiTheme="minorEastAsia" w:hAnsiTheme="minorEastAsia" w:eastAsiaTheme="minorEastAsia" w:cstheme="minorEastAsia"/>
          <w:color w:val="auto"/>
          <w:kern w:val="0"/>
          <w:highlight w:val="none"/>
          <w:lang w:val="en-US" w:eastAsia="zh-CN"/>
        </w:rPr>
        <w:t>22.1.1</w:t>
      </w:r>
      <w:r>
        <w:rPr>
          <w:rFonts w:hint="eastAsia" w:asciiTheme="minorEastAsia" w:hAnsiTheme="minorEastAsia" w:eastAsiaTheme="minorEastAsia" w:cstheme="minorEastAsia"/>
          <w:color w:val="auto"/>
          <w:kern w:val="0"/>
          <w:highlight w:val="none"/>
          <w:lang w:val="zh-CN"/>
        </w:rPr>
        <w:t>依据法律法规和招标文件的规定，对投标文件中资格证明</w:t>
      </w:r>
      <w:r>
        <w:rPr>
          <w:rFonts w:hint="eastAsia" w:asciiTheme="minorEastAsia" w:hAnsiTheme="minorEastAsia" w:eastAsiaTheme="minorEastAsia" w:cstheme="minorEastAsia"/>
          <w:color w:val="auto"/>
          <w:kern w:val="0"/>
          <w:highlight w:val="none"/>
        </w:rPr>
        <w:t>等</w:t>
      </w:r>
      <w:r>
        <w:rPr>
          <w:rFonts w:hint="eastAsia" w:asciiTheme="minorEastAsia" w:hAnsiTheme="minorEastAsia" w:eastAsiaTheme="minorEastAsia" w:cstheme="minorEastAsia"/>
          <w:color w:val="auto"/>
          <w:kern w:val="0"/>
          <w:highlight w:val="none"/>
          <w:lang w:val="zh-CN"/>
        </w:rPr>
        <w:t>进行审查，以确定供应商是否具备投标资格。</w:t>
      </w:r>
    </w:p>
    <w:p w14:paraId="7CB4F7FB">
      <w:pPr>
        <w:widowControl/>
        <w:adjustRightInd w:val="0"/>
        <w:ind w:firstLine="422"/>
        <w:rPr>
          <w:rFonts w:hint="eastAsia"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kern w:val="0"/>
          <w:highlight w:val="none"/>
          <w:lang w:val="en-US" w:eastAsia="zh-CN"/>
        </w:rPr>
        <w:t>22.1.2</w:t>
      </w:r>
      <w:r>
        <w:rPr>
          <w:rFonts w:hint="eastAsia" w:asciiTheme="minorEastAsia" w:hAnsiTheme="minorEastAsia" w:eastAsiaTheme="minorEastAsia" w:cstheme="minorEastAsia"/>
          <w:b/>
          <w:bCs/>
          <w:color w:val="auto"/>
          <w:kern w:val="0"/>
          <w:highlight w:val="none"/>
          <w:lang w:val="zh-CN"/>
        </w:rPr>
        <w:t>投标文件有下列情况之一的，在资格性、符合性检查时按照无效投标处理：</w:t>
      </w:r>
    </w:p>
    <w:p w14:paraId="61FC9A7A">
      <w:pPr>
        <w:widowControl/>
        <w:adjustRightInd w:val="0"/>
        <w:ind w:firstLine="422"/>
        <w:rPr>
          <w:rFonts w:hint="eastAsia"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kern w:val="0"/>
          <w:highlight w:val="none"/>
          <w:lang w:val="zh-CN"/>
        </w:rPr>
        <w:t>（</w:t>
      </w:r>
      <w:r>
        <w:rPr>
          <w:rFonts w:hint="eastAsia" w:asciiTheme="minorEastAsia" w:hAnsiTheme="minorEastAsia" w:eastAsiaTheme="minorEastAsia" w:cstheme="minorEastAsia"/>
          <w:b/>
          <w:bCs/>
          <w:color w:val="auto"/>
          <w:kern w:val="0"/>
          <w:highlight w:val="none"/>
          <w:lang w:val="en-US" w:eastAsia="zh-CN"/>
        </w:rPr>
        <w:t>1</w:t>
      </w:r>
      <w:r>
        <w:rPr>
          <w:rFonts w:hint="eastAsia" w:asciiTheme="minorEastAsia" w:hAnsiTheme="minorEastAsia" w:eastAsiaTheme="minorEastAsia" w:cstheme="minorEastAsia"/>
          <w:b/>
          <w:bCs/>
          <w:color w:val="auto"/>
          <w:kern w:val="0"/>
          <w:highlight w:val="none"/>
          <w:lang w:val="zh-CN"/>
        </w:rPr>
        <w:t>）不具备招标文件中规定资格要求的；</w:t>
      </w:r>
    </w:p>
    <w:p w14:paraId="7941DA82">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宋体" w:hAnsi="宋体" w:cs="宋体"/>
          <w:b/>
          <w:bCs/>
          <w:color w:val="auto"/>
          <w:highlight w:val="none"/>
          <w:lang w:val="zh-CN"/>
        </w:rPr>
      </w:pPr>
      <w:r>
        <w:rPr>
          <w:rFonts w:hint="eastAsia" w:ascii="宋体" w:hAnsi="宋体" w:cs="宋体"/>
          <w:b/>
          <w:bCs/>
          <w:color w:val="auto"/>
          <w:highlight w:val="none"/>
          <w:lang w:val="zh-CN"/>
        </w:rPr>
        <w:t>（</w:t>
      </w:r>
      <w:r>
        <w:rPr>
          <w:rFonts w:hint="eastAsia" w:ascii="宋体" w:hAnsi="宋体" w:cs="宋体"/>
          <w:b/>
          <w:bCs/>
          <w:color w:val="auto"/>
          <w:highlight w:val="none"/>
          <w:lang w:val="en-US" w:eastAsia="zh-CN"/>
        </w:rPr>
        <w:t>2</w:t>
      </w:r>
      <w:r>
        <w:rPr>
          <w:rFonts w:hint="eastAsia" w:ascii="宋体" w:hAnsi="宋体" w:cs="宋体"/>
          <w:b/>
          <w:bCs/>
          <w:color w:val="auto"/>
          <w:highlight w:val="none"/>
          <w:lang w:val="zh-CN"/>
        </w:rPr>
        <w:t>）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p>
    <w:p w14:paraId="2B41C434">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）采购产品被财政部、国家发改委、生态环境部等列入“节能产品品目清单”强制采购范围，而供应商提供的产品不在强制采购范围内。</w:t>
      </w:r>
    </w:p>
    <w:p w14:paraId="509747B6">
      <w:pPr>
        <w:autoSpaceDE w:val="0"/>
        <w:autoSpaceDN w:val="0"/>
        <w:adjustRightInd w:val="0"/>
        <w:ind w:firstLine="420" w:firstLineChars="200"/>
        <w:rPr>
          <w:rFonts w:hint="eastAsia" w:asciiTheme="minorEastAsia" w:hAnsiTheme="minorEastAsia" w:eastAsiaTheme="minorEastAsia" w:cstheme="minorEastAsia"/>
          <w:b w:val="0"/>
          <w:bCs/>
          <w:color w:val="auto"/>
          <w:highlight w:val="none"/>
          <w:lang w:val="zh-CN"/>
        </w:rPr>
      </w:pPr>
      <w:r>
        <w:rPr>
          <w:rFonts w:hint="eastAsia" w:asciiTheme="minorEastAsia" w:hAnsiTheme="minorEastAsia" w:eastAsiaTheme="minorEastAsia" w:cstheme="minorEastAsia"/>
          <w:b w:val="0"/>
          <w:bCs/>
          <w:color w:val="auto"/>
          <w:highlight w:val="none"/>
          <w:lang w:val="zh-CN"/>
        </w:rPr>
        <w:t>22.2</w:t>
      </w:r>
      <w:r>
        <w:rPr>
          <w:rFonts w:hint="eastAsia" w:asciiTheme="minorEastAsia" w:hAnsiTheme="minorEastAsia" w:eastAsiaTheme="minorEastAsia" w:cstheme="minorEastAsia"/>
          <w:b w:val="0"/>
          <w:bCs/>
          <w:color w:val="auto"/>
          <w:highlight w:val="none"/>
          <w:lang w:val="en-US" w:eastAsia="zh-CN"/>
        </w:rPr>
        <w:t xml:space="preserve"> </w:t>
      </w:r>
      <w:r>
        <w:rPr>
          <w:rFonts w:hint="eastAsia" w:asciiTheme="minorEastAsia" w:hAnsiTheme="minorEastAsia" w:eastAsiaTheme="minorEastAsia" w:cstheme="minorEastAsia"/>
          <w:b w:val="0"/>
          <w:bCs/>
          <w:color w:val="auto"/>
          <w:highlight w:val="none"/>
          <w:lang w:val="zh-CN"/>
        </w:rPr>
        <w:t>投标文件的符合性检查</w:t>
      </w:r>
    </w:p>
    <w:p w14:paraId="4F5DE0BA">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22.2.1</w:t>
      </w:r>
      <w:r>
        <w:rPr>
          <w:rFonts w:hint="eastAsia" w:asciiTheme="minorEastAsia" w:hAnsiTheme="minorEastAsia" w:eastAsiaTheme="minorEastAsia" w:cstheme="minorEastAsia"/>
          <w:color w:val="auto"/>
          <w:highlight w:val="none"/>
          <w:lang w:val="zh-CN"/>
        </w:rPr>
        <w:t>依据招标文件规定，从投标文件的有效性、完整性和对招标文件的响应程度进行审查</w:t>
      </w:r>
      <w:r>
        <w:rPr>
          <w:rFonts w:hint="eastAsia" w:asciiTheme="majorEastAsia" w:hAnsiTheme="majorEastAsia" w:eastAsiaTheme="majorEastAsia"/>
          <w:color w:val="auto"/>
          <w:szCs w:val="21"/>
          <w:highlight w:val="none"/>
        </w:rPr>
        <w:t>，以确定是否对</w:t>
      </w:r>
      <w:r>
        <w:rPr>
          <w:rFonts w:hint="eastAsia" w:asciiTheme="majorEastAsia" w:hAnsiTheme="majorEastAsia" w:eastAsiaTheme="majorEastAsia"/>
          <w:color w:val="auto"/>
          <w:szCs w:val="21"/>
          <w:highlight w:val="none"/>
          <w:lang w:val="en-US" w:eastAsia="zh-CN"/>
        </w:rPr>
        <w:t>采购</w:t>
      </w:r>
      <w:r>
        <w:rPr>
          <w:rFonts w:hint="eastAsia" w:asciiTheme="majorEastAsia" w:hAnsiTheme="majorEastAsia" w:eastAsiaTheme="majorEastAsia"/>
          <w:color w:val="auto"/>
          <w:szCs w:val="21"/>
          <w:highlight w:val="none"/>
        </w:rPr>
        <w:t>文件的实质性要求作出响应。</w:t>
      </w:r>
    </w:p>
    <w:p w14:paraId="7BC4C0BB">
      <w:pPr>
        <w:autoSpaceDE w:val="0"/>
        <w:autoSpaceDN w:val="0"/>
        <w:adjustRightInd w:val="0"/>
        <w:ind w:firstLine="422" w:firstLineChars="20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22.2.</w:t>
      </w:r>
      <w:r>
        <w:rPr>
          <w:rFonts w:hint="eastAsia" w:asciiTheme="minorEastAsia" w:hAnsiTheme="minorEastAsia" w:eastAsiaTheme="minorEastAsia" w:cstheme="minorEastAsia"/>
          <w:b/>
          <w:color w:val="auto"/>
          <w:highlight w:val="none"/>
          <w:lang w:val="en-US" w:eastAsia="zh-CN"/>
        </w:rPr>
        <w:t>2</w:t>
      </w:r>
      <w:r>
        <w:rPr>
          <w:rFonts w:hint="eastAsia" w:asciiTheme="minorEastAsia" w:hAnsiTheme="minorEastAsia" w:eastAsiaTheme="minorEastAsia" w:cstheme="minorEastAsia"/>
          <w:b/>
          <w:color w:val="auto"/>
          <w:highlight w:val="none"/>
          <w:lang w:val="zh-CN"/>
        </w:rPr>
        <w:t xml:space="preserve"> 实质性要求是指本招标文件中用带星号（“★或*”）、“必须或须”或“应（应当）”等其他文字说明的商务和技术要求。</w:t>
      </w:r>
    </w:p>
    <w:p w14:paraId="56DFC42E">
      <w:pPr>
        <w:widowControl/>
        <w:spacing w:line="240" w:lineRule="auto"/>
        <w:ind w:firstLine="422" w:firstLineChars="200"/>
        <w:jc w:val="left"/>
        <w:rPr>
          <w:rFonts w:hint="eastAsia" w:asciiTheme="minorEastAsia" w:hAnsiTheme="minorEastAsia" w:eastAsiaTheme="minorEastAsia" w:cstheme="minorEastAsia"/>
          <w:b/>
          <w:bCs/>
          <w:color w:val="auto"/>
          <w:kern w:val="0"/>
          <w:sz w:val="21"/>
          <w:szCs w:val="21"/>
          <w:highlight w:val="none"/>
          <w:lang w:val="zh-CN"/>
        </w:rPr>
      </w:pPr>
      <w:bookmarkStart w:id="77" w:name="OLE_LINK24"/>
      <w:r>
        <w:rPr>
          <w:rFonts w:hint="eastAsia" w:asciiTheme="minorEastAsia" w:hAnsiTheme="minorEastAsia" w:eastAsiaTheme="minorEastAsia" w:cstheme="minorEastAsia"/>
          <w:b/>
          <w:bCs/>
          <w:color w:val="auto"/>
          <w:sz w:val="21"/>
          <w:szCs w:val="21"/>
          <w:highlight w:val="none"/>
          <w:lang w:val="en-US" w:eastAsia="zh-CN"/>
        </w:rPr>
        <w:t>22.2.3</w:t>
      </w:r>
      <w:r>
        <w:rPr>
          <w:rFonts w:hint="eastAsia" w:asciiTheme="minorEastAsia" w:hAnsiTheme="minorEastAsia" w:eastAsiaTheme="minorEastAsia" w:cstheme="minorEastAsia"/>
          <w:b/>
          <w:bCs/>
          <w:color w:val="auto"/>
          <w:sz w:val="21"/>
          <w:szCs w:val="21"/>
          <w:highlight w:val="none"/>
        </w:rPr>
        <w:t>响应文件下列情形之一</w:t>
      </w:r>
      <w:bookmarkEnd w:id="77"/>
      <w:r>
        <w:rPr>
          <w:rFonts w:hint="eastAsia" w:asciiTheme="minorEastAsia" w:hAnsiTheme="minorEastAsia" w:eastAsiaTheme="minorEastAsia" w:cstheme="minorEastAsia"/>
          <w:b/>
          <w:bCs/>
          <w:color w:val="auto"/>
          <w:sz w:val="21"/>
          <w:szCs w:val="21"/>
          <w:highlight w:val="none"/>
        </w:rPr>
        <w:t>的，按照无效响应处理：</w:t>
      </w:r>
    </w:p>
    <w:p w14:paraId="104948F0">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zh-CN"/>
        </w:rPr>
        <w:t>）供应商在苏采云系统规定的时间内未成功解密电子投标文件；</w:t>
      </w:r>
    </w:p>
    <w:p w14:paraId="667FE192">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zh-CN"/>
        </w:rPr>
        <w:t>）供应商未按照招标文件要求上传电子投标文件；</w:t>
      </w:r>
    </w:p>
    <w:p w14:paraId="52FD9BB1">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）同一供应商提交两个（含两个）以上不同的投标报价；</w:t>
      </w:r>
    </w:p>
    <w:p w14:paraId="259235D2">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）供应商的报价超过了采购预算或最高限价；</w:t>
      </w:r>
    </w:p>
    <w:p w14:paraId="695EF538">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zh-CN"/>
        </w:rPr>
        <w:t>评委会认为供应商的报价明显低于其他通过符合性审查供应商的报价，有可能影响</w:t>
      </w:r>
      <w:r>
        <w:rPr>
          <w:rFonts w:hint="eastAsia" w:asciiTheme="minorEastAsia" w:hAnsiTheme="minorEastAsia" w:eastAsiaTheme="minorEastAsia" w:cstheme="minorEastAsia"/>
          <w:b/>
          <w:bCs/>
          <w:color w:val="auto"/>
          <w:sz w:val="21"/>
          <w:szCs w:val="21"/>
          <w:highlight w:val="none"/>
        </w:rPr>
        <w:t>服务</w:t>
      </w:r>
      <w:r>
        <w:rPr>
          <w:rFonts w:hint="eastAsia" w:asciiTheme="minorEastAsia" w:hAnsiTheme="minorEastAsia" w:eastAsiaTheme="minorEastAsia" w:cstheme="minorEastAsia"/>
          <w:b/>
          <w:bCs/>
          <w:color w:val="auto"/>
          <w:sz w:val="21"/>
          <w:szCs w:val="21"/>
          <w:highlight w:val="none"/>
          <w:lang w:val="zh-CN"/>
        </w:rPr>
        <w:t>质量或者不能诚信履约的，将通过苏采云系统要求其在合理的时间内提供说明，必要时提交相关证明材料。供应商不能证明其报价合理性的，评委会应当将其作为无效投标处理；</w:t>
      </w:r>
    </w:p>
    <w:p w14:paraId="2E786F23">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不同供应商的响应文件由同一单位或者个人编制；</w:t>
      </w:r>
    </w:p>
    <w:p w14:paraId="7BC3C57F">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rPr>
        <w:t>）不同供应商委托同一单位或者个人办理投标事宜；</w:t>
      </w:r>
    </w:p>
    <w:p w14:paraId="211DBF69">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rPr>
        <w:t>）不同供应商的ip地址、MAC地址、标书制作工具客户端标识码一致的；</w:t>
      </w:r>
    </w:p>
    <w:p w14:paraId="2E8A9D0D">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9</w:t>
      </w:r>
      <w:r>
        <w:rPr>
          <w:rFonts w:hint="eastAsia" w:asciiTheme="minorEastAsia" w:hAnsiTheme="minorEastAsia" w:eastAsiaTheme="minorEastAsia" w:cstheme="minorEastAsia"/>
          <w:b/>
          <w:bCs/>
          <w:color w:val="auto"/>
          <w:sz w:val="21"/>
          <w:szCs w:val="21"/>
          <w:highlight w:val="none"/>
        </w:rPr>
        <w:t>）</w:t>
      </w:r>
      <w:bookmarkStart w:id="78" w:name="OLE_LINK7"/>
      <w:r>
        <w:rPr>
          <w:rFonts w:hint="eastAsia" w:asciiTheme="minorEastAsia" w:hAnsiTheme="minorEastAsia" w:eastAsiaTheme="minorEastAsia" w:cstheme="minorEastAsia"/>
          <w:b/>
          <w:bCs/>
          <w:color w:val="auto"/>
          <w:sz w:val="21"/>
          <w:szCs w:val="21"/>
          <w:highlight w:val="none"/>
        </w:rPr>
        <w:t>不同供应商的响应文件载明的项目管理成员或者联系人员为同一人</w:t>
      </w:r>
      <w:bookmarkEnd w:id="78"/>
      <w:r>
        <w:rPr>
          <w:rFonts w:hint="eastAsia" w:asciiTheme="minorEastAsia" w:hAnsiTheme="minorEastAsia" w:eastAsiaTheme="minorEastAsia" w:cstheme="minorEastAsia"/>
          <w:b/>
          <w:bCs/>
          <w:color w:val="auto"/>
          <w:sz w:val="21"/>
          <w:szCs w:val="21"/>
          <w:highlight w:val="none"/>
        </w:rPr>
        <w:t>；</w:t>
      </w:r>
    </w:p>
    <w:p w14:paraId="20E625B3">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rPr>
        <w:t>）不同供应商的响应文件异常一致或者投标报价呈规律性差异；</w:t>
      </w:r>
    </w:p>
    <w:p w14:paraId="5746F88B">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rPr>
        <w:t>）不同供应商的法定代表人或委托代理人有夫妻、直系血亲关系的；</w:t>
      </w:r>
    </w:p>
    <w:p w14:paraId="59245FF8">
      <w:pPr>
        <w:keepNext w:val="0"/>
        <w:keepLines w:val="0"/>
        <w:pageBreakBefore w:val="0"/>
        <w:kinsoku/>
        <w:wordWrap/>
        <w:overflowPunct/>
        <w:topLinePunct w:val="0"/>
        <w:autoSpaceDE/>
        <w:autoSpaceDN/>
        <w:bidi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不同供应商的负责人为同一人或者存在控股、管理关系的；</w:t>
      </w:r>
    </w:p>
    <w:p w14:paraId="1B2A945F">
      <w:pPr>
        <w:keepNext w:val="0"/>
        <w:keepLines w:val="0"/>
        <w:pageBreakBefore w:val="0"/>
        <w:widowControl/>
        <w:kinsoku/>
        <w:wordWrap/>
        <w:overflowPunct/>
        <w:topLinePunct w:val="0"/>
        <w:autoSpaceDE/>
        <w:autoSpaceDN/>
        <w:bidi w:val="0"/>
        <w:adjustRightInd w:val="0"/>
        <w:spacing w:line="240" w:lineRule="auto"/>
        <w:ind w:firstLine="422" w:firstLineChars="200"/>
        <w:jc w:val="left"/>
        <w:textAlignment w:val="auto"/>
        <w:rPr>
          <w:rFonts w:hint="eastAsia" w:asciiTheme="minorEastAsia" w:hAnsiTheme="minorEastAsia" w:eastAsiaTheme="minorEastAsia" w:cstheme="minorEastAsia"/>
          <w:b/>
          <w:bCs/>
          <w:color w:val="auto"/>
          <w:kern w:val="0"/>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13</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不同供应商的委托代理人(或法定代表人、项目经理、项目总监、项目负责人等)在采购文件发布日上月至投标截止日当月在同一单位缴纳社会保险的；</w:t>
      </w:r>
    </w:p>
    <w:p w14:paraId="4170D6C5">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14</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投标文件</w:t>
      </w:r>
      <w:r>
        <w:rPr>
          <w:rFonts w:hint="eastAsia" w:asciiTheme="minorEastAsia" w:hAnsiTheme="minorEastAsia" w:eastAsiaTheme="minorEastAsia" w:cstheme="minorEastAsia"/>
          <w:b/>
          <w:bCs/>
          <w:color w:val="auto"/>
          <w:sz w:val="21"/>
          <w:szCs w:val="21"/>
          <w:highlight w:val="none"/>
          <w:lang w:val="zh-CN"/>
        </w:rPr>
        <w:t>未响应招标文件中实质性要求和条件的；</w:t>
      </w:r>
    </w:p>
    <w:p w14:paraId="1CA136EC">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15</w:t>
      </w:r>
      <w:r>
        <w:rPr>
          <w:rFonts w:hint="eastAsia" w:asciiTheme="minorEastAsia" w:hAnsiTheme="minorEastAsia" w:eastAsiaTheme="minorEastAsia" w:cstheme="minorEastAsia"/>
          <w:b/>
          <w:bCs/>
          <w:color w:val="auto"/>
          <w:sz w:val="21"/>
          <w:szCs w:val="21"/>
          <w:highlight w:val="none"/>
          <w:lang w:val="zh-CN"/>
        </w:rPr>
        <w:t>）投标文件含有采购人不能接受的附加条件；</w:t>
      </w:r>
    </w:p>
    <w:p w14:paraId="5683184E">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16</w:t>
      </w:r>
      <w:r>
        <w:rPr>
          <w:rFonts w:hint="eastAsia" w:asciiTheme="minorEastAsia" w:hAnsiTheme="minorEastAsia" w:eastAsiaTheme="minorEastAsia" w:cstheme="minorEastAsia"/>
          <w:b/>
          <w:bCs/>
          <w:color w:val="auto"/>
          <w:sz w:val="21"/>
          <w:szCs w:val="21"/>
          <w:highlight w:val="none"/>
          <w:lang w:val="zh-CN"/>
        </w:rPr>
        <w:t>）投标文件未按照招标文件要求加盖电子公章；</w:t>
      </w:r>
    </w:p>
    <w:p w14:paraId="54F249B9">
      <w:pPr>
        <w:keepNext w:val="0"/>
        <w:keepLines w:val="0"/>
        <w:pageBreakBefore w:val="0"/>
        <w:kinsoku/>
        <w:wordWrap/>
        <w:overflowPunct/>
        <w:topLinePunct w:val="0"/>
        <w:autoSpaceDE/>
        <w:autoSpaceDN/>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17</w:t>
      </w:r>
      <w:r>
        <w:rPr>
          <w:rFonts w:hint="eastAsia" w:asciiTheme="minorEastAsia" w:hAnsiTheme="minorEastAsia" w:eastAsiaTheme="minorEastAsia" w:cstheme="minorEastAsia"/>
          <w:b/>
          <w:bCs/>
          <w:color w:val="auto"/>
          <w:sz w:val="21"/>
          <w:szCs w:val="21"/>
          <w:highlight w:val="none"/>
          <w:lang w:val="zh-CN"/>
        </w:rPr>
        <w:t>）法律法规及本招标文件规定的</w:t>
      </w:r>
      <w:r>
        <w:rPr>
          <w:rFonts w:hint="eastAsia" w:asciiTheme="minorEastAsia" w:hAnsiTheme="minorEastAsia" w:eastAsiaTheme="minorEastAsia" w:cstheme="minorEastAsia"/>
          <w:b/>
          <w:bCs/>
          <w:color w:val="auto"/>
          <w:sz w:val="21"/>
          <w:szCs w:val="21"/>
          <w:highlight w:val="none"/>
        </w:rPr>
        <w:t>其他</w:t>
      </w:r>
      <w:r>
        <w:rPr>
          <w:rFonts w:hint="eastAsia" w:asciiTheme="minorEastAsia" w:hAnsiTheme="minorEastAsia" w:eastAsiaTheme="minorEastAsia" w:cstheme="minorEastAsia"/>
          <w:b/>
          <w:bCs/>
          <w:color w:val="auto"/>
          <w:sz w:val="21"/>
          <w:szCs w:val="21"/>
          <w:highlight w:val="none"/>
          <w:lang w:val="zh-CN"/>
        </w:rPr>
        <w:t>无效投标情形。</w:t>
      </w:r>
    </w:p>
    <w:p w14:paraId="7DFF3190">
      <w:pPr>
        <w:autoSpaceDE w:val="0"/>
        <w:autoSpaceDN w:val="0"/>
        <w:adjustRightInd w:val="0"/>
        <w:ind w:firstLine="422" w:firstLineChars="200"/>
        <w:rPr>
          <w:rFonts w:asciiTheme="minorEastAsia" w:hAnsiTheme="minorEastAsia" w:eastAsiaTheme="minorEastAsia" w:cstheme="minorEastAsia"/>
          <w:b/>
          <w:bCs w:val="0"/>
          <w:color w:val="auto"/>
          <w:highlight w:val="none"/>
          <w:lang w:val="zh-CN"/>
        </w:rPr>
      </w:pPr>
      <w:r>
        <w:rPr>
          <w:rFonts w:hint="eastAsia" w:asciiTheme="minorEastAsia" w:hAnsiTheme="minorEastAsia" w:eastAsiaTheme="minorEastAsia" w:cstheme="minorEastAsia"/>
          <w:b/>
          <w:bCs w:val="0"/>
          <w:color w:val="auto"/>
          <w:highlight w:val="none"/>
          <w:lang w:val="zh-CN"/>
        </w:rPr>
        <w:t>2</w:t>
      </w:r>
      <w:r>
        <w:rPr>
          <w:rFonts w:hint="eastAsia" w:asciiTheme="minorEastAsia" w:hAnsiTheme="minorEastAsia" w:eastAsiaTheme="minorEastAsia" w:cstheme="minorEastAsia"/>
          <w:b/>
          <w:bCs w:val="0"/>
          <w:color w:val="auto"/>
          <w:highlight w:val="none"/>
          <w:lang w:val="en-US" w:eastAsia="zh-CN"/>
        </w:rPr>
        <w:t>2</w:t>
      </w:r>
      <w:r>
        <w:rPr>
          <w:rFonts w:hint="eastAsia" w:asciiTheme="minorEastAsia" w:hAnsiTheme="minorEastAsia" w:eastAsiaTheme="minorEastAsia" w:cstheme="minorEastAsia"/>
          <w:b/>
          <w:bCs w:val="0"/>
          <w:color w:val="auto"/>
          <w:highlight w:val="none"/>
          <w:lang w:val="zh-CN"/>
        </w:rPr>
        <w:t>.</w:t>
      </w:r>
      <w:r>
        <w:rPr>
          <w:rFonts w:hint="eastAsia" w:asciiTheme="minorEastAsia" w:hAnsiTheme="minorEastAsia" w:eastAsiaTheme="minorEastAsia" w:cstheme="minorEastAsia"/>
          <w:b/>
          <w:bCs w:val="0"/>
          <w:color w:val="auto"/>
          <w:highlight w:val="none"/>
          <w:lang w:val="en-US" w:eastAsia="zh-CN"/>
        </w:rPr>
        <w:t>3</w:t>
      </w:r>
      <w:r>
        <w:rPr>
          <w:rFonts w:hint="eastAsia" w:asciiTheme="minorEastAsia" w:hAnsiTheme="minorEastAsia" w:eastAsiaTheme="minorEastAsia" w:cstheme="minorEastAsia"/>
          <w:b/>
          <w:bCs w:val="0"/>
          <w:color w:val="auto"/>
          <w:highlight w:val="none"/>
          <w:lang w:val="zh-CN"/>
        </w:rPr>
        <w:t xml:space="preserve"> 有下列情形之一的予以废标，同时将废标理由通知所有供应商：</w:t>
      </w:r>
    </w:p>
    <w:p w14:paraId="03B12D4E">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1</w:t>
      </w:r>
      <w:r>
        <w:rPr>
          <w:rFonts w:hint="eastAsia" w:ascii="宋体" w:hAnsi="宋体"/>
          <w:b/>
          <w:bCs/>
          <w:color w:val="auto"/>
          <w:sz w:val="21"/>
          <w:szCs w:val="21"/>
          <w:highlight w:val="none"/>
          <w:lang w:val="zh-CN"/>
        </w:rPr>
        <w:t>）因苏采云系统故障造成开标不成功；</w:t>
      </w:r>
    </w:p>
    <w:p w14:paraId="5A05116D">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lang w:val="zh-CN"/>
        </w:rPr>
        <w:t>）在苏采云系统规定时间内成功解密电子响应文件的供应商不足</w:t>
      </w:r>
      <w:r>
        <w:rPr>
          <w:rFonts w:hint="eastAsia" w:ascii="宋体" w:hAnsi="宋体"/>
          <w:b/>
          <w:bCs/>
          <w:color w:val="auto"/>
          <w:sz w:val="21"/>
          <w:szCs w:val="21"/>
          <w:highlight w:val="none"/>
          <w:lang w:val="en-US" w:eastAsia="zh-CN"/>
        </w:rPr>
        <w:t>三</w:t>
      </w:r>
      <w:r>
        <w:rPr>
          <w:rFonts w:hint="eastAsia" w:ascii="宋体" w:hAnsi="宋体"/>
          <w:b/>
          <w:bCs/>
          <w:color w:val="auto"/>
          <w:sz w:val="21"/>
          <w:szCs w:val="21"/>
          <w:highlight w:val="none"/>
          <w:lang w:val="zh-CN"/>
        </w:rPr>
        <w:t>家；</w:t>
      </w:r>
    </w:p>
    <w:p w14:paraId="43FBDFC3">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lang w:val="zh-CN"/>
        </w:rPr>
        <w:t>）符合资格条件的供应商或者对招标文件作实质响应的供应商不足三家；</w:t>
      </w:r>
    </w:p>
    <w:p w14:paraId="77A0AF8B">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lang w:val="zh-CN"/>
        </w:rPr>
        <w:t>）出现影响采购公正的违法、违规行为；</w:t>
      </w:r>
    </w:p>
    <w:p w14:paraId="6A7B7063">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lang w:val="zh-CN"/>
        </w:rPr>
        <w:t>因重大变故采购任务取消；</w:t>
      </w:r>
    </w:p>
    <w:p w14:paraId="22081A21">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w:t>
      </w: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lang w:val="zh-CN"/>
        </w:rPr>
        <w:t>）评委会认定招标文件存在歧义、重大缺陷导致评审工作无法进行；</w:t>
      </w:r>
    </w:p>
    <w:p w14:paraId="1C9380C6">
      <w:pPr>
        <w:adjustRightInd w:val="0"/>
        <w:snapToGrid w:val="0"/>
        <w:spacing w:line="252" w:lineRule="auto"/>
        <w:ind w:firstLine="369" w:firstLineChars="175"/>
        <w:rPr>
          <w:rFonts w:hint="eastAsia" w:ascii="宋体" w:hAnsi="宋体"/>
          <w:b/>
          <w:bCs/>
          <w:color w:val="auto"/>
          <w:sz w:val="21"/>
          <w:szCs w:val="21"/>
          <w:highlight w:val="none"/>
          <w:lang w:val="zh-CN"/>
        </w:rPr>
      </w:pPr>
      <w:r>
        <w:rPr>
          <w:rFonts w:hint="eastAsia" w:ascii="宋体" w:hAnsi="宋体" w:cs="宋体"/>
          <w:b/>
          <w:bCs w:val="0"/>
          <w:color w:val="auto"/>
          <w:szCs w:val="21"/>
          <w:highlight w:val="none"/>
          <w:lang w:val="zh-CN"/>
        </w:rPr>
        <w:t>（</w:t>
      </w:r>
      <w:r>
        <w:rPr>
          <w:rFonts w:hint="eastAsia" w:ascii="宋体" w:hAnsi="宋体" w:cs="宋体"/>
          <w:b/>
          <w:bCs w:val="0"/>
          <w:color w:val="auto"/>
          <w:szCs w:val="21"/>
          <w:highlight w:val="none"/>
          <w:lang w:val="en-US" w:eastAsia="zh-CN"/>
        </w:rPr>
        <w:t>7</w:t>
      </w:r>
      <w:r>
        <w:rPr>
          <w:rFonts w:hint="eastAsia" w:ascii="宋体" w:hAnsi="宋体" w:cs="宋体"/>
          <w:b/>
          <w:bCs w:val="0"/>
          <w:color w:val="auto"/>
          <w:szCs w:val="21"/>
          <w:highlight w:val="none"/>
          <w:lang w:val="zh-CN"/>
        </w:rPr>
        <w:t>）法律法规规定的其他应当终止情形。</w:t>
      </w:r>
    </w:p>
    <w:p w14:paraId="19A849D6">
      <w:pPr>
        <w:widowControl/>
        <w:adjustRightInd w:val="0"/>
        <w:ind w:firstLine="422"/>
        <w:rPr>
          <w:rFonts w:asciiTheme="minorEastAsia" w:hAnsiTheme="minorEastAsia" w:eastAsiaTheme="minorEastAsia" w:cstheme="minorEastAsia"/>
          <w:color w:val="auto"/>
          <w:kern w:val="0"/>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lang w:val="en-US" w:eastAsia="zh-CN"/>
        </w:rPr>
        <w:t>2</w:t>
      </w:r>
      <w:r>
        <w:rPr>
          <w:rFonts w:hint="eastAsia" w:asciiTheme="minorEastAsia" w:hAnsiTheme="minorEastAsia" w:eastAsiaTheme="minorEastAsia" w:cstheme="minorEastAsia"/>
          <w:b/>
          <w:color w:val="auto"/>
          <w:highlight w:val="none"/>
          <w:lang w:val="zh-CN"/>
        </w:rPr>
        <w:t>.</w:t>
      </w:r>
      <w:r>
        <w:rPr>
          <w:rFonts w:hint="eastAsia" w:asciiTheme="minorEastAsia" w:hAnsiTheme="minorEastAsia" w:eastAsiaTheme="minorEastAsia" w:cstheme="minorEastAsia"/>
          <w:b/>
          <w:color w:val="auto"/>
          <w:highlight w:val="none"/>
          <w:lang w:val="en-US" w:eastAsia="zh-CN"/>
        </w:rPr>
        <w:t>4</w:t>
      </w:r>
      <w:r>
        <w:rPr>
          <w:rFonts w:hint="eastAsia" w:asciiTheme="minorEastAsia" w:hAnsiTheme="minorEastAsia" w:eastAsiaTheme="minorEastAsia" w:cstheme="minorEastAsia"/>
          <w:b/>
          <w:color w:val="auto"/>
          <w:highlight w:val="none"/>
          <w:lang w:val="zh-CN"/>
        </w:rPr>
        <w:t xml:space="preserve"> </w:t>
      </w:r>
      <w:r>
        <w:rPr>
          <w:rFonts w:hint="eastAsia" w:asciiTheme="minorEastAsia" w:hAnsiTheme="minorEastAsia" w:eastAsiaTheme="minorEastAsia" w:cstheme="minorEastAsia"/>
          <w:color w:val="auto"/>
          <w:highlight w:val="none"/>
          <w:lang w:val="zh-CN"/>
        </w:rPr>
        <w:t>在评标期间，出现符合专业条件的供应商或者对招标文件作出实质性响应的供应商不足三家情形的，比照</w:t>
      </w: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lang w:val="zh-CN"/>
        </w:rPr>
        <w:t>.6款执行。</w:t>
      </w:r>
    </w:p>
    <w:p w14:paraId="07FB7C4A">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r>
        <w:rPr>
          <w:rFonts w:hint="eastAsia" w:asciiTheme="minorEastAsia" w:hAnsiTheme="minorEastAsia" w:eastAsiaTheme="minorEastAsia" w:cstheme="minorEastAsia"/>
          <w:b/>
          <w:bCs/>
          <w:color w:val="auto"/>
          <w:kern w:val="0"/>
          <w:szCs w:val="21"/>
          <w:highlight w:val="none"/>
          <w:lang w:val="en-US" w:eastAsia="zh-CN"/>
        </w:rPr>
        <w:t>23</w:t>
      </w:r>
      <w:r>
        <w:rPr>
          <w:rFonts w:hint="eastAsia" w:asciiTheme="minorEastAsia" w:hAnsiTheme="minorEastAsia" w:eastAsiaTheme="minorEastAsia" w:cstheme="minorEastAsia"/>
          <w:b/>
          <w:bCs/>
          <w:color w:val="auto"/>
          <w:kern w:val="0"/>
          <w:szCs w:val="21"/>
          <w:highlight w:val="none"/>
          <w:lang w:val="zh-CN"/>
        </w:rPr>
        <w:t>评标方法和标准</w:t>
      </w:r>
    </w:p>
    <w:p w14:paraId="1A1F68F7">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r>
        <w:rPr>
          <w:rFonts w:hint="eastAsia" w:asciiTheme="minorEastAsia" w:hAnsiTheme="minorEastAsia" w:eastAsiaTheme="minorEastAsia" w:cstheme="minorEastAsia"/>
          <w:b/>
          <w:bCs/>
          <w:color w:val="auto"/>
          <w:kern w:val="0"/>
          <w:szCs w:val="21"/>
          <w:highlight w:val="none"/>
          <w:lang w:val="zh-CN"/>
        </w:rPr>
        <w:t xml:space="preserve">23.1 </w:t>
      </w:r>
      <w:r>
        <w:rPr>
          <w:rFonts w:hint="eastAsia" w:asciiTheme="minorEastAsia" w:hAnsiTheme="minorEastAsia" w:eastAsiaTheme="minorEastAsia" w:cstheme="minorEastAsia"/>
          <w:color w:val="auto"/>
          <w:kern w:val="0"/>
          <w:szCs w:val="21"/>
          <w:highlight w:val="none"/>
          <w:lang w:val="zh-CN"/>
        </w:rPr>
        <w:t>采用综合评分法。即</w:t>
      </w:r>
      <w:r>
        <w:rPr>
          <w:rFonts w:hint="eastAsia" w:asciiTheme="minorEastAsia" w:hAnsiTheme="minorEastAsia" w:eastAsiaTheme="minorEastAsia" w:cstheme="minorEastAsia"/>
          <w:color w:val="auto"/>
          <w:kern w:val="0"/>
          <w:szCs w:val="21"/>
          <w:highlight w:val="none"/>
        </w:rPr>
        <w:t>在最大限度地满足招标文件实质性要求前提下，按照招标文件中规定的各项因素进行综合评审后，以评标总得分最高的</w:t>
      </w:r>
      <w:r>
        <w:rPr>
          <w:rFonts w:hint="eastAsia" w:asciiTheme="minorEastAsia" w:hAnsiTheme="minorEastAsia" w:eastAsiaTheme="minorEastAsia" w:cstheme="minorEastAsia"/>
          <w:color w:val="auto"/>
          <w:kern w:val="0"/>
          <w:szCs w:val="21"/>
          <w:highlight w:val="none"/>
          <w:lang w:eastAsia="zh-CN"/>
        </w:rPr>
        <w:t>供应商</w:t>
      </w:r>
      <w:r>
        <w:rPr>
          <w:rFonts w:hint="eastAsia" w:asciiTheme="minorEastAsia" w:hAnsiTheme="minorEastAsia" w:eastAsiaTheme="minorEastAsia" w:cstheme="minorEastAsia"/>
          <w:color w:val="auto"/>
          <w:kern w:val="0"/>
          <w:szCs w:val="21"/>
          <w:highlight w:val="none"/>
        </w:rPr>
        <w:t>作为中标候选供应商或者中标供应商的评标方法。</w:t>
      </w:r>
    </w:p>
    <w:p w14:paraId="74973D72">
      <w:pPr>
        <w:autoSpaceDE w:val="0"/>
        <w:autoSpaceDN w:val="0"/>
        <w:adjustRightInd w:val="0"/>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bCs/>
          <w:color w:val="auto"/>
          <w:kern w:val="0"/>
          <w:szCs w:val="21"/>
          <w:highlight w:val="none"/>
          <w:lang w:val="zh-CN"/>
        </w:rPr>
        <w:t xml:space="preserve">23.2 </w:t>
      </w:r>
      <w:r>
        <w:rPr>
          <w:rFonts w:hint="eastAsia" w:asciiTheme="minorEastAsia" w:hAnsiTheme="minorEastAsia" w:eastAsiaTheme="minorEastAsia" w:cstheme="minorEastAsia"/>
          <w:color w:val="auto"/>
          <w:kern w:val="0"/>
          <w:szCs w:val="21"/>
          <w:highlight w:val="none"/>
        </w:rPr>
        <w:t>综合评分的</w:t>
      </w:r>
      <w:r>
        <w:rPr>
          <w:rFonts w:hint="eastAsia" w:asciiTheme="minorEastAsia" w:hAnsiTheme="minorEastAsia" w:eastAsiaTheme="minorEastAsia" w:cstheme="minorEastAsia"/>
          <w:color w:val="auto"/>
          <w:kern w:val="0"/>
          <w:szCs w:val="21"/>
          <w:highlight w:val="none"/>
          <w:lang w:val="zh-CN"/>
        </w:rPr>
        <w:t>主要因素：</w:t>
      </w:r>
      <w:r>
        <w:rPr>
          <w:rFonts w:hint="eastAsia" w:asciiTheme="minorEastAsia" w:hAnsiTheme="minorEastAsia" w:eastAsiaTheme="minorEastAsia" w:cstheme="minorEastAsia"/>
          <w:b/>
          <w:color w:val="auto"/>
          <w:szCs w:val="21"/>
          <w:highlight w:val="none"/>
        </w:rPr>
        <w:t>详见第三章。</w:t>
      </w:r>
    </w:p>
    <w:p w14:paraId="36A2AF74">
      <w:pPr>
        <w:autoSpaceDE w:val="0"/>
        <w:autoSpaceDN w:val="0"/>
        <w:adjustRightInd w:val="0"/>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2</w:t>
      </w:r>
      <w:r>
        <w:rPr>
          <w:rFonts w:hint="eastAsia" w:asciiTheme="minorEastAsia" w:hAnsiTheme="minorEastAsia" w:eastAsiaTheme="minorEastAsia" w:cstheme="minorEastAsia"/>
          <w:b/>
          <w:bCs/>
          <w:color w:val="auto"/>
          <w:highlight w:val="none"/>
          <w:lang w:val="en-US" w:eastAsia="zh-CN"/>
        </w:rPr>
        <w:t>4</w:t>
      </w:r>
      <w:r>
        <w:rPr>
          <w:rFonts w:hint="eastAsia" w:asciiTheme="minorEastAsia" w:hAnsiTheme="minorEastAsia" w:eastAsiaTheme="minorEastAsia" w:cstheme="minorEastAsia"/>
          <w:b/>
          <w:bCs/>
          <w:color w:val="auto"/>
          <w:highlight w:val="none"/>
          <w:lang w:val="zh-CN"/>
        </w:rPr>
        <w:t>、确定中标供应商</w:t>
      </w:r>
    </w:p>
    <w:p w14:paraId="3A0CA06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zh-CN"/>
        </w:rPr>
        <w:t>.1 在评标期间，出现符合专业条件的供应商或者对招标文件作出实质性响应的供应商不足三家情形的，比照1</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lang w:val="zh-CN"/>
        </w:rPr>
        <w:t>.6款执行。</w:t>
      </w:r>
    </w:p>
    <w:p w14:paraId="20B9DBF1">
      <w:pPr>
        <w:autoSpaceDE w:val="0"/>
        <w:autoSpaceDN w:val="0"/>
        <w:adjustRightInd w:val="0"/>
        <w:ind w:firstLine="420"/>
        <w:rPr>
          <w:rFonts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zh-CN"/>
        </w:rPr>
        <w:t>.2 综合比较与评价后</w:t>
      </w:r>
      <w:r>
        <w:rPr>
          <w:rFonts w:hint="eastAsia" w:asciiTheme="minorEastAsia" w:hAnsiTheme="minorEastAsia" w:eastAsiaTheme="minorEastAsia" w:cstheme="minorEastAsia"/>
          <w:color w:val="auto"/>
          <w:szCs w:val="21"/>
          <w:highlight w:val="none"/>
          <w:lang w:val="zh-CN"/>
        </w:rPr>
        <w:t>按照得分高低顺序对供应商进行排列。</w:t>
      </w:r>
      <w:r>
        <w:rPr>
          <w:rFonts w:hint="eastAsia" w:asciiTheme="minorEastAsia" w:hAnsiTheme="minorEastAsia" w:eastAsiaTheme="minorEastAsia" w:cstheme="minorEastAsia"/>
          <w:color w:val="auto"/>
          <w:szCs w:val="21"/>
          <w:highlight w:val="none"/>
        </w:rPr>
        <w:t>得分相同的，按投标报价由低到高顺序排列。得分且投标报价相同的，按技术指标优劣顺序排列。</w:t>
      </w:r>
      <w:r>
        <w:rPr>
          <w:rFonts w:hint="eastAsia" w:asciiTheme="minorEastAsia" w:hAnsiTheme="minorEastAsia" w:eastAsiaTheme="minorEastAsia" w:cstheme="minorEastAsia"/>
          <w:b/>
          <w:bCs w:val="0"/>
          <w:color w:val="auto"/>
          <w:szCs w:val="21"/>
          <w:highlight w:val="none"/>
          <w:lang w:val="zh-CN"/>
        </w:rPr>
        <w:t>综合排名第一名的供应商确定为中标供应商。</w:t>
      </w:r>
      <w:r>
        <w:rPr>
          <w:rFonts w:hint="eastAsia" w:asciiTheme="minorEastAsia" w:hAnsiTheme="minorEastAsia" w:eastAsiaTheme="minorEastAsia" w:cstheme="minorEastAsia"/>
          <w:b/>
          <w:bCs w:val="0"/>
          <w:color w:val="auto"/>
          <w:szCs w:val="21"/>
          <w:highlight w:val="none"/>
        </w:rPr>
        <w:t>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p>
    <w:p w14:paraId="5F212077">
      <w:pPr>
        <w:keepNext w:val="0"/>
        <w:keepLines w:val="0"/>
        <w:pageBreakBefore w:val="0"/>
        <w:spacing w:line="240" w:lineRule="auto"/>
        <w:ind w:firstLine="420"/>
        <w:rPr>
          <w:rFonts w:ascii="宋体" w:hAnsi="宋体" w:eastAsia="宋体" w:cs="宋体"/>
          <w:b/>
          <w:color w:val="auto"/>
          <w:sz w:val="21"/>
          <w:highlight w:val="none"/>
        </w:rPr>
      </w:pPr>
      <w:r>
        <w:rPr>
          <w:rFonts w:hint="eastAsia" w:ascii="宋体" w:hAnsi="宋体" w:eastAsia="宋体" w:cs="宋体"/>
          <w:b/>
          <w:color w:val="auto"/>
          <w:sz w:val="21"/>
          <w:highlight w:val="none"/>
          <w:lang w:val="en-US" w:eastAsia="zh-CN"/>
        </w:rPr>
        <w:t>注：</w:t>
      </w:r>
      <w:r>
        <w:rPr>
          <w:rFonts w:hint="eastAsia" w:ascii="宋体" w:hAnsi="宋体" w:eastAsia="宋体" w:cs="宋体"/>
          <w:b/>
          <w:color w:val="auto"/>
          <w:sz w:val="21"/>
          <w:highlight w:val="none"/>
        </w:rPr>
        <w:t>本项目共分</w:t>
      </w:r>
      <w:r>
        <w:rPr>
          <w:rFonts w:hint="eastAsia" w:ascii="宋体" w:hAnsi="宋体" w:eastAsia="宋体" w:cs="宋体"/>
          <w:b/>
          <w:color w:val="auto"/>
          <w:sz w:val="21"/>
          <w:highlight w:val="none"/>
          <w:lang w:val="en-US" w:eastAsia="zh-CN"/>
        </w:rPr>
        <w:t>4</w:t>
      </w:r>
      <w:r>
        <w:rPr>
          <w:rFonts w:hint="eastAsia" w:ascii="宋体" w:hAnsi="宋体" w:eastAsia="宋体" w:cs="宋体"/>
          <w:b/>
          <w:color w:val="auto"/>
          <w:sz w:val="21"/>
          <w:highlight w:val="none"/>
        </w:rPr>
        <w:t>个包，各供应商可以参与一个或多个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包的竞争，但最多只能</w:t>
      </w:r>
      <w:r>
        <w:rPr>
          <w:rFonts w:hint="eastAsia" w:ascii="宋体" w:hAnsi="宋体" w:eastAsia="宋体" w:cs="宋体"/>
          <w:b/>
          <w:color w:val="auto"/>
          <w:sz w:val="21"/>
          <w:highlight w:val="none"/>
          <w:lang w:val="en-US" w:eastAsia="zh-CN"/>
        </w:rPr>
        <w:t>成交</w:t>
      </w:r>
      <w:r>
        <w:rPr>
          <w:rFonts w:hint="eastAsia" w:ascii="宋体" w:hAnsi="宋体" w:eastAsia="宋体" w:cs="宋体"/>
          <w:b/>
          <w:color w:val="auto"/>
          <w:sz w:val="21"/>
          <w:highlight w:val="none"/>
        </w:rPr>
        <w:t>一个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包。按照</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包1、</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包2……</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w:t>
      </w:r>
      <w:r>
        <w:rPr>
          <w:rFonts w:hint="eastAsia" w:ascii="宋体" w:hAnsi="宋体" w:eastAsia="宋体" w:cs="宋体"/>
          <w:b/>
          <w:color w:val="auto"/>
          <w:sz w:val="21"/>
          <w:highlight w:val="none"/>
          <w:lang w:val="en-US" w:eastAsia="zh-CN"/>
        </w:rPr>
        <w:t>4</w:t>
      </w:r>
      <w:r>
        <w:rPr>
          <w:rFonts w:hint="eastAsia" w:ascii="宋体" w:hAnsi="宋体" w:eastAsia="宋体" w:cs="宋体"/>
          <w:b/>
          <w:color w:val="auto"/>
          <w:sz w:val="21"/>
          <w:highlight w:val="none"/>
        </w:rPr>
        <w:t>顺序评标、</w:t>
      </w:r>
      <w:r>
        <w:rPr>
          <w:rFonts w:hint="eastAsia" w:ascii="宋体" w:hAnsi="宋体" w:eastAsia="宋体" w:cs="宋体"/>
          <w:b/>
          <w:color w:val="auto"/>
          <w:sz w:val="21"/>
          <w:highlight w:val="none"/>
          <w:lang w:val="en-US" w:eastAsia="zh-CN"/>
        </w:rPr>
        <w:t>成交</w:t>
      </w:r>
      <w:r>
        <w:rPr>
          <w:rFonts w:hint="eastAsia" w:ascii="宋体" w:hAnsi="宋体" w:eastAsia="宋体" w:cs="宋体"/>
          <w:b/>
          <w:color w:val="auto"/>
          <w:sz w:val="21"/>
          <w:highlight w:val="none"/>
        </w:rPr>
        <w:t>。每个</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包取得分最高者为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，同一供应商若已在前一</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包中被推荐为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，在后续其他</w:t>
      </w:r>
      <w:r>
        <w:rPr>
          <w:rFonts w:hint="eastAsia" w:ascii="宋体" w:hAnsi="宋体" w:eastAsia="宋体" w:cs="宋体"/>
          <w:b/>
          <w:color w:val="auto"/>
          <w:sz w:val="21"/>
          <w:highlight w:val="none"/>
          <w:lang w:val="en-US" w:eastAsia="zh-CN"/>
        </w:rPr>
        <w:t>采购</w:t>
      </w:r>
      <w:r>
        <w:rPr>
          <w:rFonts w:hint="eastAsia" w:ascii="宋体" w:hAnsi="宋体" w:eastAsia="宋体" w:cs="宋体"/>
          <w:b/>
          <w:color w:val="auto"/>
          <w:sz w:val="21"/>
          <w:highlight w:val="none"/>
        </w:rPr>
        <w:t>包中不再被推荐为</w:t>
      </w:r>
      <w:r>
        <w:rPr>
          <w:rFonts w:hint="eastAsia" w:ascii="宋体" w:hAnsi="宋体" w:cs="宋体"/>
          <w:b/>
          <w:color w:val="auto"/>
          <w:sz w:val="21"/>
          <w:highlight w:val="none"/>
          <w:lang w:val="en-US" w:eastAsia="zh-CN"/>
        </w:rPr>
        <w:t>中标供应商</w:t>
      </w:r>
      <w:r>
        <w:rPr>
          <w:rFonts w:hint="eastAsia" w:ascii="宋体" w:hAnsi="宋体" w:eastAsia="宋体" w:cs="宋体"/>
          <w:b/>
          <w:color w:val="auto"/>
          <w:sz w:val="21"/>
          <w:highlight w:val="none"/>
        </w:rPr>
        <w:t>，由排名其后的供应商递补，以此类推</w:t>
      </w:r>
      <w:r>
        <w:rPr>
          <w:rFonts w:ascii="宋体" w:hAnsi="宋体" w:eastAsia="宋体" w:cs="宋体"/>
          <w:b/>
          <w:color w:val="auto"/>
          <w:sz w:val="21"/>
          <w:highlight w:val="none"/>
        </w:rPr>
        <w:t>。</w:t>
      </w:r>
    </w:p>
    <w:p w14:paraId="2DBF0753">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 xml:space="preserve"> 按以下第（</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zh-CN"/>
        </w:rPr>
        <w:t>）种方式确定中标供应商：</w:t>
      </w:r>
    </w:p>
    <w:p w14:paraId="1488D17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（1）评委会直接确定排名第一的中标候选人为中标供应商；</w:t>
      </w:r>
    </w:p>
    <w:p w14:paraId="5FD8CC06">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（2）采购人在评委会推荐的中标候选人中按顺序确定中标供应商。</w:t>
      </w:r>
    </w:p>
    <w:p w14:paraId="1B17DD7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按第二种方式确定中标供应商的，代理机构自评审结束之日起两个工作日内将评审报告送</w:t>
      </w:r>
      <w:r>
        <w:rPr>
          <w:rFonts w:hint="eastAsia" w:asciiTheme="minorEastAsia" w:hAnsiTheme="minorEastAsia" w:eastAsiaTheme="minorEastAsia" w:cstheme="minorEastAsia"/>
          <w:color w:val="auto"/>
          <w:sz w:val="21"/>
          <w:szCs w:val="21"/>
          <w:highlight w:val="none"/>
        </w:rPr>
        <w:t>达</w:t>
      </w:r>
      <w:r>
        <w:rPr>
          <w:rFonts w:hint="eastAsia" w:asciiTheme="minorEastAsia" w:hAnsiTheme="minorEastAsia" w:eastAsiaTheme="minorEastAsia" w:cstheme="minorEastAsia"/>
          <w:color w:val="auto"/>
          <w:sz w:val="21"/>
          <w:szCs w:val="21"/>
          <w:highlight w:val="none"/>
          <w:lang w:val="zh-CN"/>
        </w:rPr>
        <w:t>采购人，采购人自收到评审报告之日起五个工作日内，在评审报告推荐的中标候选人中按顺序确定中标供应商。</w:t>
      </w:r>
    </w:p>
    <w:p w14:paraId="7D971B0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 xml:space="preserve"> 代理机构将在“江苏政府采购网”发布中标公告，公告期限为1个工作日。</w:t>
      </w:r>
    </w:p>
    <w:p w14:paraId="28F4D9B9">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 xml:space="preserve">5 </w:t>
      </w:r>
      <w:r>
        <w:rPr>
          <w:rFonts w:hint="eastAsia" w:asciiTheme="minorEastAsia" w:hAnsiTheme="minorEastAsia" w:eastAsiaTheme="minorEastAsia" w:cstheme="minorEastAsia"/>
          <w:b/>
          <w:bCs/>
          <w:color w:val="auto"/>
          <w:sz w:val="21"/>
          <w:szCs w:val="21"/>
          <w:highlight w:val="none"/>
          <w:lang w:val="zh-CN"/>
        </w:rPr>
        <w:t>若有充分证据证明中标供应商</w:t>
      </w:r>
      <w:r>
        <w:rPr>
          <w:rFonts w:hint="eastAsia" w:asciiTheme="minorEastAsia" w:hAnsiTheme="minorEastAsia" w:eastAsiaTheme="minorEastAsia" w:cstheme="minorEastAsia"/>
          <w:b/>
          <w:bCs/>
          <w:color w:val="auto"/>
          <w:sz w:val="21"/>
          <w:szCs w:val="21"/>
          <w:highlight w:val="none"/>
        </w:rPr>
        <w:t>有</w:t>
      </w:r>
      <w:r>
        <w:rPr>
          <w:rFonts w:hint="eastAsia" w:asciiTheme="minorEastAsia" w:hAnsiTheme="minorEastAsia" w:eastAsiaTheme="minorEastAsia" w:cstheme="minorEastAsia"/>
          <w:b/>
          <w:bCs/>
          <w:color w:val="auto"/>
          <w:sz w:val="21"/>
          <w:szCs w:val="21"/>
          <w:highlight w:val="none"/>
          <w:lang w:val="zh-CN"/>
        </w:rPr>
        <w:t>下列情况之一的，一经查实将被取消中标资格：</w:t>
      </w:r>
    </w:p>
    <w:p w14:paraId="5451638D">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zh-CN"/>
        </w:rPr>
        <w:t>）提供虚假材料谋取中标。</w:t>
      </w:r>
    </w:p>
    <w:p w14:paraId="5164EDCA">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zh-CN"/>
        </w:rPr>
        <w:t>）向采购人、代理机构行贿或者提供其他不正当利益。</w:t>
      </w:r>
    </w:p>
    <w:p w14:paraId="280348DC">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）属于本文件规定的无效</w:t>
      </w:r>
      <w:r>
        <w:rPr>
          <w:rFonts w:hint="eastAsia" w:asciiTheme="minorEastAsia" w:hAnsiTheme="minorEastAsia" w:eastAsiaTheme="minorEastAsia" w:cstheme="minorEastAsia"/>
          <w:b/>
          <w:bCs/>
          <w:color w:val="auto"/>
          <w:sz w:val="21"/>
          <w:szCs w:val="21"/>
          <w:highlight w:val="none"/>
        </w:rPr>
        <w:t>投标情形</w:t>
      </w:r>
      <w:r>
        <w:rPr>
          <w:rFonts w:hint="eastAsia" w:asciiTheme="minorEastAsia" w:hAnsiTheme="minorEastAsia" w:eastAsiaTheme="minorEastAsia" w:cstheme="minorEastAsia"/>
          <w:b/>
          <w:bCs/>
          <w:color w:val="auto"/>
          <w:sz w:val="21"/>
          <w:szCs w:val="21"/>
          <w:highlight w:val="none"/>
          <w:lang w:val="zh-CN"/>
        </w:rPr>
        <w:t>，但在评标过程中未被评委会发现。</w:t>
      </w:r>
    </w:p>
    <w:p w14:paraId="210ED7AC">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）与采购人或者其他供应商恶意串通。</w:t>
      </w:r>
    </w:p>
    <w:p w14:paraId="51749A5B">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val="zh-CN"/>
        </w:rPr>
        <w:t>）采取不正当手段诋毁、排挤其他供应商。</w:t>
      </w:r>
    </w:p>
    <w:p w14:paraId="015269BB">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bookmarkStart w:id="79" w:name="_Toc200451960"/>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 xml:space="preserve">6 </w:t>
      </w:r>
      <w:r>
        <w:rPr>
          <w:rFonts w:hint="eastAsia" w:asciiTheme="minorEastAsia" w:hAnsiTheme="minorEastAsia" w:eastAsiaTheme="minorEastAsia" w:cstheme="minorEastAsia"/>
          <w:b/>
          <w:bCs/>
          <w:color w:val="auto"/>
          <w:sz w:val="21"/>
          <w:szCs w:val="21"/>
          <w:highlight w:val="none"/>
          <w:lang w:val="zh-CN"/>
        </w:rPr>
        <w:t>有下列情形之一的视为供应商串通投标，投标无效：</w:t>
      </w:r>
    </w:p>
    <w:p w14:paraId="51AEE826">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zh-CN"/>
        </w:rPr>
        <w:t>）不同供应商的投标文件由同一单位或者个人编制。</w:t>
      </w:r>
    </w:p>
    <w:p w14:paraId="3E0CE301">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zh-CN"/>
        </w:rPr>
        <w:t>）不同供应商委托同一单位或者个人办理投标事宜。</w:t>
      </w:r>
    </w:p>
    <w:p w14:paraId="0F6D8392">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）不同供应商的投标文件载明的项目管理成员或者联系人员为同一人。</w:t>
      </w:r>
    </w:p>
    <w:p w14:paraId="775D2238">
      <w:pPr>
        <w:keepNext w:val="0"/>
        <w:keepLines w:val="0"/>
        <w:pageBreakBefore w:val="0"/>
        <w:widowControl w:val="0"/>
        <w:kinsoku/>
        <w:wordWrap/>
        <w:overflowPunct/>
        <w:topLinePunct w:val="0"/>
        <w:bidi w:val="0"/>
        <w:adjustRightInd w:val="0"/>
        <w:snapToGrid w:val="0"/>
        <w:spacing w:line="240" w:lineRule="auto"/>
        <w:ind w:firstLine="422" w:firstLineChars="200"/>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）不同供应商的投标文件异常一致或者投标报价呈规律性差异。</w:t>
      </w:r>
    </w:p>
    <w:bookmarkEnd w:id="79"/>
    <w:p w14:paraId="4AF6C8A9">
      <w:pPr>
        <w:keepNext w:val="0"/>
        <w:keepLines w:val="0"/>
        <w:pageBreakBefore w:val="0"/>
        <w:widowControl w:val="0"/>
        <w:kinsoku/>
        <w:wordWrap/>
        <w:overflowPunct/>
        <w:topLinePunct w:val="0"/>
        <w:bidi w:val="0"/>
        <w:adjustRightInd w:val="0"/>
        <w:snapToGrid w:val="0"/>
        <w:spacing w:before="0" w:after="0" w:line="240" w:lineRule="auto"/>
        <w:ind w:firstLine="422" w:firstLineChars="200"/>
        <w:jc w:val="both"/>
        <w:textAlignment w:val="auto"/>
        <w:outlineLvl w:val="9"/>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2</w:t>
      </w:r>
      <w:r>
        <w:rPr>
          <w:rFonts w:hint="eastAsia" w:asciiTheme="minorEastAsia" w:hAnsiTheme="minorEastAsia" w:eastAsiaTheme="minorEastAsia" w:cstheme="minorEastAsia"/>
          <w:b/>
          <w:bCs/>
          <w:color w:val="auto"/>
          <w:kern w:val="2"/>
          <w:sz w:val="21"/>
          <w:szCs w:val="21"/>
          <w:highlight w:val="none"/>
          <w:lang w:val="en-US" w:eastAsia="zh-CN"/>
        </w:rPr>
        <w:t>5</w:t>
      </w:r>
      <w:r>
        <w:rPr>
          <w:rFonts w:hint="eastAsia" w:asciiTheme="minorEastAsia" w:hAnsiTheme="minorEastAsia" w:eastAsiaTheme="minorEastAsia" w:cstheme="minorEastAsia"/>
          <w:b/>
          <w:bCs/>
          <w:color w:val="auto"/>
          <w:kern w:val="2"/>
          <w:sz w:val="21"/>
          <w:szCs w:val="21"/>
          <w:highlight w:val="none"/>
        </w:rPr>
        <w:t>.中标通知书</w:t>
      </w:r>
    </w:p>
    <w:p w14:paraId="787CE13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.l 中标结果确定后，代理机构将向中标供应商发出《中标通知书》。中标供应商</w:t>
      </w:r>
      <w:r>
        <w:rPr>
          <w:rFonts w:hint="eastAsia" w:asciiTheme="minorEastAsia" w:hAnsiTheme="minorEastAsia" w:eastAsiaTheme="minorEastAsia" w:cstheme="minorEastAsia"/>
          <w:color w:val="auto"/>
          <w:sz w:val="21"/>
          <w:szCs w:val="21"/>
          <w:highlight w:val="none"/>
        </w:rPr>
        <w:t>可</w:t>
      </w:r>
      <w:r>
        <w:rPr>
          <w:rFonts w:hint="eastAsia" w:asciiTheme="minorEastAsia" w:hAnsiTheme="minorEastAsia" w:eastAsiaTheme="minorEastAsia" w:cstheme="minorEastAsia"/>
          <w:color w:val="auto"/>
          <w:sz w:val="21"/>
          <w:szCs w:val="21"/>
          <w:highlight w:val="none"/>
          <w:lang w:val="zh-CN"/>
        </w:rPr>
        <w:t>在中标结果公告届满之日起三十日内,登录苏采云系统下载。</w:t>
      </w:r>
    </w:p>
    <w:p w14:paraId="69D91BC6">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25.2</w:t>
      </w:r>
      <w:r>
        <w:rPr>
          <w:rFonts w:hint="eastAsia" w:asciiTheme="minorEastAsia" w:hAnsiTheme="minorEastAsia" w:eastAsiaTheme="minorEastAsia" w:cstheme="minorEastAsia"/>
          <w:color w:val="auto"/>
          <w:sz w:val="21"/>
          <w:szCs w:val="21"/>
          <w:highlight w:val="none"/>
          <w:lang w:val="zh-CN"/>
        </w:rPr>
        <w:t>因系统存储空间有限，中标结果公告届满之日起三十日后，苏采云系统不再保证提供下载《中标通知书》服务，因未及时下载而造成的不利后果由中标供应商自行承担。</w:t>
      </w:r>
    </w:p>
    <w:p w14:paraId="5BCCC365">
      <w:pPr>
        <w:keepNext w:val="0"/>
        <w:keepLines w:val="0"/>
        <w:pageBreakBefore w:val="0"/>
        <w:widowControl w:val="0"/>
        <w:kinsoku/>
        <w:wordWrap/>
        <w:overflowPunct/>
        <w:topLinePunct w:val="0"/>
        <w:autoSpaceDE w:val="0"/>
        <w:autoSpaceDN w:val="0"/>
        <w:bidi w:val="0"/>
        <w:adjustRightIn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zh-CN"/>
        </w:rPr>
        <w:t>中标通知书</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zh-CN"/>
        </w:rPr>
        <w:t>是合同的一个组成部分，对采购人和中标供应商均具有法律效力。《中标通知书》发出后，采购人改变中标结果或者中标供应商放弃中标项目的，应当依法承担法律责任。</w:t>
      </w:r>
    </w:p>
    <w:p w14:paraId="0FDC6AC1">
      <w:pPr>
        <w:autoSpaceDE w:val="0"/>
        <w:autoSpaceDN w:val="0"/>
        <w:adjustRightInd w:val="0"/>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lang w:val="en-US" w:eastAsia="zh-CN"/>
        </w:rPr>
        <w:t xml:space="preserve">4 </w:t>
      </w:r>
      <w:r>
        <w:rPr>
          <w:rFonts w:hint="eastAsia" w:asciiTheme="minorEastAsia" w:hAnsiTheme="minorEastAsia" w:eastAsiaTheme="minorEastAsia" w:cstheme="minorEastAsia"/>
          <w:color w:val="auto"/>
          <w:szCs w:val="21"/>
          <w:highlight w:val="none"/>
        </w:rPr>
        <w:t>中标通知书发出后，采购人或中标供应商拒绝签订合同的，拒绝签订合同的一方应至少向另一方支付招标、投标所发生的有关费用和双方商定的其他补偿。</w:t>
      </w:r>
    </w:p>
    <w:p w14:paraId="7EEAC577">
      <w:pPr>
        <w:autoSpaceDE w:val="0"/>
        <w:autoSpaceDN w:val="0"/>
        <w:adjustRightInd w:val="0"/>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w:t>
      </w:r>
      <w:r>
        <w:rPr>
          <w:rFonts w:hint="eastAsia" w:asciiTheme="minorEastAsia" w:hAnsiTheme="minorEastAsia" w:eastAsiaTheme="minorEastAsia" w:cstheme="minorEastAsia"/>
          <w:b/>
          <w:color w:val="auto"/>
          <w:highlight w:val="none"/>
          <w:lang w:val="en-US" w:eastAsia="zh-CN"/>
        </w:rPr>
        <w:t>5</w:t>
      </w:r>
      <w:r>
        <w:rPr>
          <w:rFonts w:hint="eastAsia" w:asciiTheme="minorEastAsia" w:hAnsiTheme="minorEastAsia" w:eastAsiaTheme="minorEastAsia" w:cstheme="minorEastAsia"/>
          <w:b/>
          <w:color w:val="auto"/>
          <w:highlight w:val="none"/>
        </w:rPr>
        <w:t>.</w:t>
      </w:r>
      <w:r>
        <w:rPr>
          <w:rFonts w:hint="eastAsia" w:asciiTheme="minorEastAsia" w:hAnsiTheme="minorEastAsia" w:eastAsiaTheme="minorEastAsia" w:cstheme="minorEastAsia"/>
          <w:b/>
          <w:color w:val="auto"/>
          <w:highlight w:val="none"/>
          <w:lang w:val="en-US" w:eastAsia="zh-CN"/>
        </w:rPr>
        <w:t>5</w:t>
      </w:r>
      <w:r>
        <w:rPr>
          <w:rFonts w:hint="eastAsia" w:asciiTheme="minorEastAsia" w:hAnsiTheme="minorEastAsia" w:eastAsiaTheme="minorEastAsia" w:cstheme="minorEastAsia"/>
          <w:b/>
          <w:color w:val="auto"/>
          <w:highlight w:val="none"/>
        </w:rPr>
        <w:t xml:space="preserve"> 中标通知书发出后，中标供应商无正当理由不与采购人签订合同的，情节严重的，由财政部门将其列入不良行为记录名单，在一至三年内禁止参加南京市政府采购活动，并予以通报。</w:t>
      </w:r>
    </w:p>
    <w:p w14:paraId="2C8D926D">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五、签订合同</w:t>
      </w:r>
    </w:p>
    <w:p w14:paraId="6F6DB71D">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lang w:val="en-US" w:eastAsia="zh-CN"/>
        </w:rPr>
        <w:t>6</w:t>
      </w:r>
      <w:r>
        <w:rPr>
          <w:rFonts w:hint="eastAsia" w:asciiTheme="minorEastAsia" w:hAnsiTheme="minorEastAsia" w:eastAsiaTheme="minorEastAsia" w:cstheme="minorEastAsia"/>
          <w:b/>
          <w:color w:val="auto"/>
          <w:highlight w:val="none"/>
          <w:lang w:val="zh-CN"/>
        </w:rPr>
        <w:t>、签订合同</w:t>
      </w:r>
    </w:p>
    <w:p w14:paraId="5B3AB84B">
      <w:pPr>
        <w:keepNext w:val="0"/>
        <w:keepLines w:val="0"/>
        <w:pageBreakBefore w:val="0"/>
        <w:widowControl w:val="0"/>
        <w:kinsoku/>
        <w:wordWrap/>
        <w:overflowPunct/>
        <w:topLinePunct w:val="0"/>
        <w:autoSpaceDE w:val="0"/>
        <w:autoSpaceDN w:val="0"/>
        <w:bidi w:val="0"/>
        <w:adjustRightInd w:val="0"/>
        <w:ind w:firstLine="420" w:firstLineChars="200"/>
        <w:textAlignment w:val="auto"/>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lang w:val="zh-CN"/>
        </w:rPr>
        <w:t>.1 中标供应商应当自中标通知书发出之日起三十日内，按照招标文件和中标供应商投标文件的约定与采购人签订采购合同，所签订的合同不得对招标文件和中标供应商投标文件作实质性修改。</w:t>
      </w:r>
    </w:p>
    <w:p w14:paraId="6FAA628E">
      <w:pPr>
        <w:keepNext w:val="0"/>
        <w:keepLines w:val="0"/>
        <w:pageBreakBefore w:val="0"/>
        <w:widowControl w:val="0"/>
        <w:kinsoku/>
        <w:wordWrap/>
        <w:overflowPunct/>
        <w:topLinePunct w:val="0"/>
        <w:bidi w:val="0"/>
        <w:adjustRightInd w:val="0"/>
        <w:snapToGrid w:val="0"/>
        <w:spacing w:line="252"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.2 招标文件、中标供应商的投标文件及招标过程中有关澄清、承诺文件均作为合同附件。</w:t>
      </w:r>
    </w:p>
    <w:p w14:paraId="7693C8D6">
      <w:pPr>
        <w:keepNext w:val="0"/>
        <w:keepLines w:val="0"/>
        <w:pageBreakBefore w:val="0"/>
        <w:widowControl w:val="0"/>
        <w:kinsoku/>
        <w:wordWrap/>
        <w:overflowPunct/>
        <w:topLinePunct w:val="0"/>
        <w:bidi w:val="0"/>
        <w:adjustRightInd w:val="0"/>
        <w:snapToGrid w:val="0"/>
        <w:spacing w:line="252"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.3 签订合同后，中标供应商不得将合同标的进行转包。未经采购人同意，中标供应商也不得采用分包的形式履行合同，否则采购人有权终止合同。转包或分包造成采购人损失的，中标供应商应承担相应赔偿责任。</w:t>
      </w:r>
    </w:p>
    <w:p w14:paraId="5323D3FC">
      <w:pPr>
        <w:keepNext w:val="0"/>
        <w:keepLines w:val="0"/>
        <w:pageBreakBefore w:val="0"/>
        <w:widowControl w:val="0"/>
        <w:kinsoku/>
        <w:wordWrap/>
        <w:overflowPunct/>
        <w:topLinePunct w:val="0"/>
        <w:bidi w:val="0"/>
        <w:ind w:firstLine="420" w:firstLineChars="200"/>
        <w:textAlignment w:val="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采购人不得向中标供应商提出任何不合理的要求作为签订合同的条件，不得与中标供应商私下订立背离合同实质性内容的协议。</w:t>
      </w:r>
    </w:p>
    <w:p w14:paraId="05238852">
      <w:pPr>
        <w:keepNext w:val="0"/>
        <w:keepLines w:val="0"/>
        <w:pageBreakBefore w:val="0"/>
        <w:widowControl w:val="0"/>
        <w:kinsoku/>
        <w:wordWrap/>
        <w:overflowPunct/>
        <w:topLinePunct w:val="0"/>
        <w:bidi w:val="0"/>
        <w:ind w:firstLine="420" w:firstLineChars="200"/>
        <w:textAlignment w:val="auto"/>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lang w:val="zh-CN"/>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288561A5">
      <w:pPr>
        <w:keepNext w:val="0"/>
        <w:keepLines w:val="0"/>
        <w:pageBreakBefore w:val="0"/>
        <w:widowControl w:val="0"/>
        <w:kinsoku/>
        <w:wordWrap/>
        <w:overflowPunct/>
        <w:topLinePunct w:val="0"/>
        <w:bidi w:val="0"/>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 w:val="21"/>
          <w:szCs w:val="21"/>
          <w:highlight w:val="none"/>
        </w:rPr>
        <w:t>重新组织的</w:t>
      </w:r>
      <w:r>
        <w:rPr>
          <w:rFonts w:hint="eastAsia" w:asciiTheme="minorEastAsia" w:hAnsiTheme="minorEastAsia" w:eastAsiaTheme="minorEastAsia" w:cstheme="minorEastAsia"/>
          <w:color w:val="auto"/>
          <w:sz w:val="21"/>
          <w:szCs w:val="21"/>
          <w:highlight w:val="none"/>
          <w:lang w:val="zh-CN"/>
        </w:rPr>
        <w:t>采购活动</w:t>
      </w:r>
      <w:r>
        <w:rPr>
          <w:rFonts w:hint="eastAsia" w:asciiTheme="minorEastAsia" w:hAnsiTheme="minorEastAsia" w:eastAsiaTheme="minorEastAsia" w:cstheme="minorEastAsia"/>
          <w:color w:val="auto"/>
          <w:sz w:val="21"/>
          <w:szCs w:val="21"/>
          <w:highlight w:val="none"/>
        </w:rPr>
        <w:t>，且将可能被拒绝参加该采购人</w:t>
      </w:r>
      <w:r>
        <w:rPr>
          <w:rFonts w:hint="eastAsia" w:asciiTheme="minorEastAsia" w:hAnsiTheme="minorEastAsia" w:eastAsiaTheme="minorEastAsia" w:cstheme="minorEastAsia"/>
          <w:color w:val="auto"/>
          <w:sz w:val="21"/>
          <w:szCs w:val="21"/>
          <w:highlight w:val="none"/>
          <w:lang w:val="zh-CN"/>
        </w:rPr>
        <w:t>一年内</w:t>
      </w:r>
      <w:r>
        <w:rPr>
          <w:rFonts w:hint="eastAsia" w:asciiTheme="minorEastAsia" w:hAnsiTheme="minorEastAsia" w:eastAsiaTheme="minorEastAsia" w:cstheme="minorEastAsia"/>
          <w:color w:val="auto"/>
          <w:sz w:val="21"/>
          <w:szCs w:val="21"/>
          <w:highlight w:val="none"/>
        </w:rPr>
        <w:t>的其他</w:t>
      </w:r>
      <w:r>
        <w:rPr>
          <w:rFonts w:hint="eastAsia" w:asciiTheme="minorEastAsia" w:hAnsiTheme="minorEastAsia" w:eastAsiaTheme="minorEastAsia" w:cstheme="minorEastAsia"/>
          <w:color w:val="auto"/>
          <w:sz w:val="21"/>
          <w:szCs w:val="21"/>
          <w:highlight w:val="none"/>
          <w:lang w:val="zh-CN"/>
        </w:rPr>
        <w:t>政府采购活动。</w:t>
      </w:r>
    </w:p>
    <w:p w14:paraId="7B7F4791">
      <w:pPr>
        <w:keepNext w:val="0"/>
        <w:keepLines w:val="0"/>
        <w:pageBreakBefore w:val="0"/>
        <w:widowControl w:val="0"/>
        <w:kinsoku/>
        <w:wordWrap/>
        <w:overflowPunct/>
        <w:topLinePunct w:val="0"/>
        <w:autoSpaceDE w:val="0"/>
        <w:autoSpaceDN w:val="0"/>
        <w:bidi w:val="0"/>
        <w:adjustRightInd w:val="0"/>
        <w:ind w:firstLine="420" w:firstLineChars="200"/>
        <w:textAlignment w:val="auto"/>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p>
    <w:p w14:paraId="39730BB3">
      <w:pPr>
        <w:autoSpaceDE w:val="0"/>
        <w:autoSpaceDN w:val="0"/>
        <w:adjustRightInd w:val="0"/>
        <w:ind w:firstLine="422"/>
        <w:outlineLvl w:val="9"/>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六、询问、质疑、投诉和诚实信用</w:t>
      </w:r>
    </w:p>
    <w:p w14:paraId="2817532B">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lang w:val="en-US" w:eastAsia="zh-CN"/>
        </w:rPr>
        <w:t>7</w:t>
      </w:r>
      <w:r>
        <w:rPr>
          <w:rFonts w:hint="eastAsia" w:asciiTheme="minorEastAsia" w:hAnsiTheme="minorEastAsia" w:eastAsiaTheme="minorEastAsia" w:cstheme="minorEastAsia"/>
          <w:b/>
          <w:color w:val="auto"/>
          <w:highlight w:val="none"/>
          <w:lang w:val="zh-CN"/>
        </w:rPr>
        <w:t>、询问</w:t>
      </w:r>
    </w:p>
    <w:p w14:paraId="4FE66C28">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lang w:val="zh-CN"/>
        </w:rPr>
        <w:t>.1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w:t>
      </w:r>
    </w:p>
    <w:p w14:paraId="66270F8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lang w:val="en-US" w:eastAsia="zh-CN"/>
        </w:rPr>
        <w:t>8</w:t>
      </w:r>
      <w:r>
        <w:rPr>
          <w:rFonts w:hint="eastAsia" w:asciiTheme="minorEastAsia" w:hAnsiTheme="minorEastAsia" w:eastAsiaTheme="minorEastAsia" w:cstheme="minorEastAsia"/>
          <w:b/>
          <w:color w:val="auto"/>
          <w:highlight w:val="none"/>
          <w:lang w:val="zh-CN"/>
        </w:rPr>
        <w:t>、质疑</w:t>
      </w:r>
    </w:p>
    <w:p w14:paraId="7968236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lang w:val="zh-CN"/>
        </w:rPr>
        <w:t>.1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代理机构。供应商提出质疑时，须一次性提出全部问题及相关质疑资料，代理机构将依法作出答复，但答复的内容不涉及商业秘密。</w:t>
      </w:r>
    </w:p>
    <w:p w14:paraId="346D279E">
      <w:pPr>
        <w:autoSpaceDE w:val="0"/>
        <w:autoSpaceDN w:val="0"/>
        <w:adjustRightInd w:val="0"/>
        <w:ind w:firstLine="420"/>
        <w:rPr>
          <w:rFonts w:asciiTheme="minorEastAsia" w:hAnsiTheme="minorEastAsia" w:eastAsiaTheme="minorEastAsia" w:cstheme="minorEastAsia"/>
          <w:snapToGrid w:val="0"/>
          <w:color w:val="auto"/>
          <w:sz w:val="24"/>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lang w:val="zh-CN"/>
        </w:rPr>
        <w:t>.2 质疑文件应包括以下主要内容，并</w:t>
      </w:r>
      <w:r>
        <w:rPr>
          <w:rFonts w:hint="eastAsia" w:asciiTheme="minorEastAsia" w:hAnsiTheme="minorEastAsia" w:eastAsiaTheme="minorEastAsia" w:cstheme="minorEastAsia"/>
          <w:color w:val="auto"/>
          <w:highlight w:val="none"/>
        </w:rPr>
        <w:t>按照“谁主张、谁举证”的原则，附上相关证明材料。否则，代理机构或采购人不予受理：</w:t>
      </w:r>
    </w:p>
    <w:p w14:paraId="12D32CA8">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（1）质疑项目名称、项目编号、包号、招标公告发布时间、开标时间；</w:t>
      </w:r>
    </w:p>
    <w:p w14:paraId="649A38F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（2）提起质疑的日期、具体的质疑事项及事实根据（具体条款）；</w:t>
      </w:r>
    </w:p>
    <w:p w14:paraId="7FB9A69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修改理由和修改建议）；</w:t>
      </w:r>
    </w:p>
    <w:p w14:paraId="669FACD7">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（4）质疑供应商名称、地址、邮编、联系人、联系电话</w:t>
      </w:r>
      <w:r>
        <w:rPr>
          <w:rFonts w:hint="eastAsia" w:asciiTheme="minorEastAsia" w:hAnsiTheme="minorEastAsia" w:eastAsiaTheme="minorEastAsia" w:cstheme="minorEastAsia"/>
          <w:color w:val="auto"/>
          <w:highlight w:val="none"/>
        </w:rPr>
        <w:t>（包括座机、手机、传真号码等）</w:t>
      </w:r>
      <w:r>
        <w:rPr>
          <w:rFonts w:hint="eastAsia" w:asciiTheme="minorEastAsia" w:hAnsiTheme="minorEastAsia" w:eastAsiaTheme="minorEastAsia" w:cstheme="minorEastAsia"/>
          <w:color w:val="auto"/>
          <w:highlight w:val="none"/>
          <w:lang w:val="zh-CN"/>
        </w:rPr>
        <w:t>；</w:t>
      </w:r>
    </w:p>
    <w:p w14:paraId="2199159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（5）质疑文件应当署名，质疑人为自然人的，应当由本人签字并附有效身份证明；质疑人为法人或其他组织的，应当由法定代表人签字并加盖单位公章。</w:t>
      </w:r>
    </w:p>
    <w:p w14:paraId="471DCDC7">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（6）供应商委托代理质疑的，应当向被质疑人提交授权委托书，并载明委托代理的具体权限和事项。</w:t>
      </w:r>
    </w:p>
    <w:p w14:paraId="06190D3B">
      <w:pPr>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lang w:val="zh-CN"/>
        </w:rPr>
        <w:t>.3 质疑</w:t>
      </w:r>
      <w:r>
        <w:rPr>
          <w:rFonts w:hint="eastAsia" w:asciiTheme="minorEastAsia" w:hAnsiTheme="minorEastAsia" w:eastAsiaTheme="minorEastAsia" w:cstheme="minorEastAsia"/>
          <w:color w:val="auto"/>
          <w:highlight w:val="none"/>
        </w:rPr>
        <w:t>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228DE23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 xml:space="preserve">.4 </w:t>
      </w:r>
      <w:r>
        <w:rPr>
          <w:rFonts w:hint="eastAsia" w:asciiTheme="minorEastAsia" w:hAnsiTheme="minorEastAsia" w:eastAsiaTheme="minorEastAsia" w:cstheme="minorEastAsia"/>
          <w:color w:val="auto"/>
          <w:highlight w:val="none"/>
          <w:lang w:val="zh-CN"/>
        </w:rPr>
        <w:t>代理机构</w:t>
      </w:r>
      <w:r>
        <w:rPr>
          <w:rFonts w:hint="eastAsia" w:asciiTheme="minorEastAsia" w:hAnsiTheme="minorEastAsia" w:eastAsiaTheme="minorEastAsia" w:cstheme="minorEastAsia"/>
          <w:color w:val="auto"/>
          <w:highlight w:val="none"/>
        </w:rPr>
        <w:t>在收到供应商的书面质疑后将及时组织调查核实，在</w:t>
      </w:r>
      <w:r>
        <w:rPr>
          <w:rFonts w:hint="eastAsia" w:asciiTheme="minorEastAsia" w:hAnsiTheme="minorEastAsia" w:eastAsiaTheme="minorEastAsia" w:cstheme="minorEastAsia"/>
          <w:b/>
          <w:color w:val="auto"/>
          <w:highlight w:val="none"/>
          <w:lang w:val="zh-CN"/>
        </w:rPr>
        <w:t>七个工作日内</w:t>
      </w:r>
      <w:r>
        <w:rPr>
          <w:rFonts w:hint="eastAsia" w:asciiTheme="minorEastAsia" w:hAnsiTheme="minorEastAsia" w:eastAsiaTheme="minorEastAsia" w:cstheme="minorEastAsia"/>
          <w:color w:val="auto"/>
          <w:highlight w:val="none"/>
          <w:lang w:val="zh-CN"/>
        </w:rPr>
        <w:t>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遵循“谁过错谁负担”的原则，有过错的一方承担调查论证费用。</w:t>
      </w:r>
    </w:p>
    <w:p w14:paraId="0E923F3E">
      <w:pPr>
        <w:autoSpaceDE w:val="0"/>
        <w:autoSpaceDN w:val="0"/>
        <w:adjustRightInd w:val="0"/>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lang w:val="en-US" w:eastAsia="zh-CN"/>
        </w:rPr>
        <w:t>9</w:t>
      </w:r>
      <w:r>
        <w:rPr>
          <w:rFonts w:hint="eastAsia" w:asciiTheme="minorEastAsia" w:hAnsiTheme="minorEastAsia" w:eastAsiaTheme="minorEastAsia" w:cstheme="minorEastAsia"/>
          <w:b/>
          <w:color w:val="auto"/>
          <w:highlight w:val="none"/>
          <w:lang w:val="zh-CN"/>
        </w:rPr>
        <w:t>、投诉</w:t>
      </w:r>
    </w:p>
    <w:p w14:paraId="26BF10B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lang w:val="zh-CN"/>
        </w:rPr>
        <w:t>.1质疑供应商对代理机构的答复不满意，或代理机构未在规定的时间内作出答复的，可以在答复期满后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十五个工作日内</w:t>
      </w:r>
      <w:r>
        <w:rPr>
          <w:rFonts w:hint="eastAsia" w:asciiTheme="minorEastAsia" w:hAnsiTheme="minorEastAsia" w:eastAsiaTheme="minorEastAsia" w:cstheme="minorEastAsia"/>
          <w:color w:val="auto"/>
          <w:highlight w:val="none"/>
          <w:lang w:val="zh-CN"/>
        </w:rPr>
        <w:t>向采购项目同级财政部门投诉。</w:t>
      </w:r>
    </w:p>
    <w:p w14:paraId="5432C01F">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en-US" w:eastAsia="zh-CN"/>
        </w:rPr>
        <w:t>30</w:t>
      </w:r>
      <w:r>
        <w:rPr>
          <w:rFonts w:hint="eastAsia" w:asciiTheme="minorEastAsia" w:hAnsiTheme="minorEastAsia" w:eastAsiaTheme="minorEastAsia" w:cstheme="minorEastAsia"/>
          <w:b/>
          <w:color w:val="auto"/>
          <w:highlight w:val="none"/>
          <w:lang w:val="zh-CN"/>
        </w:rPr>
        <w:t>、诚实信用</w:t>
      </w:r>
    </w:p>
    <w:p w14:paraId="0CFADB4F">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val="zh-CN"/>
        </w:rPr>
        <w:t>.1 供应商之间不得相互串通投标报价，不得妨碍其他供应商的公平竞争，不得损害采购人和其他供应商的合法权益。</w:t>
      </w:r>
    </w:p>
    <w:p w14:paraId="6B5FFF9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val="zh-CN"/>
        </w:rPr>
        <w:t>.2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政府采购管理部门将供应商列入不良行为记录名单，按照《政府采购法》有关规定处理。</w:t>
      </w:r>
    </w:p>
    <w:p w14:paraId="066FDF34">
      <w:pPr>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val="zh-CN"/>
        </w:rPr>
        <w:t>.3 供应商不得虚假质疑和恶意质疑，并对质疑内容的真实性承担责任。</w:t>
      </w:r>
      <w:r>
        <w:rPr>
          <w:rFonts w:hint="eastAsia" w:asciiTheme="minorEastAsia" w:hAnsiTheme="minorEastAsia" w:eastAsiaTheme="minorEastAsia" w:cstheme="minorEastAsia"/>
          <w:color w:val="auto"/>
          <w:highlight w:val="none"/>
        </w:rPr>
        <w:t>供应商或者其他利害关系人通过捏造事实、伪造证明材料等方式提出异议或投诉，阻碍招投标活动正常进行的，属于严重不良行为，代理机构将提请财政部门将其列入不良行为记录名单，并依法予以处罚。</w:t>
      </w:r>
    </w:p>
    <w:p w14:paraId="4E6A04AF">
      <w:pPr>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val="zh-CN"/>
        </w:rPr>
        <w:t>.4 供应商不得虚假承诺，否则，按照提供虚假材料谋取中标成交处理。</w:t>
      </w:r>
    </w:p>
    <w:p w14:paraId="5D4B885D">
      <w:pPr>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val="zh-CN"/>
        </w:rPr>
        <w:t>.5 供应商应自觉遵守开标、评标纪律，扰乱开标评标现场秩序的，属于失信行为，根据《江苏省政府采购供应商监督管理暂行办法》，失信行为将被记入供应商诚信档案。</w:t>
      </w:r>
    </w:p>
    <w:p w14:paraId="75271115">
      <w:pPr>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rPr>
        <w:t>.6违反信用承诺的法律责任</w:t>
      </w:r>
    </w:p>
    <w:p w14:paraId="592D83F6">
      <w:pPr>
        <w:autoSpaceDE w:val="0"/>
        <w:autoSpaceDN w:val="0"/>
        <w:adjustRightInd w:val="0"/>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9BE1C74">
      <w:pPr>
        <w:autoSpaceDE w:val="0"/>
        <w:autoSpaceDN w:val="0"/>
        <w:adjustRightInd w:val="0"/>
        <w:ind w:firstLine="723" w:firstLineChars="200"/>
        <w:jc w:val="center"/>
        <w:outlineLvl w:val="0"/>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bookmarkStart w:id="80" w:name="_Toc14578"/>
      <w:bookmarkStart w:id="81" w:name="_Toc17622"/>
      <w:bookmarkStart w:id="82" w:name="_Toc27951"/>
      <w:bookmarkStart w:id="83" w:name="_Toc32694"/>
      <w:bookmarkStart w:id="84" w:name="_Toc4086"/>
      <w:bookmarkStart w:id="85" w:name="_Toc1451"/>
      <w:bookmarkStart w:id="86" w:name="_Toc19492"/>
      <w:bookmarkStart w:id="87" w:name="_Toc22751"/>
      <w:bookmarkStart w:id="88" w:name="_Toc18972"/>
      <w:bookmarkStart w:id="89" w:name="_Toc22694"/>
      <w:bookmarkStart w:id="90" w:name="_Toc2026"/>
      <w:bookmarkStart w:id="91" w:name="_Toc17608"/>
      <w:bookmarkStart w:id="92" w:name="_Toc16492"/>
      <w:bookmarkStart w:id="93" w:name="_Toc9602"/>
      <w:bookmarkStart w:id="94" w:name="_Toc12185"/>
      <w:bookmarkStart w:id="95" w:name="_Toc17982"/>
      <w:bookmarkStart w:id="96" w:name="_Toc116284542"/>
      <w:bookmarkStart w:id="97" w:name="_Toc19049"/>
      <w:bookmarkStart w:id="98" w:name="_Toc8492"/>
      <w:bookmarkStart w:id="99" w:name="_Toc9793"/>
      <w:bookmarkStart w:id="100" w:name="_Toc2025"/>
      <w:bookmarkStart w:id="101" w:name="_Toc11591"/>
      <w:bookmarkStart w:id="102" w:name="_Toc9400"/>
      <w:bookmarkStart w:id="103" w:name="_Toc18121"/>
      <w:bookmarkStart w:id="104" w:name="_Toc22864"/>
      <w:bookmarkStart w:id="105" w:name="_Toc8721"/>
      <w:bookmarkStart w:id="106" w:name="_Toc30826"/>
      <w:bookmarkStart w:id="107" w:name="_Toc24460"/>
      <w:bookmarkStart w:id="108" w:name="_Toc4654"/>
      <w:bookmarkStart w:id="109" w:name="_Toc8878"/>
      <w:bookmarkStart w:id="110" w:name="_Toc14998"/>
      <w:bookmarkStart w:id="111" w:name="_Toc27641"/>
      <w:r>
        <w:rPr>
          <w:rFonts w:hint="eastAsia" w:asciiTheme="minorEastAsia" w:hAnsiTheme="minorEastAsia" w:eastAsiaTheme="minorEastAsia" w:cstheme="minorEastAsia"/>
          <w:b/>
          <w:color w:val="auto"/>
          <w:sz w:val="36"/>
          <w:szCs w:val="36"/>
          <w:highlight w:val="none"/>
        </w:rPr>
        <w:t>第三章 评标方法和标准</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7BE8DE92">
      <w:pPr>
        <w:ind w:firstLine="420"/>
        <w:rPr>
          <w:rFonts w:hint="eastAsia" w:asciiTheme="minorEastAsia" w:hAnsiTheme="minorEastAsia" w:eastAsiaTheme="minorEastAsia" w:cstheme="minorEastAsia"/>
          <w:color w:val="auto"/>
          <w:highlight w:val="none"/>
        </w:rPr>
      </w:pPr>
      <w:bookmarkStart w:id="112" w:name="_Toc400722722"/>
      <w:bookmarkStart w:id="113" w:name="_Toc402966376"/>
      <w:r>
        <w:rPr>
          <w:rFonts w:hint="eastAsia" w:asciiTheme="minorEastAsia" w:hAnsiTheme="minorEastAsia" w:eastAsiaTheme="minorEastAsia" w:cstheme="minorEastAsia"/>
          <w:color w:val="auto"/>
          <w:highlight w:val="none"/>
          <w:lang w:val="zh-CN"/>
        </w:rPr>
        <w:t>本项目采用</w:t>
      </w:r>
      <w:r>
        <w:rPr>
          <w:rFonts w:hint="eastAsia" w:asciiTheme="minorEastAsia" w:hAnsiTheme="minorEastAsia" w:eastAsiaTheme="minorEastAsia" w:cstheme="minorEastAsia"/>
          <w:b/>
          <w:bCs/>
          <w:color w:val="auto"/>
          <w:highlight w:val="none"/>
          <w:lang w:val="zh-CN"/>
        </w:rPr>
        <w:t>综合评分法</w:t>
      </w:r>
      <w:r>
        <w:rPr>
          <w:rFonts w:hint="eastAsia" w:asciiTheme="minorEastAsia" w:hAnsiTheme="minorEastAsia" w:eastAsiaTheme="minorEastAsia" w:cstheme="minorEastAsia"/>
          <w:color w:val="auto"/>
          <w:highlight w:val="none"/>
          <w:lang w:val="zh-CN"/>
        </w:rPr>
        <w:t>。综合评分法是指在满足采购文件实质性要求前提下，按照采购文件中规定的各项因素进行综合评审后，以总得分最高的响应供应商人作为中标供应商的方法。本次采购得分最高者为中标供应商，第二名为备选供应商</w:t>
      </w:r>
      <w:r>
        <w:rPr>
          <w:rFonts w:hint="eastAsia" w:asciiTheme="minorEastAsia" w:hAnsiTheme="minorEastAsia" w:eastAsiaTheme="minorEastAsia" w:cstheme="minorEastAsia"/>
          <w:color w:val="auto"/>
          <w:highlight w:val="none"/>
        </w:rPr>
        <w:t>。当</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不能履行其义务时，由备选供应商顶替，成为新的</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，也可重新组织采购。</w:t>
      </w:r>
    </w:p>
    <w:p w14:paraId="217F6B7E">
      <w:pPr>
        <w:ind w:firstLine="42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注：本项目共分4个包，各供应商可以参与一个或多个采购包的竞争，但最多只能成交一个采购包。按照采购包1、采购包2……采购包4顺序评标、成交。每个采购包取得分最高者为</w:t>
      </w:r>
      <w:r>
        <w:rPr>
          <w:rFonts w:hint="eastAsia" w:asciiTheme="minorEastAsia" w:hAnsiTheme="minorEastAsia" w:eastAsiaTheme="minorEastAsia" w:cstheme="minorEastAsia"/>
          <w:b/>
          <w:bCs/>
          <w:color w:val="auto"/>
          <w:highlight w:val="none"/>
          <w:lang w:eastAsia="zh-CN"/>
        </w:rPr>
        <w:t>中标供应商</w:t>
      </w:r>
      <w:r>
        <w:rPr>
          <w:rFonts w:hint="eastAsia" w:asciiTheme="minorEastAsia" w:hAnsiTheme="minorEastAsia" w:eastAsiaTheme="minorEastAsia" w:cstheme="minorEastAsia"/>
          <w:b/>
          <w:bCs/>
          <w:color w:val="auto"/>
          <w:highlight w:val="none"/>
        </w:rPr>
        <w:t>，同一供应商若已在前一采购包中被推荐为</w:t>
      </w:r>
      <w:r>
        <w:rPr>
          <w:rFonts w:hint="eastAsia" w:asciiTheme="minorEastAsia" w:hAnsiTheme="minorEastAsia" w:eastAsiaTheme="minorEastAsia" w:cstheme="minorEastAsia"/>
          <w:b/>
          <w:bCs/>
          <w:color w:val="auto"/>
          <w:highlight w:val="none"/>
          <w:lang w:eastAsia="zh-CN"/>
        </w:rPr>
        <w:t>中标供应商</w:t>
      </w:r>
      <w:r>
        <w:rPr>
          <w:rFonts w:hint="eastAsia" w:asciiTheme="minorEastAsia" w:hAnsiTheme="minorEastAsia" w:eastAsiaTheme="minorEastAsia" w:cstheme="minorEastAsia"/>
          <w:b/>
          <w:bCs/>
          <w:color w:val="auto"/>
          <w:highlight w:val="none"/>
        </w:rPr>
        <w:t>，在后续其他采购包中不再被推荐为</w:t>
      </w:r>
      <w:r>
        <w:rPr>
          <w:rFonts w:hint="eastAsia" w:asciiTheme="minorEastAsia" w:hAnsiTheme="minorEastAsia" w:eastAsiaTheme="minorEastAsia" w:cstheme="minorEastAsia"/>
          <w:b/>
          <w:bCs/>
          <w:color w:val="auto"/>
          <w:highlight w:val="none"/>
          <w:lang w:eastAsia="zh-CN"/>
        </w:rPr>
        <w:t>中标供应商</w:t>
      </w:r>
      <w:r>
        <w:rPr>
          <w:rFonts w:hint="eastAsia" w:asciiTheme="minorEastAsia" w:hAnsiTheme="minorEastAsia" w:eastAsiaTheme="minorEastAsia" w:cstheme="minorEastAsia"/>
          <w:b/>
          <w:bCs/>
          <w:color w:val="auto"/>
          <w:highlight w:val="none"/>
        </w:rPr>
        <w:t>，由排名其后的供应商递补，以此类推。</w:t>
      </w:r>
    </w:p>
    <w:tbl>
      <w:tblPr>
        <w:tblStyle w:val="43"/>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142"/>
        <w:gridCol w:w="6430"/>
        <w:gridCol w:w="1205"/>
      </w:tblGrid>
      <w:tr w14:paraId="16A8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noWrap w:val="0"/>
            <w:vAlign w:val="center"/>
          </w:tcPr>
          <w:p w14:paraId="48C3D98E">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3" w:type="dxa"/>
            <w:noWrap w:val="0"/>
            <w:vAlign w:val="center"/>
          </w:tcPr>
          <w:p w14:paraId="00588934">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w:t>
            </w:r>
          </w:p>
          <w:p w14:paraId="3907C178">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因素</w:t>
            </w:r>
          </w:p>
        </w:tc>
        <w:tc>
          <w:tcPr>
            <w:tcW w:w="6664" w:type="dxa"/>
            <w:noWrap w:val="0"/>
            <w:vAlign w:val="center"/>
          </w:tcPr>
          <w:p w14:paraId="675F53BB">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1248" w:type="dxa"/>
            <w:noWrap w:val="0"/>
            <w:vAlign w:val="center"/>
          </w:tcPr>
          <w:p w14:paraId="3479A832">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分值</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100分</w:t>
            </w:r>
            <w:r>
              <w:rPr>
                <w:rFonts w:hint="eastAsia" w:ascii="宋体" w:hAnsi="宋体" w:eastAsia="宋体" w:cs="宋体"/>
                <w:b/>
                <w:color w:val="auto"/>
                <w:sz w:val="21"/>
                <w:szCs w:val="21"/>
                <w:highlight w:val="none"/>
                <w:lang w:eastAsia="zh-CN"/>
              </w:rPr>
              <w:t>）</w:t>
            </w:r>
          </w:p>
        </w:tc>
      </w:tr>
      <w:tr w14:paraId="5CF7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noWrap w:val="0"/>
            <w:vAlign w:val="center"/>
          </w:tcPr>
          <w:p w14:paraId="5EB4F5A5">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3" w:type="dxa"/>
            <w:noWrap w:val="0"/>
            <w:vAlign w:val="center"/>
          </w:tcPr>
          <w:p w14:paraId="66CFE058">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p w14:paraId="5FF01E27">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30分</w:t>
            </w:r>
            <w:r>
              <w:rPr>
                <w:rFonts w:hint="eastAsia" w:ascii="宋体" w:hAnsi="宋体" w:eastAsia="宋体" w:cs="宋体"/>
                <w:color w:val="auto"/>
                <w:sz w:val="21"/>
                <w:szCs w:val="21"/>
                <w:highlight w:val="none"/>
                <w:lang w:eastAsia="zh-CN"/>
              </w:rPr>
              <w:t>）</w:t>
            </w:r>
          </w:p>
        </w:tc>
        <w:tc>
          <w:tcPr>
            <w:tcW w:w="6664" w:type="dxa"/>
            <w:noWrap w:val="0"/>
            <w:vAlign w:val="center"/>
          </w:tcPr>
          <w:p w14:paraId="46BBBC77">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rPr>
            </w:pPr>
            <w:bookmarkStart w:id="114" w:name="OLE_LINK12"/>
            <w:r>
              <w:rPr>
                <w:rFonts w:hint="eastAsia" w:ascii="宋体" w:hAnsi="宋体" w:eastAsia="宋体" w:cs="宋体"/>
                <w:color w:val="auto"/>
                <w:sz w:val="21"/>
                <w:szCs w:val="21"/>
                <w:highlight w:val="none"/>
              </w:rPr>
              <w:t>采用低价优先法计算，即满足招标文件要求且投标价格最低的投标报价为评标基准价，其价格分为满分。</w:t>
            </w:r>
          </w:p>
          <w:p w14:paraId="24EE8027">
            <w:pPr>
              <w:spacing w:line="21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其他供应商的价格分统一按照下列公式计算：投标报价得分=(评标基准价/投标报价)×30（小数点后保留两位）</w:t>
            </w:r>
          </w:p>
          <w:p w14:paraId="771312DA">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注：</w:t>
            </w:r>
          </w:p>
          <w:p w14:paraId="04A9251B">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本项目评标基准价为：（1-</w:t>
            </w:r>
            <w:r>
              <w:rPr>
                <w:rFonts w:hint="eastAsia" w:ascii="宋体" w:hAnsi="宋体" w:cs="宋体"/>
                <w:b/>
                <w:bCs/>
                <w:color w:val="auto"/>
                <w:sz w:val="21"/>
                <w:szCs w:val="21"/>
                <w:highlight w:val="none"/>
                <w:lang w:val="en-US" w:eastAsia="zh-CN"/>
              </w:rPr>
              <w:t>优惠率</w:t>
            </w:r>
            <w:r>
              <w:rPr>
                <w:rFonts w:hint="eastAsia" w:ascii="宋体" w:hAnsi="宋体" w:eastAsia="宋体" w:cs="宋体"/>
                <w:b/>
                <w:bCs/>
                <w:color w:val="auto"/>
                <w:sz w:val="21"/>
                <w:szCs w:val="21"/>
                <w:highlight w:val="none"/>
              </w:rPr>
              <w:t>）的最低值。</w:t>
            </w:r>
          </w:p>
          <w:p w14:paraId="15CD8785">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本项目其他投标人的投标报价为：1-</w:t>
            </w:r>
            <w:r>
              <w:rPr>
                <w:rFonts w:hint="eastAsia" w:ascii="宋体" w:hAnsi="宋体" w:cs="宋体"/>
                <w:b/>
                <w:bCs/>
                <w:color w:val="auto"/>
                <w:sz w:val="21"/>
                <w:szCs w:val="21"/>
                <w:highlight w:val="none"/>
                <w:lang w:val="en-US" w:eastAsia="zh-CN"/>
              </w:rPr>
              <w:t>优惠率</w:t>
            </w:r>
            <w:r>
              <w:rPr>
                <w:rFonts w:hint="eastAsia" w:ascii="宋体" w:hAnsi="宋体" w:eastAsia="宋体" w:cs="宋体"/>
                <w:b/>
                <w:bCs/>
                <w:color w:val="auto"/>
                <w:sz w:val="21"/>
                <w:szCs w:val="21"/>
                <w:highlight w:val="none"/>
              </w:rPr>
              <w:t>。</w:t>
            </w:r>
          </w:p>
          <w:p w14:paraId="19A03CC0">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其他投标人的价格分统一按照下列公式计算：</w:t>
            </w:r>
          </w:p>
          <w:p w14:paraId="0DA21311">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4、基准价详见第四章招标项目说明及技术要求。</w:t>
            </w:r>
          </w:p>
          <w:p w14:paraId="5DBA6106">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如投标人A、B、C的</w:t>
            </w:r>
            <w:r>
              <w:rPr>
                <w:rFonts w:hint="eastAsia" w:ascii="宋体" w:hAnsi="宋体" w:cs="宋体"/>
                <w:b/>
                <w:bCs/>
                <w:color w:val="auto"/>
                <w:sz w:val="21"/>
                <w:szCs w:val="21"/>
                <w:highlight w:val="none"/>
                <w:lang w:val="en-US" w:eastAsia="zh-CN"/>
              </w:rPr>
              <w:t>优惠率</w:t>
            </w:r>
            <w:r>
              <w:rPr>
                <w:rFonts w:hint="eastAsia" w:ascii="宋体" w:hAnsi="宋体" w:eastAsia="宋体" w:cs="宋体"/>
                <w:b/>
                <w:bCs/>
                <w:color w:val="auto"/>
                <w:sz w:val="21"/>
                <w:szCs w:val="21"/>
                <w:highlight w:val="none"/>
              </w:rPr>
              <w:t>分别为10%、15%、20%，投标人C所投20%的（1-20%）为评标基准价，投标人C的投标报价得分为30分，投标人B的投标报价得分为28.24分；投标人A的投标报价得分为26.67分。</w:t>
            </w:r>
          </w:p>
          <w:p w14:paraId="30B5BCC8">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6</w:t>
            </w:r>
            <w:r>
              <w:rPr>
                <w:rFonts w:hint="eastAsia" w:asciiTheme="minorEastAsia" w:hAnsiTheme="minorEastAsia" w:eastAsiaTheme="minorEastAsia" w:cstheme="minorEastAsia"/>
                <w:b/>
                <w:bCs/>
                <w:color w:val="auto"/>
                <w:szCs w:val="21"/>
                <w:highlight w:val="none"/>
              </w:rPr>
              <w:t>、最低报价不作为中标的保证。</w:t>
            </w:r>
            <w:bookmarkEnd w:id="114"/>
          </w:p>
        </w:tc>
        <w:tc>
          <w:tcPr>
            <w:tcW w:w="1248" w:type="dxa"/>
            <w:noWrap w:val="0"/>
            <w:vAlign w:val="center"/>
          </w:tcPr>
          <w:p w14:paraId="6BC64CBF">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30分</w:t>
            </w:r>
          </w:p>
        </w:tc>
      </w:tr>
      <w:tr w14:paraId="26D7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jc w:val="center"/>
        </w:trPr>
        <w:tc>
          <w:tcPr>
            <w:tcW w:w="691" w:type="dxa"/>
            <w:vMerge w:val="restart"/>
            <w:noWrap w:val="0"/>
            <w:vAlign w:val="center"/>
          </w:tcPr>
          <w:p w14:paraId="54C4E6E1">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3" w:type="dxa"/>
            <w:vMerge w:val="restart"/>
            <w:noWrap w:val="0"/>
            <w:vAlign w:val="center"/>
          </w:tcPr>
          <w:p w14:paraId="24FC6024">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p w14:paraId="57630A45">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w:t>
            </w:r>
          </w:p>
          <w:p w14:paraId="25A3622E">
            <w:pPr>
              <w:keepNext w:val="0"/>
              <w:keepLines w:val="0"/>
              <w:pageBreakBefore w:val="0"/>
              <w:widowControl w:val="0"/>
              <w:kinsoku/>
              <w:wordWrap/>
              <w:overflowPunct/>
              <w:topLinePunct w:val="0"/>
              <w:autoSpaceDE/>
              <w:autoSpaceDN/>
              <w:bidi w:val="0"/>
              <w:adjustRightInd/>
              <w:snapToGrid/>
              <w:spacing w:line="276"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（55分）</w:t>
            </w:r>
          </w:p>
        </w:tc>
        <w:tc>
          <w:tcPr>
            <w:tcW w:w="6664" w:type="dxa"/>
            <w:noWrap w:val="0"/>
            <w:vAlign w:val="center"/>
          </w:tcPr>
          <w:p w14:paraId="44063139">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bookmarkStart w:id="115" w:name="OLE_LINK13"/>
            <w:r>
              <w:rPr>
                <w:rFonts w:hint="eastAsia" w:ascii="宋体" w:hAnsi="宋体" w:eastAsia="宋体" w:cs="宋体"/>
                <w:color w:val="auto"/>
                <w:sz w:val="21"/>
                <w:szCs w:val="21"/>
                <w:highlight w:val="none"/>
                <w:lang w:val="en-US" w:eastAsia="zh-CN"/>
              </w:rPr>
              <w:t>配送方案</w:t>
            </w:r>
            <w:bookmarkEnd w:id="115"/>
          </w:p>
          <w:p w14:paraId="5ED990BE">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bookmarkStart w:id="116" w:name="OLE_LINK14"/>
            <w:r>
              <w:rPr>
                <w:rFonts w:hint="eastAsia" w:ascii="宋体" w:hAnsi="宋体" w:eastAsia="宋体" w:cs="宋体"/>
                <w:color w:val="auto"/>
                <w:sz w:val="21"/>
                <w:szCs w:val="21"/>
                <w:highlight w:val="none"/>
                <w:lang w:val="en-US" w:eastAsia="zh-CN"/>
              </w:rPr>
              <w:t>根据投标人提供的配送方案进行评分，包括但不限于配送方案、日常配送到位响应时间、人员及车辆配备方案等进行综合评分。</w:t>
            </w:r>
          </w:p>
          <w:p w14:paraId="20225D36">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（1）配送方案内容全面，结合实际，可操作性强的得11分；</w:t>
            </w:r>
          </w:p>
          <w:p w14:paraId="090340E0">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（2）配送方案内容较全面，能够结合实际，可操作性较强的得8分；</w:t>
            </w:r>
          </w:p>
          <w:p w14:paraId="7E03DAA2">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（3）配送方案内容全面性一般，能够基本满足项目需求的得5分；</w:t>
            </w:r>
          </w:p>
          <w:p w14:paraId="088DAB15">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（4）未提供不得分。</w:t>
            </w:r>
            <w:bookmarkEnd w:id="116"/>
          </w:p>
        </w:tc>
        <w:tc>
          <w:tcPr>
            <w:tcW w:w="1248" w:type="dxa"/>
            <w:noWrap w:val="0"/>
            <w:vAlign w:val="center"/>
          </w:tcPr>
          <w:p w14:paraId="6692E99A">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11分</w:t>
            </w:r>
          </w:p>
        </w:tc>
      </w:tr>
      <w:tr w14:paraId="1A8F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vMerge w:val="continue"/>
            <w:noWrap w:val="0"/>
            <w:vAlign w:val="center"/>
          </w:tcPr>
          <w:p w14:paraId="3E271C88">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1183" w:type="dxa"/>
            <w:vMerge w:val="continue"/>
            <w:noWrap w:val="0"/>
            <w:vAlign w:val="center"/>
          </w:tcPr>
          <w:p w14:paraId="4046DC4D">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6664" w:type="dxa"/>
            <w:noWrap w:val="0"/>
            <w:vAlign w:val="top"/>
          </w:tcPr>
          <w:p w14:paraId="34779FF3">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bookmarkStart w:id="117" w:name="OLE_LINK15"/>
            <w:r>
              <w:rPr>
                <w:rFonts w:hint="eastAsia" w:ascii="宋体" w:hAnsi="宋体" w:eastAsia="宋体" w:cs="宋体"/>
                <w:color w:val="auto"/>
                <w:sz w:val="21"/>
                <w:szCs w:val="21"/>
                <w:highlight w:val="none"/>
                <w:lang w:val="en-US" w:eastAsia="zh-CN"/>
              </w:rPr>
              <w:t>食品安全保障方案</w:t>
            </w:r>
            <w:bookmarkEnd w:id="117"/>
          </w:p>
          <w:p w14:paraId="0A49E8BC">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bookmarkStart w:id="118" w:name="OLE_LINK16"/>
            <w:r>
              <w:rPr>
                <w:rFonts w:hint="eastAsia" w:ascii="宋体" w:hAnsi="宋体" w:eastAsia="宋体" w:cs="宋体"/>
                <w:color w:val="auto"/>
                <w:sz w:val="21"/>
                <w:szCs w:val="21"/>
                <w:highlight w:val="none"/>
                <w:lang w:val="en-US" w:eastAsia="zh-CN"/>
              </w:rPr>
              <w:t>根据投标人提供的食品安全保障方案进行评分，包括但不限于供应商对食品安全重要性的理解、质量管理制度、对食品安全的保障措施等进行综合评分。</w:t>
            </w:r>
          </w:p>
          <w:p w14:paraId="1842A564">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（1）食品安全保障方案合理，保障措施得力、可行的得得11分；</w:t>
            </w:r>
          </w:p>
          <w:p w14:paraId="7835BB6F">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（2）食品安全保障方案较合理、保障措施较好，可行性较强的得8分；</w:t>
            </w:r>
          </w:p>
          <w:p w14:paraId="2019E4F1">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（3）食品安全保障方案简单，保障措施一般，可行性一般的得5分；</w:t>
            </w:r>
          </w:p>
          <w:p w14:paraId="46E661B4">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lang w:val="en-US" w:eastAsia="zh-CN"/>
              </w:rPr>
              <w:t>（4）未提供不得分。</w:t>
            </w:r>
            <w:bookmarkEnd w:id="118"/>
          </w:p>
        </w:tc>
        <w:tc>
          <w:tcPr>
            <w:tcW w:w="1248" w:type="dxa"/>
            <w:noWrap w:val="0"/>
            <w:vAlign w:val="center"/>
          </w:tcPr>
          <w:p w14:paraId="163A21ED">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11分</w:t>
            </w:r>
          </w:p>
        </w:tc>
      </w:tr>
      <w:tr w14:paraId="4299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vMerge w:val="continue"/>
            <w:noWrap w:val="0"/>
            <w:vAlign w:val="center"/>
          </w:tcPr>
          <w:p w14:paraId="6F8C9816">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1183" w:type="dxa"/>
            <w:vMerge w:val="continue"/>
            <w:noWrap w:val="0"/>
            <w:vAlign w:val="center"/>
          </w:tcPr>
          <w:p w14:paraId="6F265AB5">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6664" w:type="dxa"/>
            <w:noWrap w:val="0"/>
            <w:vAlign w:val="top"/>
          </w:tcPr>
          <w:p w14:paraId="2E6D6AEC">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bookmarkStart w:id="119" w:name="OLE_LINK17"/>
            <w:r>
              <w:rPr>
                <w:rFonts w:hint="eastAsia" w:ascii="宋体" w:hAnsi="宋体" w:eastAsia="宋体" w:cs="宋体"/>
                <w:color w:val="auto"/>
                <w:sz w:val="21"/>
                <w:szCs w:val="21"/>
                <w:highlight w:val="none"/>
                <w:lang w:val="en-US" w:eastAsia="zh-CN"/>
              </w:rPr>
              <w:t>进货制度</w:t>
            </w:r>
            <w:bookmarkEnd w:id="119"/>
          </w:p>
          <w:p w14:paraId="02B6B7D2">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bookmarkStart w:id="120" w:name="OLE_LINK18"/>
            <w:r>
              <w:rPr>
                <w:rFonts w:hint="eastAsia" w:ascii="宋体" w:hAnsi="宋体" w:eastAsia="宋体" w:cs="宋体"/>
                <w:color w:val="auto"/>
                <w:sz w:val="21"/>
                <w:szCs w:val="21"/>
                <w:highlight w:val="none"/>
                <w:lang w:val="en-US" w:eastAsia="zh-CN"/>
              </w:rPr>
              <w:t>根据投标人提供的进货制度进行评分，包括但不限于供应商进货制度、进货溯源服务等进行综合评分。</w:t>
            </w:r>
          </w:p>
          <w:p w14:paraId="154F8196">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（1）进货制度健全完善，针对性强的得11分；</w:t>
            </w:r>
          </w:p>
          <w:p w14:paraId="2730FE6C">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（2）进货制度较为健全，针对性较强的得8分；</w:t>
            </w:r>
          </w:p>
          <w:p w14:paraId="4E41B7FD">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（3）进货制度方案简单，针对性一般的得5分；</w:t>
            </w:r>
          </w:p>
          <w:p w14:paraId="0583B36A">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（4）未提供不得分。</w:t>
            </w:r>
            <w:bookmarkEnd w:id="120"/>
          </w:p>
        </w:tc>
        <w:tc>
          <w:tcPr>
            <w:tcW w:w="1248" w:type="dxa"/>
            <w:noWrap w:val="0"/>
            <w:vAlign w:val="center"/>
          </w:tcPr>
          <w:p w14:paraId="7EB63A81">
            <w:pPr>
              <w:keepNext w:val="0"/>
              <w:keepLines w:val="0"/>
              <w:pageBreakBefore w:val="0"/>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11分</w:t>
            </w:r>
          </w:p>
        </w:tc>
      </w:tr>
      <w:tr w14:paraId="596D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91" w:type="dxa"/>
            <w:vMerge w:val="continue"/>
            <w:noWrap w:val="0"/>
            <w:vAlign w:val="center"/>
          </w:tcPr>
          <w:p w14:paraId="34BA69D2">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1183" w:type="dxa"/>
            <w:vMerge w:val="continue"/>
            <w:noWrap w:val="0"/>
            <w:vAlign w:val="center"/>
          </w:tcPr>
          <w:p w14:paraId="58D5626E">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6664" w:type="dxa"/>
            <w:noWrap w:val="0"/>
            <w:vAlign w:val="center"/>
          </w:tcPr>
          <w:p w14:paraId="443A2E89">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2.4应急服务方案</w:t>
            </w:r>
          </w:p>
          <w:p w14:paraId="27C934BB">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bookmarkStart w:id="121" w:name="OLE_LINK19"/>
            <w:r>
              <w:rPr>
                <w:rFonts w:hint="eastAsia" w:ascii="宋体" w:hAnsi="宋体" w:eastAsia="宋体" w:cs="宋体"/>
                <w:color w:val="auto"/>
                <w:sz w:val="21"/>
                <w:szCs w:val="21"/>
                <w:highlight w:val="none"/>
                <w:lang w:val="en-US" w:eastAsia="zh-CN"/>
              </w:rPr>
              <w:t>根据投标人提供的应急服务方案进行评分，包括但不限于应急工作队伍、应急联系方式、应急处置措施、应急承诺等进行综合评分。</w:t>
            </w:r>
          </w:p>
          <w:p w14:paraId="4964AFB1">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（1）应急服务方案全面，结合实际，可操作性强，完全契合本项目的得11分；</w:t>
            </w:r>
          </w:p>
          <w:p w14:paraId="733DF259">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（2）应急服务方案内容较全面，可操作性较强，较契合本项目的得8分；</w:t>
            </w:r>
          </w:p>
          <w:p w14:paraId="354CD126">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（3）应急服务方案内容片面简单，可操作性一般，基本满足项目需求的得5分；</w:t>
            </w:r>
          </w:p>
          <w:p w14:paraId="248348D9">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（4）未提供不得分。</w:t>
            </w:r>
            <w:bookmarkEnd w:id="121"/>
          </w:p>
        </w:tc>
        <w:tc>
          <w:tcPr>
            <w:tcW w:w="1248" w:type="dxa"/>
            <w:noWrap w:val="0"/>
            <w:vAlign w:val="center"/>
          </w:tcPr>
          <w:p w14:paraId="0DA37D6F">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11分</w:t>
            </w:r>
          </w:p>
        </w:tc>
      </w:tr>
      <w:tr w14:paraId="43D8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691" w:type="dxa"/>
            <w:vMerge w:val="continue"/>
            <w:noWrap w:val="0"/>
            <w:vAlign w:val="center"/>
          </w:tcPr>
          <w:p w14:paraId="141E29F5">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1183" w:type="dxa"/>
            <w:vMerge w:val="continue"/>
            <w:noWrap w:val="0"/>
            <w:vAlign w:val="center"/>
          </w:tcPr>
          <w:p w14:paraId="1F470E0F">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sz w:val="21"/>
                <w:szCs w:val="21"/>
                <w:highlight w:val="none"/>
              </w:rPr>
            </w:pPr>
          </w:p>
        </w:tc>
        <w:tc>
          <w:tcPr>
            <w:tcW w:w="6664" w:type="dxa"/>
            <w:noWrap w:val="0"/>
            <w:vAlign w:val="center"/>
          </w:tcPr>
          <w:p w14:paraId="724E44A3">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2.5售后服务方案</w:t>
            </w:r>
          </w:p>
          <w:p w14:paraId="55AD1D46">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bookmarkStart w:id="122" w:name="OLE_LINK20"/>
            <w:r>
              <w:rPr>
                <w:rFonts w:hint="eastAsia" w:ascii="宋体" w:hAnsi="宋体" w:eastAsia="宋体" w:cs="宋体"/>
                <w:color w:val="auto"/>
                <w:sz w:val="21"/>
                <w:szCs w:val="21"/>
                <w:highlight w:val="none"/>
                <w:lang w:val="en-US" w:eastAsia="zh-CN"/>
              </w:rPr>
              <w:t>根据投标人提供的售后服务方案进行评分，包括但不限于供应商对售后服务方案及其保证措施、售后管理制度、售后服务承诺等进行综合评分。</w:t>
            </w:r>
          </w:p>
          <w:p w14:paraId="53FBA1A8">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（1）售后服务方案内容完整合理，措施得力，针对性强的，得11分；</w:t>
            </w:r>
          </w:p>
          <w:p w14:paraId="5CCA6CBD">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（2）售后服务方案内容较合理，措施较为得力，针对性较强的得8分；</w:t>
            </w:r>
          </w:p>
          <w:p w14:paraId="5BB37B60">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（3）售后服务方案内容简单，措施得力度一般，基本满足项目需求的得5分；</w:t>
            </w:r>
          </w:p>
          <w:p w14:paraId="0F4669F7">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（4）未提供不得分。</w:t>
            </w:r>
            <w:bookmarkEnd w:id="122"/>
          </w:p>
        </w:tc>
        <w:tc>
          <w:tcPr>
            <w:tcW w:w="1248" w:type="dxa"/>
            <w:noWrap w:val="0"/>
            <w:vAlign w:val="center"/>
          </w:tcPr>
          <w:p w14:paraId="4767764F">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11分</w:t>
            </w:r>
          </w:p>
        </w:tc>
      </w:tr>
      <w:tr w14:paraId="00643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noWrap w:val="0"/>
            <w:vAlign w:val="center"/>
          </w:tcPr>
          <w:p w14:paraId="4FCEABCF">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83" w:type="dxa"/>
            <w:noWrap w:val="0"/>
            <w:vAlign w:val="center"/>
          </w:tcPr>
          <w:p w14:paraId="32825AD8">
            <w:pPr>
              <w:keepNext w:val="0"/>
              <w:keepLines w:val="0"/>
              <w:pageBreakBefore w:val="0"/>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sz w:val="21"/>
                <w:szCs w:val="21"/>
                <w:highlight w:val="none"/>
                <w:lang w:val="en-US" w:eastAsia="zh-CN"/>
              </w:rPr>
            </w:pPr>
            <w:bookmarkStart w:id="123" w:name="OLE_LINK21"/>
            <w:r>
              <w:rPr>
                <w:rFonts w:hint="eastAsia" w:ascii="宋体" w:hAnsi="宋体" w:eastAsia="宋体" w:cs="宋体"/>
                <w:color w:val="auto"/>
                <w:sz w:val="21"/>
                <w:szCs w:val="21"/>
                <w:highlight w:val="none"/>
                <w:lang w:val="en-US" w:eastAsia="zh-CN"/>
              </w:rPr>
              <w:t>服务承诺</w:t>
            </w:r>
            <w:bookmarkEnd w:id="123"/>
            <w:r>
              <w:rPr>
                <w:rFonts w:hint="eastAsia" w:ascii="宋体" w:hAnsi="宋体" w:eastAsia="宋体" w:cs="宋体"/>
                <w:color w:val="auto"/>
                <w:sz w:val="21"/>
                <w:szCs w:val="21"/>
                <w:highlight w:val="none"/>
                <w:lang w:val="en-US" w:eastAsia="zh-CN"/>
              </w:rPr>
              <w:t>（3分）</w:t>
            </w:r>
          </w:p>
        </w:tc>
        <w:tc>
          <w:tcPr>
            <w:tcW w:w="6664" w:type="dxa"/>
            <w:noWrap w:val="0"/>
            <w:vAlign w:val="center"/>
          </w:tcPr>
          <w:p w14:paraId="10D4C817">
            <w:pPr>
              <w:keepNext w:val="0"/>
              <w:keepLines w:val="0"/>
              <w:pageBreakBefore w:val="0"/>
              <w:numPr>
                <w:ilvl w:val="0"/>
                <w:numId w:val="1"/>
              </w:numPr>
              <w:shd w:val="clear" w:color="auto" w:fill="auto"/>
              <w:kinsoku/>
              <w:wordWrap/>
              <w:overflowPunct/>
              <w:topLinePunct w:val="0"/>
              <w:autoSpaceDE/>
              <w:autoSpaceDN/>
              <w:bidi w:val="0"/>
              <w:adjustRightInd/>
              <w:snapToGrid/>
              <w:spacing w:line="276" w:lineRule="auto"/>
              <w:jc w:val="left"/>
              <w:textAlignment w:val="auto"/>
              <w:rPr>
                <w:rFonts w:hint="eastAsia" w:ascii="宋体" w:hAnsi="宋体" w:eastAsia="宋体" w:cs="宋体"/>
                <w:color w:val="auto"/>
                <w:sz w:val="21"/>
                <w:szCs w:val="21"/>
                <w:highlight w:val="none"/>
                <w:lang w:val="en-US" w:eastAsia="zh-CN"/>
              </w:rPr>
            </w:pPr>
            <w:bookmarkStart w:id="124" w:name="OLE_LINK22"/>
            <w:r>
              <w:rPr>
                <w:rFonts w:hint="eastAsia" w:ascii="宋体" w:hAnsi="宋体" w:eastAsia="宋体" w:cs="宋体"/>
                <w:color w:val="auto"/>
                <w:sz w:val="21"/>
                <w:szCs w:val="21"/>
                <w:highlight w:val="none"/>
                <w:lang w:val="en-US" w:eastAsia="zh-CN"/>
              </w:rPr>
              <w:t>供应商承诺在履行本项目的全部过程中，凡出现因质量或配送运输引发的安全事故，供应商将承担全部法律责任和赔偿所有经济损失的得1分（投标文件中提供承诺函并加盖公章，格式自拟），未提供不得分。</w:t>
            </w:r>
          </w:p>
          <w:p w14:paraId="181E6266">
            <w:pPr>
              <w:keepNext w:val="0"/>
              <w:keepLines w:val="0"/>
              <w:pageBreakBefore w:val="0"/>
              <w:numPr>
                <w:ilvl w:val="0"/>
                <w:numId w:val="1"/>
              </w:numPr>
              <w:shd w:val="clear" w:color="auto" w:fill="auto"/>
              <w:kinsoku/>
              <w:wordWrap/>
              <w:overflowPunct/>
              <w:topLinePunct w:val="0"/>
              <w:autoSpaceDE/>
              <w:autoSpaceDN/>
              <w:bidi w:val="0"/>
              <w:adjustRightInd/>
              <w:snapToGrid/>
              <w:spacing w:line="276"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在履行本项目的全部过程中，因存在质量问题或因质量原因发生的食品安全事故，生产企业主要负责人和相关主管人员必须到现场指导、处理，慰问员工及家属，做好安抚工作和善后处理的得1分（投标文件中提供承诺函并加盖公章，格式自拟），未提供不得分。</w:t>
            </w:r>
          </w:p>
          <w:p w14:paraId="013F20E0">
            <w:pPr>
              <w:keepNext w:val="0"/>
              <w:keepLines w:val="0"/>
              <w:pageBreakBefore w:val="0"/>
              <w:shd w:val="clear" w:color="auto" w:fill="auto"/>
              <w:kinsoku/>
              <w:wordWrap/>
              <w:overflowPunct/>
              <w:topLinePunct w:val="0"/>
              <w:autoSpaceDE/>
              <w:autoSpaceDN/>
              <w:bidi w:val="0"/>
              <w:adjustRightInd/>
              <w:snapToGrid/>
              <w:spacing w:line="276" w:lineRule="auto"/>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3、供应商承诺有应急服务能力，为保证食材的卫生安全，在收到采购人通知后2小时内赶到项目现场的得1分（投标文件中提供承诺函并加盖公章，格式自拟），未提供不得分。</w:t>
            </w:r>
            <w:bookmarkEnd w:id="124"/>
          </w:p>
        </w:tc>
        <w:tc>
          <w:tcPr>
            <w:tcW w:w="1248" w:type="dxa"/>
            <w:noWrap w:val="0"/>
            <w:vAlign w:val="center"/>
          </w:tcPr>
          <w:p w14:paraId="1E318191">
            <w:pPr>
              <w:keepNext w:val="0"/>
              <w:keepLines w:val="0"/>
              <w:pageBreakBefore w:val="0"/>
              <w:widowControl/>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3分</w:t>
            </w:r>
          </w:p>
        </w:tc>
      </w:tr>
      <w:tr w14:paraId="1025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1" w:type="dxa"/>
            <w:noWrap w:val="0"/>
            <w:vAlign w:val="center"/>
          </w:tcPr>
          <w:p w14:paraId="4044F685">
            <w:pPr>
              <w:keepNext w:val="0"/>
              <w:keepLines w:val="0"/>
              <w:pageBreakBefore w:val="0"/>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1183" w:type="dxa"/>
            <w:noWrap w:val="0"/>
            <w:vAlign w:val="center"/>
          </w:tcPr>
          <w:p w14:paraId="5974E689">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color w:val="auto"/>
                <w:highlight w:val="none"/>
                <w:lang w:val="en-US" w:eastAsia="zh-CN"/>
              </w:rPr>
            </w:pPr>
            <w:bookmarkStart w:id="125" w:name="OLE_LINK23"/>
            <w:r>
              <w:rPr>
                <w:rFonts w:hint="eastAsia" w:ascii="宋体" w:hAnsi="宋体" w:eastAsia="宋体" w:cs="宋体"/>
                <w:color w:val="auto"/>
                <w:highlight w:val="none"/>
                <w:lang w:val="en-US" w:eastAsia="zh-CN"/>
              </w:rPr>
              <w:t>业绩</w:t>
            </w:r>
          </w:p>
          <w:bookmarkEnd w:id="125"/>
          <w:p w14:paraId="4CD2872F">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color w:val="auto"/>
                <w:highlight w:val="none"/>
                <w:lang w:val="en-US" w:eastAsia="zh-CN"/>
              </w:rPr>
            </w:pPr>
            <w:r>
              <w:rPr>
                <w:rFonts w:hint="eastAsia" w:ascii="宋体" w:hAnsi="宋体" w:eastAsia="宋体" w:cs="宋体"/>
                <w:color w:val="auto"/>
                <w:highlight w:val="none"/>
                <w:lang w:val="en-US" w:eastAsia="zh-CN"/>
              </w:rPr>
              <w:t>（12分）</w:t>
            </w:r>
          </w:p>
        </w:tc>
        <w:tc>
          <w:tcPr>
            <w:tcW w:w="6664" w:type="dxa"/>
            <w:noWrap w:val="0"/>
            <w:vAlign w:val="center"/>
          </w:tcPr>
          <w:p w14:paraId="57549842">
            <w:pPr>
              <w:keepNext w:val="0"/>
              <w:keepLines w:val="0"/>
              <w:pageBreakBefore w:val="0"/>
              <w:kinsoku/>
              <w:wordWrap/>
              <w:overflowPunct/>
              <w:topLinePunct w:val="0"/>
              <w:autoSpaceDE/>
              <w:autoSpaceDN/>
              <w:bidi w:val="0"/>
              <w:adjustRightInd/>
              <w:snapToGrid/>
              <w:spacing w:line="276"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1月1日</w:t>
            </w:r>
            <w:r>
              <w:rPr>
                <w:rFonts w:hint="eastAsia" w:ascii="宋体" w:hAnsi="宋体" w:eastAsia="宋体" w:cs="宋体"/>
                <w:color w:val="auto"/>
                <w:szCs w:val="21"/>
                <w:highlight w:val="none"/>
              </w:rPr>
              <w:t>以来，供应商具有类似</w:t>
            </w:r>
            <w:r>
              <w:rPr>
                <w:rFonts w:hint="eastAsia" w:ascii="宋体" w:hAnsi="宋体" w:eastAsia="宋体" w:cs="宋体"/>
                <w:color w:val="auto"/>
                <w:szCs w:val="21"/>
                <w:highlight w:val="none"/>
                <w:lang w:val="en-US" w:eastAsia="zh-CN"/>
              </w:rPr>
              <w:t>供货</w:t>
            </w:r>
            <w:r>
              <w:rPr>
                <w:rFonts w:hint="eastAsia" w:ascii="宋体" w:hAnsi="宋体" w:eastAsia="宋体" w:cs="宋体"/>
                <w:color w:val="auto"/>
                <w:szCs w:val="21"/>
                <w:highlight w:val="none"/>
              </w:rPr>
              <w:t>项目的，有1个得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最高得12分。</w:t>
            </w:r>
            <w:r>
              <w:rPr>
                <w:rFonts w:hint="eastAsia" w:ascii="宋体" w:hAnsi="宋体" w:eastAsia="宋体" w:cs="宋体"/>
                <w:color w:val="auto"/>
                <w:szCs w:val="21"/>
                <w:highlight w:val="none"/>
              </w:rPr>
              <w:t>（需提供</w:t>
            </w:r>
            <w:r>
              <w:rPr>
                <w:rFonts w:hint="eastAsia" w:ascii="宋体" w:hAnsi="宋体" w:eastAsia="宋体" w:cs="宋体"/>
                <w:color w:val="auto"/>
                <w:szCs w:val="21"/>
                <w:highlight w:val="none"/>
                <w:lang w:val="en-US" w:eastAsia="zh-CN"/>
              </w:rPr>
              <w:t>项目的</w:t>
            </w:r>
            <w:r>
              <w:rPr>
                <w:rFonts w:hint="eastAsia" w:ascii="宋体" w:hAnsi="宋体" w:eastAsia="宋体" w:cs="宋体"/>
                <w:color w:val="auto"/>
                <w:szCs w:val="21"/>
                <w:highlight w:val="none"/>
              </w:rPr>
              <w:t>合同</w:t>
            </w:r>
            <w:r>
              <w:rPr>
                <w:rFonts w:hint="eastAsia" w:ascii="宋体" w:hAnsi="宋体" w:eastAsia="宋体" w:cs="宋体"/>
                <w:color w:val="auto"/>
                <w:szCs w:val="21"/>
                <w:highlight w:val="none"/>
                <w:lang w:val="en-US" w:eastAsia="zh-CN"/>
              </w:rPr>
              <w:t>复印件</w:t>
            </w:r>
            <w:r>
              <w:rPr>
                <w:rFonts w:hint="eastAsia" w:ascii="宋体" w:hAnsi="宋体" w:eastAsia="宋体" w:cs="宋体"/>
                <w:color w:val="auto"/>
                <w:szCs w:val="21"/>
                <w:highlight w:val="none"/>
              </w:rPr>
              <w:t>，时间以合同签订时间为准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原件备查。</w:t>
            </w:r>
            <w:r>
              <w:rPr>
                <w:rFonts w:hint="eastAsia" w:ascii="宋体" w:hAnsi="宋体" w:eastAsia="宋体" w:cs="宋体"/>
                <w:color w:val="auto"/>
                <w:szCs w:val="21"/>
                <w:highlight w:val="none"/>
              </w:rPr>
              <w:t>）</w:t>
            </w:r>
          </w:p>
        </w:tc>
        <w:tc>
          <w:tcPr>
            <w:tcW w:w="1248" w:type="dxa"/>
            <w:noWrap w:val="0"/>
            <w:vAlign w:val="center"/>
          </w:tcPr>
          <w:p w14:paraId="325A05A9">
            <w:pPr>
              <w:keepNext w:val="0"/>
              <w:keepLines w:val="0"/>
              <w:pageBreakBefore w:val="0"/>
              <w:kinsoku/>
              <w:wordWrap/>
              <w:overflowPunct/>
              <w:topLinePunct w:val="0"/>
              <w:autoSpaceDE/>
              <w:autoSpaceDN/>
              <w:bidi w:val="0"/>
              <w:adjustRightInd/>
              <w:snapToGrid/>
              <w:spacing w:line="276"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12分</w:t>
            </w:r>
          </w:p>
        </w:tc>
      </w:tr>
    </w:tbl>
    <w:p w14:paraId="22B7A570">
      <w:pPr>
        <w:spacing w:line="360" w:lineRule="auto"/>
        <w:ind w:firstLine="422"/>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说明：</w:t>
      </w:r>
    </w:p>
    <w:p w14:paraId="248FA4B6">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1、实质性要求不得负偏离；否则，按照无效投标处理。</w:t>
      </w:r>
    </w:p>
    <w:p w14:paraId="503A289D">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对国家认定的节能产品和环保产品分别给予投标价的5%、5%价格扣除，用扣除后的价格参与评审（特别说明：节能、环保产品必须纳入“中国政府采购网”等官方网站“节能、环保产品查询系统”，且以提供的证书复印件为准）。</w:t>
      </w:r>
    </w:p>
    <w:p w14:paraId="23867837">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3、小微企业的价格扣除</w:t>
      </w:r>
    </w:p>
    <w:p w14:paraId="69BA461D">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3.1.</w:t>
      </w:r>
      <w:r>
        <w:rPr>
          <w:rFonts w:hint="eastAsia" w:asciiTheme="minorEastAsia" w:hAnsiTheme="minorEastAsia" w:eastAsiaTheme="minorEastAsia" w:cstheme="minorEastAsia"/>
          <w:color w:val="auto"/>
          <w:highlight w:val="none"/>
        </w:rPr>
        <w:t>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30%以上的，对联合体或者大中型企业的报价给5%的扣除，用扣除后的价格参加评审。联合体各方均为小微企业的，联合体视同为小微企业，享受10%的价格扣除。</w:t>
      </w:r>
    </w:p>
    <w:p w14:paraId="0B9D1116">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3.2.</w:t>
      </w:r>
      <w:r>
        <w:rPr>
          <w:rFonts w:hint="eastAsia" w:asciiTheme="minorEastAsia" w:hAnsiTheme="minorEastAsia" w:eastAsiaTheme="minorEastAsia" w:cstheme="minorEastAsia"/>
          <w:color w:val="auto"/>
          <w:highlight w:val="none"/>
        </w:rPr>
        <w:t>价格扣除比例或者价格分加分比例对小型企业和微型企业同等对待，不作区分。 </w:t>
      </w:r>
    </w:p>
    <w:p w14:paraId="1D7196FB">
      <w:pPr>
        <w:adjustRightInd w:val="0"/>
        <w:snapToGrid w:val="0"/>
        <w:ind w:firstLine="411" w:firstLineChars="196"/>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3.3.中小微企业单位</w:t>
      </w:r>
      <w:r>
        <w:rPr>
          <w:rFonts w:hint="eastAsia" w:asciiTheme="minorEastAsia" w:hAnsiTheme="minorEastAsia" w:eastAsiaTheme="minorEastAsia" w:cstheme="minorEastAsia"/>
          <w:bCs/>
          <w:color w:val="auto"/>
          <w:szCs w:val="21"/>
          <w:highlight w:val="none"/>
        </w:rPr>
        <w:t>需按照采购文件的要求提供《</w:t>
      </w:r>
      <w:r>
        <w:rPr>
          <w:rFonts w:hint="eastAsia" w:ascii="宋体" w:hAnsi="宋体" w:cs="宋体"/>
          <w:b/>
          <w:bCs/>
          <w:color w:val="auto"/>
          <w:szCs w:val="21"/>
          <w:highlight w:val="none"/>
        </w:rPr>
        <w:t>中小企业</w:t>
      </w:r>
      <w:r>
        <w:rPr>
          <w:rFonts w:hint="eastAsia" w:ascii="宋体" w:hAnsi="宋体" w:cs="宋体"/>
          <w:b/>
          <w:color w:val="auto"/>
          <w:szCs w:val="21"/>
          <w:highlight w:val="none"/>
        </w:rPr>
        <w:t>声明函</w:t>
      </w:r>
      <w:r>
        <w:rPr>
          <w:rFonts w:hint="eastAsia" w:asciiTheme="minorEastAsia" w:hAnsiTheme="minorEastAsia" w:eastAsiaTheme="minorEastAsia" w:cstheme="minorEastAsia"/>
          <w:bCs/>
          <w:color w:val="auto"/>
          <w:szCs w:val="21"/>
          <w:highlight w:val="none"/>
        </w:rPr>
        <w:t>》。</w:t>
      </w:r>
    </w:p>
    <w:p w14:paraId="7B19E30B">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w:t>
      </w:r>
      <w:r>
        <w:rPr>
          <w:rFonts w:hint="eastAsia" w:asciiTheme="minorEastAsia" w:hAnsiTheme="minorEastAsia" w:eastAsiaTheme="minorEastAsia" w:cstheme="minorEastAsia"/>
          <w:bCs/>
          <w:color w:val="auto"/>
          <w:szCs w:val="21"/>
          <w:highlight w:val="none"/>
          <w:lang w:val="en-US" w:eastAsia="zh-CN"/>
        </w:rPr>
        <w:t>4</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color w:val="auto"/>
          <w:highlight w:val="none"/>
        </w:rPr>
        <w:t>说明：价格扣除优惠政策仅适用于“第一章 二、申请人的资格要求 落实政府采购政策需满足的资格要求”中“本项目采用 以下第（4）种方式落实政府采购促进中小企业发展的要求”的采购项目中。</w:t>
      </w:r>
    </w:p>
    <w:p w14:paraId="63F8519C">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4、监狱和戒毒企业的价格扣除</w:t>
      </w:r>
    </w:p>
    <w:p w14:paraId="68039C31">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4.1. 本项目对监狱和戒毒企业（简称监狱企业），给予10%的价格扣除，用扣除后的价格参与评审。</w:t>
      </w:r>
    </w:p>
    <w:p w14:paraId="626D675E">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4.2. 监狱企业需提供由省级以上监狱管理局、戒毒管理局（含新疆生产建设兵团）出具的属于监狱企业的证明文件。</w:t>
      </w:r>
    </w:p>
    <w:p w14:paraId="4B73F708">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4.3. 监狱企业标准请参照《关于政府采购支持监狱企业发展有关问题的通知》（财库[2014]68号）。</w:t>
      </w:r>
    </w:p>
    <w:p w14:paraId="71ACD0CD">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5、残疾人福利性单位的价格扣除</w:t>
      </w:r>
    </w:p>
    <w:p w14:paraId="660A97DA">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5.1. 本项目对残疾人福利性单位，给予10%的价格扣除，用扣除后的价格参与评审。</w:t>
      </w:r>
    </w:p>
    <w:p w14:paraId="7F69357B">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5.2. 残疾人福利单位需按照采购文件的要求提供《残疾人福利性单位声明函》。</w:t>
      </w:r>
    </w:p>
    <w:p w14:paraId="3F09043C">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5.3. 残疾人福利单位标准请参照《关于促进残疾人就业政府采购政策的通知》（财库〔2017〕141号）。</w:t>
      </w:r>
    </w:p>
    <w:p w14:paraId="1988365A">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6、监狱企业、残疾人福利单位属于小型、微型企业的，不重复享受政策。</w:t>
      </w:r>
    </w:p>
    <w:p w14:paraId="21009442">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7、</w:t>
      </w:r>
      <w:r>
        <w:rPr>
          <w:rFonts w:hint="eastAsia" w:asciiTheme="minorEastAsia" w:hAnsiTheme="minorEastAsia" w:eastAsiaTheme="minorEastAsia" w:cstheme="minorEastAsia"/>
          <w:b/>
          <w:color w:val="auto"/>
          <w:szCs w:val="21"/>
          <w:highlight w:val="none"/>
        </w:rPr>
        <w:t>供应商需按上述要求提供相关证明文件，如未按要求提供、填写，或相关内容表述不清的，不得享受小微企业相关政策。</w:t>
      </w:r>
    </w:p>
    <w:p w14:paraId="359F047F">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8、公证件、彩色打印件均不视同原件，将不得分。</w:t>
      </w:r>
    </w:p>
    <w:p w14:paraId="4329C7CF">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9、评标结果保留两位小数。</w:t>
      </w:r>
    </w:p>
    <w:p w14:paraId="247AF108">
      <w:pPr>
        <w:ind w:firstLine="420"/>
        <w:rPr>
          <w:rFonts w:asciiTheme="minorEastAsia" w:hAnsiTheme="minorEastAsia" w:eastAsiaTheme="minorEastAsia" w:cstheme="minorEastAsia"/>
          <w:color w:val="auto"/>
          <w:highlight w:val="none"/>
        </w:rPr>
      </w:pPr>
    </w:p>
    <w:p w14:paraId="08B4570C">
      <w:pPr>
        <w:ind w:firstLine="803"/>
        <w:jc w:val="center"/>
        <w:outlineLvl w:val="0"/>
        <w:rPr>
          <w:rFonts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40"/>
          <w:szCs w:val="40"/>
          <w:highlight w:val="none"/>
        </w:rPr>
        <w:br w:type="page"/>
      </w:r>
      <w:bookmarkStart w:id="126" w:name="_Toc31920"/>
      <w:bookmarkStart w:id="127" w:name="_Toc22351"/>
      <w:bookmarkStart w:id="128" w:name="_Toc1750"/>
      <w:bookmarkStart w:id="129" w:name="_Toc7409"/>
      <w:bookmarkStart w:id="130" w:name="_Toc19623"/>
      <w:bookmarkStart w:id="131" w:name="_Toc116284543"/>
      <w:bookmarkStart w:id="132" w:name="_Toc8679"/>
      <w:bookmarkStart w:id="133" w:name="_Toc11560"/>
      <w:bookmarkStart w:id="134" w:name="_Toc1140"/>
      <w:bookmarkStart w:id="135" w:name="_Toc14784"/>
      <w:bookmarkStart w:id="136" w:name="_Toc15960"/>
      <w:bookmarkStart w:id="137" w:name="_Toc5719"/>
      <w:bookmarkStart w:id="138" w:name="_Toc25412"/>
      <w:bookmarkStart w:id="139" w:name="_Toc25129"/>
      <w:bookmarkStart w:id="140" w:name="_Toc23054"/>
      <w:bookmarkStart w:id="141" w:name="_Toc30100"/>
      <w:bookmarkStart w:id="142" w:name="_Toc31270"/>
      <w:bookmarkStart w:id="143" w:name="OLE_LINK25"/>
      <w:bookmarkStart w:id="144" w:name="_Toc28538"/>
      <w:bookmarkStart w:id="145" w:name="_Toc706"/>
      <w:bookmarkStart w:id="146" w:name="_Toc16210"/>
      <w:bookmarkStart w:id="147" w:name="_Toc7015"/>
      <w:bookmarkStart w:id="148" w:name="_Toc6323"/>
      <w:bookmarkStart w:id="149" w:name="_Toc17283"/>
      <w:bookmarkStart w:id="150" w:name="_Toc20320"/>
      <w:bookmarkStart w:id="151" w:name="_Toc29121"/>
      <w:bookmarkStart w:id="152" w:name="_Toc29274"/>
      <w:bookmarkStart w:id="153" w:name="_Toc20577"/>
      <w:bookmarkStart w:id="154" w:name="_Toc4769"/>
      <w:bookmarkStart w:id="155" w:name="_Toc23564"/>
      <w:bookmarkStart w:id="156" w:name="_Toc11707"/>
      <w:bookmarkStart w:id="157" w:name="_Toc5985"/>
      <w:bookmarkStart w:id="158" w:name="_Toc8896"/>
      <w:r>
        <w:rPr>
          <w:rFonts w:hint="eastAsia" w:asciiTheme="minorEastAsia" w:hAnsiTheme="minorEastAsia" w:eastAsiaTheme="minorEastAsia" w:cstheme="minorEastAsia"/>
          <w:b/>
          <w:color w:val="auto"/>
          <w:sz w:val="40"/>
          <w:szCs w:val="40"/>
          <w:highlight w:val="none"/>
        </w:rPr>
        <w:t>第四章 招标项目说明及技术要求</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bookmarkEnd w:id="112"/>
    <w:bookmarkEnd w:id="113"/>
    <w:p w14:paraId="223CCD0D">
      <w:pPr>
        <w:spacing w:line="360" w:lineRule="auto"/>
        <w:outlineLvl w:val="1"/>
        <w:rPr>
          <w:rFonts w:hint="eastAsia" w:asciiTheme="minorEastAsia" w:hAnsiTheme="minorEastAsia" w:eastAsiaTheme="minorEastAsia" w:cstheme="minorEastAsia"/>
          <w:b/>
          <w:bCs/>
          <w:color w:val="auto"/>
          <w:sz w:val="28"/>
          <w:szCs w:val="28"/>
          <w:highlight w:val="none"/>
        </w:rPr>
      </w:pPr>
      <w:bookmarkStart w:id="159" w:name="_Toc29062"/>
      <w:bookmarkStart w:id="160" w:name="_Toc22494"/>
      <w:bookmarkStart w:id="161" w:name="_Toc490215483"/>
      <w:bookmarkStart w:id="162" w:name="_Toc18542"/>
      <w:bookmarkStart w:id="163" w:name="_Toc2111"/>
      <w:bookmarkStart w:id="164" w:name="_Toc514415673"/>
      <w:bookmarkStart w:id="165" w:name="_Toc489515643"/>
      <w:bookmarkStart w:id="166" w:name="_Toc519115107"/>
      <w:bookmarkStart w:id="167" w:name="_Toc8180"/>
      <w:bookmarkStart w:id="168" w:name="_Toc16539"/>
      <w:bookmarkStart w:id="169" w:name="_Toc354071453"/>
      <w:bookmarkStart w:id="170" w:name="_Toc31082"/>
      <w:bookmarkStart w:id="171" w:name="_Toc488868476"/>
      <w:bookmarkStart w:id="172" w:name="_Toc14271"/>
      <w:bookmarkStart w:id="173" w:name="_Toc22626"/>
      <w:bookmarkStart w:id="174" w:name="_Toc490215485"/>
      <w:r>
        <w:rPr>
          <w:rFonts w:hint="eastAsia" w:asciiTheme="minorEastAsia" w:hAnsiTheme="minorEastAsia" w:eastAsiaTheme="minorEastAsia" w:cstheme="minorEastAsia"/>
          <w:b/>
          <w:bCs/>
          <w:color w:val="auto"/>
          <w:sz w:val="28"/>
          <w:szCs w:val="28"/>
          <w:highlight w:val="none"/>
        </w:rPr>
        <w:t>一、项目概况</w:t>
      </w:r>
      <w:bookmarkEnd w:id="159"/>
      <w:bookmarkEnd w:id="160"/>
    </w:p>
    <w:p w14:paraId="38EB621D">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bookmarkStart w:id="175" w:name="_Hlk107142892"/>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lang w:eastAsia="zh-CN"/>
        </w:rPr>
        <w:t>JSZC-320115-NJDX-G2025-0007</w:t>
      </w:r>
    </w:p>
    <w:p w14:paraId="655A17A1">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lang w:eastAsia="zh-CN"/>
        </w:rPr>
        <w:t>南京市公安局江宁分局看守所食堂食材采购</w:t>
      </w:r>
    </w:p>
    <w:p w14:paraId="13C4D478">
      <w:pPr>
        <w:spacing w:line="360" w:lineRule="exact"/>
        <w:ind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预算金额：</w:t>
      </w:r>
      <w:r>
        <w:rPr>
          <w:rFonts w:hint="eastAsia" w:asciiTheme="minorEastAsia" w:hAnsiTheme="minorEastAsia" w:eastAsiaTheme="minorEastAsia" w:cstheme="minorEastAsia"/>
          <w:color w:val="auto"/>
          <w:highlight w:val="none"/>
          <w:lang w:val="en-US" w:eastAsia="zh-CN"/>
        </w:rPr>
        <w:t>290.8</w:t>
      </w:r>
      <w:r>
        <w:rPr>
          <w:rFonts w:hint="eastAsia" w:asciiTheme="minorEastAsia" w:hAnsiTheme="minorEastAsia" w:eastAsiaTheme="minorEastAsia" w:cstheme="minorEastAsia"/>
          <w:color w:val="auto"/>
          <w:highlight w:val="none"/>
        </w:rPr>
        <w:t>万元</w:t>
      </w:r>
    </w:p>
    <w:p w14:paraId="149AEDBA">
      <w:pPr>
        <w:spacing w:line="36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采购需求：</w:t>
      </w:r>
      <w:r>
        <w:rPr>
          <w:rFonts w:hint="eastAsia" w:asciiTheme="minorEastAsia" w:hAnsiTheme="minorEastAsia" w:eastAsiaTheme="minorEastAsia" w:cstheme="minorEastAsia"/>
          <w:color w:val="auto"/>
          <w:highlight w:val="none"/>
          <w:lang w:val="en-US" w:eastAsia="zh-CN"/>
        </w:rPr>
        <w:t>南京市公安局江宁分局看守所现需采购食堂食材及定时定点保质保量的配送服务</w:t>
      </w:r>
      <w:r>
        <w:rPr>
          <w:rFonts w:hint="eastAsia" w:asciiTheme="minorEastAsia" w:hAnsiTheme="minorEastAsia" w:eastAsiaTheme="minorEastAsia" w:cstheme="minorEastAsia"/>
          <w:color w:val="auto"/>
          <w:highlight w:val="none"/>
        </w:rPr>
        <w:t>。</w:t>
      </w:r>
    </w:p>
    <w:p w14:paraId="665ED1CC">
      <w:pPr>
        <w:spacing w:line="360" w:lineRule="exact"/>
        <w:ind w:firstLine="420" w:firstLineChars="200"/>
        <w:jc w:val="lef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合同履行期限：1年。</w:t>
      </w:r>
    </w:p>
    <w:p w14:paraId="728D99B0">
      <w:pPr>
        <w:spacing w:line="360" w:lineRule="auto"/>
        <w:outlineLvl w:val="1"/>
        <w:rPr>
          <w:rFonts w:hint="eastAsia" w:asciiTheme="minorEastAsia" w:hAnsiTheme="minorEastAsia" w:eastAsiaTheme="minorEastAsia" w:cstheme="minorEastAsia"/>
          <w:b/>
          <w:bCs/>
          <w:color w:val="auto"/>
          <w:sz w:val="28"/>
          <w:szCs w:val="28"/>
          <w:highlight w:val="none"/>
        </w:rPr>
      </w:pPr>
      <w:bookmarkStart w:id="176" w:name="_Toc25776"/>
      <w:bookmarkStart w:id="177" w:name="_Toc27236"/>
      <w:r>
        <w:rPr>
          <w:rFonts w:hint="eastAsia" w:asciiTheme="minorEastAsia" w:hAnsiTheme="minorEastAsia" w:eastAsiaTheme="minorEastAsia" w:cstheme="minorEastAsia"/>
          <w:b/>
          <w:bCs/>
          <w:color w:val="auto"/>
          <w:sz w:val="28"/>
          <w:szCs w:val="28"/>
          <w:highlight w:val="none"/>
          <w:lang w:val="en-US" w:eastAsia="zh-CN"/>
        </w:rPr>
        <w:t>二、</w:t>
      </w:r>
      <w:r>
        <w:rPr>
          <w:rFonts w:hint="eastAsia" w:asciiTheme="minorEastAsia" w:hAnsiTheme="minorEastAsia" w:eastAsiaTheme="minorEastAsia" w:cstheme="minorEastAsia"/>
          <w:b/>
          <w:bCs/>
          <w:color w:val="auto"/>
          <w:sz w:val="28"/>
          <w:szCs w:val="28"/>
          <w:highlight w:val="none"/>
        </w:rPr>
        <w:t>部分主要食材清单</w:t>
      </w:r>
      <w:bookmarkEnd w:id="176"/>
      <w:bookmarkEnd w:id="177"/>
    </w:p>
    <w:p w14:paraId="7A8DFE40">
      <w:pPr>
        <w:spacing w:line="360" w:lineRule="auto"/>
        <w:ind w:firstLine="420" w:firstLineChars="20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下列清单中提及的参考产品品牌，是采购人根据项目所要实现的功能列出的品牌，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5CF3758A">
      <w:pPr>
        <w:spacing w:line="360" w:lineRule="auto"/>
        <w:ind w:firstLine="42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Cs w:val="21"/>
          <w:highlight w:val="none"/>
        </w:rPr>
        <w:t>清单仅投标时作参考用，具体的食材以采购人供货要求为准，食材的规格、品牌等也以采购人需求为准。同时中标供应商还就未列入清单的商品给出与清单内商品相同的优惠率。</w:t>
      </w:r>
    </w:p>
    <w:tbl>
      <w:tblPr>
        <w:tblStyle w:val="43"/>
        <w:tblW w:w="9251" w:type="dxa"/>
        <w:jc w:val="center"/>
        <w:tblLayout w:type="fixed"/>
        <w:tblCellMar>
          <w:top w:w="0" w:type="dxa"/>
          <w:left w:w="0" w:type="dxa"/>
          <w:bottom w:w="0" w:type="dxa"/>
          <w:right w:w="0" w:type="dxa"/>
        </w:tblCellMar>
      </w:tblPr>
      <w:tblGrid>
        <w:gridCol w:w="1413"/>
        <w:gridCol w:w="1413"/>
        <w:gridCol w:w="2713"/>
        <w:gridCol w:w="1316"/>
        <w:gridCol w:w="2396"/>
      </w:tblGrid>
      <w:tr w14:paraId="68E92AEE">
        <w:tblPrEx>
          <w:tblCellMar>
            <w:top w:w="0" w:type="dxa"/>
            <w:left w:w="0" w:type="dxa"/>
            <w:bottom w:w="0" w:type="dxa"/>
            <w:right w:w="0" w:type="dxa"/>
          </w:tblCellMar>
        </w:tblPrEx>
        <w:trPr>
          <w:trHeight w:val="454" w:hRule="atLeast"/>
          <w:jc w:val="center"/>
        </w:trPr>
        <w:tc>
          <w:tcPr>
            <w:tcW w:w="1413" w:type="dxa"/>
            <w:tcBorders>
              <w:top w:val="single" w:color="auto" w:sz="4" w:space="0"/>
              <w:left w:val="single" w:color="auto" w:sz="4" w:space="0"/>
              <w:bottom w:val="single" w:color="auto" w:sz="8" w:space="0"/>
              <w:right w:val="single" w:color="auto" w:sz="4" w:space="0"/>
            </w:tcBorders>
            <w:noWrap/>
            <w:vAlign w:val="center"/>
          </w:tcPr>
          <w:p w14:paraId="504CB050">
            <w:pPr>
              <w:widowControl w:val="0"/>
              <w:tabs>
                <w:tab w:val="left" w:pos="5580"/>
              </w:tabs>
              <w:spacing w:line="240" w:lineRule="auto"/>
              <w:ind w:firstLine="0" w:firstLineChars="0"/>
              <w:jc w:val="center"/>
              <w:rPr>
                <w:rFonts w:hint="eastAsia" w:ascii="宋体" w:hAnsi="宋体" w:eastAsia="宋体" w:cs="宋体"/>
                <w:b/>
                <w:bCs/>
                <w:color w:val="auto"/>
                <w:sz w:val="21"/>
                <w:szCs w:val="24"/>
                <w:highlight w:val="none"/>
                <w14:ligatures w14:val="none"/>
              </w:rPr>
            </w:pPr>
            <w:bookmarkStart w:id="178" w:name="_Toc21866"/>
            <w:bookmarkStart w:id="179" w:name="_Toc1539"/>
            <w:bookmarkStart w:id="180" w:name="_Toc26387"/>
            <w:bookmarkStart w:id="181" w:name="_Toc12904"/>
            <w:bookmarkStart w:id="182" w:name="_Toc31809"/>
            <w:bookmarkStart w:id="183" w:name="_Toc32048"/>
            <w:bookmarkStart w:id="184" w:name="_Toc14518"/>
            <w:bookmarkStart w:id="185" w:name="_Toc442"/>
            <w:bookmarkStart w:id="186" w:name="_Toc31242"/>
            <w:bookmarkStart w:id="187" w:name="_Toc21986"/>
            <w:bookmarkStart w:id="188" w:name="_Toc17507"/>
            <w:bookmarkStart w:id="189" w:name="_Toc21493"/>
            <w:bookmarkStart w:id="190" w:name="_Toc32423"/>
            <w:bookmarkStart w:id="191" w:name="_Toc22972"/>
            <w:bookmarkStart w:id="192" w:name="_Toc22861"/>
            <w:bookmarkStart w:id="193" w:name="_Toc141799129"/>
            <w:bookmarkStart w:id="194" w:name="_Toc4571"/>
            <w:bookmarkStart w:id="195" w:name="_Toc20878"/>
            <w:r>
              <w:rPr>
                <w:rFonts w:hint="eastAsia" w:asciiTheme="minorEastAsia" w:hAnsiTheme="minorEastAsia" w:eastAsiaTheme="minorEastAsia" w:cstheme="minorEastAsia"/>
                <w:b/>
                <w:color w:val="auto"/>
                <w:highlight w:val="none"/>
                <w:lang w:eastAsia="zh-CN"/>
              </w:rPr>
              <w:t>采购包</w:t>
            </w:r>
            <w:r>
              <w:rPr>
                <w:rFonts w:hint="eastAsia" w:asciiTheme="minorEastAsia" w:hAnsiTheme="minorEastAsia" w:eastAsiaTheme="minorEastAsia" w:cstheme="minorEastAsia"/>
                <w:b/>
                <w:color w:val="auto"/>
                <w:highlight w:val="none"/>
              </w:rPr>
              <w:t>编号</w:t>
            </w:r>
          </w:p>
        </w:tc>
        <w:tc>
          <w:tcPr>
            <w:tcW w:w="1413" w:type="dxa"/>
            <w:tcBorders>
              <w:top w:val="single" w:color="auto" w:sz="4" w:space="0"/>
              <w:left w:val="single" w:color="auto" w:sz="4" w:space="0"/>
              <w:bottom w:val="single" w:color="auto" w:sz="8" w:space="0"/>
              <w:right w:val="single" w:color="auto" w:sz="4" w:space="0"/>
            </w:tcBorders>
            <w:noWrap/>
            <w:vAlign w:val="center"/>
          </w:tcPr>
          <w:p w14:paraId="03220246">
            <w:pPr>
              <w:widowControl w:val="0"/>
              <w:tabs>
                <w:tab w:val="left" w:pos="5580"/>
              </w:tabs>
              <w:spacing w:line="240" w:lineRule="auto"/>
              <w:ind w:firstLine="0" w:firstLineChars="0"/>
              <w:jc w:val="center"/>
              <w:rPr>
                <w:rFonts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color w:val="auto"/>
                <w:highlight w:val="none"/>
                <w:lang w:eastAsia="zh-CN"/>
              </w:rPr>
              <w:t>采购包</w:t>
            </w:r>
            <w:r>
              <w:rPr>
                <w:rFonts w:hint="eastAsia" w:asciiTheme="minorEastAsia" w:hAnsiTheme="minorEastAsia" w:eastAsiaTheme="minorEastAsia" w:cstheme="minorEastAsia"/>
                <w:b/>
                <w:color w:val="auto"/>
                <w:highlight w:val="none"/>
              </w:rPr>
              <w:t>名称</w:t>
            </w:r>
          </w:p>
        </w:tc>
        <w:tc>
          <w:tcPr>
            <w:tcW w:w="2713" w:type="dxa"/>
            <w:tcBorders>
              <w:top w:val="single" w:color="auto" w:sz="4" w:space="0"/>
              <w:left w:val="single" w:color="auto" w:sz="4" w:space="0"/>
              <w:bottom w:val="single" w:color="auto" w:sz="8" w:space="0"/>
              <w:right w:val="single" w:color="auto" w:sz="4" w:space="0"/>
            </w:tcBorders>
            <w:noWrap/>
            <w:vAlign w:val="center"/>
          </w:tcPr>
          <w:p w14:paraId="16F84A14">
            <w:pPr>
              <w:widowControl w:val="0"/>
              <w:tabs>
                <w:tab w:val="left" w:pos="5580"/>
              </w:tabs>
              <w:spacing w:line="240" w:lineRule="auto"/>
              <w:ind w:left="25" w:leftChars="12" w:right="-199" w:firstLine="0" w:firstLineChars="0"/>
              <w:jc w:val="center"/>
              <w:rPr>
                <w:rFonts w:ascii="宋体" w:hAnsi="宋体" w:eastAsia="宋体" w:cs="宋体"/>
                <w:b/>
                <w:bCs/>
                <w:color w:val="auto"/>
                <w:sz w:val="21"/>
                <w:szCs w:val="24"/>
                <w:highlight w:val="none"/>
                <w14:ligatures w14:val="none"/>
              </w:rPr>
            </w:pPr>
            <w:r>
              <w:rPr>
                <w:rFonts w:hint="eastAsia" w:ascii="宋体" w:hAnsi="宋体" w:eastAsia="宋体" w:cs="宋体"/>
                <w:b/>
                <w:bCs/>
                <w:color w:val="auto"/>
                <w:sz w:val="21"/>
                <w:szCs w:val="24"/>
                <w:highlight w:val="none"/>
                <w14:ligatures w14:val="none"/>
              </w:rPr>
              <w:t>供应品名</w:t>
            </w:r>
          </w:p>
        </w:tc>
        <w:tc>
          <w:tcPr>
            <w:tcW w:w="1316" w:type="dxa"/>
            <w:tcBorders>
              <w:top w:val="single" w:color="auto" w:sz="4" w:space="0"/>
              <w:left w:val="single" w:color="auto" w:sz="4" w:space="0"/>
              <w:bottom w:val="single" w:color="auto" w:sz="8" w:space="0"/>
              <w:right w:val="single" w:color="auto" w:sz="4" w:space="0"/>
            </w:tcBorders>
            <w:noWrap/>
            <w:vAlign w:val="center"/>
          </w:tcPr>
          <w:p w14:paraId="69875F17">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采购包</w:t>
            </w:r>
            <w:r>
              <w:rPr>
                <w:rFonts w:hint="eastAsia" w:asciiTheme="minorEastAsia" w:hAnsiTheme="minorEastAsia" w:eastAsiaTheme="minorEastAsia" w:cstheme="minorEastAsia"/>
                <w:b/>
                <w:bCs/>
                <w:color w:val="auto"/>
                <w:szCs w:val="21"/>
                <w:highlight w:val="none"/>
              </w:rPr>
              <w:t>预算</w:t>
            </w:r>
          </w:p>
          <w:p w14:paraId="56E0CBB0">
            <w:pPr>
              <w:widowControl w:val="0"/>
              <w:tabs>
                <w:tab w:val="left" w:pos="5580"/>
              </w:tabs>
              <w:spacing w:line="240" w:lineRule="auto"/>
              <w:ind w:left="25" w:leftChars="12" w:right="-199" w:firstLine="0" w:firstLineChars="0"/>
              <w:jc w:val="center"/>
              <w:rPr>
                <w:rFonts w:hint="eastAsia"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bCs/>
                <w:color w:val="auto"/>
                <w:szCs w:val="21"/>
                <w:highlight w:val="none"/>
              </w:rPr>
              <w:t>（</w:t>
            </w:r>
            <w:r>
              <w:rPr>
                <w:rFonts w:hint="eastAsia" w:asciiTheme="minorEastAsia" w:hAnsiTheme="minorEastAsia" w:eastAsiaTheme="minorEastAsia" w:cstheme="minorEastAsia"/>
                <w:b/>
                <w:bCs/>
                <w:color w:val="auto"/>
                <w:szCs w:val="21"/>
                <w:highlight w:val="none"/>
                <w:lang w:val="en-US" w:eastAsia="zh-CN"/>
              </w:rPr>
              <w:t>万</w:t>
            </w:r>
            <w:r>
              <w:rPr>
                <w:rFonts w:hint="eastAsia" w:asciiTheme="minorEastAsia" w:hAnsiTheme="minorEastAsia" w:eastAsiaTheme="minorEastAsia" w:cstheme="minorEastAsia"/>
                <w:b/>
                <w:bCs/>
                <w:color w:val="auto"/>
                <w:szCs w:val="21"/>
                <w:highlight w:val="none"/>
              </w:rPr>
              <w:t>元）</w:t>
            </w:r>
          </w:p>
        </w:tc>
        <w:tc>
          <w:tcPr>
            <w:tcW w:w="2396" w:type="dxa"/>
            <w:tcBorders>
              <w:top w:val="single" w:color="auto" w:sz="4" w:space="0"/>
              <w:left w:val="single" w:color="auto" w:sz="4" w:space="0"/>
              <w:bottom w:val="single" w:color="auto" w:sz="8" w:space="0"/>
              <w:right w:val="single" w:color="auto" w:sz="4" w:space="0"/>
            </w:tcBorders>
            <w:noWrap/>
            <w:vAlign w:val="center"/>
          </w:tcPr>
          <w:p w14:paraId="5105573D">
            <w:pPr>
              <w:widowControl w:val="0"/>
              <w:tabs>
                <w:tab w:val="left" w:pos="5580"/>
              </w:tabs>
              <w:spacing w:line="240" w:lineRule="auto"/>
              <w:ind w:left="25" w:leftChars="12" w:right="-199" w:firstLine="0" w:firstLineChars="0"/>
              <w:jc w:val="center"/>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备注</w:t>
            </w:r>
          </w:p>
        </w:tc>
      </w:tr>
      <w:tr w14:paraId="6102F3A8">
        <w:tblPrEx>
          <w:tblCellMar>
            <w:top w:w="0" w:type="dxa"/>
            <w:left w:w="0" w:type="dxa"/>
            <w:bottom w:w="0" w:type="dxa"/>
            <w:right w:w="0" w:type="dxa"/>
          </w:tblCellMar>
        </w:tblPrEx>
        <w:trPr>
          <w:trHeight w:val="454" w:hRule="atLeast"/>
          <w:jc w:val="center"/>
        </w:trPr>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E29B6">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cs="宋体"/>
                <w:color w:val="auto"/>
                <w:kern w:val="0"/>
                <w:szCs w:val="21"/>
                <w:highlight w:val="none"/>
                <w:lang w:val="en-US" w:eastAsia="zh-CN"/>
              </w:rPr>
              <w:t>采购包</w:t>
            </w:r>
            <w:r>
              <w:rPr>
                <w:rFonts w:hint="eastAsia" w:ascii="宋体" w:hAnsi="宋体" w:cs="宋体"/>
                <w:color w:val="auto"/>
                <w:kern w:val="0"/>
                <w:szCs w:val="21"/>
                <w:highlight w:val="none"/>
              </w:rPr>
              <w:t>1</w:t>
            </w:r>
          </w:p>
        </w:tc>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EF27BA">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米油类</w:t>
            </w:r>
          </w:p>
        </w:tc>
        <w:tc>
          <w:tcPr>
            <w:tcW w:w="2713" w:type="dxa"/>
            <w:tcBorders>
              <w:top w:val="single" w:color="auto" w:sz="4" w:space="0"/>
              <w:left w:val="single" w:color="auto" w:sz="4" w:space="0"/>
              <w:bottom w:val="single" w:color="auto" w:sz="4" w:space="0"/>
              <w:right w:val="single" w:color="auto" w:sz="4" w:space="0"/>
            </w:tcBorders>
            <w:noWrap/>
            <w:vAlign w:val="center"/>
          </w:tcPr>
          <w:p w14:paraId="71663584">
            <w:pPr>
              <w:widowControl w:val="0"/>
              <w:tabs>
                <w:tab w:val="left" w:pos="5580"/>
              </w:tabs>
              <w:spacing w:line="240" w:lineRule="auto"/>
              <w:ind w:left="216" w:leftChars="103" w:right="277" w:rightChars="132" w:firstLine="0" w:firstLineChars="0"/>
              <w:jc w:val="left"/>
              <w:rPr>
                <w:rFonts w:hint="eastAsia"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大米</w:t>
            </w:r>
            <w:r>
              <w:rPr>
                <w:rFonts w:hint="eastAsia" w:ascii="宋体" w:hAnsi="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豆制品</w:t>
            </w:r>
            <w:r>
              <w:rPr>
                <w:rFonts w:hint="eastAsia" w:ascii="宋体" w:hAnsi="宋体" w:cs="宋体"/>
                <w:color w:val="auto"/>
                <w:spacing w:val="-1"/>
                <w:position w:val="17"/>
                <w:sz w:val="21"/>
                <w:szCs w:val="21"/>
                <w:highlight w:val="none"/>
                <w:lang w:eastAsia="zh-CN"/>
                <w14:ligatures w14:val="none"/>
              </w:rPr>
              <w:t>、</w:t>
            </w:r>
            <w:r>
              <w:rPr>
                <w:rFonts w:hint="eastAsia" w:ascii="宋体" w:hAnsi="宋体" w:cs="宋体"/>
                <w:color w:val="auto"/>
                <w:spacing w:val="-1"/>
                <w:position w:val="17"/>
                <w:sz w:val="21"/>
                <w:szCs w:val="21"/>
                <w:highlight w:val="none"/>
                <w:lang w:val="en-US" w:eastAsia="zh-CN"/>
                <w14:ligatures w14:val="none"/>
              </w:rPr>
              <w:t>食用盐、绵白糖、酱油、食用醋、料酒、腌制</w:t>
            </w:r>
            <w:r>
              <w:rPr>
                <w:rFonts w:hint="eastAsia" w:ascii="宋体" w:hAnsi="宋体" w:eastAsia="宋体" w:cs="宋体"/>
                <w:color w:val="auto"/>
                <w:spacing w:val="-1"/>
                <w:position w:val="17"/>
                <w:sz w:val="21"/>
                <w:szCs w:val="21"/>
                <w:highlight w:val="none"/>
                <w14:ligatures w14:val="none"/>
              </w:rPr>
              <w:t>小菜等。</w:t>
            </w:r>
          </w:p>
        </w:tc>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3DE7F8">
            <w:pPr>
              <w:widowControl/>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89.8</w:t>
            </w:r>
          </w:p>
        </w:tc>
        <w:tc>
          <w:tcPr>
            <w:tcW w:w="2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98D924">
            <w:pPr>
              <w:widowControl w:val="0"/>
              <w:tabs>
                <w:tab w:val="left" w:pos="5580"/>
              </w:tabs>
              <w:spacing w:line="240" w:lineRule="auto"/>
              <w:ind w:left="216" w:leftChars="103" w:right="277" w:rightChars="132" w:firstLine="0" w:firstLineChars="0"/>
              <w:jc w:val="left"/>
              <w:rPr>
                <w:rFonts w:hint="default" w:ascii="宋体" w:hAnsi="宋体" w:eastAsia="宋体" w:cs="宋体"/>
                <w:color w:val="auto"/>
                <w:spacing w:val="-1"/>
                <w:kern w:val="2"/>
                <w:position w:val="17"/>
                <w:sz w:val="21"/>
                <w:szCs w:val="21"/>
                <w:highlight w:val="none"/>
                <w:lang w:val="en-US" w:eastAsia="zh-CN" w:bidi="ar-SA"/>
                <w14:ligatures w14:val="none"/>
              </w:rPr>
            </w:pPr>
            <w:r>
              <w:rPr>
                <w:rFonts w:hint="eastAsia" w:ascii="宋体" w:hAnsi="宋体" w:cs="宋体"/>
                <w:color w:val="auto"/>
                <w:spacing w:val="-1"/>
                <w:position w:val="17"/>
                <w:sz w:val="21"/>
                <w:szCs w:val="21"/>
                <w:highlight w:val="none"/>
                <w:lang w:val="en-US" w:eastAsia="zh-CN"/>
                <w14:ligatures w14:val="none"/>
              </w:rPr>
              <w:t>其中</w:t>
            </w:r>
            <w:r>
              <w:rPr>
                <w:rFonts w:hint="eastAsia" w:ascii="宋体" w:hAnsi="宋体" w:eastAsia="宋体" w:cs="宋体"/>
                <w:color w:val="auto"/>
                <w:spacing w:val="-1"/>
                <w:position w:val="17"/>
                <w:sz w:val="21"/>
                <w:szCs w:val="21"/>
                <w:highlight w:val="none"/>
                <w:lang w:val="en-US" w:eastAsia="zh-CN"/>
                <w14:ligatures w14:val="none"/>
              </w:rPr>
              <w:t>大米：2.08元/斤；</w:t>
            </w:r>
            <w:r>
              <w:rPr>
                <w:rFonts w:hint="eastAsia" w:ascii="宋体" w:hAnsi="宋体" w:cs="宋体"/>
                <w:color w:val="auto"/>
                <w:spacing w:val="-1"/>
                <w:position w:val="17"/>
                <w:sz w:val="21"/>
                <w:szCs w:val="21"/>
                <w:highlight w:val="none"/>
                <w:lang w:val="en-US" w:eastAsia="zh-CN"/>
                <w14:ligatures w14:val="none"/>
              </w:rPr>
              <w:t>腌制</w:t>
            </w:r>
            <w:r>
              <w:rPr>
                <w:rFonts w:hint="eastAsia" w:ascii="宋体" w:hAnsi="宋体" w:eastAsia="宋体" w:cs="宋体"/>
                <w:color w:val="auto"/>
                <w:spacing w:val="-1"/>
                <w:position w:val="17"/>
                <w:sz w:val="21"/>
                <w:szCs w:val="21"/>
                <w:highlight w:val="none"/>
                <w:lang w:val="en-US" w:eastAsia="zh-CN"/>
                <w14:ligatures w14:val="none"/>
              </w:rPr>
              <w:t>小菜6元/斤。</w:t>
            </w:r>
          </w:p>
        </w:tc>
      </w:tr>
      <w:tr w14:paraId="667BAC12">
        <w:tblPrEx>
          <w:tblCellMar>
            <w:top w:w="0" w:type="dxa"/>
            <w:left w:w="0" w:type="dxa"/>
            <w:bottom w:w="0" w:type="dxa"/>
            <w:right w:w="0" w:type="dxa"/>
          </w:tblCellMar>
        </w:tblPrEx>
        <w:trPr>
          <w:trHeight w:val="454" w:hRule="atLeast"/>
          <w:jc w:val="center"/>
        </w:trPr>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5BD37D">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cs="宋体"/>
                <w:color w:val="auto"/>
                <w:kern w:val="0"/>
                <w:szCs w:val="21"/>
                <w:highlight w:val="none"/>
                <w:lang w:val="en-US" w:eastAsia="zh-CN"/>
              </w:rPr>
              <w:t>采购包</w:t>
            </w:r>
            <w:r>
              <w:rPr>
                <w:rFonts w:hint="eastAsia" w:ascii="宋体" w:hAnsi="宋体" w:cs="宋体"/>
                <w:color w:val="auto"/>
                <w:kern w:val="0"/>
                <w:szCs w:val="21"/>
                <w:highlight w:val="none"/>
              </w:rPr>
              <w:t>2</w:t>
            </w:r>
          </w:p>
        </w:tc>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9D9B58">
            <w:pPr>
              <w:widowControl/>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肉类</w:t>
            </w:r>
          </w:p>
        </w:tc>
        <w:tc>
          <w:tcPr>
            <w:tcW w:w="2713" w:type="dxa"/>
            <w:tcBorders>
              <w:top w:val="single" w:color="auto" w:sz="4" w:space="0"/>
              <w:left w:val="single" w:color="auto" w:sz="4" w:space="0"/>
              <w:bottom w:val="single" w:color="auto" w:sz="4" w:space="0"/>
              <w:right w:val="single" w:color="auto" w:sz="4" w:space="0"/>
            </w:tcBorders>
            <w:noWrap/>
            <w:vAlign w:val="center"/>
          </w:tcPr>
          <w:p w14:paraId="7FC3F776">
            <w:pPr>
              <w:widowControl w:val="0"/>
              <w:tabs>
                <w:tab w:val="left" w:pos="5580"/>
              </w:tabs>
              <w:spacing w:line="240" w:lineRule="auto"/>
              <w:ind w:left="216" w:leftChars="103" w:right="277" w:rightChars="132" w:firstLine="0" w:firstLineChars="0"/>
              <w:jc w:val="left"/>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猪肉，鸡肉，鸭肉，羊肉，牛肉等。</w:t>
            </w:r>
          </w:p>
        </w:tc>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F821B4">
            <w:pPr>
              <w:widowControl/>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58</w:t>
            </w:r>
          </w:p>
        </w:tc>
        <w:tc>
          <w:tcPr>
            <w:tcW w:w="2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4441F8">
            <w:pPr>
              <w:widowControl w:val="0"/>
              <w:tabs>
                <w:tab w:val="left" w:pos="5580"/>
              </w:tabs>
              <w:spacing w:line="240" w:lineRule="auto"/>
              <w:ind w:left="216" w:leftChars="103" w:right="277" w:rightChars="132" w:firstLine="0" w:firstLineChars="0"/>
              <w:jc w:val="left"/>
              <w:rPr>
                <w:rFonts w:hint="eastAsia" w:ascii="宋体" w:hAnsi="宋体" w:eastAsia="宋体" w:cs="宋体"/>
                <w:color w:val="auto"/>
                <w:spacing w:val="-1"/>
                <w:kern w:val="2"/>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lang w:val="en-US" w:eastAsia="zh-CN"/>
                <w14:ligatures w14:val="none"/>
              </w:rPr>
              <w:t>/</w:t>
            </w:r>
          </w:p>
        </w:tc>
      </w:tr>
      <w:tr w14:paraId="6FA0CE3D">
        <w:tblPrEx>
          <w:tblCellMar>
            <w:top w:w="0" w:type="dxa"/>
            <w:left w:w="0" w:type="dxa"/>
            <w:bottom w:w="0" w:type="dxa"/>
            <w:right w:w="0" w:type="dxa"/>
          </w:tblCellMar>
        </w:tblPrEx>
        <w:trPr>
          <w:trHeight w:val="454" w:hRule="atLeast"/>
          <w:jc w:val="center"/>
        </w:trPr>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D9D29C">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cs="宋体"/>
                <w:color w:val="auto"/>
                <w:kern w:val="0"/>
                <w:szCs w:val="21"/>
                <w:highlight w:val="none"/>
                <w:lang w:val="en-US" w:eastAsia="zh-CN"/>
              </w:rPr>
              <w:t>采购包3</w:t>
            </w:r>
          </w:p>
        </w:tc>
        <w:tc>
          <w:tcPr>
            <w:tcW w:w="14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29501B">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蔬菜类</w:t>
            </w:r>
          </w:p>
        </w:tc>
        <w:tc>
          <w:tcPr>
            <w:tcW w:w="2713" w:type="dxa"/>
            <w:tcBorders>
              <w:top w:val="single" w:color="auto" w:sz="4" w:space="0"/>
              <w:left w:val="single" w:color="auto" w:sz="4" w:space="0"/>
              <w:bottom w:val="single" w:color="auto" w:sz="4" w:space="0"/>
              <w:right w:val="single" w:color="auto" w:sz="4" w:space="0"/>
            </w:tcBorders>
            <w:noWrap/>
            <w:vAlign w:val="center"/>
          </w:tcPr>
          <w:p w14:paraId="1E39BE26">
            <w:pPr>
              <w:widowControl w:val="0"/>
              <w:tabs>
                <w:tab w:val="left" w:pos="5580"/>
              </w:tabs>
              <w:spacing w:line="240" w:lineRule="auto"/>
              <w:ind w:left="216" w:leftChars="103" w:right="277" w:rightChars="132" w:firstLine="0" w:firstLineChars="0"/>
              <w:jc w:val="left"/>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萝卜，大白菜，青菜，冬瓜，西红柿，包菜，豆芽等。</w:t>
            </w:r>
          </w:p>
        </w:tc>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BFB344">
            <w:pPr>
              <w:widowControl/>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74</w:t>
            </w:r>
          </w:p>
        </w:tc>
        <w:tc>
          <w:tcPr>
            <w:tcW w:w="2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113DB4">
            <w:pPr>
              <w:widowControl w:val="0"/>
              <w:tabs>
                <w:tab w:val="left" w:pos="5580"/>
              </w:tabs>
              <w:spacing w:line="240" w:lineRule="auto"/>
              <w:ind w:left="216" w:leftChars="103" w:right="277" w:rightChars="132" w:firstLine="0" w:firstLineChars="0"/>
              <w:jc w:val="left"/>
              <w:rPr>
                <w:rFonts w:hint="eastAsia" w:ascii="宋体" w:hAnsi="宋体" w:eastAsia="宋体" w:cs="宋体"/>
                <w:color w:val="auto"/>
                <w:spacing w:val="-1"/>
                <w:kern w:val="2"/>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lang w:val="en-US" w:eastAsia="zh-CN"/>
                <w14:ligatures w14:val="none"/>
              </w:rPr>
              <w:t>/</w:t>
            </w:r>
          </w:p>
        </w:tc>
      </w:tr>
      <w:tr w14:paraId="5BF2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413" w:type="dxa"/>
            <w:shd w:val="clear" w:color="auto" w:fill="auto"/>
            <w:noWrap/>
            <w:vAlign w:val="center"/>
          </w:tcPr>
          <w:p w14:paraId="0CE969E4">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cs="宋体"/>
                <w:color w:val="auto"/>
                <w:kern w:val="0"/>
                <w:szCs w:val="21"/>
                <w:highlight w:val="none"/>
                <w:lang w:val="en-US" w:eastAsia="zh-CN"/>
              </w:rPr>
              <w:t>采购包4</w:t>
            </w:r>
          </w:p>
        </w:tc>
        <w:tc>
          <w:tcPr>
            <w:tcW w:w="1413" w:type="dxa"/>
            <w:shd w:val="clear" w:color="auto" w:fill="auto"/>
            <w:noWrap/>
            <w:vAlign w:val="center"/>
          </w:tcPr>
          <w:p w14:paraId="72417100">
            <w:pPr>
              <w:widowControl/>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水果及其他副食品类</w:t>
            </w:r>
          </w:p>
        </w:tc>
        <w:tc>
          <w:tcPr>
            <w:tcW w:w="2713" w:type="dxa"/>
            <w:noWrap/>
            <w:vAlign w:val="center"/>
          </w:tcPr>
          <w:p w14:paraId="15ABE452">
            <w:pPr>
              <w:widowControl w:val="0"/>
              <w:tabs>
                <w:tab w:val="left" w:pos="5580"/>
              </w:tabs>
              <w:spacing w:line="240" w:lineRule="auto"/>
              <w:ind w:left="216" w:leftChars="103" w:right="277" w:rightChars="132" w:firstLine="0" w:firstLineChars="0"/>
              <w:jc w:val="left"/>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香蕉、鸡蛋</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牛奶</w:t>
            </w:r>
            <w:r>
              <w:rPr>
                <w:rFonts w:hint="eastAsia" w:ascii="宋体" w:hAnsi="宋体" w:eastAsia="宋体" w:cs="宋体"/>
                <w:color w:val="auto"/>
                <w:spacing w:val="-1"/>
                <w:position w:val="17"/>
                <w:sz w:val="21"/>
                <w:szCs w:val="21"/>
                <w:highlight w:val="none"/>
                <w:lang w:eastAsia="zh-CN"/>
                <w14:ligatures w14:val="none"/>
              </w:rPr>
              <w:t>、馒头</w:t>
            </w:r>
            <w:r>
              <w:rPr>
                <w:rFonts w:hint="eastAsia" w:ascii="宋体" w:hAnsi="宋体" w:eastAsia="宋体" w:cs="宋体"/>
                <w:color w:val="auto"/>
                <w:spacing w:val="-1"/>
                <w:position w:val="17"/>
                <w:sz w:val="21"/>
                <w:szCs w:val="21"/>
                <w:highlight w:val="none"/>
                <w14:ligatures w14:val="none"/>
              </w:rPr>
              <w:t>等。</w:t>
            </w:r>
          </w:p>
        </w:tc>
        <w:tc>
          <w:tcPr>
            <w:tcW w:w="1316" w:type="dxa"/>
            <w:shd w:val="clear" w:color="auto" w:fill="auto"/>
            <w:noWrap/>
            <w:vAlign w:val="center"/>
          </w:tcPr>
          <w:p w14:paraId="38E18B23">
            <w:pPr>
              <w:widowControl/>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69</w:t>
            </w:r>
          </w:p>
        </w:tc>
        <w:tc>
          <w:tcPr>
            <w:tcW w:w="2396" w:type="dxa"/>
            <w:shd w:val="clear" w:color="auto" w:fill="auto"/>
            <w:noWrap/>
            <w:vAlign w:val="center"/>
          </w:tcPr>
          <w:p w14:paraId="3F17D904">
            <w:pPr>
              <w:widowControl w:val="0"/>
              <w:tabs>
                <w:tab w:val="left" w:pos="5580"/>
              </w:tabs>
              <w:spacing w:line="240" w:lineRule="auto"/>
              <w:ind w:left="216" w:leftChars="103" w:right="277" w:rightChars="132" w:firstLine="0" w:firstLineChars="0"/>
              <w:jc w:val="left"/>
              <w:rPr>
                <w:rFonts w:hint="eastAsia" w:ascii="宋体" w:hAnsi="宋体" w:eastAsia="宋体" w:cs="宋体"/>
                <w:color w:val="auto"/>
                <w:spacing w:val="-1"/>
                <w:kern w:val="2"/>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14:ligatures w14:val="none"/>
              </w:rPr>
              <w:t>牛奶</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3.5</w:t>
            </w:r>
            <w:r>
              <w:rPr>
                <w:rFonts w:hint="eastAsia" w:ascii="宋体" w:hAnsi="宋体" w:eastAsia="宋体" w:cs="宋体"/>
                <w:color w:val="auto"/>
                <w:spacing w:val="-1"/>
                <w:position w:val="17"/>
                <w:sz w:val="21"/>
                <w:szCs w:val="21"/>
                <w:highlight w:val="none"/>
                <w:lang w:val="en-US" w:eastAsia="zh-CN"/>
                <w14:ligatures w14:val="none"/>
              </w:rPr>
              <w:t>元</w:t>
            </w:r>
            <w:r>
              <w:rPr>
                <w:rFonts w:hint="eastAsia" w:ascii="宋体" w:hAnsi="宋体" w:eastAsia="宋体" w:cs="宋体"/>
                <w:color w:val="auto"/>
                <w:spacing w:val="-1"/>
                <w:position w:val="17"/>
                <w:sz w:val="21"/>
                <w:szCs w:val="21"/>
                <w:highlight w:val="none"/>
                <w14:ligatures w14:val="none"/>
              </w:rPr>
              <w:t>/袋</w:t>
            </w:r>
            <w:r>
              <w:rPr>
                <w:rFonts w:hint="eastAsia" w:ascii="宋体" w:hAnsi="宋体" w:cs="宋体"/>
                <w:color w:val="auto"/>
                <w:spacing w:val="-1"/>
                <w:position w:val="17"/>
                <w:sz w:val="21"/>
                <w:szCs w:val="21"/>
                <w:highlight w:val="none"/>
                <w:lang w:eastAsia="zh-CN"/>
                <w14:ligatures w14:val="none"/>
              </w:rPr>
              <w:t>（</w:t>
            </w:r>
            <w:r>
              <w:rPr>
                <w:rFonts w:hint="eastAsia" w:ascii="宋体" w:hAnsi="宋体" w:cs="宋体"/>
                <w:color w:val="auto"/>
                <w:spacing w:val="-1"/>
                <w:position w:val="17"/>
                <w:sz w:val="21"/>
                <w:szCs w:val="21"/>
                <w:highlight w:val="none"/>
                <w:lang w:val="en-US" w:eastAsia="zh-CN"/>
                <w14:ligatures w14:val="none"/>
              </w:rPr>
              <w:t>220ml/袋</w:t>
            </w:r>
            <w:r>
              <w:rPr>
                <w:rFonts w:hint="eastAsia" w:ascii="宋体" w:hAnsi="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香蕉</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5元/斤</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煮鸡蛋</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1.3</w:t>
            </w:r>
            <w:r>
              <w:rPr>
                <w:rFonts w:hint="eastAsia" w:ascii="宋体" w:hAnsi="宋体" w:eastAsia="宋体" w:cs="宋体"/>
                <w:color w:val="auto"/>
                <w:spacing w:val="-1"/>
                <w:position w:val="17"/>
                <w:sz w:val="21"/>
                <w:szCs w:val="21"/>
                <w:highlight w:val="none"/>
                <w:lang w:val="en-US" w:eastAsia="zh-CN"/>
                <w14:ligatures w14:val="none"/>
              </w:rPr>
              <w:t>元</w:t>
            </w:r>
            <w:r>
              <w:rPr>
                <w:rFonts w:hint="eastAsia" w:ascii="宋体" w:hAnsi="宋体" w:eastAsia="宋体" w:cs="宋体"/>
                <w:color w:val="auto"/>
                <w:spacing w:val="-1"/>
                <w:position w:val="17"/>
                <w:sz w:val="21"/>
                <w:szCs w:val="21"/>
                <w:highlight w:val="none"/>
                <w14:ligatures w14:val="none"/>
              </w:rPr>
              <w:t>/个</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馒头</w:t>
            </w:r>
            <w:r>
              <w:rPr>
                <w:rFonts w:hint="eastAsia" w:ascii="宋体" w:hAnsi="宋体" w:eastAsia="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14:ligatures w14:val="none"/>
              </w:rPr>
              <w:t>1.2</w:t>
            </w:r>
            <w:r>
              <w:rPr>
                <w:rFonts w:hint="eastAsia" w:ascii="宋体" w:hAnsi="宋体" w:eastAsia="宋体" w:cs="宋体"/>
                <w:color w:val="auto"/>
                <w:spacing w:val="-1"/>
                <w:position w:val="17"/>
                <w:sz w:val="21"/>
                <w:szCs w:val="21"/>
                <w:highlight w:val="none"/>
                <w:lang w:val="en-US" w:eastAsia="zh-CN"/>
                <w14:ligatures w14:val="none"/>
              </w:rPr>
              <w:t>元</w:t>
            </w:r>
            <w:r>
              <w:rPr>
                <w:rFonts w:hint="eastAsia" w:ascii="宋体" w:hAnsi="宋体" w:eastAsia="宋体" w:cs="宋体"/>
                <w:color w:val="auto"/>
                <w:spacing w:val="-1"/>
                <w:position w:val="17"/>
                <w:sz w:val="21"/>
                <w:szCs w:val="21"/>
                <w:highlight w:val="none"/>
                <w14:ligatures w14:val="none"/>
              </w:rPr>
              <w:t>/个</w:t>
            </w:r>
            <w:r>
              <w:rPr>
                <w:rFonts w:hint="eastAsia" w:ascii="宋体" w:hAnsi="宋体" w:cs="宋体"/>
                <w:color w:val="auto"/>
                <w:spacing w:val="-1"/>
                <w:position w:val="17"/>
                <w:sz w:val="21"/>
                <w:szCs w:val="21"/>
                <w:highlight w:val="none"/>
                <w:lang w:eastAsia="zh-CN"/>
                <w14:ligatures w14:val="none"/>
              </w:rPr>
              <w:t>（</w:t>
            </w:r>
            <w:r>
              <w:rPr>
                <w:rFonts w:hint="eastAsia" w:ascii="宋体" w:hAnsi="宋体" w:cs="宋体"/>
                <w:color w:val="auto"/>
                <w:spacing w:val="-1"/>
                <w:position w:val="17"/>
                <w:sz w:val="21"/>
                <w:szCs w:val="21"/>
                <w:highlight w:val="none"/>
                <w:lang w:val="en-US" w:eastAsia="zh-CN"/>
                <w14:ligatures w14:val="none"/>
              </w:rPr>
              <w:t>125g/个</w:t>
            </w:r>
            <w:r>
              <w:rPr>
                <w:rFonts w:hint="eastAsia" w:ascii="宋体" w:hAnsi="宋体" w:cs="宋体"/>
                <w:color w:val="auto"/>
                <w:spacing w:val="-1"/>
                <w:position w:val="17"/>
                <w:sz w:val="21"/>
                <w:szCs w:val="21"/>
                <w:highlight w:val="none"/>
                <w:lang w:eastAsia="zh-CN"/>
                <w14:ligatures w14:val="none"/>
              </w:rPr>
              <w:t>）</w:t>
            </w:r>
            <w:r>
              <w:rPr>
                <w:rFonts w:hint="eastAsia" w:ascii="宋体" w:hAnsi="宋体" w:eastAsia="宋体" w:cs="宋体"/>
                <w:color w:val="auto"/>
                <w:spacing w:val="-1"/>
                <w:position w:val="17"/>
                <w:sz w:val="21"/>
                <w:szCs w:val="21"/>
                <w:highlight w:val="none"/>
                <w:lang w:eastAsia="zh-CN"/>
                <w14:ligatures w14:val="none"/>
              </w:rPr>
              <w:t>。</w:t>
            </w:r>
          </w:p>
        </w:tc>
      </w:tr>
    </w:tbl>
    <w:p w14:paraId="0E315575">
      <w:pPr>
        <w:spacing w:line="360" w:lineRule="auto"/>
        <w:ind w:firstLine="424" w:firstLineChars="201"/>
        <w:rPr>
          <w:rFonts w:hint="eastAsia" w:ascii="宋体" w:hAnsi="宋体" w:cs="宋体"/>
          <w:b/>
          <w:bCs/>
          <w:color w:val="auto"/>
          <w:szCs w:val="21"/>
        </w:rPr>
      </w:pPr>
      <w:r>
        <w:rPr>
          <w:rFonts w:hint="eastAsia" w:ascii="宋体" w:hAnsi="宋体" w:cs="宋体"/>
          <w:b/>
          <w:bCs/>
          <w:color w:val="auto"/>
          <w:szCs w:val="21"/>
        </w:rPr>
        <w:t>说明：</w:t>
      </w:r>
    </w:p>
    <w:p w14:paraId="65BA5EB8">
      <w:pPr>
        <w:spacing w:line="360" w:lineRule="auto"/>
        <w:ind w:firstLine="424" w:firstLineChars="201"/>
        <w:rPr>
          <w:rFonts w:hint="eastAsia" w:ascii="宋体" w:hAnsi="宋体" w:cs="宋体"/>
          <w:b/>
          <w:bCs/>
          <w:color w:val="auto"/>
          <w:szCs w:val="21"/>
        </w:rPr>
      </w:pPr>
      <w:r>
        <w:rPr>
          <w:rFonts w:hint="eastAsia" w:ascii="宋体" w:hAnsi="宋体" w:cs="宋体"/>
          <w:b/>
          <w:bCs/>
          <w:color w:val="auto"/>
          <w:szCs w:val="21"/>
        </w:rPr>
        <w:t>1、</w:t>
      </w:r>
      <w:r>
        <w:rPr>
          <w:rFonts w:hint="eastAsia" w:ascii="宋体" w:hAnsi="宋体" w:cs="宋体"/>
          <w:b/>
          <w:bCs/>
          <w:color w:val="auto"/>
          <w:szCs w:val="21"/>
          <w:lang w:val="en-US" w:eastAsia="zh-CN"/>
        </w:rPr>
        <w:t>上表“备注”里明确了部分产品的单价，该价格属不可竞争费，供应商在报价或结算时必须完全保留，不得调整或取消。结算时，该部分产品的价格按照采购文件列明的单价进行结算，无需按中标优惠率优惠后的单价进行结算。</w:t>
      </w:r>
    </w:p>
    <w:p w14:paraId="492A2566">
      <w:pPr>
        <w:spacing w:line="360" w:lineRule="auto"/>
        <w:ind w:firstLine="424" w:firstLineChars="201"/>
        <w:rPr>
          <w:rFonts w:ascii="宋体" w:hAnsi="宋体" w:cs="宋体"/>
          <w:color w:val="auto"/>
          <w:lang w:val="zh-CN"/>
        </w:rPr>
      </w:pPr>
      <w:r>
        <w:rPr>
          <w:rFonts w:hint="eastAsia" w:ascii="宋体" w:hAnsi="宋体" w:cs="宋体"/>
          <w:b/>
          <w:bCs/>
          <w:color w:val="auto"/>
          <w:szCs w:val="21"/>
        </w:rPr>
        <w:t>2、采购人支付给各</w:t>
      </w:r>
      <w:r>
        <w:rPr>
          <w:rFonts w:hint="eastAsia" w:ascii="宋体" w:hAnsi="宋体" w:cs="宋体"/>
          <w:b/>
          <w:bCs/>
          <w:color w:val="auto"/>
          <w:szCs w:val="21"/>
          <w:lang w:val="en-US" w:eastAsia="zh-CN"/>
        </w:rPr>
        <w:t>采购</w:t>
      </w:r>
      <w:r>
        <w:rPr>
          <w:rFonts w:hint="eastAsia" w:ascii="宋体" w:hAnsi="宋体" w:cs="宋体"/>
          <w:b/>
          <w:bCs/>
          <w:color w:val="auto"/>
          <w:szCs w:val="21"/>
        </w:rPr>
        <w:t>包供应商的总费用不得超过所中</w:t>
      </w:r>
      <w:r>
        <w:rPr>
          <w:rFonts w:hint="eastAsia" w:ascii="宋体" w:hAnsi="宋体" w:cs="宋体"/>
          <w:b/>
          <w:bCs/>
          <w:color w:val="auto"/>
          <w:szCs w:val="21"/>
          <w:lang w:val="en-US" w:eastAsia="zh-CN"/>
        </w:rPr>
        <w:t>采购</w:t>
      </w:r>
      <w:r>
        <w:rPr>
          <w:rFonts w:hint="eastAsia" w:ascii="宋体" w:hAnsi="宋体" w:cs="宋体"/>
          <w:b/>
          <w:bCs/>
          <w:color w:val="auto"/>
          <w:szCs w:val="21"/>
        </w:rPr>
        <w:t>包的预算。</w:t>
      </w:r>
    </w:p>
    <w:p w14:paraId="5D61629C">
      <w:pPr>
        <w:autoSpaceDE w:val="0"/>
        <w:autoSpaceDN w:val="0"/>
        <w:adjustRightInd w:val="0"/>
        <w:ind w:left="-15" w:hanging="105"/>
        <w:jc w:val="left"/>
        <w:rPr>
          <w:rFonts w:hint="eastAsia" w:asciiTheme="minorEastAsia" w:hAnsiTheme="minorEastAsia" w:eastAsiaTheme="minorEastAsia" w:cstheme="minorEastAsia"/>
          <w:b/>
          <w:color w:val="auto"/>
          <w:szCs w:val="21"/>
          <w:highlight w:val="none"/>
          <w:lang w:val="zh-CN"/>
        </w:rPr>
      </w:pPr>
    </w:p>
    <w:p w14:paraId="06343138">
      <w:pPr>
        <w:rPr>
          <w:rFonts w:hint="eastAsia" w:asciiTheme="minorEastAsia" w:hAnsiTheme="minorEastAsia" w:eastAsiaTheme="minorEastAsia" w:cstheme="minorEastAsia"/>
          <w:color w:val="auto"/>
          <w:szCs w:val="21"/>
          <w:highlight w:val="none"/>
        </w:rPr>
      </w:pPr>
    </w:p>
    <w:bookmarkEnd w:id="175"/>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14:paraId="4B6FB0DE">
      <w:pPr>
        <w:spacing w:line="360" w:lineRule="auto"/>
        <w:outlineLvl w:val="1"/>
        <w:rPr>
          <w:rFonts w:hint="eastAsia" w:asciiTheme="minorEastAsia" w:hAnsiTheme="minorEastAsia" w:eastAsiaTheme="minorEastAsia" w:cstheme="minorEastAsia"/>
          <w:b/>
          <w:bCs/>
          <w:color w:val="auto"/>
          <w:sz w:val="28"/>
          <w:szCs w:val="28"/>
          <w:highlight w:val="none"/>
        </w:rPr>
      </w:pPr>
      <w:bookmarkStart w:id="196" w:name="_Toc151986699"/>
      <w:bookmarkStart w:id="197" w:name="_Toc30384"/>
      <w:bookmarkStart w:id="198" w:name="_Toc30136"/>
      <w:r>
        <w:rPr>
          <w:rFonts w:hint="eastAsia" w:asciiTheme="minorEastAsia" w:hAnsiTheme="minorEastAsia" w:eastAsiaTheme="minorEastAsia" w:cstheme="minorEastAsia"/>
          <w:b/>
          <w:bCs/>
          <w:color w:val="auto"/>
          <w:sz w:val="28"/>
          <w:szCs w:val="28"/>
          <w:highlight w:val="none"/>
        </w:rPr>
        <w:t>三、技术要求</w:t>
      </w:r>
      <w:bookmarkEnd w:id="196"/>
      <w:bookmarkEnd w:id="197"/>
      <w:bookmarkEnd w:id="198"/>
    </w:p>
    <w:p w14:paraId="56346977">
      <w:pPr>
        <w:spacing w:line="360" w:lineRule="auto"/>
        <w:outlineLvl w:val="2"/>
        <w:rPr>
          <w:rFonts w:hint="eastAsia" w:asciiTheme="minorEastAsia" w:hAnsiTheme="minorEastAsia" w:eastAsiaTheme="minorEastAsia" w:cstheme="minorEastAsia"/>
          <w:b/>
          <w:bCs/>
          <w:color w:val="auto"/>
          <w:sz w:val="24"/>
          <w:highlight w:val="none"/>
        </w:rPr>
      </w:pPr>
      <w:bookmarkStart w:id="199" w:name="_Toc24535"/>
      <w:bookmarkStart w:id="200" w:name="_Toc3910"/>
      <w:bookmarkStart w:id="201" w:name="_Toc151986700"/>
      <w:bookmarkStart w:id="202" w:name="_Hlk106872678"/>
      <w:r>
        <w:rPr>
          <w:rFonts w:hint="eastAsia" w:asciiTheme="minorEastAsia" w:hAnsiTheme="minorEastAsia" w:eastAsiaTheme="minorEastAsia" w:cstheme="minorEastAsia"/>
          <w:b/>
          <w:bCs/>
          <w:color w:val="auto"/>
          <w:sz w:val="24"/>
          <w:highlight w:val="none"/>
        </w:rPr>
        <w:t>（一）产品质量要求</w:t>
      </w:r>
      <w:bookmarkEnd w:id="199"/>
    </w:p>
    <w:p w14:paraId="3F529E58">
      <w:pPr>
        <w:spacing w:line="360" w:lineRule="auto"/>
        <w:outlineLvl w:val="3"/>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1.质量标准：</w:t>
      </w:r>
      <w:bookmarkEnd w:id="200"/>
      <w:bookmarkEnd w:id="201"/>
    </w:p>
    <w:p w14:paraId="2816FB18">
      <w:pPr>
        <w:spacing w:line="360" w:lineRule="auto"/>
        <w:ind w:firstLine="35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Cs w:val="21"/>
          <w:highlight w:val="none"/>
        </w:rPr>
        <w:t>在供应商供货期间，货物质量需满足国家质量标准、食品安全标准和卫生标准均应符合现行国家或行业标准。</w:t>
      </w:r>
      <w:r>
        <w:rPr>
          <w:rFonts w:hint="eastAsia" w:asciiTheme="minorEastAsia" w:hAnsiTheme="minorEastAsia" w:eastAsiaTheme="minorEastAsia" w:cstheme="minorEastAsia"/>
          <w:b/>
          <w:color w:val="auto"/>
          <w:szCs w:val="21"/>
          <w:highlight w:val="none"/>
          <w:lang w:eastAsia="zh-CN"/>
        </w:rPr>
        <w:t>采购人</w:t>
      </w:r>
      <w:r>
        <w:rPr>
          <w:rFonts w:hint="eastAsia" w:asciiTheme="minorEastAsia" w:hAnsiTheme="minorEastAsia" w:eastAsiaTheme="minorEastAsia" w:cstheme="minorEastAsia"/>
          <w:b/>
          <w:color w:val="auto"/>
          <w:szCs w:val="21"/>
          <w:highlight w:val="none"/>
        </w:rPr>
        <w:t>要求的标准若已废止或有调整的，以最新标准执行。</w:t>
      </w:r>
      <w:bookmarkEnd w:id="202"/>
    </w:p>
    <w:p w14:paraId="1688BB15">
      <w:pPr>
        <w:spacing w:line="360" w:lineRule="auto"/>
        <w:ind w:firstLine="35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中标供应商出现因食品质量导致食物中毒的事故发生，中标供应商承担一切法律责任，并取消其供货资格。</w:t>
      </w:r>
    </w:p>
    <w:p w14:paraId="29138A16">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大米配送标准：颗粒整齐饱满，含水量</w:t>
      </w:r>
      <w:r>
        <w:rPr>
          <w:rFonts w:hint="eastAsia" w:asciiTheme="minorEastAsia" w:hAnsiTheme="minorEastAsia" w:eastAsiaTheme="minorEastAsia" w:cstheme="minorEastAsia"/>
          <w:color w:val="auto"/>
          <w:szCs w:val="21"/>
          <w:highlight w:val="none"/>
          <w:lang w:val="en-US" w:eastAsia="zh-CN"/>
        </w:rPr>
        <w:t>小于等于</w:t>
      </w:r>
      <w:r>
        <w:rPr>
          <w:rFonts w:hint="eastAsia" w:asciiTheme="minorEastAsia" w:hAnsiTheme="minorEastAsia" w:eastAsiaTheme="minorEastAsia" w:cstheme="minorEastAsia"/>
          <w:color w:val="auto"/>
          <w:szCs w:val="21"/>
          <w:highlight w:val="none"/>
        </w:rPr>
        <w:t>规定标准，无杂质、杂米。</w:t>
      </w:r>
    </w:p>
    <w:p w14:paraId="2600319A">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 肉类及其制品配送标准：肉类及其制品必须符合国家标准。配送所需的肉类应由规模养殖场提供经农业部门检测、检疫合格的鲜活健康肉源，经定点屠宰厂屠宰加工并检验合格；配送工具必须符合卫生要求，不得与其他货物混装，防止肉品二次污染。</w:t>
      </w:r>
    </w:p>
    <w:p w14:paraId="39AB85A2">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 xml:space="preserve">3 </w:t>
      </w:r>
      <w:r>
        <w:rPr>
          <w:rFonts w:hint="eastAsia" w:asciiTheme="minorEastAsia" w:hAnsiTheme="minorEastAsia" w:eastAsiaTheme="minorEastAsia" w:cstheme="minorEastAsia"/>
          <w:color w:val="auto"/>
          <w:szCs w:val="21"/>
          <w:highlight w:val="none"/>
        </w:rPr>
        <w:t>豆制品质量要求：必须符合GB 2711-2014《食品安全国家标准 面筋制品》标准、GB 2712-2014《食品安全国家标准 豆制品》、非发酵豆制品必须符合GB/T 22106-2008标准等，对豆制品的有关安全健康指标符合国家规定。</w:t>
      </w:r>
    </w:p>
    <w:p w14:paraId="177A297F">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 xml:space="preserve"> 蔬菜质量要求：蔬菜为新鲜蔬菜，质量必须符合国家食品卫生管理规定：</w:t>
      </w:r>
    </w:p>
    <w:p w14:paraId="6B72A186">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（1）农药残留不得超过《食品中农药最大残留限量》国家标准；若供应期内有新国标出台，按最新规定执行。</w:t>
      </w:r>
    </w:p>
    <w:p w14:paraId="4D71031D">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（2）不得提供腐烂变质、黄叶、烂叶及带泥巴的蔬菜。</w:t>
      </w:r>
    </w:p>
    <w:p w14:paraId="6892339D">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（3）蔬菜外表不得人为喷洒水分和有过多的虫孔。</w:t>
      </w:r>
    </w:p>
    <w:p w14:paraId="6BC6BDBF">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（4）不得提供过长的菜头和菜根。</w:t>
      </w:r>
    </w:p>
    <w:p w14:paraId="597317ED">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（5）叶菜类：叶肥鲜嫩、无病虫害，无散黄叶，不出苔。大白菜、包菜要求包心紧实。</w:t>
      </w:r>
    </w:p>
    <w:p w14:paraId="03F54884">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（6）根、茎菜类：个大、形正，表面光滑、无叉，质脆嫩，不伤、不裂、不烂。</w:t>
      </w:r>
    </w:p>
    <w:p w14:paraId="439F2745">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（7）果菜类：个大均匀，果形周正、肥嫩，无畸形、无虫害，无伤，不烂。</w:t>
      </w:r>
    </w:p>
    <w:p w14:paraId="33D304FF">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（8）花菜类：花球鲜嫩，紧实肥大，不烂，无虫害。</w:t>
      </w:r>
    </w:p>
    <w:p w14:paraId="622C0C6E">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（9）食用菌类：色泽鲜艳，无霉烂，无异味。</w:t>
      </w:r>
    </w:p>
    <w:p w14:paraId="521A4A3B">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（10）其他类：无异味，无变质，无杂质。</w:t>
      </w:r>
    </w:p>
    <w:p w14:paraId="0BAA2CF2">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（11）所有配送生鲜蔬菜计价重量均为净重，即不含包装箱、筐等重量。</w:t>
      </w:r>
    </w:p>
    <w:p w14:paraId="70C30600">
      <w:pPr>
        <w:tabs>
          <w:tab w:val="left" w:pos="720"/>
        </w:tabs>
        <w:spacing w:line="360" w:lineRule="auto"/>
        <w:ind w:right="18"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 xml:space="preserve"> 调味品质量要求：食用盐必须符合GB/T5461-2016标准，酱油必须符合GB 2717-2018标准，味精必须符合GB 2720-2015标准，生粉（淀粉制品）必须符合GB 2713-2015标准，食糖必须符合GB 13104-2014卫生标准，食醋必须符合GB/T 18187-2000标准，酿造食醋必须符合GB18187-2000标准。</w:t>
      </w:r>
    </w:p>
    <w:p w14:paraId="177D428A">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鲜蛋质量要求：大小均匀、蛋壳清洁完整、无裂纹，灯光透视时无黑点、无异物、呈微红色，去壳后蛋黄呈橘黄色至橙色凸起完整并有韧性、蛋白澄清透明稀稠分明、无正常视力可见外来异物、具有固有的蛋腥味、无异味</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w:t>
      </w:r>
    </w:p>
    <w:p w14:paraId="4E04CA45">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水果：新鲜水果，须为非转基因产品，个头均匀，无斑点，无破损，果实成熟新鲜，对水果中有害物质严格控制在标准规定范围之内。</w:t>
      </w:r>
    </w:p>
    <w:p w14:paraId="54E26FFF">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奶制品：食材包装及外观干净、整洁，生产日期、保质期、贮藏条件标识清晰，须在保质期内；符合国家标准。</w:t>
      </w:r>
    </w:p>
    <w:p w14:paraId="6DA26F47">
      <w:pPr>
        <w:spacing w:line="360" w:lineRule="auto"/>
        <w:outlineLvl w:val="2"/>
        <w:rPr>
          <w:rFonts w:hint="default" w:asciiTheme="minorEastAsia" w:hAnsiTheme="minorEastAsia" w:eastAsiaTheme="minorEastAsia" w:cstheme="minorEastAsia"/>
          <w:b/>
          <w:bCs/>
          <w:color w:val="auto"/>
          <w:sz w:val="24"/>
          <w:highlight w:val="none"/>
        </w:rPr>
      </w:pPr>
      <w:bookmarkStart w:id="203" w:name="_Toc16066"/>
      <w:bookmarkStart w:id="204" w:name="_Toc151986703"/>
      <w:bookmarkStart w:id="205" w:name="_Toc21773"/>
      <w:r>
        <w:rPr>
          <w:rFonts w:hint="default" w:asciiTheme="minorEastAsia" w:hAnsiTheme="minorEastAsia" w:eastAsiaTheme="minorEastAsia" w:cstheme="minorEastAsia"/>
          <w:b/>
          <w:bCs/>
          <w:color w:val="auto"/>
          <w:sz w:val="24"/>
          <w:highlight w:val="none"/>
        </w:rPr>
        <w:t>（二）供货方式</w:t>
      </w:r>
      <w:bookmarkEnd w:id="203"/>
    </w:p>
    <w:p w14:paraId="282B0665">
      <w:pPr>
        <w:spacing w:line="360" w:lineRule="auto"/>
        <w:ind w:firstLine="420"/>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1、中标</w:t>
      </w:r>
      <w:r>
        <w:rPr>
          <w:rFonts w:hint="eastAsia" w:asciiTheme="minorEastAsia" w:hAnsiTheme="minorEastAsia" w:eastAsiaTheme="minorEastAsia" w:cstheme="minorEastAsia"/>
          <w:color w:val="auto"/>
          <w:szCs w:val="21"/>
          <w:highlight w:val="none"/>
          <w:lang w:val="en-US" w:eastAsia="zh-CN"/>
        </w:rPr>
        <w:t>供应商</w:t>
      </w:r>
      <w:r>
        <w:rPr>
          <w:rFonts w:hint="default" w:asciiTheme="minorEastAsia" w:hAnsiTheme="minorEastAsia" w:eastAsiaTheme="minorEastAsia" w:cstheme="minorEastAsia"/>
          <w:color w:val="auto"/>
          <w:szCs w:val="21"/>
          <w:highlight w:val="none"/>
        </w:rPr>
        <w:t>每天提供的食材数量和品种</w:t>
      </w:r>
      <w:r>
        <w:rPr>
          <w:rFonts w:hint="eastAsia" w:asciiTheme="minorEastAsia" w:hAnsiTheme="minorEastAsia" w:eastAsiaTheme="minorEastAsia" w:cstheme="minorEastAsia"/>
          <w:color w:val="auto"/>
          <w:szCs w:val="21"/>
          <w:highlight w:val="none"/>
          <w:lang w:val="en-US" w:eastAsia="zh-CN"/>
        </w:rPr>
        <w:t>等</w:t>
      </w:r>
      <w:r>
        <w:rPr>
          <w:rFonts w:hint="default" w:asciiTheme="minorEastAsia" w:hAnsiTheme="minorEastAsia" w:eastAsiaTheme="minorEastAsia" w:cstheme="minorEastAsia"/>
          <w:color w:val="auto"/>
          <w:szCs w:val="21"/>
          <w:highlight w:val="none"/>
        </w:rPr>
        <w:t>由</w:t>
      </w:r>
      <w:r>
        <w:rPr>
          <w:rFonts w:hint="eastAsia" w:asciiTheme="minorEastAsia" w:hAnsiTheme="minorEastAsia" w:eastAsiaTheme="minorEastAsia" w:cstheme="minorEastAsia"/>
          <w:color w:val="auto"/>
          <w:szCs w:val="21"/>
          <w:highlight w:val="none"/>
          <w:lang w:val="en-US" w:eastAsia="zh-CN"/>
        </w:rPr>
        <w:t>采购人</w:t>
      </w:r>
      <w:r>
        <w:rPr>
          <w:rFonts w:hint="default" w:asciiTheme="minorEastAsia" w:hAnsiTheme="minorEastAsia" w:eastAsiaTheme="minorEastAsia" w:cstheme="minorEastAsia"/>
          <w:color w:val="auto"/>
          <w:szCs w:val="21"/>
          <w:highlight w:val="none"/>
        </w:rPr>
        <w:t>决定。每次采购由采购人向中标供应商发出订单（书面、邮件、电话或微信）之日起开始启动，所有根据本合同发出的订单，均受本合同条款约束。采购人提出的订单上需注明所采购食材的名称、规格、品牌、数量、质量、交货时间、交货地点、收货人等信息，并由采购人授权人签字。如有调整以采购方通知为准。</w:t>
      </w:r>
    </w:p>
    <w:p w14:paraId="1B7EF807">
      <w:pPr>
        <w:spacing w:line="360" w:lineRule="auto"/>
        <w:ind w:firstLine="42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2、交货时间：中标供应商必须在每天早上六点四十分之前将食材送至指定地点。具体时间以采购人要求为准。</w:t>
      </w:r>
    </w:p>
    <w:p w14:paraId="0797ABAF">
      <w:pPr>
        <w:spacing w:line="360" w:lineRule="auto"/>
        <w:ind w:firstLine="420"/>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3、</w:t>
      </w:r>
      <w:r>
        <w:rPr>
          <w:rFonts w:hint="default" w:asciiTheme="minorEastAsia" w:hAnsiTheme="minorEastAsia" w:eastAsiaTheme="minorEastAsia" w:cstheme="minorEastAsia"/>
          <w:color w:val="auto"/>
          <w:szCs w:val="21"/>
          <w:highlight w:val="none"/>
        </w:rPr>
        <w:t>交货地点为：采购人指定地点，并按要求摆放整齐。配送费用由中标供应商承担。中标供应商运输工具进入采购人</w:t>
      </w:r>
      <w:r>
        <w:rPr>
          <w:rFonts w:hint="eastAsia" w:asciiTheme="minorEastAsia" w:hAnsiTheme="minorEastAsia" w:eastAsiaTheme="minorEastAsia" w:cstheme="minorEastAsia"/>
          <w:color w:val="auto"/>
          <w:szCs w:val="21"/>
          <w:highlight w:val="none"/>
          <w:lang w:val="en-US" w:eastAsia="zh-CN"/>
        </w:rPr>
        <w:t>管理范围内</w:t>
      </w:r>
      <w:r>
        <w:rPr>
          <w:rFonts w:hint="default" w:asciiTheme="minorEastAsia" w:hAnsiTheme="minorEastAsia" w:eastAsiaTheme="minorEastAsia" w:cstheme="minorEastAsia"/>
          <w:color w:val="auto"/>
          <w:szCs w:val="21"/>
          <w:highlight w:val="none"/>
        </w:rPr>
        <w:t>，必须接受采购人统一管理，发生任何人身事故和财产损失，均由中标供应商承担责任。</w:t>
      </w:r>
    </w:p>
    <w:p w14:paraId="675CDE30">
      <w:pPr>
        <w:spacing w:line="360" w:lineRule="auto"/>
        <w:ind w:firstLine="42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4</w:t>
      </w:r>
      <w:r>
        <w:rPr>
          <w:rFonts w:hint="default" w:asciiTheme="minorEastAsia" w:hAnsiTheme="minorEastAsia" w:eastAsiaTheme="minorEastAsia" w:cstheme="minorEastAsia"/>
          <w:color w:val="auto"/>
          <w:szCs w:val="21"/>
          <w:highlight w:val="none"/>
        </w:rPr>
        <w:t>、食材运输工具、车辆宜专用，运输有毒、有害物质及其他可能污染食材的物质的工具、车辆不得用于运输食材</w:t>
      </w:r>
      <w:r>
        <w:rPr>
          <w:rFonts w:hint="eastAsia" w:asciiTheme="minorEastAsia" w:hAnsiTheme="minorEastAsia" w:eastAsiaTheme="minorEastAsia" w:cstheme="minorEastAsia"/>
          <w:color w:val="auto"/>
          <w:szCs w:val="21"/>
          <w:highlight w:val="none"/>
          <w:lang w:eastAsia="zh-CN"/>
        </w:rPr>
        <w:t>，</w:t>
      </w:r>
      <w:r>
        <w:rPr>
          <w:rFonts w:hint="default" w:asciiTheme="minorEastAsia" w:hAnsiTheme="minorEastAsia" w:eastAsiaTheme="minorEastAsia" w:cstheme="minorEastAsia"/>
          <w:color w:val="auto"/>
          <w:szCs w:val="21"/>
          <w:highlight w:val="none"/>
        </w:rPr>
        <w:t>车厢干净清洁，装卸食品的容器、工具等设备安全无害。</w:t>
      </w:r>
      <w:r>
        <w:rPr>
          <w:rFonts w:hint="eastAsia" w:asciiTheme="minorEastAsia" w:hAnsiTheme="minorEastAsia" w:eastAsiaTheme="minorEastAsia" w:cstheme="minorEastAsia"/>
          <w:color w:val="auto"/>
          <w:szCs w:val="21"/>
          <w:highlight w:val="none"/>
          <w:lang w:val="en-US" w:eastAsia="zh-CN"/>
        </w:rPr>
        <w:t>根据采购人实际需求配备保温箱等工具。</w:t>
      </w:r>
    </w:p>
    <w:p w14:paraId="64DA0454">
      <w:pPr>
        <w:spacing w:line="360" w:lineRule="auto"/>
        <w:ind w:firstLine="420"/>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5、</w:t>
      </w:r>
      <w:r>
        <w:rPr>
          <w:rFonts w:hint="default" w:asciiTheme="minorEastAsia" w:hAnsiTheme="minorEastAsia" w:eastAsiaTheme="minorEastAsia" w:cstheme="minorEastAsia"/>
          <w:color w:val="auto"/>
          <w:szCs w:val="21"/>
          <w:highlight w:val="none"/>
        </w:rPr>
        <w:t>订单一经双方确认双方均不得随意撤销，如果采购人要求延迟交货，应及时通知中标供应商，中标供应商将在采购人指定的新的交货时间内交货。</w:t>
      </w:r>
    </w:p>
    <w:p w14:paraId="725838D9">
      <w:pPr>
        <w:spacing w:line="360" w:lineRule="auto"/>
        <w:ind w:firstLine="420"/>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6</w:t>
      </w:r>
      <w:r>
        <w:rPr>
          <w:rFonts w:hint="default" w:asciiTheme="minorEastAsia" w:hAnsiTheme="minorEastAsia" w:eastAsiaTheme="minorEastAsia" w:cstheme="minorEastAsia"/>
          <w:color w:val="auto"/>
          <w:szCs w:val="21"/>
          <w:highlight w:val="none"/>
        </w:rPr>
        <w:t xml:space="preserve">、采购人有紧急需要的，中标供应商接到电话通知后2个小时内必须送货到采购人指定地点，到货后经采购人验收合格后采购人补订单。 </w:t>
      </w:r>
    </w:p>
    <w:p w14:paraId="707EC617">
      <w:pPr>
        <w:spacing w:line="360" w:lineRule="auto"/>
        <w:ind w:firstLine="420"/>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7</w:t>
      </w:r>
      <w:r>
        <w:rPr>
          <w:rFonts w:hint="default" w:asciiTheme="minorEastAsia" w:hAnsiTheme="minorEastAsia" w:eastAsiaTheme="minorEastAsia" w:cstheme="minorEastAsia"/>
          <w:color w:val="auto"/>
          <w:szCs w:val="21"/>
          <w:highlight w:val="none"/>
        </w:rPr>
        <w:t>、中标供应商在接受采购人订单后必须按照约定时间、地点向采购人准确交付货物，每次送货附上一式三联的送货清单作为送收货的凭证，由采购人指定签收人进行签字验收确认，双方各持壹份，作为双方结算的依据之一</w:t>
      </w:r>
      <w:r>
        <w:rPr>
          <w:rFonts w:hint="eastAsia" w:asciiTheme="minorEastAsia" w:hAnsiTheme="minorEastAsia" w:eastAsiaTheme="minorEastAsia" w:cstheme="minorEastAsia"/>
          <w:color w:val="auto"/>
          <w:szCs w:val="21"/>
          <w:highlight w:val="none"/>
          <w:lang w:eastAsia="zh-CN"/>
        </w:rPr>
        <w:t>。</w:t>
      </w:r>
    </w:p>
    <w:p w14:paraId="2FAA59E9">
      <w:pPr>
        <w:spacing w:line="360" w:lineRule="auto"/>
        <w:outlineLvl w:val="2"/>
        <w:rPr>
          <w:rFonts w:hint="default" w:asciiTheme="minorEastAsia" w:hAnsiTheme="minorEastAsia" w:eastAsiaTheme="minorEastAsia" w:cstheme="minorEastAsia"/>
          <w:b/>
          <w:bCs/>
          <w:color w:val="auto"/>
          <w:sz w:val="24"/>
          <w:highlight w:val="none"/>
        </w:rPr>
      </w:pPr>
      <w:bookmarkStart w:id="206" w:name="_Toc11102"/>
      <w:r>
        <w:rPr>
          <w:rFonts w:hint="default" w:asciiTheme="minorEastAsia" w:hAnsiTheme="minorEastAsia" w:eastAsiaTheme="minorEastAsia" w:cstheme="minorEastAsia"/>
          <w:b/>
          <w:bCs/>
          <w:color w:val="auto"/>
          <w:sz w:val="24"/>
          <w:highlight w:val="none"/>
        </w:rPr>
        <w:t>（三）其他供货要求</w:t>
      </w:r>
      <w:bookmarkEnd w:id="206"/>
      <w:r>
        <w:rPr>
          <w:rFonts w:hint="default" w:asciiTheme="minorEastAsia" w:hAnsiTheme="minorEastAsia" w:eastAsiaTheme="minorEastAsia" w:cstheme="minorEastAsia"/>
          <w:b/>
          <w:bCs/>
          <w:color w:val="auto"/>
          <w:sz w:val="24"/>
          <w:highlight w:val="none"/>
        </w:rPr>
        <w:t xml:space="preserve"> </w:t>
      </w:r>
    </w:p>
    <w:p w14:paraId="52DBB743">
      <w:pPr>
        <w:spacing w:line="360" w:lineRule="auto"/>
        <w:ind w:firstLine="420"/>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1、因市场特殊原因，个别食材品种不能及时提供，中标供应商应主动与采购人沟通协调，更换品种，满足需要。未征得采购人同意，中标供应商不得随意调整更改送货需求，否则采购人将退货处理。</w:t>
      </w:r>
    </w:p>
    <w:p w14:paraId="097520DE">
      <w:pPr>
        <w:spacing w:line="360" w:lineRule="auto"/>
        <w:ind w:firstLine="420"/>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2、所有商品因验收货物时不能直接判断质量的，在使用过程中发现不合格商品，中标供应商应作退货处理，不作签收。</w:t>
      </w:r>
    </w:p>
    <w:p w14:paraId="2DC5FEF9">
      <w:pPr>
        <w:spacing w:line="360" w:lineRule="auto"/>
        <w:ind w:firstLine="420"/>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3、物资验收中不合格产品，中标供应商应按照采购人规定时间内调换，以不影响正常工作。 </w:t>
      </w:r>
    </w:p>
    <w:p w14:paraId="05BB84D3">
      <w:pPr>
        <w:spacing w:line="360" w:lineRule="auto"/>
        <w:ind w:firstLine="420"/>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4、因配送物资质量导致出现食品安全事故，中标供应商有义务协助处理相关事宜。</w:t>
      </w:r>
    </w:p>
    <w:p w14:paraId="5091EE90">
      <w:pPr>
        <w:spacing w:line="360" w:lineRule="auto"/>
        <w:outlineLvl w:val="1"/>
        <w:rPr>
          <w:rFonts w:hint="eastAsia" w:asciiTheme="minorEastAsia" w:hAnsiTheme="minorEastAsia" w:eastAsiaTheme="minorEastAsia" w:cstheme="minorEastAsia"/>
          <w:b/>
          <w:bCs/>
          <w:color w:val="auto"/>
          <w:sz w:val="28"/>
          <w:szCs w:val="28"/>
          <w:highlight w:val="none"/>
        </w:rPr>
      </w:pPr>
      <w:bookmarkStart w:id="207" w:name="_Toc26083"/>
      <w:r>
        <w:rPr>
          <w:rFonts w:hint="eastAsia" w:asciiTheme="minorEastAsia" w:hAnsiTheme="minorEastAsia" w:eastAsiaTheme="minorEastAsia" w:cstheme="minorEastAsia"/>
          <w:b/>
          <w:bCs/>
          <w:color w:val="auto"/>
          <w:sz w:val="28"/>
          <w:szCs w:val="28"/>
          <w:highlight w:val="none"/>
        </w:rPr>
        <w:t>四、</w:t>
      </w:r>
      <w:r>
        <w:rPr>
          <w:rFonts w:hint="eastAsia" w:asciiTheme="minorEastAsia" w:hAnsiTheme="minorEastAsia" w:eastAsiaTheme="minorEastAsia" w:cstheme="minorEastAsia"/>
          <w:b/>
          <w:bCs/>
          <w:color w:val="auto"/>
          <w:sz w:val="28"/>
          <w:szCs w:val="28"/>
          <w:highlight w:val="none"/>
          <w:lang w:val="en-US" w:eastAsia="zh-CN"/>
        </w:rPr>
        <w:t>其他</w:t>
      </w:r>
      <w:r>
        <w:rPr>
          <w:rFonts w:hint="eastAsia" w:asciiTheme="minorEastAsia" w:hAnsiTheme="minorEastAsia" w:eastAsiaTheme="minorEastAsia" w:cstheme="minorEastAsia"/>
          <w:b/>
          <w:bCs/>
          <w:color w:val="auto"/>
          <w:sz w:val="28"/>
          <w:szCs w:val="28"/>
          <w:highlight w:val="none"/>
        </w:rPr>
        <w:t>要求</w:t>
      </w:r>
      <w:bookmarkEnd w:id="204"/>
      <w:bookmarkEnd w:id="205"/>
      <w:bookmarkEnd w:id="207"/>
    </w:p>
    <w:p w14:paraId="7230C5CF">
      <w:pPr>
        <w:spacing w:line="360" w:lineRule="auto"/>
        <w:ind w:firstLine="420"/>
        <w:rPr>
          <w:rFonts w:hint="eastAsia" w:asciiTheme="minorEastAsia" w:hAnsiTheme="minorEastAsia" w:eastAsiaTheme="minorEastAsia" w:cstheme="minorEastAsia"/>
          <w:b/>
          <w:bCs w:val="0"/>
          <w:color w:val="auto"/>
          <w:highlight w:val="none"/>
        </w:rPr>
      </w:pPr>
      <w:bookmarkStart w:id="208" w:name="_Toc151986705"/>
      <w:bookmarkStart w:id="209" w:name="_Toc31471"/>
      <w:r>
        <w:rPr>
          <w:rFonts w:hint="eastAsia" w:asciiTheme="minorEastAsia" w:hAnsiTheme="minorEastAsia" w:eastAsiaTheme="minorEastAsia" w:cstheme="minorEastAsia"/>
          <w:b/>
          <w:bCs w:val="0"/>
          <w:color w:val="auto"/>
          <w:highlight w:val="none"/>
        </w:rPr>
        <w:t>1、验收标准</w:t>
      </w:r>
    </w:p>
    <w:p w14:paraId="174ACAD3">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val="en-US" w:eastAsia="zh-CN"/>
        </w:rPr>
        <w:t>供应商</w:t>
      </w:r>
      <w:r>
        <w:rPr>
          <w:rFonts w:hint="eastAsia" w:asciiTheme="minorEastAsia" w:hAnsiTheme="minorEastAsia" w:eastAsiaTheme="minorEastAsia" w:cstheme="minorEastAsia"/>
          <w:bCs/>
          <w:color w:val="auto"/>
          <w:highlight w:val="none"/>
        </w:rPr>
        <w:t>所提供</w:t>
      </w:r>
      <w:r>
        <w:rPr>
          <w:rFonts w:hint="eastAsia" w:asciiTheme="minorEastAsia" w:hAnsiTheme="minorEastAsia" w:eastAsiaTheme="minorEastAsia" w:cstheme="minorEastAsia"/>
          <w:bCs/>
          <w:color w:val="auto"/>
          <w:highlight w:val="none"/>
          <w:lang w:val="en-US" w:eastAsia="zh-CN"/>
        </w:rPr>
        <w:t>食材</w:t>
      </w:r>
      <w:r>
        <w:rPr>
          <w:rFonts w:hint="eastAsia" w:asciiTheme="minorEastAsia" w:hAnsiTheme="minorEastAsia" w:eastAsiaTheme="minorEastAsia" w:cstheme="minorEastAsia"/>
          <w:bCs/>
          <w:color w:val="auto"/>
          <w:highlight w:val="none"/>
        </w:rPr>
        <w:t>的质量、规格及包装必须符合《中华人民共和国食品安全法》的要求，</w:t>
      </w:r>
      <w:r>
        <w:rPr>
          <w:rFonts w:hint="eastAsia" w:asciiTheme="minorEastAsia" w:hAnsiTheme="minorEastAsia" w:eastAsiaTheme="minorEastAsia" w:cstheme="minorEastAsia"/>
          <w:bCs/>
          <w:color w:val="auto"/>
          <w:highlight w:val="none"/>
          <w:lang w:eastAsia="zh-CN"/>
        </w:rPr>
        <w:t>中标供应商</w:t>
      </w:r>
      <w:r>
        <w:rPr>
          <w:rFonts w:hint="eastAsia" w:asciiTheme="minorEastAsia" w:hAnsiTheme="minorEastAsia" w:eastAsiaTheme="minorEastAsia" w:cstheme="minorEastAsia"/>
          <w:bCs/>
          <w:color w:val="auto"/>
          <w:highlight w:val="none"/>
        </w:rPr>
        <w:t>应严格遵守国家食品安全法，产品质量合格，无变质、无异味，确保并监督产品具备符合法律法规的相关资质，保证销售的产品质量合格。所提供食材均为非转基因食品且严禁收购散户农民的蔬菜供应。如</w:t>
      </w:r>
      <w:r>
        <w:rPr>
          <w:rFonts w:hint="eastAsia" w:asciiTheme="minorEastAsia" w:hAnsiTheme="minorEastAsia" w:eastAsiaTheme="minorEastAsia" w:cstheme="minorEastAsia"/>
          <w:bCs/>
          <w:color w:val="auto"/>
          <w:highlight w:val="none"/>
          <w:lang w:eastAsia="zh-CN"/>
        </w:rPr>
        <w:t>采购人</w:t>
      </w:r>
      <w:r>
        <w:rPr>
          <w:rFonts w:hint="eastAsia" w:asciiTheme="minorEastAsia" w:hAnsiTheme="minorEastAsia" w:eastAsiaTheme="minorEastAsia" w:cstheme="minorEastAsia"/>
          <w:bCs/>
          <w:color w:val="auto"/>
          <w:highlight w:val="none"/>
        </w:rPr>
        <w:t>在验收中发现质量不符合要求的产品，</w:t>
      </w:r>
      <w:r>
        <w:rPr>
          <w:rFonts w:hint="eastAsia" w:asciiTheme="minorEastAsia" w:hAnsiTheme="minorEastAsia" w:eastAsiaTheme="minorEastAsia" w:cstheme="minorEastAsia"/>
          <w:bCs/>
          <w:color w:val="auto"/>
          <w:highlight w:val="none"/>
          <w:lang w:eastAsia="zh-CN"/>
        </w:rPr>
        <w:t>中标供应商</w:t>
      </w:r>
      <w:r>
        <w:rPr>
          <w:rFonts w:hint="eastAsia" w:asciiTheme="minorEastAsia" w:hAnsiTheme="minorEastAsia" w:eastAsiaTheme="minorEastAsia" w:cstheme="minorEastAsia"/>
          <w:bCs/>
          <w:color w:val="auto"/>
          <w:highlight w:val="none"/>
        </w:rPr>
        <w:t>应无条件退货或换货，并在规定时间内送至</w:t>
      </w:r>
      <w:r>
        <w:rPr>
          <w:rFonts w:hint="eastAsia" w:asciiTheme="minorEastAsia" w:hAnsiTheme="minorEastAsia" w:eastAsiaTheme="minorEastAsia" w:cstheme="minorEastAsia"/>
          <w:bCs/>
          <w:color w:val="auto"/>
          <w:highlight w:val="none"/>
          <w:lang w:eastAsia="zh-CN"/>
        </w:rPr>
        <w:t>采购人</w:t>
      </w:r>
      <w:r>
        <w:rPr>
          <w:rFonts w:hint="eastAsia" w:asciiTheme="minorEastAsia" w:hAnsiTheme="minorEastAsia" w:eastAsiaTheme="minorEastAsia" w:cstheme="minorEastAsia"/>
          <w:bCs/>
          <w:color w:val="auto"/>
          <w:highlight w:val="none"/>
        </w:rPr>
        <w:t>指定地点</w:t>
      </w:r>
      <w:r>
        <w:rPr>
          <w:rFonts w:hint="eastAsia" w:asciiTheme="minorEastAsia" w:hAnsiTheme="minorEastAsia" w:eastAsiaTheme="minorEastAsia" w:cstheme="minorEastAsia"/>
          <w:bCs/>
          <w:color w:val="auto"/>
          <w:highlight w:val="none"/>
          <w:lang w:eastAsia="zh-CN"/>
        </w:rPr>
        <w:t>。</w:t>
      </w:r>
    </w:p>
    <w:p w14:paraId="044BEF9C">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中标供应商应严格遵守《食品安全法》的规定，一经发现供应以下任一种</w:t>
      </w:r>
      <w:r>
        <w:rPr>
          <w:rFonts w:hint="eastAsia" w:asciiTheme="minorEastAsia" w:hAnsiTheme="minorEastAsia" w:eastAsiaTheme="minorEastAsia" w:cstheme="minorEastAsia"/>
          <w:bCs/>
          <w:color w:val="auto"/>
          <w:highlight w:val="none"/>
          <w:lang w:val="en-US" w:eastAsia="zh-CN"/>
        </w:rPr>
        <w:t>食材</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lang w:val="en-US" w:eastAsia="zh-CN"/>
        </w:rPr>
        <w:t>采购人</w:t>
      </w:r>
      <w:r>
        <w:rPr>
          <w:rFonts w:hint="eastAsia" w:asciiTheme="minorEastAsia" w:hAnsiTheme="minorEastAsia" w:eastAsiaTheme="minorEastAsia" w:cstheme="minorEastAsia"/>
          <w:bCs/>
          <w:color w:val="auto"/>
          <w:highlight w:val="none"/>
          <w:lang w:eastAsia="zh-CN"/>
        </w:rPr>
        <w:t>全部退货，立即取消供货单位的供货资格，中标单位应承担由此造成的经济责任和法律责任。</w:t>
      </w:r>
    </w:p>
    <w:p w14:paraId="07A86586">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（1）腐败变质、污秽不洁、混有异物或者其他感官性状异常，有害人体健康的。</w:t>
      </w:r>
    </w:p>
    <w:p w14:paraId="1C7909F3">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（2）含有毒、有害物质或者被有害物质污染，有害人体健康的。</w:t>
      </w:r>
    </w:p>
    <w:p w14:paraId="2F452169">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（3）含有农药残留、致病性寄生虫、微生物或者微生物含量超过国家限定标准的。</w:t>
      </w:r>
    </w:p>
    <w:p w14:paraId="39BA304B">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（4）掺杂，掺水，影响营养、卫生的。</w:t>
      </w:r>
    </w:p>
    <w:p w14:paraId="1FA4018C">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（5）用非食品原料加工的，加入非食品用化学物质或者将非食品当作食品的。</w:t>
      </w:r>
    </w:p>
    <w:p w14:paraId="49DFC686">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（6）超过保质期限的。</w:t>
      </w:r>
    </w:p>
    <w:p w14:paraId="6F4CA892">
      <w:pPr>
        <w:spacing w:line="360" w:lineRule="auto"/>
        <w:ind w:firstLine="420"/>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3、验收方式</w:t>
      </w:r>
    </w:p>
    <w:p w14:paraId="67A05A78">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每天上午集中收货、验收一次，提供配送服务的供应商需将需要的所有食材、商品一次性打包密闭送达，不得将项目另外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p>
    <w:p w14:paraId="04FEDDE4">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提供货物未达到投标文件规定要求，且对采购人造成损失的，由供应商承担一切责任，并赔偿所造成损失。超过收货时间送货的，采购人有权拒绝收货。</w:t>
      </w:r>
    </w:p>
    <w:p w14:paraId="0827EC13">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采购人组织定期或不定期货品抽检和送检。对检验不合格产品无条件退、换货。因验收货物时不能直接判断质量的，在使用过程中发现不合格商品，供应商应作退换货处理。 </w:t>
      </w:r>
    </w:p>
    <w:p w14:paraId="4762F4F5">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凡按重量计量物资，均以物品净重方式计量结算。 </w:t>
      </w:r>
    </w:p>
    <w:p w14:paraId="5B1E9540">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所有货物送达采购人指定地点前必须按</w:t>
      </w:r>
      <w:r>
        <w:rPr>
          <w:rFonts w:hint="eastAsia" w:asciiTheme="minorEastAsia" w:hAnsiTheme="minorEastAsia" w:eastAsiaTheme="minorEastAsia" w:cstheme="minorEastAsia"/>
          <w:bCs/>
          <w:color w:val="auto"/>
          <w:highlight w:val="none"/>
          <w:lang w:val="en-US" w:eastAsia="zh-CN"/>
        </w:rPr>
        <w:t>采购人要求</w:t>
      </w:r>
      <w:r>
        <w:rPr>
          <w:rFonts w:hint="eastAsia" w:asciiTheme="minorEastAsia" w:hAnsiTheme="minorEastAsia" w:eastAsiaTheme="minorEastAsia" w:cstheme="minorEastAsia"/>
          <w:bCs/>
          <w:color w:val="auto"/>
          <w:highlight w:val="none"/>
        </w:rPr>
        <w:t>包装</w:t>
      </w:r>
      <w:r>
        <w:rPr>
          <w:rFonts w:hint="eastAsia" w:asciiTheme="minorEastAsia" w:hAnsiTheme="minorEastAsia" w:eastAsiaTheme="minorEastAsia" w:cstheme="minorEastAsia"/>
          <w:bCs/>
          <w:color w:val="auto"/>
          <w:highlight w:val="none"/>
          <w:lang w:val="en-US" w:eastAsia="zh-CN"/>
        </w:rPr>
        <w:t>并</w:t>
      </w:r>
      <w:r>
        <w:rPr>
          <w:rFonts w:hint="eastAsia" w:asciiTheme="minorEastAsia" w:hAnsiTheme="minorEastAsia" w:eastAsiaTheme="minorEastAsia" w:cstheme="minorEastAsia"/>
          <w:bCs/>
          <w:color w:val="auto"/>
          <w:highlight w:val="none"/>
        </w:rPr>
        <w:t>封闭</w:t>
      </w:r>
      <w:r>
        <w:rPr>
          <w:rFonts w:hint="eastAsia" w:asciiTheme="minorEastAsia" w:hAnsiTheme="minorEastAsia" w:eastAsiaTheme="minorEastAsia" w:cstheme="minorEastAsia"/>
          <w:bCs/>
          <w:color w:val="auto"/>
          <w:highlight w:val="none"/>
          <w:lang w:val="en-US" w:eastAsia="zh-CN"/>
        </w:rPr>
        <w:t>运输</w:t>
      </w:r>
      <w:r>
        <w:rPr>
          <w:rFonts w:hint="eastAsia" w:asciiTheme="minorEastAsia" w:hAnsiTheme="minorEastAsia" w:eastAsiaTheme="minorEastAsia" w:cstheme="minorEastAsia"/>
          <w:bCs/>
          <w:color w:val="auto"/>
          <w:highlight w:val="none"/>
        </w:rPr>
        <w:t>。</w:t>
      </w:r>
    </w:p>
    <w:p w14:paraId="44E09E21">
      <w:pPr>
        <w:spacing w:line="360" w:lineRule="auto"/>
        <w:ind w:firstLine="420"/>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4、质保及售后服务要求</w:t>
      </w:r>
    </w:p>
    <w:p w14:paraId="43E2705C">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4.1 质保期限：所有货物在配送到采购人单位时，保质期不得低于总保质期的一半。 </w:t>
      </w:r>
    </w:p>
    <w:p w14:paraId="3F137940">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4.2 售后服务要求：</w:t>
      </w:r>
    </w:p>
    <w:p w14:paraId="3ADA0B5F">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w:t>
      </w:r>
      <w:r>
        <w:rPr>
          <w:rFonts w:hint="eastAsia" w:asciiTheme="minorEastAsia" w:hAnsiTheme="minorEastAsia" w:eastAsiaTheme="minorEastAsia" w:cstheme="minorEastAsia"/>
          <w:bCs/>
          <w:color w:val="auto"/>
          <w:highlight w:val="none"/>
          <w:lang w:val="en-US" w:eastAsia="zh-CN"/>
        </w:rPr>
        <w:t>1</w:t>
      </w:r>
      <w:r>
        <w:rPr>
          <w:rFonts w:hint="eastAsia" w:asciiTheme="minorEastAsia" w:hAnsiTheme="minorEastAsia" w:eastAsiaTheme="minorEastAsia" w:cstheme="minorEastAsia"/>
          <w:bCs/>
          <w:color w:val="auto"/>
          <w:highlight w:val="none"/>
        </w:rPr>
        <w:t>）特殊工作任务时，供应商承担餐厨人员和物资转运工作，安排专人专车驻守采购人指定位置，接通知后方可撤离。</w:t>
      </w:r>
    </w:p>
    <w:p w14:paraId="705506F9">
      <w:pPr>
        <w:spacing w:line="360" w:lineRule="auto"/>
        <w:ind w:firstLine="420"/>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2</w:t>
      </w:r>
      <w:r>
        <w:rPr>
          <w:rFonts w:hint="eastAsia" w:asciiTheme="minorEastAsia" w:hAnsiTheme="minorEastAsia" w:eastAsiaTheme="minorEastAsia" w:cstheme="minorEastAsia"/>
          <w:bCs/>
          <w:color w:val="auto"/>
          <w:highlight w:val="none"/>
        </w:rPr>
        <w:t>）中标供应商在配送服务过程中应遵守采购人单位的各项规章制度，不得与采购人单位或人员发生各种不文明行为，如遇不可解决之矛盾应以沟通为主，相互谅解。</w:t>
      </w:r>
    </w:p>
    <w:p w14:paraId="06A8A4FB">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3</w:t>
      </w:r>
      <w:r>
        <w:rPr>
          <w:rFonts w:hint="eastAsia" w:asciiTheme="minorEastAsia" w:hAnsiTheme="minorEastAsia" w:eastAsiaTheme="minorEastAsia" w:cstheme="minorEastAsia"/>
          <w:bCs/>
          <w:color w:val="auto"/>
          <w:highlight w:val="none"/>
        </w:rPr>
        <w:t>）中标供应商应派专人负责项目售后服务事宜，实行“三包”服务（即包质量、包数量、包调换）和实行定期满意度回访书面承诺以及内部管理考核办法书面材料，能够达到解决处理问题及时，沟通交流渠道畅通。</w:t>
      </w:r>
    </w:p>
    <w:p w14:paraId="47DBDAE6">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w:t>
      </w:r>
      <w:r>
        <w:rPr>
          <w:rFonts w:hint="eastAsia" w:asciiTheme="minorEastAsia" w:hAnsiTheme="minorEastAsia" w:eastAsiaTheme="minorEastAsia" w:cstheme="minorEastAsia"/>
          <w:bCs/>
          <w:color w:val="auto"/>
          <w:highlight w:val="none"/>
          <w:lang w:val="en-US" w:eastAsia="zh-CN"/>
        </w:rPr>
        <w:t>4</w:t>
      </w:r>
      <w:r>
        <w:rPr>
          <w:rFonts w:hint="eastAsia" w:asciiTheme="minorEastAsia" w:hAnsiTheme="minorEastAsia" w:eastAsiaTheme="minorEastAsia" w:cstheme="minorEastAsia"/>
          <w:bCs/>
          <w:color w:val="auto"/>
          <w:highlight w:val="none"/>
        </w:rPr>
        <w:t>）培训：中标供应商应不断对其人员进行专业培训，以完成工作任务。</w:t>
      </w:r>
    </w:p>
    <w:p w14:paraId="11A142C1">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4.3安全责任要求：中标供应商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中标供应商承担全部责任，主要包括食物中毒人员医疗费、误工费、事故处理费等，直至追究刑事责任通过法律途径解决。同时采购人有权取消其供应资格。</w:t>
      </w:r>
    </w:p>
    <w:p w14:paraId="275B85D2">
      <w:pPr>
        <w:spacing w:line="360" w:lineRule="auto"/>
        <w:ind w:firstLine="420"/>
        <w:rPr>
          <w:rFonts w:hint="eastAsia" w:asciiTheme="minorEastAsia" w:hAnsiTheme="minorEastAsia" w:eastAsiaTheme="minorEastAsia" w:cstheme="minorEastAsia"/>
          <w:b/>
          <w:bCs w:val="0"/>
          <w:color w:val="auto"/>
          <w:highlight w:val="none"/>
          <w:lang w:val="en-US" w:eastAsia="zh-CN"/>
        </w:rPr>
      </w:pPr>
      <w:r>
        <w:rPr>
          <w:rFonts w:hint="eastAsia" w:asciiTheme="minorEastAsia" w:hAnsiTheme="minorEastAsia" w:eastAsiaTheme="minorEastAsia" w:cstheme="minorEastAsia"/>
          <w:b/>
          <w:bCs w:val="0"/>
          <w:color w:val="auto"/>
          <w:highlight w:val="none"/>
          <w:lang w:val="en-US" w:eastAsia="zh-CN"/>
        </w:rPr>
        <w:t>5、其他未尽事宜由采购人和中标供应商在采购合同中详细约定。</w:t>
      </w:r>
    </w:p>
    <w:bookmarkEnd w:id="208"/>
    <w:bookmarkEnd w:id="209"/>
    <w:p w14:paraId="20974FBA">
      <w:pPr>
        <w:spacing w:line="360" w:lineRule="auto"/>
        <w:outlineLvl w:val="1"/>
        <w:rPr>
          <w:rFonts w:hint="eastAsia" w:asciiTheme="minorEastAsia" w:hAnsiTheme="minorEastAsia" w:eastAsiaTheme="minorEastAsia" w:cstheme="minorEastAsia"/>
          <w:b/>
          <w:bCs/>
          <w:color w:val="auto"/>
          <w:sz w:val="28"/>
          <w:szCs w:val="28"/>
          <w:highlight w:val="none"/>
        </w:rPr>
      </w:pPr>
      <w:bookmarkStart w:id="210" w:name="_Toc18229"/>
      <w:bookmarkStart w:id="211" w:name="_Toc8749"/>
      <w:bookmarkStart w:id="212" w:name="_Toc15386"/>
      <w:bookmarkStart w:id="213" w:name="_Toc18889"/>
      <w:bookmarkStart w:id="214" w:name="_Toc9618"/>
      <w:bookmarkStart w:id="215" w:name="_Toc14448"/>
      <w:bookmarkStart w:id="216" w:name="_Toc8409"/>
      <w:bookmarkStart w:id="217" w:name="_Toc26806"/>
      <w:bookmarkStart w:id="218" w:name="_Toc11040"/>
      <w:bookmarkStart w:id="219" w:name="_Toc141799144"/>
      <w:bookmarkStart w:id="220" w:name="_Toc14445"/>
      <w:bookmarkStart w:id="221" w:name="_Toc2283"/>
      <w:bookmarkStart w:id="222" w:name="_Toc26996"/>
      <w:bookmarkStart w:id="223" w:name="_Toc7055"/>
      <w:bookmarkStart w:id="224" w:name="_Toc11784"/>
      <w:bookmarkStart w:id="225" w:name="_Toc6937"/>
      <w:bookmarkStart w:id="226" w:name="_Toc3057"/>
      <w:bookmarkStart w:id="227" w:name="_Toc32488"/>
      <w:bookmarkStart w:id="228" w:name="_Toc5826"/>
      <w:bookmarkStart w:id="229" w:name="_Toc24974"/>
      <w:bookmarkStart w:id="230" w:name="_Toc2480"/>
      <w:bookmarkStart w:id="231" w:name="_Toc1026"/>
      <w:bookmarkStart w:id="232" w:name="_Toc5723"/>
      <w:bookmarkStart w:id="233" w:name="_Toc22136"/>
      <w:bookmarkStart w:id="234" w:name="_Toc13246"/>
      <w:bookmarkStart w:id="235" w:name="_Toc8179"/>
      <w:bookmarkStart w:id="236" w:name="_Toc2962"/>
      <w:bookmarkStart w:id="237" w:name="_Toc25132"/>
      <w:bookmarkStart w:id="238" w:name="_Toc27077"/>
      <w:bookmarkStart w:id="239" w:name="_Toc14816"/>
      <w:bookmarkStart w:id="240" w:name="_Toc15361"/>
      <w:bookmarkStart w:id="241" w:name="_Toc16004"/>
      <w:bookmarkStart w:id="242" w:name="_Toc14900"/>
      <w:bookmarkStart w:id="243" w:name="_Toc151986706"/>
      <w:bookmarkStart w:id="244" w:name="_Toc24879"/>
      <w:bookmarkStart w:id="245" w:name="_Toc25213"/>
      <w:r>
        <w:rPr>
          <w:rFonts w:hint="eastAsia" w:asciiTheme="minorEastAsia" w:hAnsiTheme="minorEastAsia" w:eastAsiaTheme="minorEastAsia" w:cstheme="minorEastAsia"/>
          <w:b/>
          <w:bCs/>
          <w:color w:val="auto"/>
          <w:sz w:val="28"/>
          <w:szCs w:val="28"/>
          <w:highlight w:val="none"/>
        </w:rPr>
        <w:t>五、履约及违约</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697A0986">
      <w:pPr>
        <w:spacing w:line="360" w:lineRule="auto"/>
        <w:ind w:firstLine="420"/>
        <w:rPr>
          <w:rFonts w:hint="eastAsia" w:asciiTheme="minorEastAsia" w:hAnsiTheme="minorEastAsia" w:eastAsiaTheme="minorEastAsia" w:cstheme="minorEastAsia"/>
          <w:bCs/>
          <w:color w:val="auto"/>
          <w:highlight w:val="none"/>
        </w:rPr>
      </w:pPr>
      <w:bookmarkStart w:id="246" w:name="_Toc24547"/>
      <w:bookmarkStart w:id="247" w:name="_Toc151986707"/>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 xml:space="preserve">.1 因供应商配送不及时导致伙食供应出现断供现像的，造成不良影响的，合同立即终止。 </w:t>
      </w:r>
    </w:p>
    <w:p w14:paraId="6E623D37">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 xml:space="preserve">.2采购人临时增加用餐人员,需临时补充原料的, 供应商应在约定时间内无条件把指定的原料送至指定的地点。 </w:t>
      </w:r>
    </w:p>
    <w:p w14:paraId="09917F78">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 xml:space="preserve">.3 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p>
    <w:p w14:paraId="2AC7E418">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 xml:space="preserve">.4 采购人将定期或不定期地组织专人对供货商所供货物的质量送质检部门抽检，若发现货物质量检测结果与招标文件质量标准不符，检测费用由中标供应商支付，另采购人有权酌情予以罚款、解除合同等处罚。 </w:t>
      </w:r>
    </w:p>
    <w:p w14:paraId="170FBD7A">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 xml:space="preserve">.5 凡供应货物故意串规、定量包装批量误差超过相关规定误差之短缺，一经查实，均需按当月总釆购量的3倍误差值作为中标供应商向采购人支付的违约金。 </w:t>
      </w:r>
    </w:p>
    <w:p w14:paraId="5FE704A0">
      <w:pPr>
        <w:spacing w:line="360" w:lineRule="auto"/>
        <w:ind w:firstLine="420"/>
        <w:rPr>
          <w:rFonts w:hint="default"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.6 核价时以当日</w:t>
      </w:r>
      <w:r>
        <w:rPr>
          <w:rFonts w:hint="eastAsia" w:asciiTheme="minorEastAsia" w:hAnsiTheme="minorEastAsia" w:eastAsiaTheme="minorEastAsia" w:cstheme="minorEastAsia"/>
          <w:bCs/>
          <w:color w:val="auto"/>
          <w:highlight w:val="none"/>
          <w:lang w:val="en-US" w:eastAsia="zh-CN"/>
        </w:rPr>
        <w:t>苏果</w:t>
      </w:r>
      <w:r>
        <w:rPr>
          <w:rFonts w:hint="eastAsia" w:asciiTheme="minorEastAsia" w:hAnsiTheme="minorEastAsia" w:eastAsiaTheme="minorEastAsia" w:cstheme="minorEastAsia"/>
          <w:bCs/>
          <w:color w:val="auto"/>
          <w:highlight w:val="none"/>
        </w:rPr>
        <w:t>询价的零售即时价格为基数×（1-投标浮动比例）＝采购核定的当日价。价格为每</w:t>
      </w:r>
      <w:r>
        <w:rPr>
          <w:rFonts w:hint="eastAsia" w:asciiTheme="minorEastAsia" w:hAnsiTheme="minorEastAsia" w:eastAsiaTheme="minorEastAsia" w:cstheme="minorEastAsia"/>
          <w:bCs/>
          <w:color w:val="auto"/>
          <w:highlight w:val="none"/>
          <w:lang w:val="en-US" w:eastAsia="zh-CN"/>
        </w:rPr>
        <w:t>周</w:t>
      </w:r>
      <w:r>
        <w:rPr>
          <w:rFonts w:hint="eastAsia" w:asciiTheme="minorEastAsia" w:hAnsiTheme="minorEastAsia" w:eastAsiaTheme="minorEastAsia" w:cstheme="minorEastAsia"/>
          <w:bCs/>
          <w:color w:val="auto"/>
          <w:highlight w:val="none"/>
        </w:rPr>
        <w:t>一核,供应商在竞争报价时，应充分考虑到市场波动等客观因素，如遇所供食品市场价格上下波动在核算期内价格不做调整。</w:t>
      </w:r>
      <w:r>
        <w:rPr>
          <w:rFonts w:hint="eastAsia" w:asciiTheme="minorEastAsia" w:hAnsiTheme="minorEastAsia" w:eastAsiaTheme="minorEastAsia" w:cstheme="minorEastAsia"/>
          <w:bCs/>
          <w:color w:val="auto"/>
          <w:highlight w:val="none"/>
          <w:lang w:val="en-US" w:eastAsia="zh-CN"/>
        </w:rPr>
        <w:t>若价格波动较大可提出书面申请，酌情调整价格。具体以采购人签字为准。</w:t>
      </w:r>
    </w:p>
    <w:p w14:paraId="0FF32B77">
      <w:pPr>
        <w:spacing w:line="360" w:lineRule="auto"/>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.7 凡供应商违反国家、省、市、南京市公安局有关廉政建设的规定，</w:t>
      </w:r>
      <w:r>
        <w:rPr>
          <w:rFonts w:hint="eastAsia" w:asciiTheme="minorEastAsia" w:hAnsiTheme="minorEastAsia" w:eastAsiaTheme="minorEastAsia" w:cstheme="minorEastAsia"/>
          <w:bCs/>
          <w:color w:val="auto"/>
          <w:highlight w:val="none"/>
          <w:lang w:val="en-US" w:eastAsia="zh-CN"/>
        </w:rPr>
        <w:t>或未按采购人要求做好保密等工作，</w:t>
      </w:r>
      <w:r>
        <w:rPr>
          <w:rFonts w:hint="eastAsia" w:asciiTheme="minorEastAsia" w:hAnsiTheme="minorEastAsia" w:eastAsiaTheme="minorEastAsia" w:cstheme="minorEastAsia"/>
          <w:bCs/>
          <w:color w:val="auto"/>
          <w:highlight w:val="none"/>
        </w:rPr>
        <w:t>一经查实取消合同。</w:t>
      </w:r>
    </w:p>
    <w:p w14:paraId="538087F2">
      <w:pPr>
        <w:spacing w:line="360" w:lineRule="auto"/>
        <w:outlineLvl w:val="1"/>
        <w:rPr>
          <w:rFonts w:hint="eastAsia" w:asciiTheme="minorEastAsia" w:hAnsiTheme="minorEastAsia" w:eastAsiaTheme="minorEastAsia" w:cstheme="minorEastAsia"/>
          <w:b/>
          <w:bCs/>
          <w:color w:val="auto"/>
          <w:sz w:val="28"/>
          <w:szCs w:val="28"/>
          <w:highlight w:val="none"/>
        </w:rPr>
      </w:pPr>
      <w:bookmarkStart w:id="248" w:name="_Toc13525"/>
      <w:r>
        <w:rPr>
          <w:rFonts w:hint="eastAsia" w:asciiTheme="minorEastAsia" w:hAnsiTheme="minorEastAsia" w:eastAsiaTheme="minorEastAsia" w:cstheme="minorEastAsia"/>
          <w:b/>
          <w:bCs/>
          <w:color w:val="auto"/>
          <w:sz w:val="28"/>
          <w:szCs w:val="28"/>
          <w:highlight w:val="none"/>
        </w:rPr>
        <w:t>六、关于费用</w:t>
      </w:r>
      <w:bookmarkEnd w:id="246"/>
      <w:bookmarkEnd w:id="247"/>
      <w:bookmarkEnd w:id="248"/>
    </w:p>
    <w:p w14:paraId="34276E8A">
      <w:pPr>
        <w:spacing w:line="360" w:lineRule="auto"/>
        <w:ind w:firstLine="420"/>
        <w:rPr>
          <w:rFonts w:hint="eastAsia" w:asciiTheme="minorEastAsia" w:hAnsiTheme="minorEastAsia" w:eastAsiaTheme="minorEastAsia" w:cstheme="minorEastAsia"/>
          <w:b/>
          <w:bCs/>
          <w:color w:val="auto"/>
          <w:szCs w:val="21"/>
          <w:highlight w:val="none"/>
        </w:rPr>
      </w:pPr>
      <w:bookmarkStart w:id="249" w:name="_Hlk106807112"/>
      <w:r>
        <w:rPr>
          <w:rFonts w:hint="eastAsia" w:asciiTheme="minorEastAsia" w:hAnsiTheme="minorEastAsia" w:eastAsiaTheme="minorEastAsia" w:cstheme="minorEastAsia"/>
          <w:b/>
          <w:bCs/>
          <w:color w:val="auto"/>
          <w:highlight w:val="none"/>
        </w:rPr>
        <w:t>1.本项目费</w:t>
      </w:r>
      <w:r>
        <w:rPr>
          <w:rFonts w:hint="eastAsia" w:asciiTheme="minorEastAsia" w:hAnsiTheme="minorEastAsia" w:eastAsiaTheme="minorEastAsia" w:cstheme="minorEastAsia"/>
          <w:b/>
          <w:bCs/>
          <w:color w:val="auto"/>
          <w:szCs w:val="21"/>
          <w:highlight w:val="none"/>
        </w:rPr>
        <w:t>用</w:t>
      </w:r>
    </w:p>
    <w:p w14:paraId="21AEEF20">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完成货物采购及配送的</w:t>
      </w:r>
      <w:r>
        <w:rPr>
          <w:rFonts w:hint="eastAsia" w:asciiTheme="minorEastAsia" w:hAnsiTheme="minorEastAsia" w:eastAsiaTheme="minorEastAsia" w:cstheme="minorEastAsia"/>
          <w:color w:val="auto"/>
          <w:szCs w:val="21"/>
          <w:highlight w:val="none"/>
        </w:rPr>
        <w:t>全部服务所需的</w:t>
      </w:r>
      <w:r>
        <w:rPr>
          <w:rFonts w:hint="eastAsia" w:asciiTheme="minorEastAsia" w:hAnsiTheme="minorEastAsia" w:eastAsiaTheme="minorEastAsia" w:cstheme="minorEastAsia"/>
          <w:color w:val="auto"/>
          <w:szCs w:val="21"/>
          <w:highlight w:val="none"/>
          <w:lang w:val="en-US" w:eastAsia="zh-CN"/>
        </w:rPr>
        <w:t>费用，包括但不限于</w:t>
      </w:r>
      <w:r>
        <w:rPr>
          <w:rFonts w:hint="eastAsia" w:asciiTheme="minorEastAsia" w:hAnsiTheme="minorEastAsia" w:eastAsiaTheme="minorEastAsia" w:cstheme="minorEastAsia"/>
          <w:color w:val="auto"/>
          <w:szCs w:val="21"/>
          <w:highlight w:val="none"/>
        </w:rPr>
        <w:t>食材</w:t>
      </w:r>
      <w:r>
        <w:rPr>
          <w:rFonts w:hint="eastAsia" w:asciiTheme="minorEastAsia" w:hAnsiTheme="minorEastAsia" w:eastAsiaTheme="minorEastAsia" w:cstheme="minorEastAsia"/>
          <w:color w:val="auto"/>
          <w:szCs w:val="21"/>
          <w:highlight w:val="none"/>
          <w:lang w:val="en-US" w:eastAsia="zh-CN"/>
        </w:rPr>
        <w:t>采购费，服务人员工资、社保、福利、服装、</w:t>
      </w:r>
      <w:r>
        <w:rPr>
          <w:rFonts w:hint="eastAsia" w:asciiTheme="minorEastAsia" w:hAnsiTheme="minorEastAsia" w:eastAsiaTheme="minorEastAsia" w:cstheme="minorEastAsia"/>
          <w:color w:val="auto"/>
          <w:szCs w:val="21"/>
          <w:highlight w:val="none"/>
        </w:rPr>
        <w:t>包装、</w:t>
      </w:r>
      <w:r>
        <w:rPr>
          <w:rFonts w:hint="eastAsia" w:asciiTheme="minorEastAsia" w:hAnsiTheme="minorEastAsia" w:eastAsiaTheme="minorEastAsia" w:cstheme="minorEastAsia"/>
          <w:color w:val="auto"/>
          <w:szCs w:val="21"/>
          <w:highlight w:val="none"/>
          <w:lang w:val="en-US" w:eastAsia="zh-CN"/>
        </w:rPr>
        <w:t>运输、装卸、检测、管理、售后、</w:t>
      </w:r>
      <w:r>
        <w:rPr>
          <w:rFonts w:hint="eastAsia" w:asciiTheme="minorEastAsia" w:hAnsiTheme="minorEastAsia" w:eastAsiaTheme="minorEastAsia" w:cstheme="minorEastAsia"/>
          <w:color w:val="auto"/>
          <w:szCs w:val="21"/>
          <w:highlight w:val="none"/>
        </w:rPr>
        <w:t>税费、保险、中标服务费、政策性文件规定及合同包含的所有风险、责任等完成本项目的各项应有费用。</w:t>
      </w:r>
    </w:p>
    <w:p w14:paraId="3D2DBEEE">
      <w:pPr>
        <w:spacing w:line="360" w:lineRule="auto"/>
        <w:ind w:firstLine="42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rPr>
        <w:t>2.</w:t>
      </w:r>
      <w:r>
        <w:rPr>
          <w:rFonts w:hint="eastAsia" w:asciiTheme="minorEastAsia" w:hAnsiTheme="minorEastAsia" w:eastAsiaTheme="minorEastAsia" w:cstheme="minorEastAsia"/>
          <w:b/>
          <w:bCs/>
          <w:color w:val="auto"/>
          <w:highlight w:val="none"/>
          <w:lang w:val="en-US" w:eastAsia="zh-CN"/>
        </w:rPr>
        <w:t>投标报价</w:t>
      </w:r>
    </w:p>
    <w:p w14:paraId="06601276">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各投标供应商</w:t>
      </w:r>
      <w:r>
        <w:rPr>
          <w:rFonts w:hint="eastAsia" w:asciiTheme="minorEastAsia" w:hAnsiTheme="minorEastAsia" w:eastAsiaTheme="minorEastAsia" w:cstheme="minorEastAsia"/>
          <w:color w:val="auto"/>
          <w:szCs w:val="21"/>
          <w:highlight w:val="none"/>
          <w:lang w:val="en-US" w:eastAsia="zh-CN"/>
        </w:rPr>
        <w:t>须考虑</w:t>
      </w:r>
      <w:r>
        <w:rPr>
          <w:rFonts w:hint="eastAsia" w:asciiTheme="minorEastAsia" w:hAnsiTheme="minorEastAsia" w:eastAsiaTheme="minorEastAsia" w:cstheme="minorEastAsia"/>
          <w:color w:val="auto"/>
          <w:szCs w:val="21"/>
          <w:highlight w:val="none"/>
        </w:rPr>
        <w:t>本项目及自身情况</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报出针对</w:t>
      </w:r>
      <w:r>
        <w:rPr>
          <w:rFonts w:hint="eastAsia" w:asciiTheme="minorEastAsia" w:hAnsiTheme="minorEastAsia" w:eastAsiaTheme="minorEastAsia" w:cstheme="minorEastAsia"/>
          <w:color w:val="auto"/>
          <w:szCs w:val="21"/>
          <w:highlight w:val="none"/>
          <w:lang w:val="en-US" w:eastAsia="zh-CN"/>
        </w:rPr>
        <w:t>相关货物</w:t>
      </w:r>
      <w:r>
        <w:rPr>
          <w:rFonts w:hint="eastAsia" w:asciiTheme="minorEastAsia" w:hAnsiTheme="minorEastAsia" w:eastAsiaTheme="minorEastAsia" w:cstheme="minorEastAsia"/>
          <w:color w:val="auto"/>
          <w:szCs w:val="21"/>
          <w:highlight w:val="none"/>
        </w:rPr>
        <w:t>采购价格的优惠率。</w:t>
      </w:r>
    </w:p>
    <w:p w14:paraId="4562AEBE">
      <w:pPr>
        <w:spacing w:line="360" w:lineRule="auto"/>
        <w:ind w:firstLine="420"/>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val="en-US" w:eastAsia="zh-CN"/>
        </w:rPr>
        <w:t>3.</w:t>
      </w:r>
      <w:r>
        <w:rPr>
          <w:rFonts w:hint="eastAsia" w:asciiTheme="minorEastAsia" w:hAnsiTheme="minorEastAsia" w:eastAsiaTheme="minorEastAsia" w:cstheme="minorEastAsia"/>
          <w:b/>
          <w:bCs/>
          <w:color w:val="auto"/>
          <w:highlight w:val="none"/>
        </w:rPr>
        <w:t>优惠率</w:t>
      </w:r>
    </w:p>
    <w:p w14:paraId="646AF175">
      <w:pPr>
        <w:spacing w:line="360" w:lineRule="auto"/>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优惠率</w:t>
      </w:r>
      <w:r>
        <w:rPr>
          <w:rFonts w:hint="eastAsia" w:asciiTheme="minorEastAsia" w:hAnsiTheme="minorEastAsia" w:eastAsiaTheme="minorEastAsia" w:cstheme="minorEastAsia"/>
          <w:color w:val="auto"/>
          <w:highlight w:val="none"/>
        </w:rPr>
        <w:t>=下浮</w:t>
      </w:r>
      <w:r>
        <w:rPr>
          <w:rFonts w:hint="eastAsia" w:asciiTheme="minorEastAsia" w:hAnsiTheme="minorEastAsia" w:eastAsiaTheme="minorEastAsia" w:cstheme="minorEastAsia"/>
          <w:color w:val="auto"/>
          <w:highlight w:val="none"/>
          <w:lang w:val="en-US" w:eastAsia="zh-CN"/>
        </w:rPr>
        <w:t>率</w:t>
      </w:r>
    </w:p>
    <w:p w14:paraId="3A7FD953">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举例说明：例如供应商A</w:t>
      </w:r>
      <w:r>
        <w:rPr>
          <w:rFonts w:hint="eastAsia" w:asciiTheme="minorEastAsia" w:hAnsiTheme="minorEastAsia" w:eastAsiaTheme="minorEastAsia" w:cstheme="minorEastAsia"/>
          <w:color w:val="auto"/>
          <w:highlight w:val="none"/>
          <w:lang w:val="en-US" w:eastAsia="zh-CN"/>
        </w:rPr>
        <w:t>的</w:t>
      </w:r>
      <w:r>
        <w:rPr>
          <w:rFonts w:hint="eastAsia" w:asciiTheme="minorEastAsia" w:hAnsiTheme="minorEastAsia" w:eastAsiaTheme="minorEastAsia" w:cstheme="minorEastAsia"/>
          <w:color w:val="auto"/>
          <w:highlight w:val="none"/>
        </w:rPr>
        <w:t>优惠</w:t>
      </w:r>
      <w:r>
        <w:rPr>
          <w:rFonts w:hint="eastAsia" w:asciiTheme="minorEastAsia" w:hAnsiTheme="minorEastAsia" w:eastAsiaTheme="minorEastAsia" w:cstheme="minorEastAsia"/>
          <w:color w:val="auto"/>
          <w:highlight w:val="none"/>
          <w:lang w:val="en-US" w:eastAsia="zh-CN"/>
        </w:rPr>
        <w:t>率为10%</w:t>
      </w:r>
      <w:r>
        <w:rPr>
          <w:rFonts w:hint="eastAsia" w:asciiTheme="minorEastAsia" w:hAnsiTheme="minorEastAsia" w:eastAsiaTheme="minorEastAsia" w:cstheme="minorEastAsia"/>
          <w:color w:val="auto"/>
          <w:highlight w:val="none"/>
        </w:rPr>
        <w:t>，</w:t>
      </w:r>
      <w:r>
        <w:rPr>
          <w:rFonts w:hint="eastAsia"/>
          <w:color w:val="auto"/>
          <w:highlight w:val="none"/>
        </w:rPr>
        <w:t>而</w:t>
      </w:r>
      <w:r>
        <w:rPr>
          <w:rFonts w:hint="eastAsia"/>
          <w:color w:val="auto"/>
          <w:highlight w:val="none"/>
          <w:lang w:val="en-US" w:eastAsia="zh-CN"/>
        </w:rPr>
        <w:t>基准价</w:t>
      </w:r>
      <w:r>
        <w:rPr>
          <w:rFonts w:hint="eastAsia"/>
          <w:color w:val="auto"/>
          <w:highlight w:val="none"/>
        </w:rPr>
        <w:t>为10元/斤</w:t>
      </w:r>
      <w:r>
        <w:rPr>
          <w:rFonts w:hint="eastAsia"/>
          <w:color w:val="auto"/>
          <w:highlight w:val="none"/>
          <w:lang w:eastAsia="zh-CN"/>
        </w:rPr>
        <w:t>，</w:t>
      </w:r>
      <w:r>
        <w:rPr>
          <w:rFonts w:hint="eastAsia" w:asciiTheme="minorEastAsia" w:hAnsiTheme="minorEastAsia" w:eastAsiaTheme="minorEastAsia" w:cstheme="minorEastAsia"/>
          <w:color w:val="auto"/>
          <w:highlight w:val="none"/>
        </w:rPr>
        <w:t>则供应商</w:t>
      </w:r>
      <w:r>
        <w:rPr>
          <w:rFonts w:hint="eastAsia" w:asciiTheme="minorEastAsia" w:hAnsiTheme="minorEastAsia" w:eastAsiaTheme="minorEastAsia" w:cstheme="minorEastAsia"/>
          <w:color w:val="auto"/>
          <w:highlight w:val="none"/>
          <w:lang w:val="en-US" w:eastAsia="zh-CN"/>
        </w:rPr>
        <w:t>A优惠后的价格为</w:t>
      </w:r>
      <w:r>
        <w:rPr>
          <w:rFonts w:hint="eastAsia" w:asciiTheme="minorEastAsia" w:hAnsiTheme="minorEastAsia" w:eastAsiaTheme="minorEastAsia" w:cstheme="minorEastAsia"/>
          <w:color w:val="auto"/>
          <w:highlight w:val="none"/>
        </w:rPr>
        <w:t>10×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1-10%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=9元/斤。</w:t>
      </w:r>
    </w:p>
    <w:p w14:paraId="104BB1E9">
      <w:pPr>
        <w:numPr>
          <w:ilvl w:val="0"/>
          <w:numId w:val="0"/>
        </w:numPr>
        <w:spacing w:line="360" w:lineRule="auto"/>
        <w:ind w:firstLine="422" w:firstLineChars="20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4.基准价</w:t>
      </w:r>
      <w:bookmarkEnd w:id="249"/>
      <w:bookmarkStart w:id="250" w:name="_Toc151986708"/>
      <w:bookmarkStart w:id="251" w:name="_Toc12667"/>
    </w:p>
    <w:p w14:paraId="65F0A89F">
      <w:pPr>
        <w:numPr>
          <w:ilvl w:val="0"/>
          <w:numId w:val="0"/>
        </w:num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以“华润苏果超市江宁黄金海岸店（江宁区金箔路999号）的同类商品零售价（正价）”为基准价。</w:t>
      </w:r>
    </w:p>
    <w:p w14:paraId="583B6A7E">
      <w:pPr>
        <w:numPr>
          <w:ilvl w:val="0"/>
          <w:numId w:val="0"/>
        </w:num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注：如遇超市中未售卖的品种，可与采购人协商确定。</w:t>
      </w:r>
    </w:p>
    <w:p w14:paraId="42142121">
      <w:pPr>
        <w:spacing w:line="360" w:lineRule="auto"/>
        <w:outlineLvl w:val="1"/>
        <w:rPr>
          <w:rFonts w:hint="eastAsia" w:asciiTheme="minorEastAsia" w:hAnsiTheme="minorEastAsia" w:eastAsiaTheme="minorEastAsia" w:cstheme="minorEastAsia"/>
          <w:b/>
          <w:bCs/>
          <w:color w:val="auto"/>
          <w:sz w:val="24"/>
          <w:highlight w:val="none"/>
        </w:rPr>
      </w:pPr>
      <w:bookmarkStart w:id="252" w:name="_Toc27945"/>
      <w:r>
        <w:rPr>
          <w:rFonts w:hint="eastAsia" w:asciiTheme="minorEastAsia" w:hAnsiTheme="minorEastAsia" w:eastAsiaTheme="minorEastAsia" w:cstheme="minorEastAsia"/>
          <w:b/>
          <w:bCs/>
          <w:color w:val="auto"/>
          <w:sz w:val="28"/>
          <w:szCs w:val="28"/>
          <w:highlight w:val="none"/>
        </w:rPr>
        <w:t>七、</w:t>
      </w:r>
      <w:r>
        <w:rPr>
          <w:rFonts w:hint="eastAsia" w:asciiTheme="minorEastAsia" w:hAnsiTheme="minorEastAsia" w:eastAsiaTheme="minorEastAsia" w:cstheme="minorEastAsia"/>
          <w:b/>
          <w:bCs/>
          <w:color w:val="auto"/>
          <w:sz w:val="28"/>
          <w:szCs w:val="28"/>
          <w:highlight w:val="none"/>
          <w:lang w:val="en-US" w:eastAsia="zh-CN"/>
        </w:rPr>
        <w:t>结算及</w:t>
      </w:r>
      <w:r>
        <w:rPr>
          <w:rFonts w:hint="eastAsia" w:asciiTheme="minorEastAsia" w:hAnsiTheme="minorEastAsia" w:eastAsiaTheme="minorEastAsia" w:cstheme="minorEastAsia"/>
          <w:b/>
          <w:bCs/>
          <w:color w:val="auto"/>
          <w:sz w:val="28"/>
          <w:szCs w:val="28"/>
          <w:highlight w:val="none"/>
        </w:rPr>
        <w:t>付款</w:t>
      </w:r>
      <w:bookmarkEnd w:id="250"/>
      <w:bookmarkEnd w:id="251"/>
      <w:bookmarkEnd w:id="252"/>
    </w:p>
    <w:p w14:paraId="7FBA1941">
      <w:pPr>
        <w:spacing w:line="360" w:lineRule="auto"/>
        <w:ind w:firstLine="420"/>
        <w:rPr>
          <w:rFonts w:hint="eastAsia"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1、结算：</w:t>
      </w:r>
    </w:p>
    <w:p w14:paraId="23771D8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具体</w:t>
      </w:r>
      <w:r>
        <w:rPr>
          <w:rFonts w:hint="eastAsia" w:asciiTheme="minorEastAsia" w:hAnsiTheme="minorEastAsia" w:eastAsiaTheme="minorEastAsia" w:cstheme="minorEastAsia"/>
          <w:color w:val="auto"/>
          <w:spacing w:val="-4"/>
          <w:sz w:val="21"/>
          <w:szCs w:val="21"/>
          <w:highlight w:val="none"/>
          <w:u w:val="none"/>
          <w:lang w:eastAsia="zh-CN"/>
        </w:rPr>
        <w:t>结算</w:t>
      </w:r>
      <w:r>
        <w:rPr>
          <w:rFonts w:hint="eastAsia" w:asciiTheme="minorEastAsia" w:hAnsiTheme="minorEastAsia" w:eastAsiaTheme="minorEastAsia" w:cstheme="minorEastAsia"/>
          <w:color w:val="auto"/>
          <w:spacing w:val="-4"/>
          <w:sz w:val="21"/>
          <w:szCs w:val="21"/>
          <w:highlight w:val="none"/>
          <w:lang w:eastAsia="zh-CN"/>
        </w:rPr>
        <w:t>方式如下：</w:t>
      </w:r>
      <w:r>
        <w:rPr>
          <w:rFonts w:hint="eastAsia" w:asciiTheme="minorEastAsia" w:hAnsiTheme="minorEastAsia" w:eastAsiaTheme="minorEastAsia" w:cstheme="minorEastAsia"/>
          <w:color w:val="auto"/>
          <w:highlight w:val="none"/>
        </w:rPr>
        <w:t xml:space="preserve"> </w:t>
      </w:r>
    </w:p>
    <w:p w14:paraId="73CF0C8E">
      <w:pPr>
        <w:spacing w:line="360" w:lineRule="auto"/>
        <w:ind w:firstLine="42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供应商按照采购合同交货后，</w:t>
      </w:r>
      <w:r>
        <w:rPr>
          <w:rFonts w:hint="eastAsia" w:asciiTheme="minorEastAsia" w:hAnsiTheme="minorEastAsia" w:eastAsiaTheme="minorEastAsia" w:cstheme="minorEastAsia"/>
          <w:color w:val="auto"/>
          <w:highlight w:val="none"/>
          <w:lang w:val="en-US" w:eastAsia="zh-CN"/>
        </w:rPr>
        <w:t>供应商和采购人均需保留</w:t>
      </w:r>
      <w:r>
        <w:rPr>
          <w:rFonts w:hint="eastAsia" w:asciiTheme="minorEastAsia" w:hAnsiTheme="minorEastAsia" w:eastAsiaTheme="minorEastAsia" w:cstheme="minorEastAsia"/>
          <w:color w:val="auto"/>
          <w:highlight w:val="none"/>
        </w:rPr>
        <w:t>双方签字的验收</w:t>
      </w:r>
      <w:r>
        <w:rPr>
          <w:rFonts w:hint="eastAsia" w:asciiTheme="minorEastAsia" w:hAnsiTheme="minorEastAsia" w:eastAsiaTheme="minorEastAsia" w:cstheme="minorEastAsia"/>
          <w:color w:val="auto"/>
          <w:highlight w:val="none"/>
          <w:lang w:val="en-US" w:eastAsia="zh-CN"/>
        </w:rPr>
        <w:t>单</w:t>
      </w:r>
      <w:r>
        <w:rPr>
          <w:rFonts w:hint="eastAsia" w:asciiTheme="minorEastAsia" w:hAnsiTheme="minorEastAsia" w:eastAsiaTheme="minorEastAsia" w:cstheme="minorEastAsia"/>
          <w:color w:val="auto"/>
          <w:highlight w:val="none"/>
        </w:rPr>
        <w:t>，作结算凭证</w:t>
      </w:r>
      <w:r>
        <w:rPr>
          <w:rFonts w:hint="eastAsia" w:asciiTheme="minorEastAsia" w:hAnsiTheme="minorEastAsia" w:eastAsiaTheme="minorEastAsia" w:cstheme="minorEastAsia"/>
          <w:color w:val="auto"/>
          <w:highlight w:val="none"/>
          <w:lang w:eastAsia="zh-CN"/>
        </w:rPr>
        <w:t>。</w:t>
      </w:r>
    </w:p>
    <w:p w14:paraId="105151DE">
      <w:pPr>
        <w:spacing w:line="360" w:lineRule="auto"/>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（2）每月结算一次，按时结算。每月实际货款=每月实际采购量*优惠后的价格（基准价*（1-中标优惠率））-当月考核经济处罚。（经济处罚规则详见考核办法）</w:t>
      </w:r>
    </w:p>
    <w:p w14:paraId="055A73FC">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双方应严格按照</w:t>
      </w:r>
      <w:r>
        <w:rPr>
          <w:rFonts w:hint="eastAsia" w:asciiTheme="minorEastAsia" w:hAnsiTheme="minorEastAsia" w:eastAsiaTheme="minorEastAsia" w:cstheme="minorEastAsia"/>
          <w:color w:val="auto"/>
          <w:highlight w:val="none"/>
          <w:lang w:val="en-US" w:eastAsia="zh-CN"/>
        </w:rPr>
        <w:t>优惠率</w:t>
      </w:r>
      <w:r>
        <w:rPr>
          <w:rFonts w:hint="eastAsia" w:asciiTheme="minorEastAsia" w:hAnsiTheme="minorEastAsia" w:eastAsiaTheme="minorEastAsia" w:cstheme="minorEastAsia"/>
          <w:color w:val="auto"/>
          <w:highlight w:val="none"/>
        </w:rPr>
        <w:t>结算合同款项，供应商须按所送食材清单</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lang w:val="en-US" w:eastAsia="zh-CN"/>
        </w:rPr>
        <w:t>基准价</w:t>
      </w:r>
      <w:r>
        <w:rPr>
          <w:rFonts w:hint="eastAsia" w:asciiTheme="minorEastAsia" w:hAnsiTheme="minorEastAsia" w:eastAsiaTheme="minorEastAsia" w:cstheme="minorEastAsia"/>
          <w:color w:val="auto"/>
          <w:highlight w:val="none"/>
        </w:rPr>
        <w:t>，要求每周</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rPr>
        <w:t>一次或按供货频率</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rPr>
        <w:t>，同时</w:t>
      </w:r>
      <w:r>
        <w:rPr>
          <w:rFonts w:hint="eastAsia" w:asciiTheme="minorEastAsia" w:hAnsiTheme="minorEastAsia" w:eastAsiaTheme="minorEastAsia" w:cstheme="minorEastAsia"/>
          <w:color w:val="auto"/>
          <w:highlight w:val="none"/>
          <w:lang w:val="en-US" w:eastAsia="zh-CN"/>
        </w:rPr>
        <w:t>保存</w:t>
      </w:r>
      <w:r>
        <w:rPr>
          <w:rFonts w:hint="eastAsia" w:asciiTheme="minorEastAsia" w:hAnsiTheme="minorEastAsia" w:eastAsiaTheme="minorEastAsia" w:cstheme="minorEastAsia"/>
          <w:color w:val="auto"/>
          <w:highlight w:val="none"/>
        </w:rPr>
        <w:t>相应的</w:t>
      </w:r>
      <w:r>
        <w:rPr>
          <w:rFonts w:hint="eastAsia" w:asciiTheme="minorEastAsia" w:hAnsiTheme="minorEastAsia" w:eastAsiaTheme="minorEastAsia" w:cstheme="minorEastAsia"/>
          <w:color w:val="auto"/>
          <w:highlight w:val="none"/>
          <w:lang w:val="en-US" w:eastAsia="zh-CN"/>
        </w:rPr>
        <w:t>基准价</w:t>
      </w:r>
      <w:r>
        <w:rPr>
          <w:rFonts w:hint="eastAsia" w:asciiTheme="minorEastAsia" w:hAnsiTheme="minorEastAsia" w:eastAsiaTheme="minorEastAsia" w:cstheme="minorEastAsia"/>
          <w:color w:val="auto"/>
          <w:highlight w:val="none"/>
        </w:rPr>
        <w:t>证明材料作结算凭证(材料应具备可追溯性，例如</w:t>
      </w:r>
      <w:r>
        <w:rPr>
          <w:rFonts w:hint="eastAsia" w:asciiTheme="minorEastAsia" w:hAnsiTheme="minorEastAsia" w:eastAsiaTheme="minorEastAsia" w:cstheme="minorEastAsia"/>
          <w:color w:val="auto"/>
          <w:highlight w:val="none"/>
          <w:lang w:val="en-US" w:eastAsia="zh-CN"/>
        </w:rPr>
        <w:t>注明日期的网页截图、</w:t>
      </w:r>
      <w:r>
        <w:rPr>
          <w:rFonts w:hint="eastAsia" w:asciiTheme="minorEastAsia" w:hAnsiTheme="minorEastAsia" w:eastAsiaTheme="minorEastAsia" w:cstheme="minorEastAsia"/>
          <w:color w:val="auto"/>
          <w:highlight w:val="none"/>
        </w:rPr>
        <w:t>价格标签照片、app截图等)</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并承诺证明材料的真实性。</w:t>
      </w: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将</w:t>
      </w:r>
      <w:r>
        <w:rPr>
          <w:rFonts w:hint="eastAsia" w:ascii="宋体" w:hAnsi="宋体" w:eastAsia="宋体" w:cs="宋体"/>
          <w:color w:val="auto"/>
          <w:highlight w:val="none"/>
        </w:rPr>
        <w:t>不定期对供应商提供的</w:t>
      </w:r>
      <w:r>
        <w:rPr>
          <w:rFonts w:hint="eastAsia" w:ascii="宋体" w:hAnsi="宋体" w:eastAsia="宋体" w:cs="宋体"/>
          <w:color w:val="auto"/>
          <w:highlight w:val="none"/>
          <w:lang w:val="en-US" w:eastAsia="zh-CN"/>
        </w:rPr>
        <w:t>基准价</w:t>
      </w:r>
      <w:r>
        <w:rPr>
          <w:rFonts w:hint="eastAsia" w:ascii="宋体" w:hAnsi="宋体" w:eastAsia="宋体" w:cs="宋体"/>
          <w:color w:val="auto"/>
          <w:highlight w:val="none"/>
        </w:rPr>
        <w:t>进行抽查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复核。</w:t>
      </w:r>
    </w:p>
    <w:p w14:paraId="1EF4D828">
      <w:pPr>
        <w:spacing w:line="360" w:lineRule="auto"/>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2、付款</w:t>
      </w:r>
    </w:p>
    <w:p w14:paraId="38B6CD73">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供应商于合同履行期次月开始，</w:t>
      </w:r>
      <w:r>
        <w:rPr>
          <w:rFonts w:hint="eastAsia" w:asciiTheme="minorEastAsia" w:hAnsiTheme="minorEastAsia" w:eastAsiaTheme="minorEastAsia" w:cstheme="minorEastAsia"/>
          <w:color w:val="auto"/>
          <w:highlight w:val="none"/>
          <w:lang w:val="en-US" w:eastAsia="zh-CN"/>
        </w:rPr>
        <w:t>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p>
    <w:p w14:paraId="7FD305E5">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采购人对供应商提供的付款</w:t>
      </w:r>
      <w:r>
        <w:rPr>
          <w:rFonts w:hint="eastAsia" w:asciiTheme="minorEastAsia" w:hAnsiTheme="minorEastAsia" w:eastAsiaTheme="minorEastAsia" w:cstheme="minorEastAsia"/>
          <w:color w:val="auto"/>
          <w:highlight w:val="none"/>
          <w:lang w:val="en-US" w:eastAsia="zh-CN"/>
        </w:rPr>
        <w:t>申请</w:t>
      </w:r>
      <w:r>
        <w:rPr>
          <w:rFonts w:hint="eastAsia" w:asciiTheme="minorEastAsia" w:hAnsiTheme="minorEastAsia" w:eastAsiaTheme="minorEastAsia" w:cstheme="minorEastAsia"/>
          <w:color w:val="auto"/>
          <w:highlight w:val="none"/>
        </w:rPr>
        <w:t>资料审核通过后</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供应商</w:t>
      </w:r>
      <w:r>
        <w:rPr>
          <w:rFonts w:hint="eastAsia" w:asciiTheme="minorEastAsia" w:hAnsiTheme="minorEastAsia" w:eastAsiaTheme="minorEastAsia" w:cstheme="minorEastAsia"/>
          <w:color w:val="auto"/>
          <w:highlight w:val="none"/>
        </w:rPr>
        <w:t>根据双方核定的金额</w:t>
      </w:r>
      <w:r>
        <w:rPr>
          <w:rFonts w:hint="eastAsia" w:asciiTheme="minorEastAsia" w:hAnsiTheme="minorEastAsia" w:eastAsiaTheme="minorEastAsia" w:cstheme="minorEastAsia"/>
          <w:color w:val="auto"/>
          <w:highlight w:val="none"/>
          <w:lang w:val="en-US" w:eastAsia="zh-CN"/>
        </w:rPr>
        <w:t>开具发票；采购人在收到发票后7个工作日内，</w:t>
      </w:r>
      <w:r>
        <w:rPr>
          <w:rFonts w:hint="eastAsia" w:asciiTheme="minorEastAsia" w:hAnsiTheme="minorEastAsia" w:eastAsiaTheme="minorEastAsia" w:cstheme="minorEastAsia"/>
          <w:color w:val="auto"/>
          <w:highlight w:val="none"/>
        </w:rPr>
        <w:t>以转账方式向供应商支付</w:t>
      </w:r>
      <w:r>
        <w:rPr>
          <w:rFonts w:hint="eastAsia" w:asciiTheme="minorEastAsia" w:hAnsiTheme="minorEastAsia" w:eastAsiaTheme="minorEastAsia" w:cstheme="minorEastAsia"/>
          <w:color w:val="auto"/>
          <w:highlight w:val="none"/>
          <w:lang w:val="en-US" w:eastAsia="zh-CN"/>
        </w:rPr>
        <w:t>货款</w:t>
      </w:r>
      <w:r>
        <w:rPr>
          <w:rFonts w:hint="eastAsia" w:asciiTheme="minorEastAsia" w:hAnsiTheme="minorEastAsia" w:eastAsiaTheme="minorEastAsia" w:cstheme="minorEastAsia"/>
          <w:color w:val="auto"/>
          <w:highlight w:val="none"/>
        </w:rPr>
        <w:t xml:space="preserve">。 </w:t>
      </w:r>
    </w:p>
    <w:p w14:paraId="222E4549">
      <w:pPr>
        <w:tabs>
          <w:tab w:val="left" w:pos="7140"/>
        </w:tabs>
        <w:outlineLvl w:val="1"/>
        <w:rPr>
          <w:rFonts w:hint="eastAsia" w:asciiTheme="minorEastAsia" w:hAnsiTheme="minorEastAsia" w:eastAsiaTheme="minorEastAsia" w:cstheme="minorEastAsia"/>
          <w:b/>
          <w:color w:val="auto"/>
          <w:sz w:val="24"/>
        </w:rPr>
      </w:pPr>
      <w:bookmarkStart w:id="253" w:name="_Toc19106"/>
      <w:bookmarkStart w:id="254" w:name="_Toc24243"/>
      <w:r>
        <w:rPr>
          <w:rFonts w:hint="eastAsia" w:asciiTheme="minorEastAsia" w:hAnsiTheme="minorEastAsia" w:eastAsiaTheme="minorEastAsia" w:cstheme="minorEastAsia"/>
          <w:b/>
          <w:color w:val="auto"/>
          <w:sz w:val="24"/>
          <w:lang w:val="en-US" w:eastAsia="zh-CN"/>
        </w:rPr>
        <w:t>八、</w:t>
      </w:r>
      <w:r>
        <w:rPr>
          <w:rFonts w:hint="eastAsia" w:asciiTheme="minorEastAsia" w:hAnsiTheme="minorEastAsia" w:eastAsiaTheme="minorEastAsia" w:cstheme="minorEastAsia"/>
          <w:b/>
          <w:color w:val="auto"/>
          <w:sz w:val="24"/>
        </w:rPr>
        <w:t>考核办法</w:t>
      </w:r>
      <w:bookmarkEnd w:id="253"/>
      <w:bookmarkEnd w:id="254"/>
    </w:p>
    <w:p w14:paraId="031BF9E8">
      <w:pPr>
        <w:pStyle w:val="55"/>
        <w:rPr>
          <w:rFonts w:hint="default" w:eastAsiaTheme="minorEastAsia"/>
          <w:color w:val="auto"/>
          <w:lang w:val="en-US" w:eastAsia="zh-CN"/>
        </w:rPr>
      </w:pPr>
      <w:r>
        <w:rPr>
          <w:rFonts w:hint="eastAsia" w:asciiTheme="minorEastAsia" w:hAnsiTheme="minorEastAsia" w:eastAsiaTheme="minorEastAsia" w:cstheme="minorEastAsia"/>
          <w:b/>
          <w:color w:val="auto"/>
          <w:sz w:val="24"/>
          <w:lang w:val="en-US" w:eastAsia="zh-CN"/>
        </w:rPr>
        <w:t>【该考核办法仅供参考，中标后由采购人和中标供应商协商确认。】</w:t>
      </w:r>
    </w:p>
    <w:p w14:paraId="6F10D18F">
      <w:pPr>
        <w:jc w:val="cente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lang w:eastAsia="zh-CN"/>
        </w:rPr>
        <w:t>南京市公安局江宁分局看守所食材采购及配送服务</w:t>
      </w:r>
    </w:p>
    <w:p w14:paraId="37209E49">
      <w:pPr>
        <w:jc w:val="cente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供应商管理考核办法</w:t>
      </w:r>
    </w:p>
    <w:p w14:paraId="3345FE94">
      <w:pPr>
        <w:numPr>
          <w:ilvl w:val="0"/>
          <w:numId w:val="2"/>
        </w:numP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总则：</w:t>
      </w:r>
    </w:p>
    <w:p w14:paraId="5FA371F6">
      <w:pPr>
        <w:ind w:firstLine="420" w:firstLineChars="20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为保障食堂食材供给，维护供需双方合法权益，保证供需合同的履行，制定《</w:t>
      </w:r>
      <w:r>
        <w:rPr>
          <w:rFonts w:hint="eastAsia" w:asciiTheme="minorEastAsia" w:hAnsiTheme="minorEastAsia" w:eastAsiaTheme="minorEastAsia" w:cstheme="minorEastAsia"/>
          <w:bCs/>
          <w:color w:val="auto"/>
          <w:lang w:eastAsia="zh-CN"/>
        </w:rPr>
        <w:t>南京市公安局江宁分局看守所食材采购及配送服务</w:t>
      </w:r>
      <w:r>
        <w:rPr>
          <w:rFonts w:hint="eastAsia" w:asciiTheme="minorEastAsia" w:hAnsiTheme="minorEastAsia" w:eastAsiaTheme="minorEastAsia" w:cstheme="minorEastAsia"/>
          <w:bCs/>
          <w:color w:val="auto"/>
        </w:rPr>
        <w:t>供应商管理考核办法》。</w:t>
      </w:r>
    </w:p>
    <w:p w14:paraId="7D7D6C66">
      <w:pPr>
        <w:ind w:firstLine="420" w:firstLineChars="20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本管理办法适用于</w:t>
      </w:r>
      <w:r>
        <w:rPr>
          <w:rFonts w:hint="eastAsia" w:asciiTheme="minorEastAsia" w:hAnsiTheme="minorEastAsia" w:eastAsiaTheme="minorEastAsia" w:cstheme="minorEastAsia"/>
          <w:bCs/>
          <w:color w:val="auto"/>
          <w:lang w:eastAsia="zh-CN"/>
        </w:rPr>
        <w:t>南京市公安局江宁分局看守所食材采购及配送服务</w:t>
      </w:r>
      <w:r>
        <w:rPr>
          <w:rFonts w:hint="eastAsia" w:asciiTheme="minorEastAsia" w:hAnsiTheme="minorEastAsia" w:eastAsiaTheme="minorEastAsia" w:cstheme="minorEastAsia"/>
          <w:bCs/>
          <w:color w:val="auto"/>
          <w:lang w:val="en-US" w:eastAsia="zh-CN"/>
        </w:rPr>
        <w:t>的</w:t>
      </w:r>
      <w:r>
        <w:rPr>
          <w:rFonts w:hint="eastAsia" w:asciiTheme="minorEastAsia" w:hAnsiTheme="minorEastAsia" w:eastAsiaTheme="minorEastAsia" w:cstheme="minorEastAsia"/>
          <w:bCs/>
          <w:color w:val="auto"/>
        </w:rPr>
        <w:t>中标供应商。</w:t>
      </w:r>
    </w:p>
    <w:p w14:paraId="3057DC1E">
      <w:pPr>
        <w:numPr>
          <w:ilvl w:val="0"/>
          <w:numId w:val="2"/>
        </w:num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供应商的日常管理</w:t>
      </w:r>
    </w:p>
    <w:p w14:paraId="00461BF1">
      <w:pPr>
        <w:ind w:firstLine="424" w:firstLineChars="20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供应商的日常管理由</w:t>
      </w:r>
      <w:r>
        <w:rPr>
          <w:rFonts w:hint="eastAsia" w:asciiTheme="minorEastAsia" w:hAnsiTheme="minorEastAsia" w:eastAsiaTheme="minorEastAsia" w:cstheme="minorEastAsia"/>
          <w:bCs/>
          <w:color w:val="auto"/>
          <w:lang w:eastAsia="zh-CN"/>
        </w:rPr>
        <w:t>南京市公安局江宁分局看守所食材采购及配送服务</w:t>
      </w:r>
      <w:r>
        <w:rPr>
          <w:rFonts w:hint="eastAsia" w:asciiTheme="minorEastAsia" w:hAnsiTheme="minorEastAsia" w:eastAsiaTheme="minorEastAsia" w:cstheme="minorEastAsia"/>
          <w:color w:val="auto"/>
        </w:rPr>
        <w:t>供应商考核管理小组负责日常管理。日常管理的重点内容包括：</w:t>
      </w:r>
    </w:p>
    <w:p w14:paraId="3C8ACF7E">
      <w:pPr>
        <w:ind w:firstLine="417" w:firstLineChars="1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1、配送要求：供应商必须严格按照订单数量和品种进行供货，无特殊情况，必须按约定的时间送达指定的收货地点。</w:t>
      </w:r>
    </w:p>
    <w:p w14:paraId="458CFA8B">
      <w:pPr>
        <w:ind w:firstLine="424" w:firstLineChars="20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2、来料验收：验收环节严格执行验收制度，即</w:t>
      </w:r>
      <w:r>
        <w:rPr>
          <w:rFonts w:hint="eastAsia" w:asciiTheme="minorEastAsia" w:hAnsiTheme="minorEastAsia" w:eastAsiaTheme="minorEastAsia" w:cstheme="minorEastAsia"/>
          <w:color w:val="auto"/>
          <w:lang w:eastAsia="zh-CN"/>
        </w:rPr>
        <w:t>采购人</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lang w:val="en-US" w:eastAsia="zh-CN"/>
        </w:rPr>
        <w:t>双</w:t>
      </w:r>
      <w:r>
        <w:rPr>
          <w:rFonts w:hint="eastAsia" w:asciiTheme="minorEastAsia" w:hAnsiTheme="minorEastAsia" w:eastAsiaTheme="minorEastAsia" w:cstheme="minorEastAsia"/>
          <w:color w:val="auto"/>
        </w:rPr>
        <w:t>方到场方能进行来料验收。对验收中出现的问题由</w:t>
      </w:r>
      <w:r>
        <w:rPr>
          <w:rFonts w:hint="eastAsia" w:asciiTheme="minorEastAsia" w:hAnsiTheme="minorEastAsia" w:eastAsiaTheme="minorEastAsia" w:cstheme="minorEastAsia"/>
          <w:color w:val="auto"/>
          <w:lang w:eastAsia="zh-CN"/>
        </w:rPr>
        <w:t>采购人</w:t>
      </w:r>
      <w:r>
        <w:rPr>
          <w:rFonts w:hint="eastAsia" w:asciiTheme="minorEastAsia" w:hAnsiTheme="minorEastAsia" w:eastAsiaTheme="minorEastAsia" w:cstheme="minorEastAsia"/>
          <w:color w:val="auto"/>
          <w:lang w:val="en-US" w:eastAsia="zh-CN"/>
        </w:rPr>
        <w:t>工作</w:t>
      </w:r>
      <w:r>
        <w:rPr>
          <w:rFonts w:hint="eastAsia" w:asciiTheme="minorEastAsia" w:hAnsiTheme="minorEastAsia" w:eastAsiaTheme="minorEastAsia" w:cstheme="minorEastAsia"/>
          <w:color w:val="auto"/>
        </w:rPr>
        <w:t>人员进行现场考核记录。</w:t>
      </w:r>
    </w:p>
    <w:p w14:paraId="7924F6A0">
      <w:pPr>
        <w:ind w:firstLine="424" w:firstLineChars="20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3、价格管理：供应商必须按照招标议定价格进行供货，在未经采购人同</w:t>
      </w:r>
      <w:r>
        <w:rPr>
          <w:rFonts w:hint="eastAsia" w:asciiTheme="minorEastAsia" w:hAnsiTheme="minorEastAsia" w:eastAsiaTheme="minorEastAsia" w:cstheme="minorEastAsia"/>
          <w:color w:val="auto"/>
          <w:lang w:eastAsia="zh-CN"/>
        </w:rPr>
        <w:t>意的</w:t>
      </w:r>
      <w:r>
        <w:rPr>
          <w:rFonts w:hint="eastAsia" w:asciiTheme="minorEastAsia" w:hAnsiTheme="minorEastAsia" w:eastAsiaTheme="minorEastAsia" w:cstheme="minorEastAsia"/>
          <w:color w:val="auto"/>
        </w:rPr>
        <w:t>情况下，严禁随意变动中标产品的供货价格；如遇产品市场价格波动幅度超过合同约定范围，则需要向</w:t>
      </w:r>
      <w:r>
        <w:rPr>
          <w:rFonts w:hint="eastAsia" w:asciiTheme="minorEastAsia" w:hAnsiTheme="minorEastAsia" w:eastAsiaTheme="minorEastAsia" w:cstheme="minorEastAsia"/>
          <w:bCs/>
          <w:color w:val="auto"/>
          <w:lang w:eastAsia="zh-CN"/>
        </w:rPr>
        <w:t>南京市公安局江宁分局看守所</w:t>
      </w:r>
      <w:r>
        <w:rPr>
          <w:rFonts w:hint="eastAsia" w:asciiTheme="minorEastAsia" w:hAnsiTheme="minorEastAsia" w:eastAsiaTheme="minorEastAsia" w:cstheme="minorEastAsia"/>
          <w:color w:val="auto"/>
        </w:rPr>
        <w:t>递交书面调价申请，经</w:t>
      </w:r>
      <w:r>
        <w:rPr>
          <w:rFonts w:hint="eastAsia" w:asciiTheme="minorEastAsia" w:hAnsiTheme="minorEastAsia" w:eastAsiaTheme="minorEastAsia" w:cstheme="minorEastAsia"/>
          <w:bCs/>
          <w:color w:val="auto"/>
          <w:lang w:eastAsia="zh-CN"/>
        </w:rPr>
        <w:t>南京市公安局江宁分局看守所</w:t>
      </w:r>
      <w:r>
        <w:rPr>
          <w:rFonts w:hint="eastAsia" w:asciiTheme="minorEastAsia" w:hAnsiTheme="minorEastAsia" w:eastAsiaTheme="minorEastAsia" w:cstheme="minorEastAsia"/>
          <w:color w:val="auto"/>
        </w:rPr>
        <w:t>审批同意之后方可进行调价。</w:t>
      </w:r>
    </w:p>
    <w:p w14:paraId="1F334ED8">
      <w:pPr>
        <w:ind w:firstLine="420" w:firstLineChars="20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color w:val="auto"/>
        </w:rPr>
        <w:t>4、蔬菜每日价格由供应商依据市场行情报价，取当日最低价格作为定价依据，</w:t>
      </w:r>
      <w:r>
        <w:rPr>
          <w:rFonts w:hint="eastAsia" w:asciiTheme="minorEastAsia" w:hAnsiTheme="minorEastAsia" w:eastAsiaTheme="minorEastAsia" w:cstheme="minorEastAsia"/>
          <w:bCs/>
          <w:color w:val="auto"/>
          <w:lang w:eastAsia="zh-CN"/>
        </w:rPr>
        <w:t>南京市公安局江宁分局看守所</w:t>
      </w:r>
      <w:r>
        <w:rPr>
          <w:rFonts w:hint="eastAsia" w:asciiTheme="minorEastAsia" w:hAnsiTheme="minorEastAsia" w:eastAsiaTheme="minorEastAsia" w:cstheme="minorEastAsia"/>
          <w:color w:val="auto"/>
        </w:rPr>
        <w:t xml:space="preserve">可以根据市场行情结合供应蔬菜的质量，对所定价格作出适当调整。 </w:t>
      </w:r>
    </w:p>
    <w:p w14:paraId="1ED16A62">
      <w:pPr>
        <w:ind w:firstLine="424" w:firstLineChars="202"/>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color w:val="auto"/>
        </w:rPr>
        <w:t>5、供应商考核：</w:t>
      </w:r>
      <w:r>
        <w:rPr>
          <w:rFonts w:hint="eastAsia" w:asciiTheme="minorEastAsia" w:hAnsiTheme="minorEastAsia" w:eastAsiaTheme="minorEastAsia" w:cstheme="minorEastAsia"/>
          <w:bCs/>
          <w:color w:val="auto"/>
        </w:rPr>
        <w:t>供应商的日常考核由</w:t>
      </w:r>
      <w:r>
        <w:rPr>
          <w:rFonts w:hint="eastAsia" w:asciiTheme="minorEastAsia" w:hAnsiTheme="minorEastAsia" w:eastAsiaTheme="minorEastAsia" w:cstheme="minorEastAsia"/>
          <w:color w:val="auto"/>
        </w:rPr>
        <w:t>伙食原料供应商考核管理小组</w:t>
      </w:r>
      <w:r>
        <w:rPr>
          <w:rFonts w:hint="eastAsia" w:asciiTheme="minorEastAsia" w:hAnsiTheme="minorEastAsia" w:eastAsiaTheme="minorEastAsia" w:cstheme="minorEastAsia"/>
          <w:bCs/>
          <w:color w:val="auto"/>
        </w:rPr>
        <w:t>综合考核（内容包括质量、安全、服务等），</w:t>
      </w:r>
      <w:r>
        <w:rPr>
          <w:rFonts w:hint="eastAsia" w:asciiTheme="minorEastAsia" w:hAnsiTheme="minorEastAsia" w:eastAsiaTheme="minorEastAsia" w:cstheme="minorEastAsia"/>
          <w:color w:val="auto"/>
        </w:rPr>
        <w:t>伙食原料供应商考核管理小组</w:t>
      </w:r>
      <w:r>
        <w:rPr>
          <w:rFonts w:hint="eastAsia" w:asciiTheme="minorEastAsia" w:hAnsiTheme="minorEastAsia" w:eastAsiaTheme="minorEastAsia" w:cstheme="minorEastAsia"/>
          <w:bCs/>
          <w:color w:val="auto"/>
        </w:rPr>
        <w:t>每月填写《供货验收日常追踪考核表》 (见附件1)，由</w:t>
      </w:r>
      <w:r>
        <w:rPr>
          <w:rFonts w:hint="eastAsia" w:asciiTheme="minorEastAsia" w:hAnsiTheme="minorEastAsia" w:eastAsiaTheme="minorEastAsia" w:cstheme="minorEastAsia"/>
          <w:bCs/>
          <w:color w:val="auto"/>
          <w:lang w:eastAsia="zh-CN"/>
        </w:rPr>
        <w:t>采购人</w:t>
      </w:r>
      <w:r>
        <w:rPr>
          <w:rFonts w:hint="eastAsia" w:asciiTheme="minorEastAsia" w:hAnsiTheme="minorEastAsia" w:eastAsiaTheme="minorEastAsia" w:cstheme="minorEastAsia"/>
          <w:bCs/>
          <w:color w:val="auto"/>
        </w:rPr>
        <w:t>、供货商</w:t>
      </w:r>
      <w:r>
        <w:rPr>
          <w:rFonts w:hint="eastAsia" w:asciiTheme="minorEastAsia" w:hAnsiTheme="minorEastAsia" w:eastAsiaTheme="minorEastAsia" w:cstheme="minorEastAsia"/>
          <w:bCs/>
          <w:color w:val="auto"/>
          <w:lang w:val="en-US" w:eastAsia="zh-CN"/>
        </w:rPr>
        <w:t>双</w:t>
      </w:r>
      <w:r>
        <w:rPr>
          <w:rFonts w:hint="eastAsia" w:asciiTheme="minorEastAsia" w:hAnsiTheme="minorEastAsia" w:eastAsiaTheme="minorEastAsia" w:cstheme="minorEastAsia"/>
          <w:bCs/>
          <w:color w:val="auto"/>
        </w:rPr>
        <w:t>方签字，月末采购人汇总考核情况</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bCs/>
          <w:color w:val="auto"/>
        </w:rPr>
        <w:t>供货验收（使用）日常考核表、供应商整改通知单附件附后。）</w:t>
      </w:r>
    </w:p>
    <w:p w14:paraId="769436DF">
      <w:pPr>
        <w:numPr>
          <w:ilvl w:val="0"/>
          <w:numId w:val="2"/>
        </w:numP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违约责任</w:t>
      </w:r>
    </w:p>
    <w:p w14:paraId="64EC5CB7">
      <w:pPr>
        <w:ind w:left="-38" w:leftChars="-18" w:firstLine="462" w:firstLineChars="22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1.除不可抗力（如洪水、地震、火灾、风暴等自然灾害及战争、动乱、政府行为等社会事件）或</w:t>
      </w:r>
      <w:r>
        <w:rPr>
          <w:rFonts w:hint="eastAsia" w:asciiTheme="minorEastAsia" w:hAnsiTheme="minorEastAsia" w:eastAsiaTheme="minorEastAsia" w:cstheme="minorEastAsia"/>
          <w:bCs/>
          <w:color w:val="auto"/>
          <w:lang w:eastAsia="zh-CN"/>
        </w:rPr>
        <w:t>采购人</w:t>
      </w:r>
      <w:r>
        <w:rPr>
          <w:rFonts w:hint="eastAsia" w:asciiTheme="minorEastAsia" w:hAnsiTheme="minorEastAsia" w:eastAsiaTheme="minorEastAsia" w:cstheme="minorEastAsia"/>
          <w:bCs/>
          <w:color w:val="auto"/>
        </w:rPr>
        <w:t>原因外，</w:t>
      </w:r>
      <w:r>
        <w:rPr>
          <w:rFonts w:hint="eastAsia" w:asciiTheme="minorEastAsia" w:hAnsiTheme="minorEastAsia" w:eastAsiaTheme="minorEastAsia" w:cstheme="minorEastAsia"/>
          <w:bCs/>
          <w:color w:val="auto"/>
          <w:lang w:eastAsia="zh-CN"/>
        </w:rPr>
        <w:t>供应商</w:t>
      </w:r>
      <w:r>
        <w:rPr>
          <w:rFonts w:hint="eastAsia" w:asciiTheme="minorEastAsia" w:hAnsiTheme="minorEastAsia" w:eastAsiaTheme="minorEastAsia" w:cstheme="minorEastAsia"/>
          <w:bCs/>
          <w:color w:val="auto"/>
        </w:rPr>
        <w:t>出现以下违约情形，第一次给予警告并发送整改通知单要求改进，其后还将视违约情节轻重给予扣除履约保证金</w:t>
      </w:r>
      <w:r>
        <w:rPr>
          <w:rFonts w:hint="eastAsia" w:asciiTheme="minorEastAsia" w:hAnsiTheme="minorEastAsia" w:eastAsiaTheme="minorEastAsia" w:cstheme="minorEastAsia"/>
          <w:bCs/>
          <w:color w:val="auto"/>
          <w:lang w:val="en-US" w:eastAsia="zh-CN"/>
        </w:rPr>
        <w:t>5</w:t>
      </w:r>
      <w:r>
        <w:rPr>
          <w:rFonts w:hint="eastAsia" w:asciiTheme="minorEastAsia" w:hAnsiTheme="minorEastAsia" w:eastAsiaTheme="minorEastAsia" w:cstheme="minorEastAsia"/>
          <w:bCs/>
          <w:color w:val="auto"/>
        </w:rPr>
        <w:t>00元—</w:t>
      </w:r>
      <w:r>
        <w:rPr>
          <w:rFonts w:hint="eastAsia" w:asciiTheme="minorEastAsia" w:hAnsiTheme="minorEastAsia" w:eastAsiaTheme="minorEastAsia" w:cstheme="minorEastAsia"/>
          <w:bCs/>
          <w:color w:val="auto"/>
          <w:lang w:val="en-US" w:eastAsia="zh-CN"/>
        </w:rPr>
        <w:t>3</w:t>
      </w:r>
      <w:r>
        <w:rPr>
          <w:rFonts w:hint="eastAsia" w:asciiTheme="minorEastAsia" w:hAnsiTheme="minorEastAsia" w:eastAsiaTheme="minorEastAsia" w:cstheme="minorEastAsia"/>
          <w:bCs/>
          <w:color w:val="auto"/>
        </w:rPr>
        <w:t>000元的处理：</w:t>
      </w:r>
    </w:p>
    <w:p w14:paraId="0BB0E716">
      <w:pPr>
        <w:ind w:left="-38" w:leftChars="-18" w:firstLine="462" w:firstLineChars="22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（1）</w:t>
      </w:r>
      <w:r>
        <w:rPr>
          <w:rFonts w:hint="eastAsia" w:asciiTheme="minorEastAsia" w:hAnsiTheme="minorEastAsia" w:eastAsiaTheme="minorEastAsia" w:cstheme="minorEastAsia"/>
          <w:bCs/>
          <w:color w:val="auto"/>
          <w:lang w:eastAsia="zh-CN"/>
        </w:rPr>
        <w:t>供应商</w:t>
      </w:r>
      <w:r>
        <w:rPr>
          <w:rFonts w:hint="eastAsia" w:asciiTheme="minorEastAsia" w:hAnsiTheme="minorEastAsia" w:eastAsiaTheme="minorEastAsia" w:cstheme="minorEastAsia"/>
          <w:bCs/>
          <w:color w:val="auto"/>
        </w:rPr>
        <w:t>供应产品在验收或使用过程中发现一般质量问题（如夹杂异物较多、以次充好、原包装破损、有轻微异味、缺斤少两、蔬菜黄叶或腐烂较多、含水量过高、规格不符等），但能及时退还或补足，未影响</w:t>
      </w:r>
      <w:r>
        <w:rPr>
          <w:rFonts w:hint="eastAsia" w:asciiTheme="minorEastAsia" w:hAnsiTheme="minorEastAsia" w:eastAsiaTheme="minorEastAsia" w:cstheme="minorEastAsia"/>
          <w:bCs/>
          <w:color w:val="auto"/>
          <w:lang w:eastAsia="zh-CN"/>
        </w:rPr>
        <w:t>采购人</w:t>
      </w:r>
      <w:r>
        <w:rPr>
          <w:rFonts w:hint="eastAsia" w:asciiTheme="minorEastAsia" w:hAnsiTheme="minorEastAsia" w:eastAsiaTheme="minorEastAsia" w:cstheme="minorEastAsia"/>
          <w:bCs/>
          <w:color w:val="auto"/>
        </w:rPr>
        <w:t>食堂正常供应的；</w:t>
      </w:r>
    </w:p>
    <w:p w14:paraId="4FD50294">
      <w:pPr>
        <w:ind w:left="-38" w:leftChars="-18" w:firstLine="462" w:firstLineChars="22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（2）</w:t>
      </w:r>
      <w:r>
        <w:rPr>
          <w:rFonts w:hint="eastAsia" w:asciiTheme="minorEastAsia" w:hAnsiTheme="minorEastAsia" w:eastAsiaTheme="minorEastAsia" w:cstheme="minorEastAsia"/>
          <w:bCs/>
          <w:color w:val="auto"/>
          <w:lang w:eastAsia="zh-CN"/>
        </w:rPr>
        <w:t>供应商</w:t>
      </w:r>
      <w:r>
        <w:rPr>
          <w:rFonts w:hint="eastAsia" w:asciiTheme="minorEastAsia" w:hAnsiTheme="minorEastAsia" w:eastAsiaTheme="minorEastAsia" w:cstheme="minorEastAsia"/>
          <w:bCs/>
          <w:color w:val="auto"/>
        </w:rPr>
        <w:t>未能按照</w:t>
      </w:r>
      <w:r>
        <w:rPr>
          <w:rFonts w:hint="eastAsia" w:asciiTheme="minorEastAsia" w:hAnsiTheme="minorEastAsia" w:eastAsiaTheme="minorEastAsia" w:cstheme="minorEastAsia"/>
          <w:bCs/>
          <w:color w:val="auto"/>
          <w:lang w:eastAsia="zh-CN"/>
        </w:rPr>
        <w:t>采购人</w:t>
      </w:r>
      <w:r>
        <w:rPr>
          <w:rFonts w:hint="eastAsia" w:asciiTheme="minorEastAsia" w:hAnsiTheme="minorEastAsia" w:eastAsiaTheme="minorEastAsia" w:cstheme="minorEastAsia"/>
          <w:bCs/>
          <w:color w:val="auto"/>
        </w:rPr>
        <w:t>要求的规格、数量、时间、地点送货到位（含临时送货要求），但未影响</w:t>
      </w:r>
      <w:r>
        <w:rPr>
          <w:rFonts w:hint="eastAsia" w:asciiTheme="minorEastAsia" w:hAnsiTheme="minorEastAsia" w:eastAsiaTheme="minorEastAsia" w:cstheme="minorEastAsia"/>
          <w:bCs/>
          <w:color w:val="auto"/>
          <w:lang w:eastAsia="zh-CN"/>
        </w:rPr>
        <w:t>采购人</w:t>
      </w:r>
      <w:r>
        <w:rPr>
          <w:rFonts w:hint="eastAsia" w:asciiTheme="minorEastAsia" w:hAnsiTheme="minorEastAsia" w:eastAsiaTheme="minorEastAsia" w:cstheme="minorEastAsia"/>
          <w:bCs/>
          <w:color w:val="auto"/>
        </w:rPr>
        <w:t>食堂正常供应的；</w:t>
      </w:r>
    </w:p>
    <w:p w14:paraId="0F19C740">
      <w:pPr>
        <w:ind w:left="-38" w:leftChars="-18" w:firstLine="462" w:firstLineChars="220"/>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（3）</w:t>
      </w:r>
      <w:r>
        <w:rPr>
          <w:rFonts w:hint="eastAsia" w:asciiTheme="minorEastAsia" w:hAnsiTheme="minorEastAsia" w:eastAsiaTheme="minorEastAsia" w:cstheme="minorEastAsia"/>
          <w:bCs/>
          <w:color w:val="auto"/>
          <w:lang w:eastAsia="zh-CN"/>
        </w:rPr>
        <w:t>供应商</w:t>
      </w:r>
      <w:r>
        <w:rPr>
          <w:rFonts w:hint="eastAsia" w:asciiTheme="minorEastAsia" w:hAnsiTheme="minorEastAsia" w:eastAsiaTheme="minorEastAsia" w:cstheme="minorEastAsia"/>
          <w:bCs/>
          <w:color w:val="auto"/>
        </w:rPr>
        <w:t>提供的食品索证材料虚假或不齐全，但事后能及时提供真实有效、齐全的索证材料的。</w:t>
      </w:r>
    </w:p>
    <w:p w14:paraId="68489938">
      <w:pPr>
        <w:numPr>
          <w:ilvl w:val="0"/>
          <w:numId w:val="2"/>
        </w:numP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考核结果应用</w:t>
      </w:r>
    </w:p>
    <w:p w14:paraId="5E404C4A">
      <w:pPr>
        <w:ind w:firstLine="420" w:firstLineChars="20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rPr>
        <w:t>食堂管理人员根据月</w:t>
      </w:r>
      <w:r>
        <w:rPr>
          <w:rFonts w:hint="eastAsia" w:asciiTheme="minorEastAsia" w:hAnsiTheme="minorEastAsia" w:eastAsiaTheme="minorEastAsia" w:cstheme="minorEastAsia"/>
          <w:bCs/>
          <w:color w:val="auto"/>
        </w:rPr>
        <w:t>度考核结果，对供应商实行相应经济</w:t>
      </w:r>
      <w:r>
        <w:rPr>
          <w:rFonts w:hint="eastAsia" w:asciiTheme="minorEastAsia" w:hAnsiTheme="minorEastAsia" w:eastAsiaTheme="minorEastAsia" w:cstheme="minorEastAsia"/>
          <w:bCs/>
          <w:color w:val="auto"/>
          <w:lang w:val="en-US" w:eastAsia="zh-CN"/>
        </w:rPr>
        <w:t>处罚</w:t>
      </w:r>
      <w:r>
        <w:rPr>
          <w:rFonts w:hint="eastAsia" w:asciiTheme="minorEastAsia" w:hAnsiTheme="minorEastAsia" w:eastAsiaTheme="minorEastAsia" w:cstheme="minorEastAsia"/>
          <w:bCs/>
          <w:color w:val="auto"/>
        </w:rPr>
        <w:t>和扣分考核：</w:t>
      </w:r>
      <w:r>
        <w:rPr>
          <w:rFonts w:hint="eastAsia" w:asciiTheme="minorEastAsia" w:hAnsiTheme="minorEastAsia" w:eastAsiaTheme="minorEastAsia" w:cstheme="minorEastAsia"/>
          <w:bCs/>
          <w:color w:val="auto"/>
          <w:highlight w:val="none"/>
          <w:lang w:val="en-US" w:eastAsia="zh-CN"/>
        </w:rPr>
        <w:t>月</w:t>
      </w:r>
      <w:r>
        <w:rPr>
          <w:rFonts w:hint="eastAsia" w:asciiTheme="minorEastAsia" w:hAnsiTheme="minorEastAsia" w:eastAsiaTheme="minorEastAsia" w:cstheme="minorEastAsia"/>
          <w:bCs/>
          <w:color w:val="auto"/>
          <w:highlight w:val="none"/>
        </w:rPr>
        <w:t>度考核</w:t>
      </w:r>
      <w:r>
        <w:rPr>
          <w:rFonts w:hint="eastAsia" w:asciiTheme="minorEastAsia" w:hAnsiTheme="minorEastAsia" w:eastAsiaTheme="minorEastAsia" w:cstheme="minorEastAsia"/>
          <w:bCs/>
          <w:color w:val="auto"/>
          <w:highlight w:val="none"/>
          <w:lang w:val="en-US" w:eastAsia="zh-CN"/>
        </w:rPr>
        <w:t>90分及以上为满意；80-89分为合格；</w:t>
      </w:r>
      <w:r>
        <w:rPr>
          <w:rFonts w:hint="eastAsia" w:asciiTheme="minorEastAsia" w:hAnsiTheme="minorEastAsia" w:eastAsiaTheme="minorEastAsia" w:cstheme="minorEastAsia"/>
          <w:bCs/>
          <w:color w:val="auto"/>
          <w:highlight w:val="none"/>
        </w:rPr>
        <w:t>低于80分</w:t>
      </w:r>
      <w:r>
        <w:rPr>
          <w:rFonts w:hint="eastAsia" w:asciiTheme="minorEastAsia" w:hAnsiTheme="minorEastAsia" w:eastAsiaTheme="minorEastAsia" w:cstheme="minorEastAsia"/>
          <w:bCs/>
          <w:color w:val="auto"/>
          <w:highlight w:val="none"/>
          <w:lang w:val="en-US" w:eastAsia="zh-CN"/>
        </w:rPr>
        <w:t>为不合格，</w:t>
      </w:r>
      <w:r>
        <w:rPr>
          <w:rFonts w:hint="eastAsia" w:asciiTheme="minorEastAsia" w:hAnsiTheme="minorEastAsia" w:eastAsiaTheme="minorEastAsia" w:cstheme="minorEastAsia"/>
          <w:bCs/>
          <w:color w:val="auto"/>
          <w:highlight w:val="none"/>
          <w:lang w:eastAsia="zh-CN"/>
        </w:rPr>
        <w:t>采购人</w:t>
      </w:r>
      <w:r>
        <w:rPr>
          <w:rFonts w:hint="eastAsia" w:asciiTheme="minorEastAsia" w:hAnsiTheme="minorEastAsia" w:eastAsiaTheme="minorEastAsia" w:cstheme="minorEastAsia"/>
          <w:bCs/>
          <w:color w:val="auto"/>
          <w:highlight w:val="none"/>
        </w:rPr>
        <w:t>将给予警告、整改通知，</w:t>
      </w:r>
      <w:r>
        <w:rPr>
          <w:rFonts w:hint="eastAsia" w:asciiTheme="minorEastAsia" w:hAnsiTheme="minorEastAsia" w:eastAsiaTheme="minorEastAsia" w:cstheme="minorEastAsia"/>
          <w:bCs/>
          <w:color w:val="auto"/>
          <w:highlight w:val="none"/>
          <w:lang w:val="en-US" w:eastAsia="zh-CN"/>
        </w:rPr>
        <w:t>并</w:t>
      </w:r>
      <w:r>
        <w:rPr>
          <w:rFonts w:hint="eastAsia" w:asciiTheme="minorEastAsia" w:hAnsiTheme="minorEastAsia" w:eastAsiaTheme="minorEastAsia" w:cstheme="minorEastAsia"/>
          <w:bCs/>
          <w:color w:val="auto"/>
          <w:highlight w:val="none"/>
        </w:rPr>
        <w:t>扣该月</w:t>
      </w:r>
      <w:r>
        <w:rPr>
          <w:rFonts w:hint="eastAsia" w:asciiTheme="minorEastAsia" w:hAnsiTheme="minorEastAsia" w:eastAsiaTheme="minorEastAsia" w:cstheme="minorEastAsia"/>
          <w:bCs/>
          <w:color w:val="auto"/>
          <w:highlight w:val="none"/>
          <w:lang w:val="en-US" w:eastAsia="zh-CN"/>
        </w:rPr>
        <w:t>货款的</w:t>
      </w:r>
      <w:r>
        <w:rPr>
          <w:rFonts w:hint="eastAsia" w:asciiTheme="minorEastAsia" w:hAnsiTheme="minorEastAsia" w:eastAsiaTheme="minorEastAsia" w:cstheme="minorEastAsia"/>
          <w:bCs/>
          <w:color w:val="auto"/>
          <w:highlight w:val="none"/>
        </w:rPr>
        <w:t>10%</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警告、整改通知累计</w:t>
      </w:r>
      <w:r>
        <w:rPr>
          <w:rFonts w:hint="eastAsia" w:asciiTheme="minorEastAsia" w:hAnsiTheme="minorEastAsia" w:eastAsiaTheme="minorEastAsia" w:cstheme="minorEastAsia"/>
          <w:bCs/>
          <w:color w:val="auto"/>
          <w:highlight w:val="none"/>
          <w:lang w:eastAsia="zh-CN"/>
        </w:rPr>
        <w:t>超过3次</w:t>
      </w:r>
      <w:r>
        <w:rPr>
          <w:rFonts w:hint="eastAsia" w:asciiTheme="minorEastAsia" w:hAnsiTheme="minorEastAsia" w:eastAsiaTheme="minorEastAsia" w:cstheme="minorEastAsia"/>
          <w:bCs/>
          <w:color w:val="auto"/>
          <w:highlight w:val="none"/>
        </w:rPr>
        <w:t>的</w:t>
      </w:r>
      <w:r>
        <w:rPr>
          <w:rFonts w:hint="eastAsia" w:asciiTheme="minorEastAsia" w:hAnsiTheme="minorEastAsia" w:eastAsiaTheme="minorEastAsia" w:cstheme="minorEastAsia"/>
          <w:bCs/>
          <w:color w:val="auto"/>
          <w:highlight w:val="none"/>
          <w:lang w:eastAsia="zh-CN"/>
        </w:rPr>
        <w:t>采购人</w:t>
      </w:r>
      <w:r>
        <w:rPr>
          <w:rFonts w:hint="eastAsia" w:asciiTheme="minorEastAsia" w:hAnsiTheme="minorEastAsia" w:eastAsiaTheme="minorEastAsia" w:cstheme="minorEastAsia"/>
          <w:bCs/>
          <w:color w:val="auto"/>
          <w:highlight w:val="none"/>
        </w:rPr>
        <w:t>有权终止合同。</w:t>
      </w:r>
    </w:p>
    <w:p w14:paraId="1EB26226">
      <w:pPr>
        <w:ind w:firstLine="420" w:firstLineChars="200"/>
        <w:rPr>
          <w:rFonts w:hint="eastAsia" w:asciiTheme="minorEastAsia" w:hAnsiTheme="minorEastAsia" w:eastAsiaTheme="minorEastAsia" w:cstheme="minorEastAsia"/>
          <w:bCs/>
          <w:color w:val="auto"/>
        </w:rPr>
      </w:pPr>
    </w:p>
    <w:p w14:paraId="3EE50A3A">
      <w:pPr>
        <w:rPr>
          <w:rFonts w:hint="eastAsia" w:asciiTheme="minorEastAsia" w:hAnsiTheme="minorEastAsia" w:eastAsiaTheme="minorEastAsia" w:cstheme="minorEastAsia"/>
          <w:bCs/>
          <w:color w:val="auto"/>
        </w:rPr>
      </w:pPr>
    </w:p>
    <w:p w14:paraId="5731FF23">
      <w:pPr>
        <w:jc w:val="right"/>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bCs/>
          <w:color w:val="auto"/>
          <w:lang w:eastAsia="zh-CN"/>
        </w:rPr>
        <w:t>南京市公安局江宁分局看守所</w:t>
      </w:r>
    </w:p>
    <w:p w14:paraId="74320997">
      <w:pPr>
        <w:jc w:val="right"/>
        <w:rPr>
          <w:rFonts w:hint="eastAsia" w:asciiTheme="minorEastAsia" w:hAnsiTheme="minorEastAsia" w:eastAsiaTheme="minorEastAsia" w:cstheme="minorEastAsia"/>
          <w:color w:val="auto"/>
          <w:shd w:val="pct10" w:color="auto" w:fill="FFFFFF"/>
        </w:rPr>
      </w:pPr>
      <w:r>
        <w:rPr>
          <w:rFonts w:hint="eastAsia" w:asciiTheme="minorEastAsia" w:hAnsiTheme="minorEastAsia" w:eastAsiaTheme="minorEastAsia" w:cstheme="minorEastAsia"/>
          <w:bCs/>
          <w:color w:val="auto"/>
        </w:rPr>
        <w:t xml:space="preserve">  年  月  日</w:t>
      </w:r>
    </w:p>
    <w:p w14:paraId="5189F7EB">
      <w:pPr>
        <w:jc w:val="center"/>
        <w:rPr>
          <w:rFonts w:hint="eastAsia" w:asciiTheme="minorEastAsia" w:hAnsiTheme="minorEastAsia" w:eastAsiaTheme="minorEastAsia" w:cstheme="minorEastAsia"/>
          <w:b/>
          <w:bCs/>
          <w:color w:val="auto"/>
        </w:rPr>
      </w:pPr>
    </w:p>
    <w:p w14:paraId="4FA79BE6">
      <w:pPr>
        <w:jc w:val="center"/>
        <w:rPr>
          <w:rFonts w:hint="eastAsia" w:asciiTheme="minorEastAsia" w:hAnsiTheme="minorEastAsia" w:eastAsiaTheme="minorEastAsia" w:cstheme="minorEastAsia"/>
          <w:b/>
          <w:bCs/>
          <w:color w:val="auto"/>
        </w:rPr>
      </w:pPr>
    </w:p>
    <w:p w14:paraId="77ED2921">
      <w:pPr>
        <w:jc w:val="center"/>
        <w:rPr>
          <w:rFonts w:hint="eastAsia" w:asciiTheme="minorEastAsia" w:hAnsiTheme="minorEastAsia" w:eastAsiaTheme="minorEastAsia" w:cstheme="minorEastAsia"/>
          <w:b/>
          <w:bCs/>
          <w:color w:val="auto"/>
        </w:rPr>
      </w:pPr>
    </w:p>
    <w:p w14:paraId="02064E02">
      <w:pPr>
        <w:widowControl/>
        <w:jc w:val="left"/>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br w:type="page"/>
      </w:r>
    </w:p>
    <w:p w14:paraId="776DAE02">
      <w:pPr>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供货商确认</w:t>
      </w:r>
    </w:p>
    <w:p w14:paraId="6695E279">
      <w:pPr>
        <w:rPr>
          <w:rFonts w:hint="eastAsia" w:asciiTheme="minorEastAsia" w:hAnsiTheme="minorEastAsia" w:eastAsiaTheme="minorEastAsia" w:cstheme="minorEastAsia"/>
          <w:b/>
          <w:bCs/>
          <w:color w:val="auto"/>
        </w:rPr>
      </w:pPr>
    </w:p>
    <w:p w14:paraId="77041F1A">
      <w:pPr>
        <w:ind w:firstLine="413" w:firstLineChars="196"/>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本单位完全了解并同意遵照该办法执行</w:t>
      </w:r>
      <w:r>
        <w:rPr>
          <w:rFonts w:hint="eastAsia" w:asciiTheme="minorEastAsia" w:hAnsiTheme="minorEastAsia" w:eastAsiaTheme="minorEastAsia" w:cstheme="minorEastAsia"/>
          <w:b/>
          <w:bCs/>
          <w:color w:val="auto"/>
          <w:lang w:eastAsia="zh-CN"/>
        </w:rPr>
        <w:t>！</w:t>
      </w:r>
    </w:p>
    <w:p w14:paraId="37A60E37">
      <w:pPr>
        <w:rPr>
          <w:rFonts w:hint="eastAsia" w:asciiTheme="minorEastAsia" w:hAnsiTheme="minorEastAsia" w:eastAsiaTheme="minorEastAsia" w:cstheme="minorEastAsia"/>
          <w:b/>
          <w:bCs/>
          <w:color w:val="auto"/>
        </w:rPr>
      </w:pPr>
    </w:p>
    <w:p w14:paraId="1F433DCF">
      <w:pPr>
        <w:jc w:val="right"/>
        <w:rPr>
          <w:rFonts w:hint="eastAsia" w:asciiTheme="minorEastAsia" w:hAnsiTheme="minorEastAsia" w:eastAsiaTheme="minorEastAsia" w:cstheme="minorEastAsia"/>
          <w:b/>
          <w:bCs/>
          <w:color w:val="auto"/>
          <w:u w:val="single"/>
        </w:rPr>
      </w:pPr>
      <w:r>
        <w:rPr>
          <w:rFonts w:hint="eastAsia" w:asciiTheme="minorEastAsia" w:hAnsiTheme="minorEastAsia" w:eastAsiaTheme="minorEastAsia" w:cstheme="minorEastAsia"/>
          <w:b/>
          <w:bCs/>
          <w:color w:val="auto"/>
        </w:rPr>
        <w:t xml:space="preserve">                        供货单位(章):</w:t>
      </w:r>
    </w:p>
    <w:p w14:paraId="5B93B400">
      <w:pPr>
        <w:jc w:val="right"/>
        <w:rPr>
          <w:rFonts w:hint="eastAsia" w:asciiTheme="minorEastAsia" w:hAnsiTheme="minorEastAsia" w:eastAsiaTheme="minorEastAsia" w:cstheme="minorEastAsia"/>
          <w:b/>
          <w:bCs/>
          <w:color w:val="auto"/>
          <w:u w:val="single"/>
        </w:rPr>
      </w:pPr>
      <w:r>
        <w:rPr>
          <w:rFonts w:hint="eastAsia" w:asciiTheme="minorEastAsia" w:hAnsiTheme="minorEastAsia" w:eastAsiaTheme="minorEastAsia" w:cstheme="minorEastAsia"/>
          <w:b/>
          <w:bCs/>
          <w:color w:val="auto"/>
        </w:rPr>
        <w:t xml:space="preserve">                        负责人签字:  </w:t>
      </w:r>
    </w:p>
    <w:p w14:paraId="61A89AB0">
      <w:pPr>
        <w:jc w:val="right"/>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       年   月   日</w:t>
      </w:r>
    </w:p>
    <w:p w14:paraId="63DE5161">
      <w:pPr>
        <w:widowControl/>
        <w:rPr>
          <w:rFonts w:hint="eastAsia" w:asciiTheme="minorEastAsia" w:hAnsiTheme="minorEastAsia" w:eastAsiaTheme="minorEastAsia" w:cstheme="minorEastAsia"/>
          <w:b/>
          <w:bCs/>
          <w:color w:val="auto"/>
          <w:sz w:val="24"/>
        </w:rPr>
      </w:pPr>
    </w:p>
    <w:p w14:paraId="3EC7498C">
      <w:pPr>
        <w:widowControl/>
        <w:rPr>
          <w:rFonts w:hint="eastAsia" w:asciiTheme="minorEastAsia" w:hAnsiTheme="minorEastAsia" w:eastAsiaTheme="minorEastAsia" w:cstheme="minorEastAsia"/>
          <w:b/>
          <w:bCs/>
          <w:color w:val="auto"/>
          <w:sz w:val="24"/>
        </w:rPr>
      </w:pPr>
    </w:p>
    <w:p w14:paraId="39BD2336">
      <w:pPr>
        <w:widowControl/>
        <w:rPr>
          <w:rFonts w:hint="eastAsia" w:asciiTheme="minorEastAsia" w:hAnsiTheme="minorEastAsia" w:eastAsiaTheme="minorEastAsia" w:cstheme="minorEastAsia"/>
          <w:b/>
          <w:bCs/>
          <w:color w:val="auto"/>
          <w:sz w:val="24"/>
        </w:rPr>
      </w:pPr>
    </w:p>
    <w:p w14:paraId="3E5BF258">
      <w:pPr>
        <w:widowControl/>
        <w:rPr>
          <w:rFonts w:hint="eastAsia" w:asciiTheme="minorEastAsia" w:hAnsiTheme="minorEastAsia" w:eastAsiaTheme="minorEastAsia" w:cstheme="minorEastAsia"/>
          <w:b/>
          <w:bCs/>
          <w:color w:val="auto"/>
          <w:sz w:val="24"/>
        </w:rPr>
      </w:pPr>
    </w:p>
    <w:p w14:paraId="5468C980">
      <w:pPr>
        <w:widowControl/>
        <w:rPr>
          <w:rFonts w:hint="eastAsia" w:asciiTheme="minorEastAsia" w:hAnsiTheme="minorEastAsia" w:eastAsiaTheme="minorEastAsia" w:cstheme="minorEastAsia"/>
          <w:b/>
          <w:bCs/>
          <w:color w:val="auto"/>
          <w:sz w:val="24"/>
        </w:rPr>
      </w:pPr>
    </w:p>
    <w:p w14:paraId="0EF58FD5">
      <w:pPr>
        <w:widowControl/>
        <w:rPr>
          <w:rFonts w:hint="eastAsia" w:asciiTheme="minorEastAsia" w:hAnsiTheme="minorEastAsia" w:eastAsiaTheme="minorEastAsia" w:cstheme="minorEastAsia"/>
          <w:b/>
          <w:bCs/>
          <w:color w:val="auto"/>
          <w:sz w:val="24"/>
        </w:rPr>
      </w:pPr>
    </w:p>
    <w:p w14:paraId="3EBDF352">
      <w:pPr>
        <w:widowControl/>
        <w:rPr>
          <w:rFonts w:hint="eastAsia" w:asciiTheme="minorEastAsia" w:hAnsiTheme="minorEastAsia" w:eastAsiaTheme="minorEastAsia" w:cstheme="minorEastAsia"/>
          <w:b/>
          <w:bCs/>
          <w:color w:val="auto"/>
          <w:sz w:val="24"/>
        </w:rPr>
      </w:pPr>
    </w:p>
    <w:p w14:paraId="51514202">
      <w:pPr>
        <w:widowControl/>
        <w:rPr>
          <w:rFonts w:hint="eastAsia" w:asciiTheme="minorEastAsia" w:hAnsiTheme="minorEastAsia" w:eastAsiaTheme="minorEastAsia" w:cstheme="minorEastAsia"/>
          <w:b/>
          <w:bCs/>
          <w:color w:val="auto"/>
          <w:sz w:val="24"/>
        </w:rPr>
      </w:pPr>
    </w:p>
    <w:p w14:paraId="52DBAF40">
      <w:pPr>
        <w:widowControl/>
        <w:rPr>
          <w:rFonts w:hint="eastAsia" w:asciiTheme="minorEastAsia" w:hAnsiTheme="minorEastAsia" w:eastAsiaTheme="minorEastAsia" w:cstheme="minorEastAsia"/>
          <w:b/>
          <w:bCs/>
          <w:color w:val="auto"/>
          <w:sz w:val="24"/>
        </w:rPr>
      </w:pPr>
    </w:p>
    <w:p w14:paraId="7AF6CF5E">
      <w:pPr>
        <w:widowControl/>
        <w:rPr>
          <w:rFonts w:hint="eastAsia" w:asciiTheme="minorEastAsia" w:hAnsiTheme="minorEastAsia" w:eastAsiaTheme="minorEastAsia" w:cstheme="minorEastAsia"/>
          <w:b/>
          <w:bCs/>
          <w:color w:val="auto"/>
          <w:sz w:val="24"/>
        </w:rPr>
      </w:pPr>
    </w:p>
    <w:p w14:paraId="18BAC09B">
      <w:pPr>
        <w:widowControl/>
        <w:rPr>
          <w:rFonts w:hint="eastAsia" w:asciiTheme="minorEastAsia" w:hAnsiTheme="minorEastAsia" w:eastAsiaTheme="minorEastAsia" w:cstheme="minorEastAsia"/>
          <w:b/>
          <w:bCs/>
          <w:color w:val="auto"/>
          <w:sz w:val="24"/>
        </w:rPr>
      </w:pPr>
    </w:p>
    <w:p w14:paraId="401FDBD0">
      <w:pPr>
        <w:widowControl/>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附件1：</w:t>
      </w:r>
    </w:p>
    <w:tbl>
      <w:tblPr>
        <w:tblStyle w:val="43"/>
        <w:tblpPr w:leftFromText="180" w:rightFromText="180" w:vertAnchor="text" w:horzAnchor="margin" w:tblpXSpec="center" w:tblpY="297"/>
        <w:tblW w:w="8670" w:type="dxa"/>
        <w:tblInd w:w="108" w:type="dxa"/>
        <w:tblLayout w:type="fixed"/>
        <w:tblCellMar>
          <w:top w:w="0" w:type="dxa"/>
          <w:left w:w="108" w:type="dxa"/>
          <w:bottom w:w="0" w:type="dxa"/>
          <w:right w:w="108" w:type="dxa"/>
        </w:tblCellMar>
      </w:tblPr>
      <w:tblGrid>
        <w:gridCol w:w="563"/>
        <w:gridCol w:w="822"/>
        <w:gridCol w:w="992"/>
        <w:gridCol w:w="885"/>
        <w:gridCol w:w="1276"/>
        <w:gridCol w:w="992"/>
        <w:gridCol w:w="1215"/>
        <w:gridCol w:w="1336"/>
        <w:gridCol w:w="562"/>
        <w:gridCol w:w="27"/>
      </w:tblGrid>
      <w:tr w14:paraId="263F8CE0">
        <w:tblPrEx>
          <w:tblCellMar>
            <w:top w:w="0" w:type="dxa"/>
            <w:left w:w="108" w:type="dxa"/>
            <w:bottom w:w="0" w:type="dxa"/>
            <w:right w:w="108" w:type="dxa"/>
          </w:tblCellMar>
        </w:tblPrEx>
        <w:trPr>
          <w:trHeight w:val="615" w:hRule="atLeast"/>
        </w:trPr>
        <w:tc>
          <w:tcPr>
            <w:tcW w:w="8670" w:type="dxa"/>
            <w:gridSpan w:val="10"/>
            <w:noWrap/>
            <w:vAlign w:val="center"/>
          </w:tcPr>
          <w:p w14:paraId="2A0F5A8A">
            <w:pPr>
              <w:widowControl/>
              <w:jc w:val="center"/>
              <w:rPr>
                <w:rFonts w:hint="eastAsia" w:asciiTheme="minorEastAsia" w:hAnsiTheme="minorEastAsia" w:eastAsiaTheme="minorEastAsia" w:cstheme="minorEastAsia"/>
                <w:b/>
                <w:bCs/>
                <w:color w:val="auto"/>
                <w:kern w:val="0"/>
              </w:rPr>
            </w:pPr>
            <w:r>
              <w:rPr>
                <w:rFonts w:hint="eastAsia" w:asciiTheme="minorEastAsia" w:hAnsiTheme="minorEastAsia" w:eastAsiaTheme="minorEastAsia" w:cstheme="minorEastAsia"/>
                <w:b/>
                <w:bCs/>
                <w:color w:val="auto"/>
                <w:kern w:val="0"/>
              </w:rPr>
              <w:t>供货验收日常追踪考核表</w:t>
            </w:r>
          </w:p>
        </w:tc>
      </w:tr>
      <w:tr w14:paraId="28FD3CBC">
        <w:tblPrEx>
          <w:tblCellMar>
            <w:top w:w="0" w:type="dxa"/>
            <w:left w:w="108" w:type="dxa"/>
            <w:bottom w:w="0" w:type="dxa"/>
            <w:right w:w="108" w:type="dxa"/>
          </w:tblCellMar>
        </w:tblPrEx>
        <w:trPr>
          <w:gridAfter w:val="1"/>
          <w:wAfter w:w="27" w:type="dxa"/>
          <w:trHeight w:val="1125" w:hRule="atLeast"/>
        </w:trPr>
        <w:tc>
          <w:tcPr>
            <w:tcW w:w="563" w:type="dxa"/>
            <w:tcBorders>
              <w:top w:val="single" w:color="auto" w:sz="4" w:space="0"/>
              <w:left w:val="single" w:color="auto" w:sz="4" w:space="0"/>
              <w:bottom w:val="single" w:color="auto" w:sz="4" w:space="0"/>
              <w:right w:val="single" w:color="auto" w:sz="4" w:space="0"/>
            </w:tcBorders>
            <w:noWrap/>
            <w:vAlign w:val="center"/>
          </w:tcPr>
          <w:p w14:paraId="4340CB2F">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序号</w:t>
            </w:r>
          </w:p>
        </w:tc>
        <w:tc>
          <w:tcPr>
            <w:tcW w:w="822" w:type="dxa"/>
            <w:tcBorders>
              <w:top w:val="single" w:color="auto" w:sz="4" w:space="0"/>
              <w:left w:val="nil"/>
              <w:bottom w:val="single" w:color="auto" w:sz="4" w:space="0"/>
              <w:right w:val="single" w:color="auto" w:sz="4" w:space="0"/>
            </w:tcBorders>
            <w:noWrap/>
            <w:vAlign w:val="center"/>
          </w:tcPr>
          <w:p w14:paraId="02D24F2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验收时间</w:t>
            </w:r>
          </w:p>
        </w:tc>
        <w:tc>
          <w:tcPr>
            <w:tcW w:w="992" w:type="dxa"/>
            <w:tcBorders>
              <w:top w:val="single" w:color="auto" w:sz="4" w:space="0"/>
              <w:left w:val="nil"/>
              <w:bottom w:val="single" w:color="auto" w:sz="4" w:space="0"/>
              <w:right w:val="single" w:color="auto" w:sz="4" w:space="0"/>
            </w:tcBorders>
            <w:noWrap/>
            <w:vAlign w:val="center"/>
          </w:tcPr>
          <w:p w14:paraId="445E18F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供应商名称</w:t>
            </w:r>
          </w:p>
        </w:tc>
        <w:tc>
          <w:tcPr>
            <w:tcW w:w="885" w:type="dxa"/>
            <w:tcBorders>
              <w:top w:val="single" w:color="auto" w:sz="4" w:space="0"/>
              <w:left w:val="nil"/>
              <w:bottom w:val="single" w:color="auto" w:sz="4" w:space="0"/>
              <w:right w:val="single" w:color="auto" w:sz="4" w:space="0"/>
            </w:tcBorders>
            <w:noWrap/>
            <w:vAlign w:val="center"/>
          </w:tcPr>
          <w:p w14:paraId="09046CE4">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违规问题描述</w:t>
            </w:r>
          </w:p>
        </w:tc>
        <w:tc>
          <w:tcPr>
            <w:tcW w:w="1276" w:type="dxa"/>
            <w:tcBorders>
              <w:top w:val="single" w:color="auto" w:sz="4" w:space="0"/>
              <w:left w:val="nil"/>
              <w:bottom w:val="single" w:color="auto" w:sz="4" w:space="0"/>
              <w:right w:val="single" w:color="auto" w:sz="4" w:space="0"/>
            </w:tcBorders>
            <w:noWrap/>
            <w:vAlign w:val="center"/>
          </w:tcPr>
          <w:p w14:paraId="4290E4A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追踪结果</w:t>
            </w:r>
          </w:p>
        </w:tc>
        <w:tc>
          <w:tcPr>
            <w:tcW w:w="992" w:type="dxa"/>
            <w:tcBorders>
              <w:top w:val="single" w:color="auto" w:sz="4" w:space="0"/>
              <w:left w:val="nil"/>
              <w:bottom w:val="single" w:color="auto" w:sz="4" w:space="0"/>
              <w:right w:val="single" w:color="auto" w:sz="4" w:space="0"/>
            </w:tcBorders>
            <w:noWrap/>
            <w:vAlign w:val="center"/>
          </w:tcPr>
          <w:p w14:paraId="68FEC4F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是否及时整改</w:t>
            </w:r>
          </w:p>
        </w:tc>
        <w:tc>
          <w:tcPr>
            <w:tcW w:w="1215" w:type="dxa"/>
            <w:tcBorders>
              <w:top w:val="single" w:color="auto" w:sz="4" w:space="0"/>
              <w:left w:val="nil"/>
              <w:bottom w:val="single" w:color="auto" w:sz="4" w:space="0"/>
              <w:right w:val="single" w:color="auto" w:sz="4" w:space="0"/>
            </w:tcBorders>
            <w:noWrap/>
            <w:vAlign w:val="center"/>
          </w:tcPr>
          <w:p w14:paraId="40CA509B">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扣分分值</w:t>
            </w:r>
          </w:p>
        </w:tc>
        <w:tc>
          <w:tcPr>
            <w:tcW w:w="1336" w:type="dxa"/>
            <w:tcBorders>
              <w:top w:val="single" w:color="auto" w:sz="4" w:space="0"/>
              <w:left w:val="nil"/>
              <w:bottom w:val="single" w:color="auto" w:sz="4" w:space="0"/>
              <w:right w:val="single" w:color="auto" w:sz="4" w:space="0"/>
            </w:tcBorders>
            <w:noWrap/>
            <w:vAlign w:val="center"/>
          </w:tcPr>
          <w:p w14:paraId="45BF94AB">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使用人/验收人</w:t>
            </w:r>
          </w:p>
        </w:tc>
        <w:tc>
          <w:tcPr>
            <w:tcW w:w="562" w:type="dxa"/>
            <w:tcBorders>
              <w:top w:val="single" w:color="auto" w:sz="4" w:space="0"/>
              <w:left w:val="nil"/>
              <w:bottom w:val="single" w:color="auto" w:sz="4" w:space="0"/>
              <w:right w:val="single" w:color="auto" w:sz="4" w:space="0"/>
            </w:tcBorders>
            <w:noWrap/>
            <w:vAlign w:val="center"/>
          </w:tcPr>
          <w:p w14:paraId="13FB61E3">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备注</w:t>
            </w:r>
          </w:p>
        </w:tc>
      </w:tr>
      <w:tr w14:paraId="32292E01">
        <w:tblPrEx>
          <w:tblCellMar>
            <w:top w:w="0" w:type="dxa"/>
            <w:left w:w="108" w:type="dxa"/>
            <w:bottom w:w="0" w:type="dxa"/>
            <w:right w:w="108" w:type="dxa"/>
          </w:tblCellMar>
        </w:tblPrEx>
        <w:trPr>
          <w:gridAfter w:val="1"/>
          <w:wAfter w:w="27" w:type="dxa"/>
          <w:trHeight w:val="1125" w:hRule="atLeast"/>
        </w:trPr>
        <w:tc>
          <w:tcPr>
            <w:tcW w:w="563" w:type="dxa"/>
            <w:tcBorders>
              <w:top w:val="single" w:color="auto" w:sz="4" w:space="0"/>
              <w:left w:val="single" w:color="auto" w:sz="4" w:space="0"/>
              <w:bottom w:val="single" w:color="auto" w:sz="4" w:space="0"/>
              <w:right w:val="single" w:color="auto" w:sz="4" w:space="0"/>
            </w:tcBorders>
            <w:noWrap/>
            <w:vAlign w:val="center"/>
          </w:tcPr>
          <w:p w14:paraId="3D2F512D">
            <w:pPr>
              <w:widowControl/>
              <w:rPr>
                <w:rFonts w:hint="eastAsia" w:asciiTheme="minorEastAsia" w:hAnsiTheme="minorEastAsia" w:eastAsiaTheme="minorEastAsia" w:cstheme="minorEastAsia"/>
                <w:color w:val="auto"/>
                <w:kern w:val="0"/>
              </w:rPr>
            </w:pPr>
          </w:p>
        </w:tc>
        <w:tc>
          <w:tcPr>
            <w:tcW w:w="822" w:type="dxa"/>
            <w:tcBorders>
              <w:top w:val="single" w:color="auto" w:sz="4" w:space="0"/>
              <w:left w:val="nil"/>
              <w:bottom w:val="single" w:color="auto" w:sz="4" w:space="0"/>
              <w:right w:val="single" w:color="auto" w:sz="4" w:space="0"/>
            </w:tcBorders>
            <w:noWrap/>
            <w:vAlign w:val="center"/>
          </w:tcPr>
          <w:p w14:paraId="6A5F5F08">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3CA8E79D">
            <w:pPr>
              <w:widowControl/>
              <w:jc w:val="center"/>
              <w:rPr>
                <w:rFonts w:hint="eastAsia" w:asciiTheme="minorEastAsia" w:hAnsiTheme="minorEastAsia" w:eastAsiaTheme="minorEastAsia" w:cstheme="minorEastAsia"/>
                <w:color w:val="auto"/>
                <w:kern w:val="0"/>
              </w:rPr>
            </w:pPr>
          </w:p>
        </w:tc>
        <w:tc>
          <w:tcPr>
            <w:tcW w:w="885" w:type="dxa"/>
            <w:tcBorders>
              <w:top w:val="single" w:color="auto" w:sz="4" w:space="0"/>
              <w:left w:val="nil"/>
              <w:bottom w:val="single" w:color="auto" w:sz="4" w:space="0"/>
              <w:right w:val="single" w:color="auto" w:sz="4" w:space="0"/>
            </w:tcBorders>
            <w:noWrap/>
            <w:vAlign w:val="center"/>
          </w:tcPr>
          <w:p w14:paraId="4979F2FA">
            <w:pPr>
              <w:widowControl/>
              <w:jc w:val="center"/>
              <w:rPr>
                <w:rFonts w:hint="eastAsia" w:asciiTheme="minorEastAsia" w:hAnsiTheme="minorEastAsia" w:eastAsiaTheme="minorEastAsia" w:cstheme="minorEastAsia"/>
                <w:color w:val="auto"/>
                <w:kern w:val="0"/>
              </w:rPr>
            </w:pPr>
          </w:p>
        </w:tc>
        <w:tc>
          <w:tcPr>
            <w:tcW w:w="1276" w:type="dxa"/>
            <w:tcBorders>
              <w:top w:val="single" w:color="auto" w:sz="4" w:space="0"/>
              <w:left w:val="nil"/>
              <w:bottom w:val="single" w:color="auto" w:sz="4" w:space="0"/>
              <w:right w:val="single" w:color="auto" w:sz="4" w:space="0"/>
            </w:tcBorders>
            <w:noWrap/>
            <w:vAlign w:val="center"/>
          </w:tcPr>
          <w:p w14:paraId="015D74E2">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116CA868">
            <w:pPr>
              <w:widowControl/>
              <w:jc w:val="center"/>
              <w:rPr>
                <w:rFonts w:hint="eastAsia" w:asciiTheme="minorEastAsia" w:hAnsiTheme="minorEastAsia" w:eastAsiaTheme="minorEastAsia" w:cstheme="minorEastAsia"/>
                <w:color w:val="auto"/>
                <w:kern w:val="0"/>
              </w:rPr>
            </w:pPr>
          </w:p>
        </w:tc>
        <w:tc>
          <w:tcPr>
            <w:tcW w:w="1215" w:type="dxa"/>
            <w:tcBorders>
              <w:top w:val="single" w:color="auto" w:sz="4" w:space="0"/>
              <w:left w:val="nil"/>
              <w:bottom w:val="single" w:color="auto" w:sz="4" w:space="0"/>
              <w:right w:val="single" w:color="auto" w:sz="4" w:space="0"/>
            </w:tcBorders>
            <w:noWrap/>
            <w:vAlign w:val="center"/>
          </w:tcPr>
          <w:p w14:paraId="53DB401D">
            <w:pPr>
              <w:widowControl/>
              <w:jc w:val="center"/>
              <w:rPr>
                <w:rFonts w:hint="eastAsia" w:asciiTheme="minorEastAsia" w:hAnsiTheme="minorEastAsia" w:eastAsiaTheme="minorEastAsia" w:cstheme="minorEastAsia"/>
                <w:color w:val="auto"/>
                <w:kern w:val="0"/>
              </w:rPr>
            </w:pPr>
          </w:p>
        </w:tc>
        <w:tc>
          <w:tcPr>
            <w:tcW w:w="1336" w:type="dxa"/>
            <w:tcBorders>
              <w:top w:val="single" w:color="auto" w:sz="4" w:space="0"/>
              <w:left w:val="nil"/>
              <w:bottom w:val="single" w:color="auto" w:sz="4" w:space="0"/>
              <w:right w:val="single" w:color="auto" w:sz="4" w:space="0"/>
            </w:tcBorders>
            <w:noWrap/>
            <w:vAlign w:val="center"/>
          </w:tcPr>
          <w:p w14:paraId="1E8B7239">
            <w:pPr>
              <w:widowControl/>
              <w:jc w:val="center"/>
              <w:rPr>
                <w:rFonts w:hint="eastAsia" w:asciiTheme="minorEastAsia" w:hAnsiTheme="minorEastAsia" w:eastAsiaTheme="minorEastAsia" w:cstheme="minorEastAsia"/>
                <w:color w:val="auto"/>
                <w:kern w:val="0"/>
              </w:rPr>
            </w:pPr>
          </w:p>
        </w:tc>
        <w:tc>
          <w:tcPr>
            <w:tcW w:w="562" w:type="dxa"/>
            <w:tcBorders>
              <w:top w:val="single" w:color="auto" w:sz="4" w:space="0"/>
              <w:left w:val="nil"/>
              <w:bottom w:val="single" w:color="auto" w:sz="4" w:space="0"/>
              <w:right w:val="single" w:color="auto" w:sz="4" w:space="0"/>
            </w:tcBorders>
            <w:noWrap/>
            <w:vAlign w:val="center"/>
          </w:tcPr>
          <w:p w14:paraId="3A6DF991">
            <w:pPr>
              <w:widowControl/>
              <w:jc w:val="center"/>
              <w:rPr>
                <w:rFonts w:hint="eastAsia" w:asciiTheme="minorEastAsia" w:hAnsiTheme="minorEastAsia" w:eastAsiaTheme="minorEastAsia" w:cstheme="minorEastAsia"/>
                <w:color w:val="auto"/>
                <w:kern w:val="0"/>
              </w:rPr>
            </w:pPr>
          </w:p>
        </w:tc>
      </w:tr>
      <w:tr w14:paraId="3CE7CF66">
        <w:tblPrEx>
          <w:tblCellMar>
            <w:top w:w="0" w:type="dxa"/>
            <w:left w:w="108" w:type="dxa"/>
            <w:bottom w:w="0" w:type="dxa"/>
            <w:right w:w="108" w:type="dxa"/>
          </w:tblCellMar>
        </w:tblPrEx>
        <w:trPr>
          <w:gridAfter w:val="1"/>
          <w:wAfter w:w="27" w:type="dxa"/>
          <w:trHeight w:val="1125" w:hRule="atLeast"/>
        </w:trPr>
        <w:tc>
          <w:tcPr>
            <w:tcW w:w="563" w:type="dxa"/>
            <w:tcBorders>
              <w:top w:val="single" w:color="auto" w:sz="4" w:space="0"/>
              <w:left w:val="single" w:color="auto" w:sz="4" w:space="0"/>
              <w:bottom w:val="single" w:color="auto" w:sz="4" w:space="0"/>
              <w:right w:val="single" w:color="auto" w:sz="4" w:space="0"/>
            </w:tcBorders>
            <w:noWrap/>
            <w:vAlign w:val="center"/>
          </w:tcPr>
          <w:p w14:paraId="026CA076">
            <w:pPr>
              <w:widowControl/>
              <w:rPr>
                <w:rFonts w:hint="eastAsia" w:asciiTheme="minorEastAsia" w:hAnsiTheme="minorEastAsia" w:eastAsiaTheme="minorEastAsia" w:cstheme="minorEastAsia"/>
                <w:color w:val="auto"/>
                <w:kern w:val="0"/>
              </w:rPr>
            </w:pPr>
          </w:p>
        </w:tc>
        <w:tc>
          <w:tcPr>
            <w:tcW w:w="822" w:type="dxa"/>
            <w:tcBorders>
              <w:top w:val="single" w:color="auto" w:sz="4" w:space="0"/>
              <w:left w:val="nil"/>
              <w:bottom w:val="single" w:color="auto" w:sz="4" w:space="0"/>
              <w:right w:val="single" w:color="auto" w:sz="4" w:space="0"/>
            </w:tcBorders>
            <w:noWrap/>
            <w:vAlign w:val="center"/>
          </w:tcPr>
          <w:p w14:paraId="09B90186">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4D2430D7">
            <w:pPr>
              <w:widowControl/>
              <w:jc w:val="center"/>
              <w:rPr>
                <w:rFonts w:hint="eastAsia" w:asciiTheme="minorEastAsia" w:hAnsiTheme="minorEastAsia" w:eastAsiaTheme="minorEastAsia" w:cstheme="minorEastAsia"/>
                <w:color w:val="auto"/>
                <w:kern w:val="0"/>
              </w:rPr>
            </w:pPr>
          </w:p>
        </w:tc>
        <w:tc>
          <w:tcPr>
            <w:tcW w:w="885" w:type="dxa"/>
            <w:tcBorders>
              <w:top w:val="single" w:color="auto" w:sz="4" w:space="0"/>
              <w:left w:val="nil"/>
              <w:bottom w:val="single" w:color="auto" w:sz="4" w:space="0"/>
              <w:right w:val="single" w:color="auto" w:sz="4" w:space="0"/>
            </w:tcBorders>
            <w:noWrap/>
            <w:vAlign w:val="center"/>
          </w:tcPr>
          <w:p w14:paraId="5DC8DAF3">
            <w:pPr>
              <w:widowControl/>
              <w:jc w:val="center"/>
              <w:rPr>
                <w:rFonts w:hint="eastAsia" w:asciiTheme="minorEastAsia" w:hAnsiTheme="minorEastAsia" w:eastAsiaTheme="minorEastAsia" w:cstheme="minorEastAsia"/>
                <w:color w:val="auto"/>
                <w:kern w:val="0"/>
              </w:rPr>
            </w:pPr>
          </w:p>
        </w:tc>
        <w:tc>
          <w:tcPr>
            <w:tcW w:w="1276" w:type="dxa"/>
            <w:tcBorders>
              <w:top w:val="single" w:color="auto" w:sz="4" w:space="0"/>
              <w:left w:val="nil"/>
              <w:bottom w:val="single" w:color="auto" w:sz="4" w:space="0"/>
              <w:right w:val="single" w:color="auto" w:sz="4" w:space="0"/>
            </w:tcBorders>
            <w:noWrap/>
            <w:vAlign w:val="center"/>
          </w:tcPr>
          <w:p w14:paraId="30CBF14C">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1211753F">
            <w:pPr>
              <w:widowControl/>
              <w:jc w:val="center"/>
              <w:rPr>
                <w:rFonts w:hint="eastAsia" w:asciiTheme="minorEastAsia" w:hAnsiTheme="minorEastAsia" w:eastAsiaTheme="minorEastAsia" w:cstheme="minorEastAsia"/>
                <w:color w:val="auto"/>
                <w:kern w:val="0"/>
              </w:rPr>
            </w:pPr>
          </w:p>
        </w:tc>
        <w:tc>
          <w:tcPr>
            <w:tcW w:w="1215" w:type="dxa"/>
            <w:tcBorders>
              <w:top w:val="single" w:color="auto" w:sz="4" w:space="0"/>
              <w:left w:val="nil"/>
              <w:bottom w:val="single" w:color="auto" w:sz="4" w:space="0"/>
              <w:right w:val="single" w:color="auto" w:sz="4" w:space="0"/>
            </w:tcBorders>
            <w:noWrap/>
            <w:vAlign w:val="center"/>
          </w:tcPr>
          <w:p w14:paraId="288ADB27">
            <w:pPr>
              <w:widowControl/>
              <w:jc w:val="center"/>
              <w:rPr>
                <w:rFonts w:hint="eastAsia" w:asciiTheme="minorEastAsia" w:hAnsiTheme="minorEastAsia" w:eastAsiaTheme="minorEastAsia" w:cstheme="minorEastAsia"/>
                <w:color w:val="auto"/>
                <w:kern w:val="0"/>
              </w:rPr>
            </w:pPr>
          </w:p>
        </w:tc>
        <w:tc>
          <w:tcPr>
            <w:tcW w:w="1336" w:type="dxa"/>
            <w:tcBorders>
              <w:top w:val="single" w:color="auto" w:sz="4" w:space="0"/>
              <w:left w:val="nil"/>
              <w:bottom w:val="single" w:color="auto" w:sz="4" w:space="0"/>
              <w:right w:val="single" w:color="auto" w:sz="4" w:space="0"/>
            </w:tcBorders>
            <w:noWrap/>
            <w:vAlign w:val="center"/>
          </w:tcPr>
          <w:p w14:paraId="596E5F7B">
            <w:pPr>
              <w:widowControl/>
              <w:jc w:val="center"/>
              <w:rPr>
                <w:rFonts w:hint="eastAsia" w:asciiTheme="minorEastAsia" w:hAnsiTheme="minorEastAsia" w:eastAsiaTheme="minorEastAsia" w:cstheme="minorEastAsia"/>
                <w:color w:val="auto"/>
                <w:kern w:val="0"/>
              </w:rPr>
            </w:pPr>
          </w:p>
        </w:tc>
        <w:tc>
          <w:tcPr>
            <w:tcW w:w="562" w:type="dxa"/>
            <w:tcBorders>
              <w:top w:val="single" w:color="auto" w:sz="4" w:space="0"/>
              <w:left w:val="nil"/>
              <w:bottom w:val="single" w:color="auto" w:sz="4" w:space="0"/>
              <w:right w:val="single" w:color="auto" w:sz="4" w:space="0"/>
            </w:tcBorders>
            <w:noWrap/>
            <w:vAlign w:val="center"/>
          </w:tcPr>
          <w:p w14:paraId="710BD0B2">
            <w:pPr>
              <w:widowControl/>
              <w:jc w:val="center"/>
              <w:rPr>
                <w:rFonts w:hint="eastAsia" w:asciiTheme="minorEastAsia" w:hAnsiTheme="minorEastAsia" w:eastAsiaTheme="minorEastAsia" w:cstheme="minorEastAsia"/>
                <w:color w:val="auto"/>
                <w:kern w:val="0"/>
              </w:rPr>
            </w:pPr>
          </w:p>
        </w:tc>
      </w:tr>
      <w:tr w14:paraId="09D76253">
        <w:tblPrEx>
          <w:tblCellMar>
            <w:top w:w="0" w:type="dxa"/>
            <w:left w:w="108" w:type="dxa"/>
            <w:bottom w:w="0" w:type="dxa"/>
            <w:right w:w="108" w:type="dxa"/>
          </w:tblCellMar>
        </w:tblPrEx>
        <w:trPr>
          <w:gridAfter w:val="1"/>
          <w:wAfter w:w="27" w:type="dxa"/>
          <w:trHeight w:val="1125" w:hRule="atLeast"/>
        </w:trPr>
        <w:tc>
          <w:tcPr>
            <w:tcW w:w="563" w:type="dxa"/>
            <w:tcBorders>
              <w:top w:val="single" w:color="auto" w:sz="4" w:space="0"/>
              <w:left w:val="single" w:color="auto" w:sz="4" w:space="0"/>
              <w:bottom w:val="single" w:color="auto" w:sz="4" w:space="0"/>
              <w:right w:val="single" w:color="auto" w:sz="4" w:space="0"/>
            </w:tcBorders>
            <w:noWrap/>
            <w:vAlign w:val="center"/>
          </w:tcPr>
          <w:p w14:paraId="2E71448D">
            <w:pPr>
              <w:widowControl/>
              <w:rPr>
                <w:rFonts w:hint="eastAsia" w:asciiTheme="minorEastAsia" w:hAnsiTheme="minorEastAsia" w:eastAsiaTheme="minorEastAsia" w:cstheme="minorEastAsia"/>
                <w:color w:val="auto"/>
                <w:kern w:val="0"/>
              </w:rPr>
            </w:pPr>
          </w:p>
        </w:tc>
        <w:tc>
          <w:tcPr>
            <w:tcW w:w="822" w:type="dxa"/>
            <w:tcBorders>
              <w:top w:val="single" w:color="auto" w:sz="4" w:space="0"/>
              <w:left w:val="nil"/>
              <w:bottom w:val="single" w:color="auto" w:sz="4" w:space="0"/>
              <w:right w:val="single" w:color="auto" w:sz="4" w:space="0"/>
            </w:tcBorders>
            <w:noWrap/>
            <w:vAlign w:val="center"/>
          </w:tcPr>
          <w:p w14:paraId="4907B0C9">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730AC26D">
            <w:pPr>
              <w:widowControl/>
              <w:jc w:val="center"/>
              <w:rPr>
                <w:rFonts w:hint="eastAsia" w:asciiTheme="minorEastAsia" w:hAnsiTheme="minorEastAsia" w:eastAsiaTheme="minorEastAsia" w:cstheme="minorEastAsia"/>
                <w:color w:val="auto"/>
                <w:kern w:val="0"/>
              </w:rPr>
            </w:pPr>
          </w:p>
        </w:tc>
        <w:tc>
          <w:tcPr>
            <w:tcW w:w="885" w:type="dxa"/>
            <w:tcBorders>
              <w:top w:val="single" w:color="auto" w:sz="4" w:space="0"/>
              <w:left w:val="nil"/>
              <w:bottom w:val="single" w:color="auto" w:sz="4" w:space="0"/>
              <w:right w:val="single" w:color="auto" w:sz="4" w:space="0"/>
            </w:tcBorders>
            <w:noWrap/>
            <w:vAlign w:val="center"/>
          </w:tcPr>
          <w:p w14:paraId="74AB0CDF">
            <w:pPr>
              <w:widowControl/>
              <w:jc w:val="center"/>
              <w:rPr>
                <w:rFonts w:hint="eastAsia" w:asciiTheme="minorEastAsia" w:hAnsiTheme="minorEastAsia" w:eastAsiaTheme="minorEastAsia" w:cstheme="minorEastAsia"/>
                <w:color w:val="auto"/>
                <w:kern w:val="0"/>
              </w:rPr>
            </w:pPr>
          </w:p>
        </w:tc>
        <w:tc>
          <w:tcPr>
            <w:tcW w:w="1276" w:type="dxa"/>
            <w:tcBorders>
              <w:top w:val="single" w:color="auto" w:sz="4" w:space="0"/>
              <w:left w:val="nil"/>
              <w:bottom w:val="single" w:color="auto" w:sz="4" w:space="0"/>
              <w:right w:val="single" w:color="auto" w:sz="4" w:space="0"/>
            </w:tcBorders>
            <w:noWrap/>
            <w:vAlign w:val="center"/>
          </w:tcPr>
          <w:p w14:paraId="290F2BCF">
            <w:pPr>
              <w:widowControl/>
              <w:jc w:val="center"/>
              <w:rPr>
                <w:rFonts w:hint="eastAsia" w:asciiTheme="minorEastAsia" w:hAnsiTheme="minorEastAsia" w:eastAsiaTheme="minorEastAsia" w:cstheme="minorEastAsia"/>
                <w:color w:val="auto"/>
                <w:kern w:val="0"/>
              </w:rPr>
            </w:pPr>
          </w:p>
        </w:tc>
        <w:tc>
          <w:tcPr>
            <w:tcW w:w="992" w:type="dxa"/>
            <w:tcBorders>
              <w:top w:val="single" w:color="auto" w:sz="4" w:space="0"/>
              <w:left w:val="nil"/>
              <w:bottom w:val="single" w:color="auto" w:sz="4" w:space="0"/>
              <w:right w:val="single" w:color="auto" w:sz="4" w:space="0"/>
            </w:tcBorders>
            <w:noWrap/>
            <w:vAlign w:val="center"/>
          </w:tcPr>
          <w:p w14:paraId="65C0C407">
            <w:pPr>
              <w:widowControl/>
              <w:jc w:val="center"/>
              <w:rPr>
                <w:rFonts w:hint="eastAsia" w:asciiTheme="minorEastAsia" w:hAnsiTheme="minorEastAsia" w:eastAsiaTheme="minorEastAsia" w:cstheme="minorEastAsia"/>
                <w:color w:val="auto"/>
                <w:kern w:val="0"/>
              </w:rPr>
            </w:pPr>
          </w:p>
        </w:tc>
        <w:tc>
          <w:tcPr>
            <w:tcW w:w="1215" w:type="dxa"/>
            <w:tcBorders>
              <w:top w:val="single" w:color="auto" w:sz="4" w:space="0"/>
              <w:left w:val="nil"/>
              <w:bottom w:val="single" w:color="auto" w:sz="4" w:space="0"/>
              <w:right w:val="single" w:color="auto" w:sz="4" w:space="0"/>
            </w:tcBorders>
            <w:noWrap/>
            <w:vAlign w:val="center"/>
          </w:tcPr>
          <w:p w14:paraId="7B8ED3BD">
            <w:pPr>
              <w:widowControl/>
              <w:jc w:val="center"/>
              <w:rPr>
                <w:rFonts w:hint="eastAsia" w:asciiTheme="minorEastAsia" w:hAnsiTheme="minorEastAsia" w:eastAsiaTheme="minorEastAsia" w:cstheme="minorEastAsia"/>
                <w:color w:val="auto"/>
                <w:kern w:val="0"/>
              </w:rPr>
            </w:pPr>
          </w:p>
        </w:tc>
        <w:tc>
          <w:tcPr>
            <w:tcW w:w="1336" w:type="dxa"/>
            <w:tcBorders>
              <w:top w:val="single" w:color="auto" w:sz="4" w:space="0"/>
              <w:left w:val="nil"/>
              <w:bottom w:val="single" w:color="auto" w:sz="4" w:space="0"/>
              <w:right w:val="single" w:color="auto" w:sz="4" w:space="0"/>
            </w:tcBorders>
            <w:noWrap/>
            <w:vAlign w:val="center"/>
          </w:tcPr>
          <w:p w14:paraId="4F8E8172">
            <w:pPr>
              <w:widowControl/>
              <w:jc w:val="center"/>
              <w:rPr>
                <w:rFonts w:hint="eastAsia" w:asciiTheme="minorEastAsia" w:hAnsiTheme="minorEastAsia" w:eastAsiaTheme="minorEastAsia" w:cstheme="minorEastAsia"/>
                <w:color w:val="auto"/>
                <w:kern w:val="0"/>
              </w:rPr>
            </w:pPr>
          </w:p>
        </w:tc>
        <w:tc>
          <w:tcPr>
            <w:tcW w:w="562" w:type="dxa"/>
            <w:tcBorders>
              <w:top w:val="single" w:color="auto" w:sz="4" w:space="0"/>
              <w:left w:val="nil"/>
              <w:bottom w:val="single" w:color="auto" w:sz="4" w:space="0"/>
              <w:right w:val="single" w:color="auto" w:sz="4" w:space="0"/>
            </w:tcBorders>
            <w:noWrap/>
            <w:vAlign w:val="center"/>
          </w:tcPr>
          <w:p w14:paraId="64DEF050">
            <w:pPr>
              <w:widowControl/>
              <w:jc w:val="center"/>
              <w:rPr>
                <w:rFonts w:hint="eastAsia" w:asciiTheme="minorEastAsia" w:hAnsiTheme="minorEastAsia" w:eastAsiaTheme="minorEastAsia" w:cstheme="minorEastAsia"/>
                <w:color w:val="auto"/>
                <w:kern w:val="0"/>
              </w:rPr>
            </w:pPr>
          </w:p>
        </w:tc>
      </w:tr>
    </w:tbl>
    <w:p w14:paraId="49A6EC33">
      <w:pPr>
        <w:ind w:left="-38" w:leftChars="-68" w:hanging="105" w:hangingChars="50"/>
        <w:rPr>
          <w:rFonts w:hint="eastAsia" w:asciiTheme="minorEastAsia" w:hAnsiTheme="minorEastAsia" w:eastAsiaTheme="minorEastAsia" w:cstheme="minorEastAsia"/>
          <w:color w:val="auto"/>
          <w:shd w:val="pct10" w:color="auto" w:fill="FFFFFF"/>
        </w:rPr>
      </w:pPr>
      <w:r>
        <w:rPr>
          <w:rFonts w:hint="eastAsia" w:asciiTheme="minorEastAsia" w:hAnsiTheme="minorEastAsia" w:eastAsiaTheme="minorEastAsia" w:cstheme="minorEastAsia"/>
          <w:color w:val="auto"/>
          <w:shd w:val="pct10" w:color="auto" w:fill="FFFFFF"/>
        </w:rPr>
        <w:t>注：有违规情况填写说明，无违规情况不记</w:t>
      </w:r>
    </w:p>
    <w:p w14:paraId="692F0A36">
      <w:pPr>
        <w:ind w:left="-38" w:leftChars="-68" w:hanging="105" w:hangingChars="50"/>
        <w:rPr>
          <w:rFonts w:hint="eastAsia" w:asciiTheme="minorEastAsia" w:hAnsiTheme="minorEastAsia" w:eastAsiaTheme="minorEastAsia" w:cstheme="minorEastAsia"/>
          <w:color w:val="auto"/>
        </w:rPr>
      </w:pPr>
    </w:p>
    <w:p w14:paraId="04EB0389">
      <w:pPr>
        <w:rPr>
          <w:rFonts w:hint="eastAsia" w:asciiTheme="minorEastAsia" w:hAnsiTheme="minorEastAsia" w:eastAsiaTheme="minorEastAsia" w:cstheme="minorEastAsia"/>
          <w:color w:val="auto"/>
        </w:rPr>
      </w:pPr>
    </w:p>
    <w:p w14:paraId="13C54A9E">
      <w:pPr>
        <w:rPr>
          <w:rFonts w:hint="eastAsia" w:asciiTheme="minorEastAsia" w:hAnsiTheme="minorEastAsia" w:eastAsiaTheme="minorEastAsia" w:cstheme="minorEastAsia"/>
          <w:color w:val="auto"/>
        </w:rPr>
      </w:pPr>
    </w:p>
    <w:p w14:paraId="3C03F3CE">
      <w:pP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p>
    <w:p w14:paraId="6397E093">
      <w:pPr>
        <w:ind w:left="97" w:leftChars="46" w:firstLine="120" w:firstLineChars="5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附件2：</w:t>
      </w:r>
    </w:p>
    <w:tbl>
      <w:tblPr>
        <w:tblStyle w:val="43"/>
        <w:tblW w:w="8893" w:type="dxa"/>
        <w:jc w:val="center"/>
        <w:tblLayout w:type="fixed"/>
        <w:tblCellMar>
          <w:top w:w="0" w:type="dxa"/>
          <w:left w:w="108" w:type="dxa"/>
          <w:bottom w:w="0" w:type="dxa"/>
          <w:right w:w="108" w:type="dxa"/>
        </w:tblCellMar>
      </w:tblPr>
      <w:tblGrid>
        <w:gridCol w:w="2037"/>
        <w:gridCol w:w="2424"/>
        <w:gridCol w:w="2960"/>
        <w:gridCol w:w="1472"/>
      </w:tblGrid>
      <w:tr w14:paraId="6D78AF1B">
        <w:tblPrEx>
          <w:tblCellMar>
            <w:top w:w="0" w:type="dxa"/>
            <w:left w:w="108" w:type="dxa"/>
            <w:bottom w:w="0" w:type="dxa"/>
            <w:right w:w="108" w:type="dxa"/>
          </w:tblCellMar>
        </w:tblPrEx>
        <w:trPr>
          <w:trHeight w:val="600" w:hRule="atLeast"/>
          <w:jc w:val="center"/>
        </w:trPr>
        <w:tc>
          <w:tcPr>
            <w:tcW w:w="8893" w:type="dxa"/>
            <w:gridSpan w:val="4"/>
            <w:noWrap/>
            <w:vAlign w:val="center"/>
          </w:tcPr>
          <w:p w14:paraId="7DF28D45">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lang w:eastAsia="zh-CN"/>
              </w:rPr>
              <w:t>南京市公安局江宁分局看守所食材采购及配送服务</w:t>
            </w:r>
          </w:p>
          <w:p w14:paraId="4BE13621">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供应商整改通知单</w:t>
            </w:r>
          </w:p>
        </w:tc>
      </w:tr>
      <w:tr w14:paraId="4483C0AB">
        <w:tblPrEx>
          <w:tblCellMar>
            <w:top w:w="0" w:type="dxa"/>
            <w:left w:w="108" w:type="dxa"/>
            <w:bottom w:w="0" w:type="dxa"/>
            <w:right w:w="108" w:type="dxa"/>
          </w:tblCellMar>
        </w:tblPrEx>
        <w:trPr>
          <w:trHeight w:val="930" w:hRule="atLeast"/>
          <w:jc w:val="center"/>
        </w:trPr>
        <w:tc>
          <w:tcPr>
            <w:tcW w:w="2037" w:type="dxa"/>
            <w:tcBorders>
              <w:top w:val="single" w:color="auto" w:sz="4" w:space="0"/>
              <w:left w:val="single" w:color="auto" w:sz="4" w:space="0"/>
              <w:bottom w:val="single" w:color="auto" w:sz="4" w:space="0"/>
              <w:right w:val="single" w:color="auto" w:sz="4" w:space="0"/>
            </w:tcBorders>
            <w:noWrap/>
            <w:vAlign w:val="center"/>
          </w:tcPr>
          <w:p w14:paraId="4483B217">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供应商名称</w:t>
            </w:r>
          </w:p>
        </w:tc>
        <w:tc>
          <w:tcPr>
            <w:tcW w:w="2424" w:type="dxa"/>
            <w:tcBorders>
              <w:top w:val="single" w:color="auto" w:sz="4" w:space="0"/>
              <w:left w:val="nil"/>
              <w:bottom w:val="single" w:color="auto" w:sz="4" w:space="0"/>
              <w:right w:val="single" w:color="auto" w:sz="4" w:space="0"/>
            </w:tcBorders>
            <w:noWrap/>
            <w:vAlign w:val="center"/>
          </w:tcPr>
          <w:p w14:paraId="5EF6AD6F">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c>
          <w:tcPr>
            <w:tcW w:w="2960" w:type="dxa"/>
            <w:tcBorders>
              <w:top w:val="single" w:color="auto" w:sz="4" w:space="0"/>
              <w:left w:val="nil"/>
              <w:bottom w:val="single" w:color="auto" w:sz="4" w:space="0"/>
              <w:right w:val="single" w:color="auto" w:sz="4" w:space="0"/>
            </w:tcBorders>
            <w:noWrap/>
            <w:vAlign w:val="center"/>
          </w:tcPr>
          <w:p w14:paraId="0A8CD7E8">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整改通知发出时间</w:t>
            </w:r>
          </w:p>
        </w:tc>
        <w:tc>
          <w:tcPr>
            <w:tcW w:w="1472" w:type="dxa"/>
            <w:tcBorders>
              <w:top w:val="single" w:color="auto" w:sz="4" w:space="0"/>
              <w:left w:val="nil"/>
              <w:bottom w:val="single" w:color="auto" w:sz="4" w:space="0"/>
              <w:right w:val="single" w:color="auto" w:sz="4" w:space="0"/>
            </w:tcBorders>
            <w:noWrap/>
            <w:vAlign w:val="center"/>
          </w:tcPr>
          <w:p w14:paraId="6B17FE1B">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32D8BFC6">
        <w:tblPrEx>
          <w:tblCellMar>
            <w:top w:w="0" w:type="dxa"/>
            <w:left w:w="108" w:type="dxa"/>
            <w:bottom w:w="0" w:type="dxa"/>
            <w:right w:w="108" w:type="dxa"/>
          </w:tblCellMar>
        </w:tblPrEx>
        <w:trPr>
          <w:trHeight w:val="930" w:hRule="atLeast"/>
          <w:jc w:val="center"/>
        </w:trPr>
        <w:tc>
          <w:tcPr>
            <w:tcW w:w="2037" w:type="dxa"/>
            <w:tcBorders>
              <w:top w:val="nil"/>
              <w:left w:val="single" w:color="auto" w:sz="4" w:space="0"/>
              <w:bottom w:val="single" w:color="auto" w:sz="4" w:space="0"/>
              <w:right w:val="single" w:color="auto" w:sz="4" w:space="0"/>
            </w:tcBorders>
            <w:noWrap/>
            <w:vAlign w:val="center"/>
          </w:tcPr>
          <w:p w14:paraId="6037B3D9">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整改事项</w:t>
            </w:r>
          </w:p>
        </w:tc>
        <w:tc>
          <w:tcPr>
            <w:tcW w:w="2424" w:type="dxa"/>
            <w:tcBorders>
              <w:top w:val="nil"/>
              <w:left w:val="nil"/>
              <w:bottom w:val="single" w:color="auto" w:sz="4" w:space="0"/>
              <w:right w:val="single" w:color="auto" w:sz="4" w:space="0"/>
            </w:tcBorders>
            <w:noWrap/>
            <w:vAlign w:val="center"/>
          </w:tcPr>
          <w:p w14:paraId="5210F77B">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c>
          <w:tcPr>
            <w:tcW w:w="2960" w:type="dxa"/>
            <w:tcBorders>
              <w:top w:val="nil"/>
              <w:left w:val="nil"/>
              <w:bottom w:val="single" w:color="auto" w:sz="4" w:space="0"/>
              <w:right w:val="single" w:color="auto" w:sz="4" w:space="0"/>
            </w:tcBorders>
            <w:noWrap/>
            <w:vAlign w:val="center"/>
          </w:tcPr>
          <w:p w14:paraId="04F32FF5">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整改期限</w:t>
            </w:r>
          </w:p>
        </w:tc>
        <w:tc>
          <w:tcPr>
            <w:tcW w:w="1472" w:type="dxa"/>
            <w:tcBorders>
              <w:top w:val="nil"/>
              <w:left w:val="nil"/>
              <w:bottom w:val="single" w:color="auto" w:sz="4" w:space="0"/>
              <w:right w:val="single" w:color="auto" w:sz="4" w:space="0"/>
            </w:tcBorders>
            <w:noWrap/>
            <w:vAlign w:val="center"/>
          </w:tcPr>
          <w:p w14:paraId="442CC5BB">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28998F0E">
        <w:tblPrEx>
          <w:tblCellMar>
            <w:top w:w="0" w:type="dxa"/>
            <w:left w:w="108" w:type="dxa"/>
            <w:bottom w:w="0" w:type="dxa"/>
            <w:right w:w="108" w:type="dxa"/>
          </w:tblCellMar>
        </w:tblPrEx>
        <w:trPr>
          <w:trHeight w:val="930" w:hRule="atLeast"/>
          <w:jc w:val="center"/>
        </w:trPr>
        <w:tc>
          <w:tcPr>
            <w:tcW w:w="2037" w:type="dxa"/>
            <w:tcBorders>
              <w:top w:val="nil"/>
              <w:left w:val="single" w:color="auto" w:sz="4" w:space="0"/>
              <w:bottom w:val="single" w:color="auto" w:sz="4" w:space="0"/>
              <w:right w:val="single" w:color="auto" w:sz="4" w:space="0"/>
            </w:tcBorders>
            <w:noWrap/>
            <w:vAlign w:val="center"/>
          </w:tcPr>
          <w:p w14:paraId="3A992B0A">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违规扣分项</w:t>
            </w:r>
          </w:p>
        </w:tc>
        <w:tc>
          <w:tcPr>
            <w:tcW w:w="2424" w:type="dxa"/>
            <w:tcBorders>
              <w:top w:val="nil"/>
              <w:left w:val="nil"/>
              <w:bottom w:val="single" w:color="auto" w:sz="4" w:space="0"/>
              <w:right w:val="single" w:color="auto" w:sz="4" w:space="0"/>
            </w:tcBorders>
            <w:noWrap/>
            <w:vAlign w:val="center"/>
          </w:tcPr>
          <w:p w14:paraId="6AC71252">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c>
          <w:tcPr>
            <w:tcW w:w="2960" w:type="dxa"/>
            <w:tcBorders>
              <w:top w:val="nil"/>
              <w:left w:val="nil"/>
              <w:bottom w:val="single" w:color="auto" w:sz="4" w:space="0"/>
              <w:right w:val="single" w:color="auto" w:sz="4" w:space="0"/>
            </w:tcBorders>
            <w:noWrap/>
            <w:vAlign w:val="center"/>
          </w:tcPr>
          <w:p w14:paraId="7AE2A19D">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扣分分值</w:t>
            </w:r>
          </w:p>
        </w:tc>
        <w:tc>
          <w:tcPr>
            <w:tcW w:w="1472" w:type="dxa"/>
            <w:tcBorders>
              <w:top w:val="nil"/>
              <w:left w:val="nil"/>
              <w:bottom w:val="single" w:color="auto" w:sz="4" w:space="0"/>
              <w:right w:val="single" w:color="auto" w:sz="4" w:space="0"/>
            </w:tcBorders>
            <w:noWrap/>
            <w:vAlign w:val="center"/>
          </w:tcPr>
          <w:p w14:paraId="61648470">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1118FDB2">
        <w:tblPrEx>
          <w:tblCellMar>
            <w:top w:w="0" w:type="dxa"/>
            <w:left w:w="108" w:type="dxa"/>
            <w:bottom w:w="0" w:type="dxa"/>
            <w:right w:w="108" w:type="dxa"/>
          </w:tblCellMar>
        </w:tblPrEx>
        <w:trPr>
          <w:trHeight w:val="930" w:hRule="atLeast"/>
          <w:jc w:val="center"/>
        </w:trPr>
        <w:tc>
          <w:tcPr>
            <w:tcW w:w="2037" w:type="dxa"/>
            <w:tcBorders>
              <w:top w:val="nil"/>
              <w:left w:val="single" w:color="auto" w:sz="4" w:space="0"/>
              <w:bottom w:val="single" w:color="auto" w:sz="4" w:space="0"/>
              <w:right w:val="single" w:color="auto" w:sz="4" w:space="0"/>
            </w:tcBorders>
            <w:noWrap/>
            <w:vAlign w:val="center"/>
          </w:tcPr>
          <w:p w14:paraId="325D2F86">
            <w:pPr>
              <w:widowControl/>
              <w:ind w:firstLine="1"/>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通知书发出部门</w:t>
            </w:r>
          </w:p>
        </w:tc>
        <w:tc>
          <w:tcPr>
            <w:tcW w:w="2424" w:type="dxa"/>
            <w:tcBorders>
              <w:top w:val="nil"/>
              <w:left w:val="nil"/>
              <w:bottom w:val="single" w:color="auto" w:sz="4" w:space="0"/>
              <w:right w:val="single" w:color="auto" w:sz="4" w:space="0"/>
            </w:tcBorders>
            <w:noWrap/>
            <w:vAlign w:val="center"/>
          </w:tcPr>
          <w:p w14:paraId="0CD90E86">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c>
          <w:tcPr>
            <w:tcW w:w="2960" w:type="dxa"/>
            <w:tcBorders>
              <w:top w:val="nil"/>
              <w:left w:val="nil"/>
              <w:bottom w:val="single" w:color="auto" w:sz="4" w:space="0"/>
              <w:right w:val="single" w:color="auto" w:sz="4" w:space="0"/>
            </w:tcBorders>
            <w:noWrap/>
            <w:vAlign w:val="center"/>
          </w:tcPr>
          <w:p w14:paraId="1854BD48">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发出人</w:t>
            </w:r>
          </w:p>
        </w:tc>
        <w:tc>
          <w:tcPr>
            <w:tcW w:w="1472" w:type="dxa"/>
            <w:tcBorders>
              <w:top w:val="nil"/>
              <w:left w:val="nil"/>
              <w:bottom w:val="single" w:color="auto" w:sz="4" w:space="0"/>
              <w:right w:val="single" w:color="auto" w:sz="4" w:space="0"/>
            </w:tcBorders>
            <w:noWrap/>
            <w:vAlign w:val="center"/>
          </w:tcPr>
          <w:p w14:paraId="31606535">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19BD9473">
        <w:tblPrEx>
          <w:tblCellMar>
            <w:top w:w="0" w:type="dxa"/>
            <w:left w:w="108" w:type="dxa"/>
            <w:bottom w:w="0" w:type="dxa"/>
            <w:right w:w="108" w:type="dxa"/>
          </w:tblCellMar>
        </w:tblPrEx>
        <w:trPr>
          <w:trHeight w:val="930" w:hRule="atLeast"/>
          <w:jc w:val="center"/>
        </w:trPr>
        <w:tc>
          <w:tcPr>
            <w:tcW w:w="8893" w:type="dxa"/>
            <w:gridSpan w:val="4"/>
            <w:tcBorders>
              <w:top w:val="single" w:color="auto" w:sz="4" w:space="0"/>
              <w:left w:val="single" w:color="auto" w:sz="4" w:space="0"/>
              <w:bottom w:val="single" w:color="auto" w:sz="4" w:space="0"/>
              <w:right w:val="single" w:color="auto" w:sz="4" w:space="0"/>
            </w:tcBorders>
            <w:noWrap/>
            <w:vAlign w:val="center"/>
          </w:tcPr>
          <w:p w14:paraId="2CE27DB8">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整改情况（供应商填写）</w:t>
            </w:r>
          </w:p>
        </w:tc>
      </w:tr>
      <w:tr w14:paraId="27686D8B">
        <w:tblPrEx>
          <w:tblCellMar>
            <w:top w:w="0" w:type="dxa"/>
            <w:left w:w="108" w:type="dxa"/>
            <w:bottom w:w="0" w:type="dxa"/>
            <w:right w:w="108" w:type="dxa"/>
          </w:tblCellMar>
        </w:tblPrEx>
        <w:trPr>
          <w:trHeight w:val="930" w:hRule="atLeast"/>
          <w:jc w:val="center"/>
        </w:trPr>
        <w:tc>
          <w:tcPr>
            <w:tcW w:w="8893" w:type="dxa"/>
            <w:gridSpan w:val="4"/>
            <w:vMerge w:val="restart"/>
            <w:tcBorders>
              <w:top w:val="single" w:color="auto" w:sz="4" w:space="0"/>
              <w:left w:val="single" w:color="auto" w:sz="4" w:space="0"/>
              <w:bottom w:val="single" w:color="auto" w:sz="4" w:space="0"/>
              <w:right w:val="single" w:color="auto" w:sz="4" w:space="0"/>
            </w:tcBorders>
            <w:noWrap/>
            <w:vAlign w:val="bottom"/>
          </w:tcPr>
          <w:p w14:paraId="08119426">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xml:space="preserve">                                               供应商责任人：</w:t>
            </w:r>
          </w:p>
        </w:tc>
      </w:tr>
      <w:tr w14:paraId="03A45AA2">
        <w:tblPrEx>
          <w:tblCellMar>
            <w:top w:w="0" w:type="dxa"/>
            <w:left w:w="108" w:type="dxa"/>
            <w:bottom w:w="0" w:type="dxa"/>
            <w:right w:w="108" w:type="dxa"/>
          </w:tblCellMar>
        </w:tblPrEx>
        <w:trPr>
          <w:trHeight w:val="930" w:hRule="atLeast"/>
          <w:jc w:val="center"/>
        </w:trPr>
        <w:tc>
          <w:tcPr>
            <w:tcW w:w="8893" w:type="dxa"/>
            <w:gridSpan w:val="4"/>
            <w:vMerge w:val="continue"/>
            <w:tcBorders>
              <w:top w:val="single" w:color="auto" w:sz="4" w:space="0"/>
              <w:left w:val="single" w:color="auto" w:sz="4" w:space="0"/>
              <w:bottom w:val="single" w:color="auto" w:sz="4" w:space="0"/>
              <w:right w:val="single" w:color="auto" w:sz="4" w:space="0"/>
            </w:tcBorders>
            <w:noWrap/>
            <w:vAlign w:val="center"/>
          </w:tcPr>
          <w:p w14:paraId="3403F5A6">
            <w:pPr>
              <w:widowControl/>
              <w:rPr>
                <w:rFonts w:hint="eastAsia" w:asciiTheme="minorEastAsia" w:hAnsiTheme="minorEastAsia" w:eastAsiaTheme="minorEastAsia" w:cstheme="minorEastAsia"/>
                <w:color w:val="auto"/>
                <w:kern w:val="0"/>
              </w:rPr>
            </w:pPr>
          </w:p>
        </w:tc>
      </w:tr>
      <w:tr w14:paraId="587DE1A8">
        <w:tblPrEx>
          <w:tblCellMar>
            <w:top w:w="0" w:type="dxa"/>
            <w:left w:w="108" w:type="dxa"/>
            <w:bottom w:w="0" w:type="dxa"/>
            <w:right w:w="108" w:type="dxa"/>
          </w:tblCellMar>
        </w:tblPrEx>
        <w:trPr>
          <w:trHeight w:val="930" w:hRule="atLeast"/>
          <w:jc w:val="center"/>
        </w:trPr>
        <w:tc>
          <w:tcPr>
            <w:tcW w:w="8893" w:type="dxa"/>
            <w:gridSpan w:val="4"/>
            <w:vMerge w:val="continue"/>
            <w:tcBorders>
              <w:top w:val="single" w:color="auto" w:sz="4" w:space="0"/>
              <w:left w:val="single" w:color="auto" w:sz="4" w:space="0"/>
              <w:bottom w:val="single" w:color="auto" w:sz="4" w:space="0"/>
              <w:right w:val="single" w:color="auto" w:sz="4" w:space="0"/>
            </w:tcBorders>
            <w:noWrap/>
            <w:vAlign w:val="center"/>
          </w:tcPr>
          <w:p w14:paraId="5E1E87A9">
            <w:pPr>
              <w:widowControl/>
              <w:rPr>
                <w:rFonts w:hint="eastAsia" w:asciiTheme="minorEastAsia" w:hAnsiTheme="minorEastAsia" w:eastAsiaTheme="minorEastAsia" w:cstheme="minorEastAsia"/>
                <w:color w:val="auto"/>
                <w:kern w:val="0"/>
              </w:rPr>
            </w:pPr>
          </w:p>
        </w:tc>
      </w:tr>
      <w:tr w14:paraId="091C3E14">
        <w:tblPrEx>
          <w:tblCellMar>
            <w:top w:w="0" w:type="dxa"/>
            <w:left w:w="108" w:type="dxa"/>
            <w:bottom w:w="0" w:type="dxa"/>
            <w:right w:w="108" w:type="dxa"/>
          </w:tblCellMar>
        </w:tblPrEx>
        <w:trPr>
          <w:trHeight w:val="312" w:hRule="atLeast"/>
          <w:jc w:val="center"/>
        </w:trPr>
        <w:tc>
          <w:tcPr>
            <w:tcW w:w="8893" w:type="dxa"/>
            <w:gridSpan w:val="4"/>
            <w:vMerge w:val="continue"/>
            <w:tcBorders>
              <w:top w:val="single" w:color="auto" w:sz="4" w:space="0"/>
              <w:left w:val="single" w:color="auto" w:sz="4" w:space="0"/>
              <w:bottom w:val="single" w:color="auto" w:sz="4" w:space="0"/>
              <w:right w:val="single" w:color="auto" w:sz="4" w:space="0"/>
            </w:tcBorders>
            <w:noWrap/>
            <w:vAlign w:val="center"/>
          </w:tcPr>
          <w:p w14:paraId="1A92D710">
            <w:pPr>
              <w:widowControl/>
              <w:rPr>
                <w:rFonts w:hint="eastAsia" w:asciiTheme="minorEastAsia" w:hAnsiTheme="minorEastAsia" w:eastAsiaTheme="minorEastAsia" w:cstheme="minorEastAsia"/>
                <w:color w:val="auto"/>
                <w:kern w:val="0"/>
              </w:rPr>
            </w:pPr>
          </w:p>
        </w:tc>
      </w:tr>
      <w:tr w14:paraId="77915999">
        <w:tblPrEx>
          <w:tblCellMar>
            <w:top w:w="0" w:type="dxa"/>
            <w:left w:w="108" w:type="dxa"/>
            <w:bottom w:w="0" w:type="dxa"/>
            <w:right w:w="108" w:type="dxa"/>
          </w:tblCellMar>
        </w:tblPrEx>
        <w:trPr>
          <w:trHeight w:val="930" w:hRule="atLeast"/>
          <w:jc w:val="center"/>
        </w:trPr>
        <w:tc>
          <w:tcPr>
            <w:tcW w:w="8893" w:type="dxa"/>
            <w:gridSpan w:val="4"/>
            <w:tcBorders>
              <w:top w:val="single" w:color="auto" w:sz="4" w:space="0"/>
              <w:left w:val="single" w:color="auto" w:sz="4" w:space="0"/>
              <w:bottom w:val="single" w:color="auto" w:sz="4" w:space="0"/>
              <w:right w:val="single" w:color="auto" w:sz="4" w:space="0"/>
            </w:tcBorders>
            <w:noWrap/>
            <w:vAlign w:val="center"/>
          </w:tcPr>
          <w:p w14:paraId="62EFF7C9">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结果验证（发出部门填写）</w:t>
            </w:r>
          </w:p>
        </w:tc>
      </w:tr>
      <w:tr w14:paraId="00CA3CBC">
        <w:tblPrEx>
          <w:tblCellMar>
            <w:top w:w="0" w:type="dxa"/>
            <w:left w:w="108" w:type="dxa"/>
            <w:bottom w:w="0" w:type="dxa"/>
            <w:right w:w="108" w:type="dxa"/>
          </w:tblCellMar>
        </w:tblPrEx>
        <w:trPr>
          <w:trHeight w:val="930" w:hRule="atLeast"/>
          <w:jc w:val="center"/>
        </w:trPr>
        <w:tc>
          <w:tcPr>
            <w:tcW w:w="8893" w:type="dxa"/>
            <w:gridSpan w:val="4"/>
            <w:vMerge w:val="restart"/>
            <w:tcBorders>
              <w:top w:val="single" w:color="auto" w:sz="4" w:space="0"/>
              <w:left w:val="single" w:color="auto" w:sz="4" w:space="0"/>
              <w:bottom w:val="single" w:color="auto" w:sz="4" w:space="0"/>
              <w:right w:val="single" w:color="auto" w:sz="4" w:space="0"/>
            </w:tcBorders>
            <w:noWrap/>
            <w:vAlign w:val="bottom"/>
          </w:tcPr>
          <w:p w14:paraId="41621A4D">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xml:space="preserve">                        确认人：</w:t>
            </w:r>
          </w:p>
        </w:tc>
      </w:tr>
      <w:tr w14:paraId="462D4052">
        <w:tblPrEx>
          <w:tblCellMar>
            <w:top w:w="0" w:type="dxa"/>
            <w:left w:w="108" w:type="dxa"/>
            <w:bottom w:w="0" w:type="dxa"/>
            <w:right w:w="108" w:type="dxa"/>
          </w:tblCellMar>
        </w:tblPrEx>
        <w:trPr>
          <w:trHeight w:val="930" w:hRule="atLeast"/>
          <w:jc w:val="center"/>
        </w:trPr>
        <w:tc>
          <w:tcPr>
            <w:tcW w:w="8893" w:type="dxa"/>
            <w:gridSpan w:val="4"/>
            <w:vMerge w:val="continue"/>
            <w:tcBorders>
              <w:top w:val="single" w:color="auto" w:sz="4" w:space="0"/>
              <w:left w:val="single" w:color="auto" w:sz="4" w:space="0"/>
              <w:bottom w:val="single" w:color="auto" w:sz="4" w:space="0"/>
              <w:right w:val="single" w:color="auto" w:sz="4" w:space="0"/>
            </w:tcBorders>
            <w:noWrap/>
            <w:vAlign w:val="center"/>
          </w:tcPr>
          <w:p w14:paraId="7A78EC70">
            <w:pPr>
              <w:widowControl/>
              <w:rPr>
                <w:rFonts w:hint="eastAsia" w:asciiTheme="minorEastAsia" w:hAnsiTheme="minorEastAsia" w:eastAsiaTheme="minorEastAsia" w:cstheme="minorEastAsia"/>
                <w:color w:val="auto"/>
                <w:kern w:val="0"/>
              </w:rPr>
            </w:pPr>
          </w:p>
        </w:tc>
      </w:tr>
      <w:tr w14:paraId="360ACC63">
        <w:tblPrEx>
          <w:tblCellMar>
            <w:top w:w="0" w:type="dxa"/>
            <w:left w:w="108" w:type="dxa"/>
            <w:bottom w:w="0" w:type="dxa"/>
            <w:right w:w="108" w:type="dxa"/>
          </w:tblCellMar>
        </w:tblPrEx>
        <w:trPr>
          <w:trHeight w:val="312" w:hRule="atLeast"/>
          <w:jc w:val="center"/>
        </w:trPr>
        <w:tc>
          <w:tcPr>
            <w:tcW w:w="8893" w:type="dxa"/>
            <w:gridSpan w:val="4"/>
            <w:vMerge w:val="continue"/>
            <w:tcBorders>
              <w:top w:val="single" w:color="auto" w:sz="4" w:space="0"/>
              <w:left w:val="single" w:color="auto" w:sz="4" w:space="0"/>
              <w:bottom w:val="single" w:color="auto" w:sz="4" w:space="0"/>
              <w:right w:val="single" w:color="auto" w:sz="4" w:space="0"/>
            </w:tcBorders>
            <w:noWrap/>
            <w:vAlign w:val="center"/>
          </w:tcPr>
          <w:p w14:paraId="2E472042">
            <w:pPr>
              <w:widowControl/>
              <w:rPr>
                <w:rFonts w:hint="eastAsia" w:asciiTheme="minorEastAsia" w:hAnsiTheme="minorEastAsia" w:eastAsiaTheme="minorEastAsia" w:cstheme="minorEastAsia"/>
                <w:color w:val="auto"/>
                <w:kern w:val="0"/>
              </w:rPr>
            </w:pPr>
          </w:p>
        </w:tc>
      </w:tr>
    </w:tbl>
    <w:p w14:paraId="76167D4F">
      <w:pPr>
        <w:rPr>
          <w:rFonts w:hint="eastAsia" w:asciiTheme="minorEastAsia" w:hAnsiTheme="minorEastAsia" w:eastAsiaTheme="minorEastAsia" w:cstheme="minorEastAsia"/>
          <w:b/>
          <w:bCs/>
          <w:color w:val="auto"/>
        </w:rPr>
        <w:sectPr>
          <w:headerReference r:id="rId5" w:type="default"/>
          <w:footerReference r:id="rId6" w:type="default"/>
          <w:pgSz w:w="11906" w:h="16838"/>
          <w:pgMar w:top="1418" w:right="1418" w:bottom="1418" w:left="1418" w:header="720" w:footer="720" w:gutter="0"/>
          <w:pgNumType w:fmt="numberInDash"/>
          <w:cols w:space="720" w:num="1"/>
          <w:docGrid w:linePitch="286" w:charSpace="0"/>
        </w:sectPr>
      </w:pPr>
    </w:p>
    <w:p w14:paraId="1F6214B6">
      <w:pP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附件3：</w:t>
      </w:r>
    </w:p>
    <w:p w14:paraId="23AF6AC5">
      <w:pPr>
        <w:ind w:left="-2" w:leftChars="-1" w:firstLine="207" w:firstLineChars="98"/>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kern w:val="0"/>
        </w:rPr>
        <w:t>供应商考核评分办法</w:t>
      </w:r>
    </w:p>
    <w:tbl>
      <w:tblPr>
        <w:tblStyle w:val="43"/>
        <w:tblW w:w="13041" w:type="dxa"/>
        <w:jc w:val="center"/>
        <w:tblLayout w:type="fixed"/>
        <w:tblCellMar>
          <w:top w:w="0" w:type="dxa"/>
          <w:left w:w="108" w:type="dxa"/>
          <w:bottom w:w="0" w:type="dxa"/>
          <w:right w:w="108" w:type="dxa"/>
        </w:tblCellMar>
      </w:tblPr>
      <w:tblGrid>
        <w:gridCol w:w="583"/>
        <w:gridCol w:w="1163"/>
        <w:gridCol w:w="1105"/>
        <w:gridCol w:w="1263"/>
        <w:gridCol w:w="3415"/>
        <w:gridCol w:w="4282"/>
        <w:gridCol w:w="1230"/>
      </w:tblGrid>
      <w:tr w14:paraId="5EFE2C6B">
        <w:tblPrEx>
          <w:tblCellMar>
            <w:top w:w="0" w:type="dxa"/>
            <w:left w:w="108" w:type="dxa"/>
            <w:bottom w:w="0" w:type="dxa"/>
            <w:right w:w="108" w:type="dxa"/>
          </w:tblCellMar>
        </w:tblPrEx>
        <w:trPr>
          <w:trHeight w:val="822" w:hRule="atLeast"/>
          <w:tblHeader/>
          <w:jc w:val="center"/>
        </w:trPr>
        <w:tc>
          <w:tcPr>
            <w:tcW w:w="583" w:type="dxa"/>
            <w:tcBorders>
              <w:top w:val="single" w:color="auto" w:sz="4" w:space="0"/>
              <w:left w:val="single" w:color="auto" w:sz="4" w:space="0"/>
              <w:bottom w:val="single" w:color="auto" w:sz="4" w:space="0"/>
              <w:right w:val="single" w:color="auto" w:sz="4" w:space="0"/>
            </w:tcBorders>
            <w:noWrap/>
            <w:vAlign w:val="center"/>
          </w:tcPr>
          <w:p w14:paraId="18D8FCE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序号</w:t>
            </w:r>
          </w:p>
        </w:tc>
        <w:tc>
          <w:tcPr>
            <w:tcW w:w="1163" w:type="dxa"/>
            <w:tcBorders>
              <w:top w:val="single" w:color="auto" w:sz="4" w:space="0"/>
              <w:left w:val="nil"/>
              <w:bottom w:val="single" w:color="auto" w:sz="4" w:space="0"/>
              <w:right w:val="single" w:color="auto" w:sz="4" w:space="0"/>
            </w:tcBorders>
            <w:noWrap/>
            <w:vAlign w:val="center"/>
          </w:tcPr>
          <w:p w14:paraId="59C3F8C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考评项目</w:t>
            </w:r>
          </w:p>
        </w:tc>
        <w:tc>
          <w:tcPr>
            <w:tcW w:w="2368" w:type="dxa"/>
            <w:gridSpan w:val="2"/>
            <w:tcBorders>
              <w:top w:val="single" w:color="auto" w:sz="4" w:space="0"/>
              <w:left w:val="nil"/>
              <w:bottom w:val="single" w:color="auto" w:sz="4" w:space="0"/>
              <w:right w:val="single" w:color="auto" w:sz="4" w:space="0"/>
            </w:tcBorders>
            <w:noWrap/>
            <w:vAlign w:val="center"/>
          </w:tcPr>
          <w:p w14:paraId="16E40DF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考评内容及分值</w:t>
            </w:r>
          </w:p>
        </w:tc>
        <w:tc>
          <w:tcPr>
            <w:tcW w:w="3415" w:type="dxa"/>
            <w:tcBorders>
              <w:top w:val="single" w:color="auto" w:sz="4" w:space="0"/>
              <w:left w:val="nil"/>
              <w:bottom w:val="single" w:color="auto" w:sz="4" w:space="0"/>
              <w:right w:val="single" w:color="auto" w:sz="4" w:space="0"/>
            </w:tcBorders>
            <w:noWrap/>
            <w:vAlign w:val="center"/>
          </w:tcPr>
          <w:p w14:paraId="3F6DBA8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标准流程</w:t>
            </w:r>
          </w:p>
        </w:tc>
        <w:tc>
          <w:tcPr>
            <w:tcW w:w="4282" w:type="dxa"/>
            <w:tcBorders>
              <w:top w:val="single" w:color="auto" w:sz="4" w:space="0"/>
              <w:left w:val="nil"/>
              <w:bottom w:val="single" w:color="auto" w:sz="4" w:space="0"/>
              <w:right w:val="single" w:color="auto" w:sz="4" w:space="0"/>
            </w:tcBorders>
            <w:noWrap/>
            <w:vAlign w:val="center"/>
          </w:tcPr>
          <w:p w14:paraId="0B2F83CE">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具体加/扣分项及分值</w:t>
            </w:r>
          </w:p>
        </w:tc>
        <w:tc>
          <w:tcPr>
            <w:tcW w:w="1230" w:type="dxa"/>
            <w:tcBorders>
              <w:top w:val="single" w:color="auto" w:sz="4" w:space="0"/>
              <w:left w:val="nil"/>
              <w:bottom w:val="single" w:color="auto" w:sz="4" w:space="0"/>
              <w:right w:val="single" w:color="auto" w:sz="4" w:space="0"/>
            </w:tcBorders>
            <w:noWrap/>
            <w:vAlign w:val="center"/>
          </w:tcPr>
          <w:p w14:paraId="3A1E811C">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备注</w:t>
            </w:r>
          </w:p>
        </w:tc>
      </w:tr>
      <w:tr w14:paraId="6BCF6E80">
        <w:tblPrEx>
          <w:tblCellMar>
            <w:top w:w="0" w:type="dxa"/>
            <w:left w:w="108" w:type="dxa"/>
            <w:bottom w:w="0" w:type="dxa"/>
            <w:right w:w="108" w:type="dxa"/>
          </w:tblCellMar>
        </w:tblPrEx>
        <w:trPr>
          <w:trHeight w:val="945" w:hRule="atLeast"/>
          <w:jc w:val="center"/>
        </w:trPr>
        <w:tc>
          <w:tcPr>
            <w:tcW w:w="583" w:type="dxa"/>
            <w:vMerge w:val="restart"/>
            <w:tcBorders>
              <w:top w:val="nil"/>
              <w:left w:val="single" w:color="auto" w:sz="4" w:space="0"/>
              <w:bottom w:val="single" w:color="auto" w:sz="4" w:space="0"/>
              <w:right w:val="single" w:color="auto" w:sz="4" w:space="0"/>
            </w:tcBorders>
            <w:noWrap/>
            <w:vAlign w:val="center"/>
          </w:tcPr>
          <w:p w14:paraId="4D8AF9DE">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1</w:t>
            </w:r>
          </w:p>
        </w:tc>
        <w:tc>
          <w:tcPr>
            <w:tcW w:w="1163" w:type="dxa"/>
            <w:vMerge w:val="restart"/>
            <w:tcBorders>
              <w:top w:val="nil"/>
              <w:left w:val="single" w:color="auto" w:sz="4" w:space="0"/>
              <w:bottom w:val="single" w:color="auto" w:sz="4" w:space="0"/>
              <w:right w:val="single" w:color="auto" w:sz="4" w:space="0"/>
            </w:tcBorders>
            <w:noWrap/>
            <w:vAlign w:val="center"/>
          </w:tcPr>
          <w:p w14:paraId="1C962B13">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配送能力评价</w:t>
            </w:r>
          </w:p>
        </w:tc>
        <w:tc>
          <w:tcPr>
            <w:tcW w:w="1105" w:type="dxa"/>
            <w:vMerge w:val="restart"/>
            <w:tcBorders>
              <w:top w:val="nil"/>
              <w:left w:val="single" w:color="auto" w:sz="4" w:space="0"/>
              <w:bottom w:val="single" w:color="auto" w:sz="4" w:space="0"/>
              <w:right w:val="single" w:color="auto" w:sz="4" w:space="0"/>
            </w:tcBorders>
            <w:noWrap/>
            <w:vAlign w:val="center"/>
          </w:tcPr>
          <w:p w14:paraId="27C39E89">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供货质量</w:t>
            </w:r>
          </w:p>
        </w:tc>
        <w:tc>
          <w:tcPr>
            <w:tcW w:w="1263" w:type="dxa"/>
            <w:vMerge w:val="restart"/>
            <w:tcBorders>
              <w:top w:val="nil"/>
              <w:left w:val="single" w:color="auto" w:sz="4" w:space="0"/>
              <w:bottom w:val="single" w:color="auto" w:sz="4" w:space="0"/>
              <w:right w:val="single" w:color="auto" w:sz="4" w:space="0"/>
            </w:tcBorders>
            <w:noWrap/>
            <w:vAlign w:val="center"/>
          </w:tcPr>
          <w:p w14:paraId="0BCC45EE">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来料质量验收（15分）</w:t>
            </w:r>
          </w:p>
        </w:tc>
        <w:tc>
          <w:tcPr>
            <w:tcW w:w="3415" w:type="dxa"/>
            <w:vMerge w:val="restart"/>
            <w:tcBorders>
              <w:top w:val="nil"/>
              <w:left w:val="single" w:color="auto" w:sz="4" w:space="0"/>
              <w:bottom w:val="single" w:color="auto" w:sz="4" w:space="0"/>
              <w:right w:val="single" w:color="auto" w:sz="4" w:space="0"/>
            </w:tcBorders>
            <w:noWrap/>
            <w:vAlign w:val="center"/>
          </w:tcPr>
          <w:p w14:paraId="3E619779">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供应商必须严格按照招标要求，提供符合食品安全法、国标及食堂要求的产品</w:t>
            </w:r>
          </w:p>
        </w:tc>
        <w:tc>
          <w:tcPr>
            <w:tcW w:w="4282" w:type="dxa"/>
            <w:tcBorders>
              <w:top w:val="nil"/>
              <w:left w:val="nil"/>
              <w:bottom w:val="single" w:color="auto" w:sz="4" w:space="0"/>
              <w:right w:val="single" w:color="auto" w:sz="4" w:space="0"/>
            </w:tcBorders>
            <w:noWrap/>
            <w:vAlign w:val="center"/>
          </w:tcPr>
          <w:p w14:paraId="30BE1119">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Ⅰ不影响食堂使用，及时退、换货，不扣分</w:t>
            </w:r>
          </w:p>
        </w:tc>
        <w:tc>
          <w:tcPr>
            <w:tcW w:w="1230" w:type="dxa"/>
            <w:vMerge w:val="restart"/>
            <w:tcBorders>
              <w:top w:val="nil"/>
              <w:left w:val="single" w:color="auto" w:sz="4" w:space="0"/>
              <w:bottom w:val="single" w:color="auto" w:sz="4" w:space="0"/>
              <w:right w:val="single" w:color="auto" w:sz="4" w:space="0"/>
            </w:tcBorders>
            <w:noWrap/>
            <w:vAlign w:val="center"/>
          </w:tcPr>
          <w:p w14:paraId="540E2599">
            <w:pPr>
              <w:widowControl/>
              <w:rPr>
                <w:rFonts w:hint="eastAsia" w:asciiTheme="minorEastAsia" w:hAnsiTheme="minorEastAsia" w:eastAsiaTheme="minorEastAsia" w:cstheme="minorEastAsia"/>
                <w:color w:val="auto"/>
                <w:kern w:val="0"/>
              </w:rPr>
            </w:pPr>
          </w:p>
        </w:tc>
      </w:tr>
      <w:tr w14:paraId="6B99A146">
        <w:tblPrEx>
          <w:tblCellMar>
            <w:top w:w="0" w:type="dxa"/>
            <w:left w:w="108" w:type="dxa"/>
            <w:bottom w:w="0" w:type="dxa"/>
            <w:right w:w="108" w:type="dxa"/>
          </w:tblCellMar>
        </w:tblPrEx>
        <w:trPr>
          <w:trHeight w:val="750"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17B35022">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2677F44C">
            <w:pPr>
              <w:widowControl/>
              <w:rPr>
                <w:rFonts w:hint="eastAsia" w:asciiTheme="minorEastAsia" w:hAnsiTheme="minorEastAsia" w:eastAsiaTheme="minorEastAsia" w:cstheme="minorEastAsia"/>
                <w:color w:val="auto"/>
                <w:kern w:val="0"/>
              </w:rPr>
            </w:pPr>
          </w:p>
        </w:tc>
        <w:tc>
          <w:tcPr>
            <w:tcW w:w="1105" w:type="dxa"/>
            <w:vMerge w:val="continue"/>
            <w:tcBorders>
              <w:top w:val="nil"/>
              <w:left w:val="single" w:color="auto" w:sz="4" w:space="0"/>
              <w:bottom w:val="single" w:color="auto" w:sz="4" w:space="0"/>
              <w:right w:val="single" w:color="auto" w:sz="4" w:space="0"/>
            </w:tcBorders>
            <w:noWrap/>
            <w:vAlign w:val="center"/>
          </w:tcPr>
          <w:p w14:paraId="00BAF965">
            <w:pPr>
              <w:widowControl/>
              <w:rPr>
                <w:rFonts w:hint="eastAsia" w:asciiTheme="minorEastAsia" w:hAnsiTheme="minorEastAsia" w:eastAsiaTheme="minorEastAsia" w:cstheme="minorEastAsia"/>
                <w:color w:val="auto"/>
                <w:kern w:val="0"/>
              </w:rPr>
            </w:pPr>
          </w:p>
        </w:tc>
        <w:tc>
          <w:tcPr>
            <w:tcW w:w="1263" w:type="dxa"/>
            <w:vMerge w:val="continue"/>
            <w:tcBorders>
              <w:top w:val="nil"/>
              <w:left w:val="single" w:color="auto" w:sz="4" w:space="0"/>
              <w:bottom w:val="single" w:color="auto" w:sz="4" w:space="0"/>
              <w:right w:val="single" w:color="auto" w:sz="4" w:space="0"/>
            </w:tcBorders>
            <w:noWrap/>
            <w:vAlign w:val="center"/>
          </w:tcPr>
          <w:p w14:paraId="5A73F43F">
            <w:pPr>
              <w:widowControl/>
              <w:rPr>
                <w:rFonts w:hint="eastAsia" w:asciiTheme="minorEastAsia" w:hAnsiTheme="minorEastAsia" w:eastAsiaTheme="minorEastAsia" w:cstheme="minorEastAsia"/>
                <w:color w:val="auto"/>
                <w:kern w:val="0"/>
              </w:rPr>
            </w:pPr>
          </w:p>
        </w:tc>
        <w:tc>
          <w:tcPr>
            <w:tcW w:w="3415" w:type="dxa"/>
            <w:vMerge w:val="continue"/>
            <w:tcBorders>
              <w:top w:val="nil"/>
              <w:left w:val="single" w:color="auto" w:sz="4" w:space="0"/>
              <w:bottom w:val="single" w:color="auto" w:sz="4" w:space="0"/>
              <w:right w:val="single" w:color="auto" w:sz="4" w:space="0"/>
            </w:tcBorders>
            <w:noWrap/>
            <w:vAlign w:val="center"/>
          </w:tcPr>
          <w:p w14:paraId="6F21454E">
            <w:pPr>
              <w:widowControl/>
              <w:rPr>
                <w:rFonts w:hint="eastAsia" w:asciiTheme="minorEastAsia" w:hAnsiTheme="minorEastAsia" w:eastAsiaTheme="minorEastAsia" w:cstheme="minorEastAsia"/>
                <w:color w:val="auto"/>
                <w:kern w:val="0"/>
              </w:rPr>
            </w:pPr>
          </w:p>
        </w:tc>
        <w:tc>
          <w:tcPr>
            <w:tcW w:w="4282" w:type="dxa"/>
            <w:tcBorders>
              <w:top w:val="nil"/>
              <w:left w:val="nil"/>
              <w:bottom w:val="single" w:color="auto" w:sz="4" w:space="0"/>
              <w:right w:val="single" w:color="auto" w:sz="4" w:space="0"/>
            </w:tcBorders>
            <w:noWrap/>
            <w:vAlign w:val="center"/>
          </w:tcPr>
          <w:p w14:paraId="138831FC">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Ⅱ 未及时采取有效措施的，影响食堂正常使用，当日扣3分</w:t>
            </w:r>
          </w:p>
        </w:tc>
        <w:tc>
          <w:tcPr>
            <w:tcW w:w="1230" w:type="dxa"/>
            <w:vMerge w:val="continue"/>
            <w:tcBorders>
              <w:top w:val="nil"/>
              <w:left w:val="single" w:color="auto" w:sz="4" w:space="0"/>
              <w:bottom w:val="single" w:color="auto" w:sz="4" w:space="0"/>
              <w:right w:val="single" w:color="auto" w:sz="4" w:space="0"/>
            </w:tcBorders>
            <w:noWrap/>
            <w:vAlign w:val="center"/>
          </w:tcPr>
          <w:p w14:paraId="56E52937">
            <w:pPr>
              <w:widowControl/>
              <w:rPr>
                <w:rFonts w:hint="eastAsia" w:asciiTheme="minorEastAsia" w:hAnsiTheme="minorEastAsia" w:eastAsiaTheme="minorEastAsia" w:cstheme="minorEastAsia"/>
                <w:color w:val="auto"/>
                <w:kern w:val="0"/>
              </w:rPr>
            </w:pPr>
          </w:p>
        </w:tc>
      </w:tr>
      <w:tr w14:paraId="76093D16">
        <w:tblPrEx>
          <w:tblCellMar>
            <w:top w:w="0" w:type="dxa"/>
            <w:left w:w="108" w:type="dxa"/>
            <w:bottom w:w="0" w:type="dxa"/>
            <w:right w:w="108" w:type="dxa"/>
          </w:tblCellMar>
        </w:tblPrEx>
        <w:trPr>
          <w:trHeight w:val="1620"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3FDB1D75">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70485BA8">
            <w:pPr>
              <w:widowControl/>
              <w:rPr>
                <w:rFonts w:hint="eastAsia" w:asciiTheme="minorEastAsia" w:hAnsiTheme="minorEastAsia" w:eastAsiaTheme="minorEastAsia" w:cstheme="minorEastAsia"/>
                <w:color w:val="auto"/>
                <w:kern w:val="0"/>
              </w:rPr>
            </w:pPr>
          </w:p>
        </w:tc>
        <w:tc>
          <w:tcPr>
            <w:tcW w:w="1105" w:type="dxa"/>
            <w:vMerge w:val="restart"/>
            <w:tcBorders>
              <w:top w:val="nil"/>
              <w:left w:val="single" w:color="auto" w:sz="4" w:space="0"/>
              <w:bottom w:val="single" w:color="auto" w:sz="4" w:space="0"/>
              <w:right w:val="single" w:color="auto" w:sz="4" w:space="0"/>
            </w:tcBorders>
            <w:noWrap/>
            <w:vAlign w:val="center"/>
          </w:tcPr>
          <w:p w14:paraId="1882F3C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到货情况</w:t>
            </w:r>
          </w:p>
        </w:tc>
        <w:tc>
          <w:tcPr>
            <w:tcW w:w="1263" w:type="dxa"/>
            <w:tcBorders>
              <w:top w:val="nil"/>
              <w:left w:val="nil"/>
              <w:bottom w:val="single" w:color="auto" w:sz="4" w:space="0"/>
              <w:right w:val="single" w:color="auto" w:sz="4" w:space="0"/>
            </w:tcBorders>
            <w:noWrap/>
            <w:vAlign w:val="center"/>
          </w:tcPr>
          <w:p w14:paraId="132B493E">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交货及时性（12分）</w:t>
            </w:r>
          </w:p>
        </w:tc>
        <w:tc>
          <w:tcPr>
            <w:tcW w:w="3415" w:type="dxa"/>
            <w:tcBorders>
              <w:top w:val="nil"/>
              <w:left w:val="nil"/>
              <w:bottom w:val="single" w:color="auto" w:sz="4" w:space="0"/>
              <w:right w:val="single" w:color="auto" w:sz="4" w:space="0"/>
            </w:tcBorders>
            <w:noWrap/>
            <w:vAlign w:val="center"/>
          </w:tcPr>
          <w:p w14:paraId="06C7CC18">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除米面油等按照实际需要指定送货时间的货物，其他品类产品在订货次日早上</w:t>
            </w:r>
            <w:r>
              <w:rPr>
                <w:rFonts w:hint="eastAsia" w:asciiTheme="minorEastAsia" w:hAnsiTheme="minorEastAsia" w:eastAsiaTheme="minorEastAsia" w:cstheme="minorEastAsia"/>
                <w:color w:val="auto"/>
                <w:kern w:val="0"/>
                <w:lang w:val="en-US" w:eastAsia="zh-CN"/>
              </w:rPr>
              <w:t>8</w:t>
            </w:r>
            <w:r>
              <w:rPr>
                <w:rFonts w:hint="eastAsia" w:asciiTheme="minorEastAsia" w:hAnsiTheme="minorEastAsia" w:eastAsiaTheme="minorEastAsia" w:cstheme="minorEastAsia"/>
                <w:color w:val="auto"/>
                <w:kern w:val="0"/>
              </w:rPr>
              <w:t>：00前务必供货完成。</w:t>
            </w:r>
          </w:p>
        </w:tc>
        <w:tc>
          <w:tcPr>
            <w:tcW w:w="4282" w:type="dxa"/>
            <w:tcBorders>
              <w:top w:val="nil"/>
              <w:left w:val="nil"/>
              <w:bottom w:val="single" w:color="auto" w:sz="4" w:space="0"/>
              <w:right w:val="single" w:color="auto" w:sz="4" w:space="0"/>
            </w:tcBorders>
            <w:noWrap/>
            <w:vAlign w:val="center"/>
          </w:tcPr>
          <w:p w14:paraId="4AD7A794">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供应商务必在要求的时间内送货，送货每延迟1小时（包括1小时内）扣1分，以此顺延，每日2分为上限</w:t>
            </w:r>
          </w:p>
        </w:tc>
        <w:tc>
          <w:tcPr>
            <w:tcW w:w="1230" w:type="dxa"/>
            <w:vMerge w:val="continue"/>
            <w:tcBorders>
              <w:top w:val="nil"/>
              <w:left w:val="single" w:color="auto" w:sz="4" w:space="0"/>
              <w:bottom w:val="single" w:color="auto" w:sz="4" w:space="0"/>
              <w:right w:val="single" w:color="auto" w:sz="4" w:space="0"/>
            </w:tcBorders>
            <w:noWrap/>
            <w:vAlign w:val="center"/>
          </w:tcPr>
          <w:p w14:paraId="60B8BE50">
            <w:pPr>
              <w:widowControl/>
              <w:rPr>
                <w:rFonts w:hint="eastAsia" w:asciiTheme="minorEastAsia" w:hAnsiTheme="minorEastAsia" w:eastAsiaTheme="minorEastAsia" w:cstheme="minorEastAsia"/>
                <w:color w:val="auto"/>
                <w:kern w:val="0"/>
              </w:rPr>
            </w:pPr>
          </w:p>
        </w:tc>
      </w:tr>
      <w:tr w14:paraId="0A3C5E48">
        <w:tblPrEx>
          <w:tblCellMar>
            <w:top w:w="0" w:type="dxa"/>
            <w:left w:w="108" w:type="dxa"/>
            <w:bottom w:w="0" w:type="dxa"/>
            <w:right w:w="108" w:type="dxa"/>
          </w:tblCellMar>
        </w:tblPrEx>
        <w:trPr>
          <w:trHeight w:val="636"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22C0AB05">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7CDA178F">
            <w:pPr>
              <w:widowControl/>
              <w:rPr>
                <w:rFonts w:hint="eastAsia" w:asciiTheme="minorEastAsia" w:hAnsiTheme="minorEastAsia" w:eastAsiaTheme="minorEastAsia" w:cstheme="minorEastAsia"/>
                <w:color w:val="auto"/>
                <w:kern w:val="0"/>
              </w:rPr>
            </w:pPr>
          </w:p>
        </w:tc>
        <w:tc>
          <w:tcPr>
            <w:tcW w:w="1105" w:type="dxa"/>
            <w:vMerge w:val="continue"/>
            <w:tcBorders>
              <w:top w:val="nil"/>
              <w:left w:val="single" w:color="auto" w:sz="4" w:space="0"/>
              <w:bottom w:val="single" w:color="auto" w:sz="4" w:space="0"/>
              <w:right w:val="single" w:color="auto" w:sz="4" w:space="0"/>
            </w:tcBorders>
            <w:noWrap/>
            <w:vAlign w:val="center"/>
          </w:tcPr>
          <w:p w14:paraId="570EA3D9">
            <w:pPr>
              <w:widowControl/>
              <w:rPr>
                <w:rFonts w:hint="eastAsia" w:asciiTheme="minorEastAsia" w:hAnsiTheme="minorEastAsia" w:eastAsiaTheme="minorEastAsia" w:cstheme="minorEastAsia"/>
                <w:color w:val="auto"/>
                <w:kern w:val="0"/>
              </w:rPr>
            </w:pPr>
          </w:p>
        </w:tc>
        <w:tc>
          <w:tcPr>
            <w:tcW w:w="1263" w:type="dxa"/>
            <w:vMerge w:val="restart"/>
            <w:tcBorders>
              <w:top w:val="nil"/>
              <w:left w:val="single" w:color="auto" w:sz="4" w:space="0"/>
              <w:bottom w:val="single" w:color="auto" w:sz="4" w:space="0"/>
              <w:right w:val="single" w:color="auto" w:sz="4" w:space="0"/>
            </w:tcBorders>
            <w:noWrap/>
            <w:vAlign w:val="center"/>
          </w:tcPr>
          <w:p w14:paraId="15FC7EE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交货数量准确性（15分）</w:t>
            </w:r>
          </w:p>
        </w:tc>
        <w:tc>
          <w:tcPr>
            <w:tcW w:w="3415" w:type="dxa"/>
            <w:vMerge w:val="restart"/>
            <w:tcBorders>
              <w:top w:val="nil"/>
              <w:left w:val="single" w:color="auto" w:sz="4" w:space="0"/>
              <w:bottom w:val="single" w:color="auto" w:sz="4" w:space="0"/>
              <w:right w:val="single" w:color="auto" w:sz="4" w:space="0"/>
            </w:tcBorders>
            <w:noWrap/>
            <w:vAlign w:val="center"/>
          </w:tcPr>
          <w:p w14:paraId="0B3AB496">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供应商供货必须与订单实际需求量相符</w:t>
            </w:r>
          </w:p>
        </w:tc>
        <w:tc>
          <w:tcPr>
            <w:tcW w:w="4282" w:type="dxa"/>
            <w:tcBorders>
              <w:top w:val="nil"/>
              <w:left w:val="nil"/>
              <w:bottom w:val="single" w:color="auto" w:sz="4" w:space="0"/>
              <w:right w:val="single" w:color="auto" w:sz="4" w:space="0"/>
            </w:tcBorders>
            <w:noWrap/>
            <w:vAlign w:val="center"/>
          </w:tcPr>
          <w:p w14:paraId="1C5BEEAA">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Ⅰ人为原因故意多送货物，食堂按照订单量做账，多余货物恕不退回，不扣分</w:t>
            </w:r>
          </w:p>
        </w:tc>
        <w:tc>
          <w:tcPr>
            <w:tcW w:w="1230" w:type="dxa"/>
            <w:vMerge w:val="continue"/>
            <w:tcBorders>
              <w:top w:val="nil"/>
              <w:left w:val="single" w:color="auto" w:sz="4" w:space="0"/>
              <w:bottom w:val="single" w:color="auto" w:sz="4" w:space="0"/>
              <w:right w:val="single" w:color="auto" w:sz="4" w:space="0"/>
            </w:tcBorders>
            <w:noWrap/>
            <w:vAlign w:val="center"/>
          </w:tcPr>
          <w:p w14:paraId="0945A903">
            <w:pPr>
              <w:widowControl/>
              <w:rPr>
                <w:rFonts w:hint="eastAsia" w:asciiTheme="minorEastAsia" w:hAnsiTheme="minorEastAsia" w:eastAsiaTheme="minorEastAsia" w:cstheme="minorEastAsia"/>
                <w:color w:val="auto"/>
                <w:kern w:val="0"/>
              </w:rPr>
            </w:pPr>
          </w:p>
        </w:tc>
      </w:tr>
      <w:tr w14:paraId="3D02E33B">
        <w:tblPrEx>
          <w:tblCellMar>
            <w:top w:w="0" w:type="dxa"/>
            <w:left w:w="108" w:type="dxa"/>
            <w:bottom w:w="0" w:type="dxa"/>
            <w:right w:w="108" w:type="dxa"/>
          </w:tblCellMar>
        </w:tblPrEx>
        <w:trPr>
          <w:trHeight w:val="702"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567AE84A">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52E0E6CA">
            <w:pPr>
              <w:widowControl/>
              <w:rPr>
                <w:rFonts w:hint="eastAsia" w:asciiTheme="minorEastAsia" w:hAnsiTheme="minorEastAsia" w:eastAsiaTheme="minorEastAsia" w:cstheme="minorEastAsia"/>
                <w:color w:val="auto"/>
                <w:kern w:val="0"/>
              </w:rPr>
            </w:pPr>
          </w:p>
        </w:tc>
        <w:tc>
          <w:tcPr>
            <w:tcW w:w="1105" w:type="dxa"/>
            <w:vMerge w:val="continue"/>
            <w:tcBorders>
              <w:top w:val="nil"/>
              <w:left w:val="single" w:color="auto" w:sz="4" w:space="0"/>
              <w:bottom w:val="single" w:color="auto" w:sz="4" w:space="0"/>
              <w:right w:val="single" w:color="auto" w:sz="4" w:space="0"/>
            </w:tcBorders>
            <w:noWrap/>
            <w:vAlign w:val="center"/>
          </w:tcPr>
          <w:p w14:paraId="3C5F0413">
            <w:pPr>
              <w:widowControl/>
              <w:rPr>
                <w:rFonts w:hint="eastAsia" w:asciiTheme="minorEastAsia" w:hAnsiTheme="minorEastAsia" w:eastAsiaTheme="minorEastAsia" w:cstheme="minorEastAsia"/>
                <w:color w:val="auto"/>
                <w:kern w:val="0"/>
              </w:rPr>
            </w:pPr>
          </w:p>
        </w:tc>
        <w:tc>
          <w:tcPr>
            <w:tcW w:w="1263" w:type="dxa"/>
            <w:vMerge w:val="continue"/>
            <w:tcBorders>
              <w:top w:val="nil"/>
              <w:left w:val="single" w:color="auto" w:sz="4" w:space="0"/>
              <w:bottom w:val="single" w:color="auto" w:sz="4" w:space="0"/>
              <w:right w:val="single" w:color="auto" w:sz="4" w:space="0"/>
            </w:tcBorders>
            <w:noWrap/>
            <w:vAlign w:val="center"/>
          </w:tcPr>
          <w:p w14:paraId="01D2841C">
            <w:pPr>
              <w:widowControl/>
              <w:rPr>
                <w:rFonts w:hint="eastAsia" w:asciiTheme="minorEastAsia" w:hAnsiTheme="minorEastAsia" w:eastAsiaTheme="minorEastAsia" w:cstheme="minorEastAsia"/>
                <w:color w:val="auto"/>
                <w:kern w:val="0"/>
              </w:rPr>
            </w:pPr>
          </w:p>
        </w:tc>
        <w:tc>
          <w:tcPr>
            <w:tcW w:w="3415" w:type="dxa"/>
            <w:vMerge w:val="continue"/>
            <w:tcBorders>
              <w:top w:val="nil"/>
              <w:left w:val="single" w:color="auto" w:sz="4" w:space="0"/>
              <w:bottom w:val="single" w:color="auto" w:sz="4" w:space="0"/>
              <w:right w:val="single" w:color="auto" w:sz="4" w:space="0"/>
            </w:tcBorders>
            <w:noWrap/>
            <w:vAlign w:val="center"/>
          </w:tcPr>
          <w:p w14:paraId="2135E8FB">
            <w:pPr>
              <w:widowControl/>
              <w:rPr>
                <w:rFonts w:hint="eastAsia" w:asciiTheme="minorEastAsia" w:hAnsiTheme="minorEastAsia" w:eastAsiaTheme="minorEastAsia" w:cstheme="minorEastAsia"/>
                <w:color w:val="auto"/>
                <w:kern w:val="0"/>
              </w:rPr>
            </w:pPr>
          </w:p>
        </w:tc>
        <w:tc>
          <w:tcPr>
            <w:tcW w:w="4282" w:type="dxa"/>
            <w:tcBorders>
              <w:top w:val="nil"/>
              <w:left w:val="nil"/>
              <w:bottom w:val="single" w:color="auto" w:sz="4" w:space="0"/>
              <w:right w:val="single" w:color="auto" w:sz="4" w:space="0"/>
            </w:tcBorders>
            <w:noWrap/>
            <w:vAlign w:val="center"/>
          </w:tcPr>
          <w:p w14:paraId="5DB12390">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Ⅱ人为原因故意缺斤少两，在不影响实际使用的前提下按实物验收或补齐货物，当日扣0.5分</w:t>
            </w:r>
          </w:p>
        </w:tc>
        <w:tc>
          <w:tcPr>
            <w:tcW w:w="1230" w:type="dxa"/>
            <w:vMerge w:val="continue"/>
            <w:tcBorders>
              <w:top w:val="nil"/>
              <w:left w:val="single" w:color="auto" w:sz="4" w:space="0"/>
              <w:bottom w:val="single" w:color="auto" w:sz="4" w:space="0"/>
              <w:right w:val="single" w:color="auto" w:sz="4" w:space="0"/>
            </w:tcBorders>
            <w:noWrap/>
            <w:vAlign w:val="center"/>
          </w:tcPr>
          <w:p w14:paraId="39CD47AC">
            <w:pPr>
              <w:widowControl/>
              <w:rPr>
                <w:rFonts w:hint="eastAsia" w:asciiTheme="minorEastAsia" w:hAnsiTheme="minorEastAsia" w:eastAsiaTheme="minorEastAsia" w:cstheme="minorEastAsia"/>
                <w:color w:val="auto"/>
                <w:kern w:val="0"/>
              </w:rPr>
            </w:pPr>
          </w:p>
        </w:tc>
      </w:tr>
      <w:tr w14:paraId="54D5F6A9">
        <w:trPr>
          <w:trHeight w:val="1860"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53AE76BA">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33CAFEA7">
            <w:pPr>
              <w:widowControl/>
              <w:rPr>
                <w:rFonts w:hint="eastAsia" w:asciiTheme="minorEastAsia" w:hAnsiTheme="minorEastAsia" w:eastAsiaTheme="minorEastAsia" w:cstheme="minorEastAsia"/>
                <w:color w:val="auto"/>
                <w:kern w:val="0"/>
              </w:rPr>
            </w:pPr>
          </w:p>
        </w:tc>
        <w:tc>
          <w:tcPr>
            <w:tcW w:w="1105" w:type="dxa"/>
            <w:vMerge w:val="continue"/>
            <w:tcBorders>
              <w:top w:val="nil"/>
              <w:left w:val="single" w:color="auto" w:sz="4" w:space="0"/>
              <w:bottom w:val="single" w:color="auto" w:sz="4" w:space="0"/>
              <w:right w:val="single" w:color="auto" w:sz="4" w:space="0"/>
            </w:tcBorders>
            <w:noWrap/>
            <w:vAlign w:val="center"/>
          </w:tcPr>
          <w:p w14:paraId="4B3158A4">
            <w:pPr>
              <w:widowControl/>
              <w:rPr>
                <w:rFonts w:hint="eastAsia" w:asciiTheme="minorEastAsia" w:hAnsiTheme="minorEastAsia" w:eastAsiaTheme="minorEastAsia" w:cstheme="minorEastAsia"/>
                <w:color w:val="auto"/>
                <w:kern w:val="0"/>
              </w:rPr>
            </w:pPr>
          </w:p>
        </w:tc>
        <w:tc>
          <w:tcPr>
            <w:tcW w:w="1263" w:type="dxa"/>
            <w:vMerge w:val="continue"/>
            <w:tcBorders>
              <w:top w:val="nil"/>
              <w:left w:val="single" w:color="auto" w:sz="4" w:space="0"/>
              <w:bottom w:val="single" w:color="auto" w:sz="4" w:space="0"/>
              <w:right w:val="single" w:color="auto" w:sz="4" w:space="0"/>
            </w:tcBorders>
            <w:noWrap/>
            <w:vAlign w:val="center"/>
          </w:tcPr>
          <w:p w14:paraId="7C8ABB24">
            <w:pPr>
              <w:widowControl/>
              <w:rPr>
                <w:rFonts w:hint="eastAsia" w:asciiTheme="minorEastAsia" w:hAnsiTheme="minorEastAsia" w:eastAsiaTheme="minorEastAsia" w:cstheme="minorEastAsia"/>
                <w:color w:val="auto"/>
                <w:kern w:val="0"/>
              </w:rPr>
            </w:pPr>
          </w:p>
        </w:tc>
        <w:tc>
          <w:tcPr>
            <w:tcW w:w="3415" w:type="dxa"/>
            <w:vMerge w:val="continue"/>
            <w:tcBorders>
              <w:top w:val="nil"/>
              <w:left w:val="single" w:color="auto" w:sz="4" w:space="0"/>
              <w:bottom w:val="single" w:color="auto" w:sz="4" w:space="0"/>
              <w:right w:val="single" w:color="auto" w:sz="4" w:space="0"/>
            </w:tcBorders>
            <w:noWrap/>
            <w:vAlign w:val="center"/>
          </w:tcPr>
          <w:p w14:paraId="583DEC2E">
            <w:pPr>
              <w:widowControl/>
              <w:rPr>
                <w:rFonts w:hint="eastAsia" w:asciiTheme="minorEastAsia" w:hAnsiTheme="minorEastAsia" w:eastAsiaTheme="minorEastAsia" w:cstheme="minorEastAsia"/>
                <w:color w:val="auto"/>
                <w:kern w:val="0"/>
              </w:rPr>
            </w:pPr>
          </w:p>
        </w:tc>
        <w:tc>
          <w:tcPr>
            <w:tcW w:w="4282" w:type="dxa"/>
            <w:tcBorders>
              <w:top w:val="nil"/>
              <w:left w:val="nil"/>
              <w:bottom w:val="single" w:color="auto" w:sz="4" w:space="0"/>
              <w:right w:val="single" w:color="auto" w:sz="4" w:space="0"/>
            </w:tcBorders>
            <w:noWrap/>
            <w:vAlign w:val="center"/>
          </w:tcPr>
          <w:p w14:paraId="3C996A5D">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Ⅲ供应商供货缺斤少两，漏货缺货，影响食堂实际使用，按实物验收或补齐货物，当日扣3分</w:t>
            </w:r>
          </w:p>
        </w:tc>
        <w:tc>
          <w:tcPr>
            <w:tcW w:w="1230" w:type="dxa"/>
            <w:vMerge w:val="continue"/>
            <w:tcBorders>
              <w:top w:val="nil"/>
              <w:left w:val="single" w:color="auto" w:sz="4" w:space="0"/>
              <w:bottom w:val="single" w:color="auto" w:sz="4" w:space="0"/>
              <w:right w:val="single" w:color="auto" w:sz="4" w:space="0"/>
            </w:tcBorders>
            <w:noWrap/>
            <w:vAlign w:val="center"/>
          </w:tcPr>
          <w:p w14:paraId="5B17FA95">
            <w:pPr>
              <w:widowControl/>
              <w:rPr>
                <w:rFonts w:hint="eastAsia" w:asciiTheme="minorEastAsia" w:hAnsiTheme="minorEastAsia" w:eastAsiaTheme="minorEastAsia" w:cstheme="minorEastAsia"/>
                <w:color w:val="auto"/>
                <w:kern w:val="0"/>
              </w:rPr>
            </w:pPr>
          </w:p>
        </w:tc>
      </w:tr>
      <w:tr w14:paraId="35584936">
        <w:tblPrEx>
          <w:tblCellMar>
            <w:top w:w="0" w:type="dxa"/>
            <w:left w:w="108" w:type="dxa"/>
            <w:bottom w:w="0" w:type="dxa"/>
            <w:right w:w="108" w:type="dxa"/>
          </w:tblCellMar>
        </w:tblPrEx>
        <w:trPr>
          <w:trHeight w:val="795" w:hRule="atLeast"/>
          <w:jc w:val="center"/>
        </w:trPr>
        <w:tc>
          <w:tcPr>
            <w:tcW w:w="583" w:type="dxa"/>
            <w:vMerge w:val="restart"/>
            <w:tcBorders>
              <w:top w:val="single" w:color="auto" w:sz="4" w:space="0"/>
              <w:left w:val="single" w:color="auto" w:sz="4" w:space="0"/>
              <w:bottom w:val="single" w:color="auto" w:sz="4" w:space="0"/>
              <w:right w:val="single" w:color="auto" w:sz="4" w:space="0"/>
            </w:tcBorders>
            <w:noWrap/>
            <w:vAlign w:val="center"/>
          </w:tcPr>
          <w:p w14:paraId="5E5159C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2</w:t>
            </w:r>
          </w:p>
        </w:tc>
        <w:tc>
          <w:tcPr>
            <w:tcW w:w="1163" w:type="dxa"/>
            <w:vMerge w:val="restart"/>
            <w:tcBorders>
              <w:top w:val="single" w:color="auto" w:sz="4" w:space="0"/>
              <w:left w:val="single" w:color="auto" w:sz="4" w:space="0"/>
              <w:bottom w:val="single" w:color="auto" w:sz="4" w:space="0"/>
              <w:right w:val="single" w:color="auto" w:sz="4" w:space="0"/>
            </w:tcBorders>
            <w:noWrap/>
            <w:vAlign w:val="center"/>
          </w:tcPr>
          <w:p w14:paraId="027B19EA">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服务能力评价</w:t>
            </w:r>
          </w:p>
        </w:tc>
        <w:tc>
          <w:tcPr>
            <w:tcW w:w="1105" w:type="dxa"/>
            <w:vMerge w:val="restart"/>
            <w:tcBorders>
              <w:top w:val="single" w:color="auto" w:sz="4" w:space="0"/>
              <w:left w:val="single" w:color="auto" w:sz="4" w:space="0"/>
              <w:bottom w:val="single" w:color="auto" w:sz="4" w:space="0"/>
              <w:right w:val="single" w:color="auto" w:sz="4" w:space="0"/>
            </w:tcBorders>
            <w:noWrap/>
            <w:vAlign w:val="center"/>
          </w:tcPr>
          <w:p w14:paraId="5DF351F9">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配合度</w:t>
            </w:r>
          </w:p>
        </w:tc>
        <w:tc>
          <w:tcPr>
            <w:tcW w:w="1263" w:type="dxa"/>
            <w:vMerge w:val="restart"/>
            <w:tcBorders>
              <w:top w:val="single" w:color="auto" w:sz="4" w:space="0"/>
              <w:left w:val="single" w:color="auto" w:sz="4" w:space="0"/>
              <w:bottom w:val="single" w:color="auto" w:sz="4" w:space="0"/>
              <w:right w:val="single" w:color="auto" w:sz="4" w:space="0"/>
            </w:tcBorders>
            <w:noWrap/>
            <w:vAlign w:val="center"/>
          </w:tcPr>
          <w:p w14:paraId="0A86966F">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货物资质完整性（24分）</w:t>
            </w:r>
          </w:p>
        </w:tc>
        <w:tc>
          <w:tcPr>
            <w:tcW w:w="3415" w:type="dxa"/>
            <w:vMerge w:val="restart"/>
            <w:tcBorders>
              <w:top w:val="single" w:color="auto" w:sz="4" w:space="0"/>
              <w:left w:val="single" w:color="auto" w:sz="4" w:space="0"/>
              <w:bottom w:val="single" w:color="auto" w:sz="4" w:space="0"/>
              <w:right w:val="single" w:color="auto" w:sz="4" w:space="0"/>
            </w:tcBorders>
            <w:noWrap/>
            <w:vAlign w:val="center"/>
          </w:tcPr>
          <w:p w14:paraId="0A9862EC">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供应商在配送货物过程中，必须随货附带字迹清楚且盖有供应商公章的验收单以及有效的产品合格证明、检测报告、检疫证明等凭证</w:t>
            </w:r>
          </w:p>
        </w:tc>
        <w:tc>
          <w:tcPr>
            <w:tcW w:w="4282" w:type="dxa"/>
            <w:tcBorders>
              <w:top w:val="single" w:color="auto" w:sz="4" w:space="0"/>
              <w:left w:val="nil"/>
              <w:bottom w:val="single" w:color="auto" w:sz="4" w:space="0"/>
              <w:right w:val="single" w:color="auto" w:sz="4" w:space="0"/>
            </w:tcBorders>
            <w:noWrap/>
            <w:vAlign w:val="center"/>
          </w:tcPr>
          <w:p w14:paraId="15294127">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Ⅰ供应商不按规定随货附带字迹清晰盖有供应商</w:t>
            </w:r>
            <w:r>
              <w:rPr>
                <w:rFonts w:hint="eastAsia" w:asciiTheme="minorEastAsia" w:hAnsiTheme="minorEastAsia" w:eastAsiaTheme="minorEastAsia" w:cstheme="minorEastAsia"/>
                <w:color w:val="auto"/>
                <w:kern w:val="0"/>
                <w:lang w:eastAsia="zh-CN"/>
              </w:rPr>
              <w:t>公</w:t>
            </w:r>
            <w:r>
              <w:rPr>
                <w:rFonts w:hint="eastAsia" w:asciiTheme="minorEastAsia" w:hAnsiTheme="minorEastAsia" w:eastAsiaTheme="minorEastAsia" w:cstheme="minorEastAsia"/>
                <w:color w:val="auto"/>
                <w:kern w:val="0"/>
              </w:rPr>
              <w:t>章的有效验收单，一次扣1分</w:t>
            </w:r>
          </w:p>
        </w:tc>
        <w:tc>
          <w:tcPr>
            <w:tcW w:w="1230" w:type="dxa"/>
            <w:vMerge w:val="restart"/>
            <w:tcBorders>
              <w:top w:val="single" w:color="auto" w:sz="4" w:space="0"/>
              <w:left w:val="single" w:color="auto" w:sz="4" w:space="0"/>
              <w:bottom w:val="single" w:color="auto" w:sz="4" w:space="0"/>
              <w:right w:val="single" w:color="auto" w:sz="4" w:space="0"/>
            </w:tcBorders>
            <w:noWrap/>
            <w:vAlign w:val="center"/>
          </w:tcPr>
          <w:p w14:paraId="006CCE5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7DC36A98">
        <w:tblPrEx>
          <w:tblCellMar>
            <w:top w:w="0" w:type="dxa"/>
            <w:left w:w="108" w:type="dxa"/>
            <w:bottom w:w="0" w:type="dxa"/>
            <w:right w:w="108" w:type="dxa"/>
          </w:tblCellMar>
        </w:tblPrEx>
        <w:trPr>
          <w:trHeight w:val="1606"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6A73746A">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5A00466A">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68679078">
            <w:pPr>
              <w:widowControl/>
              <w:rPr>
                <w:rFonts w:hint="eastAsia" w:asciiTheme="minorEastAsia" w:hAnsiTheme="minorEastAsia" w:eastAsiaTheme="minorEastAsia" w:cstheme="minorEastAsia"/>
                <w:color w:val="auto"/>
                <w:kern w:val="0"/>
              </w:rPr>
            </w:pPr>
          </w:p>
        </w:tc>
        <w:tc>
          <w:tcPr>
            <w:tcW w:w="1263" w:type="dxa"/>
            <w:vMerge w:val="continue"/>
            <w:tcBorders>
              <w:top w:val="single" w:color="auto" w:sz="4" w:space="0"/>
              <w:left w:val="single" w:color="auto" w:sz="4" w:space="0"/>
              <w:bottom w:val="single" w:color="auto" w:sz="4" w:space="0"/>
              <w:right w:val="single" w:color="auto" w:sz="4" w:space="0"/>
            </w:tcBorders>
            <w:noWrap/>
            <w:vAlign w:val="center"/>
          </w:tcPr>
          <w:p w14:paraId="302DA163">
            <w:pPr>
              <w:widowControl/>
              <w:rPr>
                <w:rFonts w:hint="eastAsia" w:asciiTheme="minorEastAsia" w:hAnsiTheme="minorEastAsia" w:eastAsiaTheme="minorEastAsia" w:cstheme="minorEastAsia"/>
                <w:color w:val="auto"/>
                <w:kern w:val="0"/>
              </w:rPr>
            </w:pPr>
          </w:p>
        </w:tc>
        <w:tc>
          <w:tcPr>
            <w:tcW w:w="3415" w:type="dxa"/>
            <w:vMerge w:val="continue"/>
            <w:tcBorders>
              <w:top w:val="single" w:color="auto" w:sz="4" w:space="0"/>
              <w:left w:val="single" w:color="auto" w:sz="4" w:space="0"/>
              <w:bottom w:val="single" w:color="auto" w:sz="4" w:space="0"/>
              <w:right w:val="single" w:color="auto" w:sz="4" w:space="0"/>
            </w:tcBorders>
            <w:noWrap/>
            <w:vAlign w:val="center"/>
          </w:tcPr>
          <w:p w14:paraId="7C6E4808">
            <w:pPr>
              <w:widowControl/>
              <w:rPr>
                <w:rFonts w:hint="eastAsia" w:asciiTheme="minorEastAsia" w:hAnsiTheme="minorEastAsia" w:eastAsiaTheme="minorEastAsia" w:cstheme="minorEastAsia"/>
                <w:color w:val="auto"/>
                <w:kern w:val="0"/>
              </w:rPr>
            </w:pPr>
          </w:p>
        </w:tc>
        <w:tc>
          <w:tcPr>
            <w:tcW w:w="4282" w:type="dxa"/>
            <w:tcBorders>
              <w:top w:val="single" w:color="auto" w:sz="4" w:space="0"/>
              <w:left w:val="nil"/>
              <w:bottom w:val="single" w:color="auto" w:sz="4" w:space="0"/>
              <w:right w:val="single" w:color="auto" w:sz="4" w:space="0"/>
            </w:tcBorders>
            <w:noWrap/>
            <w:vAlign w:val="center"/>
          </w:tcPr>
          <w:p w14:paraId="7B64DC9C">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Ⅱ供应商对禽副、猪副、牛羊肉产品必须按时提供官方出具的检疫证明，如果未随货提供该批次合格的动物检疫合格证明，一次扣1.5分，送货后24小时内无法补齐加扣0.5分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64B470D0">
            <w:pPr>
              <w:widowControl/>
              <w:rPr>
                <w:rFonts w:hint="eastAsia" w:asciiTheme="minorEastAsia" w:hAnsiTheme="minorEastAsia" w:eastAsiaTheme="minorEastAsia" w:cstheme="minorEastAsia"/>
                <w:color w:val="auto"/>
                <w:kern w:val="0"/>
              </w:rPr>
            </w:pPr>
          </w:p>
        </w:tc>
      </w:tr>
      <w:tr w14:paraId="7F1C10ED">
        <w:tblPrEx>
          <w:tblCellMar>
            <w:top w:w="0" w:type="dxa"/>
            <w:left w:w="108" w:type="dxa"/>
            <w:bottom w:w="0" w:type="dxa"/>
            <w:right w:w="108" w:type="dxa"/>
          </w:tblCellMar>
        </w:tblPrEx>
        <w:trPr>
          <w:trHeight w:val="81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51FB5943">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70F7CEE1">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4689D3E5">
            <w:pPr>
              <w:widowControl/>
              <w:rPr>
                <w:rFonts w:hint="eastAsia" w:asciiTheme="minorEastAsia" w:hAnsiTheme="minorEastAsia" w:eastAsiaTheme="minorEastAsia" w:cstheme="minorEastAsia"/>
                <w:color w:val="auto"/>
                <w:kern w:val="0"/>
              </w:rPr>
            </w:pPr>
          </w:p>
        </w:tc>
        <w:tc>
          <w:tcPr>
            <w:tcW w:w="1263" w:type="dxa"/>
            <w:vMerge w:val="continue"/>
            <w:tcBorders>
              <w:top w:val="single" w:color="auto" w:sz="4" w:space="0"/>
              <w:left w:val="single" w:color="auto" w:sz="4" w:space="0"/>
              <w:bottom w:val="single" w:color="auto" w:sz="4" w:space="0"/>
              <w:right w:val="single" w:color="auto" w:sz="4" w:space="0"/>
            </w:tcBorders>
            <w:noWrap/>
            <w:vAlign w:val="center"/>
          </w:tcPr>
          <w:p w14:paraId="0D40688C">
            <w:pPr>
              <w:widowControl/>
              <w:rPr>
                <w:rFonts w:hint="eastAsia" w:asciiTheme="minorEastAsia" w:hAnsiTheme="minorEastAsia" w:eastAsiaTheme="minorEastAsia" w:cstheme="minorEastAsia"/>
                <w:color w:val="auto"/>
                <w:kern w:val="0"/>
              </w:rPr>
            </w:pPr>
          </w:p>
        </w:tc>
        <w:tc>
          <w:tcPr>
            <w:tcW w:w="3415" w:type="dxa"/>
            <w:vMerge w:val="continue"/>
            <w:tcBorders>
              <w:top w:val="single" w:color="auto" w:sz="4" w:space="0"/>
              <w:left w:val="single" w:color="auto" w:sz="4" w:space="0"/>
              <w:bottom w:val="single" w:color="auto" w:sz="4" w:space="0"/>
              <w:right w:val="single" w:color="auto" w:sz="4" w:space="0"/>
            </w:tcBorders>
            <w:noWrap/>
            <w:vAlign w:val="center"/>
          </w:tcPr>
          <w:p w14:paraId="6F6B7C76">
            <w:pPr>
              <w:widowControl/>
              <w:rPr>
                <w:rFonts w:hint="eastAsia" w:asciiTheme="minorEastAsia" w:hAnsiTheme="minorEastAsia" w:eastAsiaTheme="minorEastAsia" w:cstheme="minorEastAsia"/>
                <w:color w:val="auto"/>
                <w:kern w:val="0"/>
              </w:rPr>
            </w:pPr>
          </w:p>
        </w:tc>
        <w:tc>
          <w:tcPr>
            <w:tcW w:w="4282" w:type="dxa"/>
            <w:tcBorders>
              <w:top w:val="single" w:color="auto" w:sz="4" w:space="0"/>
              <w:left w:val="nil"/>
              <w:bottom w:val="single" w:color="auto" w:sz="4" w:space="0"/>
              <w:right w:val="single" w:color="auto" w:sz="4" w:space="0"/>
            </w:tcBorders>
            <w:noWrap/>
            <w:vAlign w:val="center"/>
          </w:tcPr>
          <w:p w14:paraId="23A1D642">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Ⅲ供应商对米、面、油必须按照批次在三天内提供质量检测报告，如果无法提供有效的质量检测报告，一次扣2分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66F54B6E">
            <w:pPr>
              <w:widowControl/>
              <w:rPr>
                <w:rFonts w:hint="eastAsia" w:asciiTheme="minorEastAsia" w:hAnsiTheme="minorEastAsia" w:eastAsiaTheme="minorEastAsia" w:cstheme="minorEastAsia"/>
                <w:color w:val="auto"/>
                <w:kern w:val="0"/>
              </w:rPr>
            </w:pPr>
          </w:p>
        </w:tc>
      </w:tr>
      <w:tr w14:paraId="28C99688">
        <w:tblPrEx>
          <w:tblCellMar>
            <w:top w:w="0" w:type="dxa"/>
            <w:left w:w="108" w:type="dxa"/>
            <w:bottom w:w="0" w:type="dxa"/>
            <w:right w:w="108" w:type="dxa"/>
          </w:tblCellMar>
        </w:tblPrEx>
        <w:trPr>
          <w:trHeight w:val="81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624F88C1">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0A35C821">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6280E1BB">
            <w:pPr>
              <w:widowControl/>
              <w:rPr>
                <w:rFonts w:hint="eastAsia" w:asciiTheme="minorEastAsia" w:hAnsiTheme="minorEastAsia" w:eastAsiaTheme="minorEastAsia" w:cstheme="minorEastAsia"/>
                <w:color w:val="auto"/>
                <w:kern w:val="0"/>
              </w:rPr>
            </w:pPr>
          </w:p>
        </w:tc>
        <w:tc>
          <w:tcPr>
            <w:tcW w:w="1263" w:type="dxa"/>
            <w:vMerge w:val="continue"/>
            <w:tcBorders>
              <w:top w:val="single" w:color="auto" w:sz="4" w:space="0"/>
              <w:left w:val="single" w:color="auto" w:sz="4" w:space="0"/>
              <w:bottom w:val="single" w:color="auto" w:sz="4" w:space="0"/>
              <w:right w:val="single" w:color="auto" w:sz="4" w:space="0"/>
            </w:tcBorders>
            <w:noWrap/>
            <w:vAlign w:val="center"/>
          </w:tcPr>
          <w:p w14:paraId="0B355972">
            <w:pPr>
              <w:widowControl/>
              <w:rPr>
                <w:rFonts w:hint="eastAsia" w:asciiTheme="minorEastAsia" w:hAnsiTheme="minorEastAsia" w:eastAsiaTheme="minorEastAsia" w:cstheme="minorEastAsia"/>
                <w:color w:val="auto"/>
                <w:kern w:val="0"/>
              </w:rPr>
            </w:pPr>
          </w:p>
        </w:tc>
        <w:tc>
          <w:tcPr>
            <w:tcW w:w="3415" w:type="dxa"/>
            <w:vMerge w:val="continue"/>
            <w:tcBorders>
              <w:top w:val="single" w:color="auto" w:sz="4" w:space="0"/>
              <w:left w:val="single" w:color="auto" w:sz="4" w:space="0"/>
              <w:bottom w:val="single" w:color="auto" w:sz="4" w:space="0"/>
              <w:right w:val="single" w:color="auto" w:sz="4" w:space="0"/>
            </w:tcBorders>
            <w:noWrap/>
            <w:vAlign w:val="center"/>
          </w:tcPr>
          <w:p w14:paraId="333D0EB7">
            <w:pPr>
              <w:widowControl/>
              <w:rPr>
                <w:rFonts w:hint="eastAsia" w:asciiTheme="minorEastAsia" w:hAnsiTheme="minorEastAsia" w:eastAsiaTheme="minorEastAsia" w:cstheme="minorEastAsia"/>
                <w:color w:val="auto"/>
                <w:kern w:val="0"/>
              </w:rPr>
            </w:pPr>
          </w:p>
        </w:tc>
        <w:tc>
          <w:tcPr>
            <w:tcW w:w="4282" w:type="dxa"/>
            <w:tcBorders>
              <w:top w:val="single" w:color="auto" w:sz="4" w:space="0"/>
              <w:left w:val="nil"/>
              <w:bottom w:val="single" w:color="auto" w:sz="4" w:space="0"/>
              <w:right w:val="single" w:color="auto" w:sz="4" w:space="0"/>
            </w:tcBorders>
            <w:noWrap/>
            <w:vAlign w:val="center"/>
          </w:tcPr>
          <w:p w14:paraId="57AB9594">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Ⅳ供应商供应蔬菜必须随货提供第三方出具的农药残留检测报告，如果无法提供，一次扣2分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08B6A873">
            <w:pPr>
              <w:widowControl/>
              <w:rPr>
                <w:rFonts w:hint="eastAsia" w:asciiTheme="minorEastAsia" w:hAnsiTheme="minorEastAsia" w:eastAsiaTheme="minorEastAsia" w:cstheme="minorEastAsia"/>
                <w:color w:val="auto"/>
                <w:kern w:val="0"/>
              </w:rPr>
            </w:pPr>
          </w:p>
        </w:tc>
      </w:tr>
      <w:tr w14:paraId="7D331C03">
        <w:tblPrEx>
          <w:tblCellMar>
            <w:top w:w="0" w:type="dxa"/>
            <w:left w:w="108" w:type="dxa"/>
            <w:bottom w:w="0" w:type="dxa"/>
            <w:right w:w="108" w:type="dxa"/>
          </w:tblCellMar>
        </w:tblPrEx>
        <w:trPr>
          <w:trHeight w:val="75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54789B5F">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4A2BE23E">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3829ADD1">
            <w:pPr>
              <w:widowControl/>
              <w:rPr>
                <w:rFonts w:hint="eastAsia" w:asciiTheme="minorEastAsia" w:hAnsiTheme="minorEastAsia" w:eastAsiaTheme="minorEastAsia" w:cstheme="minorEastAsia"/>
                <w:color w:val="auto"/>
                <w:kern w:val="0"/>
              </w:rPr>
            </w:pPr>
          </w:p>
        </w:tc>
        <w:tc>
          <w:tcPr>
            <w:tcW w:w="1263" w:type="dxa"/>
            <w:vMerge w:val="continue"/>
            <w:tcBorders>
              <w:top w:val="single" w:color="auto" w:sz="4" w:space="0"/>
              <w:left w:val="single" w:color="auto" w:sz="4" w:space="0"/>
              <w:bottom w:val="single" w:color="auto" w:sz="4" w:space="0"/>
              <w:right w:val="single" w:color="auto" w:sz="4" w:space="0"/>
            </w:tcBorders>
            <w:noWrap/>
            <w:vAlign w:val="center"/>
          </w:tcPr>
          <w:p w14:paraId="1A5C6873">
            <w:pPr>
              <w:widowControl/>
              <w:rPr>
                <w:rFonts w:hint="eastAsia" w:asciiTheme="minorEastAsia" w:hAnsiTheme="minorEastAsia" w:eastAsiaTheme="minorEastAsia" w:cstheme="minorEastAsia"/>
                <w:color w:val="auto"/>
                <w:kern w:val="0"/>
              </w:rPr>
            </w:pPr>
          </w:p>
        </w:tc>
        <w:tc>
          <w:tcPr>
            <w:tcW w:w="3415" w:type="dxa"/>
            <w:vMerge w:val="continue"/>
            <w:tcBorders>
              <w:top w:val="single" w:color="auto" w:sz="4" w:space="0"/>
              <w:left w:val="single" w:color="auto" w:sz="4" w:space="0"/>
              <w:bottom w:val="single" w:color="auto" w:sz="4" w:space="0"/>
              <w:right w:val="single" w:color="auto" w:sz="4" w:space="0"/>
            </w:tcBorders>
            <w:noWrap/>
            <w:vAlign w:val="center"/>
          </w:tcPr>
          <w:p w14:paraId="0B048CD7">
            <w:pPr>
              <w:widowControl/>
              <w:rPr>
                <w:rFonts w:hint="eastAsia" w:asciiTheme="minorEastAsia" w:hAnsiTheme="minorEastAsia" w:eastAsiaTheme="minorEastAsia" w:cstheme="minorEastAsia"/>
                <w:color w:val="auto"/>
                <w:kern w:val="0"/>
              </w:rPr>
            </w:pPr>
          </w:p>
        </w:tc>
        <w:tc>
          <w:tcPr>
            <w:tcW w:w="4282" w:type="dxa"/>
            <w:tcBorders>
              <w:top w:val="single" w:color="auto" w:sz="4" w:space="0"/>
              <w:left w:val="nil"/>
              <w:bottom w:val="single" w:color="auto" w:sz="4" w:space="0"/>
              <w:right w:val="single" w:color="auto" w:sz="4" w:space="0"/>
            </w:tcBorders>
            <w:noWrap/>
            <w:vAlign w:val="center"/>
          </w:tcPr>
          <w:p w14:paraId="7CE34835">
            <w:pP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Ⅴ供应商对预包装产品必须提供权威机构出具的第三方检测报告，采购人每月对供应商提供的检测报告进行梳理，不能提供相应检测报告的供应商扣8分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39365189">
            <w:pPr>
              <w:widowControl/>
              <w:rPr>
                <w:rFonts w:hint="eastAsia" w:asciiTheme="minorEastAsia" w:hAnsiTheme="minorEastAsia" w:eastAsiaTheme="minorEastAsia" w:cstheme="minorEastAsia"/>
                <w:color w:val="auto"/>
                <w:kern w:val="0"/>
              </w:rPr>
            </w:pPr>
          </w:p>
        </w:tc>
      </w:tr>
      <w:tr w14:paraId="20B6D847">
        <w:tblPrEx>
          <w:tblCellMar>
            <w:top w:w="0" w:type="dxa"/>
            <w:left w:w="108" w:type="dxa"/>
            <w:bottom w:w="0" w:type="dxa"/>
            <w:right w:w="108" w:type="dxa"/>
          </w:tblCellMar>
        </w:tblPrEx>
        <w:trPr>
          <w:trHeight w:val="795"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3E363122">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5A591139">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4C4204B7">
            <w:pPr>
              <w:widowControl/>
              <w:rPr>
                <w:rFonts w:hint="eastAsia" w:asciiTheme="minorEastAsia" w:hAnsiTheme="minorEastAsia" w:eastAsiaTheme="minorEastAsia" w:cstheme="minorEastAsia"/>
                <w:color w:val="auto"/>
                <w:kern w:val="0"/>
              </w:rPr>
            </w:pPr>
          </w:p>
        </w:tc>
        <w:tc>
          <w:tcPr>
            <w:tcW w:w="1263" w:type="dxa"/>
            <w:vMerge w:val="continue"/>
            <w:tcBorders>
              <w:top w:val="single" w:color="auto" w:sz="4" w:space="0"/>
              <w:left w:val="single" w:color="auto" w:sz="4" w:space="0"/>
              <w:bottom w:val="single" w:color="auto" w:sz="4" w:space="0"/>
              <w:right w:val="single" w:color="auto" w:sz="4" w:space="0"/>
            </w:tcBorders>
            <w:noWrap/>
            <w:vAlign w:val="center"/>
          </w:tcPr>
          <w:p w14:paraId="678E44AA">
            <w:pPr>
              <w:widowControl/>
              <w:rPr>
                <w:rFonts w:hint="eastAsia" w:asciiTheme="minorEastAsia" w:hAnsiTheme="minorEastAsia" w:eastAsiaTheme="minorEastAsia" w:cstheme="minorEastAsia"/>
                <w:color w:val="auto"/>
                <w:kern w:val="0"/>
              </w:rPr>
            </w:pPr>
          </w:p>
        </w:tc>
        <w:tc>
          <w:tcPr>
            <w:tcW w:w="3415" w:type="dxa"/>
            <w:vMerge w:val="continue"/>
            <w:tcBorders>
              <w:top w:val="single" w:color="auto" w:sz="4" w:space="0"/>
              <w:left w:val="single" w:color="auto" w:sz="4" w:space="0"/>
              <w:bottom w:val="single" w:color="auto" w:sz="4" w:space="0"/>
              <w:right w:val="single" w:color="auto" w:sz="4" w:space="0"/>
            </w:tcBorders>
            <w:noWrap/>
            <w:vAlign w:val="center"/>
          </w:tcPr>
          <w:p w14:paraId="61BF4C01">
            <w:pPr>
              <w:widowControl/>
              <w:rPr>
                <w:rFonts w:hint="eastAsia" w:asciiTheme="minorEastAsia" w:hAnsiTheme="minorEastAsia" w:eastAsiaTheme="minorEastAsia" w:cstheme="minorEastAsia"/>
                <w:color w:val="auto"/>
                <w:kern w:val="0"/>
              </w:rPr>
            </w:pPr>
          </w:p>
        </w:tc>
        <w:tc>
          <w:tcPr>
            <w:tcW w:w="4282" w:type="dxa"/>
            <w:tcBorders>
              <w:top w:val="single" w:color="auto" w:sz="4" w:space="0"/>
              <w:left w:val="nil"/>
              <w:bottom w:val="single" w:color="auto" w:sz="4" w:space="0"/>
              <w:right w:val="single" w:color="auto" w:sz="4" w:space="0"/>
            </w:tcBorders>
            <w:noWrap/>
            <w:vAlign w:val="center"/>
          </w:tcPr>
          <w:p w14:paraId="6C2FEF3B">
            <w:pP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fldChar w:fldCharType="begin"/>
            </w:r>
            <w:r>
              <w:rPr>
                <w:rFonts w:hint="eastAsia" w:asciiTheme="minorEastAsia" w:hAnsiTheme="minorEastAsia" w:eastAsiaTheme="minorEastAsia" w:cstheme="minorEastAsia"/>
                <w:color w:val="auto"/>
                <w:kern w:val="0"/>
              </w:rPr>
              <w:instrText xml:space="preserve"> = 6 \* ROMAN </w:instrText>
            </w:r>
            <w:r>
              <w:rPr>
                <w:rFonts w:hint="eastAsia" w:asciiTheme="minorEastAsia" w:hAnsiTheme="minorEastAsia" w:eastAsiaTheme="minorEastAsia" w:cstheme="minorEastAsia"/>
                <w:color w:val="auto"/>
                <w:kern w:val="0"/>
              </w:rPr>
              <w:fldChar w:fldCharType="separate"/>
            </w:r>
            <w:r>
              <w:rPr>
                <w:rFonts w:hint="eastAsia" w:asciiTheme="minorEastAsia" w:hAnsiTheme="minorEastAsia" w:eastAsiaTheme="minorEastAsia" w:cstheme="minorEastAsia"/>
                <w:color w:val="auto"/>
                <w:kern w:val="0"/>
              </w:rPr>
              <w:t>Ⅵ</w:t>
            </w:r>
            <w:r>
              <w:rPr>
                <w:rFonts w:hint="eastAsia" w:asciiTheme="minorEastAsia" w:hAnsiTheme="minorEastAsia" w:eastAsiaTheme="minorEastAsia" w:cstheme="minorEastAsia"/>
                <w:color w:val="auto"/>
                <w:kern w:val="0"/>
              </w:rPr>
              <w:fldChar w:fldCharType="end"/>
            </w:r>
            <w:r>
              <w:rPr>
                <w:rFonts w:hint="eastAsia" w:asciiTheme="minorEastAsia" w:hAnsiTheme="minorEastAsia" w:eastAsiaTheme="minorEastAsia" w:cstheme="minorEastAsia"/>
                <w:color w:val="auto"/>
                <w:kern w:val="0"/>
              </w:rPr>
              <w:t>供应商提供虚假资质证明，一旦查实，该项分数全部扣除，再次发现取消供货资格。</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57A7F230">
            <w:pPr>
              <w:widowControl/>
              <w:rPr>
                <w:rFonts w:hint="eastAsia" w:asciiTheme="minorEastAsia" w:hAnsiTheme="minorEastAsia" w:eastAsiaTheme="minorEastAsia" w:cstheme="minorEastAsia"/>
                <w:color w:val="auto"/>
                <w:kern w:val="0"/>
              </w:rPr>
            </w:pPr>
          </w:p>
        </w:tc>
      </w:tr>
      <w:tr w14:paraId="5C1D3D19">
        <w:tblPrEx>
          <w:tblCellMar>
            <w:top w:w="0" w:type="dxa"/>
            <w:left w:w="108" w:type="dxa"/>
            <w:bottom w:w="0" w:type="dxa"/>
            <w:right w:w="108" w:type="dxa"/>
          </w:tblCellMar>
        </w:tblPrEx>
        <w:trPr>
          <w:trHeight w:val="132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17C12CD5">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78B4DF91">
            <w:pPr>
              <w:widowControl/>
              <w:rPr>
                <w:rFonts w:hint="eastAsia" w:asciiTheme="minorEastAsia" w:hAnsiTheme="minorEastAsia" w:eastAsiaTheme="minorEastAsia" w:cstheme="minorEastAsia"/>
                <w:color w:val="auto"/>
                <w:kern w:val="0"/>
              </w:rPr>
            </w:pPr>
          </w:p>
        </w:tc>
        <w:tc>
          <w:tcPr>
            <w:tcW w:w="1105" w:type="dxa"/>
            <w:vMerge w:val="continue"/>
            <w:tcBorders>
              <w:top w:val="single" w:color="auto" w:sz="4" w:space="0"/>
              <w:left w:val="single" w:color="auto" w:sz="4" w:space="0"/>
              <w:bottom w:val="single" w:color="auto" w:sz="4" w:space="0"/>
              <w:right w:val="single" w:color="auto" w:sz="4" w:space="0"/>
            </w:tcBorders>
            <w:noWrap/>
            <w:vAlign w:val="center"/>
          </w:tcPr>
          <w:p w14:paraId="61BD733C">
            <w:pPr>
              <w:widowControl/>
              <w:rPr>
                <w:rFonts w:hint="eastAsia" w:asciiTheme="minorEastAsia" w:hAnsiTheme="minorEastAsia" w:eastAsiaTheme="minorEastAsia" w:cstheme="minorEastAsia"/>
                <w:color w:val="auto"/>
                <w:kern w:val="0"/>
              </w:rPr>
            </w:pPr>
          </w:p>
        </w:tc>
        <w:tc>
          <w:tcPr>
            <w:tcW w:w="1263" w:type="dxa"/>
            <w:tcBorders>
              <w:top w:val="nil"/>
              <w:left w:val="nil"/>
              <w:bottom w:val="single" w:color="auto" w:sz="4" w:space="0"/>
              <w:right w:val="single" w:color="auto" w:sz="4" w:space="0"/>
            </w:tcBorders>
            <w:noWrap/>
            <w:vAlign w:val="center"/>
          </w:tcPr>
          <w:p w14:paraId="57CF16ED">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问题处理及时有效性（6分）</w:t>
            </w:r>
          </w:p>
        </w:tc>
        <w:tc>
          <w:tcPr>
            <w:tcW w:w="3415" w:type="dxa"/>
            <w:tcBorders>
              <w:top w:val="nil"/>
              <w:left w:val="nil"/>
              <w:bottom w:val="single" w:color="auto" w:sz="4" w:space="0"/>
              <w:right w:val="single" w:color="auto" w:sz="4" w:space="0"/>
            </w:tcBorders>
            <w:noWrap/>
            <w:vAlign w:val="center"/>
          </w:tcPr>
          <w:p w14:paraId="02B58E4C">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对供应商考核小组发出的整改通知、意见反馈、询价调研能够快速反应，对出现的问题能够及时整改到位</w:t>
            </w:r>
          </w:p>
        </w:tc>
        <w:tc>
          <w:tcPr>
            <w:tcW w:w="4282" w:type="dxa"/>
            <w:tcBorders>
              <w:top w:val="nil"/>
              <w:left w:val="nil"/>
              <w:bottom w:val="single" w:color="auto" w:sz="4" w:space="0"/>
              <w:right w:val="single" w:color="auto" w:sz="4" w:space="0"/>
            </w:tcBorders>
            <w:noWrap/>
            <w:vAlign w:val="center"/>
          </w:tcPr>
          <w:p w14:paraId="6E7584EA">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供应商在接到我方发出的整改通知、意见反馈、询价调研信息后，当日无反馈，扣0.5分，对于整改通知相关要求三日内无明显改进扣1分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412ECEDE">
            <w:pPr>
              <w:widowControl/>
              <w:rPr>
                <w:rFonts w:hint="eastAsia" w:asciiTheme="minorEastAsia" w:hAnsiTheme="minorEastAsia" w:eastAsiaTheme="minorEastAsia" w:cstheme="minorEastAsia"/>
                <w:color w:val="auto"/>
                <w:kern w:val="0"/>
              </w:rPr>
            </w:pPr>
          </w:p>
        </w:tc>
      </w:tr>
      <w:tr w14:paraId="5FD46A7F">
        <w:tblPrEx>
          <w:tblCellMar>
            <w:top w:w="0" w:type="dxa"/>
            <w:left w:w="108" w:type="dxa"/>
            <w:bottom w:w="0" w:type="dxa"/>
            <w:right w:w="108" w:type="dxa"/>
          </w:tblCellMar>
        </w:tblPrEx>
        <w:trPr>
          <w:trHeight w:val="4531"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14:paraId="5A0BB06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3</w:t>
            </w:r>
          </w:p>
        </w:tc>
        <w:tc>
          <w:tcPr>
            <w:tcW w:w="1163" w:type="dxa"/>
            <w:tcBorders>
              <w:top w:val="single" w:color="auto" w:sz="4" w:space="0"/>
              <w:left w:val="single" w:color="auto" w:sz="4" w:space="0"/>
              <w:bottom w:val="single" w:color="auto" w:sz="4" w:space="0"/>
              <w:right w:val="single" w:color="auto" w:sz="4" w:space="0"/>
            </w:tcBorders>
            <w:noWrap/>
            <w:vAlign w:val="center"/>
          </w:tcPr>
          <w:p w14:paraId="5651C22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服务能力评价</w:t>
            </w:r>
          </w:p>
        </w:tc>
        <w:tc>
          <w:tcPr>
            <w:tcW w:w="1105" w:type="dxa"/>
            <w:tcBorders>
              <w:top w:val="single" w:color="auto" w:sz="4" w:space="0"/>
              <w:left w:val="single" w:color="auto" w:sz="4" w:space="0"/>
              <w:bottom w:val="single" w:color="auto" w:sz="4" w:space="0"/>
              <w:right w:val="single" w:color="auto" w:sz="4" w:space="0"/>
            </w:tcBorders>
            <w:noWrap/>
            <w:vAlign w:val="center"/>
          </w:tcPr>
          <w:p w14:paraId="13A81EA8">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诚信度</w:t>
            </w:r>
          </w:p>
        </w:tc>
        <w:tc>
          <w:tcPr>
            <w:tcW w:w="1263" w:type="dxa"/>
            <w:tcBorders>
              <w:top w:val="single" w:color="auto" w:sz="4" w:space="0"/>
              <w:left w:val="nil"/>
              <w:bottom w:val="single" w:color="auto" w:sz="4" w:space="0"/>
              <w:right w:val="single" w:color="auto" w:sz="4" w:space="0"/>
            </w:tcBorders>
            <w:noWrap/>
            <w:vAlign w:val="center"/>
          </w:tcPr>
          <w:p w14:paraId="336B63A2">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品牌配送准确性（10分）</w:t>
            </w:r>
          </w:p>
        </w:tc>
        <w:tc>
          <w:tcPr>
            <w:tcW w:w="3415" w:type="dxa"/>
            <w:tcBorders>
              <w:top w:val="single" w:color="auto" w:sz="4" w:space="0"/>
              <w:left w:val="nil"/>
              <w:bottom w:val="single" w:color="auto" w:sz="4" w:space="0"/>
              <w:right w:val="single" w:color="auto" w:sz="4" w:space="0"/>
            </w:tcBorders>
            <w:noWrap/>
            <w:vAlign w:val="center"/>
          </w:tcPr>
          <w:p w14:paraId="1ACD3BAD">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w:t>
            </w:r>
            <w:r>
              <w:rPr>
                <w:rFonts w:hint="eastAsia" w:asciiTheme="minorEastAsia" w:hAnsiTheme="minorEastAsia" w:eastAsiaTheme="minorEastAsia" w:cstheme="minorEastAsia"/>
                <w:color w:val="auto"/>
                <w:kern w:val="0"/>
                <w:lang w:val="en-US" w:eastAsia="zh-CN"/>
              </w:rPr>
              <w:t>备选</w:t>
            </w:r>
            <w:r>
              <w:rPr>
                <w:rFonts w:hint="eastAsia" w:asciiTheme="minorEastAsia" w:hAnsiTheme="minorEastAsia" w:eastAsiaTheme="minorEastAsia" w:cstheme="minorEastAsia"/>
                <w:color w:val="auto"/>
                <w:kern w:val="0"/>
              </w:rPr>
              <w:t>供应商配送</w:t>
            </w:r>
          </w:p>
        </w:tc>
        <w:tc>
          <w:tcPr>
            <w:tcW w:w="4282" w:type="dxa"/>
            <w:tcBorders>
              <w:top w:val="single" w:color="auto" w:sz="4" w:space="0"/>
              <w:left w:val="nil"/>
              <w:bottom w:val="single" w:color="auto" w:sz="4" w:space="0"/>
              <w:right w:val="single" w:color="auto" w:sz="4" w:space="0"/>
            </w:tcBorders>
            <w:noWrap/>
            <w:vAlign w:val="center"/>
          </w:tcPr>
          <w:p w14:paraId="55D555FD">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供应商在未通知</w:t>
            </w:r>
            <w:r>
              <w:rPr>
                <w:rFonts w:hint="eastAsia" w:asciiTheme="minorEastAsia" w:hAnsiTheme="minorEastAsia" w:eastAsiaTheme="minorEastAsia" w:cstheme="minorEastAsia"/>
                <w:color w:val="auto"/>
                <w:kern w:val="0"/>
                <w:lang w:eastAsia="zh-CN"/>
              </w:rPr>
              <w:t>采购人</w:t>
            </w:r>
            <w:r>
              <w:rPr>
                <w:rFonts w:hint="eastAsia" w:asciiTheme="minorEastAsia" w:hAnsiTheme="minorEastAsia" w:eastAsiaTheme="minorEastAsia" w:cstheme="minorEastAsia"/>
                <w:color w:val="auto"/>
                <w:kern w:val="0"/>
              </w:rPr>
              <w:t>的情况下，擅自更换品牌品种，发现一次扣1分</w:t>
            </w:r>
          </w:p>
        </w:tc>
        <w:tc>
          <w:tcPr>
            <w:tcW w:w="1230" w:type="dxa"/>
            <w:tcBorders>
              <w:top w:val="single" w:color="auto" w:sz="4" w:space="0"/>
              <w:left w:val="single" w:color="auto" w:sz="4" w:space="0"/>
              <w:bottom w:val="single" w:color="auto" w:sz="4" w:space="0"/>
              <w:right w:val="single" w:color="auto" w:sz="4" w:space="0"/>
            </w:tcBorders>
            <w:noWrap/>
            <w:vAlign w:val="center"/>
          </w:tcPr>
          <w:p w14:paraId="3A92577F">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629BCA3E">
        <w:tblPrEx>
          <w:tblCellMar>
            <w:top w:w="0" w:type="dxa"/>
            <w:left w:w="108" w:type="dxa"/>
            <w:bottom w:w="0" w:type="dxa"/>
            <w:right w:w="108" w:type="dxa"/>
          </w:tblCellMar>
        </w:tblPrEx>
        <w:trPr>
          <w:trHeight w:val="1890" w:hRule="atLeast"/>
          <w:jc w:val="center"/>
        </w:trPr>
        <w:tc>
          <w:tcPr>
            <w:tcW w:w="583" w:type="dxa"/>
            <w:vMerge w:val="restart"/>
            <w:tcBorders>
              <w:top w:val="single" w:color="auto" w:sz="4" w:space="0"/>
              <w:left w:val="single" w:color="auto" w:sz="4" w:space="0"/>
              <w:bottom w:val="single" w:color="auto" w:sz="4" w:space="0"/>
              <w:right w:val="single" w:color="auto" w:sz="4" w:space="0"/>
            </w:tcBorders>
            <w:noWrap/>
            <w:vAlign w:val="center"/>
          </w:tcPr>
          <w:p w14:paraId="35087B8E">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4</w:t>
            </w:r>
          </w:p>
        </w:tc>
        <w:tc>
          <w:tcPr>
            <w:tcW w:w="1163" w:type="dxa"/>
            <w:vMerge w:val="restart"/>
            <w:tcBorders>
              <w:top w:val="single" w:color="auto" w:sz="4" w:space="0"/>
              <w:left w:val="single" w:color="auto" w:sz="4" w:space="0"/>
              <w:bottom w:val="single" w:color="auto" w:sz="4" w:space="0"/>
              <w:right w:val="single" w:color="auto" w:sz="4" w:space="0"/>
            </w:tcBorders>
            <w:noWrap/>
            <w:vAlign w:val="center"/>
          </w:tcPr>
          <w:p w14:paraId="0D7AF5A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价格执行评价</w:t>
            </w:r>
          </w:p>
        </w:tc>
        <w:tc>
          <w:tcPr>
            <w:tcW w:w="1105" w:type="dxa"/>
            <w:tcBorders>
              <w:top w:val="single" w:color="auto" w:sz="4" w:space="0"/>
              <w:left w:val="nil"/>
              <w:bottom w:val="single" w:color="auto" w:sz="4" w:space="0"/>
              <w:right w:val="single" w:color="auto" w:sz="4" w:space="0"/>
            </w:tcBorders>
            <w:noWrap/>
            <w:vAlign w:val="center"/>
          </w:tcPr>
          <w:p w14:paraId="14A4105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规范性</w:t>
            </w:r>
          </w:p>
        </w:tc>
        <w:tc>
          <w:tcPr>
            <w:tcW w:w="1263" w:type="dxa"/>
            <w:tcBorders>
              <w:top w:val="single" w:color="auto" w:sz="4" w:space="0"/>
              <w:left w:val="nil"/>
              <w:bottom w:val="single" w:color="auto" w:sz="4" w:space="0"/>
              <w:right w:val="single" w:color="auto" w:sz="4" w:space="0"/>
            </w:tcBorders>
            <w:noWrap/>
            <w:vAlign w:val="center"/>
          </w:tcPr>
          <w:p w14:paraId="318767F1">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供货价格规范性（2分）</w:t>
            </w:r>
          </w:p>
        </w:tc>
        <w:tc>
          <w:tcPr>
            <w:tcW w:w="3415" w:type="dxa"/>
            <w:tcBorders>
              <w:top w:val="single" w:color="auto" w:sz="4" w:space="0"/>
              <w:left w:val="nil"/>
              <w:bottom w:val="single" w:color="auto" w:sz="4" w:space="0"/>
              <w:right w:val="single" w:color="auto" w:sz="4" w:space="0"/>
            </w:tcBorders>
            <w:noWrap/>
            <w:vAlign w:val="center"/>
          </w:tcPr>
          <w:p w14:paraId="583DD95B">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供应商务必严格按照中标价格或商定价格进行供货，如若市场价格出现波动超出合理范围，必须首先向采购人递交调价申请，经采购人审批同意后方可调整价格</w:t>
            </w:r>
          </w:p>
        </w:tc>
        <w:tc>
          <w:tcPr>
            <w:tcW w:w="4282" w:type="dxa"/>
            <w:tcBorders>
              <w:top w:val="single" w:color="auto" w:sz="4" w:space="0"/>
              <w:left w:val="nil"/>
              <w:bottom w:val="single" w:color="auto" w:sz="4" w:space="0"/>
              <w:right w:val="single" w:color="auto" w:sz="4" w:space="0"/>
            </w:tcBorders>
            <w:noWrap/>
            <w:vAlign w:val="center"/>
          </w:tcPr>
          <w:p w14:paraId="64A4EB2A">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供应商未按照中标价格或商定价格配送，随意变动价格，发现一次扣2分</w:t>
            </w:r>
          </w:p>
        </w:tc>
        <w:tc>
          <w:tcPr>
            <w:tcW w:w="1230" w:type="dxa"/>
            <w:vMerge w:val="restart"/>
            <w:tcBorders>
              <w:top w:val="single" w:color="auto" w:sz="4" w:space="0"/>
              <w:left w:val="single" w:color="auto" w:sz="4" w:space="0"/>
              <w:bottom w:val="single" w:color="auto" w:sz="4" w:space="0"/>
              <w:right w:val="single" w:color="auto" w:sz="4" w:space="0"/>
            </w:tcBorders>
            <w:noWrap/>
            <w:vAlign w:val="center"/>
          </w:tcPr>
          <w:p w14:paraId="236B3EED">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6F057AF9">
        <w:tblPrEx>
          <w:tblCellMar>
            <w:top w:w="0" w:type="dxa"/>
            <w:left w:w="108" w:type="dxa"/>
            <w:bottom w:w="0" w:type="dxa"/>
            <w:right w:w="108" w:type="dxa"/>
          </w:tblCellMar>
        </w:tblPrEx>
        <w:trPr>
          <w:trHeight w:val="189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0ECFE32E">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58830887">
            <w:pPr>
              <w:widowControl/>
              <w:rPr>
                <w:rFonts w:hint="eastAsia" w:asciiTheme="minorEastAsia" w:hAnsiTheme="minorEastAsia" w:eastAsiaTheme="minorEastAsia" w:cstheme="minorEastAsia"/>
                <w:color w:val="auto"/>
                <w:kern w:val="0"/>
              </w:rPr>
            </w:pPr>
          </w:p>
        </w:tc>
        <w:tc>
          <w:tcPr>
            <w:tcW w:w="1105" w:type="dxa"/>
            <w:tcBorders>
              <w:top w:val="single" w:color="auto" w:sz="4" w:space="0"/>
              <w:left w:val="nil"/>
              <w:bottom w:val="single" w:color="auto" w:sz="4" w:space="0"/>
              <w:right w:val="single" w:color="auto" w:sz="4" w:space="0"/>
            </w:tcBorders>
            <w:noWrap/>
            <w:vAlign w:val="center"/>
          </w:tcPr>
          <w:p w14:paraId="59731AA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准确性</w:t>
            </w:r>
          </w:p>
        </w:tc>
        <w:tc>
          <w:tcPr>
            <w:tcW w:w="1263" w:type="dxa"/>
            <w:tcBorders>
              <w:top w:val="single" w:color="auto" w:sz="4" w:space="0"/>
              <w:left w:val="nil"/>
              <w:bottom w:val="single" w:color="auto" w:sz="4" w:space="0"/>
              <w:right w:val="single" w:color="auto" w:sz="4" w:space="0"/>
            </w:tcBorders>
            <w:noWrap/>
            <w:vAlign w:val="center"/>
          </w:tcPr>
          <w:p w14:paraId="64333440">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报价准确性（4分）</w:t>
            </w:r>
          </w:p>
        </w:tc>
        <w:tc>
          <w:tcPr>
            <w:tcW w:w="3415" w:type="dxa"/>
            <w:tcBorders>
              <w:top w:val="single" w:color="auto" w:sz="4" w:space="0"/>
              <w:left w:val="nil"/>
              <w:bottom w:val="single" w:color="auto" w:sz="4" w:space="0"/>
              <w:right w:val="single" w:color="auto" w:sz="4" w:space="0"/>
            </w:tcBorders>
            <w:noWrap/>
            <w:vAlign w:val="center"/>
          </w:tcPr>
          <w:p w14:paraId="7D4E6B15">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对未在招标范围的产品或者需要申请调价的产品，供应商报价必须符合市场行情；对于蔬菜报价，务必填写完整并符合市场行情。</w:t>
            </w:r>
          </w:p>
        </w:tc>
        <w:tc>
          <w:tcPr>
            <w:tcW w:w="4282" w:type="dxa"/>
            <w:tcBorders>
              <w:top w:val="single" w:color="auto" w:sz="4" w:space="0"/>
              <w:left w:val="nil"/>
              <w:bottom w:val="single" w:color="auto" w:sz="4" w:space="0"/>
              <w:right w:val="single" w:color="auto" w:sz="4" w:space="0"/>
            </w:tcBorders>
            <w:noWrap/>
            <w:vAlign w:val="center"/>
          </w:tcPr>
          <w:p w14:paraId="3561629F">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如若发生报价与市场价格严重不符的情况，发现一次扣2分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4B4CDE3D">
            <w:pPr>
              <w:widowControl/>
              <w:rPr>
                <w:rFonts w:hint="eastAsia" w:asciiTheme="minorEastAsia" w:hAnsiTheme="minorEastAsia" w:eastAsiaTheme="minorEastAsia" w:cstheme="minorEastAsia"/>
                <w:color w:val="auto"/>
                <w:kern w:val="0"/>
              </w:rPr>
            </w:pPr>
          </w:p>
        </w:tc>
      </w:tr>
      <w:tr w14:paraId="745295A7">
        <w:tblPrEx>
          <w:tblCellMar>
            <w:top w:w="0" w:type="dxa"/>
            <w:left w:w="108" w:type="dxa"/>
            <w:bottom w:w="0" w:type="dxa"/>
            <w:right w:w="108" w:type="dxa"/>
          </w:tblCellMar>
        </w:tblPrEx>
        <w:trPr>
          <w:trHeight w:val="540" w:hRule="atLeast"/>
          <w:jc w:val="center"/>
        </w:trPr>
        <w:tc>
          <w:tcPr>
            <w:tcW w:w="583" w:type="dxa"/>
            <w:vMerge w:val="restart"/>
            <w:tcBorders>
              <w:top w:val="nil"/>
              <w:left w:val="single" w:color="auto" w:sz="4" w:space="0"/>
              <w:bottom w:val="single" w:color="auto" w:sz="4" w:space="0"/>
              <w:right w:val="single" w:color="auto" w:sz="4" w:space="0"/>
            </w:tcBorders>
            <w:noWrap/>
            <w:vAlign w:val="center"/>
          </w:tcPr>
          <w:p w14:paraId="0B6FEC17">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5</w:t>
            </w:r>
          </w:p>
        </w:tc>
        <w:tc>
          <w:tcPr>
            <w:tcW w:w="1163" w:type="dxa"/>
            <w:vMerge w:val="restart"/>
            <w:tcBorders>
              <w:top w:val="nil"/>
              <w:left w:val="single" w:color="auto" w:sz="4" w:space="0"/>
              <w:bottom w:val="single" w:color="auto" w:sz="4" w:space="0"/>
              <w:right w:val="single" w:color="auto" w:sz="4" w:space="0"/>
            </w:tcBorders>
            <w:noWrap/>
            <w:vAlign w:val="center"/>
          </w:tcPr>
          <w:p w14:paraId="59DC386D">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加分项</w:t>
            </w:r>
          </w:p>
        </w:tc>
        <w:tc>
          <w:tcPr>
            <w:tcW w:w="2368" w:type="dxa"/>
            <w:gridSpan w:val="2"/>
            <w:tcBorders>
              <w:top w:val="single" w:color="auto" w:sz="4" w:space="0"/>
              <w:left w:val="nil"/>
              <w:bottom w:val="single" w:color="auto" w:sz="4" w:space="0"/>
              <w:right w:val="single" w:color="auto" w:sz="4" w:space="0"/>
            </w:tcBorders>
            <w:noWrap/>
            <w:vAlign w:val="center"/>
          </w:tcPr>
          <w:p w14:paraId="0AF06282">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应急响应</w:t>
            </w:r>
          </w:p>
        </w:tc>
        <w:tc>
          <w:tcPr>
            <w:tcW w:w="3415" w:type="dxa"/>
            <w:tcBorders>
              <w:top w:val="nil"/>
              <w:left w:val="nil"/>
              <w:bottom w:val="single" w:color="auto" w:sz="4" w:space="0"/>
              <w:right w:val="single" w:color="auto" w:sz="4" w:space="0"/>
            </w:tcBorders>
            <w:noWrap/>
            <w:vAlign w:val="center"/>
          </w:tcPr>
          <w:p w14:paraId="24FAECF4">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供应商对临时紧急订货，能够积极无条件及时供应</w:t>
            </w:r>
          </w:p>
        </w:tc>
        <w:tc>
          <w:tcPr>
            <w:tcW w:w="4282" w:type="dxa"/>
            <w:tcBorders>
              <w:top w:val="nil"/>
              <w:left w:val="nil"/>
              <w:bottom w:val="single" w:color="auto" w:sz="4" w:space="0"/>
              <w:right w:val="single" w:color="auto" w:sz="4" w:space="0"/>
            </w:tcBorders>
            <w:noWrap/>
            <w:vAlign w:val="center"/>
          </w:tcPr>
          <w:p w14:paraId="6EDB1AED">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供应商应急响应迅速，完成临时紧急性供货，一次加2分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7797F38C">
            <w:pPr>
              <w:widowControl/>
              <w:rPr>
                <w:rFonts w:hint="eastAsia" w:asciiTheme="minorEastAsia" w:hAnsiTheme="minorEastAsia" w:eastAsiaTheme="minorEastAsia" w:cstheme="minorEastAsia"/>
                <w:color w:val="auto"/>
                <w:kern w:val="0"/>
              </w:rPr>
            </w:pPr>
          </w:p>
        </w:tc>
      </w:tr>
      <w:tr w14:paraId="082E5EEF">
        <w:tblPrEx>
          <w:tblCellMar>
            <w:top w:w="0" w:type="dxa"/>
            <w:left w:w="108" w:type="dxa"/>
            <w:bottom w:w="0" w:type="dxa"/>
            <w:right w:w="108" w:type="dxa"/>
          </w:tblCellMar>
        </w:tblPrEx>
        <w:trPr>
          <w:trHeight w:val="963"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2FEBF247">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6D57AF74">
            <w:pPr>
              <w:widowControl/>
              <w:rPr>
                <w:rFonts w:hint="eastAsia" w:asciiTheme="minorEastAsia" w:hAnsiTheme="minorEastAsia" w:eastAsiaTheme="minorEastAsia" w:cstheme="minorEastAsia"/>
                <w:color w:val="auto"/>
                <w:kern w:val="0"/>
              </w:rPr>
            </w:pPr>
          </w:p>
        </w:tc>
        <w:tc>
          <w:tcPr>
            <w:tcW w:w="2368" w:type="dxa"/>
            <w:gridSpan w:val="2"/>
            <w:tcBorders>
              <w:top w:val="single" w:color="auto" w:sz="4" w:space="0"/>
              <w:left w:val="nil"/>
              <w:bottom w:val="single" w:color="auto" w:sz="4" w:space="0"/>
              <w:right w:val="single" w:color="auto" w:sz="4" w:space="0"/>
            </w:tcBorders>
            <w:noWrap/>
            <w:vAlign w:val="center"/>
          </w:tcPr>
          <w:p w14:paraId="00464CEC">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价格下调</w:t>
            </w:r>
          </w:p>
        </w:tc>
        <w:tc>
          <w:tcPr>
            <w:tcW w:w="3415" w:type="dxa"/>
            <w:tcBorders>
              <w:top w:val="nil"/>
              <w:left w:val="nil"/>
              <w:bottom w:val="single" w:color="auto" w:sz="4" w:space="0"/>
              <w:right w:val="single" w:color="auto" w:sz="4" w:space="0"/>
            </w:tcBorders>
            <w:noWrap/>
            <w:vAlign w:val="center"/>
          </w:tcPr>
          <w:p w14:paraId="542D1D74">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供应商根据市场行情，在价格下跌超过合理范围时，主动递交价格下调申请报告</w:t>
            </w:r>
          </w:p>
        </w:tc>
        <w:tc>
          <w:tcPr>
            <w:tcW w:w="4282" w:type="dxa"/>
            <w:tcBorders>
              <w:top w:val="nil"/>
              <w:left w:val="nil"/>
              <w:bottom w:val="single" w:color="auto" w:sz="4" w:space="0"/>
              <w:right w:val="single" w:color="auto" w:sz="4" w:space="0"/>
            </w:tcBorders>
            <w:noWrap/>
            <w:vAlign w:val="center"/>
          </w:tcPr>
          <w:p w14:paraId="4695CF50">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供应商价格下调申请报告经审批同意执行后，一次加5分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495F0A39">
            <w:pPr>
              <w:widowControl/>
              <w:rPr>
                <w:rFonts w:hint="eastAsia" w:asciiTheme="minorEastAsia" w:hAnsiTheme="minorEastAsia" w:eastAsiaTheme="minorEastAsia" w:cstheme="minorEastAsia"/>
                <w:color w:val="auto"/>
                <w:kern w:val="0"/>
              </w:rPr>
            </w:pPr>
          </w:p>
        </w:tc>
      </w:tr>
      <w:tr w14:paraId="51DDA432">
        <w:tblPrEx>
          <w:tblCellMar>
            <w:top w:w="0" w:type="dxa"/>
            <w:left w:w="108" w:type="dxa"/>
            <w:bottom w:w="0" w:type="dxa"/>
            <w:right w:w="108" w:type="dxa"/>
          </w:tblCellMar>
        </w:tblPrEx>
        <w:trPr>
          <w:trHeight w:val="810"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617B878B">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66439992">
            <w:pPr>
              <w:widowControl/>
              <w:rPr>
                <w:rFonts w:hint="eastAsia" w:asciiTheme="minorEastAsia" w:hAnsiTheme="minorEastAsia" w:eastAsiaTheme="minorEastAsia" w:cstheme="minorEastAsia"/>
                <w:color w:val="auto"/>
                <w:kern w:val="0"/>
              </w:rPr>
            </w:pPr>
          </w:p>
        </w:tc>
        <w:tc>
          <w:tcPr>
            <w:tcW w:w="2368" w:type="dxa"/>
            <w:gridSpan w:val="2"/>
            <w:tcBorders>
              <w:top w:val="single" w:color="auto" w:sz="4" w:space="0"/>
              <w:left w:val="nil"/>
              <w:bottom w:val="single" w:color="auto" w:sz="4" w:space="0"/>
              <w:right w:val="single" w:color="auto" w:sz="4" w:space="0"/>
            </w:tcBorders>
            <w:noWrap/>
            <w:vAlign w:val="center"/>
          </w:tcPr>
          <w:p w14:paraId="40C530FE">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订单提醒</w:t>
            </w:r>
          </w:p>
        </w:tc>
        <w:tc>
          <w:tcPr>
            <w:tcW w:w="3415" w:type="dxa"/>
            <w:tcBorders>
              <w:top w:val="nil"/>
              <w:left w:val="nil"/>
              <w:bottom w:val="single" w:color="auto" w:sz="4" w:space="0"/>
              <w:right w:val="single" w:color="auto" w:sz="4" w:space="0"/>
            </w:tcBorders>
            <w:noWrap/>
            <w:vAlign w:val="center"/>
          </w:tcPr>
          <w:p w14:paraId="1334D751">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供应商在发现当日订单存在异常情况，主动联系</w:t>
            </w:r>
            <w:r>
              <w:rPr>
                <w:rFonts w:hint="eastAsia" w:asciiTheme="minorEastAsia" w:hAnsiTheme="minorEastAsia" w:eastAsiaTheme="minorEastAsia" w:cstheme="minorEastAsia"/>
                <w:color w:val="auto"/>
                <w:kern w:val="0"/>
                <w:lang w:eastAsia="zh-CN"/>
              </w:rPr>
              <w:t>采购人</w:t>
            </w:r>
            <w:r>
              <w:rPr>
                <w:rFonts w:hint="eastAsia" w:asciiTheme="minorEastAsia" w:hAnsiTheme="minorEastAsia" w:eastAsiaTheme="minorEastAsia" w:cstheme="minorEastAsia"/>
                <w:color w:val="auto"/>
                <w:kern w:val="0"/>
              </w:rPr>
              <w:t>确认</w:t>
            </w:r>
          </w:p>
        </w:tc>
        <w:tc>
          <w:tcPr>
            <w:tcW w:w="4282" w:type="dxa"/>
            <w:tcBorders>
              <w:top w:val="nil"/>
              <w:left w:val="nil"/>
              <w:bottom w:val="single" w:color="auto" w:sz="4" w:space="0"/>
              <w:right w:val="single" w:color="auto" w:sz="4" w:space="0"/>
            </w:tcBorders>
            <w:noWrap/>
            <w:vAlign w:val="center"/>
          </w:tcPr>
          <w:p w14:paraId="662DACC1">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经</w:t>
            </w:r>
            <w:r>
              <w:rPr>
                <w:rFonts w:hint="eastAsia" w:asciiTheme="minorEastAsia" w:hAnsiTheme="minorEastAsia" w:eastAsiaTheme="minorEastAsia" w:cstheme="minorEastAsia"/>
                <w:color w:val="auto"/>
                <w:kern w:val="0"/>
                <w:lang w:eastAsia="zh-CN"/>
              </w:rPr>
              <w:t>采购人</w:t>
            </w:r>
            <w:r>
              <w:rPr>
                <w:rFonts w:hint="eastAsia" w:asciiTheme="minorEastAsia" w:hAnsiTheme="minorEastAsia" w:eastAsiaTheme="minorEastAsia" w:cstheme="minorEastAsia"/>
                <w:color w:val="auto"/>
                <w:kern w:val="0"/>
              </w:rPr>
              <w:t>确认供应商反馈情况属实，及时补充订单，保证食堂供应正常，一次加2分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64236AFC">
            <w:pPr>
              <w:widowControl/>
              <w:rPr>
                <w:rFonts w:hint="eastAsia" w:asciiTheme="minorEastAsia" w:hAnsiTheme="minorEastAsia" w:eastAsiaTheme="minorEastAsia" w:cstheme="minorEastAsia"/>
                <w:color w:val="auto"/>
                <w:kern w:val="0"/>
              </w:rPr>
            </w:pPr>
          </w:p>
        </w:tc>
      </w:tr>
      <w:tr w14:paraId="3E754134">
        <w:tblPrEx>
          <w:tblCellMar>
            <w:top w:w="0" w:type="dxa"/>
            <w:left w:w="108" w:type="dxa"/>
            <w:bottom w:w="0" w:type="dxa"/>
            <w:right w:w="108" w:type="dxa"/>
          </w:tblCellMar>
        </w:tblPrEx>
        <w:trPr>
          <w:trHeight w:val="1620" w:hRule="atLeast"/>
          <w:jc w:val="center"/>
        </w:trPr>
        <w:tc>
          <w:tcPr>
            <w:tcW w:w="583" w:type="dxa"/>
            <w:vMerge w:val="continue"/>
            <w:tcBorders>
              <w:top w:val="nil"/>
              <w:left w:val="single" w:color="auto" w:sz="4" w:space="0"/>
              <w:bottom w:val="single" w:color="auto" w:sz="4" w:space="0"/>
              <w:right w:val="single" w:color="auto" w:sz="4" w:space="0"/>
            </w:tcBorders>
            <w:noWrap/>
            <w:vAlign w:val="center"/>
          </w:tcPr>
          <w:p w14:paraId="2F10F663">
            <w:pPr>
              <w:widowControl/>
              <w:rPr>
                <w:rFonts w:hint="eastAsia" w:asciiTheme="minorEastAsia" w:hAnsiTheme="minorEastAsia" w:eastAsiaTheme="minorEastAsia" w:cstheme="minorEastAsia"/>
                <w:color w:val="auto"/>
                <w:kern w:val="0"/>
              </w:rPr>
            </w:pPr>
          </w:p>
        </w:tc>
        <w:tc>
          <w:tcPr>
            <w:tcW w:w="1163" w:type="dxa"/>
            <w:vMerge w:val="continue"/>
            <w:tcBorders>
              <w:top w:val="nil"/>
              <w:left w:val="single" w:color="auto" w:sz="4" w:space="0"/>
              <w:bottom w:val="single" w:color="auto" w:sz="4" w:space="0"/>
              <w:right w:val="single" w:color="auto" w:sz="4" w:space="0"/>
            </w:tcBorders>
            <w:noWrap/>
            <w:vAlign w:val="center"/>
          </w:tcPr>
          <w:p w14:paraId="36B4C87E">
            <w:pPr>
              <w:widowControl/>
              <w:rPr>
                <w:rFonts w:hint="eastAsia" w:asciiTheme="minorEastAsia" w:hAnsiTheme="minorEastAsia" w:eastAsiaTheme="minorEastAsia" w:cstheme="minorEastAsia"/>
                <w:color w:val="auto"/>
                <w:kern w:val="0"/>
              </w:rPr>
            </w:pPr>
          </w:p>
        </w:tc>
        <w:tc>
          <w:tcPr>
            <w:tcW w:w="2368" w:type="dxa"/>
            <w:gridSpan w:val="2"/>
            <w:tcBorders>
              <w:top w:val="single" w:color="auto" w:sz="4" w:space="0"/>
              <w:left w:val="nil"/>
              <w:bottom w:val="single" w:color="auto" w:sz="4" w:space="0"/>
              <w:right w:val="single" w:color="auto" w:sz="4" w:space="0"/>
            </w:tcBorders>
            <w:noWrap/>
            <w:vAlign w:val="center"/>
          </w:tcPr>
          <w:p w14:paraId="46371BCF">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资质完整</w:t>
            </w:r>
          </w:p>
        </w:tc>
        <w:tc>
          <w:tcPr>
            <w:tcW w:w="3415" w:type="dxa"/>
            <w:tcBorders>
              <w:top w:val="nil"/>
              <w:left w:val="nil"/>
              <w:bottom w:val="single" w:color="auto" w:sz="4" w:space="0"/>
              <w:right w:val="single" w:color="auto" w:sz="4" w:space="0"/>
            </w:tcBorders>
            <w:noWrap/>
            <w:vAlign w:val="center"/>
          </w:tcPr>
          <w:p w14:paraId="7D22DA18">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供应商对预包装产品必须提供权威机构出具的第三方检测报告，采购部每月对供应商提供的检测报告进行梳理，确定检测报告完整有效</w:t>
            </w:r>
          </w:p>
        </w:tc>
        <w:tc>
          <w:tcPr>
            <w:tcW w:w="4282" w:type="dxa"/>
            <w:tcBorders>
              <w:top w:val="nil"/>
              <w:left w:val="nil"/>
              <w:bottom w:val="single" w:color="auto" w:sz="4" w:space="0"/>
              <w:right w:val="single" w:color="auto" w:sz="4" w:space="0"/>
            </w:tcBorders>
            <w:noWrap/>
            <w:vAlign w:val="center"/>
          </w:tcPr>
          <w:p w14:paraId="6FD5EC7A">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当月检测报告完整有效的供应商加</w:t>
            </w:r>
            <w:r>
              <w:rPr>
                <w:rFonts w:hint="eastAsia" w:asciiTheme="minorEastAsia" w:hAnsiTheme="minorEastAsia" w:eastAsiaTheme="minorEastAsia" w:cstheme="minorEastAsia"/>
                <w:color w:val="auto"/>
                <w:kern w:val="0"/>
                <w:lang w:val="en-US" w:eastAsia="zh-CN"/>
              </w:rPr>
              <w:t>3</w:t>
            </w:r>
            <w:r>
              <w:rPr>
                <w:rFonts w:hint="eastAsia" w:asciiTheme="minorEastAsia" w:hAnsiTheme="minorEastAsia" w:eastAsiaTheme="minorEastAsia" w:cstheme="minorEastAsia"/>
                <w:color w:val="auto"/>
                <w:kern w:val="0"/>
              </w:rPr>
              <w:t>分</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24E49F0B">
            <w:pPr>
              <w:widowControl/>
              <w:rPr>
                <w:rFonts w:hint="eastAsia" w:asciiTheme="minorEastAsia" w:hAnsiTheme="minorEastAsia" w:eastAsiaTheme="minorEastAsia" w:cstheme="minorEastAsia"/>
                <w:color w:val="auto"/>
                <w:kern w:val="0"/>
              </w:rPr>
            </w:pPr>
          </w:p>
        </w:tc>
      </w:tr>
      <w:tr w14:paraId="6F79CA34">
        <w:tblPrEx>
          <w:tblCellMar>
            <w:top w:w="0" w:type="dxa"/>
            <w:left w:w="108" w:type="dxa"/>
            <w:bottom w:w="0" w:type="dxa"/>
            <w:right w:w="108" w:type="dxa"/>
          </w:tblCellMar>
        </w:tblPrEx>
        <w:trPr>
          <w:trHeight w:val="870" w:hRule="atLeast"/>
          <w:jc w:val="center"/>
        </w:trPr>
        <w:tc>
          <w:tcPr>
            <w:tcW w:w="583" w:type="dxa"/>
            <w:vMerge w:val="restart"/>
            <w:tcBorders>
              <w:top w:val="single" w:color="auto" w:sz="4" w:space="0"/>
              <w:left w:val="single" w:color="auto" w:sz="4" w:space="0"/>
              <w:bottom w:val="single" w:color="auto" w:sz="4" w:space="0"/>
              <w:right w:val="single" w:color="auto" w:sz="4" w:space="0"/>
            </w:tcBorders>
            <w:noWrap/>
            <w:vAlign w:val="center"/>
          </w:tcPr>
          <w:p w14:paraId="53C2564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6</w:t>
            </w:r>
          </w:p>
        </w:tc>
        <w:tc>
          <w:tcPr>
            <w:tcW w:w="1163" w:type="dxa"/>
            <w:vMerge w:val="restart"/>
            <w:tcBorders>
              <w:top w:val="single" w:color="auto" w:sz="4" w:space="0"/>
              <w:left w:val="single" w:color="auto" w:sz="4" w:space="0"/>
              <w:bottom w:val="single" w:color="auto" w:sz="4" w:space="0"/>
              <w:right w:val="single" w:color="auto" w:sz="4" w:space="0"/>
            </w:tcBorders>
            <w:noWrap/>
            <w:vAlign w:val="center"/>
          </w:tcPr>
          <w:p w14:paraId="0DCFCD65">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零容忍项</w:t>
            </w:r>
          </w:p>
        </w:tc>
        <w:tc>
          <w:tcPr>
            <w:tcW w:w="2368" w:type="dxa"/>
            <w:gridSpan w:val="2"/>
            <w:tcBorders>
              <w:top w:val="single" w:color="auto" w:sz="4" w:space="0"/>
              <w:left w:val="nil"/>
              <w:bottom w:val="single" w:color="auto" w:sz="4" w:space="0"/>
              <w:right w:val="single" w:color="auto" w:sz="4" w:space="0"/>
            </w:tcBorders>
            <w:noWrap/>
            <w:vAlign w:val="center"/>
          </w:tcPr>
          <w:p w14:paraId="1F51B416">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服务态度恶劣</w:t>
            </w:r>
          </w:p>
        </w:tc>
        <w:tc>
          <w:tcPr>
            <w:tcW w:w="7697" w:type="dxa"/>
            <w:gridSpan w:val="2"/>
            <w:tcBorders>
              <w:top w:val="single" w:color="auto" w:sz="4" w:space="0"/>
              <w:left w:val="nil"/>
              <w:bottom w:val="single" w:color="auto" w:sz="4" w:space="0"/>
              <w:right w:val="single" w:color="auto" w:sz="4" w:space="0"/>
            </w:tcBorders>
            <w:noWrap/>
            <w:vAlign w:val="center"/>
          </w:tcPr>
          <w:p w14:paraId="0AF00419">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供应商服务态度恶劣，不服从采购人正常合理的管理要求而发生辱骂或肢体冲突的，发生一次即终止合同</w:t>
            </w:r>
          </w:p>
        </w:tc>
        <w:tc>
          <w:tcPr>
            <w:tcW w:w="1230" w:type="dxa"/>
            <w:vMerge w:val="restart"/>
            <w:tcBorders>
              <w:top w:val="single" w:color="auto" w:sz="4" w:space="0"/>
              <w:left w:val="single" w:color="auto" w:sz="4" w:space="0"/>
              <w:bottom w:val="single" w:color="auto" w:sz="4" w:space="0"/>
              <w:right w:val="single" w:color="auto" w:sz="4" w:space="0"/>
            </w:tcBorders>
            <w:noWrap/>
            <w:vAlign w:val="center"/>
          </w:tcPr>
          <w:p w14:paraId="678CD0A0">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w:t>
            </w:r>
          </w:p>
        </w:tc>
      </w:tr>
      <w:tr w14:paraId="77E14F64">
        <w:tblPrEx>
          <w:tblCellMar>
            <w:top w:w="0" w:type="dxa"/>
            <w:left w:w="108" w:type="dxa"/>
            <w:bottom w:w="0" w:type="dxa"/>
            <w:right w:w="108" w:type="dxa"/>
          </w:tblCellMar>
        </w:tblPrEx>
        <w:trPr>
          <w:trHeight w:val="108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11CF6B2C">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7FF82423">
            <w:pPr>
              <w:widowControl/>
              <w:rPr>
                <w:rFonts w:hint="eastAsia" w:asciiTheme="minorEastAsia" w:hAnsiTheme="minorEastAsia" w:eastAsiaTheme="minorEastAsia" w:cstheme="minorEastAsia"/>
                <w:color w:val="auto"/>
                <w:kern w:val="0"/>
              </w:rPr>
            </w:pPr>
          </w:p>
        </w:tc>
        <w:tc>
          <w:tcPr>
            <w:tcW w:w="2368" w:type="dxa"/>
            <w:gridSpan w:val="2"/>
            <w:tcBorders>
              <w:top w:val="single" w:color="auto" w:sz="4" w:space="0"/>
              <w:left w:val="nil"/>
              <w:bottom w:val="single" w:color="auto" w:sz="4" w:space="0"/>
              <w:right w:val="single" w:color="auto" w:sz="4" w:space="0"/>
            </w:tcBorders>
            <w:noWrap/>
            <w:vAlign w:val="center"/>
          </w:tcPr>
          <w:p w14:paraId="2C02B6B9">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 xml:space="preserve">发生违规供应事件 </w:t>
            </w:r>
          </w:p>
        </w:tc>
        <w:tc>
          <w:tcPr>
            <w:tcW w:w="7697" w:type="dxa"/>
            <w:gridSpan w:val="2"/>
            <w:tcBorders>
              <w:top w:val="single" w:color="auto" w:sz="4" w:space="0"/>
              <w:left w:val="nil"/>
              <w:bottom w:val="single" w:color="auto" w:sz="4" w:space="0"/>
              <w:right w:val="single" w:color="auto" w:sz="4" w:space="0"/>
            </w:tcBorders>
            <w:noWrap/>
            <w:vAlign w:val="center"/>
          </w:tcPr>
          <w:p w14:paraId="50A7EA33">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如供应商在履约期间，在供应过程中发生食品安全等影响恶劣事件，立即终止合同</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11913DF6">
            <w:pPr>
              <w:widowControl/>
              <w:rPr>
                <w:rFonts w:hint="eastAsia" w:asciiTheme="minorEastAsia" w:hAnsiTheme="minorEastAsia" w:eastAsiaTheme="minorEastAsia" w:cstheme="minorEastAsia"/>
                <w:color w:val="auto"/>
                <w:kern w:val="0"/>
              </w:rPr>
            </w:pPr>
          </w:p>
        </w:tc>
      </w:tr>
      <w:tr w14:paraId="0C7169D4">
        <w:tblPrEx>
          <w:tblCellMar>
            <w:top w:w="0" w:type="dxa"/>
            <w:left w:w="108" w:type="dxa"/>
            <w:bottom w:w="0" w:type="dxa"/>
            <w:right w:w="108" w:type="dxa"/>
          </w:tblCellMar>
        </w:tblPrEx>
        <w:trPr>
          <w:trHeight w:val="930" w:hRule="atLeast"/>
          <w:jc w:val="center"/>
        </w:trPr>
        <w:tc>
          <w:tcPr>
            <w:tcW w:w="583" w:type="dxa"/>
            <w:vMerge w:val="continue"/>
            <w:tcBorders>
              <w:top w:val="single" w:color="auto" w:sz="4" w:space="0"/>
              <w:left w:val="single" w:color="auto" w:sz="4" w:space="0"/>
              <w:bottom w:val="single" w:color="auto" w:sz="4" w:space="0"/>
              <w:right w:val="single" w:color="auto" w:sz="4" w:space="0"/>
            </w:tcBorders>
            <w:noWrap/>
            <w:vAlign w:val="center"/>
          </w:tcPr>
          <w:p w14:paraId="668F8535">
            <w:pPr>
              <w:widowControl/>
              <w:rPr>
                <w:rFonts w:hint="eastAsia" w:asciiTheme="minorEastAsia" w:hAnsiTheme="minorEastAsia" w:eastAsiaTheme="minorEastAsia" w:cstheme="minorEastAsia"/>
                <w:color w:val="auto"/>
                <w:kern w:val="0"/>
              </w:rPr>
            </w:pPr>
          </w:p>
        </w:tc>
        <w:tc>
          <w:tcPr>
            <w:tcW w:w="1163" w:type="dxa"/>
            <w:vMerge w:val="continue"/>
            <w:tcBorders>
              <w:top w:val="single" w:color="auto" w:sz="4" w:space="0"/>
              <w:left w:val="single" w:color="auto" w:sz="4" w:space="0"/>
              <w:bottom w:val="single" w:color="auto" w:sz="4" w:space="0"/>
              <w:right w:val="single" w:color="auto" w:sz="4" w:space="0"/>
            </w:tcBorders>
            <w:noWrap/>
            <w:vAlign w:val="center"/>
          </w:tcPr>
          <w:p w14:paraId="0394859A">
            <w:pPr>
              <w:widowControl/>
              <w:rPr>
                <w:rFonts w:hint="eastAsia" w:asciiTheme="minorEastAsia" w:hAnsiTheme="minorEastAsia" w:eastAsiaTheme="minorEastAsia" w:cstheme="minorEastAsia"/>
                <w:color w:val="auto"/>
                <w:kern w:val="0"/>
              </w:rPr>
            </w:pPr>
          </w:p>
        </w:tc>
        <w:tc>
          <w:tcPr>
            <w:tcW w:w="2368" w:type="dxa"/>
            <w:gridSpan w:val="2"/>
            <w:tcBorders>
              <w:top w:val="single" w:color="auto" w:sz="4" w:space="0"/>
              <w:left w:val="nil"/>
              <w:bottom w:val="single" w:color="auto" w:sz="4" w:space="0"/>
              <w:right w:val="single" w:color="auto" w:sz="4" w:space="0"/>
            </w:tcBorders>
            <w:noWrap/>
            <w:vAlign w:val="center"/>
          </w:tcPr>
          <w:p w14:paraId="43C16BFB">
            <w:pPr>
              <w:widowControl/>
              <w:jc w:val="center"/>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供应严重违规产品</w:t>
            </w:r>
          </w:p>
        </w:tc>
        <w:tc>
          <w:tcPr>
            <w:tcW w:w="7697" w:type="dxa"/>
            <w:gridSpan w:val="2"/>
            <w:tcBorders>
              <w:top w:val="single" w:color="auto" w:sz="4" w:space="0"/>
              <w:left w:val="nil"/>
              <w:bottom w:val="single" w:color="auto" w:sz="4" w:space="0"/>
              <w:right w:val="single" w:color="auto" w:sz="4" w:space="0"/>
            </w:tcBorders>
            <w:noWrap/>
            <w:vAlign w:val="center"/>
          </w:tcPr>
          <w:p w14:paraId="5DDB6C67">
            <w:pPr>
              <w:widowControl/>
              <w:rPr>
                <w:rFonts w:hint="eastAsia"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供应商提供霉烂变质、</w:t>
            </w:r>
            <w:r>
              <w:rPr>
                <w:rFonts w:hint="eastAsia" w:asciiTheme="minorEastAsia" w:hAnsiTheme="minorEastAsia" w:eastAsiaTheme="minorEastAsia" w:cstheme="minorEastAsia"/>
                <w:color w:val="auto"/>
                <w:kern w:val="0"/>
                <w:lang w:eastAsia="zh-CN"/>
              </w:rPr>
              <w:t>“三无”产品</w:t>
            </w:r>
            <w:r>
              <w:rPr>
                <w:rFonts w:hint="eastAsia" w:asciiTheme="minorEastAsia" w:hAnsiTheme="minorEastAsia" w:eastAsiaTheme="minorEastAsia" w:cstheme="minorEastAsia"/>
                <w:color w:val="auto"/>
                <w:kern w:val="0"/>
              </w:rPr>
              <w:t>或其他不符合国家法律法规相关规定的假冒伪劣商品，且无合理解释或可追溯的，一经发现立即终止合同，并追究相应赔偿责任，并向相关主管部门汇报并公示</w:t>
            </w:r>
          </w:p>
        </w:tc>
        <w:tc>
          <w:tcPr>
            <w:tcW w:w="1230" w:type="dxa"/>
            <w:vMerge w:val="continue"/>
            <w:tcBorders>
              <w:top w:val="single" w:color="auto" w:sz="4" w:space="0"/>
              <w:left w:val="single" w:color="auto" w:sz="4" w:space="0"/>
              <w:bottom w:val="single" w:color="auto" w:sz="4" w:space="0"/>
              <w:right w:val="single" w:color="auto" w:sz="4" w:space="0"/>
            </w:tcBorders>
            <w:noWrap/>
            <w:vAlign w:val="center"/>
          </w:tcPr>
          <w:p w14:paraId="3FF45A2C">
            <w:pPr>
              <w:widowControl/>
              <w:rPr>
                <w:rFonts w:hint="eastAsia" w:asciiTheme="minorEastAsia" w:hAnsiTheme="minorEastAsia" w:eastAsiaTheme="minorEastAsia" w:cstheme="minorEastAsia"/>
                <w:color w:val="auto"/>
                <w:kern w:val="0"/>
              </w:rPr>
            </w:pPr>
          </w:p>
        </w:tc>
      </w:tr>
    </w:tbl>
    <w:p w14:paraId="3154958D">
      <w:pPr>
        <w:pStyle w:val="7"/>
        <w:ind w:firstLine="0"/>
        <w:rPr>
          <w:rFonts w:hint="eastAsia" w:asciiTheme="minorEastAsia" w:hAnsiTheme="minorEastAsia" w:eastAsiaTheme="minorEastAsia" w:cstheme="minorEastAsia"/>
          <w:b/>
          <w:color w:val="auto"/>
        </w:rPr>
      </w:pPr>
    </w:p>
    <w:p w14:paraId="62368FA2">
      <w:pPr>
        <w:rPr>
          <w:rFonts w:hint="eastAsia" w:asciiTheme="minorEastAsia" w:hAnsiTheme="minorEastAsia" w:eastAsiaTheme="minorEastAsia" w:cstheme="minorEastAsia"/>
          <w:b/>
          <w:color w:val="auto"/>
          <w:sz w:val="24"/>
          <w:highlight w:val="none"/>
        </w:rPr>
      </w:pPr>
    </w:p>
    <w:p w14:paraId="45B876C9">
      <w:pPr>
        <w:pStyle w:val="7"/>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特别说明：</w:t>
      </w:r>
    </w:p>
    <w:p w14:paraId="649A91B4">
      <w:pPr>
        <w:pStyle w:val="7"/>
        <w:ind w:firstLine="0"/>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1.</w:t>
      </w:r>
      <w:r>
        <w:rPr>
          <w:rFonts w:hint="eastAsia" w:asciiTheme="minorEastAsia" w:hAnsiTheme="minorEastAsia" w:eastAsiaTheme="minorEastAsia" w:cstheme="minorEastAsia"/>
          <w:b/>
          <w:color w:val="auto"/>
          <w:highlight w:val="none"/>
        </w:rPr>
        <w:t>本章所有加</w:t>
      </w: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b/>
          <w:color w:val="auto"/>
          <w:highlight w:val="none"/>
        </w:rPr>
        <w:t>内容均为实质性要求，不接受负偏离（负偏离作无效投标处理）</w:t>
      </w:r>
      <w:r>
        <w:rPr>
          <w:rFonts w:hint="eastAsia" w:asciiTheme="minorEastAsia" w:hAnsiTheme="minorEastAsia" w:eastAsiaTheme="minorEastAsia" w:cstheme="minorEastAsia"/>
          <w:b/>
          <w:bCs/>
          <w:color w:val="auto"/>
          <w:kern w:val="0"/>
          <w:szCs w:val="21"/>
          <w:highlight w:val="none"/>
        </w:rPr>
        <w:t>。</w:t>
      </w:r>
    </w:p>
    <w:p w14:paraId="6E1FB0B2">
      <w:pPr>
        <w:pStyle w:val="7"/>
        <w:ind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2.采购人在项目实施过程中的要求，若项目实施管理过程中中标供应商无法满足，采购人有权依据上述要求解除合同，具体由采购人在项目执行中负责解释及执行。</w:t>
      </w:r>
    </w:p>
    <w:p w14:paraId="39A6ECD4">
      <w:pPr>
        <w:pStyle w:val="7"/>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color w:val="auto"/>
          <w:szCs w:val="21"/>
          <w:highlight w:val="none"/>
        </w:rPr>
        <w:t>3.</w:t>
      </w:r>
      <w:r>
        <w:rPr>
          <w:rFonts w:hint="eastAsia" w:asciiTheme="minorEastAsia" w:hAnsiTheme="minorEastAsia" w:eastAsiaTheme="minorEastAsia" w:cstheme="minorEastAsia"/>
          <w:b/>
          <w:color w:val="auto"/>
          <w:highlight w:val="none"/>
        </w:rPr>
        <w:t>如对采购需求有任何疑问，请在规定的截止时间前与采购人联系</w:t>
      </w:r>
    </w:p>
    <w:p w14:paraId="424D5DB2">
      <w:pPr>
        <w:widowControl/>
        <w:spacing w:line="360" w:lineRule="auto"/>
        <w:ind w:firstLine="422"/>
        <w:rPr>
          <w:rFonts w:asciiTheme="minorEastAsia" w:hAnsiTheme="minorEastAsia" w:eastAsiaTheme="minorEastAsia" w:cstheme="minorEastAsia"/>
          <w:b/>
          <w:color w:val="auto"/>
          <w:highlight w:val="none"/>
        </w:rPr>
      </w:pP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14:paraId="244E4765">
      <w:pPr>
        <w:ind w:firstLine="803"/>
        <w:jc w:val="center"/>
        <w:outlineLvl w:val="0"/>
        <w:rPr>
          <w:rFonts w:hint="eastAsia" w:asciiTheme="minorEastAsia" w:hAnsiTheme="minorEastAsia" w:eastAsiaTheme="minorEastAsia" w:cstheme="minorEastAsia"/>
          <w:b/>
          <w:color w:val="auto"/>
          <w:sz w:val="40"/>
          <w:szCs w:val="40"/>
          <w:highlight w:val="none"/>
        </w:rPr>
        <w:sectPr>
          <w:pgSz w:w="16838" w:h="11906" w:orient="landscape"/>
          <w:pgMar w:top="1418" w:right="1418" w:bottom="1418" w:left="1418" w:header="720" w:footer="720" w:gutter="0"/>
          <w:pgNumType w:fmt="numberInDash"/>
          <w:cols w:space="720" w:num="1"/>
          <w:docGrid w:linePitch="286" w:charSpace="0"/>
        </w:sectPr>
      </w:pPr>
      <w:bookmarkStart w:id="255" w:name="_Toc31220"/>
      <w:bookmarkStart w:id="256" w:name="_Toc16157"/>
      <w:bookmarkStart w:id="257" w:name="_Toc1897"/>
      <w:bookmarkStart w:id="258" w:name="_Toc30773"/>
      <w:bookmarkStart w:id="259" w:name="_Toc3709"/>
      <w:bookmarkStart w:id="260" w:name="_Toc30268"/>
      <w:bookmarkStart w:id="261" w:name="_Toc820"/>
      <w:bookmarkStart w:id="262" w:name="_Toc19036"/>
      <w:bookmarkStart w:id="263" w:name="_Toc13172"/>
      <w:bookmarkStart w:id="264" w:name="_Toc8849"/>
      <w:bookmarkStart w:id="265" w:name="_Toc17293"/>
      <w:bookmarkStart w:id="266" w:name="_Toc16681"/>
      <w:bookmarkStart w:id="267" w:name="_Toc2495"/>
      <w:bookmarkStart w:id="268" w:name="_Toc31165"/>
      <w:bookmarkStart w:id="269" w:name="_Toc17626"/>
      <w:bookmarkStart w:id="270" w:name="_Toc26164"/>
      <w:bookmarkStart w:id="271" w:name="_Toc1652"/>
      <w:bookmarkStart w:id="272" w:name="_Toc8952"/>
      <w:bookmarkStart w:id="273" w:name="_Toc6551"/>
      <w:bookmarkStart w:id="274" w:name="_Toc13742"/>
      <w:bookmarkStart w:id="275" w:name="_Toc18521"/>
      <w:bookmarkStart w:id="276" w:name="_Toc27765"/>
      <w:bookmarkStart w:id="277" w:name="_Toc16808"/>
      <w:bookmarkStart w:id="278" w:name="_Toc15479"/>
      <w:bookmarkStart w:id="279" w:name="_Toc7641"/>
      <w:bookmarkStart w:id="280" w:name="_Toc12107"/>
      <w:bookmarkStart w:id="281" w:name="_Toc4569"/>
      <w:bookmarkStart w:id="282" w:name="_Toc4079"/>
      <w:bookmarkStart w:id="283" w:name="_Toc116284544"/>
      <w:bookmarkStart w:id="284" w:name="_Toc32113"/>
      <w:bookmarkStart w:id="285" w:name="_Toc28526"/>
      <w:bookmarkStart w:id="286" w:name="_Toc13863"/>
      <w:bookmarkStart w:id="287" w:name="_Toc4378"/>
      <w:bookmarkStart w:id="288" w:name="_Toc11253"/>
      <w:bookmarkStart w:id="289" w:name="_Toc18780"/>
      <w:bookmarkStart w:id="290" w:name="_Toc5832"/>
      <w:bookmarkStart w:id="291" w:name="_Toc504141752"/>
      <w:bookmarkStart w:id="292" w:name="_Toc4314"/>
      <w:bookmarkStart w:id="293" w:name="_Toc10386"/>
      <w:bookmarkStart w:id="294" w:name="_Toc18207"/>
      <w:bookmarkStart w:id="295" w:name="_Toc19817"/>
      <w:bookmarkStart w:id="296" w:name="_Toc7048"/>
      <w:bookmarkStart w:id="297" w:name="_Toc17373"/>
    </w:p>
    <w:p w14:paraId="0F7F9C05">
      <w:pPr>
        <w:ind w:firstLine="803"/>
        <w:jc w:val="center"/>
        <w:outlineLvl w:val="0"/>
        <w:rPr>
          <w:rFonts w:asciiTheme="minorEastAsia" w:hAnsiTheme="minorEastAsia" w:eastAsiaTheme="minorEastAsia" w:cstheme="minorEastAsia"/>
          <w:b/>
          <w:color w:val="auto"/>
          <w:sz w:val="40"/>
          <w:szCs w:val="40"/>
          <w:highlight w:val="none"/>
        </w:rPr>
      </w:pPr>
      <w:bookmarkStart w:id="298" w:name="_Toc31799"/>
      <w:r>
        <w:rPr>
          <w:rFonts w:hint="eastAsia" w:asciiTheme="minorEastAsia" w:hAnsiTheme="minorEastAsia" w:eastAsiaTheme="minorEastAsia" w:cstheme="minorEastAsia"/>
          <w:b/>
          <w:color w:val="auto"/>
          <w:sz w:val="40"/>
          <w:szCs w:val="40"/>
          <w:highlight w:val="none"/>
        </w:rPr>
        <w:t>第五章 政府采购合同格式</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579AD2EF">
      <w:pPr>
        <w:spacing w:line="400" w:lineRule="exact"/>
        <w:ind w:left="630" w:leftChars="300" w:firstLine="1265" w:firstLineChars="600"/>
        <w:rPr>
          <w:rFonts w:asciiTheme="minorEastAsia" w:hAnsiTheme="minorEastAsia" w:eastAsiaTheme="minorEastAsia" w:cstheme="minorEastAsia"/>
          <w:b/>
          <w:color w:val="auto"/>
          <w:highlight w:val="none"/>
        </w:rPr>
      </w:pPr>
    </w:p>
    <w:p w14:paraId="3ABAB566">
      <w:pPr>
        <w:spacing w:line="400" w:lineRule="exact"/>
        <w:ind w:left="630" w:leftChars="300" w:firstLine="1265" w:firstLineChars="600"/>
        <w:rPr>
          <w:rFonts w:asciiTheme="minorEastAsia" w:hAnsiTheme="minorEastAsia" w:eastAsiaTheme="minorEastAsia" w:cstheme="minorEastAsia"/>
          <w:b/>
          <w:color w:val="auto"/>
          <w:highlight w:val="none"/>
        </w:rPr>
      </w:pPr>
    </w:p>
    <w:p w14:paraId="34B6A124">
      <w:pPr>
        <w:spacing w:line="360" w:lineRule="auto"/>
        <w:ind w:firstLine="883"/>
        <w:jc w:val="center"/>
        <w:rPr>
          <w:rFonts w:asciiTheme="minorEastAsia" w:hAnsiTheme="minorEastAsia" w:eastAsiaTheme="minorEastAsia" w:cstheme="minorEastAsia"/>
          <w:b/>
          <w:bCs/>
          <w:color w:val="auto"/>
          <w:sz w:val="44"/>
          <w:szCs w:val="44"/>
          <w:highlight w:val="none"/>
        </w:rPr>
      </w:pPr>
    </w:p>
    <w:p w14:paraId="66FFD281">
      <w:pPr>
        <w:autoSpaceDE w:val="0"/>
        <w:autoSpaceDN w:val="0"/>
        <w:adjustRightInd w:val="0"/>
        <w:spacing w:line="360" w:lineRule="auto"/>
        <w:ind w:firstLine="1040"/>
        <w:jc w:val="center"/>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政府采购合同</w:t>
      </w:r>
    </w:p>
    <w:p w14:paraId="32F807D7">
      <w:pPr>
        <w:autoSpaceDE w:val="0"/>
        <w:autoSpaceDN w:val="0"/>
        <w:adjustRightInd w:val="0"/>
        <w:spacing w:line="360" w:lineRule="auto"/>
        <w:ind w:firstLine="640"/>
        <w:jc w:val="center"/>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（供参考）</w:t>
      </w:r>
    </w:p>
    <w:p w14:paraId="7BD67C36">
      <w:pPr>
        <w:autoSpaceDE w:val="0"/>
        <w:autoSpaceDN w:val="0"/>
        <w:adjustRightInd w:val="0"/>
        <w:spacing w:line="360" w:lineRule="auto"/>
        <w:ind w:firstLine="640"/>
        <w:rPr>
          <w:rFonts w:asciiTheme="minorEastAsia" w:hAnsiTheme="minorEastAsia" w:eastAsiaTheme="minorEastAsia" w:cstheme="minorEastAsia"/>
          <w:color w:val="auto"/>
          <w:sz w:val="32"/>
          <w:szCs w:val="32"/>
          <w:highlight w:val="none"/>
          <w:lang w:val="zh-CN"/>
        </w:rPr>
      </w:pPr>
    </w:p>
    <w:p w14:paraId="126576D1">
      <w:pPr>
        <w:autoSpaceDE w:val="0"/>
        <w:autoSpaceDN w:val="0"/>
        <w:adjustRightInd w:val="0"/>
        <w:spacing w:line="360" w:lineRule="auto"/>
        <w:ind w:firstLine="640"/>
        <w:rPr>
          <w:rFonts w:asciiTheme="minorEastAsia" w:hAnsiTheme="minorEastAsia" w:eastAsiaTheme="minorEastAsia" w:cstheme="minorEastAsia"/>
          <w:color w:val="auto"/>
          <w:sz w:val="32"/>
          <w:szCs w:val="32"/>
          <w:highlight w:val="none"/>
          <w:lang w:val="zh-CN"/>
        </w:rPr>
      </w:pPr>
    </w:p>
    <w:p w14:paraId="38BDA6A8">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67A60DE4">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612C62CA">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项目名称 ：</w:t>
      </w:r>
      <w:r>
        <w:rPr>
          <w:rFonts w:hint="eastAsia" w:asciiTheme="minorEastAsia" w:hAnsiTheme="minorEastAsia" w:eastAsiaTheme="minorEastAsia" w:cstheme="minorEastAsia"/>
          <w:color w:val="auto"/>
          <w:sz w:val="36"/>
          <w:szCs w:val="36"/>
          <w:highlight w:val="none"/>
          <w:u w:val="single"/>
          <w:lang w:val="zh-CN"/>
        </w:rPr>
        <w:t>南京市公安局江宁分局看守所食堂食材采购</w:t>
      </w:r>
    </w:p>
    <w:p w14:paraId="5E71B9DE">
      <w:pPr>
        <w:autoSpaceDE w:val="0"/>
        <w:autoSpaceDN w:val="0"/>
        <w:adjustRightInd w:val="0"/>
        <w:spacing w:line="360" w:lineRule="auto"/>
        <w:ind w:left="821" w:leftChars="391" w:firstLine="720"/>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项目编号</w:t>
      </w:r>
      <w:r>
        <w:rPr>
          <w:rFonts w:hint="eastAsia" w:asciiTheme="minorEastAsia" w:hAnsiTheme="minorEastAsia" w:eastAsiaTheme="minorEastAsia" w:cstheme="minorEastAsia"/>
          <w:color w:val="auto"/>
          <w:sz w:val="36"/>
          <w:szCs w:val="36"/>
          <w:highlight w:val="none"/>
          <w:lang w:val="zh-CN"/>
        </w:rPr>
        <w:t>：</w:t>
      </w:r>
      <w:r>
        <w:rPr>
          <w:rFonts w:hint="eastAsia" w:asciiTheme="minorEastAsia" w:hAnsiTheme="minorEastAsia" w:eastAsiaTheme="minorEastAsia" w:cstheme="minorEastAsia"/>
          <w:color w:val="auto"/>
          <w:sz w:val="36"/>
          <w:szCs w:val="36"/>
          <w:highlight w:val="none"/>
          <w:u w:val="single"/>
          <w:lang w:val="zh-CN"/>
        </w:rPr>
        <w:t>JSZC-320115-NJDX-G2025-0007</w:t>
      </w:r>
    </w:p>
    <w:p w14:paraId="4CA967B7">
      <w:pPr>
        <w:autoSpaceDE w:val="0"/>
        <w:autoSpaceDN w:val="0"/>
        <w:adjustRightInd w:val="0"/>
        <w:spacing w:line="360" w:lineRule="auto"/>
        <w:ind w:left="821" w:leftChars="391" w:firstLine="72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采购包1/采购包2……采购包4</w:t>
      </w:r>
      <w:r>
        <w:rPr>
          <w:rFonts w:hint="eastAsia" w:asciiTheme="minorEastAsia" w:hAnsiTheme="minorEastAsia" w:eastAsiaTheme="minorEastAsia" w:cstheme="minorEastAsia"/>
          <w:color w:val="auto"/>
          <w:sz w:val="36"/>
          <w:szCs w:val="36"/>
          <w:highlight w:val="none"/>
          <w:lang w:val="zh-CN"/>
        </w:rPr>
        <w:t xml:space="preserve"> </w:t>
      </w:r>
    </w:p>
    <w:p w14:paraId="0C3BF8C1">
      <w:pPr>
        <w:autoSpaceDE w:val="0"/>
        <w:autoSpaceDN w:val="0"/>
        <w:adjustRightInd w:val="0"/>
        <w:spacing w:line="360" w:lineRule="auto"/>
        <w:ind w:left="821" w:leftChars="391" w:firstLine="72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采购</w:t>
      </w:r>
      <w:r>
        <w:rPr>
          <w:rFonts w:hint="eastAsia" w:asciiTheme="minorEastAsia" w:hAnsiTheme="minorEastAsia" w:eastAsiaTheme="minorEastAsia" w:cstheme="minorEastAsia"/>
          <w:color w:val="auto"/>
          <w:sz w:val="36"/>
          <w:szCs w:val="36"/>
          <w:highlight w:val="none"/>
          <w:lang w:val="zh-CN"/>
        </w:rPr>
        <w:t>单位 ：</w:t>
      </w:r>
    </w:p>
    <w:p w14:paraId="15E5B613">
      <w:pPr>
        <w:autoSpaceDE w:val="0"/>
        <w:autoSpaceDN w:val="0"/>
        <w:adjustRightInd w:val="0"/>
        <w:spacing w:line="360" w:lineRule="auto"/>
        <w:ind w:left="821" w:leftChars="391" w:firstLine="72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服务</w:t>
      </w:r>
      <w:r>
        <w:rPr>
          <w:rFonts w:hint="eastAsia" w:asciiTheme="minorEastAsia" w:hAnsiTheme="minorEastAsia" w:eastAsiaTheme="minorEastAsia" w:cstheme="minorEastAsia"/>
          <w:color w:val="auto"/>
          <w:sz w:val="36"/>
          <w:szCs w:val="36"/>
          <w:highlight w:val="none"/>
          <w:lang w:val="zh-CN"/>
        </w:rPr>
        <w:t>单位 ：</w:t>
      </w:r>
    </w:p>
    <w:p w14:paraId="14F6500C">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签订日期 ：</w:t>
      </w:r>
    </w:p>
    <w:p w14:paraId="2974AF56">
      <w:pPr>
        <w:autoSpaceDE w:val="0"/>
        <w:autoSpaceDN w:val="0"/>
        <w:adjustRightInd w:val="0"/>
        <w:spacing w:line="360" w:lineRule="auto"/>
        <w:ind w:firstLine="640"/>
        <w:jc w:val="center"/>
        <w:rPr>
          <w:rFonts w:asciiTheme="minorEastAsia" w:hAnsiTheme="minorEastAsia" w:eastAsiaTheme="minorEastAsia" w:cstheme="minorEastAsia"/>
          <w:color w:val="auto"/>
          <w:sz w:val="32"/>
          <w:szCs w:val="32"/>
          <w:highlight w:val="none"/>
          <w:lang w:val="zh-CN"/>
        </w:rPr>
      </w:pPr>
    </w:p>
    <w:p w14:paraId="3F94E13D">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3BA6D3E5">
      <w:pPr>
        <w:pStyle w:val="26"/>
        <w:spacing w:line="360" w:lineRule="auto"/>
        <w:ind w:left="603" w:leftChars="200" w:hanging="183" w:hangingChars="65"/>
        <w:jc w:val="left"/>
        <w:rPr>
          <w:rFonts w:asciiTheme="minorEastAsia" w:hAnsiTheme="minorEastAsia" w:eastAsiaTheme="minorEastAsia" w:cstheme="minorEastAsia"/>
          <w:b/>
          <w:color w:val="auto"/>
          <w:sz w:val="28"/>
          <w:szCs w:val="28"/>
          <w:highlight w:val="none"/>
        </w:rPr>
      </w:pPr>
    </w:p>
    <w:p w14:paraId="7D075526">
      <w:pPr>
        <w:spacing w:line="360" w:lineRule="auto"/>
        <w:ind w:firstLine="643"/>
        <w:jc w:val="center"/>
        <w:rPr>
          <w:rFonts w:asciiTheme="minorEastAsia" w:hAnsiTheme="minorEastAsia" w:eastAsiaTheme="minorEastAsia" w:cstheme="minorEastAsia"/>
          <w:b/>
          <w:bCs/>
          <w:color w:val="auto"/>
          <w:sz w:val="32"/>
          <w:szCs w:val="32"/>
          <w:highlight w:val="none"/>
        </w:rPr>
      </w:pPr>
      <w:bookmarkStart w:id="299" w:name="_Hlt460313661"/>
      <w:bookmarkEnd w:id="299"/>
      <w:bookmarkStart w:id="300" w:name="_Hlt460313659"/>
      <w:bookmarkEnd w:id="300"/>
      <w:r>
        <w:rPr>
          <w:rFonts w:hint="eastAsia" w:asciiTheme="minorEastAsia" w:hAnsiTheme="minorEastAsia" w:eastAsiaTheme="minorEastAsia" w:cstheme="minorEastAsia"/>
          <w:b/>
          <w:bCs/>
          <w:color w:val="auto"/>
          <w:sz w:val="32"/>
          <w:szCs w:val="32"/>
          <w:highlight w:val="none"/>
        </w:rPr>
        <w:t>政府采购合同</w:t>
      </w:r>
    </w:p>
    <w:p w14:paraId="2D99B17F">
      <w:pPr>
        <w:spacing w:line="360" w:lineRule="auto"/>
        <w:jc w:val="center"/>
        <w:rPr>
          <w:rFonts w:hint="eastAsia" w:ascii="宋体" w:hAnsi="宋体" w:cs="宋体"/>
          <w:color w:val="auto"/>
          <w:highlight w:val="none"/>
        </w:rPr>
      </w:pPr>
      <w:r>
        <w:rPr>
          <w:rFonts w:hint="eastAsia" w:ascii="宋体" w:hAnsi="宋体" w:cs="宋体"/>
          <w:color w:val="auto"/>
          <w:highlight w:val="none"/>
        </w:rPr>
        <w:t>（具体合同条款由采购人和供应商依据</w:t>
      </w:r>
      <w:r>
        <w:rPr>
          <w:rFonts w:hint="eastAsia" w:ascii="宋体" w:hAnsi="宋体" w:cs="宋体"/>
          <w:color w:val="auto"/>
          <w:highlight w:val="none"/>
          <w:lang w:val="en-US" w:eastAsia="zh-CN"/>
        </w:rPr>
        <w:t>采购</w:t>
      </w:r>
      <w:r>
        <w:rPr>
          <w:rFonts w:hint="eastAsia" w:ascii="宋体" w:hAnsi="宋体" w:cs="宋体"/>
          <w:color w:val="auto"/>
          <w:highlight w:val="none"/>
        </w:rPr>
        <w:t>文件</w:t>
      </w:r>
      <w:r>
        <w:rPr>
          <w:rFonts w:hint="eastAsia" w:ascii="宋体" w:hAnsi="宋体" w:cs="宋体"/>
          <w:color w:val="auto"/>
          <w:highlight w:val="none"/>
          <w:lang w:val="en-US" w:eastAsia="zh-CN"/>
        </w:rPr>
        <w:t>及响应文件</w:t>
      </w:r>
      <w:r>
        <w:rPr>
          <w:rFonts w:hint="eastAsia" w:ascii="宋体" w:hAnsi="宋体" w:cs="宋体"/>
          <w:color w:val="auto"/>
          <w:highlight w:val="none"/>
        </w:rPr>
        <w:t>拟定，本件仅供格式参考）</w:t>
      </w:r>
    </w:p>
    <w:p w14:paraId="6D61D80E">
      <w:pPr>
        <w:pStyle w:val="19"/>
        <w:spacing w:line="360" w:lineRule="auto"/>
        <w:ind w:left="38" w:right="122" w:firstLine="482"/>
        <w:jc w:val="left"/>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val="en-US" w:eastAsia="zh-CN"/>
        </w:rPr>
        <w:t>采购</w:t>
      </w:r>
      <w:r>
        <w:rPr>
          <w:rFonts w:hint="eastAsia" w:asciiTheme="minorEastAsia" w:hAnsiTheme="minorEastAsia" w:eastAsiaTheme="minorEastAsia" w:cstheme="minorEastAsia"/>
          <w:color w:val="auto"/>
          <w:spacing w:val="-1"/>
          <w:sz w:val="21"/>
          <w:szCs w:val="21"/>
          <w:highlight w:val="none"/>
        </w:rPr>
        <w:t>人（以下称甲方）</w:t>
      </w:r>
      <w:r>
        <w:rPr>
          <w:rFonts w:hint="eastAsia" w:asciiTheme="minorEastAsia" w:hAnsiTheme="minorEastAsia" w:eastAsiaTheme="minorEastAsia" w:cstheme="minorEastAsia"/>
          <w:color w:val="auto"/>
          <w:spacing w:val="-1"/>
          <w:sz w:val="21"/>
          <w:szCs w:val="21"/>
          <w:highlight w:val="none"/>
          <w:lang w:eastAsia="zh-CN"/>
        </w:rPr>
        <w:t>：</w:t>
      </w:r>
    </w:p>
    <w:p w14:paraId="12230B45">
      <w:pPr>
        <w:pStyle w:val="19"/>
        <w:spacing w:line="360" w:lineRule="auto"/>
        <w:ind w:left="38" w:right="122" w:firstLine="482"/>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住所地：</w:t>
      </w:r>
    </w:p>
    <w:p w14:paraId="30F78B2A">
      <w:pPr>
        <w:pStyle w:val="19"/>
        <w:spacing w:line="360" w:lineRule="auto"/>
        <w:ind w:left="38" w:right="122" w:firstLine="482"/>
        <w:jc w:val="left"/>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rPr>
        <w:t>供应商（以下称乙方）</w:t>
      </w:r>
      <w:r>
        <w:rPr>
          <w:rFonts w:hint="eastAsia" w:asciiTheme="minorEastAsia" w:hAnsiTheme="minorEastAsia" w:eastAsiaTheme="minorEastAsia" w:cstheme="minorEastAsia"/>
          <w:color w:val="auto"/>
          <w:spacing w:val="-1"/>
          <w:sz w:val="21"/>
          <w:szCs w:val="21"/>
          <w:highlight w:val="none"/>
          <w:lang w:eastAsia="zh-CN"/>
        </w:rPr>
        <w:t>：</w:t>
      </w:r>
    </w:p>
    <w:p w14:paraId="01DD4C5A">
      <w:pPr>
        <w:pStyle w:val="19"/>
        <w:spacing w:line="360" w:lineRule="auto"/>
        <w:ind w:left="38" w:right="122" w:firstLine="482"/>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住所地：</w:t>
      </w:r>
    </w:p>
    <w:p w14:paraId="209034AE">
      <w:pPr>
        <w:pStyle w:val="19"/>
        <w:spacing w:line="360" w:lineRule="auto"/>
        <w:ind w:left="38" w:right="122"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为保护甲乙双方合法权益，根据《中华人民共和国民法典》及相关法律法规，并严</w:t>
      </w:r>
      <w:r>
        <w:rPr>
          <w:rFonts w:hint="eastAsia" w:asciiTheme="minorEastAsia" w:hAnsiTheme="minorEastAsia" w:eastAsiaTheme="minorEastAsia" w:cstheme="minorEastAsia"/>
          <w:color w:val="auto"/>
          <w:spacing w:val="-4"/>
          <w:sz w:val="21"/>
          <w:szCs w:val="21"/>
          <w:highlight w:val="none"/>
        </w:rPr>
        <w:t>格遵循甲方《</w:t>
      </w:r>
      <w:r>
        <w:rPr>
          <w:rFonts w:hint="eastAsia" w:asciiTheme="minorEastAsia" w:hAnsiTheme="minorEastAsia" w:eastAsiaTheme="minorEastAsia" w:cstheme="minorEastAsia"/>
          <w:color w:val="auto"/>
          <w:spacing w:val="-4"/>
          <w:sz w:val="21"/>
          <w:szCs w:val="21"/>
          <w:highlight w:val="none"/>
          <w:u w:val="single"/>
        </w:rPr>
        <w:t xml:space="preserve">        （项目名称）（</w:t>
      </w:r>
      <w:r>
        <w:rPr>
          <w:rFonts w:hint="eastAsia" w:asciiTheme="minorEastAsia" w:hAnsiTheme="minorEastAsia" w:eastAsiaTheme="minorEastAsia" w:cstheme="minorEastAsia"/>
          <w:color w:val="auto"/>
          <w:spacing w:val="-4"/>
          <w:sz w:val="21"/>
          <w:szCs w:val="21"/>
          <w:highlight w:val="none"/>
          <w:u w:val="single"/>
          <w:lang w:eastAsia="zh-CN"/>
        </w:rPr>
        <w:t>采购包</w:t>
      </w:r>
      <w:r>
        <w:rPr>
          <w:rFonts w:hint="eastAsia" w:asciiTheme="minorEastAsia" w:hAnsiTheme="minorEastAsia" w:eastAsiaTheme="minorEastAsia" w:cstheme="minorEastAsia"/>
          <w:color w:val="auto"/>
          <w:spacing w:val="-4"/>
          <w:sz w:val="21"/>
          <w:szCs w:val="21"/>
          <w:highlight w:val="none"/>
          <w:u w:val="single"/>
        </w:rPr>
        <w:t xml:space="preserve">名称）       </w:t>
      </w:r>
      <w:r>
        <w:rPr>
          <w:rFonts w:hint="eastAsia" w:asciiTheme="minorEastAsia" w:hAnsiTheme="minorEastAsia" w:eastAsiaTheme="minorEastAsia" w:cstheme="minorEastAsia"/>
          <w:color w:val="auto"/>
          <w:spacing w:val="-10"/>
          <w:sz w:val="21"/>
          <w:szCs w:val="21"/>
          <w:highlight w:val="none"/>
          <w:lang w:eastAsia="zh-CN"/>
        </w:rPr>
        <w:t>招标文件</w:t>
      </w:r>
      <w:r>
        <w:rPr>
          <w:rFonts w:hint="eastAsia" w:asciiTheme="minorEastAsia" w:hAnsiTheme="minorEastAsia" w:eastAsiaTheme="minorEastAsia" w:cstheme="minorEastAsia"/>
          <w:color w:val="auto"/>
          <w:spacing w:val="-10"/>
          <w:sz w:val="21"/>
          <w:szCs w:val="21"/>
          <w:highlight w:val="none"/>
        </w:rPr>
        <w:t>》（</w:t>
      </w:r>
      <w:r>
        <w:rPr>
          <w:rFonts w:hint="eastAsia" w:asciiTheme="minorEastAsia" w:hAnsiTheme="minorEastAsia" w:eastAsiaTheme="minorEastAsia" w:cstheme="minorEastAsia"/>
          <w:color w:val="auto"/>
          <w:spacing w:val="-10"/>
          <w:sz w:val="21"/>
          <w:szCs w:val="21"/>
          <w:highlight w:val="none"/>
          <w:lang w:eastAsia="zh-CN"/>
        </w:rPr>
        <w:t>采购包</w:t>
      </w:r>
      <w:r>
        <w:rPr>
          <w:rFonts w:hint="eastAsia" w:asciiTheme="minorEastAsia" w:hAnsiTheme="minorEastAsia" w:eastAsiaTheme="minorEastAsia" w:cstheme="minorEastAsia"/>
          <w:color w:val="auto"/>
          <w:spacing w:val="-10"/>
          <w:sz w:val="21"/>
          <w:szCs w:val="21"/>
          <w:highlight w:val="none"/>
        </w:rPr>
        <w:t>编号：）、乙方投标文件及</w:t>
      </w:r>
      <w:r>
        <w:rPr>
          <w:rFonts w:hint="eastAsia" w:asciiTheme="minorEastAsia" w:hAnsiTheme="minorEastAsia" w:eastAsiaTheme="minorEastAsia" w:cstheme="minorEastAsia"/>
          <w:color w:val="auto"/>
          <w:spacing w:val="-3"/>
          <w:sz w:val="21"/>
          <w:szCs w:val="21"/>
          <w:highlight w:val="none"/>
        </w:rPr>
        <w:t>相关服务承诺，订立本合同，共同遵守。</w:t>
      </w:r>
    </w:p>
    <w:p w14:paraId="780F42CF">
      <w:pPr>
        <w:pStyle w:val="19"/>
        <w:spacing w:line="360" w:lineRule="auto"/>
        <w:ind w:left="41"/>
        <w:jc w:val="left"/>
        <w:outlineLvl w:val="1"/>
        <w:rPr>
          <w:rFonts w:hint="eastAsia" w:asciiTheme="minorEastAsia" w:hAnsiTheme="minorEastAsia" w:eastAsiaTheme="minorEastAsia" w:cstheme="minorEastAsia"/>
          <w:b/>
          <w:bCs/>
          <w:color w:val="auto"/>
          <w:sz w:val="21"/>
          <w:szCs w:val="21"/>
          <w:highlight w:val="none"/>
        </w:rPr>
      </w:pPr>
      <w:bookmarkStart w:id="301" w:name="_Toc18483"/>
      <w:r>
        <w:rPr>
          <w:rFonts w:hint="eastAsia" w:asciiTheme="minorEastAsia" w:hAnsiTheme="minorEastAsia" w:eastAsiaTheme="minorEastAsia" w:cstheme="minorEastAsia"/>
          <w:b/>
          <w:bCs/>
          <w:color w:val="auto"/>
          <w:spacing w:val="-6"/>
          <w:sz w:val="21"/>
          <w:szCs w:val="21"/>
          <w:highlight w:val="none"/>
        </w:rPr>
        <w:t>一、合同范围</w:t>
      </w:r>
      <w:bookmarkEnd w:id="301"/>
    </w:p>
    <w:p w14:paraId="0D37B9BE">
      <w:pPr>
        <w:pStyle w:val="19"/>
        <w:spacing w:line="360" w:lineRule="auto"/>
        <w:ind w:left="60" w:firstLine="416" w:firstLineChars="200"/>
        <w:jc w:val="left"/>
        <w:rPr>
          <w:rFonts w:hint="eastAsia" w:asciiTheme="minorEastAsia" w:hAnsiTheme="minorEastAsia" w:eastAsiaTheme="minorEastAsia" w:cstheme="minorEastAsia"/>
          <w:color w:val="auto"/>
          <w:spacing w:val="-1"/>
          <w:position w:val="17"/>
          <w:sz w:val="21"/>
          <w:szCs w:val="21"/>
          <w:highlight w:val="none"/>
        </w:rPr>
      </w:pPr>
      <w:r>
        <w:rPr>
          <w:rFonts w:hint="eastAsia" w:asciiTheme="minorEastAsia" w:hAnsiTheme="minorEastAsia" w:eastAsiaTheme="minorEastAsia" w:cstheme="minorEastAsia"/>
          <w:color w:val="auto"/>
          <w:spacing w:val="-1"/>
          <w:position w:val="17"/>
          <w:sz w:val="21"/>
          <w:szCs w:val="21"/>
          <w:highlight w:val="none"/>
        </w:rPr>
        <w:t>本合同的范围是指甲方向乙方采购</w:t>
      </w:r>
      <w:r>
        <w:rPr>
          <w:rFonts w:hint="eastAsia" w:asciiTheme="minorEastAsia" w:hAnsiTheme="minorEastAsia" w:eastAsiaTheme="minorEastAsia" w:cstheme="minorEastAsia"/>
          <w:color w:val="auto"/>
          <w:spacing w:val="-1"/>
          <w:position w:val="17"/>
          <w:sz w:val="21"/>
          <w:szCs w:val="21"/>
          <w:highlight w:val="none"/>
          <w:lang w:eastAsia="zh-CN"/>
        </w:rPr>
        <w:t>南京市公安局江宁分局看守所食堂食材采购</w:t>
      </w:r>
      <w:r>
        <w:rPr>
          <w:rFonts w:hint="eastAsia" w:asciiTheme="minorEastAsia" w:hAnsiTheme="minorEastAsia" w:eastAsiaTheme="minorEastAsia" w:cstheme="minorEastAsia"/>
          <w:color w:val="auto"/>
          <w:spacing w:val="-1"/>
          <w:position w:val="17"/>
          <w:sz w:val="21"/>
          <w:szCs w:val="21"/>
          <w:highlight w:val="none"/>
        </w:rPr>
        <w:t>等事项。</w:t>
      </w:r>
    </w:p>
    <w:p w14:paraId="047445EB">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2" w:name="_Toc17873"/>
      <w:r>
        <w:rPr>
          <w:rFonts w:hint="eastAsia" w:asciiTheme="minorEastAsia" w:hAnsiTheme="minorEastAsia" w:eastAsiaTheme="minorEastAsia" w:cstheme="minorEastAsia"/>
          <w:b/>
          <w:bCs/>
          <w:color w:val="auto"/>
          <w:spacing w:val="-6"/>
          <w:sz w:val="21"/>
          <w:szCs w:val="21"/>
          <w:highlight w:val="none"/>
        </w:rPr>
        <w:t>二、合同供货期限</w:t>
      </w:r>
      <w:bookmarkEnd w:id="302"/>
    </w:p>
    <w:p w14:paraId="45FCB339">
      <w:pPr>
        <w:pStyle w:val="19"/>
        <w:spacing w:line="360" w:lineRule="auto"/>
        <w:ind w:left="519"/>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sz w:val="21"/>
          <w:szCs w:val="21"/>
          <w:highlight w:val="none"/>
        </w:rPr>
        <w:t>本合同自</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日至</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日。</w:t>
      </w:r>
    </w:p>
    <w:p w14:paraId="6F668DAD">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3" w:name="_Toc31411"/>
      <w:r>
        <w:rPr>
          <w:rFonts w:hint="eastAsia" w:asciiTheme="minorEastAsia" w:hAnsiTheme="minorEastAsia" w:eastAsiaTheme="minorEastAsia" w:cstheme="minorEastAsia"/>
          <w:b/>
          <w:bCs/>
          <w:color w:val="auto"/>
          <w:spacing w:val="-6"/>
          <w:sz w:val="21"/>
          <w:szCs w:val="21"/>
          <w:highlight w:val="none"/>
        </w:rPr>
        <w:t>三、供货品种</w:t>
      </w:r>
      <w:bookmarkEnd w:id="303"/>
    </w:p>
    <w:p w14:paraId="416DADAC">
      <w:pPr>
        <w:pStyle w:val="19"/>
        <w:spacing w:line="360" w:lineRule="auto"/>
        <w:ind w:left="54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乙方根据甲方的要求为甲方供应食材。</w:t>
      </w:r>
    </w:p>
    <w:p w14:paraId="367E3B7A">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4" w:name="_Toc7053"/>
      <w:r>
        <w:rPr>
          <w:rFonts w:hint="eastAsia" w:asciiTheme="minorEastAsia" w:hAnsiTheme="minorEastAsia" w:eastAsiaTheme="minorEastAsia" w:cstheme="minorEastAsia"/>
          <w:b/>
          <w:bCs/>
          <w:color w:val="auto"/>
          <w:spacing w:val="-6"/>
          <w:sz w:val="21"/>
          <w:szCs w:val="21"/>
          <w:highlight w:val="none"/>
        </w:rPr>
        <w:t>四、合同金额及付款方式</w:t>
      </w:r>
      <w:bookmarkEnd w:id="304"/>
    </w:p>
    <w:p w14:paraId="216F69E1">
      <w:pPr>
        <w:pStyle w:val="19"/>
        <w:spacing w:line="360" w:lineRule="auto"/>
        <w:ind w:left="40" w:right="156" w:firstLine="495"/>
        <w:jc w:val="left"/>
        <w:rPr>
          <w:rFonts w:hint="eastAsia"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1.本合同所列采购产品单价包含包装、运输、保险、利润、税金、政策性规费等所有费用。其中的运输费用是指送达卸货到甲方指定地点的所有费用。</w:t>
      </w:r>
    </w:p>
    <w:p w14:paraId="0533E9D4">
      <w:pPr>
        <w:pStyle w:val="19"/>
        <w:spacing w:line="360" w:lineRule="auto"/>
        <w:ind w:left="40" w:right="156" w:firstLine="495"/>
        <w:jc w:val="left"/>
        <w:rPr>
          <w:rFonts w:hint="default"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2.按合同约定的方式结算，结算后的合同总价款不超过预算价（大写：</w:t>
      </w:r>
      <w:r>
        <w:rPr>
          <w:rFonts w:hint="eastAsia" w:asciiTheme="minorEastAsia" w:hAnsiTheme="minorEastAsia" w:eastAsiaTheme="minorEastAsia" w:cstheme="minorEastAsia"/>
          <w:color w:val="auto"/>
          <w:spacing w:val="-4"/>
          <w:sz w:val="21"/>
          <w:szCs w:val="21"/>
          <w:highlight w:val="none"/>
          <w:u w:val="single"/>
          <w:lang w:val="en-US" w:eastAsia="zh-CN"/>
        </w:rPr>
        <w:t xml:space="preserve">      元</w:t>
      </w:r>
      <w:r>
        <w:rPr>
          <w:rFonts w:hint="eastAsia" w:asciiTheme="minorEastAsia" w:hAnsiTheme="minorEastAsia" w:eastAsiaTheme="minorEastAsia" w:cstheme="minorEastAsia"/>
          <w:color w:val="auto"/>
          <w:spacing w:val="-4"/>
          <w:sz w:val="21"/>
          <w:szCs w:val="21"/>
          <w:highlight w:val="none"/>
          <w:lang w:val="en-US" w:eastAsia="zh-CN"/>
        </w:rPr>
        <w:t>）。</w:t>
      </w:r>
    </w:p>
    <w:p w14:paraId="4FB49226">
      <w:pPr>
        <w:pStyle w:val="19"/>
        <w:spacing w:line="360" w:lineRule="auto"/>
        <w:ind w:left="40" w:right="156" w:firstLine="495"/>
        <w:jc w:val="left"/>
        <w:rPr>
          <w:rFonts w:hint="eastAsia" w:asciiTheme="minorEastAsia" w:hAnsiTheme="minorEastAsia" w:eastAsiaTheme="minorEastAsia" w:cstheme="minorEastAsia"/>
          <w:color w:val="auto"/>
          <w:spacing w:val="-4"/>
          <w:sz w:val="21"/>
          <w:szCs w:val="21"/>
          <w:highlight w:val="none"/>
          <w:u w:val="single"/>
          <w:lang w:eastAsia="zh-CN"/>
        </w:rPr>
      </w:pPr>
      <w:r>
        <w:rPr>
          <w:rFonts w:hint="eastAsia" w:asciiTheme="minorEastAsia" w:hAnsiTheme="minorEastAsia" w:eastAsiaTheme="minorEastAsia" w:cstheme="minorEastAsia"/>
          <w:color w:val="auto"/>
          <w:spacing w:val="-4"/>
          <w:sz w:val="21"/>
          <w:szCs w:val="21"/>
          <w:highlight w:val="none"/>
          <w:lang w:val="en-US" w:eastAsia="zh-CN"/>
        </w:rPr>
        <w:t>3</w:t>
      </w:r>
      <w:r>
        <w:rPr>
          <w:rFonts w:hint="eastAsia" w:asciiTheme="minorEastAsia" w:hAnsiTheme="minorEastAsia" w:eastAsiaTheme="minorEastAsia" w:cstheme="minorEastAsia"/>
          <w:color w:val="auto"/>
          <w:spacing w:val="-4"/>
          <w:sz w:val="21"/>
          <w:szCs w:val="21"/>
          <w:highlight w:val="none"/>
        </w:rPr>
        <w:t>.甲乙双方约定的供货优惠率为：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u w:val="none"/>
          <w:lang w:eastAsia="zh-CN"/>
        </w:rPr>
        <w:t>。（</w:t>
      </w:r>
      <w:r>
        <w:rPr>
          <w:rFonts w:hint="eastAsia" w:asciiTheme="minorEastAsia" w:hAnsiTheme="minorEastAsia" w:eastAsiaTheme="minorEastAsia" w:cstheme="minorEastAsia"/>
          <w:color w:val="auto"/>
          <w:spacing w:val="-4"/>
          <w:kern w:val="44"/>
          <w:position w:val="6"/>
          <w:sz w:val="21"/>
          <w:szCs w:val="21"/>
          <w:highlight w:val="none"/>
          <w:lang w:val="en-US" w:eastAsia="zh-CN" w:bidi="ar-SA"/>
        </w:rPr>
        <w:t>优惠率=下浮率</w:t>
      </w:r>
      <w:r>
        <w:rPr>
          <w:rFonts w:hint="eastAsia" w:asciiTheme="minorEastAsia" w:hAnsiTheme="minorEastAsia" w:eastAsiaTheme="minorEastAsia" w:cstheme="minorEastAsia"/>
          <w:color w:val="auto"/>
          <w:spacing w:val="-4"/>
          <w:sz w:val="21"/>
          <w:szCs w:val="21"/>
          <w:highlight w:val="none"/>
          <w:u w:val="none"/>
          <w:lang w:eastAsia="zh-CN"/>
        </w:rPr>
        <w:t>）</w:t>
      </w:r>
    </w:p>
    <w:p w14:paraId="3D703DA5">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举例说明：例如供应商A</w:t>
      </w:r>
      <w:r>
        <w:rPr>
          <w:rFonts w:hint="eastAsia" w:asciiTheme="minorEastAsia" w:hAnsiTheme="minorEastAsia" w:eastAsiaTheme="minorEastAsia" w:cstheme="minorEastAsia"/>
          <w:color w:val="auto"/>
          <w:highlight w:val="none"/>
          <w:lang w:val="en-US" w:eastAsia="zh-CN"/>
        </w:rPr>
        <w:t>的</w:t>
      </w:r>
      <w:r>
        <w:rPr>
          <w:rFonts w:hint="eastAsia" w:asciiTheme="minorEastAsia" w:hAnsiTheme="minorEastAsia" w:eastAsiaTheme="minorEastAsia" w:cstheme="minorEastAsia"/>
          <w:color w:val="auto"/>
          <w:highlight w:val="none"/>
        </w:rPr>
        <w:t>优惠</w:t>
      </w:r>
      <w:r>
        <w:rPr>
          <w:rFonts w:hint="eastAsia" w:asciiTheme="minorEastAsia" w:hAnsiTheme="minorEastAsia" w:eastAsiaTheme="minorEastAsia" w:cstheme="minorEastAsia"/>
          <w:color w:val="auto"/>
          <w:highlight w:val="none"/>
          <w:lang w:val="en-US" w:eastAsia="zh-CN"/>
        </w:rPr>
        <w:t>率为10%</w:t>
      </w:r>
      <w:r>
        <w:rPr>
          <w:rFonts w:hint="eastAsia" w:asciiTheme="minorEastAsia" w:hAnsiTheme="minorEastAsia" w:eastAsiaTheme="minorEastAsia" w:cstheme="minorEastAsia"/>
          <w:color w:val="auto"/>
          <w:highlight w:val="none"/>
        </w:rPr>
        <w:t>，</w:t>
      </w:r>
      <w:r>
        <w:rPr>
          <w:rFonts w:hint="eastAsia"/>
          <w:color w:val="auto"/>
          <w:highlight w:val="none"/>
        </w:rPr>
        <w:t>而</w:t>
      </w:r>
      <w:r>
        <w:rPr>
          <w:rFonts w:hint="eastAsia"/>
          <w:color w:val="auto"/>
          <w:highlight w:val="none"/>
          <w:lang w:val="en-US" w:eastAsia="zh-CN"/>
        </w:rPr>
        <w:t>基准价</w:t>
      </w:r>
      <w:r>
        <w:rPr>
          <w:rFonts w:hint="eastAsia"/>
          <w:color w:val="auto"/>
          <w:highlight w:val="none"/>
        </w:rPr>
        <w:t>为10元/斤</w:t>
      </w:r>
      <w:r>
        <w:rPr>
          <w:rFonts w:hint="eastAsia"/>
          <w:color w:val="auto"/>
          <w:highlight w:val="none"/>
          <w:lang w:eastAsia="zh-CN"/>
        </w:rPr>
        <w:t>，</w:t>
      </w:r>
      <w:r>
        <w:rPr>
          <w:rFonts w:hint="eastAsia" w:asciiTheme="minorEastAsia" w:hAnsiTheme="minorEastAsia" w:eastAsiaTheme="minorEastAsia" w:cstheme="minorEastAsia"/>
          <w:color w:val="auto"/>
          <w:highlight w:val="none"/>
        </w:rPr>
        <w:t>则供应商</w:t>
      </w:r>
      <w:r>
        <w:rPr>
          <w:rFonts w:hint="eastAsia" w:asciiTheme="minorEastAsia" w:hAnsiTheme="minorEastAsia" w:eastAsiaTheme="minorEastAsia" w:cstheme="minorEastAsia"/>
          <w:color w:val="auto"/>
          <w:highlight w:val="none"/>
          <w:lang w:val="en-US" w:eastAsia="zh-CN"/>
        </w:rPr>
        <w:t>A优惠后的价格为</w:t>
      </w:r>
      <w:r>
        <w:rPr>
          <w:rFonts w:hint="eastAsia" w:asciiTheme="minorEastAsia" w:hAnsiTheme="minorEastAsia" w:eastAsiaTheme="minorEastAsia" w:cstheme="minorEastAsia"/>
          <w:color w:val="auto"/>
          <w:highlight w:val="none"/>
        </w:rPr>
        <w:t>10×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1-10%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=9元/斤。</w:t>
      </w:r>
    </w:p>
    <w:p w14:paraId="3A0A8FF4">
      <w:pPr>
        <w:numPr>
          <w:ilvl w:val="0"/>
          <w:numId w:val="0"/>
        </w:numPr>
        <w:spacing w:line="360" w:lineRule="auto"/>
        <w:ind w:firstLine="422" w:firstLineChars="20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4.基准价</w:t>
      </w:r>
    </w:p>
    <w:p w14:paraId="7D8D24EC">
      <w:pPr>
        <w:numPr>
          <w:ilvl w:val="0"/>
          <w:numId w:val="0"/>
        </w:num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以“华润苏果超市江宁黄金海岸店（江宁区金箔路999号）的同类商品零售价（正价）”为基准价。</w:t>
      </w:r>
    </w:p>
    <w:p w14:paraId="18D852D0">
      <w:pPr>
        <w:numPr>
          <w:ilvl w:val="0"/>
          <w:numId w:val="0"/>
        </w:num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注：如遇超市中未售卖的品种，可与采购人协商确定。</w:t>
      </w:r>
    </w:p>
    <w:p w14:paraId="0FFBF8BB">
      <w:pPr>
        <w:numPr>
          <w:ilvl w:val="0"/>
          <w:numId w:val="0"/>
        </w:numPr>
        <w:spacing w:line="360" w:lineRule="auto"/>
        <w:ind w:firstLine="422" w:firstLineChars="20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5.结算</w:t>
      </w:r>
    </w:p>
    <w:p w14:paraId="108B409D">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具体</w:t>
      </w:r>
      <w:r>
        <w:rPr>
          <w:rFonts w:hint="eastAsia" w:asciiTheme="minorEastAsia" w:hAnsiTheme="minorEastAsia" w:eastAsiaTheme="minorEastAsia" w:cstheme="minorEastAsia"/>
          <w:color w:val="auto"/>
          <w:spacing w:val="-4"/>
          <w:sz w:val="21"/>
          <w:szCs w:val="21"/>
          <w:highlight w:val="none"/>
          <w:u w:val="none"/>
          <w:lang w:eastAsia="zh-CN"/>
        </w:rPr>
        <w:t>结算</w:t>
      </w:r>
      <w:r>
        <w:rPr>
          <w:rFonts w:hint="eastAsia" w:asciiTheme="minorEastAsia" w:hAnsiTheme="minorEastAsia" w:eastAsiaTheme="minorEastAsia" w:cstheme="minorEastAsia"/>
          <w:color w:val="auto"/>
          <w:spacing w:val="-4"/>
          <w:sz w:val="21"/>
          <w:szCs w:val="21"/>
          <w:highlight w:val="none"/>
          <w:lang w:eastAsia="zh-CN"/>
        </w:rPr>
        <w:t>方式如下：</w:t>
      </w:r>
      <w:r>
        <w:rPr>
          <w:rFonts w:hint="eastAsia" w:asciiTheme="minorEastAsia" w:hAnsiTheme="minorEastAsia" w:eastAsiaTheme="minorEastAsia" w:cstheme="minorEastAsia"/>
          <w:color w:val="auto"/>
          <w:highlight w:val="none"/>
        </w:rPr>
        <w:t xml:space="preserve"> </w:t>
      </w:r>
    </w:p>
    <w:p w14:paraId="11042FFF">
      <w:pPr>
        <w:spacing w:line="360" w:lineRule="auto"/>
        <w:ind w:firstLine="42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供应商按照采购合同交货后，</w:t>
      </w:r>
      <w:r>
        <w:rPr>
          <w:rFonts w:hint="eastAsia" w:asciiTheme="minorEastAsia" w:hAnsiTheme="minorEastAsia" w:eastAsiaTheme="minorEastAsia" w:cstheme="minorEastAsia"/>
          <w:color w:val="auto"/>
          <w:highlight w:val="none"/>
          <w:lang w:val="en-US" w:eastAsia="zh-CN"/>
        </w:rPr>
        <w:t>供应商和采购人均需保留</w:t>
      </w:r>
      <w:r>
        <w:rPr>
          <w:rFonts w:hint="eastAsia" w:asciiTheme="minorEastAsia" w:hAnsiTheme="minorEastAsia" w:eastAsiaTheme="minorEastAsia" w:cstheme="minorEastAsia"/>
          <w:color w:val="auto"/>
          <w:highlight w:val="none"/>
        </w:rPr>
        <w:t>双方签字的验收</w:t>
      </w:r>
      <w:r>
        <w:rPr>
          <w:rFonts w:hint="eastAsia" w:asciiTheme="minorEastAsia" w:hAnsiTheme="minorEastAsia" w:eastAsiaTheme="minorEastAsia" w:cstheme="minorEastAsia"/>
          <w:color w:val="auto"/>
          <w:highlight w:val="none"/>
          <w:lang w:val="en-US" w:eastAsia="zh-CN"/>
        </w:rPr>
        <w:t>单</w:t>
      </w:r>
      <w:r>
        <w:rPr>
          <w:rFonts w:hint="eastAsia" w:asciiTheme="minorEastAsia" w:hAnsiTheme="minorEastAsia" w:eastAsiaTheme="minorEastAsia" w:cstheme="minorEastAsia"/>
          <w:color w:val="auto"/>
          <w:highlight w:val="none"/>
        </w:rPr>
        <w:t>，作结算凭证</w:t>
      </w:r>
      <w:r>
        <w:rPr>
          <w:rFonts w:hint="eastAsia" w:asciiTheme="minorEastAsia" w:hAnsiTheme="minorEastAsia" w:eastAsiaTheme="minorEastAsia" w:cstheme="minorEastAsia"/>
          <w:color w:val="auto"/>
          <w:highlight w:val="none"/>
          <w:lang w:eastAsia="zh-CN"/>
        </w:rPr>
        <w:t>。</w:t>
      </w:r>
    </w:p>
    <w:p w14:paraId="3DB01B10">
      <w:pPr>
        <w:spacing w:line="360" w:lineRule="auto"/>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（2）每月结算一次，按时结算。每月实际货款=每月实际采购量*优惠后的价格（基准价*（1-中标优惠率））-当月考核经济处罚。（经济处罚规则详见考核办法）</w:t>
      </w:r>
    </w:p>
    <w:p w14:paraId="5E6D60B9">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双方应严格按照</w:t>
      </w:r>
      <w:r>
        <w:rPr>
          <w:rFonts w:hint="eastAsia" w:asciiTheme="minorEastAsia" w:hAnsiTheme="minorEastAsia" w:eastAsiaTheme="minorEastAsia" w:cstheme="minorEastAsia"/>
          <w:color w:val="auto"/>
          <w:highlight w:val="none"/>
          <w:lang w:val="en-US" w:eastAsia="zh-CN"/>
        </w:rPr>
        <w:t>优惠率</w:t>
      </w:r>
      <w:r>
        <w:rPr>
          <w:rFonts w:hint="eastAsia" w:asciiTheme="minorEastAsia" w:hAnsiTheme="minorEastAsia" w:eastAsiaTheme="minorEastAsia" w:cstheme="minorEastAsia"/>
          <w:color w:val="auto"/>
          <w:highlight w:val="none"/>
        </w:rPr>
        <w:t>结算合同款项，供应商须按所送食材清单</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lang w:val="en-US" w:eastAsia="zh-CN"/>
        </w:rPr>
        <w:t>基准价</w:t>
      </w:r>
      <w:r>
        <w:rPr>
          <w:rFonts w:hint="eastAsia" w:asciiTheme="minorEastAsia" w:hAnsiTheme="minorEastAsia" w:eastAsiaTheme="minorEastAsia" w:cstheme="minorEastAsia"/>
          <w:color w:val="auto"/>
          <w:highlight w:val="none"/>
        </w:rPr>
        <w:t>，要求每周</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rPr>
        <w:t>一次或按供货频率</w:t>
      </w:r>
      <w:r>
        <w:rPr>
          <w:rFonts w:hint="eastAsia" w:ascii="宋体" w:hAnsi="宋体" w:eastAsia="宋体" w:cs="宋体"/>
          <w:color w:val="auto"/>
          <w:sz w:val="21"/>
          <w:szCs w:val="21"/>
          <w:highlight w:val="none"/>
        </w:rPr>
        <w:t>收集</w:t>
      </w:r>
      <w:r>
        <w:rPr>
          <w:rFonts w:hint="eastAsia" w:asciiTheme="minorEastAsia" w:hAnsiTheme="minorEastAsia" w:eastAsiaTheme="minorEastAsia" w:cstheme="minorEastAsia"/>
          <w:color w:val="auto"/>
          <w:highlight w:val="none"/>
        </w:rPr>
        <w:t>，同时</w:t>
      </w:r>
      <w:r>
        <w:rPr>
          <w:rFonts w:hint="eastAsia" w:asciiTheme="minorEastAsia" w:hAnsiTheme="minorEastAsia" w:eastAsiaTheme="minorEastAsia" w:cstheme="minorEastAsia"/>
          <w:color w:val="auto"/>
          <w:highlight w:val="none"/>
          <w:lang w:val="en-US" w:eastAsia="zh-CN"/>
        </w:rPr>
        <w:t>保存</w:t>
      </w:r>
      <w:r>
        <w:rPr>
          <w:rFonts w:hint="eastAsia" w:asciiTheme="minorEastAsia" w:hAnsiTheme="minorEastAsia" w:eastAsiaTheme="minorEastAsia" w:cstheme="minorEastAsia"/>
          <w:color w:val="auto"/>
          <w:highlight w:val="none"/>
        </w:rPr>
        <w:t>相应的</w:t>
      </w:r>
      <w:r>
        <w:rPr>
          <w:rFonts w:hint="eastAsia" w:asciiTheme="minorEastAsia" w:hAnsiTheme="minorEastAsia" w:eastAsiaTheme="minorEastAsia" w:cstheme="minorEastAsia"/>
          <w:color w:val="auto"/>
          <w:highlight w:val="none"/>
          <w:lang w:val="en-US" w:eastAsia="zh-CN"/>
        </w:rPr>
        <w:t>基准价</w:t>
      </w:r>
      <w:r>
        <w:rPr>
          <w:rFonts w:hint="eastAsia" w:asciiTheme="minorEastAsia" w:hAnsiTheme="minorEastAsia" w:eastAsiaTheme="minorEastAsia" w:cstheme="minorEastAsia"/>
          <w:color w:val="auto"/>
          <w:highlight w:val="none"/>
        </w:rPr>
        <w:t>证明材料作结算凭证(材料应具备可追溯性，例如</w:t>
      </w:r>
      <w:r>
        <w:rPr>
          <w:rFonts w:hint="eastAsia" w:asciiTheme="minorEastAsia" w:hAnsiTheme="minorEastAsia" w:eastAsiaTheme="minorEastAsia" w:cstheme="minorEastAsia"/>
          <w:color w:val="auto"/>
          <w:highlight w:val="none"/>
          <w:lang w:val="en-US" w:eastAsia="zh-CN"/>
        </w:rPr>
        <w:t>注明日期的网页截图、</w:t>
      </w:r>
      <w:r>
        <w:rPr>
          <w:rFonts w:hint="eastAsia" w:asciiTheme="minorEastAsia" w:hAnsiTheme="minorEastAsia" w:eastAsiaTheme="minorEastAsia" w:cstheme="minorEastAsia"/>
          <w:color w:val="auto"/>
          <w:highlight w:val="none"/>
        </w:rPr>
        <w:t>价格标签照片、app截图等)</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并承诺证明材料的真实性。</w:t>
      </w: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将</w:t>
      </w:r>
      <w:r>
        <w:rPr>
          <w:rFonts w:hint="eastAsia" w:ascii="宋体" w:hAnsi="宋体" w:eastAsia="宋体" w:cs="宋体"/>
          <w:color w:val="auto"/>
          <w:highlight w:val="none"/>
        </w:rPr>
        <w:t>不定期对供应商提供的</w:t>
      </w:r>
      <w:r>
        <w:rPr>
          <w:rFonts w:hint="eastAsia" w:ascii="宋体" w:hAnsi="宋体" w:eastAsia="宋体" w:cs="宋体"/>
          <w:color w:val="auto"/>
          <w:highlight w:val="none"/>
          <w:lang w:val="en-US" w:eastAsia="zh-CN"/>
        </w:rPr>
        <w:t>基准价</w:t>
      </w:r>
      <w:r>
        <w:rPr>
          <w:rFonts w:hint="eastAsia" w:ascii="宋体" w:hAnsi="宋体" w:eastAsia="宋体" w:cs="宋体"/>
          <w:color w:val="auto"/>
          <w:highlight w:val="none"/>
        </w:rPr>
        <w:t>进行抽查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复核。</w:t>
      </w:r>
    </w:p>
    <w:p w14:paraId="22DC033A">
      <w:pPr>
        <w:spacing w:line="360" w:lineRule="auto"/>
        <w:ind w:firstLine="42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6.付款</w:t>
      </w:r>
    </w:p>
    <w:p w14:paraId="209C0BF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供应商于合同履行期次月开始，</w:t>
      </w:r>
      <w:r>
        <w:rPr>
          <w:rFonts w:hint="eastAsia" w:asciiTheme="minorEastAsia" w:hAnsiTheme="minorEastAsia" w:eastAsiaTheme="minorEastAsia" w:cstheme="minorEastAsia"/>
          <w:color w:val="auto"/>
          <w:highlight w:val="none"/>
          <w:lang w:val="en-US" w:eastAsia="zh-CN"/>
        </w:rPr>
        <w:t>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p>
    <w:p w14:paraId="5A0B63C6">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采购人对供应商提供的付款</w:t>
      </w:r>
      <w:r>
        <w:rPr>
          <w:rFonts w:hint="eastAsia" w:asciiTheme="minorEastAsia" w:hAnsiTheme="minorEastAsia" w:eastAsiaTheme="minorEastAsia" w:cstheme="minorEastAsia"/>
          <w:color w:val="auto"/>
          <w:highlight w:val="none"/>
          <w:lang w:val="en-US" w:eastAsia="zh-CN"/>
        </w:rPr>
        <w:t>申请</w:t>
      </w:r>
      <w:r>
        <w:rPr>
          <w:rFonts w:hint="eastAsia" w:asciiTheme="minorEastAsia" w:hAnsiTheme="minorEastAsia" w:eastAsiaTheme="minorEastAsia" w:cstheme="minorEastAsia"/>
          <w:color w:val="auto"/>
          <w:highlight w:val="none"/>
        </w:rPr>
        <w:t>资料审核通过后</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供应商</w:t>
      </w:r>
      <w:r>
        <w:rPr>
          <w:rFonts w:hint="eastAsia" w:asciiTheme="minorEastAsia" w:hAnsiTheme="minorEastAsia" w:eastAsiaTheme="minorEastAsia" w:cstheme="minorEastAsia"/>
          <w:color w:val="auto"/>
          <w:highlight w:val="none"/>
        </w:rPr>
        <w:t>根据双方核定的金额</w:t>
      </w:r>
      <w:r>
        <w:rPr>
          <w:rFonts w:hint="eastAsia" w:asciiTheme="minorEastAsia" w:hAnsiTheme="minorEastAsia" w:eastAsiaTheme="minorEastAsia" w:cstheme="minorEastAsia"/>
          <w:color w:val="auto"/>
          <w:highlight w:val="none"/>
          <w:lang w:val="en-US" w:eastAsia="zh-CN"/>
        </w:rPr>
        <w:t>开具发票；采购人在收到发票后7个工作日内，</w:t>
      </w:r>
      <w:r>
        <w:rPr>
          <w:rFonts w:hint="eastAsia" w:asciiTheme="minorEastAsia" w:hAnsiTheme="minorEastAsia" w:eastAsiaTheme="minorEastAsia" w:cstheme="minorEastAsia"/>
          <w:color w:val="auto"/>
          <w:highlight w:val="none"/>
        </w:rPr>
        <w:t>以转账方式向供应商支付</w:t>
      </w:r>
      <w:r>
        <w:rPr>
          <w:rFonts w:hint="eastAsia" w:asciiTheme="minorEastAsia" w:hAnsiTheme="minorEastAsia" w:eastAsiaTheme="minorEastAsia" w:cstheme="minorEastAsia"/>
          <w:color w:val="auto"/>
          <w:highlight w:val="none"/>
          <w:lang w:val="en-US" w:eastAsia="zh-CN"/>
        </w:rPr>
        <w:t>货款</w:t>
      </w:r>
      <w:r>
        <w:rPr>
          <w:rFonts w:hint="eastAsia" w:asciiTheme="minorEastAsia" w:hAnsiTheme="minorEastAsia" w:eastAsiaTheme="minorEastAsia" w:cstheme="minorEastAsia"/>
          <w:color w:val="auto"/>
          <w:highlight w:val="none"/>
        </w:rPr>
        <w:t xml:space="preserve">。 </w:t>
      </w:r>
    </w:p>
    <w:p w14:paraId="7E5EE80D">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5" w:name="_Toc24684"/>
      <w:r>
        <w:rPr>
          <w:rFonts w:hint="eastAsia" w:asciiTheme="minorEastAsia" w:hAnsiTheme="minorEastAsia" w:eastAsiaTheme="minorEastAsia" w:cstheme="minorEastAsia"/>
          <w:b/>
          <w:bCs/>
          <w:color w:val="auto"/>
          <w:spacing w:val="-6"/>
          <w:sz w:val="21"/>
          <w:szCs w:val="21"/>
          <w:highlight w:val="none"/>
          <w:lang w:val="en-US" w:eastAsia="zh-CN"/>
        </w:rPr>
        <w:t>五</w:t>
      </w:r>
      <w:r>
        <w:rPr>
          <w:rFonts w:hint="eastAsia" w:asciiTheme="minorEastAsia" w:hAnsiTheme="minorEastAsia" w:eastAsiaTheme="minorEastAsia" w:cstheme="minorEastAsia"/>
          <w:b/>
          <w:bCs/>
          <w:color w:val="auto"/>
          <w:spacing w:val="-6"/>
          <w:sz w:val="21"/>
          <w:szCs w:val="21"/>
          <w:highlight w:val="none"/>
        </w:rPr>
        <w:t>、合同文件的组成和解释顺序如下：</w:t>
      </w:r>
      <w:bookmarkEnd w:id="305"/>
    </w:p>
    <w:p w14:paraId="7B3F55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rPr>
        <w:t>1、本合同执行中双方共同签署的补充与修正文件及双方确认的明</w:t>
      </w:r>
      <w:r>
        <w:rPr>
          <w:rFonts w:hint="eastAsia" w:ascii="宋体" w:hAnsi="宋体" w:eastAsia="宋体" w:cs="宋体"/>
          <w:color w:val="auto"/>
          <w:sz w:val="21"/>
          <w:szCs w:val="21"/>
        </w:rPr>
        <w:t>确双方权利、义务的会谈纪要；</w:t>
      </w:r>
    </w:p>
    <w:p w14:paraId="11E322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2.本合同书；</w:t>
      </w:r>
    </w:p>
    <w:p w14:paraId="3EB670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3.本项目中标或成交通知书；</w:t>
      </w:r>
    </w:p>
    <w:p w14:paraId="0CECC2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3.乙方的本项目投标文件或响应文件；</w:t>
      </w:r>
    </w:p>
    <w:p w14:paraId="5DD7AA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4.本项目招标文件中的合同条款；</w:t>
      </w:r>
    </w:p>
    <w:p w14:paraId="4A6385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5.本项目招标文件或采购文件中的采购需求；</w:t>
      </w:r>
    </w:p>
    <w:p w14:paraId="69C06E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6.其他合同文件（需列明）。</w:t>
      </w:r>
    </w:p>
    <w:p w14:paraId="11E9DC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上述文件互相补充和解释，如有不明确或不一致之处，按照上述文件次序在先者为准。同一层次合同文件有矛盾的，以时间较后的为准。</w:t>
      </w:r>
    </w:p>
    <w:p w14:paraId="6F9B54AB">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6" w:name="_Toc10680"/>
      <w:r>
        <w:rPr>
          <w:rFonts w:hint="eastAsia" w:asciiTheme="minorEastAsia" w:hAnsiTheme="minorEastAsia" w:eastAsiaTheme="minorEastAsia" w:cstheme="minorEastAsia"/>
          <w:b/>
          <w:bCs/>
          <w:color w:val="auto"/>
          <w:spacing w:val="-6"/>
          <w:sz w:val="21"/>
          <w:szCs w:val="21"/>
          <w:highlight w:val="none"/>
          <w:lang w:val="en-US" w:eastAsia="zh-CN"/>
        </w:rPr>
        <w:t>六</w:t>
      </w:r>
      <w:r>
        <w:rPr>
          <w:rFonts w:hint="eastAsia" w:asciiTheme="minorEastAsia" w:hAnsiTheme="minorEastAsia" w:eastAsiaTheme="minorEastAsia" w:cstheme="minorEastAsia"/>
          <w:b/>
          <w:bCs/>
          <w:color w:val="auto"/>
          <w:spacing w:val="-6"/>
          <w:sz w:val="21"/>
          <w:szCs w:val="21"/>
          <w:highlight w:val="none"/>
        </w:rPr>
        <w:t>、合同条款：</w:t>
      </w:r>
      <w:bookmarkEnd w:id="306"/>
    </w:p>
    <w:p w14:paraId="51917C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1.服务质量标准和要求</w:t>
      </w:r>
    </w:p>
    <w:p w14:paraId="58FBDE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乙方所提供的服务标准按照国家标准或地方标准或行业标准或企业标准确定，均有标准的以高者（严格者）为准。没有国家标准、地方标准、行业标准和企业标准的，按照通常标准或者符合合同目的的特定标准确定。</w:t>
      </w:r>
    </w:p>
    <w:p w14:paraId="40FFA3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乙方所提供的服务还应符合国家和南京市之有关规定。</w:t>
      </w:r>
    </w:p>
    <w:p w14:paraId="7DE308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乙方的权利和义务</w:t>
      </w:r>
    </w:p>
    <w:p w14:paraId="693137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2.1乙方有权在履行合同期间内取得按合同约定应有的报酬。</w:t>
      </w:r>
    </w:p>
    <w:p w14:paraId="2D353D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2.2乙方在项目服务过程中，如甲方提供的资料不明确时可向甲方提出书面报告。</w:t>
      </w:r>
    </w:p>
    <w:p w14:paraId="0AAC38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2.3乙方有权在合同履行期间得到甲方必要的支持，有权拒绝执行甲方任何不符合有关法律、法规规定的要求。</w:t>
      </w:r>
    </w:p>
    <w:p w14:paraId="471EB6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2.4乙方应严格遵守国家、地方的法律、法规的规定，保证在合法且不侵犯他人利益的原则下进行所委托项目服务活动，并对其所进行的与委托有关的服务活动负责。</w:t>
      </w:r>
    </w:p>
    <w:p w14:paraId="30514D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2.5乙方应按本合同所述的时间、服务范围和内容，尽自己的一切努力，按行业通常接受的技术惯例和专业机构承认的标准，高效地履行自己的义务。在项目执行过程中支持和维护国家和甲方的合法利益；</w:t>
      </w:r>
    </w:p>
    <w:p w14:paraId="181086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乙方应对履行本合同所规定的服务以及在履行中因自己违约而给甲方造成的损失承担责任并应当向甲方进行赔偿，累计赔偿总额不应超过酬金总额。但下例情况除外：</w:t>
      </w:r>
    </w:p>
    <w:p w14:paraId="5F6F72C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（1）非乙方的行为、过失、违约或失职造成的损失或伤害；</w:t>
      </w:r>
    </w:p>
    <w:p w14:paraId="26FDF5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（2）不可抗力造成的损失。</w:t>
      </w:r>
    </w:p>
    <w:p w14:paraId="2592BB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p>
    <w:p w14:paraId="61BA06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乙方应对本项目所提供服务结果的可靠性、准确性、全面性向甲方负责，由于服务结果的可靠性、准确性、全面性不足而导致甲方工作偏差或失误，乙方应承担责任。</w:t>
      </w:r>
    </w:p>
    <w:p w14:paraId="0A30DB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乙方在履行合同期间或合同规定期限内，履行本合同所确定的项目负责人及主要专业技术、管理人员等必须是本单位职工和该项目的实际操作者，未经甲方同意，乙方不得调换或撤离上述人员。</w:t>
      </w:r>
    </w:p>
    <w:p w14:paraId="096C486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乙方在本合同履行期间均不能直接或间接从事与本合同中活动相冲突的商业或职业活动，不得以任何理由向甲方任何工作人员行贿或有类似的行为。</w:t>
      </w:r>
    </w:p>
    <w:p w14:paraId="53F689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甲方的权利和义务</w:t>
      </w:r>
    </w:p>
    <w:p w14:paraId="7782FA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3.1甲方有权向乙方询问工作进展情况及相关的内容， 有权检查乙方的服务工作质量，有权要求乙方以书面形式就前述内容进行汇报。</w:t>
      </w:r>
    </w:p>
    <w:p w14:paraId="79F2F0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3.2甲方有权对具体的问题提出建议和意见。</w:t>
      </w:r>
    </w:p>
    <w:p w14:paraId="60D228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p>
    <w:p w14:paraId="42BE2F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3.4甲方有权同意或不同意乙方因自身工作需要而更换合同约定的主要工作小组成员的要求。</w:t>
      </w:r>
    </w:p>
    <w:p w14:paraId="4F9192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3.5甲方有权得到合同范围内乙方的服务和其服务成果。乙方提交的全部服务成果及相关资料，所具有的知识产权归甲方所有并使用（合同另有规定的除外），乙方就此不做任何的权利保留。</w:t>
      </w:r>
    </w:p>
    <w:p w14:paraId="61C6D8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甲方应当在合同履约中，督促、协调与本项目服务有关的第三人（与合同履行有关的相关单位）协同乙方办理有关服务事项。</w:t>
      </w:r>
    </w:p>
    <w:p w14:paraId="464231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3.7甲方应当在7个工作日内就乙方书面提交并要求做出答复的事宜做出书面答复。乙方要求第三人提供有关资料时，甲方可根据自己的能力负责协调、转达及资料转送，但并不成为甲方当然的义务。</w:t>
      </w:r>
    </w:p>
    <w:p w14:paraId="58B4DB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3.8甲方应当履行本合同约定的义务，如有违反则应当承担违约责任，赔偿给乙方造成的直接经济损失。</w:t>
      </w:r>
    </w:p>
    <w:p w14:paraId="1C37F9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违约责任</w:t>
      </w:r>
    </w:p>
    <w:p w14:paraId="4798F8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4.1乙方未按合同约定的质量标准履行服务职责，但未给甲方造成损失的，甲方可要求乙方整改，乙方达到服务质量标准后，甲方应支付相应的服务费用。</w:t>
      </w:r>
    </w:p>
    <w:p w14:paraId="33D270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p>
    <w:p w14:paraId="17C368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因乙方原因导致违反法律、法规和规章规定的行为的，甲方有权单方解除合同，并要求乙方按合同4.</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条承担违约金并赔偿相关损失。</w:t>
      </w:r>
    </w:p>
    <w:p w14:paraId="26FE9B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合同履约过程中，若乙方在合同中承诺的主要服务人员安排情况自行变动而未经甲方同意的，将按照合同4.</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条的违约责任处理，情况严重者，甲方有权终止合同。</w:t>
      </w:r>
    </w:p>
    <w:p w14:paraId="5E7822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争议解决方式</w:t>
      </w:r>
    </w:p>
    <w:p w14:paraId="2B43E3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5.1双方发生争议的，可协商解决，或向有关部门申请调解；也可（请在选择项中打“√”）</w:t>
      </w:r>
    </w:p>
    <w:p w14:paraId="336ADF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）提请甲方所在地仲裁委员会仲裁。</w:t>
      </w:r>
    </w:p>
    <w:p w14:paraId="209EAD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）向甲方所在地法院提起诉讼。</w:t>
      </w:r>
    </w:p>
    <w:p w14:paraId="4320C401">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7" w:name="_Toc7056"/>
      <w:r>
        <w:rPr>
          <w:rFonts w:hint="eastAsia" w:asciiTheme="minorEastAsia" w:hAnsiTheme="minorEastAsia" w:eastAsiaTheme="minorEastAsia" w:cstheme="minorEastAsia"/>
          <w:b/>
          <w:bCs/>
          <w:color w:val="auto"/>
          <w:spacing w:val="-6"/>
          <w:sz w:val="21"/>
          <w:szCs w:val="21"/>
          <w:highlight w:val="none"/>
          <w:lang w:val="en-US" w:eastAsia="zh-CN"/>
        </w:rPr>
        <w:t>七、</w:t>
      </w:r>
      <w:r>
        <w:rPr>
          <w:rFonts w:hint="eastAsia" w:asciiTheme="minorEastAsia" w:hAnsiTheme="minorEastAsia" w:eastAsiaTheme="minorEastAsia" w:cstheme="minorEastAsia"/>
          <w:b/>
          <w:bCs/>
          <w:color w:val="auto"/>
          <w:spacing w:val="-6"/>
          <w:sz w:val="21"/>
          <w:szCs w:val="21"/>
          <w:highlight w:val="none"/>
        </w:rPr>
        <w:t>其它约定事项：</w:t>
      </w:r>
      <w:bookmarkEnd w:id="307"/>
    </w:p>
    <w:p w14:paraId="0654CA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w:t>
      </w:r>
      <w:r>
        <w:rPr>
          <w:rFonts w:hint="eastAsia" w:ascii="宋体" w:hAnsi="宋体" w:eastAsia="宋体" w:cs="宋体"/>
          <w:color w:val="auto"/>
          <w:sz w:val="21"/>
          <w:szCs w:val="21"/>
          <w:highlight w:val="none"/>
          <w:lang w:eastAsia="zh-CN"/>
        </w:rPr>
        <w:t>交货时间、地点与方式：</w:t>
      </w:r>
      <w:r>
        <w:rPr>
          <w:rFonts w:hint="eastAsia" w:ascii="宋体" w:hAnsi="宋体" w:eastAsia="宋体" w:cs="宋体"/>
          <w:color w:val="auto"/>
          <w:sz w:val="21"/>
          <w:szCs w:val="21"/>
          <w:highlight w:val="none"/>
          <w:lang w:val="en-US" w:eastAsia="zh-CN"/>
        </w:rPr>
        <w:t xml:space="preserve"> 根据双方协商决定配送时间，中标供应商每天将采购人提供的订单内所有食材送到采购人指定的地点并配送完毕，中标供应商提供《送货清单》一式三份，双方现场过秤并验收签名，作结算凭证。</w:t>
      </w:r>
    </w:p>
    <w:p w14:paraId="24ABDB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7.2</w:t>
      </w:r>
      <w:r>
        <w:rPr>
          <w:rFonts w:hint="eastAsia" w:ascii="宋体" w:hAnsi="宋体" w:eastAsia="宋体" w:cs="宋体"/>
          <w:color w:val="auto"/>
          <w:sz w:val="21"/>
          <w:szCs w:val="21"/>
          <w:highlight w:val="none"/>
          <w:lang w:val="zh-CN" w:eastAsia="zh-CN"/>
        </w:rPr>
        <w:t>售后服务：</w:t>
      </w:r>
    </w:p>
    <w:p w14:paraId="541AF8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中标供应商（乙方）应对采购人（</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val="zh-CN" w:eastAsia="zh-CN"/>
        </w:rPr>
        <w:t>）配送做出以下服务承诺（包括但不限于以下内容）：</w:t>
      </w:r>
    </w:p>
    <w:p w14:paraId="551A5E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1、按照国家《产品质量法》、《食品安全法》和招标书提供的《</w:t>
      </w:r>
      <w:r>
        <w:rPr>
          <w:rFonts w:hint="eastAsia" w:ascii="宋体" w:hAnsi="宋体" w:eastAsia="宋体" w:cs="宋体"/>
          <w:color w:val="auto"/>
          <w:sz w:val="21"/>
          <w:szCs w:val="21"/>
          <w:highlight w:val="none"/>
          <w:lang w:val="en-US" w:eastAsia="zh-CN"/>
        </w:rPr>
        <w:t>主</w:t>
      </w:r>
      <w:r>
        <w:rPr>
          <w:rFonts w:hint="eastAsia" w:ascii="宋体" w:hAnsi="宋体" w:eastAsia="宋体" w:cs="宋体"/>
          <w:color w:val="auto"/>
          <w:sz w:val="21"/>
          <w:szCs w:val="21"/>
          <w:highlight w:val="none"/>
          <w:lang w:val="zh-CN" w:eastAsia="zh-CN"/>
        </w:rPr>
        <w:t>副食品质量标准》等相关规定，保质、保量为甲方供应所需</w:t>
      </w:r>
      <w:r>
        <w:rPr>
          <w:rFonts w:hint="eastAsia" w:ascii="宋体" w:hAnsi="宋体" w:eastAsia="宋体" w:cs="宋体"/>
          <w:color w:val="auto"/>
          <w:sz w:val="21"/>
          <w:szCs w:val="21"/>
          <w:highlight w:val="none"/>
          <w:lang w:val="en-US" w:eastAsia="zh-CN"/>
        </w:rPr>
        <w:t>主</w:t>
      </w:r>
      <w:r>
        <w:rPr>
          <w:rFonts w:hint="eastAsia" w:ascii="宋体" w:hAnsi="宋体" w:eastAsia="宋体" w:cs="宋体"/>
          <w:color w:val="auto"/>
          <w:sz w:val="21"/>
          <w:szCs w:val="21"/>
          <w:highlight w:val="none"/>
          <w:lang w:val="zh-CN" w:eastAsia="zh-CN"/>
        </w:rPr>
        <w:t>副食品，做到各类资质齐全。若供应的货物出现质量问题，引发不良事件发生，由乙方承担全部经济责任和法律责任。</w:t>
      </w:r>
    </w:p>
    <w:p w14:paraId="34C4B04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2、在服务过程中，严格按照甲方要求的时间供货，未按时将货物送达指定地点，给甲方造成的损失概由乙方承担。</w:t>
      </w:r>
    </w:p>
    <w:p w14:paraId="38E990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乙方保证按照甲方要求的品种、规格、数量进行配送，验收时若发现货物质量未达到招标文件规定，乙方无条件在甲方规定时间内更换，由此产生的相关费用由乙方承担；若未更换或未按时更换，乙方自愿接受甲方的处罚。</w:t>
      </w:r>
    </w:p>
    <w:p w14:paraId="7C3517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4、若乙方出现对不符合质量要求的产品不予更换或未按时更换的情况三次，甲方有权扣除乙方全部履约保证金并解除本合同。</w:t>
      </w:r>
    </w:p>
    <w:p w14:paraId="5E26C1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5、乙方接到甲方每批次送货通知后，超过1日未能履行送货义务，甲方有权解除本合同，履约保证金予以没收。 </w:t>
      </w:r>
    </w:p>
    <w:p w14:paraId="069ED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6、甲方临时补货，乙方按要求按时送货，若未按时送货造成的所有损失由乙方承担。</w:t>
      </w:r>
    </w:p>
    <w:p w14:paraId="3A40E5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7、在服务过程中，乙方保证不得向</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eastAsia="zh-CN"/>
        </w:rPr>
        <w:t>相关人员提供回扣等违纪事件的发生。</w:t>
      </w:r>
    </w:p>
    <w:p w14:paraId="59AC03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8、在服务过程中，供货方严格遵守地方和部队的交通安全规定及有关管理规定，如有违反，发生交通事故等，由乙方承担全部经济责任和法律责任。</w:t>
      </w:r>
    </w:p>
    <w:p w14:paraId="5DE43D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9、乙方承诺参加此次招标采购活动前三年内，无违法违规行为，无行业处罚、惩戒等不良执业记录及不良反映。如有隐瞒，乙方将承担一切法律后果。</w:t>
      </w:r>
    </w:p>
    <w:p w14:paraId="56BDDD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10、对于违反上述条款要求，</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eastAsia="zh-CN"/>
        </w:rPr>
        <w:t>有权终止和取消乙方的供货资格。</w:t>
      </w:r>
    </w:p>
    <w:p w14:paraId="160A82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11、乙方在服务期间必须遵守军地相关疫情防控要求。</w:t>
      </w:r>
    </w:p>
    <w:p w14:paraId="7DBED11E">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8" w:name="_Toc23683"/>
      <w:r>
        <w:rPr>
          <w:rFonts w:hint="eastAsia" w:asciiTheme="minorEastAsia" w:hAnsiTheme="minorEastAsia" w:eastAsiaTheme="minorEastAsia" w:cstheme="minorEastAsia"/>
          <w:b/>
          <w:bCs/>
          <w:color w:val="auto"/>
          <w:spacing w:val="-6"/>
          <w:sz w:val="21"/>
          <w:szCs w:val="21"/>
          <w:highlight w:val="none"/>
          <w:lang w:val="en-US" w:eastAsia="zh-CN"/>
        </w:rPr>
        <w:t>八、</w:t>
      </w:r>
      <w:r>
        <w:rPr>
          <w:rFonts w:hint="eastAsia" w:asciiTheme="minorEastAsia" w:hAnsiTheme="minorEastAsia" w:eastAsiaTheme="minorEastAsia" w:cstheme="minorEastAsia"/>
          <w:b/>
          <w:bCs/>
          <w:color w:val="auto"/>
          <w:spacing w:val="-6"/>
          <w:sz w:val="21"/>
          <w:szCs w:val="21"/>
          <w:highlight w:val="none"/>
        </w:rPr>
        <w:t>合同附件</w:t>
      </w:r>
      <w:bookmarkEnd w:id="308"/>
    </w:p>
    <w:p w14:paraId="70D239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本合同附件与合同具有同等效力。</w:t>
      </w:r>
    </w:p>
    <w:p w14:paraId="5432BA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.2合同文件应能相互解释，互为说明。若合同文件之间有矛盾，则以最新的文件为准。</w:t>
      </w:r>
    </w:p>
    <w:p w14:paraId="2E4D2B75">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09" w:name="_Toc5927"/>
      <w:r>
        <w:rPr>
          <w:rFonts w:hint="eastAsia" w:asciiTheme="minorEastAsia" w:hAnsiTheme="minorEastAsia" w:eastAsiaTheme="minorEastAsia" w:cstheme="minorEastAsia"/>
          <w:b/>
          <w:bCs/>
          <w:color w:val="auto"/>
          <w:spacing w:val="-6"/>
          <w:sz w:val="21"/>
          <w:szCs w:val="21"/>
          <w:highlight w:val="none"/>
          <w:lang w:val="en-US" w:eastAsia="zh-CN"/>
        </w:rPr>
        <w:t>九、</w:t>
      </w:r>
      <w:r>
        <w:rPr>
          <w:rFonts w:hint="eastAsia" w:asciiTheme="minorEastAsia" w:hAnsiTheme="minorEastAsia" w:eastAsiaTheme="minorEastAsia" w:cstheme="minorEastAsia"/>
          <w:b/>
          <w:bCs/>
          <w:color w:val="auto"/>
          <w:spacing w:val="-6"/>
          <w:sz w:val="21"/>
          <w:szCs w:val="21"/>
          <w:highlight w:val="none"/>
        </w:rPr>
        <w:t>合同修改</w:t>
      </w:r>
      <w:bookmarkEnd w:id="309"/>
    </w:p>
    <w:p w14:paraId="543284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 除了双方签署书面修改协议，并成为本合同不可分割的一部分之外，本合同条件不得有任何变化或修改。</w:t>
      </w:r>
    </w:p>
    <w:p w14:paraId="56DF0763">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10" w:name="_Toc27635"/>
      <w:r>
        <w:rPr>
          <w:rFonts w:hint="eastAsia" w:asciiTheme="minorEastAsia" w:hAnsiTheme="minorEastAsia" w:eastAsiaTheme="minorEastAsia" w:cstheme="minorEastAsia"/>
          <w:b/>
          <w:bCs/>
          <w:color w:val="auto"/>
          <w:spacing w:val="-6"/>
          <w:sz w:val="21"/>
          <w:szCs w:val="21"/>
          <w:highlight w:val="none"/>
          <w:lang w:val="en-US" w:eastAsia="zh-CN"/>
        </w:rPr>
        <w:t>十、</w:t>
      </w:r>
      <w:r>
        <w:rPr>
          <w:rFonts w:hint="eastAsia" w:asciiTheme="minorEastAsia" w:hAnsiTheme="minorEastAsia" w:eastAsiaTheme="minorEastAsia" w:cstheme="minorEastAsia"/>
          <w:b/>
          <w:bCs/>
          <w:color w:val="auto"/>
          <w:spacing w:val="-6"/>
          <w:sz w:val="21"/>
          <w:szCs w:val="21"/>
          <w:highlight w:val="none"/>
        </w:rPr>
        <w:t>合同生效及其他</w:t>
      </w:r>
      <w:bookmarkEnd w:id="310"/>
      <w:r>
        <w:rPr>
          <w:rFonts w:hint="eastAsia" w:asciiTheme="minorEastAsia" w:hAnsiTheme="minorEastAsia" w:eastAsiaTheme="minorEastAsia" w:cstheme="minorEastAsia"/>
          <w:b/>
          <w:bCs/>
          <w:color w:val="auto"/>
          <w:spacing w:val="-6"/>
          <w:sz w:val="21"/>
          <w:szCs w:val="21"/>
          <w:highlight w:val="none"/>
        </w:rPr>
        <w:t xml:space="preserve"> </w:t>
      </w:r>
    </w:p>
    <w:p w14:paraId="1DC9AB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10.1本合同自签订之日起生效。 </w:t>
      </w:r>
    </w:p>
    <w:p w14:paraId="3A89BB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10.2合同中有关双方的地址、传真等联系方式等信息均为双方的文书信息送达地址，变更须书面通知对方。</w:t>
      </w:r>
    </w:p>
    <w:p w14:paraId="07C178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10.3本合同自签订地点           。</w:t>
      </w:r>
    </w:p>
    <w:p w14:paraId="340BD5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10.4</w:t>
      </w:r>
      <w:r>
        <w:rPr>
          <w:rFonts w:hint="eastAsia" w:ascii="宋体" w:hAnsi="宋体" w:eastAsia="宋体" w:cs="宋体"/>
          <w:color w:val="auto"/>
          <w:sz w:val="21"/>
          <w:szCs w:val="21"/>
          <w:highlight w:val="none"/>
        </w:rPr>
        <w:t>本合同</w:t>
      </w:r>
      <w:r>
        <w:rPr>
          <w:rFonts w:hint="eastAsia" w:ascii="宋体" w:hAnsi="宋体" w:eastAsia="宋体" w:cs="宋体"/>
          <w:color w:val="auto"/>
          <w:sz w:val="21"/>
          <w:szCs w:val="21"/>
          <w:highlight w:val="none"/>
          <w:lang w:val="en-US" w:eastAsia="zh-CN"/>
        </w:rPr>
        <w:t>壹</w:t>
      </w:r>
      <w:r>
        <w:rPr>
          <w:rFonts w:hint="eastAsia" w:ascii="宋体" w:hAnsi="宋体" w:eastAsia="宋体" w:cs="宋体"/>
          <w:color w:val="auto"/>
          <w:sz w:val="21"/>
          <w:szCs w:val="21"/>
          <w:highlight w:val="none"/>
        </w:rPr>
        <w:t>式</w:t>
      </w:r>
      <w:r>
        <w:rPr>
          <w:rFonts w:hint="eastAsia" w:ascii="宋体" w:hAnsi="宋体" w:eastAsia="宋体" w:cs="宋体"/>
          <w:color w:val="auto"/>
          <w:sz w:val="21"/>
          <w:szCs w:val="21"/>
          <w:highlight w:val="none"/>
          <w:lang w:val="en-US" w:eastAsia="zh-CN"/>
        </w:rPr>
        <w:t>肆</w:t>
      </w:r>
      <w:r>
        <w:rPr>
          <w:rFonts w:hint="eastAsia" w:ascii="宋体" w:hAnsi="宋体" w:eastAsia="宋体" w:cs="宋体"/>
          <w:color w:val="auto"/>
          <w:sz w:val="21"/>
          <w:szCs w:val="21"/>
          <w:highlight w:val="none"/>
        </w:rPr>
        <w:t>份，甲乙双方各执</w:t>
      </w:r>
      <w:r>
        <w:rPr>
          <w:rFonts w:hint="eastAsia" w:ascii="宋体" w:hAnsi="宋体" w:eastAsia="宋体" w:cs="宋体"/>
          <w:color w:val="auto"/>
          <w:sz w:val="21"/>
          <w:szCs w:val="21"/>
          <w:highlight w:val="none"/>
          <w:lang w:val="en-US" w:eastAsia="zh-CN"/>
        </w:rPr>
        <w:t>贰</w:t>
      </w:r>
      <w:r>
        <w:rPr>
          <w:rFonts w:hint="eastAsia" w:ascii="宋体" w:hAnsi="宋体" w:eastAsia="宋体" w:cs="宋体"/>
          <w:color w:val="auto"/>
          <w:sz w:val="21"/>
          <w:szCs w:val="21"/>
          <w:highlight w:val="none"/>
        </w:rPr>
        <w:t xml:space="preserve">份， </w:t>
      </w:r>
    </w:p>
    <w:p w14:paraId="586B3044">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rPr>
      </w:pPr>
      <w:bookmarkStart w:id="311" w:name="_Toc10200"/>
      <w:r>
        <w:rPr>
          <w:rFonts w:hint="eastAsia" w:asciiTheme="minorEastAsia" w:hAnsiTheme="minorEastAsia" w:eastAsiaTheme="minorEastAsia" w:cstheme="minorEastAsia"/>
          <w:b/>
          <w:bCs/>
          <w:color w:val="auto"/>
          <w:spacing w:val="-6"/>
          <w:sz w:val="21"/>
          <w:szCs w:val="21"/>
          <w:highlight w:val="none"/>
          <w:lang w:val="en-US" w:eastAsia="zh-CN"/>
        </w:rPr>
        <w:t>十一、</w:t>
      </w:r>
      <w:r>
        <w:rPr>
          <w:rFonts w:hint="eastAsia" w:asciiTheme="minorEastAsia" w:hAnsiTheme="minorEastAsia" w:eastAsiaTheme="minorEastAsia" w:cstheme="minorEastAsia"/>
          <w:b/>
          <w:bCs/>
          <w:color w:val="auto"/>
          <w:spacing w:val="-6"/>
          <w:sz w:val="21"/>
          <w:szCs w:val="21"/>
          <w:highlight w:val="none"/>
        </w:rPr>
        <w:t>本合同应按照中华人民共和国的现行法律进行解释。</w:t>
      </w:r>
      <w:bookmarkEnd w:id="311"/>
      <w:r>
        <w:rPr>
          <w:rFonts w:hint="eastAsia" w:asciiTheme="minorEastAsia" w:hAnsiTheme="minorEastAsia" w:eastAsiaTheme="minorEastAsia" w:cstheme="minorEastAsia"/>
          <w:b/>
          <w:bCs/>
          <w:color w:val="auto"/>
          <w:spacing w:val="-6"/>
          <w:sz w:val="21"/>
          <w:szCs w:val="21"/>
          <w:highlight w:val="none"/>
        </w:rPr>
        <w:t xml:space="preserve"> </w:t>
      </w:r>
    </w:p>
    <w:p w14:paraId="1B3EBFF5">
      <w:pPr>
        <w:pStyle w:val="19"/>
        <w:spacing w:line="360" w:lineRule="auto"/>
        <w:ind w:firstLine="408" w:firstLineChars="200"/>
        <w:jc w:val="left"/>
        <w:rPr>
          <w:rFonts w:hint="eastAsia" w:asciiTheme="minorEastAsia" w:hAnsiTheme="minorEastAsia" w:eastAsiaTheme="minorEastAsia" w:cstheme="minorEastAsia"/>
          <w:color w:val="auto"/>
          <w:spacing w:val="-3"/>
          <w:sz w:val="21"/>
          <w:szCs w:val="21"/>
          <w:highlight w:val="none"/>
          <w:lang w:val="en-US" w:eastAsia="zh-CN"/>
        </w:rPr>
      </w:pPr>
    </w:p>
    <w:p w14:paraId="3F8942B2">
      <w:pPr>
        <w:pStyle w:val="19"/>
        <w:spacing w:line="360" w:lineRule="auto"/>
        <w:ind w:left="41"/>
        <w:jc w:val="left"/>
        <w:outlineLvl w:val="1"/>
        <w:rPr>
          <w:rFonts w:hint="eastAsia" w:asciiTheme="minorEastAsia" w:hAnsiTheme="minorEastAsia" w:eastAsiaTheme="minorEastAsia" w:cstheme="minorEastAsia"/>
          <w:b/>
          <w:bCs/>
          <w:color w:val="auto"/>
          <w:spacing w:val="-6"/>
          <w:sz w:val="21"/>
          <w:szCs w:val="21"/>
          <w:highlight w:val="none"/>
          <w:lang w:val="en-US" w:eastAsia="zh-CN"/>
        </w:rPr>
      </w:pPr>
      <w:bookmarkStart w:id="312" w:name="_Toc11259"/>
      <w:r>
        <w:rPr>
          <w:rFonts w:hint="eastAsia" w:asciiTheme="minorEastAsia" w:hAnsiTheme="minorEastAsia" w:eastAsiaTheme="minorEastAsia" w:cstheme="minorEastAsia"/>
          <w:b/>
          <w:bCs/>
          <w:color w:val="auto"/>
          <w:spacing w:val="-6"/>
          <w:sz w:val="21"/>
          <w:szCs w:val="21"/>
          <w:highlight w:val="none"/>
          <w:lang w:val="en-US" w:eastAsia="zh-CN"/>
        </w:rPr>
        <w:t>附件1：项目说明及技术要求</w:t>
      </w:r>
      <w:bookmarkEnd w:id="312"/>
    </w:p>
    <w:p w14:paraId="35D19ACC">
      <w:pPr>
        <w:rPr>
          <w:rFonts w:hint="eastAsia"/>
          <w:color w:val="auto"/>
          <w:szCs w:val="21"/>
          <w:highlight w:val="none"/>
        </w:rPr>
      </w:pPr>
    </w:p>
    <w:p w14:paraId="6393210B">
      <w:pPr>
        <w:rPr>
          <w:rFonts w:hint="eastAsia"/>
          <w:color w:val="auto"/>
          <w:szCs w:val="21"/>
          <w:highlight w:val="none"/>
        </w:rPr>
      </w:pPr>
    </w:p>
    <w:p w14:paraId="2ED98CA3">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【以下无正文】</w:t>
      </w:r>
    </w:p>
    <w:tbl>
      <w:tblPr>
        <w:tblStyle w:val="43"/>
        <w:tblW w:w="0" w:type="auto"/>
        <w:tblInd w:w="0" w:type="dxa"/>
        <w:tblLayout w:type="fixed"/>
        <w:tblCellMar>
          <w:top w:w="0" w:type="dxa"/>
          <w:left w:w="108" w:type="dxa"/>
          <w:bottom w:w="0" w:type="dxa"/>
          <w:right w:w="108" w:type="dxa"/>
        </w:tblCellMar>
      </w:tblPr>
      <w:tblGrid>
        <w:gridCol w:w="4786"/>
        <w:gridCol w:w="4501"/>
      </w:tblGrid>
      <w:tr w14:paraId="3FB1C00D">
        <w:tblPrEx>
          <w:tblCellMar>
            <w:top w:w="0" w:type="dxa"/>
            <w:left w:w="108" w:type="dxa"/>
            <w:bottom w:w="0" w:type="dxa"/>
            <w:right w:w="108" w:type="dxa"/>
          </w:tblCellMar>
        </w:tblPrEx>
        <w:trPr>
          <w:trHeight w:val="2227" w:hRule="atLeast"/>
        </w:trPr>
        <w:tc>
          <w:tcPr>
            <w:tcW w:w="4786" w:type="dxa"/>
            <w:noWrap w:val="0"/>
            <w:vAlign w:val="top"/>
          </w:tcPr>
          <w:p w14:paraId="249569E1">
            <w:pPr>
              <w:ind w:left="1680" w:hanging="1680" w:hangingChars="800"/>
              <w:jc w:val="left"/>
              <w:rPr>
                <w:bCs/>
                <w:color w:val="auto"/>
                <w:szCs w:val="21"/>
                <w:highlight w:val="none"/>
              </w:rPr>
            </w:pPr>
            <w:r>
              <w:rPr>
                <w:rFonts w:hint="eastAsia"/>
                <w:bCs/>
                <w:color w:val="auto"/>
                <w:szCs w:val="21"/>
                <w:highlight w:val="none"/>
              </w:rPr>
              <w:t>甲方（采购人）：</w:t>
            </w:r>
            <w:r>
              <w:rPr>
                <w:rFonts w:hint="eastAsia"/>
                <w:bCs/>
                <w:color w:val="auto"/>
                <w:szCs w:val="21"/>
                <w:highlight w:val="none"/>
                <w:lang w:eastAsia="zh-CN"/>
              </w:rPr>
              <w:t>南京市公安局江宁分局</w:t>
            </w:r>
            <w:r>
              <w:rPr>
                <w:rFonts w:hint="eastAsia"/>
                <w:bCs/>
                <w:color w:val="auto"/>
                <w:szCs w:val="21"/>
                <w:highlight w:val="none"/>
              </w:rPr>
              <w:t>（盖章）</w:t>
            </w:r>
          </w:p>
          <w:p w14:paraId="2197A0B1">
            <w:pPr>
              <w:jc w:val="left"/>
              <w:rPr>
                <w:rFonts w:hint="eastAsia"/>
                <w:bCs/>
                <w:color w:val="auto"/>
                <w:szCs w:val="21"/>
                <w:highlight w:val="none"/>
              </w:rPr>
            </w:pPr>
            <w:r>
              <w:rPr>
                <w:rFonts w:hint="eastAsia"/>
                <w:bCs/>
                <w:color w:val="auto"/>
                <w:szCs w:val="21"/>
                <w:highlight w:val="none"/>
              </w:rPr>
              <w:t>法定代表人或</w:t>
            </w:r>
          </w:p>
          <w:p w14:paraId="7A5C86DE">
            <w:pPr>
              <w:jc w:val="left"/>
              <w:rPr>
                <w:rFonts w:hint="eastAsia"/>
                <w:bCs/>
                <w:color w:val="auto"/>
                <w:szCs w:val="21"/>
                <w:highlight w:val="none"/>
              </w:rPr>
            </w:pPr>
            <w:r>
              <w:rPr>
                <w:rFonts w:hint="eastAsia"/>
                <w:bCs/>
                <w:color w:val="auto"/>
                <w:szCs w:val="21"/>
                <w:highlight w:val="none"/>
              </w:rPr>
              <w:t>委托代理人：（签字或盖章）</w:t>
            </w:r>
          </w:p>
          <w:p w14:paraId="1AD5CBA2">
            <w:pPr>
              <w:jc w:val="left"/>
              <w:rPr>
                <w:bCs/>
                <w:color w:val="auto"/>
                <w:szCs w:val="21"/>
                <w:highlight w:val="none"/>
              </w:rPr>
            </w:pPr>
          </w:p>
        </w:tc>
        <w:tc>
          <w:tcPr>
            <w:tcW w:w="4501" w:type="dxa"/>
            <w:noWrap w:val="0"/>
            <w:vAlign w:val="top"/>
          </w:tcPr>
          <w:p w14:paraId="657F08F6">
            <w:pPr>
              <w:ind w:left="1680" w:hanging="1680" w:hangingChars="800"/>
              <w:jc w:val="left"/>
              <w:rPr>
                <w:bCs/>
                <w:color w:val="auto"/>
                <w:szCs w:val="21"/>
                <w:highlight w:val="none"/>
              </w:rPr>
            </w:pPr>
            <w:r>
              <w:rPr>
                <w:rFonts w:hint="eastAsia"/>
                <w:bCs/>
                <w:color w:val="auto"/>
                <w:szCs w:val="21"/>
                <w:highlight w:val="none"/>
              </w:rPr>
              <w:t>乙方（供应商）：（盖章）</w:t>
            </w:r>
          </w:p>
          <w:p w14:paraId="2AD07BFC">
            <w:pPr>
              <w:jc w:val="left"/>
              <w:rPr>
                <w:rFonts w:hint="eastAsia"/>
                <w:bCs/>
                <w:color w:val="auto"/>
                <w:szCs w:val="21"/>
                <w:highlight w:val="none"/>
              </w:rPr>
            </w:pPr>
          </w:p>
          <w:p w14:paraId="3F4268A0">
            <w:pPr>
              <w:jc w:val="left"/>
              <w:rPr>
                <w:rFonts w:hint="eastAsia"/>
                <w:bCs/>
                <w:color w:val="auto"/>
                <w:szCs w:val="21"/>
                <w:highlight w:val="none"/>
              </w:rPr>
            </w:pPr>
            <w:r>
              <w:rPr>
                <w:rFonts w:hint="eastAsia"/>
                <w:bCs/>
                <w:color w:val="auto"/>
                <w:szCs w:val="21"/>
                <w:highlight w:val="none"/>
              </w:rPr>
              <w:t>法定代表人或</w:t>
            </w:r>
          </w:p>
          <w:p w14:paraId="26DB153D">
            <w:pPr>
              <w:jc w:val="left"/>
              <w:rPr>
                <w:rFonts w:hint="eastAsia"/>
                <w:bCs/>
                <w:color w:val="auto"/>
                <w:szCs w:val="21"/>
                <w:highlight w:val="none"/>
              </w:rPr>
            </w:pPr>
            <w:r>
              <w:rPr>
                <w:rFonts w:hint="eastAsia"/>
                <w:bCs/>
                <w:color w:val="auto"/>
                <w:szCs w:val="21"/>
                <w:highlight w:val="none"/>
              </w:rPr>
              <w:t>委托代理人：（签字或盖章）</w:t>
            </w:r>
          </w:p>
          <w:p w14:paraId="1E40C079">
            <w:pPr>
              <w:jc w:val="left"/>
              <w:rPr>
                <w:rFonts w:hint="eastAsia"/>
                <w:bCs/>
                <w:color w:val="auto"/>
                <w:szCs w:val="21"/>
                <w:highlight w:val="none"/>
              </w:rPr>
            </w:pPr>
            <w:r>
              <w:rPr>
                <w:rFonts w:hint="eastAsia"/>
                <w:bCs/>
                <w:color w:val="auto"/>
                <w:szCs w:val="21"/>
                <w:highlight w:val="none"/>
              </w:rPr>
              <w:t>项目负责人：</w:t>
            </w:r>
          </w:p>
          <w:p w14:paraId="292A68C7">
            <w:pPr>
              <w:jc w:val="left"/>
              <w:rPr>
                <w:bCs/>
                <w:color w:val="auto"/>
                <w:szCs w:val="21"/>
                <w:highlight w:val="none"/>
              </w:rPr>
            </w:pPr>
            <w:r>
              <w:rPr>
                <w:rFonts w:hint="eastAsia"/>
                <w:bCs/>
                <w:color w:val="auto"/>
                <w:szCs w:val="21"/>
                <w:highlight w:val="none"/>
              </w:rPr>
              <w:t>电话：</w:t>
            </w:r>
          </w:p>
          <w:p w14:paraId="23B25D43">
            <w:pPr>
              <w:ind w:left="1058" w:hanging="1058" w:hangingChars="504"/>
              <w:jc w:val="left"/>
              <w:rPr>
                <w:bCs/>
                <w:color w:val="auto"/>
                <w:szCs w:val="21"/>
                <w:highlight w:val="none"/>
              </w:rPr>
            </w:pPr>
            <w:r>
              <w:rPr>
                <w:rFonts w:hint="eastAsia"/>
                <w:bCs/>
                <w:color w:val="auto"/>
                <w:szCs w:val="21"/>
                <w:highlight w:val="none"/>
              </w:rPr>
              <w:t>开户银行：</w:t>
            </w:r>
          </w:p>
          <w:p w14:paraId="69D94347">
            <w:pPr>
              <w:jc w:val="left"/>
              <w:rPr>
                <w:bCs/>
                <w:color w:val="auto"/>
                <w:szCs w:val="21"/>
                <w:highlight w:val="none"/>
              </w:rPr>
            </w:pPr>
            <w:r>
              <w:rPr>
                <w:rFonts w:hint="eastAsia"/>
                <w:bCs/>
                <w:color w:val="auto"/>
                <w:szCs w:val="21"/>
                <w:highlight w:val="none"/>
              </w:rPr>
              <w:t>账号：</w:t>
            </w:r>
          </w:p>
          <w:p w14:paraId="6569E6FF">
            <w:pPr>
              <w:jc w:val="left"/>
              <w:rPr>
                <w:bCs/>
                <w:color w:val="auto"/>
                <w:szCs w:val="21"/>
                <w:highlight w:val="none"/>
              </w:rPr>
            </w:pPr>
            <w:r>
              <w:rPr>
                <w:rFonts w:hint="eastAsia"/>
                <w:bCs/>
                <w:color w:val="auto"/>
                <w:szCs w:val="21"/>
                <w:highlight w:val="none"/>
              </w:rPr>
              <w:t>单位地址：</w:t>
            </w:r>
          </w:p>
        </w:tc>
      </w:tr>
    </w:tbl>
    <w:p w14:paraId="1CF163D9">
      <w:pPr>
        <w:jc w:val="left"/>
        <w:rPr>
          <w:rFonts w:hint="eastAsia"/>
          <w:bCs/>
          <w:color w:val="auto"/>
          <w:szCs w:val="21"/>
          <w:highlight w:val="none"/>
        </w:rPr>
      </w:pPr>
      <w:r>
        <w:rPr>
          <w:rFonts w:hint="eastAsia"/>
          <w:bCs/>
          <w:color w:val="auto"/>
          <w:szCs w:val="21"/>
          <w:highlight w:val="none"/>
        </w:rPr>
        <w:t>日期：</w:t>
      </w:r>
      <w:r>
        <w:rPr>
          <w:bCs/>
          <w:color w:val="auto"/>
          <w:szCs w:val="21"/>
          <w:highlight w:val="none"/>
        </w:rPr>
        <w:t xml:space="preserve">   </w:t>
      </w:r>
      <w:r>
        <w:rPr>
          <w:rFonts w:hint="eastAsia"/>
          <w:bCs/>
          <w:color w:val="auto"/>
          <w:szCs w:val="21"/>
          <w:highlight w:val="none"/>
        </w:rPr>
        <w:t>年  月  日</w:t>
      </w:r>
    </w:p>
    <w:p w14:paraId="71105BEF">
      <w:pPr>
        <w:jc w:val="left"/>
        <w:rPr>
          <w:rFonts w:hint="eastAsia" w:ascii="宋体" w:hAnsi="宋体" w:cs="宋体"/>
          <w:b/>
          <w:bCs/>
          <w:color w:val="auto"/>
          <w:szCs w:val="21"/>
          <w:highlight w:val="none"/>
        </w:rPr>
      </w:pPr>
    </w:p>
    <w:p w14:paraId="7EFBE816">
      <w:pPr>
        <w:jc w:val="left"/>
        <w:rPr>
          <w:rFonts w:hint="eastAsia" w:ascii="宋体" w:hAnsi="宋体" w:cs="宋体"/>
          <w:b/>
          <w:bCs/>
          <w:color w:val="auto"/>
          <w:szCs w:val="21"/>
          <w:highlight w:val="none"/>
        </w:rPr>
      </w:pPr>
    </w:p>
    <w:p w14:paraId="5646B0FF">
      <w:pPr>
        <w:spacing w:line="288" w:lineRule="auto"/>
        <w:jc w:val="center"/>
        <w:outlineLvl w:val="9"/>
        <w:rPr>
          <w:rFonts w:hint="eastAsia" w:ascii="宋体" w:hAnsi="宋体"/>
          <w:b/>
          <w:color w:val="auto"/>
          <w:sz w:val="30"/>
        </w:rPr>
      </w:pPr>
      <w:r>
        <w:rPr>
          <w:rFonts w:hint="eastAsia" w:ascii="宋体" w:hAnsi="宋体"/>
          <w:b/>
          <w:color w:val="auto"/>
          <w:sz w:val="30"/>
        </w:rPr>
        <w:t>《*******合同》补充协议（合同附件）</w:t>
      </w:r>
    </w:p>
    <w:p w14:paraId="71010E56">
      <w:pPr>
        <w:pStyle w:val="23"/>
        <w:spacing w:before="120" w:after="120" w:line="288" w:lineRule="auto"/>
        <w:jc w:val="left"/>
        <w:rPr>
          <w:rFonts w:hint="eastAsia" w:hAnsi="宋体"/>
          <w:color w:val="auto"/>
          <w:sz w:val="24"/>
          <w:szCs w:val="24"/>
        </w:rPr>
      </w:pPr>
      <w:r>
        <w:rPr>
          <w:rFonts w:hint="eastAsia" w:hAnsi="宋体"/>
          <w:color w:val="auto"/>
          <w:sz w:val="24"/>
          <w:szCs w:val="24"/>
        </w:rPr>
        <w:t>    如遇招标文件及合同未约定事项，双方可友好协商签订补充协议。</w:t>
      </w:r>
    </w:p>
    <w:p w14:paraId="51A27AE2">
      <w:pPr>
        <w:pStyle w:val="3"/>
        <w:spacing w:before="0" w:after="0" w:line="240" w:lineRule="auto"/>
        <w:ind w:firstLine="602"/>
        <w:jc w:val="center"/>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Cs w:val="0"/>
          <w:color w:val="auto"/>
          <w:kern w:val="2"/>
          <w:sz w:val="30"/>
          <w:szCs w:val="30"/>
          <w:highlight w:val="none"/>
          <w:lang w:val="zh-CN"/>
        </w:rPr>
        <w:br w:type="page"/>
      </w:r>
      <w:bookmarkStart w:id="313" w:name="_Toc21512"/>
      <w:bookmarkStart w:id="314" w:name="_Toc20869"/>
      <w:bookmarkStart w:id="315" w:name="_Toc23073"/>
      <w:bookmarkStart w:id="316" w:name="_Toc11794"/>
      <w:bookmarkStart w:id="317" w:name="_Toc18610"/>
      <w:bookmarkStart w:id="318" w:name="_Toc15166"/>
      <w:bookmarkStart w:id="319" w:name="_Toc7207"/>
      <w:bookmarkStart w:id="320" w:name="_Toc1077"/>
      <w:bookmarkStart w:id="321" w:name="_Toc31543"/>
      <w:bookmarkStart w:id="322" w:name="_Toc22931"/>
      <w:bookmarkStart w:id="323" w:name="_Toc19396"/>
      <w:bookmarkStart w:id="324" w:name="_Toc32369"/>
      <w:bookmarkStart w:id="325" w:name="_Toc15415"/>
      <w:bookmarkStart w:id="326" w:name="_Toc1431"/>
      <w:bookmarkStart w:id="327" w:name="_Toc116284545"/>
      <w:bookmarkStart w:id="328" w:name="_Toc30211"/>
      <w:bookmarkStart w:id="329" w:name="_Toc1035"/>
      <w:bookmarkStart w:id="330" w:name="_Toc32522"/>
      <w:bookmarkStart w:id="331" w:name="_Toc12626"/>
      <w:bookmarkStart w:id="332" w:name="_Toc21402"/>
      <w:bookmarkStart w:id="333" w:name="_Toc6513"/>
      <w:bookmarkStart w:id="334" w:name="_Toc25443"/>
      <w:bookmarkStart w:id="335" w:name="_Toc3387"/>
      <w:bookmarkStart w:id="336" w:name="_Toc6119"/>
      <w:bookmarkStart w:id="337" w:name="_Toc22571"/>
      <w:bookmarkStart w:id="338" w:name="_Toc5814"/>
      <w:bookmarkStart w:id="339" w:name="_Toc11783"/>
      <w:bookmarkStart w:id="340" w:name="_Toc7016"/>
      <w:bookmarkStart w:id="341" w:name="_Toc13474"/>
      <w:bookmarkStart w:id="342" w:name="_Toc11931"/>
      <w:bookmarkStart w:id="343" w:name="_Toc32321"/>
      <w:bookmarkStart w:id="344" w:name="_Toc27698"/>
      <w:bookmarkStart w:id="345" w:name="_Toc28150"/>
      <w:r>
        <w:rPr>
          <w:rFonts w:hint="eastAsia" w:asciiTheme="minorEastAsia" w:hAnsiTheme="minorEastAsia" w:eastAsiaTheme="minorEastAsia" w:cstheme="minorEastAsia"/>
          <w:bCs w:val="0"/>
          <w:color w:val="auto"/>
          <w:kern w:val="2"/>
          <w:sz w:val="30"/>
          <w:szCs w:val="30"/>
          <w:highlight w:val="none"/>
          <w:lang w:val="zh-CN"/>
        </w:rPr>
        <w:t xml:space="preserve">第六章 </w:t>
      </w:r>
      <w:r>
        <w:rPr>
          <w:rFonts w:hint="eastAsia" w:asciiTheme="minorEastAsia" w:hAnsiTheme="minorEastAsia" w:eastAsiaTheme="minorEastAsia" w:cstheme="minorEastAsia"/>
          <w:bCs w:val="0"/>
          <w:color w:val="auto"/>
          <w:kern w:val="2"/>
          <w:sz w:val="30"/>
          <w:szCs w:val="30"/>
          <w:highlight w:val="none"/>
        </w:rPr>
        <w:t>投标书</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530ABA5">
      <w:pPr>
        <w:spacing w:line="360" w:lineRule="auto"/>
        <w:ind w:firstLine="602"/>
        <w:jc w:val="center"/>
        <w:rPr>
          <w:rFonts w:asciiTheme="minorEastAsia" w:hAnsiTheme="minorEastAsia" w:eastAsiaTheme="minorEastAsia" w:cstheme="minorEastAsia"/>
          <w:b/>
          <w:bCs/>
          <w:color w:val="auto"/>
          <w:sz w:val="30"/>
          <w:szCs w:val="30"/>
          <w:highlight w:val="none"/>
          <w:lang w:val="zh-CN"/>
        </w:rPr>
      </w:pPr>
    </w:p>
    <w:p w14:paraId="158F1C93">
      <w:pPr>
        <w:spacing w:line="360" w:lineRule="auto"/>
        <w:ind w:firstLine="602"/>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w:t>
      </w:r>
      <w:r>
        <w:rPr>
          <w:rFonts w:hint="eastAsia" w:asciiTheme="minorEastAsia" w:hAnsiTheme="minorEastAsia" w:eastAsiaTheme="minorEastAsia" w:cstheme="minorEastAsia"/>
          <w:b/>
          <w:color w:val="auto"/>
          <w:sz w:val="30"/>
          <w:szCs w:val="30"/>
          <w:highlight w:val="none"/>
          <w:lang w:val="zh-CN"/>
        </w:rPr>
        <w:t>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w:t>
      </w:r>
    </w:p>
    <w:p w14:paraId="34C58FD0">
      <w:pPr>
        <w:ind w:firstLine="420"/>
        <w:jc w:val="center"/>
        <w:rPr>
          <w:rFonts w:asciiTheme="minorEastAsia" w:hAnsiTheme="minorEastAsia" w:eastAsiaTheme="minorEastAsia" w:cstheme="minorEastAsia"/>
          <w:color w:val="auto"/>
          <w:highlight w:val="none"/>
        </w:rPr>
      </w:pPr>
    </w:p>
    <w:p w14:paraId="1B8F94B3">
      <w:pPr>
        <w:ind w:firstLine="643"/>
        <w:rPr>
          <w:rFonts w:asciiTheme="minorEastAsia" w:hAnsiTheme="minorEastAsia" w:eastAsiaTheme="minorEastAsia" w:cstheme="minorEastAsia"/>
          <w:b/>
          <w:bCs/>
          <w:color w:val="auto"/>
          <w:sz w:val="32"/>
          <w:szCs w:val="32"/>
          <w:highlight w:val="none"/>
          <w:lang w:val="zh-CN"/>
        </w:rPr>
      </w:pPr>
    </w:p>
    <w:p w14:paraId="23717103">
      <w:pPr>
        <w:autoSpaceDE w:val="0"/>
        <w:autoSpaceDN w:val="0"/>
        <w:adjustRightInd w:val="0"/>
        <w:spacing w:line="360" w:lineRule="auto"/>
        <w:ind w:firstLine="560"/>
        <w:jc w:val="center"/>
        <w:rPr>
          <w:rFonts w:asciiTheme="minorEastAsia" w:hAnsiTheme="minorEastAsia" w:eastAsiaTheme="minorEastAsia" w:cstheme="minorEastAsia"/>
          <w:color w:val="auto"/>
          <w:sz w:val="28"/>
          <w:szCs w:val="28"/>
          <w:highlight w:val="none"/>
          <w:lang w:val="zh-CN"/>
        </w:rPr>
      </w:pPr>
    </w:p>
    <w:p w14:paraId="4314D000">
      <w:pPr>
        <w:autoSpaceDE w:val="0"/>
        <w:autoSpaceDN w:val="0"/>
        <w:adjustRightInd w:val="0"/>
        <w:spacing w:line="360" w:lineRule="auto"/>
        <w:ind w:firstLine="560"/>
        <w:jc w:val="center"/>
        <w:rPr>
          <w:rFonts w:asciiTheme="minorEastAsia" w:hAnsiTheme="minorEastAsia" w:eastAsiaTheme="minorEastAsia" w:cstheme="minorEastAsia"/>
          <w:color w:val="auto"/>
          <w:sz w:val="28"/>
          <w:szCs w:val="28"/>
          <w:highlight w:val="none"/>
          <w:lang w:val="zh-CN"/>
        </w:rPr>
      </w:pPr>
    </w:p>
    <w:p w14:paraId="74F6500F">
      <w:pPr>
        <w:autoSpaceDE w:val="0"/>
        <w:autoSpaceDN w:val="0"/>
        <w:adjustRightInd w:val="0"/>
        <w:spacing w:line="360" w:lineRule="auto"/>
        <w:ind w:firstLine="1680"/>
        <w:jc w:val="center"/>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投   标   书</w:t>
      </w:r>
    </w:p>
    <w:p w14:paraId="4E2BB478">
      <w:pPr>
        <w:autoSpaceDE w:val="0"/>
        <w:autoSpaceDN w:val="0"/>
        <w:adjustRightInd w:val="0"/>
        <w:spacing w:line="360" w:lineRule="auto"/>
        <w:ind w:firstLine="480"/>
        <w:jc w:val="center"/>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（请在此位置标明“正本”或“副本”字样）</w:t>
      </w:r>
    </w:p>
    <w:p w14:paraId="0E0C28C4">
      <w:pPr>
        <w:autoSpaceDE w:val="0"/>
        <w:autoSpaceDN w:val="0"/>
        <w:adjustRightInd w:val="0"/>
        <w:spacing w:line="360" w:lineRule="auto"/>
        <w:ind w:firstLine="723"/>
        <w:jc w:val="center"/>
        <w:rPr>
          <w:rFonts w:asciiTheme="minorEastAsia" w:hAnsiTheme="minorEastAsia" w:eastAsiaTheme="minorEastAsia" w:cstheme="minorEastAsia"/>
          <w:b/>
          <w:bCs/>
          <w:color w:val="auto"/>
          <w:sz w:val="36"/>
          <w:szCs w:val="36"/>
          <w:highlight w:val="none"/>
          <w:lang w:val="zh-CN"/>
        </w:rPr>
      </w:pPr>
    </w:p>
    <w:p w14:paraId="2F23BD3E">
      <w:pPr>
        <w:spacing w:line="360" w:lineRule="auto"/>
        <w:ind w:firstLine="1680"/>
        <w:rPr>
          <w:rFonts w:asciiTheme="minorEastAsia" w:hAnsiTheme="minorEastAsia" w:eastAsiaTheme="minorEastAsia" w:cstheme="minorEastAsia"/>
          <w:color w:val="auto"/>
          <w:sz w:val="84"/>
          <w:szCs w:val="84"/>
          <w:highlight w:val="none"/>
          <w:lang w:val="zh-CN"/>
        </w:rPr>
      </w:pPr>
    </w:p>
    <w:p w14:paraId="3AF7FA49">
      <w:pPr>
        <w:spacing w:line="360" w:lineRule="auto"/>
        <w:ind w:left="3356" w:leftChars="928" w:hanging="1407" w:hangingChars="469"/>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项目名称 ：</w:t>
      </w:r>
      <w:r>
        <w:rPr>
          <w:rFonts w:hint="eastAsia" w:asciiTheme="minorEastAsia" w:hAnsiTheme="minorEastAsia" w:eastAsiaTheme="minorEastAsia" w:cstheme="minorEastAsia"/>
          <w:color w:val="auto"/>
          <w:sz w:val="30"/>
          <w:szCs w:val="30"/>
          <w:highlight w:val="none"/>
          <w:u w:val="single"/>
          <w:lang w:val="zh-CN"/>
        </w:rPr>
        <w:t>南京市公安局江宁分局看守所食堂食材采购</w:t>
      </w:r>
    </w:p>
    <w:p w14:paraId="78BF0D4D">
      <w:pPr>
        <w:spacing w:line="360" w:lineRule="auto"/>
        <w:ind w:left="3356" w:leftChars="928" w:hanging="1407" w:hangingChars="469"/>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项目编号</w:t>
      </w:r>
      <w:r>
        <w:rPr>
          <w:rFonts w:hint="eastAsia" w:asciiTheme="minorEastAsia" w:hAnsiTheme="minorEastAsia" w:eastAsiaTheme="minorEastAsia" w:cstheme="minorEastAsia"/>
          <w:color w:val="auto"/>
          <w:sz w:val="30"/>
          <w:szCs w:val="30"/>
          <w:highlight w:val="none"/>
          <w:lang w:val="zh-CN"/>
        </w:rPr>
        <w:t>：</w:t>
      </w:r>
      <w:r>
        <w:rPr>
          <w:rFonts w:hint="eastAsia" w:asciiTheme="minorEastAsia" w:hAnsiTheme="minorEastAsia" w:eastAsiaTheme="minorEastAsia" w:cstheme="minorEastAsia"/>
          <w:color w:val="auto"/>
          <w:sz w:val="30"/>
          <w:szCs w:val="30"/>
          <w:highlight w:val="none"/>
          <w:u w:val="single"/>
          <w:lang w:val="zh-CN"/>
        </w:rPr>
        <w:t>JSZC-320115-NJDX-G2025-0007</w:t>
      </w:r>
    </w:p>
    <w:p w14:paraId="2BAC07CF">
      <w:pPr>
        <w:autoSpaceDE w:val="0"/>
        <w:autoSpaceDN w:val="0"/>
        <w:adjustRightInd w:val="0"/>
        <w:spacing w:line="360" w:lineRule="auto"/>
        <w:ind w:firstLine="1950" w:firstLineChars="650"/>
        <w:rPr>
          <w:rFonts w:hint="eastAsia"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采购包号：</w:t>
      </w:r>
      <w:r>
        <w:rPr>
          <w:rFonts w:hint="eastAsia" w:asciiTheme="minorEastAsia" w:hAnsiTheme="minorEastAsia" w:eastAsiaTheme="minorEastAsia" w:cstheme="minorEastAsia"/>
          <w:bCs/>
          <w:color w:val="auto"/>
          <w:sz w:val="30"/>
          <w:szCs w:val="30"/>
          <w:highlight w:val="none"/>
          <w:u w:val="single"/>
          <w:lang w:val="zh-CN"/>
        </w:rPr>
        <w:t xml:space="preserve">采购包1/采购包2……采购包4 </w:t>
      </w:r>
    </w:p>
    <w:p w14:paraId="233B8ADC">
      <w:pPr>
        <w:autoSpaceDE w:val="0"/>
        <w:autoSpaceDN w:val="0"/>
        <w:adjustRightInd w:val="0"/>
        <w:spacing w:line="360" w:lineRule="auto"/>
        <w:ind w:firstLine="1950" w:firstLineChars="650"/>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投 标 人：</w:t>
      </w:r>
    </w:p>
    <w:p w14:paraId="1F9D384A">
      <w:pPr>
        <w:tabs>
          <w:tab w:val="left" w:pos="1325"/>
        </w:tabs>
        <w:autoSpaceDE w:val="0"/>
        <w:autoSpaceDN w:val="0"/>
        <w:adjustRightInd w:val="0"/>
        <w:spacing w:line="360" w:lineRule="auto"/>
        <w:ind w:firstLine="1950" w:firstLineChars="650"/>
        <w:rPr>
          <w:rFonts w:hint="eastAsia"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供应商地址：</w:t>
      </w:r>
    </w:p>
    <w:p w14:paraId="1E1170A4">
      <w:pPr>
        <w:tabs>
          <w:tab w:val="left" w:pos="1325"/>
        </w:tabs>
        <w:autoSpaceDE w:val="0"/>
        <w:autoSpaceDN w:val="0"/>
        <w:adjustRightInd w:val="0"/>
        <w:spacing w:line="360" w:lineRule="auto"/>
        <w:ind w:firstLine="1950" w:firstLineChars="650"/>
        <w:rPr>
          <w:rFonts w:hint="eastAsia" w:asciiTheme="minorEastAsia" w:hAnsiTheme="minorEastAsia" w:eastAsiaTheme="minorEastAsia" w:cstheme="minorEastAsia"/>
          <w:bCs/>
          <w:color w:val="auto"/>
          <w:sz w:val="30"/>
          <w:szCs w:val="30"/>
          <w:highlight w:val="none"/>
          <w:lang w:val="en-US" w:eastAsia="zh-CN"/>
        </w:rPr>
      </w:pPr>
      <w:r>
        <w:rPr>
          <w:rFonts w:hint="eastAsia" w:asciiTheme="minorEastAsia" w:hAnsiTheme="minorEastAsia" w:eastAsiaTheme="minorEastAsia" w:cstheme="minorEastAsia"/>
          <w:bCs/>
          <w:color w:val="auto"/>
          <w:sz w:val="30"/>
          <w:szCs w:val="30"/>
          <w:highlight w:val="none"/>
          <w:lang w:val="en-US" w:eastAsia="zh-CN"/>
        </w:rPr>
        <w:t>日    期：</w:t>
      </w:r>
    </w:p>
    <w:p w14:paraId="7D51EB26">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5DFAFCEA">
      <w:pPr>
        <w:autoSpaceDE w:val="0"/>
        <w:autoSpaceDN w:val="0"/>
        <w:adjustRightInd w:val="0"/>
        <w:spacing w:line="360" w:lineRule="auto"/>
        <w:ind w:firstLine="2891" w:firstLineChars="900"/>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年月日</w:t>
      </w:r>
      <w:r>
        <w:rPr>
          <w:rFonts w:hint="eastAsia" w:asciiTheme="minorEastAsia" w:hAnsiTheme="minorEastAsia" w:eastAsiaTheme="minorEastAsia" w:cstheme="minorEastAsia"/>
          <w:b/>
          <w:bCs/>
          <w:color w:val="auto"/>
          <w:sz w:val="32"/>
          <w:szCs w:val="32"/>
          <w:highlight w:val="none"/>
        </w:rPr>
        <w:br w:type="page"/>
      </w:r>
    </w:p>
    <w:p w14:paraId="1CEE15A8">
      <w:pPr>
        <w:widowControl/>
        <w:autoSpaceDE/>
        <w:autoSpaceDN/>
        <w:adjustRightInd/>
        <w:jc w:val="left"/>
        <w:outlineLvl w:val="1"/>
        <w:rPr>
          <w:rFonts w:asciiTheme="minorEastAsia" w:hAnsiTheme="minorEastAsia" w:eastAsiaTheme="minorEastAsia" w:cstheme="minorEastAsia"/>
          <w:b/>
          <w:color w:val="auto"/>
          <w:sz w:val="28"/>
          <w:szCs w:val="28"/>
          <w:highlight w:val="none"/>
        </w:rPr>
      </w:pPr>
      <w:bookmarkStart w:id="346" w:name="_Toc15477"/>
      <w:bookmarkStart w:id="347" w:name="_Toc17161"/>
      <w:bookmarkStart w:id="348" w:name="_Toc7719"/>
      <w:bookmarkStart w:id="349" w:name="_Toc24030"/>
      <w:bookmarkStart w:id="350" w:name="_Toc116284547"/>
      <w:bookmarkStart w:id="351" w:name="_Toc23766"/>
      <w:bookmarkStart w:id="352" w:name="_Toc6383"/>
      <w:bookmarkStart w:id="353" w:name="_Toc17432"/>
      <w:bookmarkStart w:id="354" w:name="_Toc3427"/>
      <w:bookmarkStart w:id="355" w:name="_Toc27297"/>
      <w:bookmarkStart w:id="356" w:name="_Toc32174"/>
      <w:bookmarkStart w:id="357" w:name="_Toc28133"/>
      <w:r>
        <w:rPr>
          <w:rFonts w:hint="eastAsia" w:asciiTheme="minorEastAsia" w:hAnsiTheme="minorEastAsia" w:eastAsiaTheme="minorEastAsia" w:cstheme="minorEastAsia"/>
          <w:b/>
          <w:color w:val="auto"/>
          <w:sz w:val="28"/>
          <w:szCs w:val="28"/>
          <w:highlight w:val="none"/>
        </w:rPr>
        <w:t>商务部分</w:t>
      </w:r>
      <w:bookmarkEnd w:id="346"/>
      <w:bookmarkEnd w:id="347"/>
      <w:bookmarkEnd w:id="348"/>
      <w:bookmarkEnd w:id="349"/>
      <w:bookmarkEnd w:id="350"/>
      <w:bookmarkEnd w:id="351"/>
      <w:bookmarkEnd w:id="352"/>
      <w:bookmarkEnd w:id="353"/>
      <w:bookmarkEnd w:id="354"/>
      <w:bookmarkEnd w:id="355"/>
      <w:bookmarkEnd w:id="356"/>
      <w:bookmarkEnd w:id="357"/>
    </w:p>
    <w:p w14:paraId="4A1E0166">
      <w:pPr>
        <w:autoSpaceDE w:val="0"/>
        <w:autoSpaceDN w:val="0"/>
        <w:adjustRightInd w:val="0"/>
        <w:spacing w:line="360" w:lineRule="auto"/>
        <w:outlineLvl w:val="2"/>
        <w:rPr>
          <w:rFonts w:asciiTheme="minorEastAsia" w:hAnsiTheme="minorEastAsia" w:eastAsiaTheme="minorEastAsia" w:cstheme="minorEastAsia"/>
          <w:b/>
          <w:bCs/>
          <w:color w:val="auto"/>
          <w:sz w:val="24"/>
          <w:highlight w:val="none"/>
          <w:lang w:val="zh-CN"/>
        </w:rPr>
      </w:pPr>
      <w:bookmarkStart w:id="358" w:name="_Toc30074"/>
      <w:bookmarkStart w:id="359" w:name="_Toc14055"/>
      <w:bookmarkStart w:id="360" w:name="_Toc6226"/>
      <w:bookmarkStart w:id="361" w:name="_Toc12810"/>
      <w:bookmarkStart w:id="362" w:name="_Toc16457"/>
      <w:bookmarkStart w:id="363" w:name="_Toc19346"/>
      <w:bookmarkStart w:id="364" w:name="_Toc20614"/>
      <w:bookmarkStart w:id="365" w:name="_Toc28723"/>
      <w:bookmarkStart w:id="366" w:name="_Toc16232"/>
      <w:bookmarkStart w:id="367" w:name="_Toc8719"/>
      <w:bookmarkStart w:id="368" w:name="_Toc9860"/>
      <w:bookmarkStart w:id="369" w:name="_Toc14690"/>
      <w:bookmarkStart w:id="370" w:name="_Toc15125"/>
      <w:bookmarkStart w:id="371" w:name="_Toc21307"/>
      <w:bookmarkStart w:id="372" w:name="_Toc21838"/>
      <w:bookmarkStart w:id="373" w:name="_Toc11107"/>
      <w:bookmarkStart w:id="374" w:name="_Toc32007"/>
      <w:bookmarkStart w:id="375" w:name="_Toc7615"/>
      <w:bookmarkStart w:id="376" w:name="_Toc7973"/>
      <w:bookmarkStart w:id="377" w:name="_Toc4605"/>
      <w:bookmarkStart w:id="378" w:name="_Toc17979"/>
      <w:bookmarkStart w:id="379" w:name="_Toc19388"/>
      <w:bookmarkStart w:id="380" w:name="_Toc116284548"/>
      <w:bookmarkStart w:id="381" w:name="_Toc28853"/>
      <w:bookmarkStart w:id="382" w:name="_Toc21332"/>
      <w:bookmarkStart w:id="383" w:name="_Toc22018"/>
      <w:r>
        <w:rPr>
          <w:rFonts w:hint="eastAsia" w:asciiTheme="minorEastAsia" w:hAnsiTheme="minorEastAsia" w:eastAsiaTheme="minorEastAsia" w:cstheme="minorEastAsia"/>
          <w:b/>
          <w:bCs/>
          <w:color w:val="auto"/>
          <w:sz w:val="24"/>
          <w:highlight w:val="none"/>
          <w:lang w:val="zh-CN"/>
        </w:rPr>
        <w:t>一、投标申请及声明格式</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6FF336A3">
      <w:pPr>
        <w:autoSpaceDE w:val="0"/>
        <w:autoSpaceDN w:val="0"/>
        <w:adjustRightInd w:val="0"/>
        <w:ind w:firstLine="720"/>
        <w:jc w:val="center"/>
        <w:rPr>
          <w:rFonts w:asciiTheme="minorEastAsia" w:hAnsiTheme="minorEastAsia" w:eastAsiaTheme="minorEastAsia" w:cstheme="minorEastAsia"/>
          <w:color w:val="auto"/>
          <w:sz w:val="36"/>
          <w:szCs w:val="36"/>
          <w:highlight w:val="none"/>
          <w:lang w:val="zh-CN"/>
        </w:rPr>
      </w:pPr>
      <w:bookmarkStart w:id="384" w:name="OLE_LINK26"/>
      <w:r>
        <w:rPr>
          <w:rFonts w:hint="eastAsia" w:asciiTheme="minorEastAsia" w:hAnsiTheme="minorEastAsia" w:eastAsiaTheme="minorEastAsia" w:cstheme="minorEastAsia"/>
          <w:color w:val="auto"/>
          <w:sz w:val="36"/>
          <w:szCs w:val="36"/>
          <w:highlight w:val="none"/>
          <w:lang w:val="zh-CN"/>
        </w:rPr>
        <w:t>投标申请及声明</w:t>
      </w:r>
    </w:p>
    <w:bookmarkEnd w:id="384"/>
    <w:p w14:paraId="074F71F9">
      <w:pPr>
        <w:autoSpaceDE w:val="0"/>
        <w:autoSpaceDN w:val="0"/>
        <w:adjustRightInd w:val="0"/>
        <w:spacing w:line="360" w:lineRule="auto"/>
        <w:ind w:firstLine="420"/>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rPr>
        <w:t>致：</w:t>
      </w:r>
      <w:r>
        <w:rPr>
          <w:rFonts w:hint="eastAsia" w:asciiTheme="minorEastAsia" w:hAnsiTheme="minorEastAsia" w:eastAsiaTheme="minorEastAsia" w:cstheme="minorEastAsia"/>
          <w:b/>
          <w:bCs/>
          <w:color w:val="auto"/>
          <w:szCs w:val="21"/>
          <w:highlight w:val="none"/>
          <w:lang w:eastAsia="zh-CN"/>
        </w:rPr>
        <w:t>南京市公安局江宁分局</w:t>
      </w:r>
    </w:p>
    <w:p w14:paraId="03F52B2A">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根据贵方</w:t>
      </w:r>
      <w:r>
        <w:rPr>
          <w:rFonts w:hint="eastAsia" w:asciiTheme="minorEastAsia" w:hAnsiTheme="minorEastAsia" w:eastAsiaTheme="minorEastAsia" w:cstheme="minorEastAsia"/>
          <w:color w:val="auto"/>
          <w:szCs w:val="21"/>
          <w:highlight w:val="none"/>
          <w:u w:val="single"/>
          <w:lang w:val="zh-CN"/>
        </w:rPr>
        <w:t>南京市公安局江宁分局看守所食堂食材采购</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u w:val="single"/>
          <w:lang w:eastAsia="zh-CN"/>
        </w:rPr>
        <w:t>JSZC-320115-NJDX-G2025-0007</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招标文件</w:t>
      </w:r>
      <w:r>
        <w:rPr>
          <w:rFonts w:hint="eastAsia" w:asciiTheme="minorEastAsia" w:hAnsiTheme="minorEastAsia" w:eastAsiaTheme="minorEastAsia" w:cstheme="minorEastAsia"/>
          <w:color w:val="auto"/>
          <w:szCs w:val="21"/>
          <w:highlight w:val="none"/>
          <w:lang w:val="zh-CN"/>
        </w:rPr>
        <w:t>邀请，正式授权下述签字人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lang w:val="zh-CN"/>
        </w:rPr>
        <w:t>(姓名和职务)代表供应商</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lang w:val="zh-CN"/>
        </w:rPr>
        <w:t>（供应商名称），提交投标文件。</w:t>
      </w:r>
    </w:p>
    <w:p w14:paraId="712DFFAA">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据此函，签字人兹宣布声明和承诺如下：</w:t>
      </w:r>
    </w:p>
    <w:p w14:paraId="2E7D311E">
      <w:pPr>
        <w:autoSpaceDE w:val="0"/>
        <w:autoSpaceDN w:val="0"/>
        <w:adjustRightInd w:val="0"/>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1、</w:t>
      </w:r>
      <w:r>
        <w:rPr>
          <w:rFonts w:hint="eastAsia" w:asciiTheme="minorEastAsia" w:hAnsiTheme="minorEastAsia" w:eastAsiaTheme="minorEastAsia" w:cstheme="minorEastAsia"/>
          <w:b/>
          <w:color w:val="auto"/>
          <w:szCs w:val="21"/>
          <w:highlight w:val="none"/>
          <w:lang w:val="zh-CN"/>
        </w:rPr>
        <w:t>我们的资格条件完全符合政府采购法和本次招标要求</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highlight w:val="none"/>
        </w:rPr>
        <w:t>我们</w:t>
      </w:r>
      <w:r>
        <w:rPr>
          <w:rFonts w:hint="eastAsia" w:asciiTheme="minorEastAsia" w:hAnsiTheme="minorEastAsia" w:eastAsiaTheme="minorEastAsia" w:cstheme="minorEastAsia"/>
          <w:color w:val="auto"/>
          <w:szCs w:val="21"/>
          <w:highlight w:val="none"/>
          <w:lang w:val="zh-CN"/>
        </w:rPr>
        <w:t>同意并向贵方提供了与投标有关的所有证据和资料。</w:t>
      </w:r>
    </w:p>
    <w:p w14:paraId="7D17F2E3">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szCs w:val="21"/>
          <w:highlight w:val="none"/>
          <w:lang w:val="zh-CN"/>
        </w:rPr>
        <w:t>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不对招标文件本身提出质疑</w:t>
      </w:r>
      <w:r>
        <w:rPr>
          <w:rFonts w:hint="eastAsia" w:asciiTheme="minorEastAsia" w:hAnsiTheme="minorEastAsia" w:eastAsiaTheme="minorEastAsia" w:cstheme="minorEastAsia"/>
          <w:color w:val="auto"/>
          <w:szCs w:val="21"/>
          <w:highlight w:val="none"/>
          <w:lang w:val="zh-CN"/>
        </w:rPr>
        <w:t>。否则，属于不诚信和故意扰乱政府采购活动行为，我们将无条件接受处罚。</w:t>
      </w:r>
    </w:p>
    <w:p w14:paraId="0100F9E1">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val="zh-CN"/>
        </w:rPr>
        <w:t>、我们同意从规定的开标日期起遵循本投标文件，并在规定的投标有效期期满之前均具有约束力。</w:t>
      </w:r>
    </w:p>
    <w:p w14:paraId="7FDF2635">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746C871D">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val="zh-CN"/>
        </w:rPr>
        <w:t>、一旦我方中标，我方将根据招标文件的规定严格履行合同，并保证于承诺的时间完成货物的配送等服务，交付采购人验收、使用。</w:t>
      </w:r>
    </w:p>
    <w:p w14:paraId="30B38A00">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lang w:val="zh-CN"/>
        </w:rPr>
        <w:t>、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7D2D2965">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lang w:val="zh-CN"/>
        </w:rPr>
        <w:t>、与本投标有关的正式联系方式为：</w:t>
      </w:r>
    </w:p>
    <w:p w14:paraId="32FE69D6">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地址：</w:t>
      </w:r>
    </w:p>
    <w:p w14:paraId="6943ADC8">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电话：</w:t>
      </w:r>
    </w:p>
    <w:p w14:paraId="05275954">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传真：</w:t>
      </w:r>
    </w:p>
    <w:p w14:paraId="36191FA8">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开户银行：</w:t>
      </w:r>
    </w:p>
    <w:p w14:paraId="2FD7D8CB">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银行账号：</w:t>
      </w:r>
    </w:p>
    <w:p w14:paraId="1A7C7D25">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供应商授权代表姓名：</w:t>
      </w:r>
    </w:p>
    <w:p w14:paraId="489F5F83">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供应商名称：（电子签章）</w:t>
      </w:r>
    </w:p>
    <w:p w14:paraId="79C2A1C4">
      <w:pPr>
        <w:autoSpaceDE w:val="0"/>
        <w:autoSpaceDN w:val="0"/>
        <w:adjustRightInd w:val="0"/>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日期：年月日</w:t>
      </w:r>
      <w:r>
        <w:rPr>
          <w:rFonts w:hint="eastAsia" w:asciiTheme="minorEastAsia" w:hAnsiTheme="minorEastAsia" w:eastAsiaTheme="minorEastAsia" w:cstheme="minorEastAsia"/>
          <w:b/>
          <w:color w:val="auto"/>
          <w:szCs w:val="21"/>
          <w:highlight w:val="none"/>
        </w:rPr>
        <w:br w:type="page"/>
      </w:r>
    </w:p>
    <w:p w14:paraId="2285C8C7">
      <w:pPr>
        <w:autoSpaceDE w:val="0"/>
        <w:autoSpaceDN w:val="0"/>
        <w:adjustRightInd w:val="0"/>
        <w:spacing w:line="360" w:lineRule="auto"/>
        <w:outlineLvl w:val="2"/>
        <w:rPr>
          <w:rFonts w:asciiTheme="minorEastAsia" w:hAnsiTheme="minorEastAsia" w:eastAsiaTheme="minorEastAsia" w:cstheme="minorEastAsia"/>
          <w:b/>
          <w:bCs/>
          <w:color w:val="auto"/>
          <w:szCs w:val="21"/>
          <w:highlight w:val="none"/>
        </w:rPr>
      </w:pPr>
      <w:bookmarkStart w:id="385" w:name="_Toc25954"/>
      <w:bookmarkStart w:id="386" w:name="_Toc28539"/>
      <w:bookmarkStart w:id="387" w:name="_Toc19012"/>
      <w:bookmarkStart w:id="388" w:name="_Toc15128"/>
      <w:bookmarkStart w:id="389" w:name="_Toc18092"/>
      <w:bookmarkStart w:id="390" w:name="_Toc4729"/>
      <w:bookmarkStart w:id="391" w:name="_Toc25337"/>
      <w:bookmarkStart w:id="392" w:name="_Toc25651"/>
      <w:bookmarkStart w:id="393" w:name="_Toc27160"/>
      <w:bookmarkStart w:id="394" w:name="_Toc14037"/>
      <w:bookmarkStart w:id="395" w:name="_Toc12838"/>
      <w:bookmarkStart w:id="396" w:name="_Toc27976"/>
      <w:bookmarkStart w:id="397" w:name="_Toc27756"/>
      <w:bookmarkStart w:id="398" w:name="_Toc26837"/>
      <w:bookmarkStart w:id="399" w:name="_Toc116284549"/>
      <w:bookmarkStart w:id="400" w:name="_Toc25581"/>
      <w:bookmarkStart w:id="401" w:name="_Toc13662"/>
      <w:bookmarkStart w:id="402" w:name="_Toc372"/>
      <w:bookmarkStart w:id="403" w:name="_Toc24433"/>
      <w:bookmarkStart w:id="404" w:name="_Toc6266"/>
      <w:bookmarkStart w:id="405" w:name="_Toc21952"/>
      <w:bookmarkStart w:id="406" w:name="_Toc2764"/>
      <w:bookmarkStart w:id="407" w:name="_Toc9455"/>
      <w:bookmarkStart w:id="408" w:name="_Toc20964"/>
      <w:bookmarkStart w:id="409" w:name="_Toc13348"/>
      <w:r>
        <w:rPr>
          <w:rFonts w:hint="eastAsia" w:asciiTheme="minorEastAsia" w:hAnsiTheme="minorEastAsia" w:eastAsiaTheme="minorEastAsia" w:cstheme="minorEastAsia"/>
          <w:b/>
          <w:bCs/>
          <w:color w:val="auto"/>
          <w:sz w:val="24"/>
          <w:highlight w:val="none"/>
        </w:rPr>
        <w:t>二、</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0" w:name="_Toc21459"/>
      <w:bookmarkStart w:id="411" w:name="_Toc22690"/>
      <w:bookmarkStart w:id="412" w:name="_Toc116284551"/>
      <w:bookmarkStart w:id="413" w:name="_Toc4337"/>
      <w:bookmarkStart w:id="414" w:name="_Toc7900"/>
      <w:bookmarkStart w:id="415" w:name="_Toc6641"/>
      <w:bookmarkStart w:id="416" w:name="_Toc22171"/>
      <w:bookmarkStart w:id="417" w:name="_Toc32377"/>
      <w:bookmarkStart w:id="418" w:name="_Toc26010"/>
      <w:bookmarkStart w:id="419" w:name="_Toc4138"/>
      <w:bookmarkStart w:id="420" w:name="_Toc484"/>
      <w:bookmarkStart w:id="421" w:name="_Toc7805"/>
      <w:bookmarkStart w:id="422" w:name="_Toc24412"/>
      <w:r>
        <w:rPr>
          <w:rFonts w:hint="eastAsia" w:asciiTheme="minorEastAsia" w:hAnsiTheme="minorEastAsia" w:eastAsiaTheme="minorEastAsia" w:cstheme="minorEastAsia"/>
          <w:b/>
          <w:bCs/>
          <w:color w:val="auto"/>
          <w:sz w:val="24"/>
          <w:highlight w:val="none"/>
        </w:rPr>
        <w:t>南京市政府采购供应商信用记录表暨信用承诺书</w:t>
      </w:r>
      <w:bookmarkEnd w:id="409"/>
      <w:bookmarkEnd w:id="410"/>
      <w:bookmarkEnd w:id="411"/>
      <w:bookmarkEnd w:id="412"/>
      <w:bookmarkEnd w:id="413"/>
      <w:bookmarkEnd w:id="414"/>
      <w:bookmarkEnd w:id="415"/>
    </w:p>
    <w:p w14:paraId="3EE25BBF">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p>
    <w:p w14:paraId="66043BC2">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（以下仅为示范格式，直接填写无效，需至“南京</w:t>
      </w:r>
      <w:r>
        <w:rPr>
          <w:rFonts w:hint="eastAsia" w:asciiTheme="minorEastAsia" w:hAnsiTheme="minorEastAsia" w:eastAsiaTheme="minorEastAsia" w:cstheme="minorEastAsia"/>
          <w:b/>
          <w:bCs/>
          <w:color w:val="auto"/>
          <w:sz w:val="22"/>
          <w:szCs w:val="22"/>
          <w:highlight w:val="none"/>
          <w:lang w:val="en-US" w:eastAsia="zh-CN"/>
        </w:rPr>
        <w:t>市</w:t>
      </w:r>
      <w:r>
        <w:rPr>
          <w:rFonts w:hint="eastAsia" w:asciiTheme="minorEastAsia" w:hAnsiTheme="minorEastAsia" w:eastAsiaTheme="minorEastAsia" w:cstheme="minorEastAsia"/>
          <w:b/>
          <w:bCs/>
          <w:color w:val="auto"/>
          <w:sz w:val="22"/>
          <w:szCs w:val="22"/>
          <w:highlight w:val="none"/>
        </w:rPr>
        <w:t>政府采购供应商诚信档案管理系统”在线打印）</w:t>
      </w:r>
    </w:p>
    <w:p w14:paraId="4FA9B9CF">
      <w:pPr>
        <w:pStyle w:val="161"/>
        <w:ind w:firstLine="420"/>
        <w:rPr>
          <w:rFonts w:asciiTheme="minorEastAsia" w:hAnsiTheme="minorEastAsia" w:eastAsiaTheme="minorEastAsia" w:cstheme="minorEastAsia"/>
          <w:color w:val="auto"/>
          <w:highlight w:val="none"/>
        </w:rPr>
      </w:pPr>
    </w:p>
    <w:tbl>
      <w:tblPr>
        <w:tblStyle w:val="43"/>
        <w:tblW w:w="9566" w:type="dxa"/>
        <w:jc w:val="center"/>
        <w:tblLayout w:type="fixed"/>
        <w:tblCellMar>
          <w:top w:w="15" w:type="dxa"/>
          <w:left w:w="15" w:type="dxa"/>
          <w:bottom w:w="15" w:type="dxa"/>
          <w:right w:w="15" w:type="dxa"/>
        </w:tblCellMar>
      </w:tblPr>
      <w:tblGrid>
        <w:gridCol w:w="1602"/>
        <w:gridCol w:w="2760"/>
        <w:gridCol w:w="2040"/>
        <w:gridCol w:w="3164"/>
      </w:tblGrid>
      <w:tr w14:paraId="0773718B">
        <w:tblPrEx>
          <w:tblCellMar>
            <w:top w:w="15" w:type="dxa"/>
            <w:left w:w="15" w:type="dxa"/>
            <w:bottom w:w="15" w:type="dxa"/>
            <w:right w:w="15" w:type="dxa"/>
          </w:tblCellMar>
        </w:tblPrEx>
        <w:trPr>
          <w:trHeight w:val="600" w:hRule="atLeast"/>
          <w:jc w:val="center"/>
        </w:trPr>
        <w:tc>
          <w:tcPr>
            <w:tcW w:w="9566" w:type="dxa"/>
            <w:gridSpan w:val="4"/>
            <w:vAlign w:val="center"/>
          </w:tcPr>
          <w:p w14:paraId="31726D09">
            <w:pPr>
              <w:widowControl/>
              <w:jc w:val="center"/>
              <w:textAlignment w:val="center"/>
              <w:rPr>
                <w:rFonts w:asciiTheme="minorEastAsia" w:hAnsiTheme="minorEastAsia" w:eastAsiaTheme="minorEastAsia" w:cstheme="minorEastAsia"/>
                <w:b/>
                <w:bCs/>
                <w:color w:val="auto"/>
                <w:kern w:val="0"/>
                <w:sz w:val="32"/>
                <w:szCs w:val="32"/>
                <w:highlight w:val="none"/>
              </w:rPr>
            </w:pPr>
            <w:r>
              <w:rPr>
                <w:rFonts w:hint="eastAsia" w:asciiTheme="minorEastAsia" w:hAnsiTheme="minorEastAsia" w:eastAsiaTheme="minorEastAsia" w:cstheme="minorEastAsia"/>
                <w:b/>
                <w:bCs/>
                <w:color w:val="auto"/>
                <w:kern w:val="0"/>
                <w:sz w:val="32"/>
                <w:szCs w:val="32"/>
                <w:highlight w:val="none"/>
              </w:rPr>
              <w:t>南京市政府采购供应商信用记录表</w:t>
            </w:r>
          </w:p>
          <w:p w14:paraId="68957B98">
            <w:pPr>
              <w:widowControl/>
              <w:jc w:val="center"/>
              <w:textAlignment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b/>
                <w:bCs/>
                <w:color w:val="auto"/>
                <w:kern w:val="0"/>
                <w:sz w:val="32"/>
                <w:szCs w:val="32"/>
                <w:highlight w:val="none"/>
              </w:rPr>
              <w:t>暨信用承诺书</w:t>
            </w:r>
          </w:p>
        </w:tc>
      </w:tr>
      <w:tr w14:paraId="3027EBFC">
        <w:tblPrEx>
          <w:tblCellMar>
            <w:top w:w="15" w:type="dxa"/>
            <w:left w:w="15" w:type="dxa"/>
            <w:bottom w:w="15" w:type="dxa"/>
            <w:right w:w="15" w:type="dxa"/>
          </w:tblCellMar>
        </w:tblPrEx>
        <w:trPr>
          <w:trHeight w:val="600" w:hRule="atLeast"/>
          <w:jc w:val="center"/>
        </w:trPr>
        <w:tc>
          <w:tcPr>
            <w:tcW w:w="9566" w:type="dxa"/>
            <w:gridSpan w:val="4"/>
            <w:vAlign w:val="center"/>
          </w:tcPr>
          <w:p w14:paraId="6C2C1735">
            <w:pPr>
              <w:widowControl/>
              <w:wordWrap w:val="0"/>
              <w:jc w:val="right"/>
              <w:textAlignment w:val="center"/>
              <w:rPr>
                <w:rFonts w:asciiTheme="minorEastAsia" w:hAnsiTheme="minorEastAsia" w:eastAsiaTheme="minorEastAsia" w:cstheme="minorEastAsia"/>
                <w:b/>
                <w:bCs/>
                <w:color w:val="auto"/>
                <w:kern w:val="0"/>
                <w:sz w:val="32"/>
                <w:szCs w:val="32"/>
                <w:highlight w:val="none"/>
              </w:rPr>
            </w:pPr>
            <w:r>
              <w:rPr>
                <w:rFonts w:hint="eastAsia" w:asciiTheme="minorEastAsia" w:hAnsiTheme="minorEastAsia" w:eastAsiaTheme="minorEastAsia" w:cstheme="minorEastAsia"/>
                <w:color w:val="auto"/>
                <w:kern w:val="0"/>
                <w:sz w:val="24"/>
                <w:highlight w:val="none"/>
              </w:rPr>
              <w:t>年    月    日</w:t>
            </w:r>
          </w:p>
        </w:tc>
      </w:tr>
      <w:tr w14:paraId="2C7CAEDF">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vAlign w:val="center"/>
          </w:tcPr>
          <w:p w14:paraId="5E83E861">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vAlign w:val="center"/>
          </w:tcPr>
          <w:p w14:paraId="2EEABD0B">
            <w:pPr>
              <w:rPr>
                <w:rFonts w:asciiTheme="minorEastAsia" w:hAnsiTheme="minorEastAsia" w:eastAsiaTheme="minorEastAsia" w:cstheme="minorEastAsia"/>
                <w:bCs/>
                <w:color w:val="auto"/>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vAlign w:val="center"/>
          </w:tcPr>
          <w:p w14:paraId="235F7C3A">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vAlign w:val="center"/>
          </w:tcPr>
          <w:p w14:paraId="6539B06D">
            <w:pPr>
              <w:rPr>
                <w:rFonts w:asciiTheme="minorEastAsia" w:hAnsiTheme="minorEastAsia" w:eastAsiaTheme="minorEastAsia" w:cstheme="minorEastAsia"/>
                <w:color w:val="auto"/>
                <w:sz w:val="22"/>
                <w:szCs w:val="22"/>
                <w:highlight w:val="none"/>
              </w:rPr>
            </w:pPr>
          </w:p>
        </w:tc>
      </w:tr>
      <w:tr w14:paraId="7B4E0B97">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vAlign w:val="center"/>
          </w:tcPr>
          <w:p w14:paraId="3DF48321">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vAlign w:val="center"/>
          </w:tcPr>
          <w:p w14:paraId="5EB53F37">
            <w:pPr>
              <w:rPr>
                <w:rFonts w:asciiTheme="minorEastAsia" w:hAnsiTheme="minorEastAsia" w:eastAsiaTheme="minorEastAsia" w:cstheme="minorEastAsia"/>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vAlign w:val="center"/>
          </w:tcPr>
          <w:p w14:paraId="206EDB53">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vAlign w:val="center"/>
          </w:tcPr>
          <w:p w14:paraId="24AD86E6">
            <w:pPr>
              <w:rPr>
                <w:rFonts w:asciiTheme="minorEastAsia" w:hAnsiTheme="minorEastAsia" w:eastAsiaTheme="minorEastAsia" w:cstheme="minorEastAsia"/>
                <w:color w:val="auto"/>
                <w:sz w:val="22"/>
                <w:szCs w:val="22"/>
                <w:highlight w:val="none"/>
              </w:rPr>
            </w:pPr>
          </w:p>
        </w:tc>
      </w:tr>
      <w:tr w14:paraId="0C0427B0">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vAlign w:val="center"/>
          </w:tcPr>
          <w:p w14:paraId="54CF3BFB">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vAlign w:val="center"/>
          </w:tcPr>
          <w:p w14:paraId="6AD532C6">
            <w:pPr>
              <w:rPr>
                <w:rFonts w:asciiTheme="minorEastAsia" w:hAnsiTheme="minorEastAsia" w:eastAsiaTheme="minorEastAsia" w:cstheme="minorEastAsia"/>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vAlign w:val="center"/>
          </w:tcPr>
          <w:p w14:paraId="67E4EF2C">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vAlign w:val="center"/>
          </w:tcPr>
          <w:p w14:paraId="120E54A6">
            <w:pPr>
              <w:rPr>
                <w:rFonts w:asciiTheme="minorEastAsia" w:hAnsiTheme="minorEastAsia" w:eastAsiaTheme="minorEastAsia" w:cstheme="minorEastAsia"/>
                <w:color w:val="auto"/>
                <w:sz w:val="22"/>
                <w:szCs w:val="22"/>
                <w:highlight w:val="none"/>
              </w:rPr>
            </w:pPr>
          </w:p>
        </w:tc>
      </w:tr>
      <w:tr w14:paraId="0714C7E4">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vAlign w:val="center"/>
          </w:tcPr>
          <w:p w14:paraId="244A692A">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vAlign w:val="center"/>
          </w:tcPr>
          <w:p w14:paraId="637198ED">
            <w:pPr>
              <w:rPr>
                <w:rFonts w:asciiTheme="minorEastAsia" w:hAnsiTheme="minorEastAsia" w:eastAsiaTheme="minorEastAsia" w:cstheme="minorEastAsia"/>
                <w:color w:val="auto"/>
                <w:sz w:val="22"/>
                <w:szCs w:val="22"/>
                <w:highlight w:val="none"/>
              </w:rPr>
            </w:pPr>
          </w:p>
        </w:tc>
      </w:tr>
      <w:tr w14:paraId="100C7F2B">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vAlign w:val="center"/>
          </w:tcPr>
          <w:p w14:paraId="321DC5BA">
            <w:pPr>
              <w:widowControl/>
              <w:jc w:val="left"/>
              <w:textAlignment w:val="center"/>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kern w:val="0"/>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vAlign w:val="center"/>
          </w:tcPr>
          <w:p w14:paraId="0CE7B9A4">
            <w:pPr>
              <w:widowControl/>
              <w:jc w:val="left"/>
              <w:textAlignment w:val="center"/>
              <w:rPr>
                <w:rFonts w:asciiTheme="minorEastAsia" w:hAnsiTheme="minorEastAsia" w:eastAsiaTheme="minorEastAsia" w:cstheme="minorEastAsia"/>
                <w:color w:val="auto"/>
                <w:kern w:val="0"/>
                <w:sz w:val="24"/>
                <w:highlight w:val="none"/>
              </w:rPr>
            </w:pPr>
          </w:p>
          <w:p w14:paraId="0AD58140">
            <w:pPr>
              <w:widowControl/>
              <w:jc w:val="left"/>
              <w:textAlignment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EF5D013">
            <w:pPr>
              <w:widowControl/>
              <w:jc w:val="left"/>
              <w:textAlignment w:val="center"/>
              <w:rPr>
                <w:rFonts w:asciiTheme="minorEastAsia" w:hAnsiTheme="minorEastAsia" w:eastAsiaTheme="minorEastAsia" w:cstheme="minorEastAsia"/>
                <w:color w:val="auto"/>
                <w:kern w:val="0"/>
                <w:sz w:val="24"/>
                <w:highlight w:val="none"/>
              </w:rPr>
            </w:pPr>
          </w:p>
          <w:p w14:paraId="775983CD">
            <w:pPr>
              <w:widowControl/>
              <w:jc w:val="left"/>
              <w:textAlignment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xml:space="preserve">                      供应商名称（盖章）：</w:t>
            </w:r>
          </w:p>
          <w:p w14:paraId="5975851D">
            <w:pPr>
              <w:widowControl/>
              <w:jc w:val="left"/>
              <w:textAlignment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xml:space="preserve">                      法定代表人（签字）：</w:t>
            </w:r>
          </w:p>
          <w:p w14:paraId="64039D63">
            <w:pPr>
              <w:widowControl/>
              <w:jc w:val="left"/>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rPr>
              <w:t xml:space="preserve">                          年   月    日</w:t>
            </w:r>
          </w:p>
        </w:tc>
      </w:tr>
    </w:tbl>
    <w:p w14:paraId="57008712">
      <w:pPr>
        <w:ind w:firstLine="420"/>
        <w:rPr>
          <w:rFonts w:asciiTheme="minorEastAsia" w:hAnsiTheme="minorEastAsia" w:eastAsiaTheme="minorEastAsia" w:cstheme="minorEastAsia"/>
          <w:color w:val="auto"/>
          <w:highlight w:val="none"/>
        </w:rPr>
      </w:pPr>
    </w:p>
    <w:p w14:paraId="354207CA">
      <w:pPr>
        <w:ind w:firstLine="420"/>
        <w:rPr>
          <w:rFonts w:asciiTheme="minorEastAsia" w:hAnsiTheme="minorEastAsia" w:eastAsiaTheme="minorEastAsia" w:cstheme="minorEastAsia"/>
          <w:color w:val="auto"/>
          <w:highlight w:val="none"/>
        </w:rPr>
      </w:pPr>
    </w:p>
    <w:p w14:paraId="5ABED5ED">
      <w:pPr>
        <w:autoSpaceDE w:val="0"/>
        <w:autoSpaceDN w:val="0"/>
        <w:adjustRightInd w:val="0"/>
        <w:spacing w:line="460" w:lineRule="exact"/>
        <w:outlineLvl w:val="2"/>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br w:type="page"/>
      </w:r>
      <w:bookmarkStart w:id="423" w:name="_Toc20764"/>
      <w:bookmarkStart w:id="424" w:name="_Toc116284552"/>
      <w:bookmarkStart w:id="425" w:name="_Toc4930"/>
      <w:bookmarkStart w:id="426" w:name="_Toc3743"/>
      <w:bookmarkStart w:id="427" w:name="_Toc3413"/>
      <w:bookmarkStart w:id="428" w:name="_Toc32735"/>
      <w:r>
        <w:rPr>
          <w:rFonts w:hint="eastAsia" w:asciiTheme="minorEastAsia" w:hAnsiTheme="minorEastAsia" w:eastAsiaTheme="minorEastAsia" w:cstheme="minorEastAsia"/>
          <w:b/>
          <w:bCs/>
          <w:color w:val="auto"/>
          <w:sz w:val="24"/>
          <w:highlight w:val="none"/>
          <w:lang w:val="en-US" w:eastAsia="zh-CN"/>
        </w:rPr>
        <w:t>三</w:t>
      </w:r>
      <w:r>
        <w:rPr>
          <w:rFonts w:hint="eastAsia" w:asciiTheme="minorEastAsia" w:hAnsiTheme="minorEastAsia" w:eastAsiaTheme="minorEastAsia" w:cstheme="minorEastAsia"/>
          <w:b/>
          <w:bCs/>
          <w:color w:val="auto"/>
          <w:sz w:val="24"/>
          <w:highlight w:val="none"/>
        </w:rPr>
        <w:t>、</w:t>
      </w:r>
      <w:bookmarkEnd w:id="416"/>
      <w:bookmarkEnd w:id="417"/>
      <w:bookmarkEnd w:id="418"/>
      <w:bookmarkEnd w:id="419"/>
      <w:bookmarkEnd w:id="420"/>
      <w:bookmarkEnd w:id="421"/>
      <w:bookmarkEnd w:id="423"/>
      <w:bookmarkEnd w:id="424"/>
      <w:bookmarkEnd w:id="425"/>
      <w:bookmarkStart w:id="429" w:name="_Toc17411"/>
      <w:bookmarkStart w:id="430" w:name="_Toc2557"/>
      <w:bookmarkStart w:id="431" w:name="_Toc14140"/>
      <w:bookmarkStart w:id="432" w:name="_Toc17732"/>
      <w:bookmarkStart w:id="433" w:name="_Toc116284553"/>
      <w:bookmarkStart w:id="434" w:name="_Toc18017"/>
      <w:bookmarkStart w:id="435" w:name="_Toc9020"/>
      <w:bookmarkStart w:id="436" w:name="_Toc22511"/>
      <w:bookmarkStart w:id="437" w:name="_Toc25092"/>
      <w:r>
        <w:rPr>
          <w:rFonts w:hint="eastAsia" w:asciiTheme="minorEastAsia" w:hAnsiTheme="minorEastAsia" w:eastAsiaTheme="minorEastAsia" w:cstheme="minorEastAsia"/>
          <w:b/>
          <w:color w:val="auto"/>
          <w:sz w:val="24"/>
          <w:highlight w:val="none"/>
        </w:rPr>
        <w:t>企业业绩</w:t>
      </w:r>
      <w:bookmarkEnd w:id="426"/>
      <w:bookmarkEnd w:id="427"/>
      <w:bookmarkEnd w:id="428"/>
      <w:bookmarkEnd w:id="429"/>
      <w:bookmarkEnd w:id="430"/>
      <w:bookmarkEnd w:id="431"/>
      <w:bookmarkEnd w:id="432"/>
      <w:bookmarkEnd w:id="433"/>
      <w:bookmarkEnd w:id="434"/>
      <w:bookmarkEnd w:id="435"/>
      <w:bookmarkEnd w:id="436"/>
      <w:bookmarkEnd w:id="437"/>
    </w:p>
    <w:p w14:paraId="1CF1CECE">
      <w:pPr>
        <w:autoSpaceDE w:val="0"/>
        <w:autoSpaceDN w:val="0"/>
        <w:adjustRightInd w:val="0"/>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企业业绩汇总表</w:t>
      </w:r>
    </w:p>
    <w:p w14:paraId="3DF7FA63">
      <w:pPr>
        <w:autoSpaceDE w:val="0"/>
        <w:autoSpaceDN w:val="0"/>
        <w:adjustRightInd w:val="0"/>
        <w:ind w:firstLine="480"/>
        <w:jc w:val="center"/>
        <w:rPr>
          <w:rFonts w:asciiTheme="minorEastAsia" w:hAnsiTheme="minorEastAsia" w:eastAsiaTheme="minorEastAsia" w:cstheme="minorEastAsia"/>
          <w:color w:val="auto"/>
          <w:sz w:val="24"/>
          <w:highlight w:val="none"/>
          <w:lang w:val="zh-CN"/>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66AC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66DEFDB1">
            <w:pPr>
              <w:autoSpaceDE w:val="0"/>
              <w:autoSpaceDN w:val="0"/>
              <w:adjustRightInd w:val="0"/>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项目名称</w:t>
            </w:r>
          </w:p>
        </w:tc>
        <w:tc>
          <w:tcPr>
            <w:tcW w:w="2405" w:type="dxa"/>
          </w:tcPr>
          <w:p w14:paraId="79AF6412">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委托人</w:t>
            </w:r>
          </w:p>
        </w:tc>
        <w:tc>
          <w:tcPr>
            <w:tcW w:w="2405" w:type="dxa"/>
          </w:tcPr>
          <w:p w14:paraId="1D18DA23">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合同金额</w:t>
            </w:r>
          </w:p>
        </w:tc>
        <w:tc>
          <w:tcPr>
            <w:tcW w:w="2405" w:type="dxa"/>
          </w:tcPr>
          <w:p w14:paraId="0679111C">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合同签订时间</w:t>
            </w:r>
          </w:p>
        </w:tc>
      </w:tr>
      <w:tr w14:paraId="2364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39EE26C2">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25AE8AB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7AF8522F">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126E9D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57A6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7E88D3E1">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0348E5A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247442B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8E2DD28">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2DD7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0EA5E8C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021059CD">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3E74BE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181195AE">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7432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352413C">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49D661A">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4E67D042">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1E7FB65">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73D0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1875B891">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6633D2F">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05E7E93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1272749B">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008D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6B731828">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209BFBA2">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6D3501A">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4932F3B">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0DEE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1CF485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1630A0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222ADE32">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1062547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7137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2AD0CA3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37DE716C">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5F9884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404183C3">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bl>
    <w:p w14:paraId="069F4021">
      <w:pPr>
        <w:autoSpaceDE w:val="0"/>
        <w:autoSpaceDN w:val="0"/>
        <w:adjustRightInd w:val="0"/>
        <w:ind w:firstLine="482"/>
        <w:jc w:val="center"/>
        <w:rPr>
          <w:rFonts w:asciiTheme="minorEastAsia" w:hAnsiTheme="minorEastAsia" w:eastAsiaTheme="minorEastAsia" w:cstheme="minorEastAsia"/>
          <w:b/>
          <w:bCs/>
          <w:color w:val="auto"/>
          <w:sz w:val="24"/>
          <w:highlight w:val="none"/>
        </w:rPr>
      </w:pPr>
    </w:p>
    <w:p w14:paraId="161EB601">
      <w:pPr>
        <w:wordWrap w:val="0"/>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eastAsia="zh-CN"/>
        </w:rPr>
        <w:t>电子签章</w:t>
      </w:r>
      <w:r>
        <w:rPr>
          <w:rFonts w:hint="eastAsia" w:asciiTheme="minorEastAsia" w:hAnsiTheme="minorEastAsia" w:eastAsiaTheme="minorEastAsia" w:cstheme="minorEastAsia"/>
          <w:color w:val="auto"/>
          <w:sz w:val="24"/>
          <w:highlight w:val="none"/>
        </w:rPr>
        <w:t xml:space="preserve">）：        </w:t>
      </w:r>
    </w:p>
    <w:p w14:paraId="3236004C">
      <w:pPr>
        <w:wordWrap w:val="0"/>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w:t>
      </w:r>
    </w:p>
    <w:p w14:paraId="0DB6021A">
      <w:pPr>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日    期：    年    月   日</w:t>
      </w:r>
    </w:p>
    <w:p w14:paraId="2A441EA6">
      <w:pPr>
        <w:autoSpaceDE w:val="0"/>
        <w:autoSpaceDN w:val="0"/>
        <w:adjustRightInd w:val="0"/>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注：附合同等业绩证明资料</w:t>
      </w:r>
    </w:p>
    <w:p w14:paraId="5D390FCC">
      <w:pPr>
        <w:widowControl/>
        <w:shd w:val="clear" w:color="auto" w:fill="FFFFFF"/>
        <w:spacing w:line="360" w:lineRule="auto"/>
        <w:ind w:firstLine="422"/>
        <w:rPr>
          <w:rFonts w:asciiTheme="minorEastAsia" w:hAnsiTheme="minorEastAsia" w:eastAsiaTheme="minorEastAsia" w:cstheme="minorEastAsia"/>
          <w:b/>
          <w:bCs/>
          <w:color w:val="auto"/>
          <w:kern w:val="0"/>
          <w:szCs w:val="21"/>
          <w:highlight w:val="none"/>
        </w:rPr>
      </w:pPr>
    </w:p>
    <w:p w14:paraId="1788C5D5">
      <w:pPr>
        <w:widowControl/>
        <w:shd w:val="clear" w:color="auto" w:fill="FFFFFF"/>
        <w:spacing w:line="360" w:lineRule="auto"/>
        <w:ind w:firstLine="422"/>
        <w:rPr>
          <w:rFonts w:asciiTheme="minorEastAsia" w:hAnsiTheme="minorEastAsia" w:eastAsiaTheme="minorEastAsia" w:cstheme="minorEastAsia"/>
          <w:b/>
          <w:bCs/>
          <w:color w:val="auto"/>
          <w:kern w:val="0"/>
          <w:szCs w:val="21"/>
          <w:highlight w:val="none"/>
        </w:rPr>
      </w:pPr>
    </w:p>
    <w:p w14:paraId="21BA739F">
      <w:pPr>
        <w:pStyle w:val="19"/>
        <w:rPr>
          <w:rFonts w:asciiTheme="minorEastAsia" w:hAnsiTheme="minorEastAsia" w:eastAsiaTheme="minorEastAsia" w:cstheme="minorEastAsia"/>
          <w:b/>
          <w:bCs/>
          <w:color w:val="auto"/>
          <w:kern w:val="0"/>
          <w:szCs w:val="21"/>
          <w:highlight w:val="none"/>
        </w:rPr>
      </w:pPr>
    </w:p>
    <w:p w14:paraId="2D278BBC">
      <w:pPr>
        <w:pStyle w:val="19"/>
        <w:rPr>
          <w:rFonts w:asciiTheme="minorEastAsia" w:hAnsiTheme="minorEastAsia" w:eastAsiaTheme="minorEastAsia" w:cstheme="minorEastAsia"/>
          <w:b/>
          <w:bCs/>
          <w:color w:val="auto"/>
          <w:kern w:val="0"/>
          <w:szCs w:val="21"/>
          <w:highlight w:val="none"/>
        </w:rPr>
      </w:pPr>
    </w:p>
    <w:p w14:paraId="3121FE43">
      <w:pPr>
        <w:autoSpaceDE w:val="0"/>
        <w:autoSpaceDN w:val="0"/>
        <w:adjustRightInd w:val="0"/>
        <w:spacing w:line="460" w:lineRule="exact"/>
        <w:outlineLvl w:val="2"/>
        <w:rPr>
          <w:rFonts w:hint="eastAsia" w:asciiTheme="minorEastAsia" w:hAnsiTheme="minorEastAsia" w:eastAsiaTheme="minorEastAsia" w:cstheme="minorEastAsia"/>
          <w:b/>
          <w:bCs/>
          <w:color w:val="auto"/>
          <w:sz w:val="24"/>
          <w:highlight w:val="none"/>
          <w:lang w:val="en-US" w:eastAsia="zh-CN"/>
        </w:rPr>
      </w:pPr>
      <w:bookmarkStart w:id="438" w:name="_Toc13389"/>
      <w:bookmarkStart w:id="439" w:name="_Toc21883"/>
      <w:r>
        <w:rPr>
          <w:rFonts w:hint="eastAsia" w:asciiTheme="minorEastAsia" w:hAnsiTheme="minorEastAsia" w:eastAsiaTheme="minorEastAsia" w:cstheme="minorEastAsia"/>
          <w:b/>
          <w:bCs/>
          <w:color w:val="auto"/>
          <w:sz w:val="24"/>
          <w:highlight w:val="none"/>
          <w:lang w:val="en-US" w:eastAsia="zh-CN"/>
        </w:rPr>
        <w:t>四、供应商认为需要</w:t>
      </w:r>
      <w:r>
        <w:rPr>
          <w:rFonts w:hint="eastAsia" w:asciiTheme="minorEastAsia" w:hAnsiTheme="minorEastAsia" w:eastAsiaTheme="minorEastAsia" w:cstheme="minorEastAsia"/>
          <w:b/>
          <w:bCs/>
          <w:color w:val="auto"/>
          <w:sz w:val="24"/>
          <w:highlight w:val="none"/>
          <w:lang w:val="zh-CN" w:eastAsia="zh-CN"/>
        </w:rPr>
        <w:t>提供的其他资格证明文件和商务资料</w:t>
      </w:r>
      <w:bookmarkEnd w:id="438"/>
      <w:bookmarkEnd w:id="439"/>
    </w:p>
    <w:p w14:paraId="4BCAD527">
      <w:pPr>
        <w:widowControl/>
        <w:adjustRightInd w:val="0"/>
        <w:spacing w:line="360" w:lineRule="auto"/>
        <w:jc w:val="left"/>
        <w:outlineLvl w:val="1"/>
        <w:rPr>
          <w:rFonts w:asciiTheme="minorEastAsia" w:hAnsiTheme="minorEastAsia" w:eastAsiaTheme="minorEastAsia" w:cstheme="minorEastAsia"/>
          <w:b/>
          <w:color w:val="auto"/>
          <w:kern w:val="0"/>
          <w:szCs w:val="21"/>
          <w:highlight w:val="none"/>
        </w:rPr>
      </w:pPr>
      <w:r>
        <w:rPr>
          <w:rFonts w:hint="eastAsia" w:asciiTheme="minorEastAsia" w:hAnsiTheme="minorEastAsia" w:eastAsiaTheme="minorEastAsia" w:cstheme="minorEastAsia"/>
          <w:b/>
          <w:color w:val="auto"/>
          <w:kern w:val="0"/>
          <w:szCs w:val="21"/>
          <w:highlight w:val="none"/>
          <w:lang w:val="zh-CN"/>
        </w:rPr>
        <w:br w:type="page"/>
      </w:r>
      <w:bookmarkStart w:id="440" w:name="_Toc30633"/>
      <w:bookmarkStart w:id="441" w:name="_Toc17860"/>
      <w:bookmarkStart w:id="442" w:name="_Toc32523"/>
      <w:bookmarkStart w:id="443" w:name="_Toc27169"/>
      <w:bookmarkStart w:id="444" w:name="_Toc12336"/>
      <w:bookmarkStart w:id="445" w:name="_Toc12167"/>
      <w:bookmarkStart w:id="446" w:name="_Toc116284554"/>
      <w:bookmarkStart w:id="447" w:name="_Toc20297"/>
      <w:bookmarkStart w:id="448" w:name="_Toc24108"/>
      <w:bookmarkStart w:id="449" w:name="_Toc32639"/>
      <w:bookmarkStart w:id="450" w:name="_Toc23627"/>
      <w:bookmarkStart w:id="451" w:name="_Toc21761"/>
      <w:bookmarkStart w:id="452" w:name="_Toc2411"/>
      <w:bookmarkStart w:id="453" w:name="_Toc10364"/>
      <w:bookmarkStart w:id="454" w:name="_Toc2831"/>
      <w:bookmarkStart w:id="455" w:name="_Toc12616"/>
      <w:bookmarkStart w:id="456" w:name="_Toc17758"/>
      <w:bookmarkStart w:id="457" w:name="_Toc22840"/>
      <w:bookmarkStart w:id="458" w:name="_Toc103"/>
      <w:bookmarkStart w:id="459" w:name="_Toc26945"/>
      <w:bookmarkStart w:id="460" w:name="_Toc7789"/>
      <w:bookmarkStart w:id="461" w:name="_Toc6167"/>
      <w:bookmarkStart w:id="462" w:name="_Toc2294"/>
      <w:bookmarkStart w:id="463" w:name="_Toc27413"/>
      <w:bookmarkStart w:id="464" w:name="_Toc2916"/>
      <w:r>
        <w:rPr>
          <w:rFonts w:hint="eastAsia" w:asciiTheme="minorEastAsia" w:hAnsiTheme="minorEastAsia" w:eastAsiaTheme="minorEastAsia" w:cstheme="minorEastAsia"/>
          <w:b/>
          <w:color w:val="auto"/>
          <w:kern w:val="0"/>
          <w:sz w:val="28"/>
          <w:szCs w:val="28"/>
          <w:highlight w:val="none"/>
        </w:rPr>
        <w:t>价格部分</w:t>
      </w:r>
      <w:bookmarkEnd w:id="440"/>
      <w:bookmarkEnd w:id="441"/>
      <w:bookmarkEnd w:id="442"/>
      <w:bookmarkEnd w:id="443"/>
      <w:bookmarkEnd w:id="444"/>
      <w:bookmarkEnd w:id="445"/>
      <w:bookmarkEnd w:id="446"/>
      <w:bookmarkEnd w:id="447"/>
      <w:bookmarkEnd w:id="448"/>
      <w:bookmarkEnd w:id="449"/>
      <w:bookmarkEnd w:id="450"/>
      <w:bookmarkEnd w:id="451"/>
    </w:p>
    <w:p w14:paraId="10D7916A">
      <w:pPr>
        <w:widowControl/>
        <w:adjustRightInd w:val="0"/>
        <w:spacing w:line="360" w:lineRule="auto"/>
        <w:jc w:val="left"/>
        <w:outlineLvl w:val="2"/>
        <w:rPr>
          <w:rFonts w:asciiTheme="minorEastAsia" w:hAnsiTheme="minorEastAsia" w:eastAsiaTheme="minorEastAsia" w:cstheme="minorEastAsia"/>
          <w:b/>
          <w:color w:val="auto"/>
          <w:kern w:val="0"/>
          <w:szCs w:val="21"/>
          <w:highlight w:val="none"/>
          <w:lang w:val="zh-CN"/>
        </w:rPr>
      </w:pPr>
      <w:bookmarkStart w:id="465" w:name="_Toc20785"/>
      <w:bookmarkStart w:id="466" w:name="_Toc28082"/>
      <w:bookmarkStart w:id="467" w:name="_Toc2800"/>
      <w:bookmarkStart w:id="468" w:name="_Toc26786"/>
      <w:bookmarkStart w:id="469" w:name="_Toc116284555"/>
      <w:bookmarkStart w:id="470" w:name="_Toc30594"/>
      <w:bookmarkStart w:id="471" w:name="_Toc8934"/>
      <w:bookmarkStart w:id="472" w:name="_Toc11687"/>
      <w:bookmarkStart w:id="473" w:name="_Toc8943"/>
      <w:bookmarkStart w:id="474" w:name="_Toc27306"/>
      <w:bookmarkStart w:id="475" w:name="_Toc8526"/>
      <w:bookmarkStart w:id="476" w:name="_Toc31771"/>
      <w:r>
        <w:rPr>
          <w:rFonts w:hint="eastAsia" w:asciiTheme="minorEastAsia" w:hAnsiTheme="minorEastAsia" w:eastAsiaTheme="minorEastAsia" w:cstheme="minorEastAsia"/>
          <w:b/>
          <w:bCs/>
          <w:color w:val="auto"/>
          <w:sz w:val="24"/>
          <w:highlight w:val="none"/>
        </w:rPr>
        <w:t>一</w:t>
      </w:r>
      <w:r>
        <w:rPr>
          <w:rFonts w:hint="eastAsia" w:asciiTheme="minorEastAsia" w:hAnsiTheme="minorEastAsia" w:eastAsiaTheme="minorEastAsia" w:cstheme="minorEastAsia"/>
          <w:b/>
          <w:bCs/>
          <w:color w:val="auto"/>
          <w:sz w:val="24"/>
          <w:highlight w:val="none"/>
          <w:lang w:val="zh-CN"/>
        </w:rPr>
        <w:t>、开标一览表</w:t>
      </w:r>
      <w:bookmarkEnd w:id="422"/>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12AFA8D">
      <w:pPr>
        <w:autoSpaceDE w:val="0"/>
        <w:autoSpaceDN w:val="0"/>
        <w:adjustRightInd w:val="0"/>
        <w:ind w:firstLine="422"/>
        <w:jc w:val="center"/>
      </w:pPr>
      <w:r>
        <w:rPr>
          <w:rStyle w:val="46"/>
        </w:rPr>
        <w:t>开标一览表</w:t>
      </w:r>
    </w:p>
    <w:p w14:paraId="15F06037">
      <w:pPr>
        <w:pStyle w:val="40"/>
        <w:keepNext w:val="0"/>
        <w:keepLines w:val="0"/>
        <w:widowControl/>
        <w:suppressLineNumbers w:val="0"/>
      </w:pPr>
      <w:r>
        <w:t>投标人全称（CA公章）：</w:t>
      </w:r>
    </w:p>
    <w:p w14:paraId="5C094A01">
      <w:pPr>
        <w:pStyle w:val="40"/>
        <w:keepNext w:val="0"/>
        <w:keepLines w:val="0"/>
        <w:widowControl/>
        <w:suppressLineNumbers w:val="0"/>
      </w:pPr>
      <w:r>
        <w:t>项目名称：</w:t>
      </w:r>
    </w:p>
    <w:p w14:paraId="6D77EF33">
      <w:pPr>
        <w:pStyle w:val="40"/>
        <w:keepNext w:val="0"/>
        <w:keepLines w:val="0"/>
        <w:widowControl/>
        <w:suppressLineNumbers w:val="0"/>
      </w:pPr>
      <w:r>
        <w:t>项目编号： </w:t>
      </w:r>
    </w:p>
    <w:p w14:paraId="634387DF">
      <w:pPr>
        <w:pStyle w:val="40"/>
        <w:keepNext w:val="0"/>
        <w:keepLines w:val="0"/>
        <w:widowControl/>
        <w:suppressLineNumbers w:val="0"/>
      </w:pPr>
      <w:r>
        <w:t>分包号：</w:t>
      </w:r>
    </w:p>
    <w:tbl>
      <w:tblPr>
        <w:tblStyle w:val="43"/>
        <w:tblW w:w="4515"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202"/>
        <w:gridCol w:w="5097"/>
      </w:tblGrid>
      <w:tr w14:paraId="7031F7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10" w:hRule="atLeast"/>
          <w:tblCellSpacing w:w="15" w:type="dxa"/>
        </w:trPr>
        <w:tc>
          <w:tcPr>
            <w:tcW w:w="1922" w:type="pct"/>
            <w:shd w:val="clear" w:color="auto" w:fill="auto"/>
            <w:vAlign w:val="center"/>
          </w:tcPr>
          <w:p w14:paraId="0D27A1BE">
            <w:pPr>
              <w:keepNext w:val="0"/>
              <w:keepLines w:val="0"/>
              <w:widowControl/>
              <w:suppressLineNumbers w:val="0"/>
              <w:jc w:val="left"/>
            </w:pPr>
            <w:r>
              <w:rPr>
                <w:rFonts w:ascii="宋体" w:hAnsi="宋体" w:eastAsia="宋体" w:cs="宋体"/>
                <w:kern w:val="0"/>
                <w:sz w:val="24"/>
                <w:szCs w:val="24"/>
                <w:lang w:val="en-US" w:eastAsia="zh-CN" w:bidi="ar"/>
              </w:rPr>
              <w:t>投标货物名称</w:t>
            </w:r>
          </w:p>
        </w:tc>
        <w:tc>
          <w:tcPr>
            <w:tcW w:w="3076" w:type="pct"/>
            <w:shd w:val="clear" w:color="auto" w:fill="auto"/>
            <w:vAlign w:val="center"/>
          </w:tcPr>
          <w:p w14:paraId="113CFFCF">
            <w:pPr>
              <w:pStyle w:val="40"/>
              <w:keepNext w:val="0"/>
              <w:keepLines w:val="0"/>
              <w:widowControl/>
              <w:suppressLineNumbers w:val="0"/>
              <w:jc w:val="center"/>
            </w:pPr>
            <w:r>
              <w:t>优惠率</w:t>
            </w:r>
          </w:p>
        </w:tc>
      </w:tr>
      <w:tr w14:paraId="5BFEAC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25" w:hRule="atLeast"/>
          <w:tblCellSpacing w:w="15" w:type="dxa"/>
        </w:trPr>
        <w:tc>
          <w:tcPr>
            <w:tcW w:w="1922" w:type="pct"/>
            <w:shd w:val="clear" w:color="auto" w:fill="auto"/>
            <w:vAlign w:val="center"/>
          </w:tcPr>
          <w:p w14:paraId="2F9D2467">
            <w:pPr>
              <w:pStyle w:val="40"/>
              <w:keepNext w:val="0"/>
              <w:keepLines w:val="0"/>
              <w:widowControl/>
              <w:suppressLineNumbers w:val="0"/>
            </w:pPr>
            <w:r>
              <w:t>投标产品名称 </w:t>
            </w:r>
          </w:p>
        </w:tc>
        <w:tc>
          <w:tcPr>
            <w:tcW w:w="3076" w:type="pct"/>
            <w:shd w:val="clear" w:color="auto" w:fill="auto"/>
            <w:vAlign w:val="center"/>
          </w:tcPr>
          <w:p w14:paraId="2531661B">
            <w:pPr>
              <w:pStyle w:val="40"/>
              <w:keepNext w:val="0"/>
              <w:keepLines w:val="0"/>
              <w:widowControl/>
              <w:suppressLineNumbers w:val="0"/>
            </w:pPr>
            <w:r>
              <w:t>优惠率： %</w:t>
            </w:r>
          </w:p>
        </w:tc>
      </w:tr>
    </w:tbl>
    <w:p w14:paraId="31CB91D3">
      <w:pPr>
        <w:pStyle w:val="40"/>
        <w:keepNext w:val="0"/>
        <w:keepLines w:val="0"/>
        <w:widowControl/>
        <w:suppressLineNumbers w:val="0"/>
        <w:jc w:val="right"/>
      </w:pPr>
      <w:r>
        <w:t>    年 月 日</w:t>
      </w:r>
    </w:p>
    <w:p w14:paraId="17110B04">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p>
    <w:p w14:paraId="729F7CF0">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p>
    <w:p w14:paraId="679359BA">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r>
        <w:rPr>
          <w:rFonts w:hint="eastAsia" w:asciiTheme="minorEastAsia" w:hAnsiTheme="minorEastAsia" w:eastAsiaTheme="minorEastAsia" w:cstheme="minorEastAsia"/>
          <w:b/>
          <w:bCs/>
          <w:color w:val="auto"/>
          <w:kern w:val="0"/>
          <w:szCs w:val="21"/>
          <w:highlight w:val="none"/>
          <w:lang w:val="zh-CN"/>
        </w:rPr>
        <w:t>说明：</w:t>
      </w:r>
    </w:p>
    <w:p w14:paraId="00BF2F62">
      <w:pPr>
        <w:autoSpaceDE w:val="0"/>
        <w:autoSpaceDN w:val="0"/>
        <w:adjustRightInd w:val="0"/>
        <w:ind w:firstLine="390"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pacing w:val="-8"/>
          <w:sz w:val="21"/>
          <w:szCs w:val="21"/>
          <w:highlight w:val="none"/>
        </w:rPr>
        <w:t>1、</w:t>
      </w:r>
      <w:r>
        <w:rPr>
          <w:rFonts w:hint="eastAsia" w:asciiTheme="minorEastAsia" w:hAnsiTheme="minorEastAsia" w:eastAsiaTheme="minorEastAsia" w:cstheme="minorEastAsia"/>
          <w:b/>
          <w:bCs/>
          <w:color w:val="auto"/>
          <w:szCs w:val="21"/>
          <w:highlight w:val="none"/>
          <w:lang w:val="zh-CN"/>
        </w:rPr>
        <w:t>代理机构对每一项货物和服务仅接受一个价格，不得填报有选择性报价方案。若有优惠条款须注明，但不得影响报价、影响产品整体功能。</w:t>
      </w:r>
    </w:p>
    <w:p w14:paraId="70502B2A">
      <w:pPr>
        <w:spacing w:line="480" w:lineRule="exact"/>
        <w:ind w:firstLine="422"/>
        <w:jc w:val="left"/>
        <w:rPr>
          <w:rFonts w:asciiTheme="minorEastAsia" w:hAnsiTheme="minorEastAsia" w:eastAsiaTheme="minorEastAsia" w:cstheme="minorEastAsia"/>
          <w:b/>
          <w:color w:val="auto"/>
          <w:kern w:val="0"/>
          <w:szCs w:val="21"/>
          <w:highlight w:val="none"/>
          <w:lang w:val="zh-CN"/>
        </w:rPr>
      </w:pPr>
    </w:p>
    <w:p w14:paraId="7FFF7B18">
      <w:pPr>
        <w:spacing w:line="480" w:lineRule="exact"/>
        <w:ind w:firstLine="422"/>
        <w:jc w:val="left"/>
        <w:rPr>
          <w:rFonts w:asciiTheme="minorEastAsia" w:hAnsiTheme="minorEastAsia" w:eastAsiaTheme="minorEastAsia" w:cstheme="minorEastAsia"/>
          <w:b/>
          <w:color w:val="auto"/>
          <w:kern w:val="0"/>
          <w:szCs w:val="21"/>
          <w:highlight w:val="none"/>
          <w:lang w:val="zh-CN"/>
        </w:rPr>
      </w:pPr>
    </w:p>
    <w:p w14:paraId="7B571E46">
      <w:pPr>
        <w:pStyle w:val="19"/>
        <w:jc w:val="both"/>
        <w:rPr>
          <w:rFonts w:asciiTheme="minorEastAsia" w:hAnsiTheme="minorEastAsia" w:eastAsiaTheme="minorEastAsia" w:cstheme="minorEastAsia"/>
          <w:color w:val="auto"/>
          <w:sz w:val="21"/>
          <w:szCs w:val="21"/>
          <w:highlight w:val="none"/>
        </w:rPr>
      </w:pPr>
      <w:bookmarkStart w:id="477" w:name="_Toc30940"/>
      <w:bookmarkStart w:id="478" w:name="_Toc13901"/>
      <w:bookmarkStart w:id="479" w:name="_Toc26228"/>
      <w:bookmarkStart w:id="480" w:name="_Toc31653"/>
      <w:bookmarkStart w:id="481" w:name="_Toc20004"/>
      <w:bookmarkStart w:id="482" w:name="_Toc13784"/>
      <w:bookmarkStart w:id="483" w:name="_Toc18201"/>
      <w:bookmarkStart w:id="484" w:name="_Toc7576"/>
      <w:bookmarkStart w:id="485" w:name="_Toc29731"/>
      <w:bookmarkStart w:id="486" w:name="_Toc22702"/>
      <w:bookmarkStart w:id="487" w:name="_Toc13770"/>
      <w:bookmarkStart w:id="488" w:name="_Toc22088"/>
    </w:p>
    <w:p w14:paraId="1752F33D">
      <w:pPr>
        <w:autoSpaceDE w:val="0"/>
        <w:autoSpaceDN w:val="0"/>
        <w:adjustRightInd w:val="0"/>
        <w:spacing w:line="360" w:lineRule="auto"/>
        <w:outlineLvl w:val="1"/>
        <w:rPr>
          <w:rFonts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sz w:val="24"/>
          <w:highlight w:val="none"/>
          <w:lang w:val="zh-CN"/>
        </w:rPr>
        <w:br w:type="page"/>
      </w:r>
      <w:bookmarkEnd w:id="477"/>
      <w:bookmarkEnd w:id="478"/>
      <w:bookmarkEnd w:id="479"/>
      <w:bookmarkEnd w:id="480"/>
      <w:bookmarkEnd w:id="481"/>
      <w:bookmarkEnd w:id="482"/>
      <w:bookmarkEnd w:id="483"/>
      <w:bookmarkEnd w:id="484"/>
      <w:bookmarkEnd w:id="485"/>
      <w:bookmarkEnd w:id="486"/>
      <w:bookmarkEnd w:id="487"/>
      <w:bookmarkEnd w:id="488"/>
      <w:bookmarkStart w:id="489" w:name="_Toc13098"/>
      <w:bookmarkStart w:id="490" w:name="_Toc8694"/>
      <w:bookmarkStart w:id="491" w:name="_Toc116284557"/>
      <w:bookmarkStart w:id="492" w:name="_Toc17366"/>
      <w:bookmarkStart w:id="493" w:name="_Toc17069"/>
      <w:bookmarkStart w:id="494" w:name="_Toc10170"/>
      <w:bookmarkStart w:id="495" w:name="_Toc13028"/>
      <w:bookmarkStart w:id="496" w:name="_Toc10527"/>
      <w:bookmarkStart w:id="497" w:name="_Toc7813"/>
      <w:bookmarkStart w:id="498" w:name="_Toc27598"/>
      <w:bookmarkStart w:id="499" w:name="_Toc28314"/>
      <w:bookmarkStart w:id="500" w:name="_Toc7495"/>
      <w:bookmarkStart w:id="501" w:name="_Toc27355"/>
      <w:bookmarkStart w:id="502" w:name="_Toc31719"/>
      <w:bookmarkStart w:id="503" w:name="_Toc12696"/>
      <w:bookmarkStart w:id="504" w:name="_Toc4787"/>
      <w:bookmarkStart w:id="505" w:name="_Toc29743"/>
      <w:bookmarkStart w:id="506" w:name="_Toc722"/>
      <w:bookmarkStart w:id="507" w:name="_Toc19907"/>
      <w:bookmarkStart w:id="508" w:name="_Toc23150"/>
      <w:bookmarkStart w:id="509" w:name="_Toc28671"/>
      <w:bookmarkStart w:id="510" w:name="_Toc4547"/>
      <w:bookmarkStart w:id="511" w:name="_Toc16688"/>
      <w:bookmarkStart w:id="512" w:name="_Toc22502"/>
      <w:r>
        <w:rPr>
          <w:rFonts w:hint="eastAsia" w:asciiTheme="minorEastAsia" w:hAnsiTheme="minorEastAsia" w:eastAsiaTheme="minorEastAsia" w:cstheme="minorEastAsia"/>
          <w:b/>
          <w:bCs/>
          <w:color w:val="auto"/>
          <w:kern w:val="0"/>
          <w:sz w:val="28"/>
          <w:szCs w:val="28"/>
          <w:highlight w:val="none"/>
        </w:rPr>
        <w:t>技术部分</w:t>
      </w:r>
      <w:bookmarkEnd w:id="489"/>
      <w:bookmarkEnd w:id="490"/>
      <w:bookmarkEnd w:id="491"/>
      <w:bookmarkEnd w:id="492"/>
      <w:bookmarkEnd w:id="493"/>
      <w:bookmarkEnd w:id="494"/>
      <w:bookmarkEnd w:id="495"/>
      <w:bookmarkEnd w:id="496"/>
      <w:bookmarkEnd w:id="497"/>
      <w:bookmarkEnd w:id="498"/>
      <w:bookmarkEnd w:id="499"/>
      <w:bookmarkEnd w:id="500"/>
    </w:p>
    <w:p w14:paraId="4F8970A7">
      <w:pPr>
        <w:widowControl/>
        <w:autoSpaceDE w:val="0"/>
        <w:autoSpaceDN w:val="0"/>
        <w:adjustRightInd w:val="0"/>
        <w:spacing w:line="360" w:lineRule="auto"/>
        <w:outlineLvl w:val="2"/>
        <w:rPr>
          <w:rFonts w:asciiTheme="minorEastAsia" w:hAnsiTheme="minorEastAsia" w:eastAsiaTheme="minorEastAsia" w:cstheme="minorEastAsia"/>
          <w:b/>
          <w:bCs/>
          <w:color w:val="auto"/>
          <w:sz w:val="24"/>
          <w:highlight w:val="none"/>
        </w:rPr>
      </w:pPr>
      <w:bookmarkStart w:id="513" w:name="_Toc32200"/>
      <w:bookmarkStart w:id="514" w:name="_Toc30663"/>
      <w:bookmarkStart w:id="515" w:name="_Toc11193"/>
      <w:bookmarkStart w:id="516" w:name="_Toc23845"/>
      <w:bookmarkStart w:id="517" w:name="_Toc17797"/>
      <w:bookmarkStart w:id="518" w:name="_Toc116284558"/>
      <w:bookmarkStart w:id="519" w:name="_Toc8063"/>
      <w:bookmarkStart w:id="520" w:name="_Toc20703"/>
      <w:bookmarkStart w:id="521" w:name="_Toc47"/>
      <w:bookmarkStart w:id="522" w:name="_Toc14362"/>
      <w:bookmarkStart w:id="523" w:name="_Toc28714"/>
      <w:bookmarkStart w:id="524" w:name="_Toc20024"/>
      <w:r>
        <w:rPr>
          <w:rFonts w:hint="eastAsia" w:asciiTheme="minorEastAsia" w:hAnsiTheme="minorEastAsia" w:eastAsiaTheme="minorEastAsia" w:cstheme="minorEastAsia"/>
          <w:b/>
          <w:bCs/>
          <w:color w:val="auto"/>
          <w:sz w:val="24"/>
          <w:highlight w:val="none"/>
        </w:rPr>
        <w:t>一、</w:t>
      </w:r>
      <w:r>
        <w:rPr>
          <w:rFonts w:hint="eastAsia" w:asciiTheme="minorEastAsia" w:hAnsiTheme="minorEastAsia" w:eastAsiaTheme="minorEastAsia" w:cstheme="minorEastAsia"/>
          <w:b/>
          <w:bCs/>
          <w:color w:val="auto"/>
          <w:sz w:val="24"/>
          <w:highlight w:val="none"/>
          <w:lang w:val="zh-CN"/>
        </w:rPr>
        <w:t>项目服务方案（格式自拟）</w:t>
      </w:r>
      <w:bookmarkEnd w:id="513"/>
      <w:bookmarkEnd w:id="514"/>
      <w:bookmarkEnd w:id="515"/>
      <w:bookmarkEnd w:id="516"/>
      <w:bookmarkEnd w:id="517"/>
      <w:bookmarkEnd w:id="518"/>
      <w:bookmarkEnd w:id="519"/>
      <w:bookmarkEnd w:id="520"/>
      <w:bookmarkEnd w:id="521"/>
      <w:bookmarkEnd w:id="522"/>
      <w:bookmarkEnd w:id="523"/>
      <w:bookmarkEnd w:id="524"/>
    </w:p>
    <w:p w14:paraId="66FBC8A3">
      <w:pPr>
        <w:widowControl/>
        <w:shd w:val="clear" w:color="auto" w:fill="FFFFFF"/>
        <w:spacing w:line="360" w:lineRule="auto"/>
        <w:ind w:firstLine="420"/>
        <w:jc w:val="lef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由</w:t>
      </w:r>
      <w:r>
        <w:rPr>
          <w:rFonts w:hint="eastAsia" w:asciiTheme="minorEastAsia" w:hAnsiTheme="minorEastAsia" w:eastAsiaTheme="minorEastAsia" w:cstheme="minorEastAsia"/>
          <w:color w:val="auto"/>
          <w:kern w:val="0"/>
          <w:szCs w:val="21"/>
          <w:highlight w:val="none"/>
          <w:lang w:eastAsia="zh-CN"/>
        </w:rPr>
        <w:t>供应商</w:t>
      </w:r>
      <w:r>
        <w:rPr>
          <w:rFonts w:hint="eastAsia" w:asciiTheme="minorEastAsia" w:hAnsiTheme="minorEastAsia" w:eastAsiaTheme="minorEastAsia" w:cstheme="minorEastAsia"/>
          <w:color w:val="auto"/>
          <w:kern w:val="0"/>
          <w:szCs w:val="21"/>
          <w:highlight w:val="none"/>
        </w:rPr>
        <w:t>根据招标文件内容要求及服务标准内容自行编写，要求全面、详尽、完整、易于理解。</w:t>
      </w:r>
    </w:p>
    <w:p w14:paraId="4301A041">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155B263D">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1601B48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613ADE98">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3A01B5E3">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1B0EB8C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0741CE2D">
      <w:pPr>
        <w:autoSpaceDE w:val="0"/>
        <w:autoSpaceDN w:val="0"/>
        <w:adjustRightInd w:val="0"/>
        <w:ind w:firstLine="422"/>
        <w:rPr>
          <w:rFonts w:asciiTheme="minorEastAsia" w:hAnsiTheme="minorEastAsia" w:eastAsiaTheme="minorEastAsia" w:cstheme="minorEastAsia"/>
          <w:b/>
          <w:color w:val="auto"/>
          <w:szCs w:val="21"/>
          <w:highlight w:val="none"/>
          <w:lang w:val="zh-CN"/>
        </w:rPr>
      </w:pPr>
    </w:p>
    <w:bookmarkEnd w:id="501"/>
    <w:bookmarkEnd w:id="502"/>
    <w:bookmarkEnd w:id="503"/>
    <w:bookmarkEnd w:id="504"/>
    <w:bookmarkEnd w:id="505"/>
    <w:bookmarkEnd w:id="506"/>
    <w:bookmarkEnd w:id="507"/>
    <w:bookmarkEnd w:id="508"/>
    <w:bookmarkEnd w:id="509"/>
    <w:bookmarkEnd w:id="510"/>
    <w:bookmarkEnd w:id="511"/>
    <w:bookmarkEnd w:id="512"/>
    <w:p w14:paraId="7EEB5468">
      <w:pPr>
        <w:widowControl/>
        <w:ind w:firstLine="482"/>
        <w:jc w:val="left"/>
        <w:rPr>
          <w:rFonts w:asciiTheme="minorEastAsia" w:hAnsiTheme="minorEastAsia" w:eastAsiaTheme="minorEastAsia" w:cstheme="minorEastAsia"/>
          <w:b/>
          <w:bCs/>
          <w:color w:val="auto"/>
          <w:sz w:val="24"/>
          <w:highlight w:val="none"/>
        </w:rPr>
      </w:pPr>
      <w:bookmarkStart w:id="525" w:name="_Toc32029"/>
      <w:bookmarkStart w:id="526" w:name="_Toc22923"/>
      <w:bookmarkStart w:id="527" w:name="_Toc23763"/>
      <w:bookmarkStart w:id="528" w:name="_Toc8936"/>
      <w:bookmarkStart w:id="529" w:name="_Toc2173"/>
      <w:bookmarkStart w:id="530" w:name="_Toc7225"/>
      <w:bookmarkStart w:id="531" w:name="_Toc27439"/>
      <w:bookmarkStart w:id="532" w:name="_Toc13994"/>
      <w:bookmarkStart w:id="533" w:name="_Toc4430"/>
      <w:bookmarkStart w:id="534" w:name="_Toc16019"/>
      <w:bookmarkStart w:id="535" w:name="_Toc27678"/>
      <w:bookmarkStart w:id="536" w:name="_Toc28911"/>
      <w:bookmarkStart w:id="537" w:name="_Toc7866"/>
      <w:bookmarkStart w:id="538" w:name="_Toc9975"/>
      <w:bookmarkStart w:id="539" w:name="_Toc29914"/>
      <w:bookmarkStart w:id="540" w:name="_Toc16129"/>
      <w:bookmarkStart w:id="541" w:name="_Toc7755"/>
      <w:bookmarkStart w:id="542" w:name="_Toc29848"/>
      <w:bookmarkStart w:id="543" w:name="_Toc23461"/>
      <w:bookmarkStart w:id="544" w:name="_Toc116284560"/>
      <w:bookmarkStart w:id="545" w:name="_Toc19167"/>
      <w:bookmarkStart w:id="546" w:name="_Toc21448"/>
      <w:bookmarkStart w:id="547" w:name="_Toc12356"/>
    </w:p>
    <w:p w14:paraId="2AF2C201">
      <w:pPr>
        <w:outlineLvl w:val="2"/>
        <w:rPr>
          <w:rFonts w:asciiTheme="minorEastAsia" w:hAnsiTheme="minorEastAsia" w:eastAsiaTheme="minorEastAsia" w:cstheme="minorEastAsia"/>
          <w:b/>
          <w:bCs/>
          <w:color w:val="auto"/>
          <w:sz w:val="24"/>
          <w:highlight w:val="none"/>
          <w:lang w:val="zh-CN"/>
        </w:rPr>
      </w:pPr>
      <w:bookmarkStart w:id="548" w:name="_Toc690"/>
      <w:bookmarkStart w:id="549" w:name="_Toc904"/>
      <w:bookmarkStart w:id="550" w:name="_Toc4428"/>
      <w:r>
        <w:rPr>
          <w:rFonts w:hint="eastAsia" w:asciiTheme="minorEastAsia" w:hAnsiTheme="minorEastAsia" w:eastAsiaTheme="minorEastAsia" w:cstheme="minorEastAsia"/>
          <w:b/>
          <w:bCs/>
          <w:color w:val="auto"/>
          <w:sz w:val="24"/>
          <w:highlight w:val="none"/>
          <w:lang w:val="en-US" w:eastAsia="zh-CN"/>
        </w:rPr>
        <w:t>二</w:t>
      </w:r>
      <w:r>
        <w:rPr>
          <w:rFonts w:hint="eastAsia" w:asciiTheme="minorEastAsia" w:hAnsiTheme="minorEastAsia" w:eastAsiaTheme="minorEastAsia" w:cstheme="minorEastAsia"/>
          <w:b/>
          <w:bCs/>
          <w:color w:val="auto"/>
          <w:sz w:val="24"/>
          <w:highlight w:val="none"/>
        </w:rPr>
        <w:t>、</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Start w:id="551" w:name="_Toc22933"/>
      <w:bookmarkStart w:id="552" w:name="_Toc5632"/>
      <w:bookmarkStart w:id="553" w:name="_Toc116284561"/>
      <w:bookmarkStart w:id="554" w:name="_Toc20108"/>
      <w:bookmarkStart w:id="555" w:name="_Toc28774"/>
      <w:bookmarkStart w:id="556" w:name="_Toc14511"/>
      <w:bookmarkStart w:id="557" w:name="OLE_LINK27"/>
      <w:bookmarkStart w:id="558" w:name="_Toc19910"/>
      <w:bookmarkStart w:id="559" w:name="_Toc30985"/>
      <w:bookmarkStart w:id="560" w:name="_Toc17259"/>
      <w:bookmarkStart w:id="561" w:name="_Toc28018"/>
      <w:bookmarkStart w:id="562" w:name="_Toc6698"/>
      <w:bookmarkStart w:id="563" w:name="_Toc24059"/>
      <w:bookmarkStart w:id="564" w:name="_Toc13484"/>
      <w:bookmarkStart w:id="565" w:name="_Toc13912"/>
      <w:bookmarkStart w:id="566" w:name="_Toc4304"/>
      <w:bookmarkStart w:id="567" w:name="_Toc7715"/>
      <w:bookmarkStart w:id="568" w:name="_Toc31688"/>
      <w:bookmarkStart w:id="569" w:name="_Toc7211"/>
      <w:r>
        <w:rPr>
          <w:rFonts w:hint="eastAsia" w:asciiTheme="minorEastAsia" w:hAnsiTheme="minorEastAsia" w:eastAsiaTheme="minorEastAsia" w:cstheme="minorEastAsia"/>
          <w:b/>
          <w:bCs/>
          <w:color w:val="auto"/>
          <w:sz w:val="24"/>
          <w:highlight w:val="none"/>
        </w:rPr>
        <w:t>质量保证及服务承诺</w:t>
      </w:r>
      <w:bookmarkEnd w:id="548"/>
      <w:bookmarkEnd w:id="549"/>
      <w:bookmarkEnd w:id="550"/>
      <w:bookmarkEnd w:id="551"/>
      <w:bookmarkEnd w:id="552"/>
      <w:bookmarkEnd w:id="553"/>
      <w:bookmarkEnd w:id="554"/>
      <w:bookmarkEnd w:id="555"/>
      <w:bookmarkEnd w:id="556"/>
      <w:bookmarkEnd w:id="557"/>
      <w:bookmarkEnd w:id="558"/>
      <w:bookmarkEnd w:id="559"/>
      <w:bookmarkEnd w:id="560"/>
    </w:p>
    <w:p w14:paraId="63CC2524">
      <w:pPr>
        <w:autoSpaceDE w:val="0"/>
        <w:autoSpaceDN w:val="0"/>
        <w:ind w:firstLine="482"/>
        <w:jc w:val="center"/>
        <w:rPr>
          <w:rFonts w:asciiTheme="minorEastAsia" w:hAnsiTheme="minorEastAsia" w:eastAsiaTheme="minorEastAsia" w:cstheme="minorEastAsia"/>
          <w:b/>
          <w:color w:val="auto"/>
          <w:sz w:val="24"/>
          <w:highlight w:val="none"/>
          <w:lang w:val="zh-CN"/>
        </w:rPr>
      </w:pPr>
      <w:bookmarkStart w:id="570" w:name="OLE_LINK29"/>
      <w:r>
        <w:rPr>
          <w:rFonts w:hint="eastAsia" w:asciiTheme="minorEastAsia" w:hAnsiTheme="minorEastAsia" w:eastAsiaTheme="minorEastAsia" w:cstheme="minorEastAsia"/>
          <w:b/>
          <w:color w:val="auto"/>
          <w:sz w:val="24"/>
          <w:highlight w:val="none"/>
          <w:lang w:val="zh-CN"/>
        </w:rPr>
        <w:t>质量保证及服务承诺</w:t>
      </w:r>
    </w:p>
    <w:bookmarkEnd w:id="570"/>
    <w:p w14:paraId="08EA39D9">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我公司就项目编号为</w:t>
      </w:r>
      <w:r>
        <w:rPr>
          <w:rFonts w:hint="eastAsia" w:asciiTheme="minorEastAsia" w:hAnsiTheme="minorEastAsia" w:eastAsiaTheme="minorEastAsia" w:cstheme="minorEastAsia"/>
          <w:color w:val="auto"/>
          <w:kern w:val="0"/>
          <w:szCs w:val="21"/>
          <w:highlight w:val="none"/>
          <w:u w:val="single"/>
        </w:rPr>
        <w:t>“                        ”</w:t>
      </w:r>
      <w:r>
        <w:rPr>
          <w:rFonts w:hint="eastAsia" w:asciiTheme="minorEastAsia" w:hAnsiTheme="minorEastAsia" w:eastAsiaTheme="minorEastAsia" w:cstheme="minorEastAsia"/>
          <w:color w:val="auto"/>
          <w:szCs w:val="21"/>
          <w:highlight w:val="none"/>
          <w:lang w:val="zh-CN"/>
        </w:rPr>
        <w:t>的JSZC-320115-NJDX-G2025-0007 采购项目质量保证及服务承诺如下：</w:t>
      </w:r>
    </w:p>
    <w:p w14:paraId="1DC83ECE">
      <w:pPr>
        <w:autoSpaceDE w:val="0"/>
        <w:autoSpaceDN w:val="0"/>
        <w:adjustRightInd w:val="0"/>
        <w:ind w:firstLine="420"/>
        <w:jc w:val="center"/>
        <w:rPr>
          <w:rFonts w:asciiTheme="minorEastAsia" w:hAnsiTheme="minorEastAsia" w:eastAsiaTheme="minorEastAsia" w:cstheme="minorEastAsia"/>
          <w:color w:val="auto"/>
          <w:szCs w:val="21"/>
          <w:highlight w:val="none"/>
        </w:rPr>
      </w:pPr>
    </w:p>
    <w:p w14:paraId="516CFAFA">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（供应商自拟）</w:t>
      </w:r>
    </w:p>
    <w:p w14:paraId="01793CD8">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03C37506">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3139E19F">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476A7465">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 xml:space="preserve">）：            </w:t>
      </w:r>
    </w:p>
    <w:p w14:paraId="6DD015F4">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p>
    <w:p w14:paraId="73EA51DE">
      <w:pPr>
        <w:wordWrap w:val="0"/>
        <w:autoSpaceDE w:val="0"/>
        <w:autoSpaceDN w:val="0"/>
        <w:adjustRightInd w:val="0"/>
        <w:ind w:firstLine="420"/>
        <w:jc w:val="righ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zh-CN"/>
        </w:rPr>
        <w:t>日    期：    年    月   日</w:t>
      </w:r>
      <w:r>
        <w:rPr>
          <w:rFonts w:hint="eastAsia" w:asciiTheme="minorEastAsia" w:hAnsiTheme="minorEastAsia" w:eastAsiaTheme="minorEastAsia" w:cstheme="minorEastAsia"/>
          <w:color w:val="auto"/>
          <w:szCs w:val="21"/>
          <w:highlight w:val="none"/>
          <w:lang w:val="en-US" w:eastAsia="zh-CN"/>
        </w:rPr>
        <w:t xml:space="preserve">     </w:t>
      </w:r>
    </w:p>
    <w:p w14:paraId="48EC4E7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bookmarkEnd w:id="561"/>
    <w:bookmarkEnd w:id="562"/>
    <w:bookmarkEnd w:id="563"/>
    <w:bookmarkEnd w:id="564"/>
    <w:bookmarkEnd w:id="565"/>
    <w:bookmarkEnd w:id="566"/>
    <w:bookmarkEnd w:id="567"/>
    <w:bookmarkEnd w:id="568"/>
    <w:bookmarkEnd w:id="569"/>
    <w:p w14:paraId="692EE466">
      <w:pPr>
        <w:widowControl/>
        <w:jc w:val="left"/>
        <w:rPr>
          <w:rFonts w:hint="eastAsia" w:asciiTheme="minorEastAsia" w:hAnsiTheme="minorEastAsia" w:eastAsiaTheme="minorEastAsia" w:cstheme="minorEastAsia"/>
          <w:b/>
          <w:color w:val="auto"/>
          <w:sz w:val="24"/>
          <w:highlight w:val="none"/>
        </w:rPr>
      </w:pPr>
      <w:bookmarkStart w:id="571" w:name="_Toc11845"/>
      <w:bookmarkStart w:id="572" w:name="_Toc3423"/>
      <w:bookmarkStart w:id="573" w:name="_Toc32594"/>
      <w:bookmarkStart w:id="574" w:name="_Toc31240"/>
      <w:bookmarkStart w:id="575" w:name="_Toc11218"/>
      <w:bookmarkStart w:id="576" w:name="_Toc30745"/>
      <w:bookmarkStart w:id="577" w:name="_Toc116284562"/>
      <w:bookmarkStart w:id="578" w:name="_Toc16958"/>
      <w:bookmarkStart w:id="579" w:name="_Toc3677"/>
    </w:p>
    <w:p w14:paraId="29075141">
      <w:pPr>
        <w:autoSpaceDE w:val="0"/>
        <w:autoSpaceDN w:val="0"/>
        <w:adjustRightInd w:val="0"/>
        <w:ind w:firstLine="420"/>
        <w:jc w:val="left"/>
        <w:rPr>
          <w:rFonts w:hint="eastAsia" w:asciiTheme="minorEastAsia" w:hAnsiTheme="minorEastAsia" w:eastAsiaTheme="minorEastAsia" w:cstheme="minorEastAsia"/>
          <w:color w:val="auto"/>
          <w:szCs w:val="21"/>
          <w:highlight w:val="none"/>
          <w:lang w:val="zh-CN"/>
        </w:rPr>
      </w:pPr>
    </w:p>
    <w:p w14:paraId="17FD1E0F">
      <w:pPr>
        <w:outlineLvl w:val="9"/>
        <w:rPr>
          <w:rFonts w:hint="eastAsia" w:asciiTheme="minorEastAsia" w:hAnsiTheme="minorEastAsia" w:eastAsiaTheme="minorEastAsia" w:cstheme="minorEastAsia"/>
          <w:b/>
          <w:bCs/>
          <w:color w:val="auto"/>
          <w:sz w:val="24"/>
          <w:highlight w:val="none"/>
          <w:lang w:val="zh-CN"/>
        </w:rPr>
      </w:pPr>
    </w:p>
    <w:p w14:paraId="15F56FB0">
      <w:pPr>
        <w:outlineLvl w:val="2"/>
        <w:rPr>
          <w:rFonts w:hint="eastAsia" w:asciiTheme="minorEastAsia" w:hAnsiTheme="minorEastAsia" w:eastAsiaTheme="minorEastAsia" w:cstheme="minorEastAsia"/>
          <w:b/>
          <w:bCs/>
          <w:color w:val="auto"/>
          <w:sz w:val="24"/>
          <w:highlight w:val="none"/>
          <w:lang w:val="zh-CN"/>
        </w:rPr>
      </w:pPr>
      <w:bookmarkStart w:id="580" w:name="_Toc1509"/>
      <w:bookmarkStart w:id="581" w:name="_Toc11448"/>
      <w:r>
        <w:rPr>
          <w:rFonts w:hint="eastAsia" w:asciiTheme="minorEastAsia" w:hAnsiTheme="minorEastAsia" w:eastAsiaTheme="minorEastAsia" w:cstheme="minorEastAsia"/>
          <w:b/>
          <w:bCs/>
          <w:color w:val="auto"/>
          <w:sz w:val="24"/>
          <w:highlight w:val="none"/>
          <w:lang w:val="en-US" w:eastAsia="zh-CN"/>
        </w:rPr>
        <w:t>三、</w:t>
      </w:r>
      <w:bookmarkStart w:id="582" w:name="OLE_LINK28"/>
      <w:r>
        <w:rPr>
          <w:rFonts w:hint="eastAsia" w:asciiTheme="minorEastAsia" w:hAnsiTheme="minorEastAsia" w:eastAsiaTheme="minorEastAsia" w:cstheme="minorEastAsia"/>
          <w:b/>
          <w:bCs/>
          <w:color w:val="auto"/>
          <w:sz w:val="24"/>
          <w:highlight w:val="none"/>
          <w:lang w:val="zh-CN"/>
        </w:rPr>
        <w:t>供应商认为需要提供的其他技术文件或资料</w:t>
      </w:r>
      <w:bookmarkEnd w:id="580"/>
      <w:bookmarkEnd w:id="581"/>
      <w:bookmarkEnd w:id="582"/>
    </w:p>
    <w:p w14:paraId="171AB674">
      <w:pPr>
        <w:widowControl/>
        <w:jc w:val="left"/>
        <w:rPr>
          <w:rFonts w:hint="eastAsia" w:asciiTheme="minorEastAsia" w:hAnsiTheme="minorEastAsia" w:eastAsiaTheme="minorEastAsia" w:cstheme="minorEastAsia"/>
          <w:b/>
          <w:color w:val="auto"/>
          <w:sz w:val="24"/>
          <w:highlight w:val="none"/>
        </w:rPr>
      </w:pPr>
    </w:p>
    <w:p w14:paraId="38E9A3E7">
      <w:pPr>
        <w:widowControl/>
        <w:jc w:val="left"/>
        <w:rPr>
          <w:rFonts w:hint="eastAsia" w:asciiTheme="minorEastAsia" w:hAnsiTheme="minorEastAsia" w:eastAsiaTheme="minorEastAsia" w:cstheme="minorEastAsia"/>
          <w:b/>
          <w:color w:val="auto"/>
          <w:sz w:val="24"/>
          <w:highlight w:val="none"/>
        </w:rPr>
      </w:pPr>
    </w:p>
    <w:p w14:paraId="0CD0915A">
      <w:pPr>
        <w:widowControl/>
        <w:jc w:val="left"/>
        <w:rPr>
          <w:rFonts w:hint="eastAsia" w:asciiTheme="minorEastAsia" w:hAnsiTheme="minorEastAsia" w:eastAsiaTheme="minorEastAsia" w:cstheme="minorEastAsia"/>
          <w:b/>
          <w:color w:val="auto"/>
          <w:sz w:val="24"/>
          <w:highlight w:val="none"/>
        </w:rPr>
      </w:pPr>
    </w:p>
    <w:p w14:paraId="114C8441">
      <w:pPr>
        <w:widowControl/>
        <w:jc w:val="left"/>
        <w:rPr>
          <w:rFonts w:hint="eastAsia" w:asciiTheme="minorEastAsia" w:hAnsiTheme="minorEastAsia" w:eastAsiaTheme="minorEastAsia" w:cstheme="minorEastAsia"/>
          <w:b/>
          <w:color w:val="auto"/>
          <w:sz w:val="24"/>
          <w:highlight w:val="none"/>
        </w:rPr>
      </w:pPr>
    </w:p>
    <w:bookmarkEnd w:id="338"/>
    <w:bookmarkEnd w:id="339"/>
    <w:bookmarkEnd w:id="340"/>
    <w:bookmarkEnd w:id="341"/>
    <w:bookmarkEnd w:id="342"/>
    <w:bookmarkEnd w:id="343"/>
    <w:bookmarkEnd w:id="344"/>
    <w:bookmarkEnd w:id="345"/>
    <w:bookmarkEnd w:id="571"/>
    <w:bookmarkEnd w:id="572"/>
    <w:bookmarkEnd w:id="573"/>
    <w:bookmarkEnd w:id="574"/>
    <w:bookmarkEnd w:id="575"/>
    <w:bookmarkEnd w:id="576"/>
    <w:bookmarkEnd w:id="577"/>
    <w:bookmarkEnd w:id="578"/>
    <w:bookmarkEnd w:id="579"/>
    <w:p w14:paraId="39D5CA76">
      <w:pPr>
        <w:widowControl/>
        <w:ind w:firstLine="482"/>
        <w:jc w:val="left"/>
        <w:rPr>
          <w:rFonts w:asciiTheme="minorEastAsia" w:hAnsiTheme="minorEastAsia" w:eastAsiaTheme="minorEastAsia" w:cstheme="minorEastAsia"/>
          <w:b/>
          <w:bCs/>
          <w:color w:val="auto"/>
          <w:sz w:val="24"/>
          <w:highlight w:val="none"/>
        </w:rPr>
      </w:pPr>
      <w:bookmarkStart w:id="583" w:name="_Toc17178"/>
      <w:bookmarkStart w:id="584" w:name="_Toc15535"/>
      <w:bookmarkStart w:id="585" w:name="_Toc12016"/>
      <w:bookmarkStart w:id="586" w:name="_Toc6878"/>
      <w:bookmarkStart w:id="587" w:name="_Toc19583"/>
      <w:bookmarkStart w:id="588" w:name="_Toc7887"/>
      <w:bookmarkStart w:id="589" w:name="_Toc5707"/>
      <w:bookmarkStart w:id="590" w:name="_Toc25830"/>
      <w:bookmarkStart w:id="591" w:name="_Toc17045"/>
      <w:bookmarkStart w:id="592" w:name="_Toc30728"/>
      <w:bookmarkStart w:id="593" w:name="_Toc4276"/>
      <w:bookmarkStart w:id="594" w:name="_Toc5412"/>
      <w:bookmarkStart w:id="595" w:name="_Toc27446"/>
      <w:bookmarkStart w:id="596" w:name="_Toc20625"/>
      <w:bookmarkStart w:id="597" w:name="_Toc27576"/>
      <w:bookmarkStart w:id="598" w:name="_Toc6336"/>
      <w:bookmarkStart w:id="599" w:name="_Toc31031"/>
      <w:bookmarkStart w:id="600" w:name="_Toc20122"/>
      <w:bookmarkStart w:id="601" w:name="_Toc4780"/>
      <w:bookmarkStart w:id="602" w:name="_Toc17388"/>
      <w:bookmarkStart w:id="603" w:name="_Toc31166"/>
      <w:bookmarkStart w:id="604" w:name="_Toc10415"/>
      <w:bookmarkStart w:id="605" w:name="_Toc13882"/>
      <w:bookmarkStart w:id="606" w:name="_Toc31436"/>
      <w:bookmarkStart w:id="607" w:name="_Toc26579"/>
      <w:bookmarkStart w:id="608" w:name="_Toc116284563"/>
      <w:bookmarkStart w:id="609" w:name="_Toc3582"/>
      <w:bookmarkStart w:id="610" w:name="_Toc2093"/>
      <w:bookmarkStart w:id="611" w:name="_Toc10669"/>
      <w:bookmarkStart w:id="612" w:name="_Toc20700"/>
      <w:bookmarkStart w:id="613" w:name="_Toc8388"/>
      <w:bookmarkStart w:id="614" w:name="_Toc28544"/>
      <w:bookmarkStart w:id="615" w:name="_Toc22112"/>
      <w:bookmarkStart w:id="616" w:name="_Toc14174"/>
      <w:bookmarkStart w:id="617" w:name="_Toc11914"/>
      <w:bookmarkStart w:id="618" w:name="_Toc16174"/>
      <w:bookmarkStart w:id="619" w:name="_Toc29835"/>
      <w:bookmarkStart w:id="620" w:name="_Toc18025"/>
      <w:bookmarkStart w:id="621" w:name="_Toc1352"/>
      <w:r>
        <w:rPr>
          <w:rFonts w:hint="eastAsia" w:asciiTheme="minorEastAsia" w:hAnsiTheme="minorEastAsia" w:eastAsiaTheme="minorEastAsia" w:cstheme="minorEastAsia"/>
          <w:b/>
          <w:bCs/>
          <w:color w:val="auto"/>
          <w:sz w:val="24"/>
          <w:highlight w:val="none"/>
        </w:rPr>
        <w:br w:type="page"/>
      </w:r>
    </w:p>
    <w:p w14:paraId="0378B0DB">
      <w:pPr>
        <w:spacing w:line="360" w:lineRule="auto"/>
        <w:outlineLvl w:val="1"/>
        <w:rPr>
          <w:rFonts w:asciiTheme="minorEastAsia" w:hAnsiTheme="minorEastAsia" w:eastAsiaTheme="minorEastAsia" w:cstheme="minorEastAsia"/>
          <w:b/>
          <w:color w:val="auto"/>
          <w:highlight w:val="none"/>
        </w:rPr>
      </w:pPr>
      <w:bookmarkStart w:id="622" w:name="_Toc10879"/>
      <w:bookmarkStart w:id="623" w:name="_Toc25927"/>
      <w:bookmarkStart w:id="624" w:name="_Toc24834"/>
      <w:r>
        <w:rPr>
          <w:rFonts w:hint="eastAsia" w:asciiTheme="minorEastAsia" w:hAnsiTheme="minorEastAsia" w:eastAsiaTheme="minorEastAsia" w:cstheme="minorEastAsia"/>
          <w:b/>
          <w:bCs/>
          <w:color w:val="auto"/>
          <w:sz w:val="24"/>
          <w:highlight w:val="none"/>
        </w:rPr>
        <w:t>附件一、</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25" w:name="_Toc32016"/>
      <w:bookmarkStart w:id="626" w:name="_Toc19860"/>
      <w:bookmarkStart w:id="627" w:name="_Toc16049"/>
      <w:bookmarkStart w:id="628" w:name="_Toc574"/>
      <w:r>
        <w:rPr>
          <w:rFonts w:hint="eastAsia" w:asciiTheme="minorEastAsia" w:hAnsiTheme="minorEastAsia" w:eastAsiaTheme="minorEastAsia" w:cstheme="minorEastAsia"/>
          <w:b/>
          <w:color w:val="auto"/>
          <w:sz w:val="24"/>
          <w:highlight w:val="none"/>
        </w:rPr>
        <w:t>中小企业声明函格式</w:t>
      </w:r>
      <w:bookmarkEnd w:id="608"/>
      <w:bookmarkEnd w:id="609"/>
      <w:bookmarkEnd w:id="610"/>
      <w:bookmarkEnd w:id="622"/>
      <w:bookmarkEnd w:id="623"/>
      <w:bookmarkEnd w:id="624"/>
      <w:bookmarkEnd w:id="625"/>
      <w:bookmarkEnd w:id="626"/>
      <w:bookmarkEnd w:id="627"/>
      <w:bookmarkEnd w:id="628"/>
    </w:p>
    <w:p w14:paraId="644FE3D8">
      <w:pPr>
        <w:spacing w:line="360" w:lineRule="auto"/>
        <w:ind w:firstLine="562"/>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中小企业声明函</w:t>
      </w:r>
    </w:p>
    <w:p w14:paraId="2041144F">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JSZC-320115-NJDX-G2025-0007</w:t>
      </w:r>
      <w:r>
        <w:rPr>
          <w:rFonts w:hint="eastAsia" w:asciiTheme="minorEastAsia" w:hAnsiTheme="minorEastAsia" w:eastAsiaTheme="minorEastAsia" w:cstheme="minorEastAsia"/>
          <w:color w:val="auto"/>
          <w:highlight w:val="none"/>
        </w:rPr>
        <w:t>采购活动，服务全部由符合政策要求的中小企业承接。相关企业（含联合体中的中小企业、签订分包意向协议的中小企业）的具体情况如下：</w:t>
      </w:r>
    </w:p>
    <w:p w14:paraId="493C9E61">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6000462F">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46BF76E7">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338F203C">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1B1A060F">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 法承担相应责任。</w:t>
      </w:r>
    </w:p>
    <w:p w14:paraId="0D8967FE">
      <w:pPr>
        <w:spacing w:line="360" w:lineRule="auto"/>
        <w:ind w:firstLine="420"/>
        <w:rPr>
          <w:rFonts w:asciiTheme="minorEastAsia" w:hAnsiTheme="minorEastAsia" w:eastAsiaTheme="minorEastAsia" w:cstheme="minorEastAsia"/>
          <w:color w:val="auto"/>
          <w:highlight w:val="none"/>
        </w:rPr>
      </w:pPr>
    </w:p>
    <w:p w14:paraId="2AF18041">
      <w:pPr>
        <w:spacing w:line="360" w:lineRule="auto"/>
        <w:ind w:firstLine="4200" w:firstLineChars="20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电子签章</w:t>
      </w:r>
      <w:r>
        <w:rPr>
          <w:rFonts w:hint="eastAsia" w:asciiTheme="minorEastAsia" w:hAnsiTheme="minorEastAsia" w:eastAsiaTheme="minorEastAsia" w:cstheme="minorEastAsia"/>
          <w:color w:val="auto"/>
          <w:highlight w:val="none"/>
        </w:rPr>
        <w:t>）：</w:t>
      </w:r>
    </w:p>
    <w:p w14:paraId="62E1E4B1">
      <w:pPr>
        <w:spacing w:line="360" w:lineRule="auto"/>
        <w:ind w:firstLine="4200" w:firstLineChars="20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14:paraId="5E7FAD56">
      <w:pPr>
        <w:spacing w:line="360" w:lineRule="auto"/>
        <w:ind w:firstLine="4200" w:firstLineChars="2000"/>
        <w:jc w:val="left"/>
        <w:rPr>
          <w:rFonts w:asciiTheme="minorEastAsia" w:hAnsiTheme="minorEastAsia" w:eastAsiaTheme="minorEastAsia" w:cstheme="minorEastAsia"/>
          <w:color w:val="auto"/>
          <w:highlight w:val="none"/>
        </w:rPr>
      </w:pPr>
    </w:p>
    <w:p w14:paraId="3E104A15">
      <w:pPr>
        <w:spacing w:line="360" w:lineRule="auto"/>
        <w:ind w:firstLine="420"/>
        <w:jc w:val="left"/>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pict>
          <v:line id="_x0000_s2050" o:spid="_x0000_s2050" o:spt="20" style="position:absolute;left:0pt;margin-left:1.85pt;margin-top:12.6pt;height:0.05pt;width:173.15pt;z-index:251659264;mso-width-relative:page;mso-height-relative:page;" coordsize="21600,21600" o:gfxdata="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KfAiF1QAAAAcBAAAPAAAAAAAAAAEAIAAAACIAAABkcnMvZG93bnJldi54bWxQ&#10;SwECFAAUAAAACACHTuJAyZaBafoBAAD0AwAADgAAAAAAAAABACAAAAAkAQAAZHJzL2Uyb0RvYy54&#10;bWxQSwUGAAAAAAYABgBZAQAAkAUAAAAA&#10;">
            <v:path arrowok="t"/>
            <v:fill focussize="0,0"/>
            <v:stroke/>
            <v:imagedata o:title=""/>
            <o:lock v:ext="edit"/>
          </v:line>
        </w:pict>
      </w:r>
    </w:p>
    <w:p w14:paraId="7B650D4E">
      <w:pPr>
        <w:spacing w:line="360" w:lineRule="auto"/>
        <w:ind w:firstLine="422"/>
        <w:jc w:val="lef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3CAC7D1B">
      <w:pPr>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①从业人员、营业收入、资产总额填报上一年度数据，无上一年度数据的新成立企业可不填报。</w:t>
      </w:r>
    </w:p>
    <w:p w14:paraId="612740DD">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在货物采购项目中，货物由中小企业制造，即货物由中小企业生产且使用该中小企业商号或者注册商标。若供应商提供的货物既有中小企业制造货物，也有大型企业制造货物的，则不享受中小企业扶持政策。</w:t>
      </w:r>
    </w:p>
    <w:p w14:paraId="11927116">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③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EA25B8B">
      <w:pPr>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④</w:t>
      </w:r>
      <w:r>
        <w:rPr>
          <w:rFonts w:hint="eastAsia"/>
          <w:b/>
          <w:bCs/>
          <w:color w:val="auto"/>
          <w:szCs w:val="21"/>
          <w:highlight w:val="none"/>
        </w:rPr>
        <w:t>本项目所属行业为：批发业。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D1BAA0C">
      <w:pPr>
        <w:spacing w:line="360" w:lineRule="auto"/>
        <w:ind w:firstLine="560"/>
        <w:jc w:val="right"/>
        <w:rPr>
          <w:rFonts w:asciiTheme="minorEastAsia" w:hAnsiTheme="minorEastAsia" w:eastAsiaTheme="minorEastAsia" w:cstheme="minorEastAsia"/>
          <w:color w:val="auto"/>
          <w:sz w:val="28"/>
          <w:szCs w:val="28"/>
          <w:highlight w:val="none"/>
          <w:u w:val="single"/>
        </w:rPr>
      </w:pPr>
    </w:p>
    <w:p w14:paraId="154CDEBE">
      <w:pPr>
        <w:outlineLvl w:val="1"/>
        <w:rPr>
          <w:rFonts w:asciiTheme="minorEastAsia" w:hAnsiTheme="minorEastAsia" w:eastAsiaTheme="minorEastAsia" w:cstheme="minorEastAsia"/>
          <w:b/>
          <w:color w:val="auto"/>
          <w:szCs w:val="21"/>
          <w:highlight w:val="none"/>
        </w:rPr>
      </w:pPr>
      <w:bookmarkStart w:id="629" w:name="_Toc11522"/>
      <w:bookmarkStart w:id="630" w:name="_Toc24091"/>
      <w:bookmarkStart w:id="631" w:name="_Toc116284564"/>
      <w:bookmarkStart w:id="632" w:name="_Toc11338"/>
      <w:bookmarkStart w:id="633" w:name="_Toc28517"/>
      <w:bookmarkStart w:id="634" w:name="_Toc28482"/>
      <w:bookmarkStart w:id="635" w:name="_Toc29218"/>
      <w:bookmarkStart w:id="636" w:name="_Toc31452"/>
      <w:bookmarkStart w:id="637" w:name="_Toc32151"/>
      <w:r>
        <w:rPr>
          <w:rFonts w:hint="eastAsia" w:asciiTheme="minorEastAsia" w:hAnsiTheme="minorEastAsia" w:eastAsiaTheme="minorEastAsia" w:cstheme="minorEastAsia"/>
          <w:b/>
          <w:bCs/>
          <w:color w:val="auto"/>
          <w:sz w:val="24"/>
          <w:highlight w:val="none"/>
        </w:rPr>
        <w:br w:type="page"/>
      </w:r>
      <w:bookmarkStart w:id="638" w:name="_Toc14420"/>
      <w:bookmarkStart w:id="639" w:name="_Toc28389"/>
      <w:bookmarkStart w:id="640" w:name="_Toc7541"/>
      <w:r>
        <w:rPr>
          <w:rFonts w:hint="eastAsia" w:asciiTheme="minorEastAsia" w:hAnsiTheme="minorEastAsia" w:eastAsiaTheme="minorEastAsia" w:cstheme="minorEastAsia"/>
          <w:b/>
          <w:bCs/>
          <w:color w:val="auto"/>
          <w:sz w:val="24"/>
          <w:highlight w:val="none"/>
        </w:rPr>
        <w:t>附件二、残疾人福利性单位声明函（如有）</w:t>
      </w:r>
      <w:bookmarkEnd w:id="629"/>
      <w:bookmarkEnd w:id="630"/>
      <w:bookmarkEnd w:id="631"/>
      <w:bookmarkEnd w:id="632"/>
      <w:bookmarkEnd w:id="633"/>
      <w:bookmarkEnd w:id="634"/>
      <w:bookmarkEnd w:id="635"/>
      <w:bookmarkEnd w:id="636"/>
      <w:bookmarkEnd w:id="637"/>
      <w:bookmarkEnd w:id="638"/>
      <w:bookmarkEnd w:id="639"/>
      <w:bookmarkEnd w:id="640"/>
    </w:p>
    <w:p w14:paraId="52DCDA28">
      <w:pPr>
        <w:widowControl/>
        <w:ind w:firstLine="562" w:firstLineChars="200"/>
        <w:rPr>
          <w:rFonts w:asciiTheme="minorEastAsia" w:hAnsiTheme="minorEastAsia" w:eastAsiaTheme="minorEastAsia" w:cstheme="minorEastAsia"/>
          <w:b/>
          <w:bCs/>
          <w:color w:val="auto"/>
          <w:sz w:val="28"/>
          <w:szCs w:val="28"/>
          <w:highlight w:val="none"/>
        </w:rPr>
      </w:pPr>
    </w:p>
    <w:p w14:paraId="5F855404">
      <w:pPr>
        <w:widowControl/>
        <w:ind w:firstLine="562" w:firstLineChars="20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残疾人福利性单位声明函（如有）</w:t>
      </w:r>
    </w:p>
    <w:p w14:paraId="46A82BD1">
      <w:pPr>
        <w:ind w:firstLine="444" w:firstLineChars="200"/>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1A7562">
      <w:pPr>
        <w:ind w:firstLine="444" w:firstLineChars="200"/>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本单位对上述声明的真实性负责。如有虚假，将依法承担相应责任。</w:t>
      </w:r>
    </w:p>
    <w:p w14:paraId="4F570C5B">
      <w:pPr>
        <w:autoSpaceDE w:val="0"/>
        <w:autoSpaceDN w:val="0"/>
        <w:adjustRightInd w:val="0"/>
        <w:ind w:firstLine="420"/>
        <w:rPr>
          <w:rFonts w:asciiTheme="minorEastAsia" w:hAnsiTheme="minorEastAsia" w:eastAsiaTheme="minorEastAsia" w:cstheme="minorEastAsia"/>
          <w:color w:val="auto"/>
          <w:szCs w:val="21"/>
          <w:highlight w:val="none"/>
          <w:lang w:val="zh-CN"/>
        </w:rPr>
      </w:pPr>
    </w:p>
    <w:p w14:paraId="715D3731">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 xml:space="preserve">）：            </w:t>
      </w:r>
    </w:p>
    <w:p w14:paraId="5A1EF072">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p>
    <w:p w14:paraId="7300E452">
      <w:pPr>
        <w:wordWrap w:val="0"/>
        <w:autoSpaceDE w:val="0"/>
        <w:autoSpaceDN w:val="0"/>
        <w:adjustRightInd w:val="0"/>
        <w:ind w:firstLine="420"/>
        <w:jc w:val="righ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zh-CN"/>
        </w:rPr>
        <w:t>日    期：    年    月   日</w:t>
      </w:r>
      <w:r>
        <w:rPr>
          <w:rFonts w:hint="eastAsia" w:asciiTheme="minorEastAsia" w:hAnsiTheme="minorEastAsia" w:eastAsiaTheme="minorEastAsia" w:cstheme="minorEastAsia"/>
          <w:color w:val="auto"/>
          <w:szCs w:val="21"/>
          <w:highlight w:val="none"/>
          <w:lang w:val="en-US" w:eastAsia="zh-CN"/>
        </w:rPr>
        <w:t xml:space="preserve">     </w:t>
      </w:r>
    </w:p>
    <w:p w14:paraId="5D1BB0D3">
      <w:pPr>
        <w:wordWrap w:val="0"/>
        <w:autoSpaceDE w:val="0"/>
        <w:autoSpaceDN w:val="0"/>
        <w:adjustRightInd w:val="0"/>
        <w:ind w:firstLine="420"/>
        <w:jc w:val="right"/>
        <w:rPr>
          <w:rFonts w:hint="eastAsia" w:asciiTheme="minorEastAsia" w:hAnsiTheme="minorEastAsia" w:eastAsiaTheme="minorEastAsia" w:cstheme="minorEastAsia"/>
          <w:color w:val="auto"/>
          <w:szCs w:val="21"/>
          <w:highlight w:val="none"/>
          <w:lang w:val="zh-CN"/>
        </w:rPr>
      </w:pPr>
    </w:p>
    <w:bookmarkEnd w:id="611"/>
    <w:bookmarkEnd w:id="612"/>
    <w:bookmarkEnd w:id="613"/>
    <w:bookmarkEnd w:id="614"/>
    <w:bookmarkEnd w:id="615"/>
    <w:bookmarkEnd w:id="616"/>
    <w:bookmarkEnd w:id="617"/>
    <w:bookmarkEnd w:id="618"/>
    <w:bookmarkEnd w:id="619"/>
    <w:bookmarkEnd w:id="620"/>
    <w:bookmarkEnd w:id="621"/>
    <w:p w14:paraId="2A93128B">
      <w:pPr>
        <w:autoSpaceDE w:val="0"/>
        <w:autoSpaceDN w:val="0"/>
        <w:adjustRightInd w:val="0"/>
        <w:ind w:firstLine="482"/>
        <w:rPr>
          <w:rFonts w:asciiTheme="minorEastAsia" w:hAnsiTheme="minorEastAsia" w:eastAsiaTheme="minorEastAsia" w:cstheme="minorEastAsia"/>
          <w:b/>
          <w:bCs/>
          <w:color w:val="auto"/>
          <w:sz w:val="24"/>
          <w:highlight w:val="none"/>
          <w:lang w:val="zh-CN"/>
        </w:rPr>
      </w:pPr>
      <w:bookmarkStart w:id="641" w:name="_Toc24015"/>
      <w:bookmarkStart w:id="642" w:name="_Toc31467"/>
      <w:bookmarkStart w:id="643" w:name="_Toc27285"/>
      <w:bookmarkStart w:id="644" w:name="_Toc23492"/>
      <w:bookmarkStart w:id="645" w:name="_Toc116284565"/>
      <w:bookmarkStart w:id="646" w:name="_Toc21499"/>
      <w:bookmarkStart w:id="647" w:name="_Toc23866"/>
      <w:bookmarkStart w:id="648" w:name="_Toc3243"/>
      <w:bookmarkStart w:id="649" w:name="_Toc6214"/>
      <w:bookmarkStart w:id="650" w:name="_Toc9900"/>
      <w:bookmarkStart w:id="651" w:name="_Toc30368"/>
      <w:bookmarkStart w:id="652" w:name="_Toc21421"/>
      <w:bookmarkStart w:id="653" w:name="_Toc30794"/>
      <w:bookmarkStart w:id="654" w:name="_Toc32356"/>
      <w:bookmarkStart w:id="655" w:name="_Toc8045"/>
    </w:p>
    <w:p w14:paraId="275EBE13">
      <w:pPr>
        <w:autoSpaceDE w:val="0"/>
        <w:autoSpaceDN w:val="0"/>
        <w:adjustRightInd w:val="0"/>
        <w:outlineLvl w:val="1"/>
        <w:rPr>
          <w:rFonts w:asciiTheme="minorEastAsia" w:hAnsiTheme="minorEastAsia" w:eastAsiaTheme="minorEastAsia" w:cstheme="minorEastAsia"/>
          <w:b/>
          <w:bCs/>
          <w:color w:val="auto"/>
          <w:sz w:val="24"/>
          <w:highlight w:val="none"/>
          <w:lang w:val="zh-CN"/>
        </w:rPr>
      </w:pPr>
      <w:bookmarkStart w:id="656" w:name="_Toc20686"/>
      <w:bookmarkStart w:id="657" w:name="_Toc10850"/>
      <w:bookmarkStart w:id="658" w:name="_Toc29355"/>
      <w:r>
        <w:rPr>
          <w:rFonts w:hint="eastAsia" w:asciiTheme="minorEastAsia" w:hAnsiTheme="minorEastAsia" w:eastAsiaTheme="minorEastAsia" w:cstheme="minorEastAsia"/>
          <w:b/>
          <w:bCs/>
          <w:color w:val="auto"/>
          <w:sz w:val="24"/>
          <w:highlight w:val="none"/>
          <w:lang w:val="zh-CN"/>
        </w:rPr>
        <w:t>附件</w:t>
      </w:r>
      <w:r>
        <w:rPr>
          <w:rFonts w:hint="eastAsia" w:asciiTheme="minorEastAsia" w:hAnsiTheme="minorEastAsia" w:eastAsiaTheme="minorEastAsia" w:cstheme="minorEastAsia"/>
          <w:b/>
          <w:bCs/>
          <w:color w:val="auto"/>
          <w:sz w:val="24"/>
          <w:highlight w:val="none"/>
        </w:rPr>
        <w:t>三</w:t>
      </w:r>
      <w:r>
        <w:rPr>
          <w:rFonts w:hint="eastAsia" w:asciiTheme="minorEastAsia" w:hAnsiTheme="minorEastAsia" w:eastAsiaTheme="minorEastAsia" w:cstheme="minorEastAsia"/>
          <w:b/>
          <w:bCs/>
          <w:color w:val="auto"/>
          <w:sz w:val="24"/>
          <w:highlight w:val="none"/>
          <w:lang w:val="zh-CN"/>
        </w:rPr>
        <w:t>：具备履行合同所必需的设备和专业技术能力的书面声明</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6A8825A9">
      <w:pPr>
        <w:autoSpaceDE w:val="0"/>
        <w:autoSpaceDN w:val="0"/>
        <w:adjustRightInd w:val="0"/>
        <w:ind w:firstLine="482"/>
        <w:jc w:val="center"/>
        <w:rPr>
          <w:rFonts w:asciiTheme="minorEastAsia" w:hAnsiTheme="minorEastAsia" w:eastAsiaTheme="minorEastAsia" w:cstheme="minorEastAsia"/>
          <w:b/>
          <w:bCs/>
          <w:color w:val="auto"/>
          <w:sz w:val="24"/>
          <w:highlight w:val="none"/>
          <w:lang w:val="zh-CN"/>
        </w:rPr>
      </w:pPr>
    </w:p>
    <w:p w14:paraId="479A675A">
      <w:pPr>
        <w:autoSpaceDE w:val="0"/>
        <w:autoSpaceDN w:val="0"/>
        <w:adjustRightInd w:val="0"/>
        <w:spacing w:line="460" w:lineRule="exact"/>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具备履行合同所必需的设备和专业技术能力的书面声明</w:t>
      </w:r>
    </w:p>
    <w:p w14:paraId="2B35B6FA">
      <w:pPr>
        <w:spacing w:line="360" w:lineRule="auto"/>
        <w:ind w:firstLine="444" w:firstLineChars="200"/>
        <w:rPr>
          <w:rFonts w:asciiTheme="minorEastAsia" w:hAnsiTheme="minorEastAsia" w:eastAsiaTheme="minorEastAsia" w:cstheme="minorEastAsia"/>
          <w:color w:val="auto"/>
          <w:spacing w:val="6"/>
          <w:szCs w:val="21"/>
          <w:highlight w:val="none"/>
        </w:rPr>
      </w:pPr>
    </w:p>
    <w:p w14:paraId="2C48B151">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我单位郑重声明：我单位具备履行本项采购合同所必需的设备和专业技术能力，为履行本项采购合同我公司具备如下主要设备和主要专业技术能力：</w:t>
      </w:r>
    </w:p>
    <w:p w14:paraId="033521D7">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主要设备有：     。</w:t>
      </w:r>
    </w:p>
    <w:p w14:paraId="0A037A0E">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主要专业技术能力有：      。</w:t>
      </w:r>
    </w:p>
    <w:p w14:paraId="13D13107">
      <w:pPr>
        <w:spacing w:line="460" w:lineRule="exact"/>
        <w:ind w:firstLine="480"/>
        <w:rPr>
          <w:rFonts w:asciiTheme="minorEastAsia" w:hAnsiTheme="minorEastAsia" w:eastAsiaTheme="minorEastAsia" w:cstheme="minorEastAsia"/>
          <w:bCs/>
          <w:color w:val="auto"/>
          <w:sz w:val="24"/>
          <w:highlight w:val="none"/>
        </w:rPr>
      </w:pPr>
    </w:p>
    <w:p w14:paraId="1EF9968E">
      <w:pPr>
        <w:autoSpaceDE w:val="0"/>
        <w:autoSpaceDN w:val="0"/>
        <w:adjustRightInd w:val="0"/>
        <w:snapToGrid w:val="0"/>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 xml:space="preserve">）：            </w:t>
      </w:r>
    </w:p>
    <w:p w14:paraId="0F319720">
      <w:pPr>
        <w:autoSpaceDE w:val="0"/>
        <w:autoSpaceDN w:val="0"/>
        <w:adjustRightInd w:val="0"/>
        <w:snapToGrid w:val="0"/>
        <w:ind w:right="420"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p>
    <w:p w14:paraId="0858973D">
      <w:pPr>
        <w:wordWrap w:val="0"/>
        <w:autoSpaceDE w:val="0"/>
        <w:autoSpaceDN w:val="0"/>
        <w:adjustRightInd w:val="0"/>
        <w:snapToGrid w:val="0"/>
        <w:ind w:firstLine="420"/>
        <w:jc w:val="righ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zh-CN"/>
        </w:rPr>
        <w:t>日    期：    年    月   日</w:t>
      </w:r>
      <w:r>
        <w:rPr>
          <w:rFonts w:hint="eastAsia" w:asciiTheme="minorEastAsia" w:hAnsiTheme="minorEastAsia" w:eastAsiaTheme="minorEastAsia" w:cstheme="minorEastAsia"/>
          <w:color w:val="auto"/>
          <w:szCs w:val="21"/>
          <w:highlight w:val="none"/>
          <w:lang w:val="en-US" w:eastAsia="zh-CN"/>
        </w:rPr>
        <w:t xml:space="preserve"> </w:t>
      </w:r>
    </w:p>
    <w:p w14:paraId="43DA73B8">
      <w:pPr>
        <w:autoSpaceDE w:val="0"/>
        <w:autoSpaceDN w:val="0"/>
        <w:adjustRightInd w:val="0"/>
        <w:snapToGrid w:val="0"/>
        <w:ind w:firstLine="420"/>
        <w:jc w:val="right"/>
        <w:rPr>
          <w:rFonts w:asciiTheme="minorEastAsia" w:hAnsiTheme="minorEastAsia" w:eastAsiaTheme="minorEastAsia" w:cstheme="minorEastAsia"/>
          <w:color w:val="auto"/>
          <w:szCs w:val="21"/>
          <w:highlight w:val="none"/>
          <w:lang w:val="zh-CN"/>
        </w:rPr>
      </w:pPr>
    </w:p>
    <w:p w14:paraId="08F1548A">
      <w:pPr>
        <w:widowControl/>
        <w:adjustRightInd w:val="0"/>
        <w:spacing w:line="240" w:lineRule="atLeast"/>
        <w:ind w:firstLine="482"/>
        <w:rPr>
          <w:rFonts w:asciiTheme="minorEastAsia" w:hAnsiTheme="minorEastAsia" w:eastAsiaTheme="minorEastAsia" w:cstheme="minorEastAsia"/>
          <w:b/>
          <w:color w:val="auto"/>
          <w:sz w:val="24"/>
          <w:highlight w:val="none"/>
        </w:rPr>
      </w:pPr>
      <w:bookmarkStart w:id="659" w:name="_Toc2124"/>
      <w:bookmarkStart w:id="660" w:name="_Toc14601"/>
      <w:bookmarkStart w:id="661" w:name="_Toc16018"/>
      <w:bookmarkStart w:id="662" w:name="_Toc255"/>
      <w:bookmarkStart w:id="663" w:name="_Toc5885"/>
      <w:bookmarkStart w:id="664" w:name="_Toc24546"/>
      <w:bookmarkStart w:id="665" w:name="_Toc21760"/>
      <w:bookmarkStart w:id="666" w:name="_Toc21823"/>
    </w:p>
    <w:p w14:paraId="0086F6CC">
      <w:pPr>
        <w:widowControl/>
        <w:adjustRightInd w:val="0"/>
        <w:spacing w:line="360" w:lineRule="auto"/>
        <w:outlineLvl w:val="1"/>
        <w:rPr>
          <w:rFonts w:asciiTheme="minorEastAsia" w:hAnsiTheme="minorEastAsia" w:eastAsiaTheme="minorEastAsia" w:cstheme="minorEastAsia"/>
          <w:b/>
          <w:color w:val="auto"/>
          <w:sz w:val="24"/>
          <w:highlight w:val="none"/>
        </w:rPr>
      </w:pPr>
      <w:bookmarkStart w:id="667" w:name="_Toc2393"/>
      <w:bookmarkStart w:id="668" w:name="_Toc8959"/>
      <w:bookmarkStart w:id="669" w:name="_Toc29353"/>
      <w:bookmarkStart w:id="670" w:name="_Toc32169"/>
      <w:bookmarkStart w:id="671" w:name="_Toc14049"/>
      <w:bookmarkStart w:id="672" w:name="_Toc4639"/>
      <w:bookmarkStart w:id="673" w:name="_Toc21243"/>
      <w:bookmarkStart w:id="674" w:name="_Toc23399"/>
      <w:bookmarkStart w:id="675" w:name="_Toc11317"/>
      <w:bookmarkStart w:id="676" w:name="_Toc116284566"/>
      <w:r>
        <w:rPr>
          <w:rFonts w:hint="eastAsia" w:asciiTheme="minorEastAsia" w:hAnsiTheme="minorEastAsia" w:eastAsiaTheme="minorEastAsia" w:cstheme="minorEastAsia"/>
          <w:b/>
          <w:color w:val="auto"/>
          <w:sz w:val="24"/>
          <w:highlight w:val="none"/>
        </w:rPr>
        <w:t>附件四：无重大违法记录声明格式</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719AD414">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无重大违法记录声明</w:t>
      </w:r>
    </w:p>
    <w:p w14:paraId="77E73946">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lang w:eastAsia="zh-CN"/>
        </w:rPr>
        <w:t>南京市公安局江宁分局</w:t>
      </w:r>
      <w:r>
        <w:rPr>
          <w:rFonts w:hint="eastAsia" w:asciiTheme="minorEastAsia" w:hAnsiTheme="minorEastAsia" w:eastAsiaTheme="minorEastAsia" w:cstheme="minorEastAsia"/>
          <w:color w:val="auto"/>
          <w:spacing w:val="6"/>
          <w:szCs w:val="21"/>
          <w:highlight w:val="none"/>
        </w:rPr>
        <w:t>：</w:t>
      </w:r>
    </w:p>
    <w:p w14:paraId="3BBEF86C">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p>
    <w:p w14:paraId="35AEAF6D">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p>
    <w:p w14:paraId="3D5CB701">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35BEDF64">
      <w:pPr>
        <w:wordWrap w:val="0"/>
        <w:autoSpaceDE w:val="0"/>
        <w:autoSpaceDN w:val="0"/>
        <w:adjustRightInd w:val="0"/>
        <w:ind w:firstLine="420"/>
        <w:jc w:val="right"/>
        <w:rPr>
          <w:rFonts w:hint="eastAsia" w:asciiTheme="minorEastAsia" w:hAnsiTheme="minorEastAsia" w:eastAsiaTheme="minorEastAsia" w:cstheme="minorEastAsia"/>
          <w:color w:val="auto"/>
          <w:szCs w:val="21"/>
          <w:highlight w:val="none"/>
          <w:lang w:val="zh-CN"/>
        </w:rPr>
      </w:pPr>
    </w:p>
    <w:p w14:paraId="6CE582BF">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 xml:space="preserve">）：            </w:t>
      </w:r>
    </w:p>
    <w:p w14:paraId="04235A6E">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p>
    <w:p w14:paraId="17911361">
      <w:pPr>
        <w:wordWrap w:val="0"/>
        <w:autoSpaceDE w:val="0"/>
        <w:autoSpaceDN w:val="0"/>
        <w:adjustRightInd w:val="0"/>
        <w:ind w:firstLine="420"/>
        <w:jc w:val="righ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zh-CN"/>
        </w:rPr>
        <w:t>日    期：    年    月   日</w:t>
      </w:r>
      <w:r>
        <w:rPr>
          <w:rFonts w:hint="eastAsia" w:asciiTheme="minorEastAsia" w:hAnsiTheme="minorEastAsia" w:eastAsiaTheme="minorEastAsia" w:cstheme="minorEastAsia"/>
          <w:color w:val="auto"/>
          <w:szCs w:val="21"/>
          <w:highlight w:val="none"/>
          <w:lang w:val="en-US" w:eastAsia="zh-CN"/>
        </w:rPr>
        <w:t xml:space="preserve">     </w:t>
      </w:r>
    </w:p>
    <w:p w14:paraId="04171490">
      <w:pPr>
        <w:ind w:firstLine="0"/>
        <w:rPr>
          <w:rFonts w:asciiTheme="minorEastAsia" w:hAnsiTheme="minorEastAsia" w:eastAsiaTheme="minorEastAsia" w:cstheme="minorEastAsia"/>
          <w:color w:val="auto"/>
          <w:highlight w:val="none"/>
        </w:rPr>
      </w:pPr>
    </w:p>
    <w:sectPr>
      <w:pgSz w:w="11906" w:h="16838"/>
      <w:pgMar w:top="1418" w:right="1418" w:bottom="1418" w:left="1418" w:header="720" w:footer="720" w:gutter="0"/>
      <w:pgNumType w:fmt="numberInDash"/>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大黑简体">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黑体简体">
    <w:altName w:val="微软雅黑"/>
    <w:panose1 w:val="02000000000000000000"/>
    <w:charset w:val="86"/>
    <w:family w:val="auto"/>
    <w:pitch w:val="default"/>
    <w:sig w:usb0="00000000" w:usb1="00000000" w:usb2="00000012"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Georgia">
    <w:panose1 w:val="02040502050405020303"/>
    <w:charset w:val="00"/>
    <w:family w:val="roman"/>
    <w:pitch w:val="default"/>
    <w:sig w:usb0="000002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70AD9">
    <w:pPr>
      <w:pStyle w:val="28"/>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path/>
          <v:fill on="f" focussize="0,0"/>
          <v:stroke on="f" joinstyle="miter"/>
          <v:imagedata o:title=""/>
          <o:lock v:ext="edit"/>
          <v:textbox inset="0mm,0mm,0mm,0mm" style="mso-fit-shape-to-text:t;">
            <w:txbxContent>
              <w:p w14:paraId="003B4502">
                <w:pPr>
                  <w:pStyle w:val="28"/>
                </w:pPr>
                <w:r>
                  <w:fldChar w:fldCharType="begin"/>
                </w:r>
                <w:r>
                  <w:instrText xml:space="preserve"> PAGE  \* MERGEFORMAT </w:instrText>
                </w:r>
                <w:r>
                  <w:fldChar w:fldCharType="separate"/>
                </w:r>
                <w:r>
                  <w:t>- 1 -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46059">
    <w:pPr>
      <w:pStyle w:val="19"/>
      <w:spacing w:line="173" w:lineRule="auto"/>
      <w:ind w:left="4602" w:firstLine="480"/>
      <w:rPr>
        <w:sz w:val="24"/>
        <w:szCs w:val="24"/>
      </w:rPr>
    </w:pPr>
    <w:r>
      <w:rPr>
        <w:sz w:val="24"/>
      </w:rPr>
      <w:pict>
        <v:shape id="文本框 4"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Ozy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MQ7PKyQEAAJkDAAAOAAAAAAAAAAEAIAAAAB4BAABkcnMvZTJvRG9j&#10;LnhtbFBLBQYAAAAABgAGAFkBAABZBQAAAAA=&#10;">
          <v:path/>
          <v:fill on="f" focussize="0,0"/>
          <v:stroke on="f" joinstyle="miter"/>
          <v:imagedata o:title=""/>
          <o:lock v:ext="edit"/>
          <v:textbox inset="0mm,0mm,0mm,0mm" style="mso-fit-shape-to-text:t;">
            <w:txbxContent>
              <w:p w14:paraId="026C3101">
                <w:pPr>
                  <w:pStyle w:val="28"/>
                </w:pPr>
                <w:r>
                  <w:fldChar w:fldCharType="begin"/>
                </w:r>
                <w:r>
                  <w:instrText xml:space="preserve"> PAGE  \* MERGEFORMAT </w:instrText>
                </w:r>
                <w:r>
                  <w:fldChar w:fldCharType="separate"/>
                </w:r>
                <w:r>
                  <w:t>- 42 -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852D5">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383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BD3BA8"/>
    <w:multiLevelType w:val="multilevel"/>
    <w:tmpl w:val="23BD3BA8"/>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4C0EFB08"/>
    <w:multiLevelType w:val="singleLevel"/>
    <w:tmpl w:val="4C0EFB08"/>
    <w:lvl w:ilvl="0" w:tentative="0">
      <w:start w:val="1"/>
      <w:numFmt w:val="decimal"/>
      <w:suff w:val="nothing"/>
      <w:lvlText w:val="%1、"/>
      <w:lvlJc w:val="left"/>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2NjNGFmNjAyYzc5MDc4YzJhMWFhY2I5NWE2MWJkMDkifQ=="/>
  </w:docVars>
  <w:rsids>
    <w:rsidRoot w:val="00172A27"/>
    <w:rsid w:val="00001129"/>
    <w:rsid w:val="00002603"/>
    <w:rsid w:val="000059E6"/>
    <w:rsid w:val="00006101"/>
    <w:rsid w:val="00006FAA"/>
    <w:rsid w:val="000116B3"/>
    <w:rsid w:val="00011F07"/>
    <w:rsid w:val="00012075"/>
    <w:rsid w:val="000138EF"/>
    <w:rsid w:val="0001435F"/>
    <w:rsid w:val="00014644"/>
    <w:rsid w:val="00015043"/>
    <w:rsid w:val="00015A79"/>
    <w:rsid w:val="00021B8B"/>
    <w:rsid w:val="000227A3"/>
    <w:rsid w:val="00023D9C"/>
    <w:rsid w:val="00023F91"/>
    <w:rsid w:val="0002416C"/>
    <w:rsid w:val="00027718"/>
    <w:rsid w:val="00031345"/>
    <w:rsid w:val="0003308E"/>
    <w:rsid w:val="000331B1"/>
    <w:rsid w:val="00034421"/>
    <w:rsid w:val="0004065E"/>
    <w:rsid w:val="000475C7"/>
    <w:rsid w:val="000509A8"/>
    <w:rsid w:val="00050C63"/>
    <w:rsid w:val="00052448"/>
    <w:rsid w:val="00053138"/>
    <w:rsid w:val="00054A84"/>
    <w:rsid w:val="00056423"/>
    <w:rsid w:val="00060E86"/>
    <w:rsid w:val="00063A2A"/>
    <w:rsid w:val="00064518"/>
    <w:rsid w:val="0006632C"/>
    <w:rsid w:val="00066B60"/>
    <w:rsid w:val="0007030F"/>
    <w:rsid w:val="000711D0"/>
    <w:rsid w:val="000714C9"/>
    <w:rsid w:val="00074029"/>
    <w:rsid w:val="000759C0"/>
    <w:rsid w:val="00075A3B"/>
    <w:rsid w:val="000778E0"/>
    <w:rsid w:val="00081DDD"/>
    <w:rsid w:val="0008269A"/>
    <w:rsid w:val="000835DE"/>
    <w:rsid w:val="00084760"/>
    <w:rsid w:val="000858BB"/>
    <w:rsid w:val="00086EC4"/>
    <w:rsid w:val="000903AE"/>
    <w:rsid w:val="00092635"/>
    <w:rsid w:val="000932C0"/>
    <w:rsid w:val="000937C0"/>
    <w:rsid w:val="00095411"/>
    <w:rsid w:val="000957F3"/>
    <w:rsid w:val="00097897"/>
    <w:rsid w:val="000A0C21"/>
    <w:rsid w:val="000A2699"/>
    <w:rsid w:val="000A47F6"/>
    <w:rsid w:val="000A49A5"/>
    <w:rsid w:val="000A5877"/>
    <w:rsid w:val="000A67E7"/>
    <w:rsid w:val="000B1EBD"/>
    <w:rsid w:val="000B2EA6"/>
    <w:rsid w:val="000B549E"/>
    <w:rsid w:val="000B56AA"/>
    <w:rsid w:val="000C1CC5"/>
    <w:rsid w:val="000C4B2F"/>
    <w:rsid w:val="000C62BC"/>
    <w:rsid w:val="000C7167"/>
    <w:rsid w:val="000C7196"/>
    <w:rsid w:val="000C7DB3"/>
    <w:rsid w:val="000D0157"/>
    <w:rsid w:val="000D03D5"/>
    <w:rsid w:val="000D1C8A"/>
    <w:rsid w:val="000D43C5"/>
    <w:rsid w:val="000D60F9"/>
    <w:rsid w:val="000D6C29"/>
    <w:rsid w:val="000E0B5B"/>
    <w:rsid w:val="000E0DD8"/>
    <w:rsid w:val="000E3601"/>
    <w:rsid w:val="000E6701"/>
    <w:rsid w:val="000F1F1B"/>
    <w:rsid w:val="000F307D"/>
    <w:rsid w:val="000F5C70"/>
    <w:rsid w:val="000F5D10"/>
    <w:rsid w:val="00100177"/>
    <w:rsid w:val="00102770"/>
    <w:rsid w:val="00103DBA"/>
    <w:rsid w:val="0010406C"/>
    <w:rsid w:val="001106D4"/>
    <w:rsid w:val="001127BB"/>
    <w:rsid w:val="00113276"/>
    <w:rsid w:val="00113584"/>
    <w:rsid w:val="0011386E"/>
    <w:rsid w:val="00124C37"/>
    <w:rsid w:val="001258CC"/>
    <w:rsid w:val="00125DBC"/>
    <w:rsid w:val="00126109"/>
    <w:rsid w:val="00126497"/>
    <w:rsid w:val="0012691A"/>
    <w:rsid w:val="00132820"/>
    <w:rsid w:val="001363F5"/>
    <w:rsid w:val="00140231"/>
    <w:rsid w:val="00142C39"/>
    <w:rsid w:val="00143640"/>
    <w:rsid w:val="0014608B"/>
    <w:rsid w:val="0014628C"/>
    <w:rsid w:val="00152F9F"/>
    <w:rsid w:val="00153BE2"/>
    <w:rsid w:val="00155BDE"/>
    <w:rsid w:val="0015732A"/>
    <w:rsid w:val="00160697"/>
    <w:rsid w:val="001647D0"/>
    <w:rsid w:val="00167B30"/>
    <w:rsid w:val="001712E7"/>
    <w:rsid w:val="001714C4"/>
    <w:rsid w:val="00172A27"/>
    <w:rsid w:val="0017380B"/>
    <w:rsid w:val="0018217F"/>
    <w:rsid w:val="00182279"/>
    <w:rsid w:val="0018346B"/>
    <w:rsid w:val="001855F5"/>
    <w:rsid w:val="00191B21"/>
    <w:rsid w:val="00191D59"/>
    <w:rsid w:val="0019556F"/>
    <w:rsid w:val="001962B4"/>
    <w:rsid w:val="00197C3D"/>
    <w:rsid w:val="001A149B"/>
    <w:rsid w:val="001A56E6"/>
    <w:rsid w:val="001A734E"/>
    <w:rsid w:val="001B3FEE"/>
    <w:rsid w:val="001B5EC7"/>
    <w:rsid w:val="001C14D8"/>
    <w:rsid w:val="001C171B"/>
    <w:rsid w:val="001C5D85"/>
    <w:rsid w:val="001C666E"/>
    <w:rsid w:val="001D10F3"/>
    <w:rsid w:val="001D13E4"/>
    <w:rsid w:val="001D2C4A"/>
    <w:rsid w:val="001D2E2D"/>
    <w:rsid w:val="001D4825"/>
    <w:rsid w:val="001D49A6"/>
    <w:rsid w:val="001D67EC"/>
    <w:rsid w:val="001E19EB"/>
    <w:rsid w:val="001E2272"/>
    <w:rsid w:val="001E3981"/>
    <w:rsid w:val="001E3F3B"/>
    <w:rsid w:val="001F07D4"/>
    <w:rsid w:val="001F1253"/>
    <w:rsid w:val="001F45F1"/>
    <w:rsid w:val="001F5531"/>
    <w:rsid w:val="001F6E48"/>
    <w:rsid w:val="001F738A"/>
    <w:rsid w:val="0020131E"/>
    <w:rsid w:val="00202EC6"/>
    <w:rsid w:val="00205174"/>
    <w:rsid w:val="0020621F"/>
    <w:rsid w:val="0020674E"/>
    <w:rsid w:val="00207824"/>
    <w:rsid w:val="0021108B"/>
    <w:rsid w:val="00211528"/>
    <w:rsid w:val="00212CB9"/>
    <w:rsid w:val="00213145"/>
    <w:rsid w:val="00213146"/>
    <w:rsid w:val="0021492E"/>
    <w:rsid w:val="00215131"/>
    <w:rsid w:val="00216826"/>
    <w:rsid w:val="00217C2B"/>
    <w:rsid w:val="00221042"/>
    <w:rsid w:val="00221F81"/>
    <w:rsid w:val="00224ADC"/>
    <w:rsid w:val="00230669"/>
    <w:rsid w:val="00233315"/>
    <w:rsid w:val="0023618D"/>
    <w:rsid w:val="002372DA"/>
    <w:rsid w:val="00241033"/>
    <w:rsid w:val="00241ACB"/>
    <w:rsid w:val="0024201B"/>
    <w:rsid w:val="00244407"/>
    <w:rsid w:val="00244D08"/>
    <w:rsid w:val="0024649E"/>
    <w:rsid w:val="00250D6D"/>
    <w:rsid w:val="00252954"/>
    <w:rsid w:val="00252AFD"/>
    <w:rsid w:val="002545C2"/>
    <w:rsid w:val="00255C64"/>
    <w:rsid w:val="00256AD9"/>
    <w:rsid w:val="00260436"/>
    <w:rsid w:val="002604AE"/>
    <w:rsid w:val="002629C6"/>
    <w:rsid w:val="00263D29"/>
    <w:rsid w:val="00264595"/>
    <w:rsid w:val="00264C6B"/>
    <w:rsid w:val="00266B28"/>
    <w:rsid w:val="00266D3A"/>
    <w:rsid w:val="00267599"/>
    <w:rsid w:val="00270E39"/>
    <w:rsid w:val="002730C1"/>
    <w:rsid w:val="002749E1"/>
    <w:rsid w:val="00274A6F"/>
    <w:rsid w:val="0028135D"/>
    <w:rsid w:val="002826E4"/>
    <w:rsid w:val="002827D3"/>
    <w:rsid w:val="002827D8"/>
    <w:rsid w:val="00282AC0"/>
    <w:rsid w:val="002844FA"/>
    <w:rsid w:val="00286145"/>
    <w:rsid w:val="002868EF"/>
    <w:rsid w:val="00287122"/>
    <w:rsid w:val="002873A3"/>
    <w:rsid w:val="0029266F"/>
    <w:rsid w:val="0029361A"/>
    <w:rsid w:val="002946DB"/>
    <w:rsid w:val="00294C36"/>
    <w:rsid w:val="00297CA2"/>
    <w:rsid w:val="002A0AC4"/>
    <w:rsid w:val="002A566E"/>
    <w:rsid w:val="002A714C"/>
    <w:rsid w:val="002A71FE"/>
    <w:rsid w:val="002A723E"/>
    <w:rsid w:val="002A7A44"/>
    <w:rsid w:val="002B25A2"/>
    <w:rsid w:val="002B4D0B"/>
    <w:rsid w:val="002B585A"/>
    <w:rsid w:val="002C1382"/>
    <w:rsid w:val="002C389D"/>
    <w:rsid w:val="002C55B5"/>
    <w:rsid w:val="002C7086"/>
    <w:rsid w:val="002D0F5F"/>
    <w:rsid w:val="002D12F3"/>
    <w:rsid w:val="002D5446"/>
    <w:rsid w:val="002D6332"/>
    <w:rsid w:val="002D71D9"/>
    <w:rsid w:val="002E1A20"/>
    <w:rsid w:val="002E24EA"/>
    <w:rsid w:val="002F203E"/>
    <w:rsid w:val="002F61E3"/>
    <w:rsid w:val="0030283C"/>
    <w:rsid w:val="00303E1B"/>
    <w:rsid w:val="00305128"/>
    <w:rsid w:val="0031499E"/>
    <w:rsid w:val="0031523A"/>
    <w:rsid w:val="003165F6"/>
    <w:rsid w:val="0031730D"/>
    <w:rsid w:val="00320003"/>
    <w:rsid w:val="00322F94"/>
    <w:rsid w:val="00323AB6"/>
    <w:rsid w:val="00324CC3"/>
    <w:rsid w:val="00326E07"/>
    <w:rsid w:val="003279B2"/>
    <w:rsid w:val="003309FA"/>
    <w:rsid w:val="00333B9C"/>
    <w:rsid w:val="003345BB"/>
    <w:rsid w:val="00335409"/>
    <w:rsid w:val="00340DC4"/>
    <w:rsid w:val="003447D4"/>
    <w:rsid w:val="00344CDC"/>
    <w:rsid w:val="003456D0"/>
    <w:rsid w:val="00345868"/>
    <w:rsid w:val="003463FD"/>
    <w:rsid w:val="00347602"/>
    <w:rsid w:val="003508DB"/>
    <w:rsid w:val="00351E50"/>
    <w:rsid w:val="003529F1"/>
    <w:rsid w:val="00354864"/>
    <w:rsid w:val="00354D22"/>
    <w:rsid w:val="0035652E"/>
    <w:rsid w:val="003575EB"/>
    <w:rsid w:val="00363323"/>
    <w:rsid w:val="00363380"/>
    <w:rsid w:val="0036581A"/>
    <w:rsid w:val="0036773A"/>
    <w:rsid w:val="00367E6C"/>
    <w:rsid w:val="00370061"/>
    <w:rsid w:val="003700C8"/>
    <w:rsid w:val="00370B19"/>
    <w:rsid w:val="00377AC9"/>
    <w:rsid w:val="00377F38"/>
    <w:rsid w:val="00383DAD"/>
    <w:rsid w:val="0038449C"/>
    <w:rsid w:val="003863ED"/>
    <w:rsid w:val="00387DF4"/>
    <w:rsid w:val="0039021E"/>
    <w:rsid w:val="00390A0A"/>
    <w:rsid w:val="00394494"/>
    <w:rsid w:val="00394504"/>
    <w:rsid w:val="003A04DB"/>
    <w:rsid w:val="003A59FC"/>
    <w:rsid w:val="003A6982"/>
    <w:rsid w:val="003B033F"/>
    <w:rsid w:val="003B079D"/>
    <w:rsid w:val="003C0E08"/>
    <w:rsid w:val="003C23C6"/>
    <w:rsid w:val="003C4A4C"/>
    <w:rsid w:val="003C5B67"/>
    <w:rsid w:val="003C79F8"/>
    <w:rsid w:val="003C7A1D"/>
    <w:rsid w:val="003D0676"/>
    <w:rsid w:val="003D11C6"/>
    <w:rsid w:val="003D120F"/>
    <w:rsid w:val="003D2CDE"/>
    <w:rsid w:val="003D2E71"/>
    <w:rsid w:val="003D48AC"/>
    <w:rsid w:val="003D68F3"/>
    <w:rsid w:val="003E139F"/>
    <w:rsid w:val="003E1DA0"/>
    <w:rsid w:val="003E46A7"/>
    <w:rsid w:val="003E522D"/>
    <w:rsid w:val="003E6A28"/>
    <w:rsid w:val="003E7B06"/>
    <w:rsid w:val="003F07D3"/>
    <w:rsid w:val="003F215B"/>
    <w:rsid w:val="003F4B8C"/>
    <w:rsid w:val="003F5439"/>
    <w:rsid w:val="003F5734"/>
    <w:rsid w:val="003F7097"/>
    <w:rsid w:val="00401090"/>
    <w:rsid w:val="00401C70"/>
    <w:rsid w:val="00402E5F"/>
    <w:rsid w:val="00404A77"/>
    <w:rsid w:val="00404D19"/>
    <w:rsid w:val="004063FD"/>
    <w:rsid w:val="00407D15"/>
    <w:rsid w:val="00407DEA"/>
    <w:rsid w:val="004111CA"/>
    <w:rsid w:val="00414B7E"/>
    <w:rsid w:val="00415948"/>
    <w:rsid w:val="00417FF8"/>
    <w:rsid w:val="00420952"/>
    <w:rsid w:val="00422F26"/>
    <w:rsid w:val="0042674B"/>
    <w:rsid w:val="00426843"/>
    <w:rsid w:val="00426D9A"/>
    <w:rsid w:val="004302D9"/>
    <w:rsid w:val="00430705"/>
    <w:rsid w:val="004326B3"/>
    <w:rsid w:val="004330A6"/>
    <w:rsid w:val="00433ACA"/>
    <w:rsid w:val="004346FD"/>
    <w:rsid w:val="004355A3"/>
    <w:rsid w:val="00436FAD"/>
    <w:rsid w:val="004372E2"/>
    <w:rsid w:val="00437644"/>
    <w:rsid w:val="004401F3"/>
    <w:rsid w:val="00441478"/>
    <w:rsid w:val="00443080"/>
    <w:rsid w:val="00444F3D"/>
    <w:rsid w:val="00445454"/>
    <w:rsid w:val="00446616"/>
    <w:rsid w:val="0044756A"/>
    <w:rsid w:val="00450032"/>
    <w:rsid w:val="00450ABF"/>
    <w:rsid w:val="00450E60"/>
    <w:rsid w:val="00454AB5"/>
    <w:rsid w:val="00456286"/>
    <w:rsid w:val="0046273C"/>
    <w:rsid w:val="00462C7E"/>
    <w:rsid w:val="00462FE9"/>
    <w:rsid w:val="00463913"/>
    <w:rsid w:val="0046475A"/>
    <w:rsid w:val="00464DB8"/>
    <w:rsid w:val="00467430"/>
    <w:rsid w:val="00467786"/>
    <w:rsid w:val="004678C3"/>
    <w:rsid w:val="00472F0D"/>
    <w:rsid w:val="00474480"/>
    <w:rsid w:val="00475E83"/>
    <w:rsid w:val="004779E0"/>
    <w:rsid w:val="00480B97"/>
    <w:rsid w:val="00484B7A"/>
    <w:rsid w:val="00484D88"/>
    <w:rsid w:val="0048530D"/>
    <w:rsid w:val="0048678D"/>
    <w:rsid w:val="00490DFB"/>
    <w:rsid w:val="00492493"/>
    <w:rsid w:val="00494054"/>
    <w:rsid w:val="004943EE"/>
    <w:rsid w:val="00494694"/>
    <w:rsid w:val="004961BB"/>
    <w:rsid w:val="004A007F"/>
    <w:rsid w:val="004A7D4B"/>
    <w:rsid w:val="004B0EAB"/>
    <w:rsid w:val="004B267E"/>
    <w:rsid w:val="004B3366"/>
    <w:rsid w:val="004B42F8"/>
    <w:rsid w:val="004B5529"/>
    <w:rsid w:val="004C09AD"/>
    <w:rsid w:val="004C19BD"/>
    <w:rsid w:val="004C2116"/>
    <w:rsid w:val="004C21D5"/>
    <w:rsid w:val="004C3119"/>
    <w:rsid w:val="004C3763"/>
    <w:rsid w:val="004C3779"/>
    <w:rsid w:val="004C7A75"/>
    <w:rsid w:val="004D4B64"/>
    <w:rsid w:val="004D4EF3"/>
    <w:rsid w:val="004D559E"/>
    <w:rsid w:val="004D606C"/>
    <w:rsid w:val="004D6E56"/>
    <w:rsid w:val="004D7B22"/>
    <w:rsid w:val="004D7EA1"/>
    <w:rsid w:val="004E007A"/>
    <w:rsid w:val="004E181C"/>
    <w:rsid w:val="004E72E3"/>
    <w:rsid w:val="004E7D65"/>
    <w:rsid w:val="004F1AF9"/>
    <w:rsid w:val="004F3275"/>
    <w:rsid w:val="004F34D7"/>
    <w:rsid w:val="004F350C"/>
    <w:rsid w:val="004F5B78"/>
    <w:rsid w:val="004F7C68"/>
    <w:rsid w:val="00502771"/>
    <w:rsid w:val="005032E5"/>
    <w:rsid w:val="00504EFA"/>
    <w:rsid w:val="0050501E"/>
    <w:rsid w:val="005061FE"/>
    <w:rsid w:val="0050728A"/>
    <w:rsid w:val="00507C55"/>
    <w:rsid w:val="00507F6F"/>
    <w:rsid w:val="005111AE"/>
    <w:rsid w:val="00511E34"/>
    <w:rsid w:val="00514708"/>
    <w:rsid w:val="00514DF6"/>
    <w:rsid w:val="0051535F"/>
    <w:rsid w:val="005175BB"/>
    <w:rsid w:val="00517BC8"/>
    <w:rsid w:val="00517C19"/>
    <w:rsid w:val="00527B41"/>
    <w:rsid w:val="00530FF6"/>
    <w:rsid w:val="00531802"/>
    <w:rsid w:val="00532FAB"/>
    <w:rsid w:val="00533A05"/>
    <w:rsid w:val="0053555A"/>
    <w:rsid w:val="005400E2"/>
    <w:rsid w:val="00541A8E"/>
    <w:rsid w:val="0054359A"/>
    <w:rsid w:val="00543C30"/>
    <w:rsid w:val="0054479F"/>
    <w:rsid w:val="00546012"/>
    <w:rsid w:val="00546BEF"/>
    <w:rsid w:val="005511A9"/>
    <w:rsid w:val="00553E9A"/>
    <w:rsid w:val="005617FA"/>
    <w:rsid w:val="00561975"/>
    <w:rsid w:val="00561CB4"/>
    <w:rsid w:val="00566082"/>
    <w:rsid w:val="00570DB6"/>
    <w:rsid w:val="00572ACF"/>
    <w:rsid w:val="00572DA9"/>
    <w:rsid w:val="005748A2"/>
    <w:rsid w:val="00575821"/>
    <w:rsid w:val="005770B9"/>
    <w:rsid w:val="0058068D"/>
    <w:rsid w:val="00582DDB"/>
    <w:rsid w:val="00584061"/>
    <w:rsid w:val="00584D49"/>
    <w:rsid w:val="00584E63"/>
    <w:rsid w:val="00585163"/>
    <w:rsid w:val="00585765"/>
    <w:rsid w:val="00586D28"/>
    <w:rsid w:val="005871AA"/>
    <w:rsid w:val="00587318"/>
    <w:rsid w:val="00587AD1"/>
    <w:rsid w:val="0059046E"/>
    <w:rsid w:val="00590ED3"/>
    <w:rsid w:val="0059199D"/>
    <w:rsid w:val="00593396"/>
    <w:rsid w:val="00593E67"/>
    <w:rsid w:val="00594512"/>
    <w:rsid w:val="00595968"/>
    <w:rsid w:val="005965A6"/>
    <w:rsid w:val="00597097"/>
    <w:rsid w:val="005A1367"/>
    <w:rsid w:val="005B19C1"/>
    <w:rsid w:val="005B62C7"/>
    <w:rsid w:val="005B77A2"/>
    <w:rsid w:val="005C038B"/>
    <w:rsid w:val="005C1491"/>
    <w:rsid w:val="005C1B7F"/>
    <w:rsid w:val="005C20A4"/>
    <w:rsid w:val="005C5174"/>
    <w:rsid w:val="005C5C54"/>
    <w:rsid w:val="005C7AEE"/>
    <w:rsid w:val="005D02B7"/>
    <w:rsid w:val="005D1767"/>
    <w:rsid w:val="005D2D90"/>
    <w:rsid w:val="005D36B3"/>
    <w:rsid w:val="005E100E"/>
    <w:rsid w:val="005E2CF5"/>
    <w:rsid w:val="005E4351"/>
    <w:rsid w:val="005E6626"/>
    <w:rsid w:val="005E6720"/>
    <w:rsid w:val="005E782A"/>
    <w:rsid w:val="005F0D56"/>
    <w:rsid w:val="005F1A3C"/>
    <w:rsid w:val="005F1B9B"/>
    <w:rsid w:val="005F5A12"/>
    <w:rsid w:val="005F5F54"/>
    <w:rsid w:val="0060009A"/>
    <w:rsid w:val="00601514"/>
    <w:rsid w:val="00602E2F"/>
    <w:rsid w:val="00603C01"/>
    <w:rsid w:val="00604E03"/>
    <w:rsid w:val="006061EE"/>
    <w:rsid w:val="00607092"/>
    <w:rsid w:val="00607761"/>
    <w:rsid w:val="00614094"/>
    <w:rsid w:val="0061549F"/>
    <w:rsid w:val="00616098"/>
    <w:rsid w:val="00616BDD"/>
    <w:rsid w:val="0062292B"/>
    <w:rsid w:val="00625CF9"/>
    <w:rsid w:val="00626844"/>
    <w:rsid w:val="00630616"/>
    <w:rsid w:val="00630E77"/>
    <w:rsid w:val="00631033"/>
    <w:rsid w:val="00631F15"/>
    <w:rsid w:val="00633E62"/>
    <w:rsid w:val="00634809"/>
    <w:rsid w:val="006355F0"/>
    <w:rsid w:val="00636FF4"/>
    <w:rsid w:val="006416E1"/>
    <w:rsid w:val="00641B4C"/>
    <w:rsid w:val="0064562D"/>
    <w:rsid w:val="00647294"/>
    <w:rsid w:val="00650E86"/>
    <w:rsid w:val="006520F6"/>
    <w:rsid w:val="00652A88"/>
    <w:rsid w:val="00652BA1"/>
    <w:rsid w:val="00653FD4"/>
    <w:rsid w:val="00657C3D"/>
    <w:rsid w:val="00665B03"/>
    <w:rsid w:val="00665F63"/>
    <w:rsid w:val="006664E6"/>
    <w:rsid w:val="00666789"/>
    <w:rsid w:val="00670275"/>
    <w:rsid w:val="006729BE"/>
    <w:rsid w:val="00672EFA"/>
    <w:rsid w:val="00675D04"/>
    <w:rsid w:val="00676907"/>
    <w:rsid w:val="00676B0F"/>
    <w:rsid w:val="006772F9"/>
    <w:rsid w:val="00677723"/>
    <w:rsid w:val="00681A38"/>
    <w:rsid w:val="00683630"/>
    <w:rsid w:val="0068546F"/>
    <w:rsid w:val="00686042"/>
    <w:rsid w:val="00690C48"/>
    <w:rsid w:val="006924EB"/>
    <w:rsid w:val="006973C3"/>
    <w:rsid w:val="006A4E37"/>
    <w:rsid w:val="006B24F8"/>
    <w:rsid w:val="006B46C3"/>
    <w:rsid w:val="006B5D97"/>
    <w:rsid w:val="006B628B"/>
    <w:rsid w:val="006B6907"/>
    <w:rsid w:val="006B7F3E"/>
    <w:rsid w:val="006C08AA"/>
    <w:rsid w:val="006C1ABB"/>
    <w:rsid w:val="006C2CF1"/>
    <w:rsid w:val="006C4BF0"/>
    <w:rsid w:val="006C6EC6"/>
    <w:rsid w:val="006D2B17"/>
    <w:rsid w:val="006D3B2D"/>
    <w:rsid w:val="006D572D"/>
    <w:rsid w:val="006D5EB5"/>
    <w:rsid w:val="006D656C"/>
    <w:rsid w:val="006D7F8A"/>
    <w:rsid w:val="006E19BA"/>
    <w:rsid w:val="006E60E7"/>
    <w:rsid w:val="006E6DEC"/>
    <w:rsid w:val="006E7108"/>
    <w:rsid w:val="006E7E45"/>
    <w:rsid w:val="006F1E53"/>
    <w:rsid w:val="006F1E85"/>
    <w:rsid w:val="006F223B"/>
    <w:rsid w:val="006F437D"/>
    <w:rsid w:val="006F7421"/>
    <w:rsid w:val="00700FD3"/>
    <w:rsid w:val="007016AC"/>
    <w:rsid w:val="00701DC4"/>
    <w:rsid w:val="00704F34"/>
    <w:rsid w:val="0070504E"/>
    <w:rsid w:val="007053C9"/>
    <w:rsid w:val="007075CA"/>
    <w:rsid w:val="00707C12"/>
    <w:rsid w:val="00707ED2"/>
    <w:rsid w:val="007118E9"/>
    <w:rsid w:val="00711AC9"/>
    <w:rsid w:val="00714B92"/>
    <w:rsid w:val="00715744"/>
    <w:rsid w:val="00717FD9"/>
    <w:rsid w:val="007215F9"/>
    <w:rsid w:val="00722268"/>
    <w:rsid w:val="00722565"/>
    <w:rsid w:val="0072356D"/>
    <w:rsid w:val="00725663"/>
    <w:rsid w:val="0072601C"/>
    <w:rsid w:val="007307CF"/>
    <w:rsid w:val="0073155B"/>
    <w:rsid w:val="00736206"/>
    <w:rsid w:val="00737D01"/>
    <w:rsid w:val="0074113C"/>
    <w:rsid w:val="00743369"/>
    <w:rsid w:val="00743500"/>
    <w:rsid w:val="00745002"/>
    <w:rsid w:val="00751E45"/>
    <w:rsid w:val="00753C7E"/>
    <w:rsid w:val="0075450B"/>
    <w:rsid w:val="00754AF9"/>
    <w:rsid w:val="00756D34"/>
    <w:rsid w:val="0076217B"/>
    <w:rsid w:val="00765467"/>
    <w:rsid w:val="007659EB"/>
    <w:rsid w:val="0076600A"/>
    <w:rsid w:val="00766196"/>
    <w:rsid w:val="00766B0C"/>
    <w:rsid w:val="007670F0"/>
    <w:rsid w:val="00767CC3"/>
    <w:rsid w:val="007739DE"/>
    <w:rsid w:val="00773FE7"/>
    <w:rsid w:val="00774A2C"/>
    <w:rsid w:val="0078034C"/>
    <w:rsid w:val="007810A8"/>
    <w:rsid w:val="007815E9"/>
    <w:rsid w:val="007832B4"/>
    <w:rsid w:val="00783AEC"/>
    <w:rsid w:val="007847B4"/>
    <w:rsid w:val="00785341"/>
    <w:rsid w:val="0078611A"/>
    <w:rsid w:val="0078634D"/>
    <w:rsid w:val="007872B4"/>
    <w:rsid w:val="00787318"/>
    <w:rsid w:val="007875BE"/>
    <w:rsid w:val="0079076B"/>
    <w:rsid w:val="00791E76"/>
    <w:rsid w:val="00792A0B"/>
    <w:rsid w:val="007932AE"/>
    <w:rsid w:val="007935D5"/>
    <w:rsid w:val="00794B2F"/>
    <w:rsid w:val="00795174"/>
    <w:rsid w:val="007A32D9"/>
    <w:rsid w:val="007A3517"/>
    <w:rsid w:val="007A42FE"/>
    <w:rsid w:val="007A4429"/>
    <w:rsid w:val="007A5DEA"/>
    <w:rsid w:val="007B130E"/>
    <w:rsid w:val="007B2FF6"/>
    <w:rsid w:val="007B6FE8"/>
    <w:rsid w:val="007C046A"/>
    <w:rsid w:val="007C0EA0"/>
    <w:rsid w:val="007C20A2"/>
    <w:rsid w:val="007C5CDC"/>
    <w:rsid w:val="007D0749"/>
    <w:rsid w:val="007D0C0C"/>
    <w:rsid w:val="007D3DA7"/>
    <w:rsid w:val="007D43E0"/>
    <w:rsid w:val="007D4C95"/>
    <w:rsid w:val="007D5EE9"/>
    <w:rsid w:val="007D6174"/>
    <w:rsid w:val="007D66D0"/>
    <w:rsid w:val="007D6B57"/>
    <w:rsid w:val="007D7C5C"/>
    <w:rsid w:val="007E041B"/>
    <w:rsid w:val="007E0FCB"/>
    <w:rsid w:val="007E4E15"/>
    <w:rsid w:val="007F079D"/>
    <w:rsid w:val="007F0AF1"/>
    <w:rsid w:val="007F162C"/>
    <w:rsid w:val="007F1826"/>
    <w:rsid w:val="007F20DE"/>
    <w:rsid w:val="007F3413"/>
    <w:rsid w:val="007F5AE1"/>
    <w:rsid w:val="007F799F"/>
    <w:rsid w:val="008001A2"/>
    <w:rsid w:val="00801CBF"/>
    <w:rsid w:val="00802B8C"/>
    <w:rsid w:val="0080383A"/>
    <w:rsid w:val="00805BE8"/>
    <w:rsid w:val="00807BCC"/>
    <w:rsid w:val="0081092A"/>
    <w:rsid w:val="00811897"/>
    <w:rsid w:val="008130AC"/>
    <w:rsid w:val="00815487"/>
    <w:rsid w:val="00816EE6"/>
    <w:rsid w:val="00820AEB"/>
    <w:rsid w:val="00822DE5"/>
    <w:rsid w:val="008239CC"/>
    <w:rsid w:val="00823A01"/>
    <w:rsid w:val="0082482C"/>
    <w:rsid w:val="0082707F"/>
    <w:rsid w:val="00830FAB"/>
    <w:rsid w:val="0083169F"/>
    <w:rsid w:val="00832028"/>
    <w:rsid w:val="00834B85"/>
    <w:rsid w:val="008351F6"/>
    <w:rsid w:val="00836F8A"/>
    <w:rsid w:val="008417ED"/>
    <w:rsid w:val="00841A2D"/>
    <w:rsid w:val="00843A9C"/>
    <w:rsid w:val="00844C0D"/>
    <w:rsid w:val="00844F22"/>
    <w:rsid w:val="0084576D"/>
    <w:rsid w:val="0084643D"/>
    <w:rsid w:val="00847141"/>
    <w:rsid w:val="00847B18"/>
    <w:rsid w:val="00847BA0"/>
    <w:rsid w:val="008521B0"/>
    <w:rsid w:val="00852647"/>
    <w:rsid w:val="0085353A"/>
    <w:rsid w:val="0085415B"/>
    <w:rsid w:val="00854754"/>
    <w:rsid w:val="00855B99"/>
    <w:rsid w:val="008563AA"/>
    <w:rsid w:val="00856BA6"/>
    <w:rsid w:val="0086082D"/>
    <w:rsid w:val="00861E54"/>
    <w:rsid w:val="00862AC4"/>
    <w:rsid w:val="00863399"/>
    <w:rsid w:val="008639B9"/>
    <w:rsid w:val="008653F4"/>
    <w:rsid w:val="008731A7"/>
    <w:rsid w:val="008765DD"/>
    <w:rsid w:val="00876C75"/>
    <w:rsid w:val="00880487"/>
    <w:rsid w:val="008821CA"/>
    <w:rsid w:val="0089079A"/>
    <w:rsid w:val="008914A2"/>
    <w:rsid w:val="00894088"/>
    <w:rsid w:val="00896E3D"/>
    <w:rsid w:val="00896E48"/>
    <w:rsid w:val="00897BA6"/>
    <w:rsid w:val="008A4A72"/>
    <w:rsid w:val="008A74B6"/>
    <w:rsid w:val="008B1021"/>
    <w:rsid w:val="008B3F5A"/>
    <w:rsid w:val="008B487D"/>
    <w:rsid w:val="008B61FF"/>
    <w:rsid w:val="008B6E14"/>
    <w:rsid w:val="008B731D"/>
    <w:rsid w:val="008B7BAD"/>
    <w:rsid w:val="008C04AC"/>
    <w:rsid w:val="008C2A0B"/>
    <w:rsid w:val="008C3B4F"/>
    <w:rsid w:val="008C40B7"/>
    <w:rsid w:val="008C5163"/>
    <w:rsid w:val="008C540F"/>
    <w:rsid w:val="008C7B36"/>
    <w:rsid w:val="008D0766"/>
    <w:rsid w:val="008D0B59"/>
    <w:rsid w:val="008D0CC1"/>
    <w:rsid w:val="008D120D"/>
    <w:rsid w:val="008D19B6"/>
    <w:rsid w:val="008D2828"/>
    <w:rsid w:val="008D29B9"/>
    <w:rsid w:val="008D5C2B"/>
    <w:rsid w:val="008D6884"/>
    <w:rsid w:val="008E0E94"/>
    <w:rsid w:val="008E157B"/>
    <w:rsid w:val="008E40EF"/>
    <w:rsid w:val="008E6A4A"/>
    <w:rsid w:val="008E7F18"/>
    <w:rsid w:val="008F6BDF"/>
    <w:rsid w:val="008F756B"/>
    <w:rsid w:val="00902C1E"/>
    <w:rsid w:val="00904D8E"/>
    <w:rsid w:val="00905EF0"/>
    <w:rsid w:val="00906419"/>
    <w:rsid w:val="00910B3E"/>
    <w:rsid w:val="00910F87"/>
    <w:rsid w:val="00912C8D"/>
    <w:rsid w:val="009141A0"/>
    <w:rsid w:val="00914EBA"/>
    <w:rsid w:val="00916A2D"/>
    <w:rsid w:val="00916C6D"/>
    <w:rsid w:val="00921277"/>
    <w:rsid w:val="009242D7"/>
    <w:rsid w:val="00925974"/>
    <w:rsid w:val="00927615"/>
    <w:rsid w:val="00930CEC"/>
    <w:rsid w:val="009344BC"/>
    <w:rsid w:val="00934592"/>
    <w:rsid w:val="00935A0A"/>
    <w:rsid w:val="00935BFE"/>
    <w:rsid w:val="00936EBD"/>
    <w:rsid w:val="00937F08"/>
    <w:rsid w:val="009401F0"/>
    <w:rsid w:val="00943247"/>
    <w:rsid w:val="009432DF"/>
    <w:rsid w:val="0094332C"/>
    <w:rsid w:val="00944DFD"/>
    <w:rsid w:val="0095177D"/>
    <w:rsid w:val="009527B9"/>
    <w:rsid w:val="009541EB"/>
    <w:rsid w:val="00954263"/>
    <w:rsid w:val="00954D6C"/>
    <w:rsid w:val="00955062"/>
    <w:rsid w:val="00955E23"/>
    <w:rsid w:val="00962DE1"/>
    <w:rsid w:val="00971C58"/>
    <w:rsid w:val="00972123"/>
    <w:rsid w:val="0097388D"/>
    <w:rsid w:val="009750FB"/>
    <w:rsid w:val="00977D9B"/>
    <w:rsid w:val="00980ECA"/>
    <w:rsid w:val="00982642"/>
    <w:rsid w:val="00991FDD"/>
    <w:rsid w:val="009925EE"/>
    <w:rsid w:val="0099286C"/>
    <w:rsid w:val="00992B9D"/>
    <w:rsid w:val="009959D3"/>
    <w:rsid w:val="00995C6C"/>
    <w:rsid w:val="009A112A"/>
    <w:rsid w:val="009A2AFE"/>
    <w:rsid w:val="009A37DE"/>
    <w:rsid w:val="009A44A0"/>
    <w:rsid w:val="009A5890"/>
    <w:rsid w:val="009A5D90"/>
    <w:rsid w:val="009A62D3"/>
    <w:rsid w:val="009A717F"/>
    <w:rsid w:val="009B208C"/>
    <w:rsid w:val="009B20E0"/>
    <w:rsid w:val="009B545B"/>
    <w:rsid w:val="009B6A9F"/>
    <w:rsid w:val="009C0835"/>
    <w:rsid w:val="009C22C0"/>
    <w:rsid w:val="009C2459"/>
    <w:rsid w:val="009C2824"/>
    <w:rsid w:val="009C2B8B"/>
    <w:rsid w:val="009C32C2"/>
    <w:rsid w:val="009C379A"/>
    <w:rsid w:val="009C37B7"/>
    <w:rsid w:val="009C38C3"/>
    <w:rsid w:val="009C563B"/>
    <w:rsid w:val="009D0D25"/>
    <w:rsid w:val="009D47A0"/>
    <w:rsid w:val="009E08C1"/>
    <w:rsid w:val="009E0B3E"/>
    <w:rsid w:val="009E2306"/>
    <w:rsid w:val="009E2776"/>
    <w:rsid w:val="009E4769"/>
    <w:rsid w:val="009E6DBC"/>
    <w:rsid w:val="009E7131"/>
    <w:rsid w:val="009E7F75"/>
    <w:rsid w:val="009F3BC0"/>
    <w:rsid w:val="009F4F93"/>
    <w:rsid w:val="009F5A43"/>
    <w:rsid w:val="00A01570"/>
    <w:rsid w:val="00A02A5D"/>
    <w:rsid w:val="00A02D70"/>
    <w:rsid w:val="00A03367"/>
    <w:rsid w:val="00A11611"/>
    <w:rsid w:val="00A12FE3"/>
    <w:rsid w:val="00A13E14"/>
    <w:rsid w:val="00A3089F"/>
    <w:rsid w:val="00A35435"/>
    <w:rsid w:val="00A36774"/>
    <w:rsid w:val="00A37E6B"/>
    <w:rsid w:val="00A47DD6"/>
    <w:rsid w:val="00A53C47"/>
    <w:rsid w:val="00A54208"/>
    <w:rsid w:val="00A55127"/>
    <w:rsid w:val="00A55AD2"/>
    <w:rsid w:val="00A55E8A"/>
    <w:rsid w:val="00A5718C"/>
    <w:rsid w:val="00A60560"/>
    <w:rsid w:val="00A6061F"/>
    <w:rsid w:val="00A60DE0"/>
    <w:rsid w:val="00A61B78"/>
    <w:rsid w:val="00A63A73"/>
    <w:rsid w:val="00A64CB1"/>
    <w:rsid w:val="00A66192"/>
    <w:rsid w:val="00A67E6C"/>
    <w:rsid w:val="00A728E6"/>
    <w:rsid w:val="00A73814"/>
    <w:rsid w:val="00A77A7E"/>
    <w:rsid w:val="00A805B8"/>
    <w:rsid w:val="00A81029"/>
    <w:rsid w:val="00A81AC7"/>
    <w:rsid w:val="00A82BCF"/>
    <w:rsid w:val="00A853D4"/>
    <w:rsid w:val="00A857EA"/>
    <w:rsid w:val="00A85AFC"/>
    <w:rsid w:val="00A85BA4"/>
    <w:rsid w:val="00A901D1"/>
    <w:rsid w:val="00A91AE4"/>
    <w:rsid w:val="00A92441"/>
    <w:rsid w:val="00A924B8"/>
    <w:rsid w:val="00A94257"/>
    <w:rsid w:val="00A95B88"/>
    <w:rsid w:val="00A95C52"/>
    <w:rsid w:val="00A95D6E"/>
    <w:rsid w:val="00A96484"/>
    <w:rsid w:val="00AA128E"/>
    <w:rsid w:val="00AA16AA"/>
    <w:rsid w:val="00AA4F85"/>
    <w:rsid w:val="00AA6665"/>
    <w:rsid w:val="00AA76C8"/>
    <w:rsid w:val="00AA78A7"/>
    <w:rsid w:val="00AB4376"/>
    <w:rsid w:val="00AB4638"/>
    <w:rsid w:val="00AB522A"/>
    <w:rsid w:val="00AB6BA6"/>
    <w:rsid w:val="00AB7CF9"/>
    <w:rsid w:val="00AC0DA2"/>
    <w:rsid w:val="00AC0FAF"/>
    <w:rsid w:val="00AC2663"/>
    <w:rsid w:val="00AC31B1"/>
    <w:rsid w:val="00AC49E8"/>
    <w:rsid w:val="00AC5B17"/>
    <w:rsid w:val="00AC6E33"/>
    <w:rsid w:val="00AC73B5"/>
    <w:rsid w:val="00AD2153"/>
    <w:rsid w:val="00AD35BC"/>
    <w:rsid w:val="00AE149B"/>
    <w:rsid w:val="00AE3EB3"/>
    <w:rsid w:val="00AF08FA"/>
    <w:rsid w:val="00AF3176"/>
    <w:rsid w:val="00B011B3"/>
    <w:rsid w:val="00B02658"/>
    <w:rsid w:val="00B0340B"/>
    <w:rsid w:val="00B04A34"/>
    <w:rsid w:val="00B04CF2"/>
    <w:rsid w:val="00B06790"/>
    <w:rsid w:val="00B06DF5"/>
    <w:rsid w:val="00B1053C"/>
    <w:rsid w:val="00B12802"/>
    <w:rsid w:val="00B14C25"/>
    <w:rsid w:val="00B15435"/>
    <w:rsid w:val="00B15D5B"/>
    <w:rsid w:val="00B16C19"/>
    <w:rsid w:val="00B21329"/>
    <w:rsid w:val="00B228AA"/>
    <w:rsid w:val="00B24991"/>
    <w:rsid w:val="00B26C09"/>
    <w:rsid w:val="00B30C7B"/>
    <w:rsid w:val="00B31365"/>
    <w:rsid w:val="00B3272A"/>
    <w:rsid w:val="00B32ED5"/>
    <w:rsid w:val="00B33B52"/>
    <w:rsid w:val="00B35A81"/>
    <w:rsid w:val="00B4111C"/>
    <w:rsid w:val="00B41A0F"/>
    <w:rsid w:val="00B422BF"/>
    <w:rsid w:val="00B432AD"/>
    <w:rsid w:val="00B45745"/>
    <w:rsid w:val="00B46C22"/>
    <w:rsid w:val="00B514F5"/>
    <w:rsid w:val="00B51A93"/>
    <w:rsid w:val="00B530DF"/>
    <w:rsid w:val="00B54A50"/>
    <w:rsid w:val="00B56AAC"/>
    <w:rsid w:val="00B62B21"/>
    <w:rsid w:val="00B63845"/>
    <w:rsid w:val="00B6727D"/>
    <w:rsid w:val="00B734E9"/>
    <w:rsid w:val="00B74704"/>
    <w:rsid w:val="00B74B17"/>
    <w:rsid w:val="00B75DDB"/>
    <w:rsid w:val="00B80106"/>
    <w:rsid w:val="00B80370"/>
    <w:rsid w:val="00B8065E"/>
    <w:rsid w:val="00B83145"/>
    <w:rsid w:val="00B84547"/>
    <w:rsid w:val="00B84D5F"/>
    <w:rsid w:val="00B85057"/>
    <w:rsid w:val="00B87AAB"/>
    <w:rsid w:val="00B9391E"/>
    <w:rsid w:val="00B95B74"/>
    <w:rsid w:val="00B9641F"/>
    <w:rsid w:val="00B96D9A"/>
    <w:rsid w:val="00BA2113"/>
    <w:rsid w:val="00BA30D6"/>
    <w:rsid w:val="00BA6B35"/>
    <w:rsid w:val="00BB2738"/>
    <w:rsid w:val="00BB71C1"/>
    <w:rsid w:val="00BC3CAB"/>
    <w:rsid w:val="00BD0690"/>
    <w:rsid w:val="00BD0DCC"/>
    <w:rsid w:val="00BD0F85"/>
    <w:rsid w:val="00BD0FE6"/>
    <w:rsid w:val="00BD34F8"/>
    <w:rsid w:val="00BD41FF"/>
    <w:rsid w:val="00BD4613"/>
    <w:rsid w:val="00BD576E"/>
    <w:rsid w:val="00BD7F32"/>
    <w:rsid w:val="00BE61F8"/>
    <w:rsid w:val="00BE6904"/>
    <w:rsid w:val="00BF0857"/>
    <w:rsid w:val="00BF0CDF"/>
    <w:rsid w:val="00BF19F1"/>
    <w:rsid w:val="00BF32AA"/>
    <w:rsid w:val="00BF3CB9"/>
    <w:rsid w:val="00BF438D"/>
    <w:rsid w:val="00C001D6"/>
    <w:rsid w:val="00C003D7"/>
    <w:rsid w:val="00C00D3D"/>
    <w:rsid w:val="00C014A0"/>
    <w:rsid w:val="00C0268D"/>
    <w:rsid w:val="00C02CC1"/>
    <w:rsid w:val="00C02DFD"/>
    <w:rsid w:val="00C04AAA"/>
    <w:rsid w:val="00C05086"/>
    <w:rsid w:val="00C050DE"/>
    <w:rsid w:val="00C05C94"/>
    <w:rsid w:val="00C07F0C"/>
    <w:rsid w:val="00C10ABA"/>
    <w:rsid w:val="00C112C2"/>
    <w:rsid w:val="00C1166C"/>
    <w:rsid w:val="00C120F3"/>
    <w:rsid w:val="00C163B2"/>
    <w:rsid w:val="00C17D25"/>
    <w:rsid w:val="00C201B2"/>
    <w:rsid w:val="00C2235F"/>
    <w:rsid w:val="00C23B08"/>
    <w:rsid w:val="00C25825"/>
    <w:rsid w:val="00C27CFB"/>
    <w:rsid w:val="00C301F9"/>
    <w:rsid w:val="00C339F1"/>
    <w:rsid w:val="00C35CAE"/>
    <w:rsid w:val="00C37DBE"/>
    <w:rsid w:val="00C40BA6"/>
    <w:rsid w:val="00C41309"/>
    <w:rsid w:val="00C4149B"/>
    <w:rsid w:val="00C4694D"/>
    <w:rsid w:val="00C46BD7"/>
    <w:rsid w:val="00C50944"/>
    <w:rsid w:val="00C51A37"/>
    <w:rsid w:val="00C51E3E"/>
    <w:rsid w:val="00C61525"/>
    <w:rsid w:val="00C643D6"/>
    <w:rsid w:val="00C64683"/>
    <w:rsid w:val="00C67DE8"/>
    <w:rsid w:val="00C7114B"/>
    <w:rsid w:val="00C71F64"/>
    <w:rsid w:val="00C73B5D"/>
    <w:rsid w:val="00C7413B"/>
    <w:rsid w:val="00C74AE0"/>
    <w:rsid w:val="00C76D88"/>
    <w:rsid w:val="00C77077"/>
    <w:rsid w:val="00C813EA"/>
    <w:rsid w:val="00C83DAA"/>
    <w:rsid w:val="00C85F05"/>
    <w:rsid w:val="00C86B07"/>
    <w:rsid w:val="00C86C11"/>
    <w:rsid w:val="00C910C0"/>
    <w:rsid w:val="00C93B94"/>
    <w:rsid w:val="00C9570D"/>
    <w:rsid w:val="00C958FA"/>
    <w:rsid w:val="00C96D45"/>
    <w:rsid w:val="00CA0910"/>
    <w:rsid w:val="00CA26EC"/>
    <w:rsid w:val="00CA5B39"/>
    <w:rsid w:val="00CA6AB4"/>
    <w:rsid w:val="00CB68D2"/>
    <w:rsid w:val="00CB6F40"/>
    <w:rsid w:val="00CC1867"/>
    <w:rsid w:val="00CC2AD9"/>
    <w:rsid w:val="00CC4469"/>
    <w:rsid w:val="00CC49A3"/>
    <w:rsid w:val="00CC5C02"/>
    <w:rsid w:val="00CC6967"/>
    <w:rsid w:val="00CC77BF"/>
    <w:rsid w:val="00CC77C5"/>
    <w:rsid w:val="00CD1337"/>
    <w:rsid w:val="00CD3E60"/>
    <w:rsid w:val="00CE0982"/>
    <w:rsid w:val="00CE1F70"/>
    <w:rsid w:val="00CE3B9D"/>
    <w:rsid w:val="00CE75B8"/>
    <w:rsid w:val="00CE76B4"/>
    <w:rsid w:val="00CE7B4A"/>
    <w:rsid w:val="00CF0C5A"/>
    <w:rsid w:val="00CF33AE"/>
    <w:rsid w:val="00CF4B0F"/>
    <w:rsid w:val="00D01299"/>
    <w:rsid w:val="00D02B18"/>
    <w:rsid w:val="00D05553"/>
    <w:rsid w:val="00D07F1E"/>
    <w:rsid w:val="00D11B83"/>
    <w:rsid w:val="00D13925"/>
    <w:rsid w:val="00D143D2"/>
    <w:rsid w:val="00D157F3"/>
    <w:rsid w:val="00D20583"/>
    <w:rsid w:val="00D22ED9"/>
    <w:rsid w:val="00D236CB"/>
    <w:rsid w:val="00D24739"/>
    <w:rsid w:val="00D25B11"/>
    <w:rsid w:val="00D30C66"/>
    <w:rsid w:val="00D33333"/>
    <w:rsid w:val="00D33F24"/>
    <w:rsid w:val="00D351A1"/>
    <w:rsid w:val="00D378F3"/>
    <w:rsid w:val="00D40FCC"/>
    <w:rsid w:val="00D4108D"/>
    <w:rsid w:val="00D42592"/>
    <w:rsid w:val="00D42733"/>
    <w:rsid w:val="00D43853"/>
    <w:rsid w:val="00D46880"/>
    <w:rsid w:val="00D46980"/>
    <w:rsid w:val="00D51196"/>
    <w:rsid w:val="00D513DC"/>
    <w:rsid w:val="00D5224F"/>
    <w:rsid w:val="00D55198"/>
    <w:rsid w:val="00D55771"/>
    <w:rsid w:val="00D55901"/>
    <w:rsid w:val="00D55E0F"/>
    <w:rsid w:val="00D56A62"/>
    <w:rsid w:val="00D61877"/>
    <w:rsid w:val="00D61A46"/>
    <w:rsid w:val="00D61DA8"/>
    <w:rsid w:val="00D62B47"/>
    <w:rsid w:val="00D6416C"/>
    <w:rsid w:val="00D64E68"/>
    <w:rsid w:val="00D7055C"/>
    <w:rsid w:val="00D70562"/>
    <w:rsid w:val="00D717EB"/>
    <w:rsid w:val="00D72B0A"/>
    <w:rsid w:val="00D73CB3"/>
    <w:rsid w:val="00D80309"/>
    <w:rsid w:val="00D80787"/>
    <w:rsid w:val="00D815B5"/>
    <w:rsid w:val="00D83929"/>
    <w:rsid w:val="00D843EC"/>
    <w:rsid w:val="00D85EA1"/>
    <w:rsid w:val="00D872B4"/>
    <w:rsid w:val="00D87814"/>
    <w:rsid w:val="00D8792B"/>
    <w:rsid w:val="00D943E5"/>
    <w:rsid w:val="00D94418"/>
    <w:rsid w:val="00D95E46"/>
    <w:rsid w:val="00D96153"/>
    <w:rsid w:val="00DA1A67"/>
    <w:rsid w:val="00DA3361"/>
    <w:rsid w:val="00DA3C40"/>
    <w:rsid w:val="00DA3E35"/>
    <w:rsid w:val="00DA4481"/>
    <w:rsid w:val="00DA5A10"/>
    <w:rsid w:val="00DA5B9C"/>
    <w:rsid w:val="00DA6C19"/>
    <w:rsid w:val="00DA71D8"/>
    <w:rsid w:val="00DA7820"/>
    <w:rsid w:val="00DB0EE7"/>
    <w:rsid w:val="00DB24C0"/>
    <w:rsid w:val="00DB2AD4"/>
    <w:rsid w:val="00DB339C"/>
    <w:rsid w:val="00DB33B7"/>
    <w:rsid w:val="00DB47FE"/>
    <w:rsid w:val="00DB6220"/>
    <w:rsid w:val="00DB63ED"/>
    <w:rsid w:val="00DC01E8"/>
    <w:rsid w:val="00DC1A06"/>
    <w:rsid w:val="00DC1FCE"/>
    <w:rsid w:val="00DC2956"/>
    <w:rsid w:val="00DC3CDF"/>
    <w:rsid w:val="00DC4858"/>
    <w:rsid w:val="00DC5971"/>
    <w:rsid w:val="00DC5CB2"/>
    <w:rsid w:val="00DC5D03"/>
    <w:rsid w:val="00DC7158"/>
    <w:rsid w:val="00DC71FD"/>
    <w:rsid w:val="00DD054B"/>
    <w:rsid w:val="00DD081C"/>
    <w:rsid w:val="00DD0B6E"/>
    <w:rsid w:val="00DD2A7D"/>
    <w:rsid w:val="00DD5D49"/>
    <w:rsid w:val="00DD76AE"/>
    <w:rsid w:val="00DE0013"/>
    <w:rsid w:val="00DE395E"/>
    <w:rsid w:val="00DE3EC1"/>
    <w:rsid w:val="00DE4CDD"/>
    <w:rsid w:val="00DE59BD"/>
    <w:rsid w:val="00DE6353"/>
    <w:rsid w:val="00DE6A6E"/>
    <w:rsid w:val="00DF0534"/>
    <w:rsid w:val="00DF11E0"/>
    <w:rsid w:val="00DF4D26"/>
    <w:rsid w:val="00DF540E"/>
    <w:rsid w:val="00DF6B4A"/>
    <w:rsid w:val="00E004A0"/>
    <w:rsid w:val="00E00A09"/>
    <w:rsid w:val="00E01D37"/>
    <w:rsid w:val="00E02A04"/>
    <w:rsid w:val="00E0620E"/>
    <w:rsid w:val="00E06EDC"/>
    <w:rsid w:val="00E07B4D"/>
    <w:rsid w:val="00E13434"/>
    <w:rsid w:val="00E14EF9"/>
    <w:rsid w:val="00E17040"/>
    <w:rsid w:val="00E21BE2"/>
    <w:rsid w:val="00E22233"/>
    <w:rsid w:val="00E30BEF"/>
    <w:rsid w:val="00E3254F"/>
    <w:rsid w:val="00E36A54"/>
    <w:rsid w:val="00E37542"/>
    <w:rsid w:val="00E37E66"/>
    <w:rsid w:val="00E41ED3"/>
    <w:rsid w:val="00E42485"/>
    <w:rsid w:val="00E4513D"/>
    <w:rsid w:val="00E4703E"/>
    <w:rsid w:val="00E54541"/>
    <w:rsid w:val="00E54759"/>
    <w:rsid w:val="00E56460"/>
    <w:rsid w:val="00E579C2"/>
    <w:rsid w:val="00E57D01"/>
    <w:rsid w:val="00E6129E"/>
    <w:rsid w:val="00E617E4"/>
    <w:rsid w:val="00E63762"/>
    <w:rsid w:val="00E65D07"/>
    <w:rsid w:val="00E714D4"/>
    <w:rsid w:val="00E74B07"/>
    <w:rsid w:val="00E74FD1"/>
    <w:rsid w:val="00E822AE"/>
    <w:rsid w:val="00E835B7"/>
    <w:rsid w:val="00E844BA"/>
    <w:rsid w:val="00E84C43"/>
    <w:rsid w:val="00E85298"/>
    <w:rsid w:val="00E94620"/>
    <w:rsid w:val="00E95982"/>
    <w:rsid w:val="00E959EF"/>
    <w:rsid w:val="00E97756"/>
    <w:rsid w:val="00EA21B8"/>
    <w:rsid w:val="00EA241B"/>
    <w:rsid w:val="00EA3188"/>
    <w:rsid w:val="00EB1097"/>
    <w:rsid w:val="00EB178C"/>
    <w:rsid w:val="00EB1A75"/>
    <w:rsid w:val="00EB2109"/>
    <w:rsid w:val="00EB2F30"/>
    <w:rsid w:val="00EB3FC0"/>
    <w:rsid w:val="00EB575E"/>
    <w:rsid w:val="00EB6B27"/>
    <w:rsid w:val="00EB6F46"/>
    <w:rsid w:val="00EB7596"/>
    <w:rsid w:val="00EC5864"/>
    <w:rsid w:val="00EC721B"/>
    <w:rsid w:val="00EC7B13"/>
    <w:rsid w:val="00ED0651"/>
    <w:rsid w:val="00ED0659"/>
    <w:rsid w:val="00ED0DF7"/>
    <w:rsid w:val="00ED43BA"/>
    <w:rsid w:val="00ED46BE"/>
    <w:rsid w:val="00ED4B47"/>
    <w:rsid w:val="00ED5865"/>
    <w:rsid w:val="00ED659C"/>
    <w:rsid w:val="00ED71C5"/>
    <w:rsid w:val="00EE0EB7"/>
    <w:rsid w:val="00EE123E"/>
    <w:rsid w:val="00EE30D5"/>
    <w:rsid w:val="00EE38F4"/>
    <w:rsid w:val="00EE76E7"/>
    <w:rsid w:val="00EF0F8B"/>
    <w:rsid w:val="00EF35B6"/>
    <w:rsid w:val="00EF44B1"/>
    <w:rsid w:val="00EF6E1B"/>
    <w:rsid w:val="00F01788"/>
    <w:rsid w:val="00F01E69"/>
    <w:rsid w:val="00F032DB"/>
    <w:rsid w:val="00F03E6C"/>
    <w:rsid w:val="00F04FB6"/>
    <w:rsid w:val="00F0789C"/>
    <w:rsid w:val="00F1060F"/>
    <w:rsid w:val="00F11695"/>
    <w:rsid w:val="00F11C85"/>
    <w:rsid w:val="00F130F1"/>
    <w:rsid w:val="00F136FA"/>
    <w:rsid w:val="00F15206"/>
    <w:rsid w:val="00F156EC"/>
    <w:rsid w:val="00F15AA5"/>
    <w:rsid w:val="00F1611B"/>
    <w:rsid w:val="00F16316"/>
    <w:rsid w:val="00F16751"/>
    <w:rsid w:val="00F218C6"/>
    <w:rsid w:val="00F22C0E"/>
    <w:rsid w:val="00F23FD4"/>
    <w:rsid w:val="00F3165B"/>
    <w:rsid w:val="00F31EAB"/>
    <w:rsid w:val="00F33061"/>
    <w:rsid w:val="00F3412A"/>
    <w:rsid w:val="00F356B8"/>
    <w:rsid w:val="00F40358"/>
    <w:rsid w:val="00F40A92"/>
    <w:rsid w:val="00F51788"/>
    <w:rsid w:val="00F5751F"/>
    <w:rsid w:val="00F636D7"/>
    <w:rsid w:val="00F64B72"/>
    <w:rsid w:val="00F66999"/>
    <w:rsid w:val="00F66F20"/>
    <w:rsid w:val="00F74089"/>
    <w:rsid w:val="00F84027"/>
    <w:rsid w:val="00F90F36"/>
    <w:rsid w:val="00F916A7"/>
    <w:rsid w:val="00F9233F"/>
    <w:rsid w:val="00F93279"/>
    <w:rsid w:val="00F93EEA"/>
    <w:rsid w:val="00F94E4C"/>
    <w:rsid w:val="00F97A47"/>
    <w:rsid w:val="00FA52EB"/>
    <w:rsid w:val="00FA66D3"/>
    <w:rsid w:val="00FA6882"/>
    <w:rsid w:val="00FA69BF"/>
    <w:rsid w:val="00FB0E54"/>
    <w:rsid w:val="00FB1B1B"/>
    <w:rsid w:val="00FB1C9F"/>
    <w:rsid w:val="00FB2FE1"/>
    <w:rsid w:val="00FB3919"/>
    <w:rsid w:val="00FB3F40"/>
    <w:rsid w:val="00FC0048"/>
    <w:rsid w:val="00FC225C"/>
    <w:rsid w:val="00FC2CEF"/>
    <w:rsid w:val="00FC367D"/>
    <w:rsid w:val="00FC5DB6"/>
    <w:rsid w:val="00FC6F64"/>
    <w:rsid w:val="00FC7A39"/>
    <w:rsid w:val="00FC7B9A"/>
    <w:rsid w:val="00FC7C3D"/>
    <w:rsid w:val="00FC7E54"/>
    <w:rsid w:val="00FD0804"/>
    <w:rsid w:val="00FD1F2A"/>
    <w:rsid w:val="00FE03F0"/>
    <w:rsid w:val="00FE28AC"/>
    <w:rsid w:val="00FF0BD3"/>
    <w:rsid w:val="00FF4164"/>
    <w:rsid w:val="00FF47E7"/>
    <w:rsid w:val="00FF5595"/>
    <w:rsid w:val="015F1201"/>
    <w:rsid w:val="01C42B8B"/>
    <w:rsid w:val="01CC1853"/>
    <w:rsid w:val="01CF5907"/>
    <w:rsid w:val="01DD293C"/>
    <w:rsid w:val="02223D56"/>
    <w:rsid w:val="026909DA"/>
    <w:rsid w:val="0280452E"/>
    <w:rsid w:val="028D72C6"/>
    <w:rsid w:val="02934EC9"/>
    <w:rsid w:val="029F0DC3"/>
    <w:rsid w:val="02A77699"/>
    <w:rsid w:val="02AB684F"/>
    <w:rsid w:val="02BD2848"/>
    <w:rsid w:val="02DF7EC7"/>
    <w:rsid w:val="031E05A8"/>
    <w:rsid w:val="034232EB"/>
    <w:rsid w:val="034467D7"/>
    <w:rsid w:val="034F5929"/>
    <w:rsid w:val="03561FFC"/>
    <w:rsid w:val="03BE5147"/>
    <w:rsid w:val="03C91CB1"/>
    <w:rsid w:val="03FD18F3"/>
    <w:rsid w:val="04122DBB"/>
    <w:rsid w:val="0413532D"/>
    <w:rsid w:val="043D7819"/>
    <w:rsid w:val="0449465E"/>
    <w:rsid w:val="045112CC"/>
    <w:rsid w:val="045F3831"/>
    <w:rsid w:val="046E32E1"/>
    <w:rsid w:val="04814925"/>
    <w:rsid w:val="04980002"/>
    <w:rsid w:val="04C14DB1"/>
    <w:rsid w:val="04F87939"/>
    <w:rsid w:val="052E47BF"/>
    <w:rsid w:val="053130DC"/>
    <w:rsid w:val="056D3B2F"/>
    <w:rsid w:val="05912635"/>
    <w:rsid w:val="05957468"/>
    <w:rsid w:val="05DC2389"/>
    <w:rsid w:val="05E4031A"/>
    <w:rsid w:val="05E6172F"/>
    <w:rsid w:val="05FB6FD2"/>
    <w:rsid w:val="062E0F1B"/>
    <w:rsid w:val="064E2776"/>
    <w:rsid w:val="06721CAA"/>
    <w:rsid w:val="069E3B75"/>
    <w:rsid w:val="06B814BD"/>
    <w:rsid w:val="06DB74A8"/>
    <w:rsid w:val="06E70523"/>
    <w:rsid w:val="06EF28AA"/>
    <w:rsid w:val="072A43AC"/>
    <w:rsid w:val="072C3B57"/>
    <w:rsid w:val="073330EB"/>
    <w:rsid w:val="07381CE9"/>
    <w:rsid w:val="0781799C"/>
    <w:rsid w:val="078515AD"/>
    <w:rsid w:val="079A538D"/>
    <w:rsid w:val="07AC7FF3"/>
    <w:rsid w:val="07B75C7A"/>
    <w:rsid w:val="07D84122"/>
    <w:rsid w:val="07EF1746"/>
    <w:rsid w:val="082D7C2E"/>
    <w:rsid w:val="0842480A"/>
    <w:rsid w:val="084A7B62"/>
    <w:rsid w:val="086523DB"/>
    <w:rsid w:val="088A1FCF"/>
    <w:rsid w:val="092B3C12"/>
    <w:rsid w:val="099230B7"/>
    <w:rsid w:val="099B1E08"/>
    <w:rsid w:val="099B612A"/>
    <w:rsid w:val="099C1EEA"/>
    <w:rsid w:val="0A504BEF"/>
    <w:rsid w:val="0A5417FC"/>
    <w:rsid w:val="0A6433A0"/>
    <w:rsid w:val="0A6F74F9"/>
    <w:rsid w:val="0A986E6C"/>
    <w:rsid w:val="0AB45C97"/>
    <w:rsid w:val="0AD025A1"/>
    <w:rsid w:val="0B197861"/>
    <w:rsid w:val="0B205D69"/>
    <w:rsid w:val="0B303654"/>
    <w:rsid w:val="0B34705C"/>
    <w:rsid w:val="0B741874"/>
    <w:rsid w:val="0BA131AF"/>
    <w:rsid w:val="0BB04573"/>
    <w:rsid w:val="0C651107"/>
    <w:rsid w:val="0C671832"/>
    <w:rsid w:val="0C8A49D1"/>
    <w:rsid w:val="0CB519DD"/>
    <w:rsid w:val="0CF05FB1"/>
    <w:rsid w:val="0CF75188"/>
    <w:rsid w:val="0CFB0CAB"/>
    <w:rsid w:val="0CFE2CC9"/>
    <w:rsid w:val="0D4A78E1"/>
    <w:rsid w:val="0D594D49"/>
    <w:rsid w:val="0D9211A5"/>
    <w:rsid w:val="0DA64377"/>
    <w:rsid w:val="0DDD4E04"/>
    <w:rsid w:val="0E056A05"/>
    <w:rsid w:val="0E15651D"/>
    <w:rsid w:val="0E164AD0"/>
    <w:rsid w:val="0E2953BD"/>
    <w:rsid w:val="0E463C8F"/>
    <w:rsid w:val="0E4E383A"/>
    <w:rsid w:val="0E656DBE"/>
    <w:rsid w:val="0EA459C1"/>
    <w:rsid w:val="0EAB3A23"/>
    <w:rsid w:val="0EF07245"/>
    <w:rsid w:val="0EFC65F0"/>
    <w:rsid w:val="0EFD5C86"/>
    <w:rsid w:val="0F2B50F0"/>
    <w:rsid w:val="0F7830FC"/>
    <w:rsid w:val="0F792704"/>
    <w:rsid w:val="0FBC0859"/>
    <w:rsid w:val="0FC95336"/>
    <w:rsid w:val="100C3D5F"/>
    <w:rsid w:val="10275B4D"/>
    <w:rsid w:val="105E5F6A"/>
    <w:rsid w:val="108A6FFC"/>
    <w:rsid w:val="10966A56"/>
    <w:rsid w:val="10A40863"/>
    <w:rsid w:val="10A9575B"/>
    <w:rsid w:val="10C16458"/>
    <w:rsid w:val="10CD5019"/>
    <w:rsid w:val="10F22330"/>
    <w:rsid w:val="110F02B5"/>
    <w:rsid w:val="111875FE"/>
    <w:rsid w:val="11445048"/>
    <w:rsid w:val="117F40E6"/>
    <w:rsid w:val="118216C9"/>
    <w:rsid w:val="11F72F52"/>
    <w:rsid w:val="12107985"/>
    <w:rsid w:val="1229550F"/>
    <w:rsid w:val="122E2240"/>
    <w:rsid w:val="125C3754"/>
    <w:rsid w:val="127B4E92"/>
    <w:rsid w:val="12CD3DE7"/>
    <w:rsid w:val="12CF57B7"/>
    <w:rsid w:val="131F7AE2"/>
    <w:rsid w:val="13342D86"/>
    <w:rsid w:val="1383723A"/>
    <w:rsid w:val="13910B38"/>
    <w:rsid w:val="13944698"/>
    <w:rsid w:val="139804D3"/>
    <w:rsid w:val="13B037CA"/>
    <w:rsid w:val="13CD299C"/>
    <w:rsid w:val="13F13BBF"/>
    <w:rsid w:val="13F221E1"/>
    <w:rsid w:val="1416763E"/>
    <w:rsid w:val="141F1A6B"/>
    <w:rsid w:val="146F0828"/>
    <w:rsid w:val="1483464A"/>
    <w:rsid w:val="149C77C4"/>
    <w:rsid w:val="14B00D4D"/>
    <w:rsid w:val="14C70F84"/>
    <w:rsid w:val="14F275B8"/>
    <w:rsid w:val="14F4113D"/>
    <w:rsid w:val="14F5548A"/>
    <w:rsid w:val="15222CE2"/>
    <w:rsid w:val="152C70E7"/>
    <w:rsid w:val="15390271"/>
    <w:rsid w:val="154635CB"/>
    <w:rsid w:val="15485B86"/>
    <w:rsid w:val="159B0E41"/>
    <w:rsid w:val="15B01872"/>
    <w:rsid w:val="15B851A0"/>
    <w:rsid w:val="15C40F54"/>
    <w:rsid w:val="15EB41C8"/>
    <w:rsid w:val="16197EB3"/>
    <w:rsid w:val="1652230F"/>
    <w:rsid w:val="167629AE"/>
    <w:rsid w:val="16C776FA"/>
    <w:rsid w:val="16C97BAE"/>
    <w:rsid w:val="16E33563"/>
    <w:rsid w:val="16EF58EE"/>
    <w:rsid w:val="170D1552"/>
    <w:rsid w:val="17462031"/>
    <w:rsid w:val="17562080"/>
    <w:rsid w:val="17636E05"/>
    <w:rsid w:val="176B6910"/>
    <w:rsid w:val="176F7BCC"/>
    <w:rsid w:val="17730D0E"/>
    <w:rsid w:val="17927359"/>
    <w:rsid w:val="18252514"/>
    <w:rsid w:val="182C1032"/>
    <w:rsid w:val="183923CC"/>
    <w:rsid w:val="1856045D"/>
    <w:rsid w:val="185D36CA"/>
    <w:rsid w:val="188531BD"/>
    <w:rsid w:val="189A5D4A"/>
    <w:rsid w:val="18DD1794"/>
    <w:rsid w:val="191F1FE3"/>
    <w:rsid w:val="192F1C53"/>
    <w:rsid w:val="1954325D"/>
    <w:rsid w:val="19547E2E"/>
    <w:rsid w:val="19650D65"/>
    <w:rsid w:val="19A8225F"/>
    <w:rsid w:val="19B82ED3"/>
    <w:rsid w:val="19D50CEB"/>
    <w:rsid w:val="19FA067C"/>
    <w:rsid w:val="1A0F087B"/>
    <w:rsid w:val="1A1B2562"/>
    <w:rsid w:val="1A25626F"/>
    <w:rsid w:val="1A621C68"/>
    <w:rsid w:val="1A850D96"/>
    <w:rsid w:val="1A975C34"/>
    <w:rsid w:val="1AC659DE"/>
    <w:rsid w:val="1AC80182"/>
    <w:rsid w:val="1AC90668"/>
    <w:rsid w:val="1AE87405"/>
    <w:rsid w:val="1AE978C5"/>
    <w:rsid w:val="1AED1B2E"/>
    <w:rsid w:val="1AED4AA9"/>
    <w:rsid w:val="1AF72AB8"/>
    <w:rsid w:val="1B1D4294"/>
    <w:rsid w:val="1B3B33D9"/>
    <w:rsid w:val="1B940BB5"/>
    <w:rsid w:val="1BDC4D77"/>
    <w:rsid w:val="1C0B6064"/>
    <w:rsid w:val="1C1B68C2"/>
    <w:rsid w:val="1C5274C4"/>
    <w:rsid w:val="1C92356A"/>
    <w:rsid w:val="1CA53DDA"/>
    <w:rsid w:val="1CB7182E"/>
    <w:rsid w:val="1CC80C64"/>
    <w:rsid w:val="1CF93CFF"/>
    <w:rsid w:val="1D1455D8"/>
    <w:rsid w:val="1D1D5D0C"/>
    <w:rsid w:val="1D230578"/>
    <w:rsid w:val="1D3137F6"/>
    <w:rsid w:val="1D361148"/>
    <w:rsid w:val="1D4F504C"/>
    <w:rsid w:val="1D617DC0"/>
    <w:rsid w:val="1D6E60B7"/>
    <w:rsid w:val="1D6F6E07"/>
    <w:rsid w:val="1D914B5C"/>
    <w:rsid w:val="1DA0761B"/>
    <w:rsid w:val="1DDA2C5A"/>
    <w:rsid w:val="1E197963"/>
    <w:rsid w:val="1E1B3F0E"/>
    <w:rsid w:val="1E30325F"/>
    <w:rsid w:val="1E681714"/>
    <w:rsid w:val="1E786AE6"/>
    <w:rsid w:val="1E981ECD"/>
    <w:rsid w:val="1E9A7AE2"/>
    <w:rsid w:val="1E9E3989"/>
    <w:rsid w:val="1EA81774"/>
    <w:rsid w:val="1EC90B37"/>
    <w:rsid w:val="1EE61098"/>
    <w:rsid w:val="1EEE0DF0"/>
    <w:rsid w:val="1EF31406"/>
    <w:rsid w:val="1EF5217E"/>
    <w:rsid w:val="1F2F7D01"/>
    <w:rsid w:val="1F3E32BB"/>
    <w:rsid w:val="1F5C4BE0"/>
    <w:rsid w:val="1F6B52EC"/>
    <w:rsid w:val="1FB9176B"/>
    <w:rsid w:val="1FC31815"/>
    <w:rsid w:val="1FC914C5"/>
    <w:rsid w:val="1FD27F48"/>
    <w:rsid w:val="1FF43B8D"/>
    <w:rsid w:val="20462415"/>
    <w:rsid w:val="204A4924"/>
    <w:rsid w:val="205F4268"/>
    <w:rsid w:val="2063380E"/>
    <w:rsid w:val="20FA3280"/>
    <w:rsid w:val="20FD356C"/>
    <w:rsid w:val="21073741"/>
    <w:rsid w:val="211A3ACC"/>
    <w:rsid w:val="212347AC"/>
    <w:rsid w:val="215D6CB4"/>
    <w:rsid w:val="21620E06"/>
    <w:rsid w:val="216401F1"/>
    <w:rsid w:val="21684ADC"/>
    <w:rsid w:val="218C1812"/>
    <w:rsid w:val="21C762AE"/>
    <w:rsid w:val="21CE54A8"/>
    <w:rsid w:val="21E268E8"/>
    <w:rsid w:val="22034B5F"/>
    <w:rsid w:val="221722C6"/>
    <w:rsid w:val="22226D7E"/>
    <w:rsid w:val="223C6014"/>
    <w:rsid w:val="224577FD"/>
    <w:rsid w:val="22463E34"/>
    <w:rsid w:val="224E39DC"/>
    <w:rsid w:val="228667E7"/>
    <w:rsid w:val="228D0F97"/>
    <w:rsid w:val="2294578E"/>
    <w:rsid w:val="22AD0D57"/>
    <w:rsid w:val="22C009B0"/>
    <w:rsid w:val="22CC18ED"/>
    <w:rsid w:val="22E307BF"/>
    <w:rsid w:val="22FC730F"/>
    <w:rsid w:val="231F7E7C"/>
    <w:rsid w:val="23445BB7"/>
    <w:rsid w:val="23980811"/>
    <w:rsid w:val="23B412C9"/>
    <w:rsid w:val="23BD70CD"/>
    <w:rsid w:val="23DC1B31"/>
    <w:rsid w:val="240D2E87"/>
    <w:rsid w:val="241C63FF"/>
    <w:rsid w:val="24322BE7"/>
    <w:rsid w:val="2448038B"/>
    <w:rsid w:val="246E51C7"/>
    <w:rsid w:val="247E3301"/>
    <w:rsid w:val="249F25A7"/>
    <w:rsid w:val="24C85032"/>
    <w:rsid w:val="24CA7BCD"/>
    <w:rsid w:val="24FD4C8D"/>
    <w:rsid w:val="251A398C"/>
    <w:rsid w:val="25221711"/>
    <w:rsid w:val="252E0198"/>
    <w:rsid w:val="254D3D2D"/>
    <w:rsid w:val="2569218D"/>
    <w:rsid w:val="259C7D3F"/>
    <w:rsid w:val="259E0FD0"/>
    <w:rsid w:val="25B33D48"/>
    <w:rsid w:val="25E362F9"/>
    <w:rsid w:val="26082272"/>
    <w:rsid w:val="26632AC7"/>
    <w:rsid w:val="266440D1"/>
    <w:rsid w:val="269A4516"/>
    <w:rsid w:val="26A31B32"/>
    <w:rsid w:val="26B07274"/>
    <w:rsid w:val="26B5217F"/>
    <w:rsid w:val="273D6E09"/>
    <w:rsid w:val="276817DC"/>
    <w:rsid w:val="276B514C"/>
    <w:rsid w:val="276F122B"/>
    <w:rsid w:val="27F56713"/>
    <w:rsid w:val="28135BEC"/>
    <w:rsid w:val="282A0079"/>
    <w:rsid w:val="2839287D"/>
    <w:rsid w:val="283F0052"/>
    <w:rsid w:val="2892593D"/>
    <w:rsid w:val="289A4FCF"/>
    <w:rsid w:val="28B30382"/>
    <w:rsid w:val="28D728F5"/>
    <w:rsid w:val="28DD7682"/>
    <w:rsid w:val="28E01D11"/>
    <w:rsid w:val="292A2DD8"/>
    <w:rsid w:val="29356C9B"/>
    <w:rsid w:val="29426E0B"/>
    <w:rsid w:val="29512DBF"/>
    <w:rsid w:val="2964261D"/>
    <w:rsid w:val="2976035F"/>
    <w:rsid w:val="298D2851"/>
    <w:rsid w:val="29974587"/>
    <w:rsid w:val="299876BE"/>
    <w:rsid w:val="29A15228"/>
    <w:rsid w:val="29E70624"/>
    <w:rsid w:val="2A103CBB"/>
    <w:rsid w:val="2A293A58"/>
    <w:rsid w:val="2A494B37"/>
    <w:rsid w:val="2AB4458B"/>
    <w:rsid w:val="2B08301A"/>
    <w:rsid w:val="2B4A3C8D"/>
    <w:rsid w:val="2B5660EC"/>
    <w:rsid w:val="2B5A5F57"/>
    <w:rsid w:val="2B760CFB"/>
    <w:rsid w:val="2BC14B00"/>
    <w:rsid w:val="2C0C6F73"/>
    <w:rsid w:val="2C276767"/>
    <w:rsid w:val="2C572D19"/>
    <w:rsid w:val="2C715436"/>
    <w:rsid w:val="2C7431B1"/>
    <w:rsid w:val="2C774149"/>
    <w:rsid w:val="2C9C6979"/>
    <w:rsid w:val="2CB26884"/>
    <w:rsid w:val="2CB765B6"/>
    <w:rsid w:val="2CDF30E2"/>
    <w:rsid w:val="2CE922FC"/>
    <w:rsid w:val="2CF04535"/>
    <w:rsid w:val="2D213B28"/>
    <w:rsid w:val="2D241082"/>
    <w:rsid w:val="2D2D0472"/>
    <w:rsid w:val="2D752AE5"/>
    <w:rsid w:val="2D9531B7"/>
    <w:rsid w:val="2D9F5F28"/>
    <w:rsid w:val="2DBC2584"/>
    <w:rsid w:val="2DD92C6B"/>
    <w:rsid w:val="2DFA14E5"/>
    <w:rsid w:val="2E277C60"/>
    <w:rsid w:val="2E2F2B95"/>
    <w:rsid w:val="2E63506C"/>
    <w:rsid w:val="2E9B620E"/>
    <w:rsid w:val="2EB50DF4"/>
    <w:rsid w:val="2EDD7BD8"/>
    <w:rsid w:val="2EED1C25"/>
    <w:rsid w:val="2EF819BF"/>
    <w:rsid w:val="2F422A0D"/>
    <w:rsid w:val="2F9D48A2"/>
    <w:rsid w:val="2FBE1BDC"/>
    <w:rsid w:val="2FD432E2"/>
    <w:rsid w:val="2FE616AD"/>
    <w:rsid w:val="2FE640AF"/>
    <w:rsid w:val="2FF14E49"/>
    <w:rsid w:val="30175A21"/>
    <w:rsid w:val="302B66BB"/>
    <w:rsid w:val="304825BE"/>
    <w:rsid w:val="307C07E0"/>
    <w:rsid w:val="30823A8E"/>
    <w:rsid w:val="309B15B7"/>
    <w:rsid w:val="30C4610C"/>
    <w:rsid w:val="30D50E90"/>
    <w:rsid w:val="30DF396D"/>
    <w:rsid w:val="30E30622"/>
    <w:rsid w:val="30EA3942"/>
    <w:rsid w:val="310956AE"/>
    <w:rsid w:val="310D644F"/>
    <w:rsid w:val="314131F4"/>
    <w:rsid w:val="31874A50"/>
    <w:rsid w:val="318A2BFA"/>
    <w:rsid w:val="31A453A8"/>
    <w:rsid w:val="31AA6F37"/>
    <w:rsid w:val="31BB4701"/>
    <w:rsid w:val="31BC43F4"/>
    <w:rsid w:val="31CA4404"/>
    <w:rsid w:val="31CB56FE"/>
    <w:rsid w:val="31F17811"/>
    <w:rsid w:val="31FC33CC"/>
    <w:rsid w:val="322002EC"/>
    <w:rsid w:val="3234157E"/>
    <w:rsid w:val="323A1E8E"/>
    <w:rsid w:val="32814191"/>
    <w:rsid w:val="32880508"/>
    <w:rsid w:val="329958C1"/>
    <w:rsid w:val="32A85873"/>
    <w:rsid w:val="32EE794E"/>
    <w:rsid w:val="33263768"/>
    <w:rsid w:val="33296161"/>
    <w:rsid w:val="33486FEE"/>
    <w:rsid w:val="33B11D30"/>
    <w:rsid w:val="33C50DA1"/>
    <w:rsid w:val="33E02CB8"/>
    <w:rsid w:val="33E03DE1"/>
    <w:rsid w:val="343C4158"/>
    <w:rsid w:val="344E70F8"/>
    <w:rsid w:val="345F696B"/>
    <w:rsid w:val="346831C0"/>
    <w:rsid w:val="347A1159"/>
    <w:rsid w:val="349E3D93"/>
    <w:rsid w:val="34F11227"/>
    <w:rsid w:val="351208F0"/>
    <w:rsid w:val="352729CE"/>
    <w:rsid w:val="354471A3"/>
    <w:rsid w:val="3546485C"/>
    <w:rsid w:val="355B2A7F"/>
    <w:rsid w:val="355C6A9D"/>
    <w:rsid w:val="3576166C"/>
    <w:rsid w:val="35A53F84"/>
    <w:rsid w:val="35C0053C"/>
    <w:rsid w:val="35C81E40"/>
    <w:rsid w:val="35D27B5B"/>
    <w:rsid w:val="35DF33A3"/>
    <w:rsid w:val="35FD5761"/>
    <w:rsid w:val="362D179F"/>
    <w:rsid w:val="36423F6C"/>
    <w:rsid w:val="3647052B"/>
    <w:rsid w:val="36573478"/>
    <w:rsid w:val="367822A3"/>
    <w:rsid w:val="369C1DAE"/>
    <w:rsid w:val="36F9446E"/>
    <w:rsid w:val="370111D8"/>
    <w:rsid w:val="371707CB"/>
    <w:rsid w:val="372B25D8"/>
    <w:rsid w:val="372D0EFF"/>
    <w:rsid w:val="372F1127"/>
    <w:rsid w:val="37924BB3"/>
    <w:rsid w:val="379A7737"/>
    <w:rsid w:val="37A1188B"/>
    <w:rsid w:val="37BE07A9"/>
    <w:rsid w:val="37BE735E"/>
    <w:rsid w:val="37D7413B"/>
    <w:rsid w:val="385A2C02"/>
    <w:rsid w:val="38AB7308"/>
    <w:rsid w:val="38ED5D4F"/>
    <w:rsid w:val="39053B61"/>
    <w:rsid w:val="392B3E0D"/>
    <w:rsid w:val="39543151"/>
    <w:rsid w:val="395F4545"/>
    <w:rsid w:val="396F711C"/>
    <w:rsid w:val="39C73385"/>
    <w:rsid w:val="3A004D8C"/>
    <w:rsid w:val="3A2B4ECC"/>
    <w:rsid w:val="3A2B6E27"/>
    <w:rsid w:val="3A3A0526"/>
    <w:rsid w:val="3A457C2F"/>
    <w:rsid w:val="3AC47915"/>
    <w:rsid w:val="3AC56ACE"/>
    <w:rsid w:val="3ADA2B48"/>
    <w:rsid w:val="3B24440C"/>
    <w:rsid w:val="3BB82C39"/>
    <w:rsid w:val="3BBB20C5"/>
    <w:rsid w:val="3BC53DC0"/>
    <w:rsid w:val="3BE94A17"/>
    <w:rsid w:val="3C1938E4"/>
    <w:rsid w:val="3C20213A"/>
    <w:rsid w:val="3C416A1C"/>
    <w:rsid w:val="3C420153"/>
    <w:rsid w:val="3C4B692F"/>
    <w:rsid w:val="3C5E745D"/>
    <w:rsid w:val="3CA437AC"/>
    <w:rsid w:val="3CB95E2F"/>
    <w:rsid w:val="3CC1149A"/>
    <w:rsid w:val="3CC12C28"/>
    <w:rsid w:val="3CCF2AB9"/>
    <w:rsid w:val="3CEC4273"/>
    <w:rsid w:val="3D057A1E"/>
    <w:rsid w:val="3D4C512C"/>
    <w:rsid w:val="3D5B12EF"/>
    <w:rsid w:val="3D6D0A5E"/>
    <w:rsid w:val="3D9538AA"/>
    <w:rsid w:val="3DB21072"/>
    <w:rsid w:val="3DB356A0"/>
    <w:rsid w:val="3E106F5C"/>
    <w:rsid w:val="3E24380C"/>
    <w:rsid w:val="3EA01B56"/>
    <w:rsid w:val="3EA03A0A"/>
    <w:rsid w:val="3EAC2C82"/>
    <w:rsid w:val="3EC41CF7"/>
    <w:rsid w:val="3ECC1D01"/>
    <w:rsid w:val="3EDE3FCC"/>
    <w:rsid w:val="3EE0769D"/>
    <w:rsid w:val="3EFE70F5"/>
    <w:rsid w:val="3F05074F"/>
    <w:rsid w:val="3F4A0238"/>
    <w:rsid w:val="403961B2"/>
    <w:rsid w:val="403C4114"/>
    <w:rsid w:val="40494066"/>
    <w:rsid w:val="407918E3"/>
    <w:rsid w:val="408D54FE"/>
    <w:rsid w:val="40C916D7"/>
    <w:rsid w:val="412F14DC"/>
    <w:rsid w:val="41C40A45"/>
    <w:rsid w:val="41C40B06"/>
    <w:rsid w:val="41C827EF"/>
    <w:rsid w:val="41CD7DC8"/>
    <w:rsid w:val="41CE658F"/>
    <w:rsid w:val="420726A5"/>
    <w:rsid w:val="4216194B"/>
    <w:rsid w:val="422E6E26"/>
    <w:rsid w:val="424008D6"/>
    <w:rsid w:val="42402065"/>
    <w:rsid w:val="42D737DB"/>
    <w:rsid w:val="42DD57A3"/>
    <w:rsid w:val="42EA7800"/>
    <w:rsid w:val="42FE559C"/>
    <w:rsid w:val="43143670"/>
    <w:rsid w:val="435874BD"/>
    <w:rsid w:val="436633AC"/>
    <w:rsid w:val="437F6680"/>
    <w:rsid w:val="439660D9"/>
    <w:rsid w:val="43A01E09"/>
    <w:rsid w:val="43A80B9C"/>
    <w:rsid w:val="43DD33FB"/>
    <w:rsid w:val="44C929B8"/>
    <w:rsid w:val="453049F1"/>
    <w:rsid w:val="4568051B"/>
    <w:rsid w:val="45820CE0"/>
    <w:rsid w:val="45871007"/>
    <w:rsid w:val="45D10616"/>
    <w:rsid w:val="45E83F3B"/>
    <w:rsid w:val="464C0D33"/>
    <w:rsid w:val="46806263"/>
    <w:rsid w:val="468765CA"/>
    <w:rsid w:val="46915B60"/>
    <w:rsid w:val="469270F7"/>
    <w:rsid w:val="4694464B"/>
    <w:rsid w:val="46CF04D1"/>
    <w:rsid w:val="46FE0E0F"/>
    <w:rsid w:val="47062EDA"/>
    <w:rsid w:val="472E6F23"/>
    <w:rsid w:val="47485F37"/>
    <w:rsid w:val="47676D41"/>
    <w:rsid w:val="47874535"/>
    <w:rsid w:val="47A877C9"/>
    <w:rsid w:val="47C424D0"/>
    <w:rsid w:val="47FF5F5F"/>
    <w:rsid w:val="480A75CC"/>
    <w:rsid w:val="480E06AA"/>
    <w:rsid w:val="488229EA"/>
    <w:rsid w:val="488A39A2"/>
    <w:rsid w:val="488E69A6"/>
    <w:rsid w:val="48BC786F"/>
    <w:rsid w:val="48CF3CED"/>
    <w:rsid w:val="48E07C39"/>
    <w:rsid w:val="490A0ADC"/>
    <w:rsid w:val="490A2935"/>
    <w:rsid w:val="49203D5F"/>
    <w:rsid w:val="49284F57"/>
    <w:rsid w:val="49321FB8"/>
    <w:rsid w:val="494D47EE"/>
    <w:rsid w:val="497972A4"/>
    <w:rsid w:val="49B96655"/>
    <w:rsid w:val="4A003601"/>
    <w:rsid w:val="4A253068"/>
    <w:rsid w:val="4A295B9A"/>
    <w:rsid w:val="4A3A45FE"/>
    <w:rsid w:val="4A4449C2"/>
    <w:rsid w:val="4A4A520A"/>
    <w:rsid w:val="4A59738B"/>
    <w:rsid w:val="4A7C7D7C"/>
    <w:rsid w:val="4A963F66"/>
    <w:rsid w:val="4A9E0273"/>
    <w:rsid w:val="4ACC5BC8"/>
    <w:rsid w:val="4AD34E0D"/>
    <w:rsid w:val="4AFB7273"/>
    <w:rsid w:val="4B125CE2"/>
    <w:rsid w:val="4B147415"/>
    <w:rsid w:val="4B505928"/>
    <w:rsid w:val="4B7C61E8"/>
    <w:rsid w:val="4B82310B"/>
    <w:rsid w:val="4B903EEC"/>
    <w:rsid w:val="4BA62403"/>
    <w:rsid w:val="4BAC1D26"/>
    <w:rsid w:val="4BCA0E76"/>
    <w:rsid w:val="4BDC341D"/>
    <w:rsid w:val="4BFB6504"/>
    <w:rsid w:val="4C181AD8"/>
    <w:rsid w:val="4C251C9C"/>
    <w:rsid w:val="4C593D70"/>
    <w:rsid w:val="4C77377F"/>
    <w:rsid w:val="4C97293A"/>
    <w:rsid w:val="4CA27D51"/>
    <w:rsid w:val="4CBA4B0E"/>
    <w:rsid w:val="4CBF0978"/>
    <w:rsid w:val="4CE91041"/>
    <w:rsid w:val="4D0C78C9"/>
    <w:rsid w:val="4D382F14"/>
    <w:rsid w:val="4D684D6C"/>
    <w:rsid w:val="4DB1241C"/>
    <w:rsid w:val="4DD9434E"/>
    <w:rsid w:val="4E0B4333"/>
    <w:rsid w:val="4E3F5FBD"/>
    <w:rsid w:val="4E4D0C1D"/>
    <w:rsid w:val="4EC516A6"/>
    <w:rsid w:val="4EC56321"/>
    <w:rsid w:val="4EF14118"/>
    <w:rsid w:val="4F2622A3"/>
    <w:rsid w:val="4F2C032F"/>
    <w:rsid w:val="4F3E543B"/>
    <w:rsid w:val="4F4411B5"/>
    <w:rsid w:val="4F51433D"/>
    <w:rsid w:val="4F617A02"/>
    <w:rsid w:val="4F9F61A0"/>
    <w:rsid w:val="4FA06971"/>
    <w:rsid w:val="4FB73CB9"/>
    <w:rsid w:val="4FBD7339"/>
    <w:rsid w:val="4FC1419F"/>
    <w:rsid w:val="4FD21527"/>
    <w:rsid w:val="4FE7463E"/>
    <w:rsid w:val="4FEF79D6"/>
    <w:rsid w:val="500677DB"/>
    <w:rsid w:val="500D18A6"/>
    <w:rsid w:val="50570900"/>
    <w:rsid w:val="50D97402"/>
    <w:rsid w:val="50FE57E0"/>
    <w:rsid w:val="50FF4193"/>
    <w:rsid w:val="512D3FC9"/>
    <w:rsid w:val="51312C3A"/>
    <w:rsid w:val="516032CE"/>
    <w:rsid w:val="516500FC"/>
    <w:rsid w:val="516530E8"/>
    <w:rsid w:val="51883D6E"/>
    <w:rsid w:val="51952774"/>
    <w:rsid w:val="519B08FA"/>
    <w:rsid w:val="51B52B4F"/>
    <w:rsid w:val="51D8405B"/>
    <w:rsid w:val="51F74E28"/>
    <w:rsid w:val="52054AE2"/>
    <w:rsid w:val="52125A16"/>
    <w:rsid w:val="522C7115"/>
    <w:rsid w:val="522C79A0"/>
    <w:rsid w:val="52412E44"/>
    <w:rsid w:val="5263762E"/>
    <w:rsid w:val="529558C2"/>
    <w:rsid w:val="529B4946"/>
    <w:rsid w:val="52BE6702"/>
    <w:rsid w:val="52D505F8"/>
    <w:rsid w:val="52F62B65"/>
    <w:rsid w:val="53071F4D"/>
    <w:rsid w:val="531C05FA"/>
    <w:rsid w:val="531F779B"/>
    <w:rsid w:val="533C0851"/>
    <w:rsid w:val="53583B83"/>
    <w:rsid w:val="536431F2"/>
    <w:rsid w:val="536D590A"/>
    <w:rsid w:val="53810178"/>
    <w:rsid w:val="53814E28"/>
    <w:rsid w:val="53A61FBF"/>
    <w:rsid w:val="53B62BF6"/>
    <w:rsid w:val="53DE5C50"/>
    <w:rsid w:val="53F561A1"/>
    <w:rsid w:val="5421347E"/>
    <w:rsid w:val="548E35B4"/>
    <w:rsid w:val="548E4124"/>
    <w:rsid w:val="54A2168F"/>
    <w:rsid w:val="54AB75FE"/>
    <w:rsid w:val="54C36E1B"/>
    <w:rsid w:val="54C94CED"/>
    <w:rsid w:val="54CC5C4A"/>
    <w:rsid w:val="54D37959"/>
    <w:rsid w:val="54F44BFB"/>
    <w:rsid w:val="54F67578"/>
    <w:rsid w:val="550D1F45"/>
    <w:rsid w:val="554E3DBB"/>
    <w:rsid w:val="55514DF3"/>
    <w:rsid w:val="55516B88"/>
    <w:rsid w:val="556318B0"/>
    <w:rsid w:val="55742871"/>
    <w:rsid w:val="559A2991"/>
    <w:rsid w:val="559B044A"/>
    <w:rsid w:val="55C70F5B"/>
    <w:rsid w:val="55E06D06"/>
    <w:rsid w:val="56334BC5"/>
    <w:rsid w:val="56383188"/>
    <w:rsid w:val="563E31AC"/>
    <w:rsid w:val="56462931"/>
    <w:rsid w:val="5658626B"/>
    <w:rsid w:val="567B5407"/>
    <w:rsid w:val="56AD3DB7"/>
    <w:rsid w:val="56B972DA"/>
    <w:rsid w:val="56CB31E9"/>
    <w:rsid w:val="56D47CE8"/>
    <w:rsid w:val="56DA7292"/>
    <w:rsid w:val="572750EB"/>
    <w:rsid w:val="574A3502"/>
    <w:rsid w:val="57593F62"/>
    <w:rsid w:val="57647465"/>
    <w:rsid w:val="577D10C0"/>
    <w:rsid w:val="578D4D8A"/>
    <w:rsid w:val="579253EA"/>
    <w:rsid w:val="57AA5DEC"/>
    <w:rsid w:val="57E7338B"/>
    <w:rsid w:val="57E74053"/>
    <w:rsid w:val="58311507"/>
    <w:rsid w:val="58516B1B"/>
    <w:rsid w:val="5866112F"/>
    <w:rsid w:val="58667650"/>
    <w:rsid w:val="586D32B9"/>
    <w:rsid w:val="58835C6B"/>
    <w:rsid w:val="58A00DF8"/>
    <w:rsid w:val="58A14202"/>
    <w:rsid w:val="58A57252"/>
    <w:rsid w:val="58BF21EC"/>
    <w:rsid w:val="58DF5840"/>
    <w:rsid w:val="58F85B0B"/>
    <w:rsid w:val="590A4881"/>
    <w:rsid w:val="59256F8B"/>
    <w:rsid w:val="596F34F7"/>
    <w:rsid w:val="5993354B"/>
    <w:rsid w:val="599C4E7C"/>
    <w:rsid w:val="59A85A64"/>
    <w:rsid w:val="59BC0492"/>
    <w:rsid w:val="59C62765"/>
    <w:rsid w:val="59D36F81"/>
    <w:rsid w:val="5A0B059B"/>
    <w:rsid w:val="5A223701"/>
    <w:rsid w:val="5A2A6514"/>
    <w:rsid w:val="5A2F4DDC"/>
    <w:rsid w:val="5A4D06ED"/>
    <w:rsid w:val="5A6D19BE"/>
    <w:rsid w:val="5A86337A"/>
    <w:rsid w:val="5A930F35"/>
    <w:rsid w:val="5A983053"/>
    <w:rsid w:val="5AA65B6C"/>
    <w:rsid w:val="5ABC3AA8"/>
    <w:rsid w:val="5AE53A12"/>
    <w:rsid w:val="5AE63615"/>
    <w:rsid w:val="5B0837A8"/>
    <w:rsid w:val="5B1335F2"/>
    <w:rsid w:val="5B323206"/>
    <w:rsid w:val="5B5E369D"/>
    <w:rsid w:val="5B812225"/>
    <w:rsid w:val="5B84324C"/>
    <w:rsid w:val="5B8F24BD"/>
    <w:rsid w:val="5BAA05C5"/>
    <w:rsid w:val="5BB8052E"/>
    <w:rsid w:val="5BBC4120"/>
    <w:rsid w:val="5BBC5684"/>
    <w:rsid w:val="5BCC4CA7"/>
    <w:rsid w:val="5BD2484E"/>
    <w:rsid w:val="5BE53EC8"/>
    <w:rsid w:val="5BF82A0E"/>
    <w:rsid w:val="5C1301D3"/>
    <w:rsid w:val="5C294460"/>
    <w:rsid w:val="5C2A6009"/>
    <w:rsid w:val="5C4C2ECD"/>
    <w:rsid w:val="5C5B67A3"/>
    <w:rsid w:val="5C621C72"/>
    <w:rsid w:val="5C741C2D"/>
    <w:rsid w:val="5C7431B2"/>
    <w:rsid w:val="5C9A6692"/>
    <w:rsid w:val="5CB81F27"/>
    <w:rsid w:val="5CC55B5B"/>
    <w:rsid w:val="5CCD0876"/>
    <w:rsid w:val="5CE12624"/>
    <w:rsid w:val="5CF444F2"/>
    <w:rsid w:val="5D387B66"/>
    <w:rsid w:val="5D3E054A"/>
    <w:rsid w:val="5D743A7B"/>
    <w:rsid w:val="5D791297"/>
    <w:rsid w:val="5D9B397E"/>
    <w:rsid w:val="5D9E415F"/>
    <w:rsid w:val="5DB56C92"/>
    <w:rsid w:val="5DD010E5"/>
    <w:rsid w:val="5DE0167B"/>
    <w:rsid w:val="5E0E1E71"/>
    <w:rsid w:val="5E340671"/>
    <w:rsid w:val="5E873D76"/>
    <w:rsid w:val="5EA24C68"/>
    <w:rsid w:val="5EB4524C"/>
    <w:rsid w:val="5EBC04FF"/>
    <w:rsid w:val="5EF92617"/>
    <w:rsid w:val="5F0852D4"/>
    <w:rsid w:val="5F2704F9"/>
    <w:rsid w:val="5F401154"/>
    <w:rsid w:val="5F566E8D"/>
    <w:rsid w:val="5F7C392D"/>
    <w:rsid w:val="5F835475"/>
    <w:rsid w:val="5FA508DE"/>
    <w:rsid w:val="5FCA1985"/>
    <w:rsid w:val="5FF67A29"/>
    <w:rsid w:val="603B318E"/>
    <w:rsid w:val="60444733"/>
    <w:rsid w:val="60742C07"/>
    <w:rsid w:val="60913B7E"/>
    <w:rsid w:val="60933819"/>
    <w:rsid w:val="609B50E6"/>
    <w:rsid w:val="60A87D6F"/>
    <w:rsid w:val="60C01F90"/>
    <w:rsid w:val="60CB55A9"/>
    <w:rsid w:val="60D3165E"/>
    <w:rsid w:val="60DC4A37"/>
    <w:rsid w:val="60DD307F"/>
    <w:rsid w:val="60E739A5"/>
    <w:rsid w:val="60EB0F6E"/>
    <w:rsid w:val="610339F7"/>
    <w:rsid w:val="61055998"/>
    <w:rsid w:val="612C01C5"/>
    <w:rsid w:val="613C568E"/>
    <w:rsid w:val="6140184A"/>
    <w:rsid w:val="6162528A"/>
    <w:rsid w:val="616A6438"/>
    <w:rsid w:val="616F26C2"/>
    <w:rsid w:val="61BF5BFC"/>
    <w:rsid w:val="61F13968"/>
    <w:rsid w:val="620A1826"/>
    <w:rsid w:val="620B2237"/>
    <w:rsid w:val="62333D49"/>
    <w:rsid w:val="6260313E"/>
    <w:rsid w:val="626D3F67"/>
    <w:rsid w:val="626F7E0D"/>
    <w:rsid w:val="62706AFF"/>
    <w:rsid w:val="62757A52"/>
    <w:rsid w:val="628E15D1"/>
    <w:rsid w:val="62B737F8"/>
    <w:rsid w:val="62B91343"/>
    <w:rsid w:val="62C21B3E"/>
    <w:rsid w:val="62D1683E"/>
    <w:rsid w:val="63062E9C"/>
    <w:rsid w:val="633919EE"/>
    <w:rsid w:val="63601AC5"/>
    <w:rsid w:val="636D30F9"/>
    <w:rsid w:val="63A74843"/>
    <w:rsid w:val="63AE0B9A"/>
    <w:rsid w:val="63E45D12"/>
    <w:rsid w:val="63F92CC4"/>
    <w:rsid w:val="642A4540"/>
    <w:rsid w:val="642D58D6"/>
    <w:rsid w:val="64473CED"/>
    <w:rsid w:val="644E3EA2"/>
    <w:rsid w:val="644F5459"/>
    <w:rsid w:val="64530E64"/>
    <w:rsid w:val="64962C50"/>
    <w:rsid w:val="64AD490E"/>
    <w:rsid w:val="64AF0F13"/>
    <w:rsid w:val="64B76DB0"/>
    <w:rsid w:val="64CC6AAA"/>
    <w:rsid w:val="64EE300F"/>
    <w:rsid w:val="64F13C5A"/>
    <w:rsid w:val="652474AC"/>
    <w:rsid w:val="652B05DD"/>
    <w:rsid w:val="6531690D"/>
    <w:rsid w:val="65340A0A"/>
    <w:rsid w:val="653F2FB2"/>
    <w:rsid w:val="653F5C2E"/>
    <w:rsid w:val="65BE5FE3"/>
    <w:rsid w:val="65D77B24"/>
    <w:rsid w:val="65ED5FB6"/>
    <w:rsid w:val="65F57F60"/>
    <w:rsid w:val="66036384"/>
    <w:rsid w:val="663730C5"/>
    <w:rsid w:val="663C7B60"/>
    <w:rsid w:val="667351FB"/>
    <w:rsid w:val="667F594A"/>
    <w:rsid w:val="66F068E5"/>
    <w:rsid w:val="67010561"/>
    <w:rsid w:val="6706428B"/>
    <w:rsid w:val="671A24F6"/>
    <w:rsid w:val="672806C4"/>
    <w:rsid w:val="676409B3"/>
    <w:rsid w:val="678E0472"/>
    <w:rsid w:val="67A51E8C"/>
    <w:rsid w:val="67BF2CD1"/>
    <w:rsid w:val="67CB09A7"/>
    <w:rsid w:val="67D4798A"/>
    <w:rsid w:val="67D85650"/>
    <w:rsid w:val="67E648B0"/>
    <w:rsid w:val="68113101"/>
    <w:rsid w:val="68270992"/>
    <w:rsid w:val="682F1FE9"/>
    <w:rsid w:val="68335465"/>
    <w:rsid w:val="68A73F8A"/>
    <w:rsid w:val="68C435B0"/>
    <w:rsid w:val="68E43A68"/>
    <w:rsid w:val="69385A97"/>
    <w:rsid w:val="693B3F4D"/>
    <w:rsid w:val="693E3CEF"/>
    <w:rsid w:val="694C324D"/>
    <w:rsid w:val="69937CE2"/>
    <w:rsid w:val="69B47AE7"/>
    <w:rsid w:val="69BA4935"/>
    <w:rsid w:val="69C834E5"/>
    <w:rsid w:val="69E915F2"/>
    <w:rsid w:val="69EE2984"/>
    <w:rsid w:val="6A027A44"/>
    <w:rsid w:val="6A0B58E1"/>
    <w:rsid w:val="6A28660F"/>
    <w:rsid w:val="6A3E425E"/>
    <w:rsid w:val="6A540EB1"/>
    <w:rsid w:val="6A714074"/>
    <w:rsid w:val="6AAB3ED7"/>
    <w:rsid w:val="6AB85A97"/>
    <w:rsid w:val="6AC6298A"/>
    <w:rsid w:val="6B001A2E"/>
    <w:rsid w:val="6B1B6471"/>
    <w:rsid w:val="6B256DA3"/>
    <w:rsid w:val="6B2702ED"/>
    <w:rsid w:val="6B7C1223"/>
    <w:rsid w:val="6B8F4445"/>
    <w:rsid w:val="6B923E7E"/>
    <w:rsid w:val="6B963B16"/>
    <w:rsid w:val="6BC4431F"/>
    <w:rsid w:val="6BCB3C7C"/>
    <w:rsid w:val="6C0609FE"/>
    <w:rsid w:val="6C5C3083"/>
    <w:rsid w:val="6C6D7455"/>
    <w:rsid w:val="6C93161F"/>
    <w:rsid w:val="6C9329D3"/>
    <w:rsid w:val="6C991CCF"/>
    <w:rsid w:val="6C9D11D2"/>
    <w:rsid w:val="6CAD6972"/>
    <w:rsid w:val="6D036D47"/>
    <w:rsid w:val="6D455D5A"/>
    <w:rsid w:val="6D48513C"/>
    <w:rsid w:val="6D534A6D"/>
    <w:rsid w:val="6D5A77EF"/>
    <w:rsid w:val="6D6A7B07"/>
    <w:rsid w:val="6D8D508D"/>
    <w:rsid w:val="6D9C64CA"/>
    <w:rsid w:val="6DB90257"/>
    <w:rsid w:val="6DD36C24"/>
    <w:rsid w:val="6DD55D03"/>
    <w:rsid w:val="6E220599"/>
    <w:rsid w:val="6E280509"/>
    <w:rsid w:val="6E4E7E71"/>
    <w:rsid w:val="6E62338A"/>
    <w:rsid w:val="6E670BC7"/>
    <w:rsid w:val="6E990535"/>
    <w:rsid w:val="6EA623A4"/>
    <w:rsid w:val="6EAE05B2"/>
    <w:rsid w:val="6ED316D0"/>
    <w:rsid w:val="6EE837C0"/>
    <w:rsid w:val="6F1612F4"/>
    <w:rsid w:val="6F1C7647"/>
    <w:rsid w:val="6F410189"/>
    <w:rsid w:val="6F5C67D8"/>
    <w:rsid w:val="6F615780"/>
    <w:rsid w:val="6F622846"/>
    <w:rsid w:val="6F8500B8"/>
    <w:rsid w:val="6F8519F1"/>
    <w:rsid w:val="6FB20239"/>
    <w:rsid w:val="6FC34F4E"/>
    <w:rsid w:val="6FDA2C3A"/>
    <w:rsid w:val="6FDA7036"/>
    <w:rsid w:val="6FDE6C9D"/>
    <w:rsid w:val="6FE26DEC"/>
    <w:rsid w:val="6FE77F6F"/>
    <w:rsid w:val="7009072D"/>
    <w:rsid w:val="701E795E"/>
    <w:rsid w:val="705C12BE"/>
    <w:rsid w:val="70612F85"/>
    <w:rsid w:val="70AE3BFB"/>
    <w:rsid w:val="70BD55BD"/>
    <w:rsid w:val="70C634F0"/>
    <w:rsid w:val="70D628E8"/>
    <w:rsid w:val="71566079"/>
    <w:rsid w:val="715958F3"/>
    <w:rsid w:val="715B6212"/>
    <w:rsid w:val="717C2433"/>
    <w:rsid w:val="718F33F6"/>
    <w:rsid w:val="719F1576"/>
    <w:rsid w:val="71B379D6"/>
    <w:rsid w:val="71B77EB7"/>
    <w:rsid w:val="71BE14A9"/>
    <w:rsid w:val="71C5195C"/>
    <w:rsid w:val="71CA3BFB"/>
    <w:rsid w:val="71DC52DD"/>
    <w:rsid w:val="71DF1959"/>
    <w:rsid w:val="71E459EE"/>
    <w:rsid w:val="720445A4"/>
    <w:rsid w:val="72044F42"/>
    <w:rsid w:val="720E4BF9"/>
    <w:rsid w:val="72100DB9"/>
    <w:rsid w:val="722C51BD"/>
    <w:rsid w:val="723A1DA5"/>
    <w:rsid w:val="72465E2A"/>
    <w:rsid w:val="72576012"/>
    <w:rsid w:val="72623989"/>
    <w:rsid w:val="72740B51"/>
    <w:rsid w:val="7282672F"/>
    <w:rsid w:val="72881E74"/>
    <w:rsid w:val="729A5F21"/>
    <w:rsid w:val="72A9722F"/>
    <w:rsid w:val="72AC3D18"/>
    <w:rsid w:val="7334125A"/>
    <w:rsid w:val="73374947"/>
    <w:rsid w:val="738D3972"/>
    <w:rsid w:val="73BB3C92"/>
    <w:rsid w:val="73BC5367"/>
    <w:rsid w:val="73C30C2E"/>
    <w:rsid w:val="73F12089"/>
    <w:rsid w:val="73F50D98"/>
    <w:rsid w:val="73FC38AB"/>
    <w:rsid w:val="74227355"/>
    <w:rsid w:val="743C7397"/>
    <w:rsid w:val="746B54C6"/>
    <w:rsid w:val="747820BF"/>
    <w:rsid w:val="748C7A7F"/>
    <w:rsid w:val="74A4056D"/>
    <w:rsid w:val="74BA27ED"/>
    <w:rsid w:val="750C60D2"/>
    <w:rsid w:val="75450E9C"/>
    <w:rsid w:val="757F3A5E"/>
    <w:rsid w:val="758563FD"/>
    <w:rsid w:val="758E0A78"/>
    <w:rsid w:val="7590142E"/>
    <w:rsid w:val="759B0568"/>
    <w:rsid w:val="75DF5F11"/>
    <w:rsid w:val="75F649A4"/>
    <w:rsid w:val="75FA268E"/>
    <w:rsid w:val="75FB7DBD"/>
    <w:rsid w:val="760358F0"/>
    <w:rsid w:val="7608508A"/>
    <w:rsid w:val="7614468B"/>
    <w:rsid w:val="76243014"/>
    <w:rsid w:val="762D3121"/>
    <w:rsid w:val="7665797C"/>
    <w:rsid w:val="7690542E"/>
    <w:rsid w:val="769243F9"/>
    <w:rsid w:val="769F7C8E"/>
    <w:rsid w:val="76B15FB2"/>
    <w:rsid w:val="76C6289F"/>
    <w:rsid w:val="76D45A2B"/>
    <w:rsid w:val="76EE4561"/>
    <w:rsid w:val="77061AA0"/>
    <w:rsid w:val="773E1AF9"/>
    <w:rsid w:val="77A9658A"/>
    <w:rsid w:val="77BE3A3C"/>
    <w:rsid w:val="77F33CCD"/>
    <w:rsid w:val="78086546"/>
    <w:rsid w:val="7809273F"/>
    <w:rsid w:val="780A1064"/>
    <w:rsid w:val="78757BBF"/>
    <w:rsid w:val="78AC4D80"/>
    <w:rsid w:val="78BB7932"/>
    <w:rsid w:val="78BE7B60"/>
    <w:rsid w:val="78CC11E9"/>
    <w:rsid w:val="79156BA2"/>
    <w:rsid w:val="792462C0"/>
    <w:rsid w:val="793A3C20"/>
    <w:rsid w:val="7940182F"/>
    <w:rsid w:val="79426D4D"/>
    <w:rsid w:val="79473203"/>
    <w:rsid w:val="794A7EDD"/>
    <w:rsid w:val="796E70B3"/>
    <w:rsid w:val="797E1109"/>
    <w:rsid w:val="79CF7076"/>
    <w:rsid w:val="79E86CC7"/>
    <w:rsid w:val="7A0E66B9"/>
    <w:rsid w:val="7A4A73DC"/>
    <w:rsid w:val="7ACE4ED2"/>
    <w:rsid w:val="7AFB3150"/>
    <w:rsid w:val="7B093D82"/>
    <w:rsid w:val="7B196233"/>
    <w:rsid w:val="7B260F6B"/>
    <w:rsid w:val="7B7B3688"/>
    <w:rsid w:val="7B860F0C"/>
    <w:rsid w:val="7BC007D7"/>
    <w:rsid w:val="7BC529D4"/>
    <w:rsid w:val="7BC8185A"/>
    <w:rsid w:val="7BD56011"/>
    <w:rsid w:val="7BE754BF"/>
    <w:rsid w:val="7BF2726D"/>
    <w:rsid w:val="7C372603"/>
    <w:rsid w:val="7C4A7302"/>
    <w:rsid w:val="7C71013C"/>
    <w:rsid w:val="7C722C59"/>
    <w:rsid w:val="7C746F7D"/>
    <w:rsid w:val="7CBF6FAA"/>
    <w:rsid w:val="7CC46123"/>
    <w:rsid w:val="7CD32FC2"/>
    <w:rsid w:val="7CD3440A"/>
    <w:rsid w:val="7CE110E3"/>
    <w:rsid w:val="7D466737"/>
    <w:rsid w:val="7D5F7E95"/>
    <w:rsid w:val="7D6A29BF"/>
    <w:rsid w:val="7D996293"/>
    <w:rsid w:val="7DBC5066"/>
    <w:rsid w:val="7DBF39CB"/>
    <w:rsid w:val="7DC97EFF"/>
    <w:rsid w:val="7DD464BA"/>
    <w:rsid w:val="7DDA2E1C"/>
    <w:rsid w:val="7DF32B8B"/>
    <w:rsid w:val="7DFB1FAB"/>
    <w:rsid w:val="7E0C08FB"/>
    <w:rsid w:val="7E397A00"/>
    <w:rsid w:val="7E7F3658"/>
    <w:rsid w:val="7EA46246"/>
    <w:rsid w:val="7EAE4DFC"/>
    <w:rsid w:val="7EB17524"/>
    <w:rsid w:val="7EC04A3A"/>
    <w:rsid w:val="7EC32635"/>
    <w:rsid w:val="7EE0749A"/>
    <w:rsid w:val="7EF479A0"/>
    <w:rsid w:val="7F756370"/>
    <w:rsid w:val="7F92256C"/>
    <w:rsid w:val="7FC24F05"/>
    <w:rsid w:val="7FC9698F"/>
    <w:rsid w:val="7FFE0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8"/>
    <w:autoRedefine/>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59"/>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60"/>
    <w:autoRedefine/>
    <w:qFormat/>
    <w:uiPriority w:val="0"/>
    <w:pPr>
      <w:keepNext/>
      <w:keepLines/>
      <w:spacing w:before="260" w:after="260" w:line="413" w:lineRule="auto"/>
      <w:outlineLvl w:val="2"/>
    </w:pPr>
    <w:rPr>
      <w:b/>
      <w:bCs/>
      <w:sz w:val="32"/>
      <w:szCs w:val="32"/>
    </w:rPr>
  </w:style>
  <w:style w:type="paragraph" w:styleId="6">
    <w:name w:val="heading 4"/>
    <w:basedOn w:val="1"/>
    <w:next w:val="7"/>
    <w:link w:val="61"/>
    <w:autoRedefine/>
    <w:qFormat/>
    <w:uiPriority w:val="0"/>
    <w:pPr>
      <w:keepNext/>
      <w:keepLines/>
      <w:spacing w:before="120" w:after="120"/>
      <w:outlineLvl w:val="3"/>
    </w:pPr>
    <w:rPr>
      <w:rFonts w:ascii="Arial" w:hAnsi="Arial" w:eastAsia="黑体"/>
      <w:b/>
      <w:sz w:val="28"/>
      <w:szCs w:val="20"/>
    </w:rPr>
  </w:style>
  <w:style w:type="paragraph" w:styleId="8">
    <w:name w:val="heading 5"/>
    <w:basedOn w:val="1"/>
    <w:next w:val="1"/>
    <w:link w:val="62"/>
    <w:autoRedefine/>
    <w:qFormat/>
    <w:uiPriority w:val="0"/>
    <w:pPr>
      <w:keepNext/>
      <w:keepLines/>
      <w:tabs>
        <w:tab w:val="left" w:pos="1008"/>
      </w:tabs>
      <w:spacing w:before="280" w:after="290" w:line="372" w:lineRule="auto"/>
      <w:ind w:left="1008" w:hanging="1008"/>
      <w:outlineLvl w:val="4"/>
    </w:pPr>
    <w:rPr>
      <w:b/>
      <w:bCs/>
      <w:sz w:val="28"/>
      <w:szCs w:val="28"/>
    </w:rPr>
  </w:style>
  <w:style w:type="paragraph" w:styleId="9">
    <w:name w:val="heading 6"/>
    <w:basedOn w:val="1"/>
    <w:next w:val="1"/>
    <w:link w:val="63"/>
    <w:autoRedefine/>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10">
    <w:name w:val="heading 7"/>
    <w:basedOn w:val="1"/>
    <w:next w:val="1"/>
    <w:link w:val="64"/>
    <w:autoRedefine/>
    <w:qFormat/>
    <w:uiPriority w:val="0"/>
    <w:pPr>
      <w:keepNext/>
      <w:keepLines/>
      <w:tabs>
        <w:tab w:val="left" w:pos="1296"/>
      </w:tabs>
      <w:spacing w:before="240" w:after="64" w:line="317" w:lineRule="auto"/>
      <w:ind w:left="1296" w:hanging="1296"/>
      <w:outlineLvl w:val="6"/>
    </w:pPr>
    <w:rPr>
      <w:b/>
      <w:bCs/>
      <w:sz w:val="24"/>
    </w:rPr>
  </w:style>
  <w:style w:type="paragraph" w:styleId="11">
    <w:name w:val="heading 8"/>
    <w:basedOn w:val="1"/>
    <w:next w:val="1"/>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2">
    <w:name w:val="heading 9"/>
    <w:basedOn w:val="1"/>
    <w:next w:val="1"/>
    <w:autoRedefine/>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45">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7">
    <w:name w:val="Normal Indent"/>
    <w:basedOn w:val="1"/>
    <w:autoRedefine/>
    <w:qFormat/>
    <w:uiPriority w:val="0"/>
    <w:pPr>
      <w:ind w:firstLine="420"/>
    </w:pPr>
    <w:rPr>
      <w:szCs w:val="20"/>
    </w:rPr>
  </w:style>
  <w:style w:type="paragraph" w:styleId="13">
    <w:name w:val="List Number 2"/>
    <w:basedOn w:val="1"/>
    <w:autoRedefine/>
    <w:qFormat/>
    <w:uiPriority w:val="0"/>
    <w:pPr>
      <w:tabs>
        <w:tab w:val="left" w:pos="1440"/>
      </w:tabs>
      <w:spacing w:line="360" w:lineRule="auto"/>
      <w:ind w:left="1440" w:hanging="1440"/>
    </w:pPr>
    <w:rPr>
      <w:sz w:val="24"/>
    </w:rPr>
  </w:style>
  <w:style w:type="paragraph" w:styleId="14">
    <w:name w:val="List Number"/>
    <w:basedOn w:val="1"/>
    <w:autoRedefine/>
    <w:qFormat/>
    <w:uiPriority w:val="0"/>
    <w:pPr>
      <w:tabs>
        <w:tab w:val="left" w:pos="2952"/>
      </w:tabs>
      <w:ind w:left="2952" w:hanging="432"/>
    </w:pPr>
  </w:style>
  <w:style w:type="paragraph" w:styleId="15">
    <w:name w:val="Document Map"/>
    <w:basedOn w:val="1"/>
    <w:link w:val="65"/>
    <w:autoRedefine/>
    <w:qFormat/>
    <w:uiPriority w:val="0"/>
    <w:pPr>
      <w:shd w:val="clear" w:color="auto" w:fill="000080"/>
    </w:pPr>
  </w:style>
  <w:style w:type="paragraph" w:styleId="16">
    <w:name w:val="annotation text"/>
    <w:basedOn w:val="1"/>
    <w:link w:val="66"/>
    <w:autoRedefine/>
    <w:qFormat/>
    <w:uiPriority w:val="0"/>
    <w:pPr>
      <w:jc w:val="left"/>
    </w:pPr>
    <w:rPr>
      <w:szCs w:val="20"/>
    </w:rPr>
  </w:style>
  <w:style w:type="paragraph" w:styleId="17">
    <w:name w:val="Salutation"/>
    <w:basedOn w:val="1"/>
    <w:next w:val="1"/>
    <w:autoRedefine/>
    <w:qFormat/>
    <w:uiPriority w:val="0"/>
    <w:rPr>
      <w:rFonts w:ascii="仿宋_GB2312" w:eastAsia="仿宋_GB2312"/>
      <w:sz w:val="28"/>
      <w:szCs w:val="20"/>
    </w:rPr>
  </w:style>
  <w:style w:type="paragraph" w:styleId="18">
    <w:name w:val="Body Text 3"/>
    <w:basedOn w:val="1"/>
    <w:autoRedefine/>
    <w:qFormat/>
    <w:uiPriority w:val="0"/>
    <w:pPr>
      <w:spacing w:after="120"/>
    </w:pPr>
    <w:rPr>
      <w:sz w:val="16"/>
      <w:szCs w:val="16"/>
    </w:rPr>
  </w:style>
  <w:style w:type="paragraph" w:styleId="19">
    <w:name w:val="Body Text"/>
    <w:basedOn w:val="1"/>
    <w:autoRedefine/>
    <w:qFormat/>
    <w:uiPriority w:val="0"/>
    <w:pPr>
      <w:jc w:val="center"/>
    </w:pPr>
    <w:rPr>
      <w:rFonts w:ascii="方正大黑简体" w:eastAsia="方正大黑简体"/>
      <w:kern w:val="44"/>
      <w:position w:val="6"/>
      <w:sz w:val="30"/>
      <w:szCs w:val="20"/>
    </w:rPr>
  </w:style>
  <w:style w:type="paragraph" w:styleId="20">
    <w:name w:val="Body Text Indent"/>
    <w:basedOn w:val="1"/>
    <w:next w:val="21"/>
    <w:autoRedefine/>
    <w:qFormat/>
    <w:uiPriority w:val="0"/>
    <w:pPr>
      <w:spacing w:after="120"/>
      <w:ind w:left="420" w:leftChars="200"/>
    </w:pPr>
  </w:style>
  <w:style w:type="paragraph" w:styleId="21">
    <w:name w:val="Body Text First Indent 2"/>
    <w:basedOn w:val="20"/>
    <w:next w:val="7"/>
    <w:autoRedefine/>
    <w:qFormat/>
    <w:uiPriority w:val="0"/>
    <w:pPr>
      <w:spacing w:line="360" w:lineRule="auto"/>
      <w:ind w:firstLine="200" w:firstLineChars="200"/>
    </w:pPr>
    <w:rPr>
      <w:rFonts w:ascii="宋体"/>
    </w:rPr>
  </w:style>
  <w:style w:type="paragraph" w:styleId="22">
    <w:name w:val="toc 3"/>
    <w:basedOn w:val="1"/>
    <w:next w:val="1"/>
    <w:autoRedefine/>
    <w:qFormat/>
    <w:uiPriority w:val="39"/>
    <w:pPr>
      <w:ind w:left="840" w:leftChars="400"/>
    </w:pPr>
  </w:style>
  <w:style w:type="paragraph" w:styleId="23">
    <w:name w:val="Plain Text"/>
    <w:basedOn w:val="1"/>
    <w:link w:val="67"/>
    <w:autoRedefine/>
    <w:qFormat/>
    <w:uiPriority w:val="0"/>
    <w:rPr>
      <w:rFonts w:ascii="宋体" w:hAnsi="Courier New"/>
      <w:szCs w:val="21"/>
    </w:rPr>
  </w:style>
  <w:style w:type="paragraph" w:styleId="24">
    <w:name w:val="index 3"/>
    <w:basedOn w:val="1"/>
    <w:next w:val="1"/>
    <w:autoRedefine/>
    <w:qFormat/>
    <w:uiPriority w:val="0"/>
    <w:pPr>
      <w:ind w:left="840"/>
    </w:pPr>
    <w:rPr>
      <w:szCs w:val="20"/>
    </w:rPr>
  </w:style>
  <w:style w:type="paragraph" w:styleId="25">
    <w:name w:val="Date"/>
    <w:basedOn w:val="1"/>
    <w:next w:val="1"/>
    <w:autoRedefine/>
    <w:qFormat/>
    <w:uiPriority w:val="0"/>
    <w:pPr>
      <w:ind w:left="100" w:leftChars="2500"/>
    </w:pPr>
    <w:rPr>
      <w:sz w:val="28"/>
      <w:szCs w:val="20"/>
    </w:rPr>
  </w:style>
  <w:style w:type="paragraph" w:styleId="26">
    <w:name w:val="Body Text Indent 2"/>
    <w:basedOn w:val="1"/>
    <w:autoRedefine/>
    <w:qFormat/>
    <w:uiPriority w:val="0"/>
    <w:pPr>
      <w:spacing w:line="400" w:lineRule="exact"/>
      <w:ind w:firstLine="480"/>
    </w:pPr>
    <w:rPr>
      <w:rFonts w:ascii="宋体" w:hAnsi="宋体"/>
      <w:sz w:val="24"/>
    </w:rPr>
  </w:style>
  <w:style w:type="paragraph" w:styleId="27">
    <w:name w:val="Balloon Text"/>
    <w:basedOn w:val="1"/>
    <w:link w:val="68"/>
    <w:autoRedefine/>
    <w:qFormat/>
    <w:uiPriority w:val="0"/>
    <w:rPr>
      <w:sz w:val="18"/>
      <w:szCs w:val="18"/>
    </w:rPr>
  </w:style>
  <w:style w:type="paragraph" w:styleId="28">
    <w:name w:val="footer"/>
    <w:basedOn w:val="1"/>
    <w:link w:val="69"/>
    <w:autoRedefine/>
    <w:qFormat/>
    <w:uiPriority w:val="0"/>
    <w:pPr>
      <w:tabs>
        <w:tab w:val="center" w:pos="4153"/>
        <w:tab w:val="right" w:pos="8306"/>
      </w:tabs>
      <w:snapToGrid w:val="0"/>
      <w:jc w:val="left"/>
    </w:pPr>
    <w:rPr>
      <w:sz w:val="18"/>
      <w:szCs w:val="18"/>
    </w:rPr>
  </w:style>
  <w:style w:type="paragraph" w:styleId="29">
    <w:name w:val="header"/>
    <w:basedOn w:val="1"/>
    <w:link w:val="70"/>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Signature"/>
    <w:basedOn w:val="1"/>
    <w:autoRedefine/>
    <w:qFormat/>
    <w:uiPriority w:val="0"/>
    <w:pPr>
      <w:adjustRightInd w:val="0"/>
      <w:spacing w:after="600" w:line="312" w:lineRule="atLeast"/>
      <w:jc w:val="center"/>
      <w:textAlignment w:val="baseline"/>
    </w:pPr>
    <w:rPr>
      <w:rFonts w:eastAsia="仿宋_GB2312"/>
      <w:kern w:val="0"/>
      <w:sz w:val="24"/>
      <w:szCs w:val="20"/>
    </w:rPr>
  </w:style>
  <w:style w:type="paragraph" w:styleId="31">
    <w:name w:val="toc 1"/>
    <w:basedOn w:val="1"/>
    <w:next w:val="1"/>
    <w:autoRedefine/>
    <w:qFormat/>
    <w:uiPriority w:val="39"/>
  </w:style>
  <w:style w:type="paragraph" w:styleId="32">
    <w:name w:val="index heading"/>
    <w:basedOn w:val="1"/>
    <w:next w:val="33"/>
    <w:autoRedefine/>
    <w:qFormat/>
    <w:uiPriority w:val="0"/>
    <w:rPr>
      <w:szCs w:val="20"/>
    </w:rPr>
  </w:style>
  <w:style w:type="paragraph" w:styleId="33">
    <w:name w:val="index 1"/>
    <w:basedOn w:val="1"/>
    <w:next w:val="1"/>
    <w:autoRedefine/>
    <w:qFormat/>
    <w:uiPriority w:val="0"/>
    <w:pPr>
      <w:tabs>
        <w:tab w:val="left" w:pos="1260"/>
      </w:tabs>
      <w:jc w:val="center"/>
    </w:pPr>
    <w:rPr>
      <w:rFonts w:ascii="仿宋_GB2312" w:hAnsi="宋体" w:eastAsia="仿宋_GB2312"/>
      <w:sz w:val="30"/>
      <w:szCs w:val="20"/>
    </w:rPr>
  </w:style>
  <w:style w:type="paragraph" w:styleId="34">
    <w:name w:val="Subtitle"/>
    <w:basedOn w:val="1"/>
    <w:next w:val="1"/>
    <w:link w:val="71"/>
    <w:autoRedefine/>
    <w:qFormat/>
    <w:uiPriority w:val="0"/>
    <w:pPr>
      <w:widowControl/>
      <w:spacing w:after="560"/>
      <w:jc w:val="center"/>
    </w:pPr>
    <w:rPr>
      <w:rFonts w:ascii="Cambria" w:hAnsi="Cambria"/>
      <w:caps/>
      <w:spacing w:val="20"/>
      <w:kern w:val="0"/>
      <w:sz w:val="18"/>
      <w:szCs w:val="18"/>
      <w:lang w:eastAsia="en-US" w:bidi="en-US"/>
    </w:rPr>
  </w:style>
  <w:style w:type="paragraph" w:styleId="35">
    <w:name w:val="footnote text"/>
    <w:basedOn w:val="1"/>
    <w:autoRedefine/>
    <w:qFormat/>
    <w:uiPriority w:val="0"/>
    <w:pPr>
      <w:snapToGrid w:val="0"/>
      <w:jc w:val="left"/>
    </w:pPr>
    <w:rPr>
      <w:sz w:val="18"/>
      <w:szCs w:val="18"/>
    </w:rPr>
  </w:style>
  <w:style w:type="paragraph" w:styleId="36">
    <w:name w:val="Body Text Indent 3"/>
    <w:basedOn w:val="1"/>
    <w:autoRedefine/>
    <w:qFormat/>
    <w:uiPriority w:val="0"/>
    <w:pPr>
      <w:spacing w:before="120" w:after="120" w:line="264" w:lineRule="auto"/>
      <w:ind w:left="480"/>
    </w:pPr>
    <w:rPr>
      <w:b/>
      <w:bCs/>
      <w:sz w:val="24"/>
      <w:szCs w:val="20"/>
    </w:rPr>
  </w:style>
  <w:style w:type="paragraph" w:styleId="37">
    <w:name w:val="toc 2"/>
    <w:basedOn w:val="1"/>
    <w:next w:val="1"/>
    <w:autoRedefine/>
    <w:qFormat/>
    <w:uiPriority w:val="39"/>
    <w:pPr>
      <w:ind w:left="420" w:leftChars="200"/>
    </w:pPr>
  </w:style>
  <w:style w:type="paragraph" w:styleId="38">
    <w:name w:val="Body Text 2"/>
    <w:basedOn w:val="1"/>
    <w:autoRedefine/>
    <w:qFormat/>
    <w:uiPriority w:val="0"/>
    <w:pPr>
      <w:jc w:val="center"/>
    </w:pPr>
    <w:rPr>
      <w:b/>
      <w:bCs/>
      <w:sz w:val="72"/>
      <w:szCs w:val="20"/>
    </w:rPr>
  </w:style>
  <w:style w:type="paragraph" w:styleId="39">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1">
    <w:name w:val="annotation subject"/>
    <w:basedOn w:val="16"/>
    <w:next w:val="16"/>
    <w:autoRedefine/>
    <w:qFormat/>
    <w:uiPriority w:val="0"/>
    <w:rPr>
      <w:b/>
      <w:bCs/>
      <w:szCs w:val="24"/>
    </w:rPr>
  </w:style>
  <w:style w:type="paragraph" w:styleId="42">
    <w:name w:val="Body Text First Indent"/>
    <w:basedOn w:val="19"/>
    <w:link w:val="72"/>
    <w:autoRedefine/>
    <w:qFormat/>
    <w:uiPriority w:val="0"/>
    <w:pPr>
      <w:spacing w:after="120"/>
      <w:ind w:firstLine="420" w:firstLineChars="100"/>
      <w:jc w:val="both"/>
    </w:pPr>
    <w:rPr>
      <w:rFonts w:ascii="Calibri" w:eastAsia="宋体"/>
      <w:kern w:val="2"/>
      <w:position w:val="0"/>
      <w:sz w:val="21"/>
      <w:szCs w:val="24"/>
    </w:rPr>
  </w:style>
  <w:style w:type="table" w:styleId="44">
    <w:name w:val="Table Grid"/>
    <w:basedOn w:val="43"/>
    <w:autoRedefine/>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none"/>
    </w:rPr>
  </w:style>
  <w:style w:type="character" w:styleId="49">
    <w:name w:val="Emphasis"/>
    <w:basedOn w:val="45"/>
    <w:autoRedefine/>
    <w:qFormat/>
    <w:uiPriority w:val="20"/>
  </w:style>
  <w:style w:type="character" w:styleId="50">
    <w:name w:val="line number"/>
    <w:basedOn w:val="45"/>
    <w:autoRedefine/>
    <w:qFormat/>
    <w:uiPriority w:val="0"/>
  </w:style>
  <w:style w:type="character" w:styleId="51">
    <w:name w:val="Hyperlink"/>
    <w:autoRedefine/>
    <w:qFormat/>
    <w:uiPriority w:val="99"/>
    <w:rPr>
      <w:color w:val="0000FF"/>
      <w:u w:val="none"/>
    </w:rPr>
  </w:style>
  <w:style w:type="character" w:styleId="52">
    <w:name w:val="HTML Code"/>
    <w:autoRedefine/>
    <w:unhideWhenUsed/>
    <w:qFormat/>
    <w:uiPriority w:val="99"/>
    <w:rPr>
      <w:rFonts w:ascii="Courier New" w:hAnsi="Courier New"/>
      <w:sz w:val="20"/>
    </w:rPr>
  </w:style>
  <w:style w:type="character" w:styleId="53">
    <w:name w:val="annotation reference"/>
    <w:autoRedefine/>
    <w:qFormat/>
    <w:uiPriority w:val="0"/>
    <w:rPr>
      <w:sz w:val="21"/>
      <w:szCs w:val="21"/>
    </w:rPr>
  </w:style>
  <w:style w:type="character" w:styleId="54">
    <w:name w:val="footnote reference"/>
    <w:autoRedefine/>
    <w:qFormat/>
    <w:uiPriority w:val="0"/>
    <w:rPr>
      <w:vertAlign w:val="superscript"/>
    </w:rPr>
  </w:style>
  <w:style w:type="paragraph" w:styleId="55">
    <w:name w:val="List Paragraph"/>
    <w:basedOn w:val="1"/>
    <w:next w:val="1"/>
    <w:autoRedefine/>
    <w:qFormat/>
    <w:uiPriority w:val="0"/>
    <w:pPr>
      <w:ind w:firstLine="420" w:firstLineChars="200"/>
    </w:pPr>
  </w:style>
  <w:style w:type="paragraph" w:customStyle="1" w:styleId="56">
    <w:name w:val="首行缩进"/>
    <w:basedOn w:val="1"/>
    <w:autoRedefine/>
    <w:qFormat/>
    <w:uiPriority w:val="0"/>
    <w:pPr>
      <w:ind w:firstLine="480" w:firstLineChars="200"/>
    </w:pPr>
    <w:rPr>
      <w:lang w:val="zh-CN"/>
    </w:rPr>
  </w:style>
  <w:style w:type="paragraph" w:customStyle="1" w:styleId="57">
    <w:name w:val="索引 41"/>
    <w:basedOn w:val="1"/>
    <w:next w:val="1"/>
    <w:autoRedefine/>
    <w:semiHidden/>
    <w:qFormat/>
    <w:uiPriority w:val="0"/>
    <w:pPr>
      <w:ind w:left="1260"/>
    </w:pPr>
    <w:rPr>
      <w:rFonts w:ascii="Calibri" w:hAnsi="Calibri" w:eastAsia="Calibri" w:cs="宋体"/>
      <w:sz w:val="20"/>
      <w:lang w:val="zh-CN"/>
    </w:rPr>
  </w:style>
  <w:style w:type="character" w:customStyle="1" w:styleId="58">
    <w:name w:val="标题 1 Char"/>
    <w:link w:val="3"/>
    <w:autoRedefine/>
    <w:qFormat/>
    <w:uiPriority w:val="0"/>
    <w:rPr>
      <w:rFonts w:eastAsia="宋体"/>
      <w:b/>
      <w:bCs/>
      <w:kern w:val="44"/>
      <w:sz w:val="44"/>
      <w:szCs w:val="44"/>
      <w:lang w:val="en-US" w:eastAsia="zh-CN" w:bidi="ar-SA"/>
    </w:rPr>
  </w:style>
  <w:style w:type="character" w:customStyle="1" w:styleId="59">
    <w:name w:val="标题 2 Char"/>
    <w:link w:val="4"/>
    <w:autoRedefine/>
    <w:semiHidden/>
    <w:qFormat/>
    <w:uiPriority w:val="0"/>
    <w:rPr>
      <w:rFonts w:ascii="Arial" w:hAnsi="Arial" w:eastAsia="黑体"/>
      <w:b/>
      <w:bCs/>
      <w:kern w:val="2"/>
      <w:sz w:val="32"/>
      <w:szCs w:val="32"/>
      <w:lang w:val="en-US" w:eastAsia="zh-CN" w:bidi="ar-SA"/>
    </w:rPr>
  </w:style>
  <w:style w:type="character" w:customStyle="1" w:styleId="60">
    <w:name w:val="标题 3 Char2"/>
    <w:link w:val="5"/>
    <w:autoRedefine/>
    <w:semiHidden/>
    <w:qFormat/>
    <w:uiPriority w:val="0"/>
    <w:rPr>
      <w:rFonts w:eastAsia="宋体"/>
      <w:b/>
      <w:bCs/>
      <w:kern w:val="2"/>
      <w:sz w:val="32"/>
      <w:szCs w:val="32"/>
      <w:lang w:val="en-US" w:eastAsia="zh-CN" w:bidi="ar-SA"/>
    </w:rPr>
  </w:style>
  <w:style w:type="character" w:customStyle="1" w:styleId="61">
    <w:name w:val="标题 4 Char"/>
    <w:link w:val="6"/>
    <w:autoRedefine/>
    <w:qFormat/>
    <w:uiPriority w:val="0"/>
    <w:rPr>
      <w:rFonts w:ascii="Arial" w:hAnsi="Arial" w:eastAsia="黑体"/>
      <w:b/>
      <w:kern w:val="2"/>
      <w:sz w:val="28"/>
      <w:lang w:val="en-US" w:eastAsia="zh-CN" w:bidi="ar-SA"/>
    </w:rPr>
  </w:style>
  <w:style w:type="character" w:customStyle="1" w:styleId="62">
    <w:name w:val="标题 5 Char"/>
    <w:link w:val="8"/>
    <w:autoRedefine/>
    <w:semiHidden/>
    <w:qFormat/>
    <w:uiPriority w:val="0"/>
    <w:rPr>
      <w:rFonts w:eastAsia="宋体"/>
      <w:b/>
      <w:bCs/>
      <w:kern w:val="2"/>
      <w:sz w:val="28"/>
      <w:szCs w:val="28"/>
      <w:lang w:val="en-US" w:eastAsia="zh-CN" w:bidi="ar-SA"/>
    </w:rPr>
  </w:style>
  <w:style w:type="character" w:customStyle="1" w:styleId="63">
    <w:name w:val="标题 6 Char"/>
    <w:link w:val="9"/>
    <w:autoRedefine/>
    <w:semiHidden/>
    <w:qFormat/>
    <w:uiPriority w:val="0"/>
    <w:rPr>
      <w:rFonts w:ascii="Arial" w:hAnsi="Arial" w:eastAsia="黑体"/>
      <w:b/>
      <w:bCs/>
      <w:kern w:val="2"/>
      <w:sz w:val="24"/>
      <w:szCs w:val="24"/>
      <w:lang w:val="en-US" w:eastAsia="zh-CN" w:bidi="ar-SA"/>
    </w:rPr>
  </w:style>
  <w:style w:type="character" w:customStyle="1" w:styleId="64">
    <w:name w:val="标题 7 Char"/>
    <w:link w:val="10"/>
    <w:autoRedefine/>
    <w:semiHidden/>
    <w:qFormat/>
    <w:uiPriority w:val="0"/>
    <w:rPr>
      <w:rFonts w:eastAsia="宋体"/>
      <w:b/>
      <w:bCs/>
      <w:kern w:val="2"/>
      <w:sz w:val="24"/>
      <w:szCs w:val="24"/>
      <w:lang w:val="en-US" w:eastAsia="zh-CN" w:bidi="ar-SA"/>
    </w:rPr>
  </w:style>
  <w:style w:type="character" w:customStyle="1" w:styleId="65">
    <w:name w:val="文档结构图 Char"/>
    <w:link w:val="15"/>
    <w:autoRedefine/>
    <w:semiHidden/>
    <w:qFormat/>
    <w:locked/>
    <w:uiPriority w:val="0"/>
    <w:rPr>
      <w:rFonts w:eastAsia="宋体"/>
      <w:kern w:val="2"/>
      <w:sz w:val="21"/>
      <w:szCs w:val="24"/>
      <w:lang w:val="en-US" w:eastAsia="zh-CN" w:bidi="ar-SA"/>
    </w:rPr>
  </w:style>
  <w:style w:type="character" w:customStyle="1" w:styleId="66">
    <w:name w:val="批注文字 Char"/>
    <w:link w:val="16"/>
    <w:autoRedefine/>
    <w:qFormat/>
    <w:uiPriority w:val="0"/>
    <w:rPr>
      <w:rFonts w:eastAsia="宋体"/>
      <w:kern w:val="2"/>
      <w:sz w:val="21"/>
      <w:lang w:val="en-US" w:eastAsia="zh-CN" w:bidi="ar-SA"/>
    </w:rPr>
  </w:style>
  <w:style w:type="character" w:customStyle="1" w:styleId="67">
    <w:name w:val="纯文本 Char"/>
    <w:link w:val="23"/>
    <w:autoRedefine/>
    <w:qFormat/>
    <w:uiPriority w:val="0"/>
    <w:rPr>
      <w:rFonts w:ascii="宋体" w:hAnsi="Courier New" w:eastAsia="宋体"/>
      <w:kern w:val="2"/>
      <w:sz w:val="21"/>
      <w:szCs w:val="21"/>
      <w:lang w:val="en-US" w:eastAsia="zh-CN" w:bidi="ar-SA"/>
    </w:rPr>
  </w:style>
  <w:style w:type="character" w:customStyle="1" w:styleId="68">
    <w:name w:val="批注框文本 Char"/>
    <w:link w:val="27"/>
    <w:autoRedefine/>
    <w:semiHidden/>
    <w:qFormat/>
    <w:locked/>
    <w:uiPriority w:val="0"/>
    <w:rPr>
      <w:rFonts w:eastAsia="宋体"/>
      <w:kern w:val="2"/>
      <w:sz w:val="18"/>
      <w:szCs w:val="18"/>
      <w:lang w:val="en-US" w:eastAsia="zh-CN" w:bidi="ar-SA"/>
    </w:rPr>
  </w:style>
  <w:style w:type="character" w:customStyle="1" w:styleId="69">
    <w:name w:val="页脚 Char"/>
    <w:link w:val="28"/>
    <w:autoRedefine/>
    <w:qFormat/>
    <w:uiPriority w:val="0"/>
    <w:rPr>
      <w:rFonts w:eastAsia="宋体"/>
      <w:kern w:val="2"/>
      <w:sz w:val="18"/>
      <w:szCs w:val="18"/>
      <w:lang w:val="en-US" w:eastAsia="zh-CN" w:bidi="ar-SA"/>
    </w:rPr>
  </w:style>
  <w:style w:type="character" w:customStyle="1" w:styleId="70">
    <w:name w:val="页眉 Char"/>
    <w:link w:val="29"/>
    <w:autoRedefine/>
    <w:qFormat/>
    <w:uiPriority w:val="0"/>
    <w:rPr>
      <w:rFonts w:eastAsia="宋体"/>
      <w:kern w:val="2"/>
      <w:sz w:val="18"/>
      <w:szCs w:val="18"/>
      <w:lang w:val="en-US" w:eastAsia="zh-CN" w:bidi="ar-SA"/>
    </w:rPr>
  </w:style>
  <w:style w:type="character" w:customStyle="1" w:styleId="71">
    <w:name w:val="副标题 Char"/>
    <w:link w:val="34"/>
    <w:autoRedefine/>
    <w:qFormat/>
    <w:locked/>
    <w:uiPriority w:val="0"/>
    <w:rPr>
      <w:rFonts w:ascii="Cambria" w:hAnsi="Cambria" w:eastAsia="宋体"/>
      <w:caps/>
      <w:spacing w:val="20"/>
      <w:sz w:val="18"/>
      <w:szCs w:val="18"/>
      <w:lang w:val="en-US" w:eastAsia="en-US" w:bidi="en-US"/>
    </w:rPr>
  </w:style>
  <w:style w:type="character" w:customStyle="1" w:styleId="72">
    <w:name w:val="正文首行缩进 Char"/>
    <w:link w:val="42"/>
    <w:autoRedefine/>
    <w:qFormat/>
    <w:uiPriority w:val="0"/>
    <w:rPr>
      <w:rFonts w:eastAsia="宋体"/>
      <w:kern w:val="2"/>
      <w:sz w:val="21"/>
      <w:szCs w:val="24"/>
      <w:lang w:val="en-US" w:eastAsia="zh-CN" w:bidi="ar-SA"/>
    </w:rPr>
  </w:style>
  <w:style w:type="character" w:customStyle="1" w:styleId="73">
    <w:name w:val="标准文本 Char Char"/>
    <w:autoRedefine/>
    <w:qFormat/>
    <w:uiPriority w:val="0"/>
    <w:rPr>
      <w:rFonts w:eastAsia="宋体" w:cs="宋体"/>
      <w:kern w:val="2"/>
      <w:sz w:val="24"/>
      <w:szCs w:val="24"/>
      <w:lang w:val="en-US" w:eastAsia="zh-CN" w:bidi="ar-SA"/>
    </w:rPr>
  </w:style>
  <w:style w:type="character" w:customStyle="1" w:styleId="74">
    <w:name w:val="font71"/>
    <w:autoRedefine/>
    <w:qFormat/>
    <w:uiPriority w:val="0"/>
    <w:rPr>
      <w:rFonts w:hint="default" w:ascii="方正黑体简体" w:hAnsi="方正黑体简体" w:eastAsia="方正黑体简体" w:cs="方正黑体简体"/>
      <w:color w:val="000000"/>
      <w:sz w:val="48"/>
      <w:szCs w:val="48"/>
      <w:u w:val="none"/>
    </w:rPr>
  </w:style>
  <w:style w:type="character" w:customStyle="1" w:styleId="75">
    <w:name w:val="Body text1"/>
    <w:autoRedefine/>
    <w:qFormat/>
    <w:uiPriority w:val="0"/>
    <w:rPr>
      <w:rFonts w:ascii="宋体" w:hAnsi="宋体" w:eastAsia="宋体" w:cs="宋体"/>
      <w:color w:val="000000"/>
      <w:spacing w:val="0"/>
      <w:w w:val="100"/>
      <w:position w:val="0"/>
      <w:sz w:val="16"/>
      <w:szCs w:val="16"/>
      <w:lang w:val="zh-TW"/>
    </w:rPr>
  </w:style>
  <w:style w:type="character" w:customStyle="1" w:styleId="76">
    <w:name w:val="bds_more"/>
    <w:autoRedefine/>
    <w:qFormat/>
    <w:uiPriority w:val="0"/>
    <w:rPr>
      <w:rFonts w:hint="eastAsia" w:ascii="宋体" w:hAnsi="宋体" w:eastAsia="宋体" w:cs="宋体"/>
    </w:rPr>
  </w:style>
  <w:style w:type="character" w:customStyle="1" w:styleId="77">
    <w:name w:val="bds_nopic"/>
    <w:basedOn w:val="45"/>
    <w:autoRedefine/>
    <w:qFormat/>
    <w:uiPriority w:val="0"/>
  </w:style>
  <w:style w:type="character" w:customStyle="1" w:styleId="78">
    <w:name w:val="normalfont1"/>
    <w:autoRedefine/>
    <w:qFormat/>
    <w:uiPriority w:val="0"/>
    <w:rPr>
      <w:rFonts w:hint="default" w:ascii="ˎ̥" w:hAnsi="ˎ̥"/>
      <w:sz w:val="18"/>
      <w:szCs w:val="18"/>
      <w:u w:val="none"/>
    </w:rPr>
  </w:style>
  <w:style w:type="character" w:customStyle="1" w:styleId="79">
    <w:name w:val="小四 段落 宋体 Char Char Char1"/>
    <w:autoRedefine/>
    <w:qFormat/>
    <w:uiPriority w:val="0"/>
    <w:rPr>
      <w:rFonts w:ascii="宋体" w:hAnsi="宋体" w:eastAsia="宋体"/>
      <w:kern w:val="2"/>
      <w:sz w:val="24"/>
      <w:szCs w:val="24"/>
      <w:lang w:val="en-US" w:eastAsia="zh-CN" w:bidi="ar-SA"/>
    </w:rPr>
  </w:style>
  <w:style w:type="character" w:customStyle="1" w:styleId="80">
    <w:name w:val="Body text (6) + Spacing 1 pt"/>
    <w:autoRedefine/>
    <w:qFormat/>
    <w:uiPriority w:val="0"/>
    <w:rPr>
      <w:rFonts w:ascii="宋体" w:hAnsi="宋体" w:eastAsia="宋体" w:cs="宋体"/>
      <w:color w:val="000000"/>
      <w:spacing w:val="30"/>
      <w:w w:val="100"/>
      <w:position w:val="0"/>
      <w:sz w:val="19"/>
      <w:szCs w:val="19"/>
      <w:lang w:val="zh-TW"/>
    </w:rPr>
  </w:style>
  <w:style w:type="character" w:customStyle="1" w:styleId="81">
    <w:name w:val="标题 3 Char"/>
    <w:autoRedefine/>
    <w:qFormat/>
    <w:uiPriority w:val="0"/>
    <w:rPr>
      <w:rFonts w:eastAsia="仿宋_GB2312"/>
      <w:b/>
      <w:bCs/>
      <w:kern w:val="2"/>
      <w:sz w:val="28"/>
      <w:szCs w:val="32"/>
      <w:lang w:val="en-US" w:eastAsia="zh-CN" w:bidi="ar-SA"/>
    </w:rPr>
  </w:style>
  <w:style w:type="character" w:customStyle="1" w:styleId="82">
    <w:name w:val="h Char Char"/>
    <w:autoRedefine/>
    <w:qFormat/>
    <w:uiPriority w:val="0"/>
    <w:rPr>
      <w:kern w:val="2"/>
      <w:sz w:val="18"/>
      <w:szCs w:val="18"/>
    </w:rPr>
  </w:style>
  <w:style w:type="character" w:customStyle="1" w:styleId="83">
    <w:name w:val="2nd level Char"/>
    <w:autoRedefine/>
    <w:qFormat/>
    <w:uiPriority w:val="0"/>
    <w:rPr>
      <w:rFonts w:ascii="Arial" w:hAnsi="Arial" w:eastAsia="黑体"/>
      <w:b/>
      <w:bCs/>
      <w:kern w:val="2"/>
      <w:sz w:val="32"/>
      <w:szCs w:val="32"/>
      <w:lang w:val="en-US" w:eastAsia="zh-CN" w:bidi="ar-SA"/>
    </w:rPr>
  </w:style>
  <w:style w:type="character" w:customStyle="1" w:styleId="84">
    <w:name w:val="font91"/>
    <w:autoRedefine/>
    <w:qFormat/>
    <w:uiPriority w:val="0"/>
    <w:rPr>
      <w:rFonts w:hint="default" w:ascii="仿宋_GB2312" w:eastAsia="仿宋_GB2312" w:cs="仿宋_GB2312"/>
      <w:b/>
      <w:color w:val="000000"/>
      <w:sz w:val="36"/>
      <w:szCs w:val="36"/>
      <w:u w:val="none"/>
    </w:rPr>
  </w:style>
  <w:style w:type="character" w:customStyle="1" w:styleId="85">
    <w:name w:val="bds_more1"/>
    <w:basedOn w:val="45"/>
    <w:autoRedefine/>
    <w:qFormat/>
    <w:uiPriority w:val="0"/>
  </w:style>
  <w:style w:type="character" w:customStyle="1" w:styleId="86">
    <w:name w:val="font51"/>
    <w:autoRedefine/>
    <w:qFormat/>
    <w:uiPriority w:val="0"/>
    <w:rPr>
      <w:rFonts w:ascii="仿宋_GB2312" w:eastAsia="仿宋_GB2312" w:cs="仿宋_GB2312"/>
      <w:color w:val="000000"/>
      <w:sz w:val="48"/>
      <w:szCs w:val="48"/>
      <w:u w:val="none"/>
    </w:rPr>
  </w:style>
  <w:style w:type="character" w:customStyle="1" w:styleId="87">
    <w:name w:val="无间隔 Char"/>
    <w:link w:val="88"/>
    <w:autoRedefine/>
    <w:qFormat/>
    <w:uiPriority w:val="0"/>
    <w:rPr>
      <w:rFonts w:eastAsia="微软雅黑"/>
      <w:kern w:val="2"/>
      <w:sz w:val="24"/>
      <w:szCs w:val="22"/>
      <w:lang w:val="en-US" w:eastAsia="zh-CN" w:bidi="ar-SA"/>
    </w:rPr>
  </w:style>
  <w:style w:type="paragraph" w:customStyle="1" w:styleId="88">
    <w:name w:val="无间隔1"/>
    <w:link w:val="87"/>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89">
    <w:name w:val="font01"/>
    <w:autoRedefine/>
    <w:qFormat/>
    <w:uiPriority w:val="0"/>
    <w:rPr>
      <w:rFonts w:ascii="仿宋_GB2312" w:eastAsia="仿宋_GB2312" w:cs="仿宋_GB2312"/>
      <w:color w:val="000000"/>
      <w:sz w:val="36"/>
      <w:szCs w:val="36"/>
      <w:u w:val="none"/>
    </w:rPr>
  </w:style>
  <w:style w:type="character" w:customStyle="1" w:styleId="90">
    <w:name w:val="Body text + 7.5 pt2"/>
    <w:autoRedefine/>
    <w:qFormat/>
    <w:uiPriority w:val="0"/>
    <w:rPr>
      <w:rFonts w:ascii="宋体" w:hAnsi="宋体" w:eastAsia="宋体" w:cs="宋体"/>
      <w:color w:val="000000"/>
      <w:spacing w:val="-30"/>
      <w:w w:val="100"/>
      <w:position w:val="0"/>
      <w:sz w:val="15"/>
      <w:szCs w:val="15"/>
      <w:lang w:val="en-US"/>
    </w:rPr>
  </w:style>
  <w:style w:type="character" w:customStyle="1" w:styleId="91">
    <w:name w:val="Body text + 8.5 pt"/>
    <w:autoRedefine/>
    <w:qFormat/>
    <w:uiPriority w:val="0"/>
    <w:rPr>
      <w:rFonts w:ascii="宋体" w:hAnsi="宋体" w:eastAsia="宋体" w:cs="宋体"/>
      <w:i/>
      <w:iCs/>
      <w:color w:val="000000"/>
      <w:spacing w:val="0"/>
      <w:w w:val="100"/>
      <w:position w:val="0"/>
      <w:sz w:val="17"/>
      <w:szCs w:val="17"/>
    </w:rPr>
  </w:style>
  <w:style w:type="character" w:customStyle="1" w:styleId="92">
    <w:name w:val="标准小四 Char Char"/>
    <w:autoRedefine/>
    <w:qFormat/>
    <w:uiPriority w:val="0"/>
    <w:rPr>
      <w:rFonts w:ascii="Arial" w:hAnsi="Arial" w:eastAsia="宋体"/>
      <w:kern w:val="2"/>
      <w:sz w:val="24"/>
      <w:szCs w:val="21"/>
      <w:lang w:val="en-US" w:eastAsia="zh-CN" w:bidi="ar-SA"/>
    </w:rPr>
  </w:style>
  <w:style w:type="character" w:customStyle="1" w:styleId="93">
    <w:name w:val="Footer Char"/>
    <w:autoRedefine/>
    <w:qFormat/>
    <w:locked/>
    <w:uiPriority w:val="0"/>
    <w:rPr>
      <w:rFonts w:cs="Times New Roman"/>
      <w:sz w:val="18"/>
      <w:szCs w:val="18"/>
    </w:rPr>
  </w:style>
  <w:style w:type="character" w:customStyle="1" w:styleId="94">
    <w:name w:val="Table caption (2)"/>
    <w:autoRedefine/>
    <w:qFormat/>
    <w:uiPriority w:val="0"/>
    <w:rPr>
      <w:rFonts w:ascii="宋体" w:hAnsi="宋体" w:eastAsia="宋体" w:cs="宋体"/>
      <w:color w:val="000000"/>
      <w:spacing w:val="0"/>
      <w:w w:val="100"/>
      <w:position w:val="0"/>
      <w:sz w:val="19"/>
      <w:szCs w:val="19"/>
      <w:lang w:val="zh-TW"/>
    </w:rPr>
  </w:style>
  <w:style w:type="character" w:customStyle="1" w:styleId="95">
    <w:name w:val="Char Char2"/>
    <w:autoRedefine/>
    <w:qFormat/>
    <w:uiPriority w:val="0"/>
    <w:rPr>
      <w:rFonts w:ascii="宋体" w:hAnsi="Courier New" w:eastAsia="宋体"/>
      <w:kern w:val="2"/>
      <w:sz w:val="21"/>
      <w:szCs w:val="21"/>
      <w:lang w:val="en-US" w:eastAsia="zh-CN" w:bidi="ar-SA"/>
    </w:rPr>
  </w:style>
  <w:style w:type="character" w:customStyle="1" w:styleId="96">
    <w:name w:val="小四 段落 宋体 Char Char Char Char Char Char Char Char"/>
    <w:autoRedefine/>
    <w:qFormat/>
    <w:uiPriority w:val="0"/>
    <w:rPr>
      <w:rFonts w:eastAsia="宋体"/>
      <w:kern w:val="2"/>
      <w:sz w:val="24"/>
      <w:szCs w:val="24"/>
      <w:lang w:val="en-US" w:eastAsia="zh-CN" w:bidi="ar-SA"/>
    </w:rPr>
  </w:style>
  <w:style w:type="character" w:customStyle="1" w:styleId="97">
    <w:name w:val="1page sec3 Char"/>
    <w:autoRedefine/>
    <w:qFormat/>
    <w:uiPriority w:val="0"/>
    <w:rPr>
      <w:rFonts w:eastAsia="宋体"/>
      <w:kern w:val="2"/>
      <w:sz w:val="18"/>
      <w:lang w:val="en-US" w:eastAsia="zh-CN"/>
    </w:rPr>
  </w:style>
  <w:style w:type="character" w:customStyle="1" w:styleId="98">
    <w:name w:val="标题 3 Char1"/>
    <w:autoRedefine/>
    <w:qFormat/>
    <w:uiPriority w:val="0"/>
    <w:rPr>
      <w:rFonts w:eastAsia="宋体"/>
      <w:b/>
      <w:bCs/>
      <w:kern w:val="2"/>
      <w:sz w:val="32"/>
      <w:szCs w:val="32"/>
      <w:lang w:val="en-US" w:eastAsia="zh-CN" w:bidi="ar-SA"/>
    </w:rPr>
  </w:style>
  <w:style w:type="character" w:customStyle="1" w:styleId="99">
    <w:name w:val="样式 首行缩进:  2 字符 Char Char"/>
    <w:link w:val="100"/>
    <w:autoRedefine/>
    <w:qFormat/>
    <w:uiPriority w:val="0"/>
    <w:rPr>
      <w:rFonts w:eastAsia="宋体" w:cs="宋体"/>
      <w:kern w:val="2"/>
      <w:sz w:val="24"/>
      <w:lang w:val="en-US" w:eastAsia="zh-CN" w:bidi="ar-SA"/>
    </w:rPr>
  </w:style>
  <w:style w:type="paragraph" w:customStyle="1" w:styleId="100">
    <w:name w:val="样式 首行缩进:  2 字符"/>
    <w:basedOn w:val="1"/>
    <w:link w:val="99"/>
    <w:autoRedefine/>
    <w:qFormat/>
    <w:uiPriority w:val="0"/>
    <w:pPr>
      <w:spacing w:line="360" w:lineRule="auto"/>
      <w:ind w:firstLine="480" w:firstLineChars="200"/>
    </w:pPr>
    <w:rPr>
      <w:rFonts w:cs="宋体"/>
      <w:sz w:val="24"/>
      <w:szCs w:val="20"/>
    </w:rPr>
  </w:style>
  <w:style w:type="character" w:customStyle="1" w:styleId="101">
    <w:name w:val="sect1.2.3 Char1"/>
    <w:autoRedefine/>
    <w:qFormat/>
    <w:uiPriority w:val="0"/>
    <w:rPr>
      <w:rFonts w:eastAsia="宋体"/>
      <w:b/>
      <w:bCs/>
      <w:kern w:val="2"/>
      <w:sz w:val="32"/>
      <w:szCs w:val="32"/>
      <w:lang w:val="en-US" w:eastAsia="zh-CN" w:bidi="ar-SA"/>
    </w:rPr>
  </w:style>
  <w:style w:type="character" w:customStyle="1" w:styleId="102">
    <w:name w:val="bds_nopic2"/>
    <w:basedOn w:val="45"/>
    <w:autoRedefine/>
    <w:qFormat/>
    <w:uiPriority w:val="0"/>
  </w:style>
  <w:style w:type="character" w:customStyle="1" w:styleId="103">
    <w:name w:val="Title1 Char"/>
    <w:autoRedefine/>
    <w:qFormat/>
    <w:uiPriority w:val="0"/>
    <w:rPr>
      <w:rFonts w:eastAsia="宋体"/>
      <w:b/>
      <w:bCs/>
      <w:kern w:val="44"/>
      <w:sz w:val="44"/>
      <w:szCs w:val="44"/>
      <w:lang w:val="en-US" w:eastAsia="zh-CN" w:bidi="ar-SA"/>
    </w:rPr>
  </w:style>
  <w:style w:type="character" w:customStyle="1" w:styleId="104">
    <w:name w:val="1page sec3 Char1"/>
    <w:autoRedefine/>
    <w:qFormat/>
    <w:uiPriority w:val="0"/>
    <w:rPr>
      <w:kern w:val="2"/>
      <w:sz w:val="18"/>
      <w:szCs w:val="18"/>
    </w:rPr>
  </w:style>
  <w:style w:type="character" w:customStyle="1" w:styleId="105">
    <w:name w:val="明显引用 Char"/>
    <w:link w:val="106"/>
    <w:autoRedefine/>
    <w:qFormat/>
    <w:uiPriority w:val="0"/>
    <w:rPr>
      <w:rFonts w:ascii="Cambria" w:hAnsi="Cambria" w:eastAsia="宋体"/>
      <w:caps/>
      <w:color w:val="622423"/>
      <w:spacing w:val="5"/>
      <w:lang w:val="en-US" w:eastAsia="en-US" w:bidi="en-US"/>
    </w:rPr>
  </w:style>
  <w:style w:type="paragraph" w:customStyle="1" w:styleId="106">
    <w:name w:val="明显引用1"/>
    <w:basedOn w:val="1"/>
    <w:next w:val="1"/>
    <w:link w:val="105"/>
    <w:autoRedefine/>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107">
    <w:name w:val="font21"/>
    <w:autoRedefine/>
    <w:qFormat/>
    <w:uiPriority w:val="0"/>
    <w:rPr>
      <w:rFonts w:hint="default" w:ascii="仿宋_GB2312" w:eastAsia="仿宋_GB2312" w:cs="仿宋_GB2312"/>
      <w:b/>
      <w:color w:val="000000"/>
      <w:sz w:val="24"/>
      <w:szCs w:val="24"/>
      <w:u w:val="none"/>
    </w:rPr>
  </w:style>
  <w:style w:type="character" w:customStyle="1" w:styleId="108">
    <w:name w:val="3zw"/>
    <w:basedOn w:val="45"/>
    <w:autoRedefine/>
    <w:qFormat/>
    <w:uiPriority w:val="0"/>
  </w:style>
  <w:style w:type="character" w:customStyle="1" w:styleId="109">
    <w:name w:val="Body text (6) + 10 pt1"/>
    <w:autoRedefine/>
    <w:qFormat/>
    <w:uiPriority w:val="0"/>
    <w:rPr>
      <w:rFonts w:ascii="宋体" w:hAnsi="宋体" w:eastAsia="宋体" w:cs="宋体"/>
      <w:color w:val="000000"/>
      <w:spacing w:val="0"/>
      <w:w w:val="100"/>
      <w:position w:val="0"/>
      <w:sz w:val="20"/>
      <w:szCs w:val="20"/>
      <w:lang w:val="en-US"/>
    </w:rPr>
  </w:style>
  <w:style w:type="character" w:customStyle="1" w:styleId="110">
    <w:name w:val="正文缩进 Char1"/>
    <w:link w:val="111"/>
    <w:autoRedefine/>
    <w:qFormat/>
    <w:uiPriority w:val="0"/>
    <w:rPr>
      <w:rFonts w:eastAsia="宋体"/>
      <w:lang w:bidi="ar-SA"/>
    </w:rPr>
  </w:style>
  <w:style w:type="paragraph" w:customStyle="1" w:styleId="111">
    <w:name w:val="正文缩进1"/>
    <w:basedOn w:val="1"/>
    <w:link w:val="110"/>
    <w:autoRedefine/>
    <w:qFormat/>
    <w:uiPriority w:val="0"/>
    <w:pPr>
      <w:ind w:firstLine="420"/>
    </w:pPr>
    <w:rPr>
      <w:kern w:val="0"/>
      <w:sz w:val="20"/>
      <w:szCs w:val="20"/>
    </w:rPr>
  </w:style>
  <w:style w:type="character" w:customStyle="1" w:styleId="112">
    <w:name w:val="font61"/>
    <w:autoRedefine/>
    <w:qFormat/>
    <w:uiPriority w:val="0"/>
    <w:rPr>
      <w:rFonts w:hint="default" w:ascii="仿宋_GB2312" w:eastAsia="仿宋_GB2312" w:cs="仿宋_GB2312"/>
      <w:b/>
      <w:color w:val="000000"/>
      <w:sz w:val="28"/>
      <w:szCs w:val="28"/>
      <w:u w:val="none"/>
    </w:rPr>
  </w:style>
  <w:style w:type="character" w:customStyle="1" w:styleId="113">
    <w:name w:val="Heading 2 Char"/>
    <w:autoRedefine/>
    <w:qFormat/>
    <w:locked/>
    <w:uiPriority w:val="0"/>
    <w:rPr>
      <w:rFonts w:ascii="Calibri Light" w:hAnsi="Calibri Light" w:eastAsia="宋体" w:cs="Times New Roman"/>
      <w:b/>
      <w:bCs/>
      <w:sz w:val="32"/>
      <w:szCs w:val="32"/>
    </w:rPr>
  </w:style>
  <w:style w:type="character" w:customStyle="1" w:styleId="114">
    <w:name w:val="H2 Char1"/>
    <w:autoRedefine/>
    <w:qFormat/>
    <w:uiPriority w:val="0"/>
    <w:rPr>
      <w:rFonts w:ascii="Arial" w:hAnsi="Arial" w:eastAsia="黑体"/>
      <w:b/>
      <w:bCs/>
      <w:kern w:val="2"/>
      <w:sz w:val="32"/>
      <w:szCs w:val="32"/>
      <w:lang w:val="en-US" w:eastAsia="zh-CN" w:bidi="ar-SA"/>
    </w:rPr>
  </w:style>
  <w:style w:type="character" w:customStyle="1" w:styleId="115">
    <w:name w:val="Body text (6)"/>
    <w:autoRedefine/>
    <w:qFormat/>
    <w:uiPriority w:val="0"/>
    <w:rPr>
      <w:rFonts w:ascii="宋体" w:hAnsi="宋体" w:eastAsia="宋体" w:cs="宋体"/>
      <w:color w:val="000000"/>
      <w:spacing w:val="0"/>
      <w:w w:val="100"/>
      <w:position w:val="0"/>
      <w:sz w:val="19"/>
      <w:szCs w:val="19"/>
      <w:u w:val="single"/>
      <w:lang w:val="zh-TW"/>
    </w:rPr>
  </w:style>
  <w:style w:type="character" w:customStyle="1" w:styleId="116">
    <w:name w:val="Body text (6) + Spacing 1 pt1"/>
    <w:autoRedefine/>
    <w:qFormat/>
    <w:uiPriority w:val="0"/>
    <w:rPr>
      <w:rFonts w:ascii="宋体" w:hAnsi="宋体" w:eastAsia="宋体" w:cs="宋体"/>
      <w:color w:val="000000"/>
      <w:spacing w:val="30"/>
      <w:w w:val="100"/>
      <w:position w:val="0"/>
      <w:sz w:val="19"/>
      <w:szCs w:val="19"/>
      <w:u w:val="single"/>
      <w:lang w:val="zh-TW"/>
    </w:rPr>
  </w:style>
  <w:style w:type="character" w:customStyle="1" w:styleId="117">
    <w:name w:val="bds_more2"/>
    <w:basedOn w:val="45"/>
    <w:autoRedefine/>
    <w:qFormat/>
    <w:uiPriority w:val="0"/>
  </w:style>
  <w:style w:type="character" w:customStyle="1" w:styleId="118">
    <w:name w:val="content_lineheight1"/>
    <w:basedOn w:val="45"/>
    <w:autoRedefine/>
    <w:qFormat/>
    <w:uiPriority w:val="0"/>
  </w:style>
  <w:style w:type="character" w:customStyle="1" w:styleId="119">
    <w:name w:val="apple-style-span"/>
    <w:basedOn w:val="45"/>
    <w:autoRedefine/>
    <w:qFormat/>
    <w:uiPriority w:val="0"/>
  </w:style>
  <w:style w:type="character" w:customStyle="1" w:styleId="120">
    <w:name w:val="bds_nopic1"/>
    <w:basedOn w:val="45"/>
    <w:autoRedefine/>
    <w:qFormat/>
    <w:uiPriority w:val="0"/>
  </w:style>
  <w:style w:type="character" w:customStyle="1" w:styleId="121">
    <w:name w:val="样式 宋体"/>
    <w:autoRedefine/>
    <w:qFormat/>
    <w:uiPriority w:val="0"/>
    <w:rPr>
      <w:rFonts w:ascii="宋体" w:hAnsi="宋体" w:eastAsia="宋体"/>
      <w:sz w:val="24"/>
      <w:szCs w:val="24"/>
    </w:rPr>
  </w:style>
  <w:style w:type="character" w:customStyle="1" w:styleId="122">
    <w:name w:val="t1"/>
    <w:autoRedefine/>
    <w:qFormat/>
    <w:uiPriority w:val="0"/>
  </w:style>
  <w:style w:type="character" w:customStyle="1" w:styleId="123">
    <w:name w:val="样式 宋体 小四"/>
    <w:autoRedefine/>
    <w:qFormat/>
    <w:uiPriority w:val="0"/>
    <w:rPr>
      <w:rFonts w:ascii="宋体" w:hAnsi="宋体"/>
      <w:sz w:val="24"/>
    </w:rPr>
  </w:style>
  <w:style w:type="character" w:customStyle="1" w:styleId="124">
    <w:name w:val="font81"/>
    <w:autoRedefine/>
    <w:qFormat/>
    <w:uiPriority w:val="0"/>
    <w:rPr>
      <w:rFonts w:hint="eastAsia" w:ascii="仿宋" w:hAnsi="仿宋" w:eastAsia="仿宋" w:cs="仿宋"/>
      <w:color w:val="000000"/>
      <w:sz w:val="21"/>
      <w:szCs w:val="21"/>
      <w:u w:val="none"/>
    </w:rPr>
  </w:style>
  <w:style w:type="character" w:customStyle="1" w:styleId="125">
    <w:name w:val="Body text (6)_"/>
    <w:link w:val="126"/>
    <w:autoRedefine/>
    <w:qFormat/>
    <w:uiPriority w:val="0"/>
    <w:rPr>
      <w:rFonts w:ascii="宋体" w:hAnsi="宋体" w:eastAsia="宋体" w:cs="宋体"/>
      <w:sz w:val="19"/>
      <w:szCs w:val="19"/>
    </w:rPr>
  </w:style>
  <w:style w:type="paragraph" w:customStyle="1" w:styleId="126">
    <w:name w:val="Body text (6)1"/>
    <w:basedOn w:val="1"/>
    <w:link w:val="125"/>
    <w:autoRedefine/>
    <w:qFormat/>
    <w:uiPriority w:val="0"/>
    <w:pPr>
      <w:shd w:val="clear" w:color="auto" w:fill="FFFFFF"/>
      <w:spacing w:line="408" w:lineRule="exact"/>
      <w:ind w:hanging="420"/>
      <w:jc w:val="distribute"/>
    </w:pPr>
    <w:rPr>
      <w:rFonts w:ascii="宋体" w:hAnsi="宋体"/>
      <w:kern w:val="0"/>
      <w:sz w:val="19"/>
      <w:szCs w:val="19"/>
    </w:rPr>
  </w:style>
  <w:style w:type="character" w:customStyle="1" w:styleId="127">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128">
    <w:name w:val="Header Char"/>
    <w:autoRedefine/>
    <w:qFormat/>
    <w:locked/>
    <w:uiPriority w:val="0"/>
    <w:rPr>
      <w:rFonts w:cs="Times New Roman"/>
      <w:sz w:val="18"/>
      <w:szCs w:val="18"/>
    </w:rPr>
  </w:style>
  <w:style w:type="character" w:customStyle="1" w:styleId="129">
    <w:name w:val="小四 段落 宋体 Char Char Char Char1"/>
    <w:autoRedefine/>
    <w:qFormat/>
    <w:uiPriority w:val="0"/>
    <w:rPr>
      <w:rFonts w:eastAsia="宋体"/>
      <w:kern w:val="2"/>
      <w:sz w:val="24"/>
      <w:szCs w:val="24"/>
      <w:lang w:val="en-US" w:eastAsia="zh-CN" w:bidi="ar-SA"/>
    </w:rPr>
  </w:style>
  <w:style w:type="character" w:customStyle="1" w:styleId="130">
    <w:name w:val="subtitle1"/>
    <w:autoRedefine/>
    <w:qFormat/>
    <w:uiPriority w:val="0"/>
    <w:rPr>
      <w:rFonts w:hint="default" w:ascii="Georgia" w:hAnsi="Georgia"/>
      <w:b/>
      <w:bCs/>
      <w:color w:val="666666"/>
      <w:sz w:val="18"/>
      <w:szCs w:val="18"/>
    </w:rPr>
  </w:style>
  <w:style w:type="character" w:customStyle="1" w:styleId="131">
    <w:name w:val="Table caption (2)_"/>
    <w:link w:val="132"/>
    <w:autoRedefine/>
    <w:qFormat/>
    <w:uiPriority w:val="0"/>
    <w:rPr>
      <w:rFonts w:ascii="宋体" w:hAnsi="宋体" w:eastAsia="宋体" w:cs="宋体"/>
      <w:sz w:val="19"/>
      <w:szCs w:val="19"/>
    </w:rPr>
  </w:style>
  <w:style w:type="paragraph" w:customStyle="1" w:styleId="132">
    <w:name w:val="Table caption (2)1"/>
    <w:basedOn w:val="1"/>
    <w:link w:val="131"/>
    <w:autoRedefine/>
    <w:qFormat/>
    <w:uiPriority w:val="0"/>
    <w:pPr>
      <w:shd w:val="clear" w:color="auto" w:fill="FFFFFF"/>
      <w:spacing w:line="0" w:lineRule="atLeast"/>
    </w:pPr>
    <w:rPr>
      <w:rFonts w:ascii="宋体" w:hAnsi="宋体"/>
      <w:kern w:val="0"/>
      <w:sz w:val="19"/>
      <w:szCs w:val="19"/>
    </w:rPr>
  </w:style>
  <w:style w:type="character" w:customStyle="1" w:styleId="133">
    <w:name w:val="font11"/>
    <w:autoRedefine/>
    <w:qFormat/>
    <w:uiPriority w:val="0"/>
    <w:rPr>
      <w:rFonts w:ascii="仿宋_GB2312" w:eastAsia="仿宋_GB2312" w:cs="仿宋_GB2312"/>
      <w:color w:val="000000"/>
      <w:sz w:val="24"/>
      <w:szCs w:val="24"/>
      <w:u w:val="none"/>
    </w:rPr>
  </w:style>
  <w:style w:type="character" w:customStyle="1" w:styleId="134">
    <w:name w:val="特点 Char1"/>
    <w:autoRedefine/>
    <w:qFormat/>
    <w:uiPriority w:val="0"/>
    <w:rPr>
      <w:rFonts w:eastAsia="宋体"/>
      <w:kern w:val="2"/>
      <w:sz w:val="21"/>
      <w:lang w:val="en-US" w:eastAsia="zh-CN" w:bidi="ar-SA"/>
    </w:rPr>
  </w:style>
  <w:style w:type="character" w:customStyle="1" w:styleId="135">
    <w:name w:val="font41"/>
    <w:autoRedefine/>
    <w:qFormat/>
    <w:uiPriority w:val="0"/>
    <w:rPr>
      <w:rFonts w:hint="default" w:ascii="方正黑体简体" w:hAnsi="方正黑体简体" w:eastAsia="方正黑体简体" w:cs="方正黑体简体"/>
      <w:color w:val="000000"/>
      <w:sz w:val="24"/>
      <w:szCs w:val="24"/>
      <w:u w:val="none"/>
    </w:rPr>
  </w:style>
  <w:style w:type="character" w:customStyle="1" w:styleId="136">
    <w:name w:val="style131"/>
    <w:autoRedefine/>
    <w:qFormat/>
    <w:uiPriority w:val="0"/>
    <w:rPr>
      <w:rFonts w:cs="Times New Roman"/>
      <w:sz w:val="18"/>
      <w:szCs w:val="18"/>
    </w:rPr>
  </w:style>
  <w:style w:type="character" w:customStyle="1" w:styleId="137">
    <w:name w:val="Body text_"/>
    <w:link w:val="138"/>
    <w:autoRedefine/>
    <w:qFormat/>
    <w:uiPriority w:val="0"/>
    <w:rPr>
      <w:rFonts w:ascii="宋体" w:hAnsi="宋体" w:eastAsia="宋体" w:cs="宋体"/>
      <w:sz w:val="16"/>
      <w:szCs w:val="16"/>
    </w:rPr>
  </w:style>
  <w:style w:type="paragraph" w:customStyle="1" w:styleId="138">
    <w:name w:val="Body text3"/>
    <w:basedOn w:val="1"/>
    <w:link w:val="137"/>
    <w:autoRedefine/>
    <w:qFormat/>
    <w:uiPriority w:val="0"/>
    <w:pPr>
      <w:shd w:val="clear" w:color="auto" w:fill="FFFFFF"/>
      <w:spacing w:before="300" w:line="360" w:lineRule="exact"/>
      <w:jc w:val="distribute"/>
    </w:pPr>
    <w:rPr>
      <w:rFonts w:ascii="宋体" w:hAnsi="宋体"/>
      <w:kern w:val="0"/>
      <w:sz w:val="16"/>
      <w:szCs w:val="16"/>
    </w:rPr>
  </w:style>
  <w:style w:type="character" w:customStyle="1" w:styleId="139">
    <w:name w:val="Heading 1 Char"/>
    <w:autoRedefine/>
    <w:qFormat/>
    <w:locked/>
    <w:uiPriority w:val="0"/>
    <w:rPr>
      <w:rFonts w:ascii="Times New Roman" w:hAnsi="Times New Roman" w:eastAsia="宋体" w:cs="Times New Roman"/>
      <w:b/>
      <w:bCs/>
      <w:kern w:val="44"/>
      <w:sz w:val="44"/>
      <w:szCs w:val="44"/>
    </w:rPr>
  </w:style>
  <w:style w:type="character" w:customStyle="1" w:styleId="140">
    <w:name w:val="引用 Char"/>
    <w:link w:val="141"/>
    <w:autoRedefine/>
    <w:qFormat/>
    <w:uiPriority w:val="0"/>
    <w:rPr>
      <w:rFonts w:ascii="Cambria" w:hAnsi="Cambria" w:eastAsia="宋体"/>
      <w:i/>
      <w:iCs/>
      <w:sz w:val="22"/>
      <w:szCs w:val="22"/>
      <w:lang w:val="en-US" w:eastAsia="en-US" w:bidi="en-US"/>
    </w:rPr>
  </w:style>
  <w:style w:type="paragraph" w:customStyle="1" w:styleId="141">
    <w:name w:val="引用1"/>
    <w:basedOn w:val="1"/>
    <w:next w:val="1"/>
    <w:link w:val="140"/>
    <w:autoRedefine/>
    <w:qFormat/>
    <w:uiPriority w:val="0"/>
    <w:pPr>
      <w:widowControl/>
      <w:spacing w:after="200" w:line="252" w:lineRule="auto"/>
      <w:jc w:val="left"/>
    </w:pPr>
    <w:rPr>
      <w:rFonts w:ascii="Cambria" w:hAnsi="Cambria"/>
      <w:i/>
      <w:iCs/>
      <w:kern w:val="0"/>
      <w:sz w:val="22"/>
      <w:szCs w:val="22"/>
      <w:lang w:eastAsia="en-US" w:bidi="en-US"/>
    </w:rPr>
  </w:style>
  <w:style w:type="character" w:customStyle="1" w:styleId="142">
    <w:name w:val="font31"/>
    <w:autoRedefine/>
    <w:qFormat/>
    <w:uiPriority w:val="0"/>
    <w:rPr>
      <w:rFonts w:hint="default" w:ascii="仿宋_GB2312" w:eastAsia="仿宋_GB2312" w:cs="仿宋_GB2312"/>
      <w:color w:val="000000"/>
      <w:sz w:val="36"/>
      <w:szCs w:val="36"/>
      <w:u w:val="none"/>
    </w:rPr>
  </w:style>
  <w:style w:type="character" w:customStyle="1" w:styleId="143">
    <w:name w:val="华宇段落1 Char Char Char"/>
    <w:autoRedefine/>
    <w:qFormat/>
    <w:uiPriority w:val="0"/>
    <w:rPr>
      <w:rFonts w:eastAsia="宋体"/>
      <w:bCs/>
      <w:kern w:val="2"/>
      <w:sz w:val="24"/>
      <w:szCs w:val="24"/>
      <w:lang w:val="en-US" w:eastAsia="zh-CN" w:bidi="ar-SA"/>
    </w:rPr>
  </w:style>
  <w:style w:type="character" w:customStyle="1" w:styleId="144">
    <w:name w:val="textcontents"/>
    <w:basedOn w:val="45"/>
    <w:autoRedefine/>
    <w:qFormat/>
    <w:uiPriority w:val="0"/>
  </w:style>
  <w:style w:type="character" w:customStyle="1" w:styleId="145">
    <w:name w:val="1page sec3 Char2"/>
    <w:autoRedefine/>
    <w:qFormat/>
    <w:uiPriority w:val="0"/>
    <w:rPr>
      <w:rFonts w:eastAsia="宋体"/>
      <w:kern w:val="2"/>
      <w:sz w:val="18"/>
      <w:szCs w:val="18"/>
      <w:lang w:val="en-US" w:eastAsia="zh-CN" w:bidi="ar-SA"/>
    </w:rPr>
  </w:style>
  <w:style w:type="character" w:customStyle="1" w:styleId="146">
    <w:name w:val="Body text + 7.5 pt1"/>
    <w:autoRedefine/>
    <w:qFormat/>
    <w:uiPriority w:val="0"/>
    <w:rPr>
      <w:rFonts w:ascii="宋体" w:hAnsi="宋体" w:eastAsia="宋体" w:cs="宋体"/>
      <w:color w:val="000000"/>
      <w:spacing w:val="0"/>
      <w:w w:val="100"/>
      <w:position w:val="0"/>
      <w:sz w:val="15"/>
      <w:szCs w:val="15"/>
      <w:lang w:val="en-US"/>
    </w:rPr>
  </w:style>
  <w:style w:type="character" w:customStyle="1" w:styleId="147">
    <w:name w:val="小四 段落 宋体 Char1"/>
    <w:autoRedefine/>
    <w:qFormat/>
    <w:uiPriority w:val="0"/>
    <w:rPr>
      <w:rFonts w:eastAsia="宋体"/>
      <w:kern w:val="2"/>
      <w:sz w:val="24"/>
      <w:szCs w:val="24"/>
      <w:lang w:val="en-US" w:eastAsia="zh-CN" w:bidi="ar-SA"/>
    </w:rPr>
  </w:style>
  <w:style w:type="character" w:customStyle="1" w:styleId="148">
    <w:name w:val="ih151"/>
    <w:autoRedefine/>
    <w:qFormat/>
    <w:uiPriority w:val="0"/>
    <w:rPr>
      <w:color w:val="666666"/>
      <w:sz w:val="18"/>
      <w:szCs w:val="18"/>
      <w:u w:val="none"/>
    </w:rPr>
  </w:style>
  <w:style w:type="character" w:customStyle="1" w:styleId="149">
    <w:name w:val="正文 + 宋体 Char"/>
    <w:autoRedefine/>
    <w:qFormat/>
    <w:uiPriority w:val="0"/>
    <w:rPr>
      <w:rFonts w:eastAsia="宋体"/>
      <w:kern w:val="2"/>
      <w:sz w:val="21"/>
      <w:szCs w:val="24"/>
      <w:lang w:val="en-US" w:eastAsia="zh-CN" w:bidi="ar-SA"/>
    </w:rPr>
  </w:style>
  <w:style w:type="paragraph" w:customStyle="1" w:styleId="150">
    <w:name w:val="项目符号：一级"/>
    <w:basedOn w:val="151"/>
    <w:next w:val="151"/>
    <w:autoRedefine/>
    <w:qFormat/>
    <w:uiPriority w:val="0"/>
    <w:pPr>
      <w:ind w:right="-134" w:rightChars="-64"/>
    </w:pPr>
    <w:rPr>
      <w:bCs w:val="0"/>
    </w:rPr>
  </w:style>
  <w:style w:type="paragraph" w:customStyle="1" w:styleId="151">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152">
    <w:name w:val="CD 正文"/>
    <w:basedOn w:val="1"/>
    <w:autoRedefine/>
    <w:qFormat/>
    <w:uiPriority w:val="0"/>
    <w:pPr>
      <w:jc w:val="left"/>
    </w:pPr>
    <w:rPr>
      <w:rFonts w:ascii="Arial" w:hAnsi="Arial" w:eastAsia="微软雅黑"/>
    </w:rPr>
  </w:style>
  <w:style w:type="paragraph" w:customStyle="1" w:styleId="153">
    <w:name w:val="默认段落字体 Para Char Char Char Char Char Char Char"/>
    <w:basedOn w:val="1"/>
    <w:autoRedefine/>
    <w:qFormat/>
    <w:uiPriority w:val="0"/>
    <w:rPr>
      <w:rFonts w:ascii="Tahoma" w:hAnsi="Tahoma"/>
      <w:sz w:val="24"/>
      <w:szCs w:val="20"/>
    </w:rPr>
  </w:style>
  <w:style w:type="paragraph" w:customStyle="1" w:styleId="154">
    <w:name w:val="普通(网站)1"/>
    <w:basedOn w:val="1"/>
    <w:autoRedefine/>
    <w:qFormat/>
    <w:uiPriority w:val="0"/>
    <w:pPr>
      <w:widowControl/>
      <w:spacing w:before="100" w:beforeAutospacing="1" w:after="100" w:afterAutospacing="1"/>
      <w:jc w:val="left"/>
    </w:pPr>
    <w:rPr>
      <w:rFonts w:ascii="宋体" w:cs="宋体"/>
      <w:kern w:val="0"/>
      <w:sz w:val="24"/>
    </w:rPr>
  </w:style>
  <w:style w:type="paragraph" w:customStyle="1" w:styleId="155">
    <w:name w:val="样式 标题 3H32nd Subheadl3CTh3Level 3 Headlevel_3PIM 3Headi...2"/>
    <w:basedOn w:val="5"/>
    <w:autoRedefine/>
    <w:qFormat/>
    <w:uiPriority w:val="0"/>
    <w:pPr>
      <w:tabs>
        <w:tab w:val="left" w:pos="709"/>
      </w:tabs>
      <w:adjustRightInd w:val="0"/>
      <w:spacing w:after="120" w:line="360" w:lineRule="auto"/>
      <w:ind w:left="709" w:hanging="709"/>
      <w:jc w:val="left"/>
      <w:textAlignment w:val="baseline"/>
    </w:pPr>
    <w:rPr>
      <w:rFonts w:cs="宋体"/>
      <w:kern w:val="0"/>
      <w:sz w:val="30"/>
      <w:szCs w:val="20"/>
    </w:rPr>
  </w:style>
  <w:style w:type="paragraph" w:customStyle="1" w:styleId="156">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57">
    <w:name w:val="p0"/>
    <w:basedOn w:val="1"/>
    <w:autoRedefine/>
    <w:qFormat/>
    <w:uiPriority w:val="0"/>
    <w:pPr>
      <w:widowControl/>
    </w:pPr>
    <w:rPr>
      <w:kern w:val="0"/>
      <w:szCs w:val="21"/>
    </w:rPr>
  </w:style>
  <w:style w:type="paragraph" w:customStyle="1" w:styleId="158">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159">
    <w:name w:val="项目符号，一级"/>
    <w:basedOn w:val="151"/>
    <w:next w:val="151"/>
    <w:autoRedefine/>
    <w:qFormat/>
    <w:uiPriority w:val="0"/>
    <w:pPr>
      <w:tabs>
        <w:tab w:val="left" w:pos="1320"/>
      </w:tabs>
      <w:spacing w:line="240" w:lineRule="atLeast"/>
      <w:ind w:left="376" w:leftChars="179" w:firstLine="0"/>
    </w:pPr>
    <w:rPr>
      <w:bCs w:val="0"/>
      <w:color w:val="000000"/>
      <w:szCs w:val="24"/>
    </w:rPr>
  </w:style>
  <w:style w:type="paragraph" w:customStyle="1" w:styleId="160">
    <w:name w:val="二级条标题"/>
    <w:basedOn w:val="1"/>
    <w:next w:val="161"/>
    <w:autoRedefine/>
    <w:qFormat/>
    <w:uiPriority w:val="0"/>
    <w:pPr>
      <w:widowControl/>
      <w:tabs>
        <w:tab w:val="left" w:pos="2240"/>
      </w:tabs>
      <w:ind w:hanging="420"/>
      <w:outlineLvl w:val="3"/>
    </w:pPr>
    <w:rPr>
      <w:rFonts w:eastAsia="黑体"/>
      <w:kern w:val="0"/>
      <w:szCs w:val="20"/>
    </w:rPr>
  </w:style>
  <w:style w:type="paragraph" w:customStyle="1" w:styleId="161">
    <w:name w:val="段"/>
    <w:next w:val="1"/>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62">
    <w:name w:val="默认段落字体 Para Char Char Char Char Char Char Char Char Char1 Char Char Char Char Char Char Char"/>
    <w:basedOn w:val="15"/>
    <w:autoRedefine/>
    <w:qFormat/>
    <w:uiPriority w:val="0"/>
    <w:rPr>
      <w:szCs w:val="20"/>
    </w:rPr>
  </w:style>
  <w:style w:type="paragraph" w:customStyle="1" w:styleId="163">
    <w:name w:val="Char Char Char Char Char Char Char1"/>
    <w:basedOn w:val="1"/>
    <w:autoRedefine/>
    <w:qFormat/>
    <w:uiPriority w:val="0"/>
    <w:pPr>
      <w:jc w:val="left"/>
    </w:pPr>
    <w:rPr>
      <w:rFonts w:ascii="Tahoma" w:hAnsi="Tahoma"/>
      <w:sz w:val="24"/>
      <w:szCs w:val="20"/>
    </w:rPr>
  </w:style>
  <w:style w:type="paragraph" w:customStyle="1" w:styleId="164">
    <w:name w:val="正文 首行缩进:  2 字符 Char"/>
    <w:basedOn w:val="1"/>
    <w:autoRedefine/>
    <w:qFormat/>
    <w:uiPriority w:val="0"/>
    <w:pPr>
      <w:spacing w:line="360" w:lineRule="auto"/>
      <w:ind w:firstLine="480"/>
    </w:pPr>
    <w:rPr>
      <w:rFonts w:cs="宋体"/>
      <w:sz w:val="24"/>
      <w:szCs w:val="20"/>
    </w:rPr>
  </w:style>
  <w:style w:type="paragraph" w:customStyle="1" w:styleId="165">
    <w:name w:val="大标题"/>
    <w:basedOn w:val="1"/>
    <w:next w:val="1"/>
    <w:autoRedefine/>
    <w:qFormat/>
    <w:uiPriority w:val="0"/>
    <w:pPr>
      <w:pageBreakBefore/>
      <w:tabs>
        <w:tab w:val="left" w:pos="420"/>
      </w:tabs>
      <w:spacing w:line="360" w:lineRule="auto"/>
      <w:ind w:hanging="420" w:firstLineChars="200"/>
      <w:outlineLvl w:val="0"/>
    </w:pPr>
    <w:rPr>
      <w:b/>
      <w:iCs/>
      <w:sz w:val="44"/>
    </w:rPr>
  </w:style>
  <w:style w:type="paragraph" w:customStyle="1" w:styleId="166">
    <w:name w:val="正文--表格内正文"/>
    <w:basedOn w:val="1"/>
    <w:autoRedefine/>
    <w:qFormat/>
    <w:uiPriority w:val="0"/>
    <w:pPr>
      <w:spacing w:beforeLines="50" w:line="0" w:lineRule="atLeast"/>
      <w:jc w:val="center"/>
    </w:pPr>
    <w:rPr>
      <w:rFonts w:ascii="宋体" w:hAnsi="宋体"/>
      <w:color w:val="000000"/>
      <w:sz w:val="24"/>
    </w:rPr>
  </w:style>
  <w:style w:type="paragraph" w:customStyle="1" w:styleId="167">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168">
    <w:name w:val="正文_0_0"/>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69">
    <w:name w:val="Char Char Char Char Char"/>
    <w:basedOn w:val="1"/>
    <w:autoRedefine/>
    <w:qFormat/>
    <w:uiPriority w:val="0"/>
    <w:rPr>
      <w:rFonts w:ascii="Tahoma" w:hAnsi="Tahoma"/>
      <w:sz w:val="24"/>
      <w:szCs w:val="20"/>
    </w:rPr>
  </w:style>
  <w:style w:type="paragraph" w:customStyle="1" w:styleId="170">
    <w:name w:val="表头_5"/>
    <w:basedOn w:val="1"/>
    <w:autoRedefine/>
    <w:qFormat/>
    <w:uiPriority w:val="0"/>
    <w:pPr>
      <w:adjustRightInd w:val="0"/>
      <w:spacing w:line="360" w:lineRule="auto"/>
      <w:textAlignment w:val="baseline"/>
    </w:pPr>
    <w:rPr>
      <w:b/>
      <w:bCs/>
      <w:sz w:val="28"/>
      <w:szCs w:val="21"/>
    </w:rPr>
  </w:style>
  <w:style w:type="paragraph" w:customStyle="1" w:styleId="1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172">
    <w:name w:val="正文缩进2字符"/>
    <w:basedOn w:val="1"/>
    <w:autoRedefine/>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173">
    <w:name w:val="xl28"/>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宋体" w:hAnsi="宋体"/>
      <w:kern w:val="0"/>
      <w:sz w:val="24"/>
      <w:szCs w:val="20"/>
    </w:rPr>
  </w:style>
  <w:style w:type="paragraph" w:customStyle="1" w:styleId="174">
    <w:name w:val="条1"/>
    <w:basedOn w:val="1"/>
    <w:autoRedefine/>
    <w:qFormat/>
    <w:uiPriority w:val="0"/>
    <w:pPr>
      <w:tabs>
        <w:tab w:val="left" w:pos="780"/>
      </w:tabs>
      <w:spacing w:before="156" w:line="360" w:lineRule="auto"/>
      <w:ind w:left="780" w:hanging="360"/>
    </w:pPr>
    <w:rPr>
      <w:rFonts w:eastAsia="黑体"/>
      <w:sz w:val="24"/>
      <w:szCs w:val="20"/>
    </w:rPr>
  </w:style>
  <w:style w:type="paragraph" w:customStyle="1" w:styleId="175">
    <w:name w:val="Char"/>
    <w:basedOn w:val="1"/>
    <w:autoRedefine/>
    <w:qFormat/>
    <w:uiPriority w:val="0"/>
    <w:pPr>
      <w:spacing w:afterLines="50" w:line="360" w:lineRule="auto"/>
    </w:pPr>
    <w:rPr>
      <w:rFonts w:ascii="Tahoma" w:hAnsi="Tahoma"/>
      <w:sz w:val="24"/>
      <w:szCs w:val="20"/>
    </w:rPr>
  </w:style>
  <w:style w:type="paragraph" w:customStyle="1" w:styleId="176">
    <w:name w:val="正文 + 宋体"/>
    <w:basedOn w:val="1"/>
    <w:autoRedefine/>
    <w:qFormat/>
    <w:uiPriority w:val="0"/>
    <w:pPr>
      <w:spacing w:line="360" w:lineRule="auto"/>
      <w:ind w:firstLine="420" w:firstLineChars="200"/>
    </w:pPr>
  </w:style>
  <w:style w:type="paragraph" w:customStyle="1" w:styleId="177">
    <w:name w:val="标准文本"/>
    <w:basedOn w:val="1"/>
    <w:autoRedefine/>
    <w:qFormat/>
    <w:uiPriority w:val="0"/>
    <w:pPr>
      <w:spacing w:line="360" w:lineRule="auto"/>
      <w:ind w:firstLine="480" w:firstLineChars="200"/>
    </w:pPr>
    <w:rPr>
      <w:rFonts w:cs="宋体"/>
      <w:sz w:val="24"/>
    </w:rPr>
  </w:style>
  <w:style w:type="paragraph" w:customStyle="1" w:styleId="178">
    <w:name w:val="xl4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179">
    <w:name w:val="样式 标题 3H3sect1.2.3BOD 0Heading 3 - oldh3l3CTLevel 3 Head..."/>
    <w:basedOn w:val="5"/>
    <w:autoRedefine/>
    <w:qFormat/>
    <w:uiPriority w:val="0"/>
    <w:pPr>
      <w:spacing w:beforeLines="50" w:afterLines="50" w:line="240" w:lineRule="auto"/>
      <w:jc w:val="left"/>
    </w:pPr>
    <w:rPr>
      <w:rFonts w:cs="宋体"/>
      <w:sz w:val="30"/>
      <w:szCs w:val="20"/>
    </w:rPr>
  </w:style>
  <w:style w:type="paragraph" w:customStyle="1" w:styleId="180">
    <w:name w:val="正文文本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81">
    <w:name w:val="Body text5"/>
    <w:basedOn w:val="1"/>
    <w:autoRedefine/>
    <w:qFormat/>
    <w:uiPriority w:val="0"/>
    <w:pPr>
      <w:shd w:val="clear" w:color="auto" w:fill="FFFFFF"/>
      <w:spacing w:before="600" w:line="470" w:lineRule="exact"/>
      <w:jc w:val="distribute"/>
    </w:pPr>
    <w:rPr>
      <w:rFonts w:ascii="宋体" w:hAnsi="宋体" w:cs="宋体"/>
      <w:sz w:val="22"/>
      <w:szCs w:val="22"/>
    </w:rPr>
  </w:style>
  <w:style w:type="paragraph" w:customStyle="1" w:styleId="182">
    <w:name w:val="content_lineheight"/>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83">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kern w:val="0"/>
      <w:sz w:val="20"/>
      <w:szCs w:val="20"/>
    </w:rPr>
  </w:style>
  <w:style w:type="paragraph" w:customStyle="1" w:styleId="184">
    <w:name w:val="p16"/>
    <w:basedOn w:val="1"/>
    <w:autoRedefine/>
    <w:qFormat/>
    <w:uiPriority w:val="0"/>
    <w:pPr>
      <w:widowControl/>
      <w:ind w:left="720"/>
      <w:jc w:val="left"/>
    </w:pPr>
    <w:rPr>
      <w:rFonts w:ascii="Arial" w:hAnsi="Arial" w:cs="Arial"/>
      <w:kern w:val="0"/>
      <w:sz w:val="24"/>
    </w:rPr>
  </w:style>
  <w:style w:type="paragraph" w:customStyle="1" w:styleId="185">
    <w:name w:val="flType"/>
    <w:basedOn w:val="186"/>
    <w:autoRedefine/>
    <w:qFormat/>
    <w:uiPriority w:val="0"/>
    <w:pPr>
      <w:spacing w:after="284"/>
    </w:pPr>
    <w:rPr>
      <w:rFonts w:eastAsia="宋体"/>
      <w:b w:val="0"/>
    </w:rPr>
  </w:style>
  <w:style w:type="paragraph" w:customStyle="1" w:styleId="186">
    <w:name w:val="flName"/>
    <w:basedOn w:val="187"/>
    <w:autoRedefine/>
    <w:qFormat/>
    <w:uiPriority w:val="0"/>
    <w:pPr>
      <w:spacing w:before="0" w:line="113" w:lineRule="atLeast"/>
    </w:pPr>
  </w:style>
  <w:style w:type="paragraph" w:customStyle="1" w:styleId="187">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88">
    <w:name w:val="马刚标题4"/>
    <w:basedOn w:val="189"/>
    <w:next w:val="1"/>
    <w:autoRedefine/>
    <w:qFormat/>
    <w:uiPriority w:val="0"/>
    <w:pPr>
      <w:tabs>
        <w:tab w:val="left" w:pos="567"/>
        <w:tab w:val="left" w:pos="735"/>
        <w:tab w:val="left" w:pos="1050"/>
      </w:tabs>
      <w:spacing w:before="100" w:after="40"/>
      <w:outlineLvl w:val="3"/>
    </w:pPr>
    <w:rPr>
      <w:b w:val="0"/>
    </w:rPr>
  </w:style>
  <w:style w:type="paragraph" w:customStyle="1" w:styleId="18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190">
    <w:name w:val="Char Char Char Char Char Char Char"/>
    <w:basedOn w:val="1"/>
    <w:autoRedefine/>
    <w:qFormat/>
    <w:uiPriority w:val="0"/>
    <w:rPr>
      <w:rFonts w:ascii="Tahoma" w:hAnsi="Tahoma"/>
      <w:sz w:val="24"/>
      <w:szCs w:val="20"/>
    </w:rPr>
  </w:style>
  <w:style w:type="paragraph" w:customStyle="1" w:styleId="191">
    <w:name w:val="Char Char1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92">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193">
    <w:name w:val="Char1"/>
    <w:basedOn w:val="1"/>
    <w:autoRedefine/>
    <w:qFormat/>
    <w:uiPriority w:val="0"/>
    <w:rPr>
      <w:rFonts w:ascii="仿宋_GB2312" w:eastAsia="仿宋_GB2312"/>
      <w:b/>
      <w:sz w:val="32"/>
      <w:szCs w:val="32"/>
    </w:rPr>
  </w:style>
  <w:style w:type="paragraph" w:customStyle="1" w:styleId="194">
    <w:name w:val="标准小四"/>
    <w:basedOn w:val="1"/>
    <w:autoRedefine/>
    <w:qFormat/>
    <w:uiPriority w:val="0"/>
    <w:pPr>
      <w:spacing w:line="360" w:lineRule="auto"/>
      <w:ind w:firstLine="480" w:firstLineChars="200"/>
    </w:pPr>
    <w:rPr>
      <w:rFonts w:ascii="Arial" w:hAnsi="Arial"/>
      <w:sz w:val="24"/>
      <w:szCs w:val="21"/>
    </w:rPr>
  </w:style>
  <w:style w:type="paragraph" w:customStyle="1" w:styleId="195">
    <w:name w:val="公文标题 2"/>
    <w:basedOn w:val="1"/>
    <w:next w:val="196"/>
    <w:autoRedefine/>
    <w:qFormat/>
    <w:uiPriority w:val="0"/>
    <w:pPr>
      <w:outlineLvl w:val="1"/>
    </w:pPr>
    <w:rPr>
      <w:rFonts w:ascii="仿宋_GB2312" w:hAnsi="宋体" w:eastAsia="仿宋_GB2312"/>
      <w:kern w:val="28"/>
      <w:sz w:val="28"/>
    </w:rPr>
  </w:style>
  <w:style w:type="paragraph" w:customStyle="1" w:styleId="196">
    <w:name w:val="公文正文"/>
    <w:basedOn w:val="20"/>
    <w:autoRedefine/>
    <w:qFormat/>
    <w:uiPriority w:val="0"/>
    <w:pPr>
      <w:spacing w:after="0"/>
      <w:ind w:left="0" w:leftChars="0" w:firstLine="200" w:firstLineChars="200"/>
    </w:pPr>
    <w:rPr>
      <w:rFonts w:ascii="仿宋_GB2312" w:hAnsi="宋体" w:eastAsia="仿宋_GB2312"/>
      <w:kern w:val="28"/>
      <w:sz w:val="28"/>
    </w:rPr>
  </w:style>
  <w:style w:type="paragraph" w:customStyle="1" w:styleId="197">
    <w:name w:val="项目符号，二级"/>
    <w:basedOn w:val="151"/>
    <w:next w:val="151"/>
    <w:autoRedefine/>
    <w:qFormat/>
    <w:uiPriority w:val="0"/>
    <w:pPr>
      <w:tabs>
        <w:tab w:val="left" w:pos="1211"/>
        <w:tab w:val="left" w:pos="1337"/>
      </w:tabs>
      <w:ind w:left="1337" w:right="-27" w:firstLine="480"/>
    </w:pPr>
    <w:rPr>
      <w:bCs w:val="0"/>
      <w:color w:val="000000"/>
      <w:sz w:val="24"/>
      <w:szCs w:val="24"/>
    </w:rPr>
  </w:style>
  <w:style w:type="paragraph" w:customStyle="1" w:styleId="198">
    <w:name w:val="表蕊"/>
    <w:basedOn w:val="1"/>
    <w:autoRedefine/>
    <w:qFormat/>
    <w:uiPriority w:val="0"/>
    <w:pPr>
      <w:adjustRightInd w:val="0"/>
      <w:spacing w:line="320" w:lineRule="atLeast"/>
      <w:jc w:val="left"/>
      <w:textAlignment w:val="baseline"/>
    </w:pPr>
    <w:rPr>
      <w:rFonts w:eastAsia="楷体_GB2312"/>
      <w:spacing w:val="-10"/>
      <w:kern w:val="0"/>
      <w:szCs w:val="20"/>
    </w:rPr>
  </w:style>
  <w:style w:type="paragraph" w:customStyle="1" w:styleId="199">
    <w:name w:val="样式4 Char"/>
    <w:basedOn w:val="1"/>
    <w:autoRedefine/>
    <w:qFormat/>
    <w:uiPriority w:val="0"/>
    <w:pPr>
      <w:widowControl/>
      <w:spacing w:line="360" w:lineRule="auto"/>
      <w:ind w:firstLine="480"/>
      <w:jc w:val="left"/>
    </w:pPr>
    <w:rPr>
      <w:rFonts w:cs="宋体"/>
      <w:color w:val="000000"/>
      <w:kern w:val="0"/>
      <w:sz w:val="24"/>
    </w:rPr>
  </w:style>
  <w:style w:type="paragraph" w:customStyle="1" w:styleId="200">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01">
    <w:name w:val="a0"/>
    <w:basedOn w:val="1"/>
    <w:autoRedefine/>
    <w:qFormat/>
    <w:uiPriority w:val="0"/>
    <w:pPr>
      <w:widowControl/>
      <w:spacing w:before="100" w:beforeAutospacing="1" w:after="100" w:afterAutospacing="1"/>
    </w:pPr>
    <w:rPr>
      <w:rFonts w:ascii="宋体" w:hAnsi="宋体" w:cs="宋体"/>
      <w:kern w:val="0"/>
      <w:sz w:val="24"/>
    </w:rPr>
  </w:style>
  <w:style w:type="paragraph" w:customStyle="1" w:styleId="202">
    <w:name w:val="Test2"/>
    <w:basedOn w:val="4"/>
    <w:autoRedefine/>
    <w:qFormat/>
    <w:uiPriority w:val="0"/>
    <w:pPr>
      <w:widowControl/>
      <w:adjustRightInd w:val="0"/>
      <w:snapToGrid w:val="0"/>
      <w:spacing w:beforeLines="50" w:afterLines="50" w:line="480" w:lineRule="exact"/>
      <w:jc w:val="center"/>
    </w:pPr>
    <w:rPr>
      <w:rFonts w:ascii="黑体"/>
      <w:snapToGrid w:val="0"/>
      <w:kern w:val="0"/>
      <w:sz w:val="24"/>
      <w:szCs w:val="24"/>
    </w:rPr>
  </w:style>
  <w:style w:type="paragraph" w:customStyle="1" w:styleId="203">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204">
    <w:name w:val="正文 首行缩进:  2 字符 Char Char"/>
    <w:basedOn w:val="1"/>
    <w:autoRedefine/>
    <w:qFormat/>
    <w:uiPriority w:val="0"/>
    <w:pPr>
      <w:spacing w:line="360" w:lineRule="auto"/>
      <w:ind w:firstLine="480"/>
    </w:pPr>
    <w:rPr>
      <w:rFonts w:ascii="楷体_GB2312" w:eastAsia="楷体_GB2312"/>
      <w:bCs/>
      <w:sz w:val="24"/>
    </w:rPr>
  </w:style>
  <w:style w:type="paragraph" w:customStyle="1" w:styleId="205">
    <w:name w:val="！正文"/>
    <w:basedOn w:val="1"/>
    <w:autoRedefine/>
    <w:qFormat/>
    <w:uiPriority w:val="0"/>
    <w:pPr>
      <w:spacing w:line="360" w:lineRule="auto"/>
      <w:ind w:firstLine="200" w:firstLineChars="200"/>
    </w:pPr>
    <w:rPr>
      <w:sz w:val="28"/>
    </w:rPr>
  </w:style>
  <w:style w:type="paragraph" w:customStyle="1" w:styleId="206">
    <w:name w:val="Char1 Char Char Char"/>
    <w:basedOn w:val="1"/>
    <w:autoRedefine/>
    <w:qFormat/>
    <w:uiPriority w:val="0"/>
    <w:rPr>
      <w:rFonts w:ascii="Tahoma" w:hAnsi="Tahoma"/>
      <w:sz w:val="24"/>
      <w:szCs w:val="20"/>
    </w:rPr>
  </w:style>
  <w:style w:type="paragraph" w:customStyle="1" w:styleId="207">
    <w:name w:val="样式 段后: 0.5 行 左  0.75 字符"/>
    <w:basedOn w:val="1"/>
    <w:autoRedefine/>
    <w:qFormat/>
    <w:uiPriority w:val="0"/>
    <w:pPr>
      <w:widowControl/>
      <w:spacing w:line="360" w:lineRule="auto"/>
      <w:ind w:firstLine="420" w:firstLineChars="200"/>
    </w:pPr>
    <w:rPr>
      <w:rFonts w:hAnsi="Arial" w:cs="Arial"/>
      <w:kern w:val="0"/>
      <w:szCs w:val="21"/>
    </w:rPr>
  </w:style>
  <w:style w:type="paragraph" w:customStyle="1" w:styleId="208">
    <w:name w:val="正文1"/>
    <w:basedOn w:val="1"/>
    <w:next w:val="1"/>
    <w:autoRedefine/>
    <w:qFormat/>
    <w:uiPriority w:val="0"/>
    <w:pPr>
      <w:spacing w:before="156" w:line="360" w:lineRule="auto"/>
      <w:ind w:firstLine="510" w:firstLineChars="200"/>
    </w:pPr>
    <w:rPr>
      <w:sz w:val="24"/>
      <w:szCs w:val="20"/>
    </w:rPr>
  </w:style>
  <w:style w:type="paragraph" w:customStyle="1" w:styleId="209">
    <w:name w:val="符号与编号 Char Char"/>
    <w:basedOn w:val="1"/>
    <w:autoRedefine/>
    <w:qFormat/>
    <w:uiPriority w:val="0"/>
    <w:pPr>
      <w:tabs>
        <w:tab w:val="left" w:pos="840"/>
      </w:tabs>
      <w:spacing w:afterLines="50" w:line="400" w:lineRule="atLeast"/>
      <w:ind w:left="839" w:hanging="419"/>
    </w:pPr>
    <w:rPr>
      <w:sz w:val="24"/>
    </w:rPr>
  </w:style>
  <w:style w:type="paragraph" w:customStyle="1" w:styleId="210">
    <w:name w:val="三级条标题"/>
    <w:next w:val="1"/>
    <w:autoRedefine/>
    <w:qFormat/>
    <w:uiPriority w:val="0"/>
    <w:pPr>
      <w:jc w:val="both"/>
      <w:outlineLvl w:val="4"/>
    </w:pPr>
    <w:rPr>
      <w:rFonts w:ascii="黑体" w:hAnsi="Calibri" w:eastAsia="黑体" w:cs="Times New Roman"/>
      <w:sz w:val="21"/>
      <w:lang w:val="en-US" w:eastAsia="zh-CN" w:bidi="ar-SA"/>
    </w:rPr>
  </w:style>
  <w:style w:type="paragraph" w:customStyle="1" w:styleId="211">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12">
    <w:name w:val="Char Char Char Char Char Char Char Char Char Char Char1 Char Char Char1"/>
    <w:basedOn w:val="1"/>
    <w:autoRedefine/>
    <w:qFormat/>
    <w:uiPriority w:val="0"/>
    <w:pPr>
      <w:ind w:firstLine="200" w:firstLineChars="200"/>
      <w:jc w:val="left"/>
    </w:pPr>
    <w:rPr>
      <w:rFonts w:ascii="Tahoma" w:hAnsi="Tahoma"/>
      <w:sz w:val="24"/>
    </w:rPr>
  </w:style>
  <w:style w:type="paragraph" w:customStyle="1" w:styleId="213">
    <w:name w:val="Char Char Char Char Char Char Char Char Char"/>
    <w:basedOn w:val="1"/>
    <w:autoRedefine/>
    <w:qFormat/>
    <w:uiPriority w:val="0"/>
    <w:rPr>
      <w:szCs w:val="21"/>
    </w:rPr>
  </w:style>
  <w:style w:type="paragraph" w:customStyle="1" w:styleId="214">
    <w:name w:val="符号与编号"/>
    <w:basedOn w:val="1"/>
    <w:autoRedefine/>
    <w:qFormat/>
    <w:uiPriority w:val="0"/>
    <w:pPr>
      <w:tabs>
        <w:tab w:val="left" w:pos="900"/>
      </w:tabs>
      <w:spacing w:afterLines="50" w:line="400" w:lineRule="atLeast"/>
      <w:ind w:left="900" w:hanging="420"/>
    </w:pPr>
    <w:rPr>
      <w:sz w:val="24"/>
    </w:rPr>
  </w:style>
  <w:style w:type="paragraph" w:customStyle="1" w:styleId="215">
    <w:name w:val="列出段落2"/>
    <w:basedOn w:val="1"/>
    <w:autoRedefine/>
    <w:qFormat/>
    <w:uiPriority w:val="0"/>
    <w:pPr>
      <w:widowControl/>
      <w:ind w:left="720"/>
      <w:contextualSpacing/>
      <w:jc w:val="left"/>
    </w:pPr>
    <w:rPr>
      <w:rFonts w:ascii="Arial" w:hAnsi="Arial" w:eastAsia="黑体"/>
      <w:kern w:val="0"/>
      <w:sz w:val="24"/>
      <w:lang w:eastAsia="en-US"/>
    </w:rPr>
  </w:style>
  <w:style w:type="paragraph" w:customStyle="1" w:styleId="216">
    <w:name w:val="标题2，章节第二层"/>
    <w:basedOn w:val="1"/>
    <w:next w:val="151"/>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17">
    <w:name w:val="正文 居中"/>
    <w:basedOn w:val="1"/>
    <w:autoRedefine/>
    <w:qFormat/>
    <w:uiPriority w:val="0"/>
    <w:pPr>
      <w:spacing w:line="360" w:lineRule="auto"/>
      <w:jc w:val="center"/>
    </w:pPr>
    <w:rPr>
      <w:sz w:val="24"/>
      <w:szCs w:val="20"/>
    </w:rPr>
  </w:style>
  <w:style w:type="paragraph" w:customStyle="1" w:styleId="218">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219">
    <w:name w:val="Char Char1"/>
    <w:basedOn w:val="1"/>
    <w:autoRedefine/>
    <w:qFormat/>
    <w:uiPriority w:val="0"/>
    <w:pPr>
      <w:widowControl/>
      <w:spacing w:after="160" w:line="240" w:lineRule="exact"/>
      <w:jc w:val="left"/>
    </w:pPr>
    <w:rPr>
      <w:rFonts w:eastAsia="仿宋_GB2312"/>
      <w:sz w:val="28"/>
    </w:rPr>
  </w:style>
  <w:style w:type="paragraph" w:customStyle="1" w:styleId="220">
    <w:name w:val="af17cgridlangnp1033langf"/>
    <w:autoRedefine/>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221">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22">
    <w:name w:val="样式 样式 首行缩进:  2 字符 + 行距: 1.5 倍行距"/>
    <w:basedOn w:val="1"/>
    <w:autoRedefine/>
    <w:qFormat/>
    <w:uiPriority w:val="0"/>
    <w:pPr>
      <w:spacing w:line="360" w:lineRule="auto"/>
      <w:ind w:firstLine="470" w:firstLineChars="196"/>
    </w:pPr>
    <w:rPr>
      <w:sz w:val="24"/>
      <w:szCs w:val="20"/>
    </w:rPr>
  </w:style>
  <w:style w:type="paragraph" w:customStyle="1" w:styleId="223">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224">
    <w:name w:val="小四 段落 宋体 Char"/>
    <w:basedOn w:val="14"/>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225">
    <w:name w:val="样式 加点正文 + 段前: 0.5 行 段后: 0.5 行1"/>
    <w:basedOn w:val="1"/>
    <w:autoRedefine/>
    <w:qFormat/>
    <w:uiPriority w:val="0"/>
    <w:pPr>
      <w:tabs>
        <w:tab w:val="left" w:pos="1268"/>
      </w:tabs>
      <w:spacing w:beforeLines="50" w:afterLines="50" w:line="300" w:lineRule="auto"/>
      <w:ind w:left="1268" w:hanging="420"/>
    </w:pPr>
    <w:rPr>
      <w:sz w:val="24"/>
      <w:szCs w:val="20"/>
    </w:rPr>
  </w:style>
  <w:style w:type="paragraph" w:customStyle="1" w:styleId="226">
    <w:name w:val="qw"/>
    <w:autoRedefine/>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227">
    <w:name w:val="样式1"/>
    <w:basedOn w:val="1"/>
    <w:autoRedefine/>
    <w:qFormat/>
    <w:uiPriority w:val="0"/>
    <w:pPr>
      <w:spacing w:line="300" w:lineRule="auto"/>
      <w:ind w:firstLine="480" w:firstLineChars="200"/>
    </w:pPr>
    <w:rPr>
      <w:sz w:val="24"/>
    </w:rPr>
  </w:style>
  <w:style w:type="paragraph" w:customStyle="1" w:styleId="228">
    <w:name w:val="列出段落11"/>
    <w:basedOn w:val="1"/>
    <w:autoRedefine/>
    <w:qFormat/>
    <w:uiPriority w:val="0"/>
    <w:pPr>
      <w:widowControl/>
      <w:ind w:left="720"/>
      <w:contextualSpacing/>
      <w:jc w:val="left"/>
    </w:pPr>
    <w:rPr>
      <w:rFonts w:ascii="Arial" w:hAnsi="Arial" w:eastAsia="黑体"/>
      <w:kern w:val="0"/>
      <w:sz w:val="24"/>
      <w:lang w:eastAsia="en-US"/>
    </w:rPr>
  </w:style>
  <w:style w:type="paragraph" w:customStyle="1" w:styleId="229">
    <w:name w:val="Char Char Char1"/>
    <w:basedOn w:val="1"/>
    <w:autoRedefine/>
    <w:qFormat/>
    <w:uiPriority w:val="0"/>
    <w:rPr>
      <w:rFonts w:ascii="Tahoma" w:hAnsi="Tahoma"/>
      <w:sz w:val="24"/>
      <w:szCs w:val="20"/>
    </w:rPr>
  </w:style>
  <w:style w:type="paragraph" w:customStyle="1" w:styleId="230">
    <w:name w:val="Char Char Char Char Char Char Char Char Char1"/>
    <w:basedOn w:val="1"/>
    <w:autoRedefine/>
    <w:qFormat/>
    <w:uiPriority w:val="0"/>
    <w:pPr>
      <w:tabs>
        <w:tab w:val="left" w:pos="360"/>
      </w:tabs>
      <w:ind w:left="360" w:hanging="360" w:hangingChars="200"/>
    </w:pPr>
    <w:rPr>
      <w:sz w:val="24"/>
    </w:rPr>
  </w:style>
  <w:style w:type="paragraph" w:customStyle="1" w:styleId="231">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32">
    <w:name w:val="马刚标题1"/>
    <w:basedOn w:val="3"/>
    <w:next w:val="1"/>
    <w:autoRedefine/>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233">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34">
    <w:name w:val="Char Char Char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35">
    <w:name w:val="丁华正文"/>
    <w:basedOn w:val="36"/>
    <w:autoRedefine/>
    <w:qFormat/>
    <w:uiPriority w:val="0"/>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236">
    <w:name w:val="Char Char 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237">
    <w:name w:val="Char Char Char Char Char Char Char Char Char Char Char Char Char Char"/>
    <w:basedOn w:val="1"/>
    <w:autoRedefine/>
    <w:qFormat/>
    <w:uiPriority w:val="0"/>
    <w:rPr>
      <w:rFonts w:ascii="Tahoma" w:hAnsi="Tahoma"/>
      <w:sz w:val="24"/>
      <w:szCs w:val="20"/>
    </w:rPr>
  </w:style>
  <w:style w:type="paragraph" w:customStyle="1" w:styleId="238">
    <w:name w:val="小四 段落 宋体"/>
    <w:basedOn w:val="14"/>
    <w:autoRedefine/>
    <w:qFormat/>
    <w:uiPriority w:val="0"/>
    <w:pPr>
      <w:tabs>
        <w:tab w:val="clear" w:pos="2952"/>
      </w:tabs>
      <w:spacing w:line="360" w:lineRule="auto"/>
      <w:ind w:left="113" w:right="113" w:firstLine="425"/>
      <w:jc w:val="left"/>
    </w:pPr>
    <w:rPr>
      <w:sz w:val="24"/>
    </w:rPr>
  </w:style>
  <w:style w:type="paragraph" w:customStyle="1" w:styleId="239">
    <w:name w:val="小四 段落 宋体 Char Char Char Char"/>
    <w:basedOn w:val="1"/>
    <w:autoRedefine/>
    <w:qFormat/>
    <w:uiPriority w:val="0"/>
    <w:pPr>
      <w:spacing w:line="360" w:lineRule="auto"/>
      <w:ind w:right="-33" w:firstLine="480" w:firstLineChars="200"/>
      <w:jc w:val="left"/>
    </w:pPr>
    <w:rPr>
      <w:sz w:val="24"/>
    </w:rPr>
  </w:style>
  <w:style w:type="paragraph" w:customStyle="1" w:styleId="240">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41">
    <w:name w:val="样式 样式 标题 3H3sect1.2.3BOD 0Heading 3 - oldh3l3CTLevel 3 Head... +..."/>
    <w:basedOn w:val="1"/>
    <w:autoRedefine/>
    <w:qFormat/>
    <w:uiPriority w:val="0"/>
    <w:pPr>
      <w:keepNext/>
      <w:keepLines/>
      <w:spacing w:beforeLines="50" w:afterLines="50"/>
      <w:jc w:val="left"/>
      <w:outlineLvl w:val="2"/>
    </w:pPr>
    <w:rPr>
      <w:rFonts w:cs="宋体"/>
      <w:b/>
      <w:bCs/>
      <w:sz w:val="24"/>
      <w:szCs w:val="20"/>
    </w:rPr>
  </w:style>
  <w:style w:type="paragraph" w:customStyle="1" w:styleId="242">
    <w:name w:val="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3">
    <w:name w:val="Char Char11"/>
    <w:basedOn w:val="1"/>
    <w:autoRedefine/>
    <w:qFormat/>
    <w:uiPriority w:val="0"/>
    <w:rPr>
      <w:rFonts w:ascii="Tahoma" w:hAnsi="Tahoma"/>
      <w:sz w:val="24"/>
      <w:szCs w:val="20"/>
    </w:rPr>
  </w:style>
  <w:style w:type="paragraph" w:customStyle="1" w:styleId="244">
    <w:name w:val="z-窗体底端1"/>
    <w:basedOn w:val="1"/>
    <w:next w:val="1"/>
    <w:autoRedefine/>
    <w:qFormat/>
    <w:uiPriority w:val="0"/>
    <w:pPr>
      <w:widowControl/>
      <w:pBdr>
        <w:top w:val="single" w:color="auto" w:sz="6" w:space="1"/>
      </w:pBdr>
      <w:jc w:val="center"/>
    </w:pPr>
    <w:rPr>
      <w:rFonts w:ascii="Arial" w:hAnsi="Arial" w:cs="Arial"/>
      <w:vanish/>
      <w:sz w:val="16"/>
      <w:szCs w:val="16"/>
    </w:rPr>
  </w:style>
  <w:style w:type="paragraph" w:customStyle="1" w:styleId="245">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4"/>
    </w:rPr>
  </w:style>
  <w:style w:type="paragraph" w:customStyle="1" w:styleId="246">
    <w:name w:val="段落"/>
    <w:autoRedefine/>
    <w:qFormat/>
    <w:uiPriority w:val="0"/>
    <w:pPr>
      <w:adjustRightInd w:val="0"/>
      <w:snapToGrid w:val="0"/>
      <w:spacing w:before="120" w:after="120" w:line="360" w:lineRule="auto"/>
      <w:ind w:firstLine="480" w:firstLineChars="200"/>
      <w:jc w:val="both"/>
    </w:pPr>
    <w:rPr>
      <w:rFonts w:ascii="Calibri" w:hAnsi="Calibri" w:eastAsia="仿宋_GB2312" w:cs="Times New Roman"/>
      <w:kern w:val="2"/>
      <w:sz w:val="24"/>
      <w:szCs w:val="24"/>
      <w:lang w:val="en-US" w:eastAsia="zh-CN" w:bidi="ar-SA"/>
    </w:rPr>
  </w:style>
  <w:style w:type="paragraph" w:customStyle="1" w:styleId="247">
    <w:name w:val="7"/>
    <w:basedOn w:val="1"/>
    <w:next w:val="40"/>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48">
    <w:name w:val="文档正文"/>
    <w:basedOn w:val="1"/>
    <w:autoRedefine/>
    <w:qFormat/>
    <w:uiPriority w:val="0"/>
    <w:pPr>
      <w:spacing w:line="360" w:lineRule="auto"/>
    </w:pPr>
    <w:rPr>
      <w:rFonts w:ascii="宋体" w:hAnsi="宋体"/>
      <w:b/>
      <w:bCs/>
    </w:rPr>
  </w:style>
  <w:style w:type="paragraph" w:customStyle="1" w:styleId="249">
    <w:name w:val="标题4，章节第四层"/>
    <w:basedOn w:val="1"/>
    <w:next w:val="1"/>
    <w:autoRedefine/>
    <w:qFormat/>
    <w:uiPriority w:val="0"/>
    <w:pPr>
      <w:tabs>
        <w:tab w:val="left" w:pos="0"/>
      </w:tabs>
      <w:spacing w:line="360" w:lineRule="auto"/>
      <w:outlineLvl w:val="3"/>
    </w:pPr>
    <w:rPr>
      <w:rFonts w:ascii="宋体" w:hAnsi="宋体"/>
      <w:b/>
      <w:sz w:val="24"/>
    </w:rPr>
  </w:style>
  <w:style w:type="paragraph" w:customStyle="1" w:styleId="250">
    <w:name w:val="默认段落字体 Para Char"/>
    <w:basedOn w:val="1"/>
    <w:autoRedefine/>
    <w:qFormat/>
    <w:uiPriority w:val="0"/>
    <w:pPr>
      <w:adjustRightInd w:val="0"/>
      <w:spacing w:line="360" w:lineRule="auto"/>
    </w:pPr>
    <w:rPr>
      <w:kern w:val="0"/>
      <w:sz w:val="24"/>
    </w:rPr>
  </w:style>
  <w:style w:type="paragraph" w:customStyle="1" w:styleId="251">
    <w:name w:val="表格内文字"/>
    <w:basedOn w:val="1"/>
    <w:autoRedefine/>
    <w:qFormat/>
    <w:uiPriority w:val="0"/>
    <w:pPr>
      <w:spacing w:line="300" w:lineRule="atLeast"/>
    </w:pPr>
    <w:rPr>
      <w:sz w:val="18"/>
    </w:rPr>
  </w:style>
  <w:style w:type="paragraph" w:customStyle="1" w:styleId="25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53">
    <w:name w:val="方案正文"/>
    <w:basedOn w:val="1"/>
    <w:autoRedefine/>
    <w:qFormat/>
    <w:uiPriority w:val="0"/>
    <w:pPr>
      <w:spacing w:before="156" w:line="360" w:lineRule="auto"/>
      <w:ind w:firstLine="359" w:firstLineChars="171"/>
      <w:jc w:val="left"/>
    </w:pPr>
    <w:rPr>
      <w:rFonts w:ascii="Arial" w:hAnsi="Arial" w:cs="宋体"/>
      <w:sz w:val="24"/>
      <w:szCs w:val="21"/>
    </w:rPr>
  </w:style>
  <w:style w:type="paragraph" w:customStyle="1" w:styleId="254">
    <w:name w:val="样式 小四 段前: 3 磅 段后: 3 磅 行距: 1.5 倍行距"/>
    <w:basedOn w:val="1"/>
    <w:autoRedefine/>
    <w:qFormat/>
    <w:uiPriority w:val="0"/>
    <w:pPr>
      <w:spacing w:before="60" w:after="60" w:line="360" w:lineRule="auto"/>
      <w:ind w:firstLine="540" w:firstLineChars="225"/>
    </w:pPr>
    <w:rPr>
      <w:rFonts w:cs="宋体"/>
      <w:sz w:val="24"/>
    </w:rPr>
  </w:style>
  <w:style w:type="paragraph" w:customStyle="1" w:styleId="255">
    <w:name w:val="retrait3"/>
    <w:basedOn w:val="1"/>
    <w:autoRedefine/>
    <w:qFormat/>
    <w:uiPriority w:val="0"/>
    <w:pPr>
      <w:widowControl/>
      <w:spacing w:before="20" w:after="20"/>
      <w:ind w:left="851"/>
      <w:jc w:val="left"/>
    </w:pPr>
    <w:rPr>
      <w:rFonts w:ascii="Arial" w:hAnsi="Arial"/>
      <w:kern w:val="0"/>
      <w:sz w:val="24"/>
      <w:szCs w:val="20"/>
      <w:lang w:val="en-GB"/>
    </w:rPr>
  </w:style>
  <w:style w:type="paragraph" w:customStyle="1" w:styleId="256">
    <w:name w:val="font6"/>
    <w:basedOn w:val="1"/>
    <w:autoRedefine/>
    <w:qFormat/>
    <w:uiPriority w:val="0"/>
    <w:pPr>
      <w:widowControl/>
      <w:spacing w:before="100" w:beforeAutospacing="1" w:after="100" w:afterAutospacing="1"/>
      <w:jc w:val="left"/>
    </w:pPr>
    <w:rPr>
      <w:kern w:val="0"/>
      <w:szCs w:val="21"/>
    </w:rPr>
  </w:style>
  <w:style w:type="paragraph" w:customStyle="1" w:styleId="257">
    <w:name w:val="Table Paragraph"/>
    <w:basedOn w:val="1"/>
    <w:autoRedefine/>
    <w:qFormat/>
    <w:uiPriority w:val="1"/>
    <w:rPr>
      <w:rFonts w:ascii="宋体" w:hAnsi="宋体" w:cs="宋体"/>
      <w:lang w:val="zh-CN" w:bidi="zh-CN"/>
    </w:rPr>
  </w:style>
  <w:style w:type="paragraph" w:customStyle="1" w:styleId="258">
    <w:name w:val="正文表标题"/>
    <w:next w:val="161"/>
    <w:autoRedefine/>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59">
    <w:name w:val="Char Char Char Char Char Char Char Char Char Char Char"/>
    <w:basedOn w:val="1"/>
    <w:autoRedefine/>
    <w:qFormat/>
    <w:uiPriority w:val="0"/>
    <w:rPr>
      <w:rFonts w:ascii="Tahoma" w:hAnsi="Tahoma"/>
      <w:sz w:val="24"/>
      <w:szCs w:val="20"/>
    </w:rPr>
  </w:style>
  <w:style w:type="paragraph" w:customStyle="1" w:styleId="260">
    <w:name w:val="华宇段落1 Char"/>
    <w:basedOn w:val="1"/>
    <w:autoRedefine/>
    <w:qFormat/>
    <w:uiPriority w:val="0"/>
    <w:pPr>
      <w:spacing w:line="360" w:lineRule="auto"/>
      <w:ind w:firstLine="200" w:firstLineChars="200"/>
    </w:pPr>
    <w:rPr>
      <w:bCs/>
      <w:sz w:val="24"/>
    </w:rPr>
  </w:style>
  <w:style w:type="paragraph" w:customStyle="1" w:styleId="261">
    <w:name w:val="丁华标题2"/>
    <w:basedOn w:val="4"/>
    <w:next w:val="235"/>
    <w:autoRedefine/>
    <w:qFormat/>
    <w:uiPriority w:val="0"/>
    <w:pPr>
      <w:tabs>
        <w:tab w:val="left" w:pos="567"/>
      </w:tabs>
      <w:autoSpaceDE w:val="0"/>
      <w:autoSpaceDN w:val="0"/>
      <w:adjustRightInd w:val="0"/>
      <w:spacing w:before="120" w:after="120"/>
      <w:ind w:left="567" w:hanging="567"/>
      <w:jc w:val="left"/>
    </w:pPr>
    <w:rPr>
      <w:color w:val="000000"/>
      <w:sz w:val="28"/>
      <w:szCs w:val="20"/>
    </w:rPr>
  </w:style>
  <w:style w:type="paragraph" w:customStyle="1" w:styleId="262">
    <w:name w:val="样式3"/>
    <w:basedOn w:val="1"/>
    <w:next w:val="1"/>
    <w:autoRedefine/>
    <w:qFormat/>
    <w:uiPriority w:val="0"/>
    <w:pPr>
      <w:spacing w:line="360" w:lineRule="auto"/>
    </w:pPr>
    <w:rPr>
      <w:szCs w:val="20"/>
    </w:rPr>
  </w:style>
  <w:style w:type="paragraph" w:customStyle="1" w:styleId="263">
    <w:name w:val="部分1"/>
    <w:basedOn w:val="1"/>
    <w:autoRedefine/>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264">
    <w:name w:val="章标题"/>
    <w:next w:val="161"/>
    <w:autoRedefine/>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265">
    <w:name w:val="zw"/>
    <w:basedOn w:val="1"/>
    <w:autoRedefine/>
    <w:qFormat/>
    <w:uiPriority w:val="0"/>
    <w:pPr>
      <w:widowControl/>
      <w:spacing w:line="360" w:lineRule="auto"/>
      <w:ind w:firstLine="480" w:firstLineChars="200"/>
      <w:jc w:val="left"/>
    </w:pPr>
    <w:rPr>
      <w:rFonts w:ascii="宋体" w:hAnsi="宋体"/>
      <w:bCs/>
      <w:kern w:val="0"/>
      <w:sz w:val="24"/>
      <w:szCs w:val="20"/>
    </w:rPr>
  </w:style>
  <w:style w:type="paragraph" w:customStyle="1" w:styleId="266">
    <w:name w:val="列出段落1"/>
    <w:basedOn w:val="1"/>
    <w:autoRedefine/>
    <w:qFormat/>
    <w:uiPriority w:val="0"/>
    <w:pPr>
      <w:ind w:firstLine="420" w:firstLineChars="200"/>
    </w:pPr>
    <w:rPr>
      <w:szCs w:val="22"/>
    </w:rPr>
  </w:style>
  <w:style w:type="paragraph" w:customStyle="1" w:styleId="267">
    <w:name w:val="Char Char1 Char Char Char Char1 Char Char Char Char Char Char"/>
    <w:basedOn w:val="1"/>
    <w:autoRedefine/>
    <w:qFormat/>
    <w:uiPriority w:val="0"/>
    <w:rPr>
      <w:rFonts w:ascii="Tahoma" w:hAnsi="Tahoma"/>
      <w:sz w:val="24"/>
      <w:szCs w:val="20"/>
    </w:rPr>
  </w:style>
  <w:style w:type="paragraph" w:customStyle="1" w:styleId="26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a"/>
    <w:basedOn w:val="1"/>
    <w:autoRedefine/>
    <w:qFormat/>
    <w:uiPriority w:val="0"/>
    <w:pPr>
      <w:widowControl/>
      <w:spacing w:before="100" w:beforeAutospacing="1" w:after="100" w:afterAutospacing="1"/>
    </w:pPr>
    <w:rPr>
      <w:rFonts w:ascii="宋体" w:hAnsi="宋体" w:cs="宋体"/>
      <w:kern w:val="0"/>
      <w:sz w:val="24"/>
    </w:rPr>
  </w:style>
  <w:style w:type="paragraph" w:customStyle="1" w:styleId="270">
    <w:name w:val="Char Char Char"/>
    <w:basedOn w:val="15"/>
    <w:autoRedefine/>
    <w:qFormat/>
    <w:uiPriority w:val="0"/>
    <w:pPr>
      <w:spacing w:line="436" w:lineRule="exact"/>
    </w:pPr>
  </w:style>
  <w:style w:type="paragraph" w:customStyle="1" w:styleId="271">
    <w:name w:val="正文文本 New New"/>
    <w:basedOn w:val="1"/>
    <w:autoRedefine/>
    <w:qFormat/>
    <w:uiPriority w:val="0"/>
    <w:pPr>
      <w:widowControl/>
      <w:spacing w:before="60" w:after="60" w:line="360" w:lineRule="auto"/>
      <w:ind w:firstLine="200" w:firstLineChars="200"/>
    </w:pPr>
    <w:rPr>
      <w:rFonts w:eastAsia="华文楷体"/>
      <w:sz w:val="24"/>
    </w:rPr>
  </w:style>
  <w:style w:type="paragraph" w:customStyle="1" w:styleId="272">
    <w:name w:val="正文2"/>
    <w:basedOn w:val="1"/>
    <w:autoRedefine/>
    <w:qFormat/>
    <w:uiPriority w:val="0"/>
    <w:pPr>
      <w:spacing w:before="156" w:line="360" w:lineRule="auto"/>
      <w:ind w:firstLine="510" w:firstLineChars="200"/>
    </w:pPr>
    <w:rPr>
      <w:sz w:val="24"/>
      <w:szCs w:val="20"/>
    </w:rPr>
  </w:style>
  <w:style w:type="paragraph" w:customStyle="1" w:styleId="273">
    <w:name w:val="插图"/>
    <w:basedOn w:val="1"/>
    <w:autoRedefine/>
    <w:qFormat/>
    <w:uiPriority w:val="0"/>
    <w:pPr>
      <w:tabs>
        <w:tab w:val="left" w:pos="1620"/>
      </w:tabs>
      <w:adjustRightInd w:val="0"/>
      <w:jc w:val="center"/>
    </w:pPr>
    <w:rPr>
      <w:bCs/>
      <w:color w:val="000000"/>
      <w:szCs w:val="22"/>
    </w:rPr>
  </w:style>
  <w:style w:type="paragraph" w:customStyle="1" w:styleId="274">
    <w:name w:val="样式 标题 2第一章 标题 2Heading 2 HiddenHeading 2 CCBSheading 2H2h2..."/>
    <w:basedOn w:val="4"/>
    <w:autoRedefine/>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kern w:val="0"/>
      <w:szCs w:val="20"/>
    </w:rPr>
  </w:style>
  <w:style w:type="paragraph" w:customStyle="1" w:styleId="275">
    <w:name w:val="tableau"/>
    <w:basedOn w:val="1"/>
    <w:autoRedefine/>
    <w:qFormat/>
    <w:uiPriority w:val="0"/>
    <w:pPr>
      <w:widowControl/>
      <w:spacing w:before="20" w:after="20"/>
      <w:jc w:val="center"/>
    </w:pPr>
    <w:rPr>
      <w:rFonts w:ascii="Arial" w:hAnsi="Arial"/>
      <w:kern w:val="0"/>
      <w:sz w:val="16"/>
      <w:szCs w:val="20"/>
      <w:lang w:val="en-GB" w:eastAsia="en-US"/>
    </w:rPr>
  </w:style>
  <w:style w:type="paragraph" w:customStyle="1" w:styleId="276">
    <w:name w:val="z-窗体顶端1"/>
    <w:basedOn w:val="1"/>
    <w:next w:val="1"/>
    <w:autoRedefine/>
    <w:qFormat/>
    <w:uiPriority w:val="0"/>
    <w:pPr>
      <w:widowControl/>
      <w:pBdr>
        <w:bottom w:val="single" w:color="auto" w:sz="6" w:space="1"/>
      </w:pBdr>
      <w:jc w:val="center"/>
    </w:pPr>
    <w:rPr>
      <w:rFonts w:ascii="Arial" w:hAnsi="Arial" w:cs="Arial"/>
      <w:vanish/>
      <w:sz w:val="16"/>
      <w:szCs w:val="16"/>
    </w:rPr>
  </w:style>
  <w:style w:type="paragraph" w:customStyle="1" w:styleId="277">
    <w:name w:val="样式2"/>
    <w:basedOn w:val="1"/>
    <w:autoRedefine/>
    <w:qFormat/>
    <w:uiPriority w:val="0"/>
    <w:pPr>
      <w:spacing w:line="360" w:lineRule="auto"/>
      <w:ind w:left="200" w:leftChars="200"/>
    </w:pPr>
    <w:rPr>
      <w:rFonts w:ascii="宋体" w:hAnsi="宋体"/>
      <w:b/>
      <w:sz w:val="24"/>
    </w:rPr>
  </w:style>
  <w:style w:type="paragraph" w:customStyle="1" w:styleId="278">
    <w:name w:val="标题1，章节第一层"/>
    <w:basedOn w:val="151"/>
    <w:next w:val="151"/>
    <w:autoRedefine/>
    <w:qFormat/>
    <w:uiPriority w:val="0"/>
    <w:pPr>
      <w:tabs>
        <w:tab w:val="left" w:pos="693"/>
      </w:tabs>
      <w:spacing w:beforeLines="0"/>
      <w:ind w:left="482"/>
      <w:outlineLvl w:val="0"/>
    </w:pPr>
    <w:rPr>
      <w:color w:val="000000"/>
      <w:sz w:val="24"/>
      <w:szCs w:val="24"/>
    </w:rPr>
  </w:style>
  <w:style w:type="paragraph" w:customStyle="1" w:styleId="279">
    <w:name w:val="样式 样式 首行缩进:  0.74 厘米 行距: 1.5 倍行距 + 段后: 0.5 行"/>
    <w:basedOn w:val="1"/>
    <w:autoRedefine/>
    <w:qFormat/>
    <w:uiPriority w:val="0"/>
    <w:pPr>
      <w:spacing w:line="360" w:lineRule="auto"/>
      <w:ind w:firstLine="420"/>
    </w:pPr>
    <w:rPr>
      <w:rFonts w:ascii="楷体_GB2312" w:eastAsia="楷体_GB2312"/>
      <w:bCs/>
      <w:sz w:val="24"/>
      <w:szCs w:val="20"/>
    </w:rPr>
  </w:style>
  <w:style w:type="paragraph" w:customStyle="1" w:styleId="280">
    <w:name w:val="宏图高科"/>
    <w:basedOn w:val="1"/>
    <w:autoRedefine/>
    <w:qFormat/>
    <w:uiPriority w:val="0"/>
    <w:pPr>
      <w:spacing w:line="360" w:lineRule="auto"/>
      <w:ind w:firstLine="480"/>
    </w:pPr>
    <w:rPr>
      <w:rFonts w:eastAsia="楷体_GB2312"/>
      <w:sz w:val="24"/>
      <w:szCs w:val="20"/>
    </w:rPr>
  </w:style>
  <w:style w:type="paragraph" w:customStyle="1" w:styleId="281">
    <w:name w:val="表格内容"/>
    <w:basedOn w:val="1"/>
    <w:autoRedefine/>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282">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83">
    <w:name w:val="1"/>
    <w:basedOn w:val="1"/>
    <w:next w:val="38"/>
    <w:autoRedefine/>
    <w:qFormat/>
    <w:uiPriority w:val="0"/>
    <w:pPr>
      <w:spacing w:line="360" w:lineRule="auto"/>
    </w:pPr>
    <w:rPr>
      <w:rFonts w:eastAsia="仿宋_GB2312"/>
      <w:sz w:val="24"/>
    </w:rPr>
  </w:style>
  <w:style w:type="paragraph" w:customStyle="1" w:styleId="284">
    <w:name w:val="小四 段落 宋体 Char Char Char"/>
    <w:basedOn w:val="14"/>
    <w:autoRedefine/>
    <w:qFormat/>
    <w:uiPriority w:val="0"/>
    <w:pPr>
      <w:tabs>
        <w:tab w:val="clear" w:pos="2952"/>
      </w:tabs>
      <w:spacing w:line="360" w:lineRule="auto"/>
      <w:ind w:left="0" w:right="-33" w:firstLine="545" w:firstLineChars="227"/>
      <w:jc w:val="left"/>
    </w:pPr>
    <w:rPr>
      <w:sz w:val="24"/>
    </w:rPr>
  </w:style>
  <w:style w:type="paragraph" w:customStyle="1" w:styleId="285">
    <w:name w:val="Char2"/>
    <w:basedOn w:val="15"/>
    <w:autoRedefine/>
    <w:qFormat/>
    <w:uiPriority w:val="0"/>
    <w:rPr>
      <w:rFonts w:ascii="Tahoma" w:hAnsi="Tahoma"/>
      <w:sz w:val="24"/>
    </w:rPr>
  </w:style>
  <w:style w:type="paragraph" w:customStyle="1" w:styleId="286">
    <w:name w:val="方案文档"/>
    <w:basedOn w:val="1"/>
    <w:autoRedefine/>
    <w:qFormat/>
    <w:uiPriority w:val="0"/>
    <w:pPr>
      <w:spacing w:before="60" w:after="60" w:line="360" w:lineRule="auto"/>
      <w:ind w:firstLine="225" w:firstLineChars="225"/>
    </w:pPr>
    <w:rPr>
      <w:rFonts w:ascii="宋体"/>
      <w:color w:val="000000"/>
      <w:kern w:val="0"/>
      <w:sz w:val="24"/>
      <w:szCs w:val="20"/>
    </w:rPr>
  </w:style>
  <w:style w:type="paragraph" w:customStyle="1" w:styleId="287">
    <w:name w:val="标题3，章节第三层"/>
    <w:basedOn w:val="1"/>
    <w:next w:val="151"/>
    <w:autoRedefine/>
    <w:qFormat/>
    <w:uiPriority w:val="0"/>
    <w:pPr>
      <w:adjustRightInd w:val="0"/>
      <w:snapToGrid w:val="0"/>
      <w:spacing w:before="78" w:line="300" w:lineRule="auto"/>
      <w:outlineLvl w:val="2"/>
    </w:pPr>
    <w:rPr>
      <w:rFonts w:ascii="Arial" w:hAnsi="Arial" w:eastAsia="华文细黑"/>
      <w:sz w:val="30"/>
    </w:rPr>
  </w:style>
  <w:style w:type="paragraph" w:customStyle="1" w:styleId="288">
    <w:name w:val="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289">
    <w:name w:val="样式 模板正文 + 左侧:  2 字符 段前: 0 磅 行距: 单倍行距"/>
    <w:basedOn w:val="1"/>
    <w:autoRedefine/>
    <w:qFormat/>
    <w:uiPriority w:val="0"/>
    <w:pPr>
      <w:wordWrap w:val="0"/>
      <w:spacing w:before="120" w:line="320" w:lineRule="exact"/>
      <w:ind w:firstLine="200" w:firstLineChars="200"/>
    </w:pPr>
    <w:rPr>
      <w:rFonts w:ascii="Arial" w:hAnsi="Arial" w:cs="宋体"/>
      <w:szCs w:val="20"/>
    </w:rPr>
  </w:style>
  <w:style w:type="paragraph" w:customStyle="1" w:styleId="290">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91">
    <w:name w:val="font7"/>
    <w:basedOn w:val="1"/>
    <w:autoRedefine/>
    <w:qFormat/>
    <w:uiPriority w:val="0"/>
    <w:pPr>
      <w:widowControl/>
      <w:spacing w:before="100" w:beforeAutospacing="1" w:after="100" w:afterAutospacing="1"/>
      <w:jc w:val="left"/>
    </w:pPr>
    <w:rPr>
      <w:rFonts w:hint="eastAsia" w:ascii="宋体" w:hAnsi="宋体"/>
      <w:b/>
      <w:bCs/>
      <w:kern w:val="0"/>
      <w:sz w:val="24"/>
    </w:rPr>
  </w:style>
  <w:style w:type="paragraph" w:customStyle="1" w:styleId="292">
    <w:name w:val="列出段落3"/>
    <w:basedOn w:val="1"/>
    <w:autoRedefine/>
    <w:qFormat/>
    <w:uiPriority w:val="34"/>
    <w:pPr>
      <w:ind w:firstLine="420" w:firstLineChars="200"/>
    </w:pPr>
    <w:rPr>
      <w:rFonts w:ascii="等线" w:hAnsi="等线" w:eastAsia="等线" w:cs="黑体"/>
      <w:szCs w:val="22"/>
    </w:rPr>
  </w:style>
  <w:style w:type="paragraph" w:customStyle="1" w:styleId="293">
    <w:name w:val="列出段落4"/>
    <w:basedOn w:val="1"/>
    <w:autoRedefine/>
    <w:qFormat/>
    <w:uiPriority w:val="0"/>
    <w:pPr>
      <w:ind w:firstLine="420" w:firstLineChars="200"/>
    </w:pPr>
    <w:rPr>
      <w:rFonts w:eastAsia="仿宋"/>
      <w:sz w:val="32"/>
      <w:szCs w:val="22"/>
    </w:rPr>
  </w:style>
  <w:style w:type="character" w:customStyle="1" w:styleId="294">
    <w:name w:val="fontstyle01"/>
    <w:basedOn w:val="45"/>
    <w:autoRedefine/>
    <w:qFormat/>
    <w:uiPriority w:val="0"/>
    <w:rPr>
      <w:rFonts w:ascii="宋体" w:hAnsi="宋体" w:eastAsia="宋体" w:cs="宋体"/>
      <w:color w:val="FF0000"/>
      <w:sz w:val="22"/>
      <w:szCs w:val="22"/>
    </w:rPr>
  </w:style>
  <w:style w:type="paragraph" w:customStyle="1" w:styleId="295">
    <w:name w:val="Table Text"/>
    <w:basedOn w:val="1"/>
    <w:autoRedefine/>
    <w:semiHidden/>
    <w:qFormat/>
    <w:uiPriority w:val="0"/>
    <w:rPr>
      <w:rFonts w:ascii="宋体" w:hAnsi="宋体" w:cs="宋体"/>
      <w:sz w:val="24"/>
      <w:lang w:eastAsia="en-US"/>
    </w:rPr>
  </w:style>
  <w:style w:type="table" w:customStyle="1" w:styleId="296">
    <w:name w:val="Table Normal"/>
    <w:autoRedefine/>
    <w:unhideWhenUsed/>
    <w:qFormat/>
    <w:uiPriority w:val="0"/>
    <w:tblPr>
      <w:tblCellMar>
        <w:top w:w="0" w:type="dxa"/>
        <w:left w:w="0" w:type="dxa"/>
        <w:bottom w:w="0" w:type="dxa"/>
        <w:right w:w="0" w:type="dxa"/>
      </w:tblCellMar>
    </w:tblPr>
  </w:style>
  <w:style w:type="paragraph" w:customStyle="1" w:styleId="297">
    <w:name w:val="列表段落1"/>
    <w:basedOn w:val="1"/>
    <w:autoRedefine/>
    <w:qFormat/>
    <w:uiPriority w:val="99"/>
    <w:pPr>
      <w:ind w:firstLine="420" w:firstLineChars="200"/>
    </w:pPr>
    <w:rPr>
      <w:rFonts w:ascii="Times New Roman" w:hAnsi="Times New Roman"/>
      <w:szCs w:val="20"/>
    </w:rPr>
  </w:style>
  <w:style w:type="paragraph" w:customStyle="1" w:styleId="298">
    <w:name w:val="List Paragraph1"/>
    <w:basedOn w:val="1"/>
    <w:next w:val="1"/>
    <w:autoRedefine/>
    <w:qFormat/>
    <w:uiPriority w:val="0"/>
    <w:pPr>
      <w:ind w:firstLine="420" w:firstLineChars="200"/>
    </w:pPr>
    <w:rPr>
      <w:rFonts w:ascii="Times New Roman" w:hAnsi="Times New Roman"/>
      <w:szCs w:val="21"/>
    </w:rPr>
  </w:style>
  <w:style w:type="paragraph" w:customStyle="1" w:styleId="299">
    <w:name w:val="正文文本缩进1"/>
    <w:basedOn w:val="1"/>
    <w:next w:val="300"/>
    <w:qFormat/>
    <w:uiPriority w:val="0"/>
    <w:pPr>
      <w:spacing w:after="120"/>
      <w:ind w:left="420"/>
    </w:pPr>
    <w:rPr>
      <w:sz w:val="24"/>
    </w:rPr>
  </w:style>
  <w:style w:type="paragraph" w:customStyle="1" w:styleId="300">
    <w:name w:val="正文首行缩进 21"/>
    <w:basedOn w:val="299"/>
    <w:next w:val="111"/>
    <w:qFormat/>
    <w:uiPriority w:val="0"/>
    <w:pPr>
      <w:spacing w:line="360" w:lineRule="auto"/>
      <w:ind w:firstLine="200"/>
    </w:pPr>
    <w:rPr>
      <w:rFonts w:ascii="宋体"/>
    </w:rPr>
  </w:style>
  <w:style w:type="table" w:customStyle="1" w:styleId="301">
    <w:name w:val="网格型1"/>
    <w:basedOn w:val="302"/>
    <w:qFormat/>
    <w:uiPriority w:val="0"/>
    <w:pPr>
      <w:widowControl w:val="0"/>
      <w:jc w:val="both"/>
    </w:pPr>
  </w:style>
  <w:style w:type="table" w:customStyle="1" w:styleId="302">
    <w:name w:val="普通表格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33223</Words>
  <Characters>34680</Characters>
  <Lines>50</Lines>
  <Paragraphs>73</Paragraphs>
  <TotalTime>12</TotalTime>
  <ScaleCrop>false</ScaleCrop>
  <LinksUpToDate>false</LinksUpToDate>
  <CharactersWithSpaces>35784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2023-12-14T02:55:00Z</dcterms:created>
  <dc:creator>赵杨</dc:creator>
  <cp:lastModifiedBy>伊</cp:lastModifiedBy>
  <cp:lastPrinted>2023-12-21T06:07:00Z</cp:lastPrinted>
  <dcterms:modified xsi:type="dcterms:W3CDTF">2025-04-11T01:32:17Z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6DA10120BD5A4853B01940D1ED6EB766_13</vt:lpwstr>
  </property>
  <property fmtid="{D5CDD505-2E9C-101B-9397-08002B2CF9AE}" pid="4" name="KSOTemplateDocerSaveRecord">
    <vt:lpwstr>eyJoZGlkIjoiMTUwOGI3M2E2MjEyYTg0YmM1MWQ2N2E4Y2RhOWNjYjkiLCJ1c2VySWQiOiIyOTEwOTIxNiJ9</vt:lpwstr>
  </property>
</Properties>
</file>