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5"/>
        <w:gridCol w:w="335"/>
        <w:gridCol w:w="588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15" w:type="dxa"/>
            <w:vAlign w:val="center"/>
            <w:textDirection w:val="lrTb"/>
            <w:noWrap w:val="false"/>
          </w:tcPr>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6"/>
                <w:sz w:val="32"/>
              </w:rPr>
              <w:t xml:space="preserve">项目名</w:t>
            </w:r>
            <w:r>
              <w:rPr>
                <w:rFonts w:ascii="SimSun" w:hAnsi="SimSun" w:eastAsia="SimSun" w:cs="SimSun"/>
                <w:b/>
                <w:color w:val="000000"/>
                <w:spacing w:val="2"/>
                <w:sz w:val="32"/>
              </w:rPr>
              <w:t xml:space="preserve">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5" w:type="dxa"/>
            <w:vAlign w:val="center"/>
            <w:textDirection w:val="lrTb"/>
            <w:noWrap w:val="false"/>
          </w:tcPr>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888" w:type="dxa"/>
            <w:vAlign w:val="center"/>
            <w:textDirection w:val="lrTb"/>
            <w:noWrap w:val="false"/>
          </w:tcPr>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江苏省市场监管技术创新中心（酒类食品）设备采购项目（三）</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15" w:type="dxa"/>
            <w:vAlign w:val="center"/>
            <w:textDirection w:val="lrTb"/>
            <w:noWrap w:val="false"/>
          </w:tcPr>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6"/>
                <w:sz w:val="32"/>
              </w:rPr>
              <w:t xml:space="preserve">项目编</w:t>
            </w:r>
            <w:r>
              <w:rPr>
                <w:rFonts w:ascii="SimSun" w:hAnsi="SimSun" w:eastAsia="SimSun" w:cs="SimSun"/>
                <w:b/>
                <w:color w:val="000000"/>
                <w:spacing w:val="2"/>
                <w:sz w:val="32"/>
              </w:rPr>
              <w:t xml:space="preserve">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5" w:type="dxa"/>
            <w:vAlign w:val="center"/>
            <w:textDirection w:val="lrTb"/>
            <w:noWrap w:val="false"/>
          </w:tcPr>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888" w:type="dxa"/>
            <w:vAlign w:val="center"/>
            <w:textDirection w:val="lrTb"/>
            <w:noWrap w:val="false"/>
          </w:tcPr>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JSZC-321300-SQHT-G2024-0005</w:t>
            </w:r>
            <w:r/>
          </w:p>
        </w:tc>
      </w:tr>
    </w:tbl>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 货物 </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 否 </w:t>
      </w:r>
      <w:r>
        <w:rPr>
          <w:rFonts w:ascii="SimSun" w:hAnsi="SimSun" w:eastAsia="SimSun" w:cs="SimSun"/>
          <w:b/>
          <w:color w:val="000000"/>
          <w:sz w:val="32"/>
        </w:rPr>
        <w:t xml:space="preserve">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6"/>
        <w:gridCol w:w="334"/>
        <w:gridCol w:w="577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1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40"/>
                <w:sz w:val="32"/>
              </w:rPr>
              <w:t xml:space="preserve">采购</w:t>
            </w:r>
            <w:r>
              <w:rPr>
                <w:rFonts w:ascii="SimSun" w:hAnsi="SimSun" w:eastAsia="SimSun" w:cs="SimSun"/>
                <w:b/>
                <w:color w:val="000000"/>
                <w:sz w:val="32"/>
              </w:rPr>
              <w:t xml:space="preserve">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7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宿迁市产品质量监督检验所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1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7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江苏华腾工程项目咨询有限公司</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1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40"/>
                <w:sz w:val="32"/>
              </w:rPr>
              <w:t xml:space="preserve">日</w:t>
            </w:r>
            <w:r>
              <w:rPr>
                <w:rFonts w:ascii="SimSun" w:hAnsi="SimSun" w:eastAsia="SimSun" w:cs="SimSun"/>
                <w:b/>
                <w:color w:val="000000"/>
                <w:sz w:val="32"/>
              </w:rPr>
              <w:t xml:space="preserve">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7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2024</w:t>
            </w:r>
            <w:r>
              <w:rPr>
                <w:rFonts w:ascii="SimSun" w:hAnsi="SimSun" w:eastAsia="SimSun" w:cs="SimSun"/>
                <w:b/>
                <w:color w:val="000000"/>
                <w:sz w:val="32"/>
              </w:rPr>
              <w:t xml:space="preserve">年</w:t>
            </w:r>
            <w:r>
              <w:rPr>
                <w:rFonts w:ascii="SimSun" w:hAnsi="SimSun" w:eastAsia="SimSun" w:cs="SimSun"/>
                <w:b/>
                <w:color w:val="000000"/>
                <w:sz w:val="32"/>
                <w:u w:val="single"/>
              </w:rPr>
              <w:t xml:space="preserve">08</w:t>
            </w:r>
            <w:r>
              <w:rPr>
                <w:rFonts w:ascii="SimSun" w:hAnsi="SimSun" w:eastAsia="SimSun" w:cs="SimSun"/>
                <w:b/>
                <w:color w:val="000000"/>
                <w:sz w:val="32"/>
              </w:rPr>
              <w:t xml:space="preserve">月</w:t>
            </w:r>
            <w:r>
              <w:rPr>
                <w:rFonts w:ascii="SimSun" w:hAnsi="SimSun" w:eastAsia="SimSun" w:cs="SimSun"/>
                <w:b/>
                <w:color w:val="000000"/>
                <w:sz w:val="32"/>
                <w:u w:val="single"/>
              </w:rPr>
              <w:t xml:space="preserve">29</w:t>
            </w:r>
            <w:r>
              <w:rPr>
                <w:rFonts w:ascii="SimSun" w:hAnsi="SimSun" w:eastAsia="SimSun" w:cs="SimSun"/>
                <w:b/>
                <w:color w:val="000000"/>
                <w:sz w:val="32"/>
              </w:rPr>
              <w:t xml:space="preserve">日</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02</w:t>
      </w:r>
      <w:r>
        <w:rPr>
          <w:rFonts w:ascii="SimHei" w:hAnsi="SimHei" w:eastAsia="SimHei" w:cs="SimHei"/>
          <w:color w:val="000000"/>
          <w:sz w:val="36"/>
        </w:rPr>
        <w:t xml:space="preserve"> </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06</w:t>
      </w:r>
      <w:r>
        <w:rPr>
          <w:rFonts w:ascii="SimHei" w:hAnsi="SimHei" w:eastAsia="SimHei" w:cs="SimHei"/>
          <w:color w:val="000000"/>
          <w:sz w:val="36"/>
        </w:rPr>
        <w:t xml:space="preserve"> </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23</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28</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32</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36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sz w:val="21"/>
        </w:rPr>
      </w:r>
      <w:r/>
      <w:r>
        <w:rPr>
          <w:rFonts w:ascii="SimHei" w:hAnsi="SimHei" w:eastAsia="SimHei" w:cs="SimHei"/>
          <w:b/>
          <w:bCs/>
          <w:color w:val="000000"/>
          <w:sz w:val="44"/>
          <w:szCs w:val="44"/>
          <w:highlight w:val="none"/>
        </w:rPr>
      </w:r>
      <w:r>
        <w:rPr>
          <w:rFonts w:ascii="SimHei" w:hAnsi="SimHei" w:eastAsia="SimHei" w:cs="SimHei"/>
          <w:b/>
          <w:bCs/>
          <w:color w:val="000000"/>
          <w:sz w:val="44"/>
          <w:szCs w:val="44"/>
          <w:highlight w:val="none"/>
        </w:rPr>
      </w: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44"/>
          <w:szCs w:val="44"/>
          <w:highlight w:val="none"/>
        </w:rPr>
      </w:r>
      <w:r>
        <w:rPr>
          <w:rFonts w:ascii="SimHei" w:hAnsi="SimHei" w:eastAsia="SimHei" w:cs="SimHei"/>
          <w:b/>
          <w:bCs/>
          <w:color w:val="000000"/>
          <w:sz w:val="44"/>
          <w:szCs w:val="44"/>
          <w:highlight w:val="none"/>
        </w:rP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44"/>
          <w:szCs w:val="44"/>
          <w:highlight w:val="none"/>
        </w:rPr>
      </w:r>
      <w:r>
        <w:rPr>
          <w:rFonts w:ascii="SimHei" w:hAnsi="SimHei" w:eastAsia="SimHei" w:cs="SimHei"/>
          <w:b/>
          <w:bCs/>
          <w:color w:val="000000"/>
          <w:sz w:val="44"/>
          <w:szCs w:val="44"/>
          <w:highlight w:val="none"/>
        </w:rP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44"/>
          <w:szCs w:val="44"/>
          <w:highlight w:val="none"/>
        </w:rPr>
      </w:r>
      <w:r>
        <w:rPr>
          <w:rFonts w:ascii="SimHei" w:hAnsi="SimHei" w:eastAsia="SimHei" w:cs="SimHei"/>
          <w:b/>
          <w:bCs/>
          <w:color w:val="000000"/>
          <w:sz w:val="44"/>
          <w:szCs w:val="44"/>
          <w:highlight w:val="none"/>
        </w:rP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宿迁市产品质量监督检验所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江苏华腾工程项目咨询有限公司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江苏省市场监管技术创新中心（酒类食品）设备采购项目（三）</w:t>
      </w:r>
      <w:r>
        <w:rPr>
          <w:rFonts w:ascii="Times New Roman" w:hAnsi="Times New Roman" w:eastAsia="Times New Roman" w:cs="Times New Roman"/>
          <w:color w:val="000000"/>
          <w:sz w:val="24"/>
          <w:u w:val="single"/>
        </w:rPr>
        <w:t xml:space="preserve">]([JSZC-321300-SQHT-G2024-0005])</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江苏省市场监管技术创新中心（酒类食品）设备采购项目（三） </w:t>
      </w:r>
      <w:r>
        <w:rPr>
          <w:rFonts w:ascii="Times New Roman" w:hAnsi="Times New Roman" w:eastAsia="Times New Roman" w:cs="Times New Roman"/>
          <w:color w:val="000000"/>
          <w:sz w:val="24"/>
          <w:u w:val="single"/>
        </w:rPr>
        <w:t xml:space="preserve">JSZC-321300-SQHT-G2024-0005</w:t>
      </w:r>
      <w:r>
        <w:rPr>
          <w:rFonts w:ascii="SimSun" w:hAnsi="SimSun" w:eastAsia="SimSun" w:cs="SimSun"/>
          <w:color w:val="000000"/>
          <w:sz w:val="24"/>
          <w:u w:val="single"/>
        </w:rPr>
        <w:t xml:space="preserve">招标项目的潜在投标人应在“苏采云”系统（网址： </w:t>
      </w:r>
      <w:r>
        <w:rPr>
          <w:rFonts w:ascii="Times New Roman" w:hAnsi="Times New Roman" w:eastAsia="Times New Roman" w:cs="Times New Roman"/>
          <w:color w:val="000000"/>
          <w:sz w:val="24"/>
          <w:u w:val="single"/>
        </w:rPr>
        <w:t xml:space="preserve">http://jszfcg.jsczt.cn/</w:t>
      </w:r>
      <w:r>
        <w:rPr>
          <w:rFonts w:ascii="SimSun" w:hAnsi="SimSun" w:eastAsia="SimSun" w:cs="SimSun"/>
          <w:color w:val="000000"/>
          <w:sz w:val="24"/>
          <w:u w:val="single"/>
        </w:rPr>
        <w:t xml:space="preserve">）或宿迁市政府采购网点击“政府采购管理交易系统（苏采云）” 获取招标文件，并于</w:t>
      </w:r>
      <w:r>
        <w:rPr>
          <w:rFonts w:ascii="Times New Roman" w:hAnsi="Times New Roman" w:eastAsia="Times New Roman" w:cs="Times New Roman"/>
          <w:color w:val="000000"/>
          <w:sz w:val="24"/>
          <w:u w:val="single"/>
        </w:rPr>
        <w:t xml:space="preserve">2024-09-19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09:30 </w:t>
      </w:r>
      <w:r>
        <w:rPr>
          <w:rFonts w:ascii="SimSun" w:hAnsi="SimSun" w:eastAsia="SimSun" w:cs="SimSun"/>
          <w:color w:val="000000"/>
          <w:sz w:val="24"/>
          <w:u w:val="single"/>
        </w:rPr>
        <w:t xml:space="preserve">（北京时间）前递交投标文件</w:t>
      </w:r>
      <w:r>
        <w:rPr>
          <w:rFonts w:ascii="SimSun" w:hAnsi="SimSun" w:eastAsia="SimSun" w:cs="SimSun"/>
          <w:color w:val="000000"/>
          <w:sz w:val="24"/>
        </w:rPr>
        <w:t xml:space="preserve">。</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JSZC-321300-SQHT-G2024-0005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项目名称：江苏省市场监管技术创新中心（酒类食品）设备采购项目（三）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 设定 </w:t>
      </w:r>
      <w:r>
        <w:rPr>
          <w:rFonts w:ascii="SimSun" w:hAnsi="SimSun" w:eastAsia="SimSun" w:cs="SimSun"/>
          <w:color w:val="000000"/>
          <w:sz w:val="24"/>
        </w:rPr>
        <w:t xml:space="preserve">（设定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不设定）最高限价，最高限价为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217</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采购需求（简介）：宿迁市产品质量监督检验所拟对江苏省市场监管技术创新中心（酒类食品）设备采购项目（三）进行采购，详细内容见本磋商文件第四章。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 </w:t>
      </w:r>
      <w:r>
        <w:rPr>
          <w:rFonts w:ascii="SimSun" w:hAnsi="SimSun" w:eastAsia="SimSun" w:cs="SimSun"/>
          <w:color w:val="000000"/>
          <w:sz w:val="24"/>
          <w:u w:val="single"/>
        </w:rPr>
        <w:t xml:space="preserve"> 不接受</w:t>
      </w:r>
      <w:r>
        <w:rPr>
          <w:rFonts w:ascii="SimSun" w:hAnsi="SimSun" w:eastAsia="SimSun" w:cs="SimSun"/>
          <w:color w:val="000000"/>
          <w:sz w:val="24"/>
        </w:rPr>
        <w:t xml:space="preserve">联合体投标（接受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1227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19</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rPr>
          <w:rFonts w:ascii="SimSun" w:hAnsi="SimSun" w:eastAsia="SimSun" w:cs="SimSun"/>
          <w:color w:val="000000"/>
          <w:sz w:val="24"/>
          <w:highlight w:val="white"/>
        </w:rPr>
        <w:t xml:space="preserve">招标公告发布媒体：宿迁市政府采购网、宿迁市公共资源交易平台、江苏省财政部门指定的媒体。</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财政部门监督电话：</w:t>
      </w:r>
      <w:r>
        <w:rPr>
          <w:rFonts w:ascii="Times New Roman" w:hAnsi="Times New Roman" w:eastAsia="Times New Roman" w:cs="Times New Roman"/>
          <w:color w:val="000000"/>
          <w:sz w:val="24"/>
          <w:highlight w:val="white"/>
        </w:rPr>
        <w:t xml:space="preserve">0527-84363063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”数字证书办理：“苏采云”系统目前仅支持“苏采云”系统下的意源</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。省内各地区办理的“苏采云”系统下的意源</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全省通用。宿迁地区</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数字证书办理联系方式：</w:t>
      </w:r>
      <w:r>
        <w:rPr>
          <w:rFonts w:ascii="Times New Roman" w:hAnsi="Times New Roman" w:eastAsia="Times New Roman" w:cs="Times New Roman"/>
          <w:color w:val="000000"/>
          <w:sz w:val="24"/>
          <w:highlight w:val="white"/>
        </w:rPr>
        <w:t xml:space="preserve">18762803891</w:t>
      </w:r>
      <w:r>
        <w:rPr>
          <w:rFonts w:ascii="SimSun" w:hAnsi="SimSun" w:eastAsia="SimSun" w:cs="SimSun"/>
          <w:color w:val="000000"/>
          <w:sz w:val="24"/>
          <w:highlight w:val="white"/>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宿迁地区“苏采云”技术支持客服电话：</w:t>
      </w:r>
      <w:r>
        <w:rPr>
          <w:rFonts w:ascii="Times New Roman" w:hAnsi="Times New Roman" w:eastAsia="Times New Roman" w:cs="Times New Roman"/>
          <w:color w:val="000000"/>
          <w:sz w:val="24"/>
          <w:highlight w:val="white"/>
        </w:rPr>
        <w:t xml:space="preserve">0527-84225125</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0519-86722806</w:t>
      </w:r>
      <w:r>
        <w:rPr>
          <w:rFonts w:ascii="SimSun" w:hAnsi="SimSun" w:eastAsia="SimSun" w:cs="SimSun"/>
          <w:color w:val="000000"/>
          <w:sz w:val="24"/>
          <w:highlight w:val="white"/>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如果投标人通过苏采云系统参与政府采购项目，相关操作手册详见链接：</w:t>
      </w:r>
      <w:r>
        <w:rPr>
          <w:rFonts w:ascii="Times New Roman" w:hAnsi="Times New Roman" w:eastAsia="Times New Roman" w:cs="Times New Roman"/>
          <w:color w:val="000000"/>
          <w:spacing w:val="-6"/>
          <w:sz w:val="24"/>
          <w:highlight w:val="white"/>
        </w:rPr>
        <w:t xml:space="preserve">http://www.ccgp-jiangsu.gov.cn/jiangsu/zlxz/ee/ee3a4bc5a3454aa2b0d9312230633ce9.html</w:t>
      </w:r>
      <w:r>
        <w:rPr>
          <w:rFonts w:ascii="SimSun" w:hAnsi="SimSun" w:eastAsia="SimSun" w:cs="SimSun"/>
          <w:color w:val="000000"/>
          <w:spacing w:val="-6"/>
          <w:sz w:val="24"/>
          <w:highlight w:val="white"/>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现场勘察及答疑：本项目不组织集中勘察及答疑，投标人如对采购需求有疑问，请咨询采购单位联系人。 </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称：宿迁市产品质量监督检验所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地址：宿迁市经济开发区发展大道889号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联系人：刘军</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联系方式：13515290090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称：江苏华腾工程项目咨询有限公司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地址：宿迁经济技术开发区绿地壹品20幢商铺50号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联系人：陈刘艳</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联系方式：13101860072</w:t>
      </w:r>
      <w:r/>
    </w:p>
    <w:p>
      <w:pPr>
        <w:pStyle w:val="713"/>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有关本次招标的事项若存在变动或修改，敬请及时关注“宿迁市政府采购网”等平台更正公告。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本次招标不收取投标保证金。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11"/>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713"/>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 采购人参照计价格</w:t>
      </w:r>
      <w:r>
        <w:rPr>
          <w:rFonts w:ascii="Times New Roman" w:hAnsi="Times New Roman" w:eastAsia="Times New Roman" w:cs="Times New Roman"/>
          <w:color w:val="000000"/>
          <w:sz w:val="24"/>
          <w:u w:val="single"/>
        </w:rPr>
        <w:t xml:space="preserve">[2002]1980</w:t>
      </w:r>
      <w:r>
        <w:rPr>
          <w:rFonts w:ascii="SimSun" w:hAnsi="SimSun" w:eastAsia="SimSun" w:cs="SimSun"/>
          <w:color w:val="000000"/>
          <w:sz w:val="24"/>
          <w:u w:val="single"/>
        </w:rPr>
        <w:t xml:space="preserve">号文规定标准</w:t>
      </w:r>
      <w:r>
        <w:rPr>
          <w:rFonts w:ascii="Times New Roman" w:hAnsi="Times New Roman" w:eastAsia="Times New Roman" w:cs="Times New Roman"/>
          <w:color w:val="000000"/>
          <w:sz w:val="24"/>
          <w:u w:val="single"/>
        </w:rPr>
        <w:t xml:space="preserve">*41%</w:t>
      </w:r>
      <w:r>
        <w:rPr>
          <w:rFonts w:ascii="SimSun" w:hAnsi="SimSun" w:eastAsia="SimSun" w:cs="SimSun"/>
          <w:color w:val="000000"/>
          <w:sz w:val="24"/>
          <w:u w:val="single"/>
        </w:rPr>
        <w:t xml:space="preserve">缴纳代理服务费，评委费另付。注：数字人民币为支付方式之一。</w:t>
      </w:r>
      <w:r>
        <w:rPr>
          <w:rFonts w:ascii="SimSun" w:hAnsi="SimSun" w:eastAsia="SimSun" w:cs="SimSun"/>
          <w:color w:val="000000"/>
          <w:sz w:val="24"/>
        </w:rPr>
        <w:t xml:space="preserve">  </w:t>
      </w:r>
      <w:r/>
    </w:p>
    <w:p>
      <w:pPr>
        <w:pStyle w:val="1039"/>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pStyle w:val="713"/>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9"/>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1039"/>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 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713"/>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1039"/>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 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响应报价应包括货款、标准附件、备品备件、专用工具、包装、运输、装卸、保险、税金、货到就位以及安装、调试、培训、保修等完成本项目所涉及到的一切相关费用。</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投标人需根据招标文件要求提供所投标的主要组成部分、功能设计、实现思路及关键技术等。</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 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中标人的投标文件作为项目合同的附件，其有效期至中标人全部合同义务履行完毕为止。 </w:t>
      </w:r>
      <w:r/>
    </w:p>
    <w:p>
      <w:pPr>
        <w:pStyle w:val="713"/>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1039"/>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w:t>
      </w:r>
      <w:r>
        <w:rPr>
          <w:rFonts w:ascii="SimHei" w:hAnsi="SimHei" w:eastAsia="SimHei" w:cs="SimHei"/>
          <w:b/>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采购代理机构拒绝接收在其规定的投标截止时间后上传的任何投标文件。</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 在投标截止时间至招标文件中规定的投标有效期满之间的这段时间内，投标人不得撤回其投标。</w:t>
      </w:r>
      <w:r/>
    </w:p>
    <w:p>
      <w:pPr>
        <w:pStyle w:val="713"/>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投标人如果对开标过程和开标记录有疑义，应当根据《操作手册》规定提出，如 “苏采云”系统中《开标记录表》宣布后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、评标委员会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开标后，采购代理机构将立即组织评标委员会（以下简称评委会）进行评标。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评委会独立工作，负责评审所有投标文件并确定中标供应商。</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凡是与审查、澄清、评价和比较投标的有关资料以及建议等，采购人、评委、采购代理机构均不得向投标人或与评标无关的其他人员透露。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 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pStyle w:val="1039"/>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 </w:t>
      </w:r>
      <w:r>
        <w:rPr>
          <w:rFonts w:ascii="SimSun" w:hAnsi="SimSun" w:eastAsia="SimSun" w:cs="SimSun"/>
          <w:color w:val="000000"/>
          <w:sz w:val="24"/>
        </w:rPr>
        <w:t xml:space="preserve">投标人未按照招标文件要求上传电子投标文件的。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 </w:t>
      </w:r>
      <w:r>
        <w:rPr>
          <w:rFonts w:ascii="SimSun" w:hAnsi="SimSun" w:eastAsia="SimSun" w:cs="SimSun"/>
          <w:color w:val="000000"/>
          <w:sz w:val="24"/>
        </w:rPr>
        <w:t xml:space="preserve">投标人被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 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w:t>
      </w:r>
      <w:r>
        <w:rPr>
          <w:rFonts w:ascii="SimSun" w:hAnsi="SimSun" w:eastAsia="SimSun" w:cs="SimSun"/>
          <w:color w:val="000000"/>
          <w:sz w:val="24"/>
        </w:rPr>
        <w:t xml:space="preserve">其他法律、法规及本招标文件规定的属无效投标的</w:t>
      </w: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废标条款</w:t>
      </w:r>
      <w:r/>
    </w:p>
    <w:p>
      <w:pPr>
        <w:ind w:left="479" w:right="0" w:hanging="2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 </w:t>
      </w:r>
      <w:r>
        <w:rPr>
          <w:rFonts w:ascii="SimSun" w:hAnsi="SimSun" w:eastAsia="SimSun" w:cs="SimSun"/>
          <w:color w:val="000000"/>
          <w:sz w:val="24"/>
        </w:rPr>
        <w:t xml:space="preserve">因“苏采云”系统故障原因造成开标不成功的。</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713"/>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1039"/>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28</w:t>
      </w:r>
      <w:r>
        <w:rPr>
          <w:rFonts w:ascii="SimHei" w:hAnsi="SimHei" w:eastAsia="SimHei" w:cs="SimHei"/>
          <w:b/>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pStyle w:val="1039"/>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29</w:t>
      </w:r>
      <w:r>
        <w:rPr>
          <w:rFonts w:ascii="SimHei" w:hAnsi="SimHei" w:eastAsia="SimHei" w:cs="SimHei"/>
          <w:b/>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 </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w:t>
      </w:r>
      <w:r>
        <w:rPr>
          <w:rFonts w:ascii="SimSun" w:hAnsi="SimSun" w:eastAsia="SimSun" w:cs="SimSun"/>
          <w:color w:val="000000"/>
          <w:sz w:val="24"/>
          <w:u w:val="single"/>
        </w:rPr>
        <w:t xml:space="preserve">平台线上接收或现场接收或邮寄接收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  宿迁市产品质量监督检验所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江苏华腾工程项目咨询有限公司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13515290090/13101860072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w:t>
      </w:r>
      <w:r>
        <w:rPr>
          <w:rFonts w:ascii="SimSun" w:hAnsi="SimSun" w:eastAsia="SimSun" w:cs="SimSun"/>
          <w:color w:val="000000"/>
          <w:sz w:val="24"/>
          <w:u w:val="single"/>
        </w:rPr>
        <w:t xml:space="preserve">  宿迁市经济开发区发展大道</w:t>
      </w:r>
      <w:r>
        <w:rPr>
          <w:rFonts w:ascii="Times New Roman" w:hAnsi="Times New Roman" w:eastAsia="Times New Roman" w:cs="Times New Roman"/>
          <w:color w:val="000000"/>
          <w:sz w:val="24"/>
          <w:u w:val="single"/>
        </w:rPr>
        <w:t xml:space="preserve">889</w:t>
      </w:r>
      <w:r>
        <w:rPr>
          <w:rFonts w:ascii="SimSun" w:hAnsi="SimSun" w:eastAsia="SimSun" w:cs="SimSun"/>
          <w:color w:val="000000"/>
          <w:sz w:val="24"/>
          <w:u w:val="single"/>
        </w:rPr>
        <w:t xml:space="preserve">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宿迁经济技术开发区绿地壹品</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u w:val="single"/>
        </w:rPr>
        <w:t xml:space="preserve">幢商铺</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号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29.7  </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1039"/>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30</w:t>
      </w:r>
      <w:r>
        <w:rPr>
          <w:rFonts w:ascii="SimHei" w:hAnsi="SimHei" w:eastAsia="SimHei" w:cs="SimHei"/>
          <w:b/>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713"/>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1039"/>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31. </w:t>
      </w:r>
      <w:r>
        <w:rPr>
          <w:rFonts w:ascii="SimHei" w:hAnsi="SimHei" w:eastAsia="SimHei" w:cs="SimHei"/>
          <w:b/>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39"/>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Hei" w:hAnsi="SimHei" w:eastAsia="SimHei" w:cs="SimHei"/>
          <w:b/>
          <w:color w:val="000000"/>
          <w:sz w:val="30"/>
        </w:rPr>
        <w:t xml:space="preserve">、政府采购履约资金扶持政策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依据《关于转发江苏省财政厅、中国人民银行南京分行</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关于深入推进政府采购线上合同信用融资工作的通知</w:t>
      </w:r>
      <w:r>
        <w:rPr>
          <w:rFonts w:ascii="Times New Roman" w:hAnsi="Times New Roman" w:eastAsia="Times New Roman" w:cs="Times New Roman"/>
          <w:color w:val="000000"/>
          <w:sz w:val="24"/>
        </w:rPr>
        <w:t xml:space="preserve">&gt;</w:t>
      </w:r>
      <w:r>
        <w:rPr>
          <w:rFonts w:ascii="SimSun" w:hAnsi="SimSun" w:eastAsia="SimSun" w:cs="SimSun"/>
          <w:color w:val="000000"/>
          <w:sz w:val="24"/>
        </w:rPr>
        <w:t xml:space="preserve">的通知》（通财购〔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39"/>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34.1</w:t>
      </w:r>
      <w:r>
        <w:rPr>
          <w:rFonts w:ascii="SimSun" w:hAnsi="SimSun" w:eastAsia="SimSun" w:cs="SimSun"/>
          <w:color w:val="000000"/>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34.2</w:t>
      </w:r>
      <w:r>
        <w:rPr>
          <w:rFonts w:ascii="SimSun" w:hAnsi="SimSun" w:eastAsia="SimSun" w:cs="SimSun"/>
          <w:color w:val="000000"/>
          <w:sz w:val="24"/>
          <w:highlight w:val="white"/>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34.3</w:t>
      </w:r>
      <w:r>
        <w:rPr>
          <w:rFonts w:ascii="SimSun" w:hAnsi="SimSun" w:eastAsia="SimSun" w:cs="SimSun"/>
          <w:color w:val="000000"/>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34.4</w:t>
      </w:r>
      <w:r>
        <w:rPr>
          <w:rFonts w:ascii="SimSun" w:hAnsi="SimSun" w:eastAsia="SimSun" w:cs="SimSun"/>
          <w:color w:val="000000"/>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35</w:t>
      </w:r>
      <w:r>
        <w:rPr>
          <w:rFonts w:ascii="SimSun" w:hAnsi="SimSun" w:eastAsia="SimSun" w:cs="SimSun"/>
          <w:b/>
          <w:color w:val="000000"/>
          <w:sz w:val="24"/>
          <w:highlight w:val="white"/>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按照以下确定的付款方式，采购人及时办理付款手续。对于满足合同约定支付条件的，自收到发票后</w:t>
      </w:r>
      <w:r>
        <w:rPr>
          <w:rFonts w:ascii="Times New Roman" w:hAnsi="Times New Roman" w:eastAsia="Times New Roman" w:cs="Times New Roman"/>
          <w:color w:val="000000"/>
          <w:sz w:val="24"/>
          <w:highlight w:val="white"/>
        </w:rPr>
        <w:t xml:space="preserve">10</w:t>
      </w:r>
      <w:r>
        <w:rPr>
          <w:rFonts w:ascii="SimSun" w:hAnsi="SimSun" w:eastAsia="SimSun" w:cs="SimSun"/>
          <w:color w:val="000000"/>
          <w:sz w:val="24"/>
          <w:highlight w:val="white"/>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预付款：合同金额的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 </w:t>
      </w:r>
      <w:r>
        <w:rPr>
          <w:rFonts w:ascii="SimSun" w:hAnsi="SimSun" w:eastAsia="SimSun" w:cs="SimSun"/>
          <w:color w:val="000000"/>
          <w:sz w:val="24"/>
          <w:highlight w:val="white"/>
        </w:rPr>
        <w:t xml:space="preserve">，合同签订后按规定支付；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w:t>
      </w:r>
      <w:r>
        <w:rPr>
          <w:rFonts w:ascii="SimSun" w:hAnsi="SimSun" w:eastAsia="SimSun" w:cs="SimSun"/>
          <w:color w:val="000000"/>
          <w:sz w:val="24"/>
        </w:rPr>
        <w:t xml:space="preserve">：</w:t>
      </w:r>
      <w:r>
        <w:rPr>
          <w:rFonts w:ascii="SimSun" w:hAnsi="SimSun" w:eastAsia="SimSun" w:cs="SimSun"/>
          <w:color w:val="000000"/>
          <w:sz w:val="24"/>
          <w:u w:val="single"/>
        </w:rPr>
        <w:t xml:space="preserve">货物验收合格且收到供应商发票后</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个工作日内一次性付清全款。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注：在签订合同时，中标人明确表示无需预付款或者主动要求降低预付款比例的金额，采购人可不适用预付款规定。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09"/>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项目名称：江苏省市场监管技术创新中心（酒类食品）设备采购项目（三）</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项目编号：JSZC-321300-SQHT-G2024-0005</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宿迁市产品质量监督检验所</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0"/>
        <w:spacing w:before="16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依照《中华人民共和国政府采购法》、《中华人民共和国民法典》及其他有关法律、行政法规，遵循平等、自愿、公平和诚实信用的原则，双方就</w:t>
      </w:r>
      <w:r>
        <w:rPr>
          <w:rFonts w:ascii="SimSun" w:hAnsi="SimSun" w:eastAsia="SimSun" w:cs="SimSun"/>
          <w:color w:val="000000"/>
          <w:sz w:val="24"/>
          <w:u w:val="single"/>
        </w:rPr>
        <w:t xml:space="preserve">      </w:t>
      </w:r>
      <w:r>
        <w:rPr>
          <w:rFonts w:ascii="SimSun" w:hAnsi="SimSun" w:eastAsia="SimSun" w:cs="SimSun"/>
          <w:color w:val="000000"/>
          <w:sz w:val="24"/>
        </w:rPr>
        <w:t xml:space="preserve">相关事项协商一致，达成如下合同条款：</w:t>
      </w:r>
      <w:r/>
    </w:p>
    <w:p>
      <w:pPr>
        <w:ind w:left="0" w:right="0" w:firstLine="482"/>
        <w:spacing w:before="16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一、乙方向甲方提供总价值为</w:t>
      </w:r>
      <w:r>
        <w:rPr>
          <w:rFonts w:ascii="SimSun" w:hAnsi="SimSun" w:eastAsia="SimSun" w:cs="SimSun"/>
          <w:b/>
          <w:color w:val="000000"/>
          <w:sz w:val="24"/>
          <w:u w:val="single"/>
        </w:rPr>
        <w:t xml:space="preserve">     元整（       </w:t>
      </w:r>
      <w:r>
        <w:rPr>
          <w:rFonts w:ascii="SimSun" w:hAnsi="SimSun" w:eastAsia="SimSun" w:cs="SimSun"/>
          <w:b/>
          <w:color w:val="000000"/>
          <w:sz w:val="24"/>
        </w:rPr>
        <w:t xml:space="preserve">元）的标的货物</w:t>
      </w:r>
      <w:r>
        <w:rPr>
          <w:rFonts w:ascii="SimSun" w:hAnsi="SimSun" w:eastAsia="SimSun" w:cs="SimSun"/>
          <w:color w:val="000000"/>
          <w:sz w:val="24"/>
        </w:rPr>
        <w:t xml:space="preserve">。</w:t>
      </w:r>
      <w:r/>
    </w:p>
    <w:p>
      <w:pPr>
        <w:ind w:left="0" w:right="0" w:firstLine="3765"/>
        <w:spacing w:before="16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标 的 清 单</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5"/>
        <w:gridCol w:w="2358"/>
        <w:gridCol w:w="1133"/>
        <w:gridCol w:w="1188"/>
        <w:gridCol w:w="13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1" w:type="dxa"/>
            <w:vAlign w:val="center"/>
            <w:textDirection w:val="lrTb"/>
            <w:noWrap w:val="false"/>
          </w:tcPr>
          <w:p>
            <w:pPr>
              <w:ind w:left="0" w:right="0" w:firstLine="0"/>
              <w:jc w:val="center"/>
              <w:spacing w:before="160" w:after="2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合计人民币金额（大写）：           元整（￥：       元）</w:t>
            </w:r>
            <w:r/>
          </w:p>
        </w:tc>
      </w:tr>
    </w:tbl>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二、交货时间、地点</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（一）合同履行期限：3个月。</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（二）交货地点：</w:t>
      </w:r>
      <w:r>
        <w:rPr>
          <w:rFonts w:ascii="SimSun" w:hAnsi="SimSun" w:eastAsia="SimSun" w:cs="SimSun"/>
          <w:color w:val="000000"/>
          <w:sz w:val="24"/>
          <w:u w:val="single"/>
        </w:rPr>
        <w:t xml:space="preserve"> 甲方指定地点 </w:t>
      </w:r>
      <w:r>
        <w:rPr>
          <w:rFonts w:ascii="SimSun" w:hAnsi="SimSun" w:eastAsia="SimSun" w:cs="SimSun"/>
          <w:color w:val="000000"/>
          <w:sz w:val="24"/>
        </w:rPr>
        <w:t xml:space="preserve">。</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三、质量技术标准</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乙方提供的产品性能及质量有国家标准的应符合国家标准。无国家标准的应符合行业标准或企业标准，并满足招标文件要求，实现投标文件承诺条款。</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四、运输方式及费用</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由乙方视情况自定运输方式，费用自负。</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进场安装调试完毕、检定/校准完成，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（二）采购单位组建验收小组，按约定的时间组织验收，并出具验收报告。</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预付款：合同金额的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 </w:t>
      </w:r>
      <w:r>
        <w:rPr>
          <w:rFonts w:ascii="SimSun" w:hAnsi="SimSun" w:eastAsia="SimSun" w:cs="SimSun"/>
          <w:color w:val="000000"/>
          <w:sz w:val="24"/>
          <w:highlight w:val="white"/>
        </w:rPr>
        <w:t xml:space="preserve">，合同签订后按规定支付；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w:t>
      </w:r>
      <w:r>
        <w:rPr>
          <w:rFonts w:ascii="SimSun" w:hAnsi="SimSun" w:eastAsia="SimSun" w:cs="SimSun"/>
          <w:color w:val="000000"/>
          <w:sz w:val="24"/>
        </w:rPr>
        <w:t xml:space="preserve">：</w:t>
      </w:r>
      <w:r>
        <w:rPr>
          <w:rFonts w:ascii="SimSun" w:hAnsi="SimSun" w:eastAsia="SimSun" w:cs="SimSun"/>
          <w:color w:val="000000"/>
          <w:sz w:val="24"/>
          <w:u w:val="single"/>
        </w:rPr>
        <w:t xml:space="preserve">货物验收合格且收到供应商发票后</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个工作日内一次性付清全款。</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注：在签订合同时，中标人明确表示无需预付款或者主动要求降低预付款比例的金额，采购人可不适用预付款规定。</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、乙方须在验收后，</w:t>
      </w:r>
      <w:r>
        <w:rPr>
          <w:rFonts w:ascii="SimSun" w:hAnsi="SimSun" w:eastAsia="SimSun" w:cs="SimSun"/>
          <w:color w:val="000000"/>
          <w:sz w:val="24"/>
          <w:u w:val="single"/>
        </w:rPr>
        <w:t xml:space="preserve">提供</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年免费维修服务</w:t>
      </w:r>
      <w:r>
        <w:rPr>
          <w:rFonts w:ascii="SimSun" w:hAnsi="SimSun" w:eastAsia="SimSun" w:cs="SimSun"/>
          <w:color w:val="000000"/>
          <w:sz w:val="24"/>
        </w:rPr>
        <w:t xml:space="preserve">（人为损坏除外）。自接到采购人报修通知起，中标单位在4小时内予以回应，在质量保修期内必须在得到通知后1-3日内派人到现场并解决问题。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、在设备遭遇雷击、洪水等不可抗拒因素损坏情况，乙方应提供及时维修服务，并只收取维修所发生的成本费用。</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、设备安装完成并交付使用前非采购单位原因造成的设备损坏、遗失由中标单位承担责任。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、中标单位所提供的产品须为原厂全新正品，品牌、型号、参数、功能须全部满足采购单位要求，否则视为无效标。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、投标人报价时应充分考虑所有可能影响到报价的因素，一旦评标结束最终中标，总价将包定，不予调整。如发生漏、缺、少项，都将被认为是成交投标人的报价让利行为，损失自负。</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九、违约条款</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（一）乙方不按期完成合同约定的内容，应向甲方支付违约金，除甲方或不可抗力造成原因外，每延迟交付一天，按</w:t>
      </w:r>
      <w:r>
        <w:rPr>
          <w:rFonts w:ascii="SimSun" w:hAnsi="SimSun" w:eastAsia="SimSun" w:cs="SimSun"/>
          <w:color w:val="000000"/>
          <w:sz w:val="24"/>
        </w:rPr>
        <w:t xml:space="preserve">合同总价款的</w:t>
      </w:r>
      <w:r>
        <w:rPr>
          <w:rFonts w:ascii="SimSun" w:hAnsi="SimSun" w:eastAsia="SimSun" w:cs="SimSun"/>
          <w:color w:val="000000"/>
          <w:sz w:val="24"/>
          <w:u w:val="single"/>
        </w:rPr>
        <w:t xml:space="preserve">0.5%/日</w:t>
      </w:r>
      <w:r>
        <w:rPr>
          <w:rFonts w:ascii="SimSun" w:hAnsi="SimSun" w:eastAsia="SimSun" w:cs="SimSun"/>
          <w:color w:val="000000"/>
          <w:sz w:val="24"/>
          <w:highlight w:val="white"/>
          <w:u w:val="single"/>
        </w:rPr>
        <w:t xml:space="preserve">支付</w:t>
      </w:r>
      <w:r>
        <w:rPr>
          <w:rFonts w:ascii="SimSun" w:hAnsi="SimSun" w:eastAsia="SimSun" w:cs="SimSun"/>
          <w:color w:val="000000"/>
          <w:sz w:val="24"/>
          <w:highlight w:val="white"/>
        </w:rPr>
        <w:t xml:space="preserve">违约金，违约金可直接从履约保证金中扣除; 延期超过10日，甲方有权强制解除合同。               </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（二）乙方所供货物的型号、规格、质量不符合规定的，由其负责包换，并承担调换或退货而支付的实际费用。 </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（三）非因甲方原因，乙方不履行本合同规定的义务，致使工作延误，甲方有权要求其强制履行或解除合同，并要求乙方等额赔偿由此造成的一切损失。</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（四）本项目不得转让分包，如有发生，除没收其履约保证金外，无条件清理退场，所造成的一切损失由乙方负责。</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（五）甲方未按约定期限付款的，除向乙方支付货款外，须按中国人民银行同息贷款利率向乙方支付滞纳金。</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十、知识产权</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十一、合同生效及审核</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本合同经甲方、乙方签字盖章后生效，合同签订的内容不能超出招标文件和投标文件的实质性内容。</w:t>
      </w:r>
      <w:r/>
    </w:p>
    <w:p>
      <w:pPr>
        <w:ind w:left="482"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十二、合同的组成部分</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本合同条款、中标通知书、招标文件、投标文件及投标人在开标时的书面承诺等构成合同的组成部分。 </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十三、本合同一式肆份，以中文书写，甲方、乙方各执贰份。</w:t>
      </w:r>
      <w:r/>
    </w:p>
    <w:p>
      <w:pPr>
        <w:ind w:left="482"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十四、本合同一切未尽事宜，按合同法有关规定执行，无相关规定的，由甲乙双方协商解决。</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通用条款</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十五、词语涵义</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（一）合同：甲乙双方签署的、合同格式中载明的甲方与乙方所达成的协议，包括所有的附件、附录和构成合同的所有文件。</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（二）合同价：根据合同规定，乙方在正确地完全履行合同义务后甲方应支付给卖方的价格。</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（三）服务：根据合同规定乙方承担与项目有关的辅助服务，如运输、保险以及其它的伴随服务，比如提供技术援助、培训和其他类似的应承担的义务。</w:t>
      </w:r>
      <w:r/>
    </w:p>
    <w:p>
      <w:pPr>
        <w:ind w:left="0" w:right="0" w:firstLine="480"/>
        <w:spacing w:before="19"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（五）甲方：采购单位，即</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（六）乙方：提供服务的公司或实体，即</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（七）不可抗力：指不能预见、不能避免和不能克服的客观情况，如战争、动乱、空中飞行物体坠落或其它非甲乙方责任造成的爆炸、火灾，以及协议条款约定等级以上的风、雨、雪、地震等。</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十六、技术规格</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乙方所提供货物的技术规格应与招标文件规定的技术规格以及所附的技术规格响应表相一致。</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十七、专利权</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乙方应保证甲方在使用该货物或其任何一部分时不受第三方提出侵犯其专利权、商标权和工业设计权的起诉。一旦出现专利侵权，乙方应负全部责任。</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十八、付款</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（一）本合同以人民币付款。</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（二）乙方应按照与甲方签订的合同规定服务。</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十九、误期赔偿</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除合同规定外，如果乙方没有按照合同规定的时间提供服务，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十六、不可抗力</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二十、税费</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中国政府根据现行税法规定对甲方征收的与本合同有关的一切税费由甲方负担；规定对乙方征收的与本合同有关的一切税费由乙方负担。</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二十一、合同争议</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甲乙双方应通过友好协商，解决在执行本合同中所发生的或与本合同有关的一切争议。如果协商仍得不到解决，任何一方均可按“中华人民共和国合同法”规定提交调解和仲裁。   </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二十二、适用法律</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本合同应按照中华人民共和国的现行法律进行解释。</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54"/>
        <w:gridCol w:w="4745"/>
      </w:tblGrid>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  月  日</w:t>
            </w:r>
            <w:r/>
          </w:p>
        </w:tc>
      </w:tr>
    </w:tbl>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本项目采购标的对应的中小企业划分标准所属行业：工业（制造业）</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接受进口产品</w:t>
      </w:r>
      <w:r>
        <w:rPr>
          <w:rFonts w:ascii="SimSun" w:hAnsi="SimSun" w:eastAsia="SimSun" w:cs="SimSun"/>
          <w:color w:val="000000"/>
          <w:sz w:val="24"/>
        </w:rPr>
        <w:t xml:space="preserve">。</w:t>
      </w:r>
      <w:r/>
    </w:p>
    <w:p>
      <w:pPr>
        <w:ind w:left="0" w:right="0" w:firstLine="562"/>
        <w:spacing w:before="72" w:after="72"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一、项目基础信息</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1、项目名称：江苏省市场监管技术创新中心（酒类食品）设备采购项目（三）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2、最高限价：217万元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3、合同履行期限：3个月。</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4、供货地点：采购人指定地点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5、质量：合格</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w:t>
      </w:r>
      <w:r/>
    </w:p>
    <w:p>
      <w:pPr>
        <w:ind w:left="0" w:right="0" w:firstLine="480"/>
        <w:spacing w:before="72" w:after="72"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预付款：合同金额的30%，合同签订后按规定支付； </w:t>
      </w:r>
      <w:r/>
    </w:p>
    <w:p>
      <w:pPr>
        <w:ind w:left="0" w:right="0" w:firstLine="480"/>
        <w:spacing w:before="72" w:after="72"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进度款：货物验收合格且收到供应商发票后10个工作日内一次性付清全款。</w:t>
      </w:r>
      <w:r/>
    </w:p>
    <w:p>
      <w:pPr>
        <w:ind w:left="0" w:right="0" w:firstLine="482"/>
        <w:spacing w:before="72" w:after="72"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注：1、在签订合同时，中标人明确表示无需预付款或者主动要求降低预付款比例的金额，采购人可不适用预付款规定。2、数字人民币作为支付方式之一。</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二、采购清单及参数（核心产品：</w:t>
      </w:r>
      <w:r>
        <w:rPr>
          <w:rFonts w:ascii="SimSun" w:hAnsi="SimSun" w:eastAsia="SimSun" w:cs="SimSun"/>
          <w:color w:val="000000"/>
          <w:sz w:val="24"/>
        </w:rPr>
        <w:t xml:space="preserve">全自动微生物鉴定仪）</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8"/>
        <w:gridCol w:w="4909"/>
        <w:gridCol w:w="2222"/>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采购需求概况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凝胶成像系统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自动螺旋接种仪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全自动微生物鉴定仪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全自动酶联免疫荧光免疫分析仪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二氧化硫测定仪（8位）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冻干机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梯度PCR仪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电泳仪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2"/>
        <w:spacing w:before="72" w:after="72"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（一）凝胶成像系统技术参数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1.样品来源：能满足不同的不透光样品如照片、纸张、杂交膜等；荧光样品如EB染色的DNA凝胶、SYBR Safe荧光染色DNA凝胶、Radiant Red荧光染色的RNA凝胶等；各种染色的蛋白质凝胶如考染、银染、SYPRO Ruby或Oriole荧光染色等。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2.触摸屏：≥9.7英寸触摸屏，具有多点触控功能。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▲3.分辨率：≥630万像素。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4.滤光片：标配535nm-645nm滤光片。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5.动态范围：＞3.5OD。</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6.光源：标配透射紫外、侧白光，选配透射白光、透射蓝光。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7.智能托盘技术：系统自动识别特定应用的样品托盘，并调整成像参数及对应的软件设置。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8.自动曝光：具有两种自动曝光算法（快速和优化）。</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▲9.最大成像面积：≥21×14cm。</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10.软件功能：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10.1.全自动专业成像及分析软件对系统进行自动控制，包括采集、优化、定量、分析图像及报告输出。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10.2.软件可编程，所编程序可重复调用或再编辑。</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10.3.软件可自由安装于多台电脑，同时分析。</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10.4.软件可控制曝光时间以看到微弱信号。</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10.5.任何缩放设置都有预校准的自动对焦，显示过饱和像素保证精确定量。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10.6.添加各种格式的文字注释。</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▲10.7.自动条带检测，自动分子量测算，自动条带浓度测算。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10.8.相对含量百分数分析；绝对浓度、密度计算。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10.9.微卫星DNA分析；RFLP和DNA指纹分析。</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10.10.≥12种预设染料颜色标记显示及输出。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10.11.报告输出：包括图像仪名称、仪器序列号、使用者姓名、成像时间、光源名称、滤光片名称、泳道图示、条带标注等。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10.12.▲可3D图像观察及输出；拥有多幅图像合并显示并分析功能；图像输出格式：≥4种（需包含tif、.bmp、.png、.jpg）；数据输出方式：≥4种（需包含剪贴板输出、数据库输出、Excel表格式输出、PDF输出）。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10.13.软件免费升级；配有软件操作指南flash；配有中英文界面。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10.14.配置：主机一台、多功能成像板1块、存储终端1台，图像输出设备1台，中文使用说明书。</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（二）自动螺旋接种仪技术参数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1、接种模式: 指数模式、循环模式、均一模式。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2、培养皿直径: 90 mm或150 mm；</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3、预设接种体积: 50, 100 或 200 µL。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4、计数范围: 100 到 1x107 CFU/mL。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▲5、可编程接种体积 (通过 USB) 从 10 到 1000 µL。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6、指数模式: 90 mm 培养皿上最小4个稀释对数; 140/150mm培养皿最小6个稀释对数。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7、体积精确到: ± 0.5 %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8、注射器容量≥1000 µL；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9、接种循环时间(1 次消毒+ 1 次样品进样 + 1次接种）≤ 25 s。</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10、同一样品连续接种量最高可达20个培养皿 (50 µL)。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11、多功能耐高温高压灭菌的接种针。</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12、通过溢出技术对接种针清洁和消毒，压力高达8bars。</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13、全不锈钢机身、微处理器控制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▲14、快速旋转手臂。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质保期: 1 年（注册后）。</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符合质量管理体系、环境管理体系和职业健康与安全管理体系三体系认证标准、FDA BAM (细菌学分析手册)标准。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17.配件清单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≥1 个 90mm 的培养皿适配器；</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1 个盒子包含: 1) 1 瓶蓝色染液2) 1 个硅胶管注射器 3) 1 个 Ø 150 mm 培养皿适配器 4) 1 个 Ø 90 mm 螺旋计数网格 5) 1 个测试容器支架 6) 1 套 2 个过滤器  7) 1 个软件(最低要求: 最低要求 1280x960 屏幕分辨率) 8) 1 USB A/B 线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1 个 Ø 150 mm 螺旋计数网格；</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1 盒清洁粉；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4 套耐高温高压 GL45 瓶连接管；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 1 套 GL45 瓶双头管；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1 个接种针；</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 1 根电源线；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 1 份用户手册 （中文）；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17.10. 1 份清洁粉快速使用指南；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  1箱1000个DB50无菌烧杯。</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（三）全自动微生物鉴定仪技术参数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硬件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光学系统：应用3个不同的波长读取卡片反应结果，分别为430、568nm和660nm。</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采用具有蓝牙功能电子比浊仪,标准化制备菌悬液测量细菌浓度范围0.5~4.0 麦氏单位。</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2．软件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2.1软件界面：使用直观易用熟悉的WINDOWS界面，利用导览和过滤功能，方便查询鉴定结果。</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2.2联网功能：可以与LIS系统实现简便的数据交换，增强同一单位的数据交流能力和本系统数据交流的能力。</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2.3高级专家系统:必要时专家系统能够快速准确地“指纹”识别细菌耐药机制。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2.4用户可在仪器中自行建立鉴定数据库，鉴定变种菌株。</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技术性能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仪器可鉴定G- 、G+ 、酵母菌、厌氧菌、奈瑟氏菌、嗜血杆菌、李斯特氏菌、单核增生李斯特菌、大肠杆菌O157、芽孢杆菌、炭疽杆菌、猪链球菌I型及II型、非发酵菌等，菌库达500条目以上。</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3.2检测通量：同时检测不少于30个测试。</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3.3鉴定结果平均在2-6小时。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具有独立的全封闭鉴定和药敏试卡，试验过程中不需添加任何辅助试剂，保证实验室的安全性，避免菌液接种过程中的污染。</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全自动仪器，只需自备菌液选定卡片，仪器自动真空充填、自动加样，自动切割、自动密封卡片，并将其传送至读卡培养箱中，自动孵育判读结果并打印报告。</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标准化及可溯源性：通过扫描条形码将标本信息录入电脑软件，实现标本的数据化控制，鉴定卡片上的条形码读出卡片类型，由此将鉴定卡和标本信息关联，不会出现人为误差。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药敏：设备具有强大药敏功能，包括真菌药敏功能，药敏报告时间平均2-8小时，同一报告可报告的抗生素不少于15个，能够为突发事件提供药物控制方案。</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检测方法</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鉴定细菌原理：细菌鉴定经典方法比色、比浊法，技术稳定，鉴定结果重复性高。</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动态法检测，每15分钟检测一次。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5认证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鉴定卡具有AOAC认证，仪器具有CFDA认证。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6.配置清单：</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主机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专用电脑操作系统     1套；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不间断电源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电子比浊器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条码读出器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操作手册             1套；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 用具箱           1套；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 加样枪               1套；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 稳压器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 分液器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6.11配套色彩图像输出设备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6.12配套黑白图像输出设备     1台；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其它必配的附件、配件、专用工具、备件等1套。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6.13技术资料：中文操作说明书、 中文维护说明书、中文试剂说明书。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6.14服务：上门安装调试、操作人员培训，软件免费升级，整机质保壹年。</w:t>
      </w:r>
      <w:r/>
    </w:p>
    <w:p>
      <w:pPr>
        <w:numPr>
          <w:ilvl w:val="0"/>
          <w:numId w:val="11"/>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全自动酶联免疫荧光免疫分析仪</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硬件性能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自动化：将即可用试剂条插入仪器中，系统自动进行整个免疫分析的预温、吸样、量度、分析及打印结果等不同步骤。</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测试容量：模块化设计，灵活的测试容量，可同时进行不少于24个不同的测试；可堆叠设计，节约占地空间，支持后续升级扩展。</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吸样系统：仪器自动进行免疫分析中样本混匀、稀释、清洗及转移过程；智能泵功能，自动进行堵塞检查，避免交叉污染。</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仪器状态LED： 仪器带有多个LED，用于指示仪器总体状态和仓位运行状态，对仪器堵塞、泄露自动警示。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反应区：系统为多参数分析仪，每个模块拥有不少于2个独立的反应仓，各含6个及以上试验通道，各仓独立运行、独立控温，可分开启动，并可同时或随时开展相同或不同的检测项目。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仪器中央系统控制内置温孵箱温度在35.3℃至38.7℃ ± 0.7℃。</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检测系统：仪器内部设置荧光扫描器，对每个试剂条末端荧光变化进行检测。每小时检测不低于36次，结果报告时间由30分钟到2小时, 120测试/天/模块。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休眠模式：可选择仪器组中的一台或多台模块在未使用时自动进入休眠模式，不影响其他模块的正常运行，节约能源，有效缩短仪器启动预热时间。</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1.9内部摄像头控制，用于自动识别反应区主耗材，避免不同批号，不同检测项目之间的误操作混合放置。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软件功能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包含高清触摸显示器和用于单个模块的内部计算机，执行在用户和仪器之间起界面作用、检测反应过程、数据管理、存储并打印结果，以及与 LIMS 进行通信。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可储存预先设定标准曲线，每14天-28天只需进行一次单点校正。跨模块共享校准数据，无需重复校准。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支持实验室数据管理系统双向连接。</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检测性能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试剂条：采用封闭、独立的单人份包装，每盒试剂盒内需同时配备校准液与质控液，无需另购比色杯、吸头等其他任何试验耗材。</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适用于多种环境和食品基质，经过ISO、AOAC等国际认证，24小时和48小时解决方案可供选择。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3.3 共13种测试条类别可供选择，包括沙门氏菌检测（抗体技术/克隆噬菌体结合蛋白）、李斯特菌检测、单增李斯特菌检测、大肠杆菌O157型检测（抗体技术/克隆噬菌体结合蛋白）、葡萄球菌肠毒素检测和弯曲菌检测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整体配置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全自动免疫荧光分析仪，包括检测仪，软件系统，高清触摸显示屏，扫码仪，HP电脑（＞2个模块）及维护工具，中文使用说明。</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技术数据: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工作温度：18～30℃；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相对湿度：20%～80%，无冷凝；</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电源电压：220V±10%，50Hz。</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售后服务与国内培训：</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免费安装调试：仪器到货后1周内到用户处安装调试，按验收指标逐项测试，直至达到各项验收要求。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6.2质量保证期后1年内维修只收材料费。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6.3维修响应时间一般情况≤24小时，到现场时间72小时。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6.4免费培训2人直至能完全独立操作。</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保修期：安装调试后经用户验收合格当天起，质量保证期1年。</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（五）二氧化硫测定仪（8位）</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1.全自动二氧化硫蒸馏仪：</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1.1、全自动二氧化硫蒸馏仪由以下单元组成：八套加热控制单元、一套冷却水自循环单元、八套氮气流量控制单元、八组磁力搅拌控制单元、一组自动加酸控制单元、计时控制单元和滴定单元组成。</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1.2、加热控制：采用碗状远红外陶瓷加热炉，红外线辐射加热（无明火加热、防水、耐酸碱腐蚀)。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▲1.3、加热单元：8位，可单孔单控；加热系统带有升温和保温功能，可自行设置切换。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1.4、升温时间：8-12min。</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1.5、氮气装置：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1.5.1主机设有氮气总接口，具有氮气保护功能，可单孔单控，氮气流量：0-2L/min(可调)，精度：0.1L/min。</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1.5.2主机设有压力开关，实验前可打开氮气总接口监测管路气密性，带有气密性检测装置。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氮气接头采用快插头，易于拆卸。</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1.6、控制模式：可设置蒸馏时间、蒸馏功率、加酸体积，实验开始后按照实验标准自动执行实验步骤，自动化程度高，实验结束后自动停止加热，无需人工看守。</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▲1.7、加酸控制单元：主机设有酸液总接口，可设定加酸体积，根据选择的样品孔位自动定量加酸，加酸范围：0-20ml。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1.7.1、加酸接头采用聚四氟材质，与蒸馏烧瓶连接处采用快插式磨砂口，方便操作。</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▲1.8、磁力搅拌单元：在接收区设有8位独立的内置式磁力搅拌系统，搅拌速度可通过旋钮调节。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1.9、计时控制单元：根据实验标准每组蒸馏单元设有独立的计时控制系统，可设定工作时间0-200min，实验开始后自动计时，计时结束可自动停止加热。</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1.10、滴定单元：主机设有独立的滴定蝴蝶夹，可自行滑动，方便进行滴定操作。</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1.11、单孔功率：0-600w(可调)；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1.12、总功率：≤4800W。</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1.13、冷却方式：封闭式内循环回流系统，压缩机制冷降温内循环系统，冷凝水温度＜15℃，适合大批量工作，冷凝效果更佳。</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1.14、主机设有冷凝管清洗口，可一键清洗冷凝管。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1.15、蒸馏瓶规格：1000mlX8。</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1.16、接收瓶规格：锥形瓶100mlX8（可选双吸收瓶）。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1.17、仪器兼容性：考虑多个二氧化硫方法的兼容性，具备双吸收功能。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1.18、工作条件：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电源：AC 220V，50Hz；</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环境温度：10-35℃；</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环境湿度：＜60%；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2.工业冷水机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2.1、额定电压：220V；额定频率:50Hz；</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2.2、制冷量：0~5kw；</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2.3、最大储水容量：15L；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2.4、安全保护：压缩机过流保护，流量报警，超温报警；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2.5、温控范围：0-室温（可调）。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3、二氧化硫蒸馏仪专用氮气发生器：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3.1.氮气流量：0~16L/min。</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▲3.2.制氮方式：PSA变压吸附方式制氮。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3.3.氮气纯度：≥99.9%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3.4.输出压力：0~5Bar；</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3.5.露点：≤-40℃；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3.6.噪音：≤54dB(A)。</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运行参数全展示，全面监控仪器运行状态；具有累计工作时间在线提示，耗材更换时间提示，故障停机记录，工作中空压机的电压电流显示（提供图片），输出压力精确到0.01psi（提供图片），全方位保障仪器正常使用。</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3.8.内置压缩机，无需另配空气气源；具有压缩机电压电流检测技术，外部电路异常报警功能；具有压缩机功耗智能分配技术，保护压缩机，延长整机使用寿命。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3.9.工作条件：电源：AC 220V，50Hz；</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3.10.环境温度：10-35℃  环境湿度：＜60%。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4、标准配置：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氧化硫蒸馏主机一台、工业冷水机一台、专用氮气发生器一台、1000ml蒸馏瓶8只、冷凝管8只、加酸接口8只、100ml锥形瓶8只、聚四氟加酸接头8套、蝴蝶夹一个、万用夹8个、加酸瓶架（3孔）一个、烧瓶架（8孔）一个、流动相瓶3个、聚四氟管1米、循环水管10根、合格证一份、仪器操作说明书一份、装箱清单一份、产品保修单一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（六）冻干机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冷阱温度： ≤-80 ℃ ;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极限真空度＜0.60Pa(空载），真空度显示精度 0.01Pa。</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冻干面积：≧0.1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物料装载：≧1000 ml；</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1.5物料盘层数（层）：≧3；</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1.6立式设计，底部有脚轮，透明钟罩式干燥室，安全直观。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2.功能特点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具备冻干工艺设置功能，冻干中可实现温度、真空度的自动控制和自主曲线运行，能够有效缩短冻干时间，保证样品形态，实现开发冻干工艺的要求。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可数字设置真空度，运行中保持所设置的真空度，真空度能够跟随梯度温度进行设置， 跟随升温曲线同步控制。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真空度的控制精度最低可达 0.1Pa，具备真空度报警功能，真空度超过设定的报警数值将会蜂鸣报警并文字提醒。</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一组程序可设置至少30段升温曲线，每段可单独设置对应真空度；特殊加热膜，PID 模糊控制，温度均匀精准，温度控制精度 0.1 度；可存储至少30 组不同的程序，用于各类不同样品的冻干。</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工业 PLC 可编程逻辑控制器，具有水、电、磁三防设计，运行稳定，可靠耐用；无需变动系统硬件即可通过更新软件实现对产品功能实时升级和迭代。</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采用液晶高清彩色触摸屏，全触摸操作，无需按键；高清显示，灵敏感应，可通过屏幕完成冻干操作、系统参数设定、数据查看等功能，冻干过程中显示等级、真空度、 样品温度、冷阱温度等参数。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可实时选择、切换中英文界面，设置三级账户密码权限，符合GMP权限管理要求，实现用户分级操作，减少误操作，保护冻干工艺和冻干数据。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真空系统采用皮拉尼真空计，增强真空计量的稳定性和可靠性，不易损坏， 使用寿命长，真空感应精度更灵敏，感应精度达到 0.01Pa。</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具备真空泵保护功能，可根据使用要求设置冷阱温度，只有冷阱达到设置的温度，真空泵才可以启动，有效防止水气进入真空泵，减少对真空泵的损耗。</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自动记录真空泵运行时间，便于评估真空泵的使用情况；可独立设置、修改真空泵保养时间提醒，到达保养时间进行声音蜂鸣和文字提醒报警。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品牌压缩机，优化制冷系统，制冷更迅速，冷阱温度低，捕水能力强；制冷系统具有故障自诊断功能，制冷系统温度异常将启动声音蜂鸣和文字提醒报警。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大容积不锈钢冷阱，实现样品独立预冻，无需冰箱辅助；冷阱无内盘管，光滑内表面， 耐腐蚀，易清洁。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2.13全不锈钢台面，耐腐蚀，易清洁，增加隔热层，避免台面凝水、结霜。</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排水阀和充气阀分离设置，可独立进行排水和充气操作，免除共用设置的冰堵无法充气的问题；排水、充气阀采用不锈钢球阀，可手动控制充气流量，避免进气过快破坏冻干样品形态。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2.15具备主要功能部件自检功能，可实现单个部件的启停，分别查看单零部件工作状态，便于维护和检修。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报警记录自动存储，可实时查询，异常状况报警具备蜂鸣声音和文字提醒功能。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 自动保存冻干数据，可实时查看当前冻干运行曲线和历史数据曲线，整个冻干过程清晰明了。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 内置大容量存储模块可存储不少于 1000 条冻干曲线和报警记录，具有更大的存储量，可实时查询冻干数据。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 具有 USB 接口，可导出冻干数据，便于用户信息化管理以及工艺优化。</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 在操作界面能显示当前运行时间，同时具有屏幕日期和时间校准功能。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2.21充气阀可直接连接氮气瓶或惰性气体瓶，无需选配额外的氮气充气阀，更方便。</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主机 1 台+真空泵 1 台+连接管路、卡箍 1 套。</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（七）梯度PCR仪参数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可以升级为六通道荧光定量PCR仪。</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8.5"高分辨率超大彩色液晶显示屏，实验过程中实时显示温控及运行状态。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具有动态温度梯度功能，可同时运行8个不同的温度，每个温度孵育时间相同。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半导体加热制冷方式。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具有可更换的反应模块，包括96x0.2ml梯度单槽模块、96x0.2ml/48x0.5ml 梯度深槽模块、48/48x0.2 ml双槽梯度模块、384孔单槽梯度模块、定量PCR梯度模块等。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1.6当安装梯度双槽模块时，可同时独立运行两个不同的程序，供两人同时使用梯度程序。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1.7带有程序自动编写功能，输入退火温度和扩增片断长度等信息可自动生成扩增程序。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仪器参数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显示：8.5"高分辨率超大彩色液晶显示屏，可选择图形编程、文字编程或自动编程。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1.8.2内存容量：仪器自身可存储至少1000个反应程序，此外可使用U盘扩展内存。</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▲1.8.3最大升降温速率：5℃/秒。</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1.8.4温度范围：0 -100℃；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1.8.5温控准确度：±0.2℃；</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1.8.6温控均一性：±0.4℃（90℃10秒内达到）。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▲1.8.7梯度温控范围：30-100℃；梯度温差范围：1-24℃；梯度温度孵育时间：相同。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1.8.8接口：5个USB A型接口，1个USB B型接口，可外接鼠标控制。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1.9、配件清单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1.9.1.PCR仪主机一台；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电源线一根；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耗材1盒；</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1.9.4.中文使用说明书。</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（八）电泳仪</w:t>
      </w:r>
      <w:r/>
    </w:p>
    <w:p>
      <w:pPr>
        <w:ind w:left="479" w:right="0" w:firstLine="0"/>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1.1电泳电源</w:t>
        <w:br/>
        <w:t xml:space="preserve">1.1.1 输出范围：电压10-300V；电流4-400mA；功率≤75W。</w:t>
        <w:br/>
        <w:t xml:space="preserve">1.1.2  输出类型：恒压、恒流、恒功率，可定时1-999分钟。</w:t>
        <w:br/>
        <w:t xml:space="preserve">1.1.3  显示：LED显示。                       </w:t>
      </w:r>
      <w:r/>
    </w:p>
    <w:p>
      <w:pPr>
        <w:ind w:left="479" w:right="0" w:firstLine="0"/>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有暂停/继续功能。</w:t>
        <w:br/>
        <w:t xml:space="preserve">1.1.5  输出插孔4对并联，可同时对四个同类型的电泳槽进行电泳。</w:t>
        <w:br/>
        <w:t xml:space="preserve">1.1.6 安全标准：通过EN-61010 CE标准。</w:t>
        <w:br/>
        <w:t xml:space="preserve">1.1.7 安全检测：自动检测无负载，过载，短路等，自动断电保护。</w:t>
        <w:br/>
        <w:t xml:space="preserve">1.2 电泳仪</w:t>
        <w:br/>
        <w:t xml:space="preserve">1.2.1  带有荧光标尺的紫外透光凝胶盘，尺寸最大为15x 25cm。</w:t>
        <w:br/>
        <w:t xml:space="preserve">1.2.2  多种不同大小的手灌胶选择。</w:t>
        <w:br/>
        <w:t xml:space="preserve">▲1.2.3  适合所有需要的电泳梳---多通道移液器兼容电泳梳；电泳梳、高度可调节的电泳梳和制备型电泳梳 。                   </w:t>
      </w:r>
      <w:r/>
    </w:p>
    <w:p>
      <w:pPr>
        <w:ind w:left="0" w:right="0" w:firstLine="480"/>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可支持预制胶。     </w:t>
      </w:r>
      <w:r/>
    </w:p>
    <w:p>
      <w:pPr>
        <w:ind w:left="479" w:right="0" w:firstLine="0"/>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最多可分离120个样品。</w:t>
        <w:br/>
        <w:t xml:space="preserve">1.2.6配置：水平电泳槽及电泳梳1套，凝胶电泳制胶装置1套，电泳仪电源1套，中文使用说明书。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验收标准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（2）招标人对中标人提供的服务或货物在使用前进行调试时，中标人需负责安装并培训招标人的使用操作人员，并协助招标人一起调试，直到符合技术要求及招标人要求。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前中标人必须确保项目设备、材料、功能完全满足招投标文件技术规格要求或国家行业有关质量标准，应保证所提供设备涉及到的知识产权和所提供的软件、技术资料是合法取得，并享有完整的知识产权，不会因为招标人的使用而被责令停止使用、追偿或要求赔偿损失，如出现此情况，一切经济和法律责任均由中标人承担。</w:t>
      </w:r>
      <w:r/>
    </w:p>
    <w:p>
      <w:pPr>
        <w:ind w:left="0" w:right="0" w:firstLine="562"/>
        <w:spacing w:before="72" w:after="72"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1、依据本项目采购需求供应商自行配置能完成本项目任务的项目组人员，明确好人员岗位；</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2、依据本项目采购需求供应商可以提供承担过的类似项目业绩相关证明材料，包括但不限于中标（成交）通知书和采购合同。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3、验收要求：提交的成果资料符合相关规范、符合采购人有关要求，并顺利通过采购人验收。</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4、验收标准：采购人根据国家有关规定、磋商文件、成交供应商的响应文件以及合同约定的内容和验收标准进行验收。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5、项目实施方案：供应商根据本项目需求制定完善的项目实施方案，切实可行，条理清晰，内容详尽。</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6、管理力量、技术人员 安排：按照项目所约束的条件以及要求的内容，提出具有针对性的记载整个服务活动的管理力量、技术人员安排，如：人员职责分工、劳动纪律、奖惩制度、人员配备力量等全方面多角度地进行明确。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7、供货进度方案：提供针对本项目撰写合理的供货进度安排，根据招标文件及采购方对供货期的要求，编制进度计划，设定时间节点。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8、售后服务：供应商应考虑到售后服务，如响应时间、售后维护、质保期服务等，并提交全面的方案策略。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b/>
          <w:color w:val="000000"/>
          <w:sz w:val="24"/>
          <w:highlight w:val="white"/>
        </w:rPr>
        <w:t xml:space="preserve">采购标的需实现的功能或者目标，以及为落实政府采购政策需满足的要求；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1.采购本国货物、工程和服务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1.1政府采购应当采购本国货物、工程和服务，但有《中华人民共和国政府采购法》第十条规定情形的除外。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八、采购标的需实现的功能或者目标，以及为落实政府采购政策需满足的要求；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采购本国货物、工程和服务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1.1.1政府采购应当采购本国货物、工程和服务，但有《中华人民共和国政府采购法》第十条规定情形的除外。</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1.1.2如采购进口产品的，应当符合《政府采购进口产品管理办法》(财库(2007)119 号文) 、《关于政府采购进口产品管理有关问题的通知》 (财办库 (2008) 248号文) 等相关规定。本项目是否采购进口产品，以须知前附表确定的为准。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1.3政府采购需求标准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1.3.1商品包装、快递包装政府采购需求标准（试行）</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1.5绿色数据中心政府采购需求标准（试行）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1.5.1为加快数据中心绿色转型，根据财政部 生态环境部 工业和信息化部关于印发《绿色数据中心政府采购需求标准（试行）》的通知），本项目如涉及绿色数据中心，投标人应当提供符合需求标准的产品。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1.6本项目中涉及涂料、胶黏剂、油墨、清洗剂等挥发性有机物产品的，属于强制性标准的，投标人应当提供符合国家和江苏省相关VOCs 含量限制标准的产品。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br w:type="page" w:clear="all"/>
      </w:r>
      <w:r/>
    </w:p>
    <w:p>
      <w:pPr>
        <w:pStyle w:val="709"/>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一、资格审查。</w:t>
      </w:r>
      <w:r>
        <w:rPr>
          <w:rFonts w:ascii="SimSun" w:hAnsi="SimSun" w:eastAsia="SimSun" w:cs="SimSun"/>
          <w:color w:val="000000"/>
          <w:sz w:val="24"/>
          <w:highlight w:val="white"/>
        </w:rPr>
        <w:t xml:space="preserve">资格审查人员按照下列指标对各投标人的资格进行审查，未通过审查的为无效标，不参与评标。</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二、符合性审查。</w:t>
      </w:r>
      <w:r>
        <w:rPr>
          <w:rFonts w:ascii="SimSun" w:hAnsi="SimSun" w:eastAsia="SimSun" w:cs="SimSun"/>
          <w:color w:val="000000"/>
          <w:sz w:val="24"/>
          <w:highlight w:val="white"/>
        </w:rPr>
        <w:t xml:space="preserve">评标委员会首先按照下列指标对各投标人的投标文件进行符合性审查，未通过审查的为无效标，不再参与评审。</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三、评分办法—综合评分法</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（一）评标办法：</w:t>
      </w:r>
      <w:r>
        <w:rPr>
          <w:rFonts w:ascii="SimSun" w:hAnsi="SimSun" w:eastAsia="SimSun" w:cs="SimSun"/>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综合评分保留至小数点后两位。 </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（二）详细评审。</w:t>
      </w:r>
      <w:r>
        <w:rPr>
          <w:rFonts w:ascii="SimSun" w:hAnsi="SimSun" w:eastAsia="SimSun" w:cs="SimSun"/>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21"/>
        <w:gridCol w:w="1417"/>
        <w:gridCol w:w="1134"/>
        <w:gridCol w:w="4780"/>
      </w:tblGrid>
      <w:tr>
        <w:trPr>
          <w:trHeight w:val="90"/>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4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采用低价优先法计算，即满足招标文件要求且最低的报价为评审基准价，其价格分为满分。其他投标人报价得分＝（评标基准价/投标报价）*30。注：结果保留小数点后2位数。</w:t>
            </w:r>
            <w:r/>
          </w:p>
        </w:tc>
      </w:tr>
      <w:tr>
        <w:trPr>
          <w:trHeight w:val="38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满足招标文件技术参数要求的得满分。标“▲”项为重要参数，每有一项（一个句号的完整内容为一“项”）不满足的扣0.8分，其它项每有一项（一个句号的完整内容为一“项”）不满足的扣0.1分，扣完为止。注：投标人针对本项评分内容在响应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p>
        </w:tc>
      </w:tr>
      <w:tr>
        <w:trPr>
          <w:trHeight w:val="923"/>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6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企业经营业绩、能力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投标人自2021年1月1日（以合同签订时间为准）以来，具有类似项目业绩的，每提供一个得2分，本项最高得6分。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注：须提供中标（成交）通知书、合同原件电子件加盖公章，二者缺一不可，（合同主要内容、标的、等需清晰可见，如未提供或提供不清晰均不得分。</w:t>
            </w:r>
            <w:r/>
          </w:p>
        </w:tc>
      </w:tr>
      <w:tr>
        <w:trPr>
          <w:trHeight w:val="9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1、投标产品在财政部、生态环境部公布的“环境标志产品政府采购品目清单”内，且响应文件中提供国家市场监督管理局确定的列入“参与实施政府采购环境标志产品认证机构名录 ” 内的认证机构出具的、有效期内的该产品环境标志产品认证证书电子件的得 1 分； 2、投标产品在财政部、发展改革委公布的“节能产品政府采购品目清单”内（属于政府强制采购产品除外），且响应文件中提供国家市场监督管理局确定的列入“参与实施政府采购节能产品认证机构名录”内的认证机构出具的、有效期内的该产品的节能产品认证证书电子件的得 1 分。未提供的不得</w:t>
            </w:r>
            <w:r>
              <w:rPr>
                <w:rFonts w:ascii="SimSun" w:hAnsi="SimSun" w:eastAsia="SimSun" w:cs="SimSun"/>
                <w:color w:val="000000"/>
                <w:sz w:val="24"/>
              </w:rPr>
              <w:t xml:space="preserve">分。</w:t>
            </w:r>
            <w:r/>
          </w:p>
        </w:tc>
      </w:tr>
      <w:tr>
        <w:trPr>
          <w:trHeight w:val="9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供应商具有有效期内的质量管理体系认证证书、职业健康安全管理体系认证证书、环境管理体系认证证书。每有一项的得2分，本项最高得6分。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注：提供证书原件电子件加盖公章，否则不得分。</w:t>
            </w:r>
            <w:r/>
          </w:p>
        </w:tc>
      </w:tr>
      <w:tr>
        <w:trPr>
          <w:trHeight w:val="1076"/>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62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施方案（包含但不限于实施计划、设备使用和调试等）的完整性、思路清晰、逻辑合理等进行打分。实施方案符合实际，能够针对本项目供货要求而细化制定方案，且优于采购需求的，得5分；方案内容合理、能够基本满足本项目采购需求内容，为本项目制定较完善的实施措施，完整和实用的，得4分；方案内容有一定偏差，但不影响实质性内容表达，较具有针对性和可操作性，得3分；有方案，但方案内容模糊，内容不详实、不完整、内容不全面的，但经承诺通过优化可以满足采购需求的，得1分；没有内容不得分。</w:t>
            </w:r>
            <w:r/>
          </w:p>
        </w:tc>
      </w:tr>
      <w:tr>
        <w:trPr>
          <w:trHeight w:val="17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管理力量、技术人员 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管理及人员配备情况进行打分。人员配置齐全，能够针对本项目主要工作内容要求而细化制定方案，且优于采购需求的，得5分；方案内容合理、能够基本满足本项目采购需求内容，为本项目制定较完善的管理力量和人员配置方案，完整和实用的，得4分；方案内容有一定偏差，但不影响实质性内容表达，得3分；有方案，但方案内容模糊，内容不详实、不完整、内容不全面的，但经承诺通过优化可以满足采购需求的，得1分；没有内容不得分。</w:t>
            </w:r>
            <w:r/>
          </w:p>
        </w:tc>
      </w:tr>
      <w:tr>
        <w:trPr>
          <w:trHeight w:val="17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供货进度方案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货进度的可行性、合理性等方面进行打分。工艺独特、精巧且优于采购需求的，得5分；进度安排合理、能够基本满足本项目采购需求内容，得4分；方案内容有一定偏差，但不影响实质性内容表达，得3分；有方案，但方案内容模糊，内容不详实、不完整、内容不全面的，但经承诺通过优化可以满足采购需求的，得1分；没有内容不得分。</w:t>
            </w:r>
            <w:r/>
          </w:p>
        </w:tc>
      </w:tr>
      <w:tr>
        <w:trPr>
          <w:trHeight w:val="4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售后服务方案，方案内容应包括技术支持和维修服务，维保队伍，质保期限，质保期外的维修服务，响应时间等进行打分。方案详细、完善，故障响应及时的得4分；方案较完整，故障响应满足需求的得3分；方案不完整，故障响应基本满足需求的得2分；方案内容一般，可行性差的得1分；没有内容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red"/>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（三）评标结果。</w:t>
      </w:r>
      <w:r>
        <w:rPr>
          <w:rFonts w:ascii="SimSun" w:hAnsi="SimSun" w:eastAsia="SimSun" w:cs="SimSun"/>
          <w:color w:val="000000"/>
          <w:sz w:val="24"/>
          <w:highlight w:val="white"/>
        </w:rPr>
        <w:t xml:space="preserve">评标委员会按照本办法规定推荐中标候选人，并形成评标报告。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（四）政府采购政策功能落实</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本项目落实的政府采购政策对应以下序号为</w:t>
      </w:r>
      <w:r>
        <w:rPr>
          <w:rFonts w:ascii="FangSong" w:hAnsi="FangSong" w:eastAsia="FangSong" w:cs="FangSong"/>
          <w:color w:val="000000"/>
          <w:sz w:val="24"/>
          <w:u w:val="single"/>
        </w:rPr>
        <w:t xml:space="preserve"> </w:t>
      </w:r>
      <w:r>
        <w:rPr>
          <w:rFonts w:ascii="Times New Roman" w:hAnsi="Times New Roman" w:eastAsia="Times New Roman" w:cs="Times New Roman"/>
          <w:color w:val="000000"/>
          <w:sz w:val="24"/>
          <w:u w:val="single"/>
        </w:rPr>
        <w:t xml:space="preserve">1</w:t>
      </w:r>
      <w:r>
        <w:rPr>
          <w:rFonts w:ascii="FangSong" w:hAnsi="FangSong" w:eastAsia="FangSong" w:cs="FangSong"/>
          <w:color w:val="000000"/>
          <w:sz w:val="24"/>
          <w:u w:val="single"/>
        </w:rPr>
        <w:t xml:space="preserve">、</w:t>
      </w:r>
      <w:r>
        <w:rPr>
          <w:rFonts w:ascii="Times New Roman" w:hAnsi="Times New Roman" w:eastAsia="Times New Roman" w:cs="Times New Roman"/>
          <w:color w:val="000000"/>
          <w:sz w:val="24"/>
          <w:u w:val="single"/>
        </w:rPr>
        <w:t xml:space="preserve">2</w:t>
      </w:r>
      <w:r>
        <w:rPr>
          <w:rFonts w:ascii="FangSong" w:hAnsi="FangSong" w:eastAsia="FangSong" w:cs="FangSong"/>
          <w:color w:val="000000"/>
          <w:sz w:val="24"/>
          <w:u w:val="single"/>
        </w:rPr>
        <w:t xml:space="preserve">、</w:t>
      </w:r>
      <w:r>
        <w:rPr>
          <w:rFonts w:ascii="Times New Roman" w:hAnsi="Times New Roman" w:eastAsia="Times New Roman" w:cs="Times New Roman"/>
          <w:color w:val="000000"/>
          <w:sz w:val="24"/>
          <w:u w:val="single"/>
        </w:rPr>
        <w:t xml:space="preserve">3</w:t>
      </w:r>
      <w:r>
        <w:rPr>
          <w:rFonts w:ascii="FangSong" w:hAnsi="FangSong" w:eastAsia="FangSong" w:cs="FangSong"/>
          <w:color w:val="000000"/>
          <w:sz w:val="24"/>
          <w:u w:val="single"/>
        </w:rPr>
        <w:t xml:space="preserve">、</w:t>
      </w:r>
      <w:r>
        <w:rPr>
          <w:rFonts w:ascii="Times New Roman" w:hAnsi="Times New Roman" w:eastAsia="Times New Roman" w:cs="Times New Roman"/>
          <w:color w:val="000000"/>
          <w:sz w:val="24"/>
          <w:u w:val="single"/>
        </w:rPr>
        <w:t xml:space="preserve">4  </w:t>
      </w:r>
      <w:r/>
    </w:p>
    <w:p>
      <w:pPr>
        <w:numPr>
          <w:ilvl w:val="0"/>
          <w:numId w:val="12"/>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highlight w:val="white"/>
        </w:rPr>
        <w:t xml:space="preserve">2007</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119 </w:t>
      </w:r>
      <w:r>
        <w:rPr>
          <w:rFonts w:ascii="SimSun" w:hAnsi="SimSun" w:eastAsia="SimSun" w:cs="SimSun"/>
          <w:color w:val="000000"/>
          <w:sz w:val="24"/>
          <w:highlight w:val="white"/>
        </w:rPr>
        <w:t xml:space="preserve">号文）、《关于政府采购进口产品管理有关问题的通知》（财办库〔</w:t>
      </w:r>
      <w:r>
        <w:rPr>
          <w:rFonts w:ascii="Times New Roman" w:hAnsi="Times New Roman" w:eastAsia="Times New Roman" w:cs="Times New Roman"/>
          <w:color w:val="000000"/>
          <w:sz w:val="24"/>
          <w:highlight w:val="white"/>
        </w:rPr>
        <w:t xml:space="preserve">2008</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248</w:t>
      </w:r>
      <w:r>
        <w:rPr>
          <w:rFonts w:ascii="SimSun" w:hAnsi="SimSun" w:eastAsia="SimSun" w:cs="SimSun"/>
          <w:color w:val="000000"/>
          <w:sz w:val="24"/>
          <w:highlight w:val="white"/>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 </w:t>
      </w:r>
      <w:r>
        <w:rPr>
          <w:rFonts w:ascii="SimSun" w:hAnsi="SimSun" w:eastAsia="SimSun" w:cs="SimSun"/>
          <w:color w:val="000000"/>
          <w:sz w:val="24"/>
          <w:highlight w:val="white"/>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）投标人提供的货物符合下列情形的，对小微企业报价给予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rPr>
        <w:t xml:space="preserve">的</w:t>
      </w:r>
      <w:r>
        <w:rPr>
          <w:rFonts w:ascii="SimSun" w:hAnsi="SimSun" w:eastAsia="SimSun" w:cs="SimSun"/>
          <w:color w:val="000000"/>
          <w:sz w:val="24"/>
          <w:highlight w:val="white"/>
        </w:rPr>
        <w:t xml:space="preserve">扣除，用扣除后的价格参加评审。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在货物采购项目中，货物由中小企业制造，即货物由中小企业生产且使用该中小企业商号或者注册商标。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注：①参加投标的中小企业，应当按照《政府采购促进中小企业发展管理办法》（财库〔</w:t>
      </w:r>
      <w:r>
        <w:rPr>
          <w:rFonts w:ascii="Times New Roman" w:hAnsi="Times New Roman" w:eastAsia="Times New Roman" w:cs="Times New Roman"/>
          <w:color w:val="000000"/>
          <w:sz w:val="24"/>
          <w:highlight w:val="white"/>
        </w:rPr>
        <w:t xml:space="preserve">2020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46</w:t>
      </w:r>
      <w:r>
        <w:rPr>
          <w:rFonts w:ascii="SimSun" w:hAnsi="SimSun" w:eastAsia="SimSun" w:cs="SimSun"/>
          <w:color w:val="000000"/>
          <w:sz w:val="24"/>
          <w:highlight w:val="white"/>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highlight w:val="white"/>
        </w:rPr>
        <w:t xml:space="preserve">2011</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300 </w:t>
      </w:r>
      <w:r>
        <w:rPr>
          <w:rFonts w:ascii="SimSun" w:hAnsi="SimSun" w:eastAsia="SimSun" w:cs="SimSun"/>
          <w:color w:val="000000"/>
          <w:sz w:val="24"/>
          <w:highlight w:val="white"/>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highlight w:val="white"/>
        </w:rPr>
        <w:t xml:space="preserve">2014</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68</w:t>
      </w:r>
      <w:r>
        <w:rPr>
          <w:rFonts w:ascii="SimSun" w:hAnsi="SimSun" w:eastAsia="SimSun" w:cs="SimSun"/>
          <w:color w:val="000000"/>
          <w:sz w:val="24"/>
          <w:highlight w:val="white"/>
        </w:rPr>
        <w:t xml:space="preserve">号）的规定，提供由省级以上监狱管理局、戒毒管理局</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含新疆生产建设兵团</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highlight w:val="white"/>
        </w:rPr>
        <w:t xml:space="preserve">2017</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141</w:t>
      </w:r>
      <w:r>
        <w:rPr>
          <w:rFonts w:ascii="SimSun" w:hAnsi="SimSun" w:eastAsia="SimSun" w:cs="SimSun"/>
          <w:color w:val="000000"/>
          <w:sz w:val="24"/>
          <w:highlight w:val="white"/>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以上的，对联合体或者大中型企业的报价给予</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（工程项目为</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09"/>
        <w:ind w:left="0" w:right="0" w:firstLine="0"/>
        <w:jc w:val="center"/>
        <w:spacing w:before="0" w:after="0"/>
        <w:rPr>
          <w:sz w:val="28"/>
          <w:szCs w:val="28"/>
        </w:rPr>
        <w:pBdr>
          <w:top w:val="none" w:color="000000" w:sz="4" w:space="0"/>
          <w:left w:val="none" w:color="000000" w:sz="4" w:space="0"/>
          <w:bottom w:val="none" w:color="000000" w:sz="4" w:space="0"/>
          <w:right w:val="none" w:color="000000" w:sz="4" w:space="0"/>
        </w:pBdr>
      </w:pPr>
      <w:r>
        <w:rPr>
          <w:sz w:val="28"/>
          <w:szCs w:val="28"/>
        </w:rPr>
      </w:r>
      <w:r>
        <w:rPr>
          <w:sz w:val="28"/>
          <w:szCs w:val="28"/>
        </w:rPr>
      </w:r>
      <w:r/>
    </w:p>
    <w:p>
      <w:pPr>
        <w:pStyle w:val="709"/>
        <w:ind w:left="0" w:right="0" w:firstLine="0"/>
        <w:jc w:val="center"/>
        <w:spacing w:before="0" w:after="0"/>
        <w:rPr>
          <w:sz w:val="28"/>
          <w:szCs w:val="28"/>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pStyle w:val="709"/>
        <w:ind w:left="0" w:right="0" w:firstLine="0"/>
        <w:jc w:val="center"/>
        <w:spacing w:before="0" w:after="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磋商申请及声明</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供应商基本信息</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法人授权书</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numPr>
          <w:ilvl w:val="0"/>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磋商所需其他材料</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w:t>
      </w:r>
      <w:r>
        <w:rPr>
          <w:rFonts w:ascii="FangSong" w:hAnsi="FangSong" w:eastAsia="FangSong" w:cs="FangSong"/>
          <w:color w:val="000000"/>
          <w:sz w:val="24"/>
          <w:highlight w:val="white"/>
        </w:rPr>
        <w:t xml:space="preserve">具备《中华人民共和国政府采购法》第二十二条第一款规定的</w:t>
      </w:r>
      <w:r>
        <w:rPr>
          <w:rFonts w:ascii="Times New Roman" w:hAnsi="Times New Roman" w:eastAsia="Times New Roman" w:cs="Times New Roman"/>
          <w:color w:val="000000"/>
          <w:sz w:val="24"/>
          <w:highlight w:val="white"/>
        </w:rPr>
        <w:t xml:space="preserve">6</w:t>
      </w:r>
      <w:r>
        <w:rPr>
          <w:rFonts w:ascii="FangSong" w:hAnsi="FangSong" w:eastAsia="FangSong" w:cs="FangSong"/>
          <w:color w:val="000000"/>
          <w:sz w:val="24"/>
          <w:highlight w:val="white"/>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3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四、开标一览表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项目名称：江苏省市场监管技术创新中心（酒类食品）设备采购项目（三）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五、投标报价明细表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pStyle w:val="711"/>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711"/>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八、中小（微）企业声明函（货物）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w:t>
      </w:r>
      <w:r>
        <w:rPr>
          <w:rFonts w:ascii="SimSun" w:hAnsi="SimSun" w:eastAsia="SimSun" w:cs="SimSun"/>
          <w:color w:val="000000"/>
          <w:sz w:val="24"/>
        </w:rPr>
        <w:t xml:space="preserve">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十、技术要求响应及偏离表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注：如供应商中标，项目组成员必须按本表承诺人员操作，不得随意更换。按招标文件要求附相关人员证书。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sz w:val="24"/>
        </w:rPr>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Helvetica Neue Light">
    <w:panose1 w:val="020B0503020202020204"/>
  </w:font>
  <w:font w:name="Calibri Light">
    <w:panose1 w:val="020F0302020204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３５</w:t>
    </w:r>
    <w:r>
      <w:rPr>
        <w:rFonts w:ascii="宋体" w:hAnsi="宋体"/>
      </w:rPr>
      <w:fldChar w:fldCharType="end"/>
    </w:r>
    <w:r>
      <w:rPr>
        <w:rStyle w:val="959"/>
        <w:rFonts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pStyle w:val="8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pStyle w:val="8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5"/>
      <w:isLgl w:val="false"/>
      <w:suff w:val="tab"/>
      <w:lvlText w:val="%1."/>
      <w:lvlJc w:val="left"/>
      <w:pPr>
        <w:pStyle w:val="886"/>
        <w:ind w:left="709" w:hanging="709"/>
        <w:tabs>
          <w:tab w:val="num" w:pos="709" w:leader="none"/>
        </w:tabs>
      </w:pPr>
      <w:rPr>
        <w:rFonts w:hint="eastAsia"/>
      </w:rPr>
    </w:lvl>
    <w:lvl w:ilvl="1">
      <w:start w:val="1"/>
      <w:numFmt w:val="decimal"/>
      <w:isLgl w:val="false"/>
      <w:suff w:val="tab"/>
      <w:lvlText w:val="%1.%2"/>
      <w:lvlJc w:val="left"/>
      <w:pPr>
        <w:pStyle w:val="886"/>
        <w:ind w:left="709" w:hanging="709"/>
        <w:tabs>
          <w:tab w:val="num" w:pos="709" w:leader="none"/>
        </w:tabs>
      </w:pPr>
      <w:rPr>
        <w:rFonts w:hint="eastAsia"/>
      </w:rPr>
    </w:lvl>
    <w:lvl w:ilvl="2">
      <w:start w:val="1"/>
      <w:numFmt w:val="decimal"/>
      <w:isLgl w:val="false"/>
      <w:suff w:val="tab"/>
      <w:lvlText w:val="%1.%2.%3."/>
      <w:lvlJc w:val="left"/>
      <w:pPr>
        <w:pStyle w:val="886"/>
        <w:ind w:left="425" w:hanging="425"/>
        <w:tabs>
          <w:tab w:val="num" w:pos="425" w:leader="none"/>
        </w:tabs>
      </w:pPr>
      <w:rPr>
        <w:rFonts w:hint="eastAsia"/>
      </w:rPr>
    </w:lvl>
    <w:lvl w:ilvl="3">
      <w:start w:val="1"/>
      <w:numFmt w:val="decimal"/>
      <w:isLgl w:val="false"/>
      <w:suff w:val="tab"/>
      <w:lvlText w:val="%1.%2.%3.%4."/>
      <w:lvlJc w:val="left"/>
      <w:pPr>
        <w:pStyle w:val="886"/>
        <w:ind w:left="851" w:hanging="851"/>
        <w:tabs>
          <w:tab w:val="num" w:pos="851" w:leader="none"/>
        </w:tabs>
      </w:pPr>
      <w:rPr>
        <w:rFonts w:hint="eastAsia"/>
      </w:rPr>
    </w:lvl>
    <w:lvl w:ilvl="4">
      <w:start w:val="1"/>
      <w:numFmt w:val="decimal"/>
      <w:isLgl w:val="false"/>
      <w:suff w:val="tab"/>
      <w:lvlText w:val="%1.%2.%3.%4.%5."/>
      <w:lvlJc w:val="left"/>
      <w:pPr>
        <w:pStyle w:val="886"/>
        <w:ind w:left="992" w:hanging="992"/>
        <w:tabs>
          <w:tab w:val="num" w:pos="992" w:leader="none"/>
        </w:tabs>
      </w:pPr>
      <w:rPr>
        <w:rFonts w:hint="eastAsia"/>
      </w:rPr>
    </w:lvl>
    <w:lvl w:ilvl="5">
      <w:start w:val="1"/>
      <w:numFmt w:val="decimal"/>
      <w:isLgl w:val="false"/>
      <w:suff w:val="tab"/>
      <w:lvlText w:val="%1.%2.%3.%4.%5.%6."/>
      <w:lvlJc w:val="left"/>
      <w:pPr>
        <w:pStyle w:val="886"/>
        <w:ind w:left="1134" w:hanging="1134"/>
        <w:tabs>
          <w:tab w:val="num" w:pos="1134" w:leader="none"/>
        </w:tabs>
      </w:pPr>
      <w:rPr>
        <w:rFonts w:hint="eastAsia"/>
      </w:rPr>
    </w:lvl>
    <w:lvl w:ilvl="6">
      <w:start w:val="1"/>
      <w:numFmt w:val="decimal"/>
      <w:isLgl w:val="false"/>
      <w:suff w:val="tab"/>
      <w:lvlText w:val="%1.%2.%3.%4.%5.%6.%7."/>
      <w:lvlJc w:val="left"/>
      <w:pPr>
        <w:pStyle w:val="886"/>
        <w:ind w:left="1276" w:hanging="1276"/>
        <w:tabs>
          <w:tab w:val="num" w:pos="1276" w:leader="none"/>
        </w:tabs>
      </w:pPr>
      <w:rPr>
        <w:rFonts w:hint="eastAsia"/>
      </w:rPr>
    </w:lvl>
    <w:lvl w:ilvl="7">
      <w:start w:val="1"/>
      <w:numFmt w:val="decimal"/>
      <w:isLgl w:val="false"/>
      <w:suff w:val="tab"/>
      <w:lvlText w:val="%1.%2.%3.%4.%5.%6.%7.%8."/>
      <w:lvlJc w:val="left"/>
      <w:pPr>
        <w:pStyle w:val="886"/>
        <w:ind w:left="1418" w:hanging="1418"/>
        <w:tabs>
          <w:tab w:val="num" w:pos="1418" w:leader="none"/>
        </w:tabs>
      </w:pPr>
      <w:rPr>
        <w:rFonts w:hint="eastAsia"/>
      </w:rPr>
    </w:lvl>
    <w:lvl w:ilvl="8">
      <w:start w:val="1"/>
      <w:numFmt w:val="decimal"/>
      <w:isLgl w:val="false"/>
      <w:suff w:val="tab"/>
      <w:lvlText w:val="%1.%2.%3.%4.%5.%6.%7.%8.%9."/>
      <w:lvlJc w:val="left"/>
      <w:pPr>
        <w:pStyle w:val="88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6"/>
        <w:ind w:left="0" w:firstLine="0"/>
      </w:pPr>
      <w:rPr>
        <w:rFonts w:hint="eastAsia"/>
      </w:rPr>
    </w:lvl>
    <w:lvl w:ilvl="1">
      <w:start w:val="1"/>
      <w:numFmt w:val="decimal"/>
      <w:isLgl w:val="false"/>
      <w:suff w:val="nothing"/>
      <w:lvlText w:val="%2、"/>
      <w:lvlJc w:val="left"/>
      <w:pPr>
        <w:pStyle w:val="886"/>
        <w:ind w:left="0" w:firstLine="0"/>
      </w:pPr>
      <w:rPr>
        <w:rFonts w:hint="eastAsia"/>
      </w:rPr>
    </w:lvl>
    <w:lvl w:ilvl="2">
      <w:start w:val="1"/>
      <w:numFmt w:val="decimal"/>
      <w:isLgl w:val="false"/>
      <w:suff w:val="nothing"/>
      <w:lvlText w:val="%2.%3 "/>
      <w:lvlJc w:val="left"/>
      <w:pPr>
        <w:pStyle w:val="886"/>
        <w:ind w:left="0" w:firstLine="0"/>
      </w:pPr>
      <w:rPr>
        <w:rFonts w:hint="eastAsia"/>
      </w:rPr>
    </w:lvl>
    <w:lvl w:ilvl="3">
      <w:start w:val="1"/>
      <w:numFmt w:val="decimal"/>
      <w:isLgl w:val="false"/>
      <w:suff w:val="nothing"/>
      <w:lvlText w:val="%2.%3.%4 "/>
      <w:lvlJc w:val="left"/>
      <w:pPr>
        <w:pStyle w:val="886"/>
        <w:ind w:left="0" w:firstLine="0"/>
      </w:pPr>
      <w:rPr>
        <w:rFonts w:hint="eastAsia"/>
      </w:rPr>
    </w:lvl>
    <w:lvl w:ilvl="4">
      <w:start w:val="1"/>
      <w:numFmt w:val="decimal"/>
      <w:isLgl w:val="false"/>
      <w:suff w:val="nothing"/>
      <w:lvlText w:val="%2.%3.%4.%5 "/>
      <w:lvlJc w:val="left"/>
      <w:pPr>
        <w:pStyle w:val="886"/>
        <w:ind w:left="0" w:firstLine="0"/>
      </w:pPr>
      <w:rPr>
        <w:rFonts w:hint="eastAsia"/>
      </w:rPr>
    </w:lvl>
    <w:lvl w:ilvl="5">
      <w:start w:val="1"/>
      <w:numFmt w:val="decimal"/>
      <w:pStyle w:val="892"/>
      <w:isLgl w:val="false"/>
      <w:suff w:val="nothing"/>
      <w:lvlText w:val=""/>
      <w:lvlJc w:val="left"/>
      <w:pPr>
        <w:pStyle w:val="886"/>
        <w:ind w:left="0" w:firstLine="0"/>
      </w:pPr>
      <w:rPr>
        <w:rFonts w:hint="eastAsia"/>
      </w:rPr>
    </w:lvl>
    <w:lvl w:ilvl="6">
      <w:start w:val="1"/>
      <w:numFmt w:val="decimal"/>
      <w:pStyle w:val="893"/>
      <w:isLgl w:val="false"/>
      <w:suff w:val="nothing"/>
      <w:lvlText w:val=""/>
      <w:lvlJc w:val="left"/>
      <w:pPr>
        <w:pStyle w:val="886"/>
        <w:ind w:left="0" w:firstLine="0"/>
      </w:pPr>
      <w:rPr>
        <w:rFonts w:hint="eastAsia"/>
      </w:rPr>
    </w:lvl>
    <w:lvl w:ilvl="7">
      <w:start w:val="1"/>
      <w:numFmt w:val="decimal"/>
      <w:pStyle w:val="894"/>
      <w:isLgl w:val="false"/>
      <w:suff w:val="nothing"/>
      <w:lvlText w:val=""/>
      <w:lvlJc w:val="left"/>
      <w:pPr>
        <w:pStyle w:val="886"/>
        <w:ind w:left="0" w:firstLine="0"/>
      </w:pPr>
      <w:rPr>
        <w:rFonts w:hint="eastAsia"/>
      </w:rPr>
    </w:lvl>
    <w:lvl w:ilvl="8">
      <w:start w:val="1"/>
      <w:numFmt w:val="decimal"/>
      <w:pStyle w:val="895"/>
      <w:isLgl w:val="false"/>
      <w:suff w:val="nothing"/>
      <w:lvlText w:val=""/>
      <w:lvlJc w:val="left"/>
      <w:pPr>
        <w:pStyle w:val="88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8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42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0"/>
  </w:num>
  <w:num w:numId="7">
    <w:abstractNumId w:val="1"/>
  </w:num>
  <w:num w:numId="8">
    <w:abstractNumId w:val="2"/>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character" w:styleId="715">
    <w:name w:val="Heading 4 Char"/>
    <w:link w:val="1039"/>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rFonts w:ascii="Times New Roman" w:hAnsi="Times New Roman"/>
      <w:sz w:val="21"/>
      <w:szCs w:val="21"/>
      <w:lang w:val="en-US" w:eastAsia="zh-CN" w:bidi="ar-SA"/>
    </w:rPr>
  </w:style>
  <w:style w:type="paragraph" w:styleId="887">
    <w:name w:val="标题 1"/>
    <w:basedOn w:val="886"/>
    <w:next w:val="886"/>
    <w:link w:val="898"/>
    <w:qFormat/>
    <w:pPr>
      <w:jc w:val="center"/>
      <w:keepNext/>
      <w:outlineLvl w:val="0"/>
    </w:pPr>
    <w:rPr>
      <w:rFonts w:ascii="楷体_GB2312" w:eastAsia="楷体_GB2312"/>
      <w:sz w:val="28"/>
      <w:szCs w:val="28"/>
    </w:rPr>
  </w:style>
  <w:style w:type="paragraph" w:styleId="888">
    <w:name w:val="标题 2"/>
    <w:basedOn w:val="886"/>
    <w:next w:val="886"/>
    <w:link w:val="899"/>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901"/>
    <w:link w:val="900"/>
    <w:qFormat/>
    <w:pPr>
      <w:keepLines/>
      <w:keepNext/>
      <w:spacing w:before="260" w:after="260" w:line="416" w:lineRule="auto"/>
      <w:outlineLvl w:val="2"/>
    </w:pPr>
    <w:rPr>
      <w:b/>
      <w:bCs/>
      <w:sz w:val="32"/>
      <w:szCs w:val="32"/>
    </w:rPr>
  </w:style>
  <w:style w:type="paragraph" w:styleId="890">
    <w:name w:val="标题 4"/>
    <w:basedOn w:val="886"/>
    <w:next w:val="901"/>
    <w:link w:val="903"/>
    <w:qFormat/>
    <w:pPr>
      <w:keepLines/>
      <w:keepNext/>
      <w:spacing w:before="280" w:after="290" w:line="376" w:lineRule="auto"/>
      <w:outlineLvl w:val="3"/>
    </w:pPr>
    <w:rPr>
      <w:rFonts w:ascii="Arial" w:hAnsi="Arial" w:eastAsia="黑体" w:cs="Arial"/>
      <w:b/>
      <w:bCs/>
      <w:sz w:val="28"/>
      <w:szCs w:val="28"/>
    </w:rPr>
  </w:style>
  <w:style w:type="paragraph" w:styleId="891">
    <w:name w:val="标题 5"/>
    <w:basedOn w:val="886"/>
    <w:next w:val="901"/>
    <w:link w:val="904"/>
    <w:qFormat/>
    <w:pPr>
      <w:keepNext/>
      <w:outlineLvl w:val="4"/>
    </w:pPr>
    <w:rPr>
      <w:rFonts w:ascii="宋体"/>
      <w:color w:val="000000"/>
      <w:sz w:val="28"/>
      <w:szCs w:val="28"/>
    </w:rPr>
  </w:style>
  <w:style w:type="paragraph" w:styleId="892">
    <w:name w:val="标题 6"/>
    <w:basedOn w:val="886"/>
    <w:next w:val="886"/>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name w:val="标题 7"/>
    <w:basedOn w:val="886"/>
    <w:next w:val="886"/>
    <w:link w:val="906"/>
    <w:qFormat/>
    <w:pPr>
      <w:numPr>
        <w:ilvl w:val="6"/>
        <w:numId w:val="1"/>
      </w:numPr>
      <w:keepLines/>
      <w:keepNext/>
      <w:spacing w:before="240" w:after="64" w:line="320" w:lineRule="auto"/>
      <w:outlineLvl w:val="6"/>
    </w:pPr>
    <w:rPr>
      <w:b/>
      <w:bCs/>
      <w:sz w:val="24"/>
      <w:szCs w:val="24"/>
    </w:rPr>
  </w:style>
  <w:style w:type="paragraph" w:styleId="894">
    <w:name w:val="标题 8"/>
    <w:basedOn w:val="886"/>
    <w:next w:val="886"/>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5">
    <w:name w:val="标题 9"/>
    <w:basedOn w:val="886"/>
    <w:next w:val="886"/>
    <w:link w:val="908"/>
    <w:qFormat/>
    <w:pPr>
      <w:numPr>
        <w:ilvl w:val="8"/>
        <w:numId w:val="1"/>
      </w:numPr>
      <w:keepLines/>
      <w:keepNext/>
      <w:spacing w:before="240" w:after="64" w:line="320" w:lineRule="auto"/>
      <w:outlineLvl w:val="8"/>
    </w:pPr>
    <w:rPr>
      <w:rFonts w:ascii="Arial" w:hAnsi="Arial" w:eastAsia="黑体"/>
    </w:rPr>
  </w:style>
  <w:style w:type="character" w:styleId="896">
    <w:name w:val="默认段落字体"/>
    <w:next w:val="896"/>
    <w:link w:val="886"/>
    <w:uiPriority w:val="1"/>
    <w:unhideWhenUsed/>
  </w:style>
  <w:style w:type="table" w:styleId="897">
    <w:name w:val="普通表格"/>
    <w:next w:val="897"/>
    <w:link w:val="886"/>
    <w:uiPriority w:val="99"/>
    <w:unhideWhenUsed/>
    <w:tblPr/>
  </w:style>
  <w:style w:type="character" w:styleId="898">
    <w:name w:val="标题 1 Char"/>
    <w:next w:val="898"/>
    <w:link w:val="887"/>
    <w:rPr>
      <w:rFonts w:ascii="楷体_GB2312" w:hAnsi="Times New Roman" w:eastAsia="楷体_GB2312" w:cs="Times New Roman"/>
      <w:sz w:val="28"/>
      <w:szCs w:val="28"/>
    </w:rPr>
  </w:style>
  <w:style w:type="character" w:styleId="899">
    <w:name w:val="标题 2 Char"/>
    <w:next w:val="899"/>
    <w:link w:val="888"/>
    <w:rPr>
      <w:rFonts w:ascii="Arial" w:hAnsi="Arial" w:eastAsia="幼圆" w:cs="Arial"/>
      <w:b/>
      <w:bCs/>
      <w:sz w:val="44"/>
      <w:szCs w:val="44"/>
    </w:rPr>
  </w:style>
  <w:style w:type="character" w:styleId="900">
    <w:name w:val="标题 3 Char"/>
    <w:next w:val="900"/>
    <w:link w:val="889"/>
    <w:rPr>
      <w:rFonts w:ascii="Times New Roman" w:hAnsi="Times New Roman" w:eastAsia="宋体" w:cs="Times New Roman"/>
      <w:b/>
      <w:bCs/>
      <w:sz w:val="32"/>
      <w:szCs w:val="32"/>
    </w:rPr>
  </w:style>
  <w:style w:type="paragraph" w:styleId="901">
    <w:name w:val="正文缩进"/>
    <w:basedOn w:val="886"/>
    <w:next w:val="886"/>
    <w:link w:val="902"/>
    <w:pPr>
      <w:ind w:firstLine="420"/>
    </w:pPr>
  </w:style>
  <w:style w:type="character" w:styleId="902">
    <w:name w:val="正文缩进 Char"/>
    <w:next w:val="902"/>
    <w:link w:val="901"/>
    <w:rPr>
      <w:rFonts w:ascii="Times New Roman" w:hAnsi="Times New Roman" w:eastAsia="宋体" w:cs="Times New Roman"/>
      <w:szCs w:val="21"/>
    </w:rPr>
  </w:style>
  <w:style w:type="character" w:styleId="903">
    <w:name w:val="标题 4 Char"/>
    <w:next w:val="903"/>
    <w:link w:val="890"/>
    <w:rPr>
      <w:rFonts w:ascii="Arial" w:hAnsi="Arial" w:eastAsia="黑体" w:cs="Arial"/>
      <w:b/>
      <w:bCs/>
      <w:sz w:val="28"/>
      <w:szCs w:val="28"/>
    </w:rPr>
  </w:style>
  <w:style w:type="character" w:styleId="904">
    <w:name w:val="标题 5 Char"/>
    <w:next w:val="904"/>
    <w:link w:val="891"/>
    <w:rPr>
      <w:rFonts w:ascii="宋体" w:hAnsi="Times New Roman" w:eastAsia="宋体" w:cs="Times New Roman"/>
      <w:color w:val="000000"/>
      <w:sz w:val="28"/>
      <w:szCs w:val="28"/>
    </w:rPr>
  </w:style>
  <w:style w:type="character" w:styleId="905">
    <w:name w:val="标题 6 Char"/>
    <w:next w:val="905"/>
    <w:link w:val="892"/>
    <w:rPr>
      <w:rFonts w:ascii="Arial" w:hAnsi="Arial" w:eastAsia="黑体" w:cs="Times New Roman"/>
      <w:b/>
      <w:bCs/>
      <w:sz w:val="24"/>
      <w:szCs w:val="24"/>
    </w:rPr>
  </w:style>
  <w:style w:type="character" w:styleId="906">
    <w:name w:val="标题 7 Char"/>
    <w:next w:val="906"/>
    <w:link w:val="893"/>
    <w:rPr>
      <w:rFonts w:ascii="Times New Roman" w:hAnsi="Times New Roman" w:eastAsia="宋体" w:cs="Times New Roman"/>
      <w:b/>
      <w:bCs/>
      <w:sz w:val="24"/>
      <w:szCs w:val="24"/>
    </w:rPr>
  </w:style>
  <w:style w:type="character" w:styleId="907">
    <w:name w:val="标题 8 Char"/>
    <w:next w:val="907"/>
    <w:link w:val="894"/>
    <w:rPr>
      <w:rFonts w:ascii="Arial" w:hAnsi="Arial" w:eastAsia="黑体" w:cs="Times New Roman"/>
      <w:sz w:val="24"/>
      <w:szCs w:val="24"/>
    </w:rPr>
  </w:style>
  <w:style w:type="character" w:styleId="908">
    <w:name w:val="标题 9 Char"/>
    <w:next w:val="908"/>
    <w:link w:val="895"/>
    <w:rPr>
      <w:rFonts w:ascii="Arial" w:hAnsi="Arial" w:eastAsia="黑体" w:cs="Times New Roman"/>
      <w:szCs w:val="21"/>
    </w:rPr>
  </w:style>
  <w:style w:type="paragraph" w:styleId="909">
    <w:name w:val="列表 3"/>
    <w:basedOn w:val="886"/>
    <w:next w:val="909"/>
    <w:link w:val="886"/>
    <w:pPr>
      <w:ind w:left="100" w:hanging="200"/>
    </w:pPr>
  </w:style>
  <w:style w:type="paragraph" w:styleId="910">
    <w:name w:val="目录 7"/>
    <w:basedOn w:val="886"/>
    <w:next w:val="886"/>
    <w:link w:val="886"/>
    <w:semiHidden/>
    <w:pPr>
      <w:ind w:left="1260"/>
      <w:jc w:val="left"/>
    </w:pPr>
  </w:style>
  <w:style w:type="paragraph" w:styleId="911">
    <w:name w:val="文档结构图"/>
    <w:basedOn w:val="886"/>
    <w:next w:val="911"/>
    <w:link w:val="912"/>
    <w:semiHidden/>
    <w:pPr>
      <w:shd w:val="clear" w:color="auto" w:fill="000080"/>
    </w:p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引文目录标题"/>
    <w:basedOn w:val="886"/>
    <w:next w:val="886"/>
    <w:link w:val="886"/>
    <w:qFormat/>
    <w:rPr>
      <w:rFonts w:ascii="Arial" w:hAnsi="Arial"/>
      <w:sz w:val="24"/>
    </w:rPr>
  </w:style>
  <w:style w:type="paragraph" w:styleId="914">
    <w:name w:val="批注文字"/>
    <w:basedOn w:val="886"/>
    <w:next w:val="914"/>
    <w:link w:val="915"/>
    <w:semiHidden/>
    <w:pPr>
      <w:jc w:val="left"/>
    </w:p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6"/>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6"/>
    <w:next w:val="886"/>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正文文本缩进"/>
    <w:basedOn w:val="886"/>
    <w:next w:val="886"/>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6"/>
    <w:next w:val="922"/>
    <w:link w:val="886"/>
    <w:pPr>
      <w:ind w:left="100" w:hanging="200"/>
    </w:pPr>
  </w:style>
  <w:style w:type="paragraph" w:styleId="923">
    <w:name w:val="目录 5"/>
    <w:basedOn w:val="886"/>
    <w:next w:val="886"/>
    <w:link w:val="886"/>
    <w:semiHidden/>
    <w:pPr>
      <w:ind w:left="840"/>
      <w:jc w:val="left"/>
    </w:pPr>
  </w:style>
  <w:style w:type="paragraph" w:styleId="924">
    <w:name w:val="目录 3"/>
    <w:basedOn w:val="886"/>
    <w:next w:val="886"/>
    <w:link w:val="886"/>
    <w:semiHidden/>
    <w:pPr>
      <w:ind w:left="420"/>
      <w:jc w:val="left"/>
    </w:pPr>
    <w:rPr>
      <w:i/>
      <w:iCs/>
      <w:szCs w:val="24"/>
    </w:rPr>
  </w:style>
  <w:style w:type="paragraph" w:styleId="925">
    <w:name w:val="纯文本"/>
    <w:basedOn w:val="886"/>
    <w:next w:val="925"/>
    <w:link w:val="926"/>
    <w:rPr>
      <w:rFonts w:ascii="宋体" w:hAnsi="Courier New" w:cs="Courier New"/>
    </w:rPr>
  </w:style>
  <w:style w:type="character" w:styleId="926">
    <w:name w:val="纯文本 Char"/>
    <w:next w:val="926"/>
    <w:link w:val="925"/>
    <w:rPr>
      <w:rFonts w:ascii="宋体" w:hAnsi="Courier New" w:eastAsia="宋体" w:cs="Courier New"/>
      <w:szCs w:val="21"/>
    </w:rPr>
  </w:style>
  <w:style w:type="paragraph" w:styleId="927">
    <w:name w:val="目录 8"/>
    <w:basedOn w:val="886"/>
    <w:next w:val="886"/>
    <w:link w:val="886"/>
    <w:semiHidden/>
    <w:pPr>
      <w:ind w:left="1470"/>
      <w:jc w:val="left"/>
    </w:pPr>
  </w:style>
  <w:style w:type="paragraph" w:styleId="928">
    <w:name w:val="日期"/>
    <w:basedOn w:val="886"/>
    <w:next w:val="886"/>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6"/>
    <w:next w:val="930"/>
    <w:link w:val="931"/>
    <w:pPr>
      <w:ind w:left="630" w:firstLine="645"/>
    </w:pPr>
    <w:rPr>
      <w:rFonts w:ascii="Arial" w:hAnsi="Arial" w:eastAsia="仿宋_GB2312" w:cs="Arial"/>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6"/>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6"/>
    <w:next w:val="934"/>
    <w:link w:val="935"/>
    <w:pPr>
      <w:jc w:val="left"/>
      <w:tabs>
        <w:tab w:val="center" w:pos="4153" w:leader="none"/>
        <w:tab w:val="right" w:pos="8306" w:leader="none"/>
      </w:tabs>
    </w:pPr>
    <w:rPr>
      <w:sz w:val="18"/>
      <w:szCs w:val="18"/>
    </w:rPr>
  </w:style>
  <w:style w:type="character" w:styleId="935">
    <w:name w:val="页脚 Char"/>
    <w:next w:val="935"/>
    <w:link w:val="934"/>
    <w:rPr>
      <w:rFonts w:ascii="Times New Roman" w:hAnsi="Times New Roman" w:eastAsia="宋体" w:cs="Times New Roman"/>
      <w:sz w:val="18"/>
      <w:szCs w:val="18"/>
    </w:rPr>
  </w:style>
  <w:style w:type="paragraph" w:styleId="936">
    <w:name w:val="页眉"/>
    <w:basedOn w:val="886"/>
    <w:next w:val="936"/>
    <w:link w:val="937"/>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rPr>
      <w:rFonts w:ascii="Times New Roman" w:hAnsi="Times New Roman" w:eastAsia="宋体" w:cs="Times New Roman"/>
      <w:sz w:val="18"/>
      <w:szCs w:val="18"/>
    </w:rPr>
  </w:style>
  <w:style w:type="paragraph" w:styleId="938">
    <w:name w:val="目录 1"/>
    <w:basedOn w:val="886"/>
    <w:next w:val="886"/>
    <w:link w:val="886"/>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6"/>
    <w:next w:val="886"/>
    <w:link w:val="886"/>
    <w:semiHidden/>
    <w:pPr>
      <w:ind w:left="630"/>
      <w:jc w:val="left"/>
    </w:pPr>
  </w:style>
  <w:style w:type="paragraph" w:styleId="940">
    <w:name w:val="列表"/>
    <w:basedOn w:val="886"/>
    <w:next w:val="940"/>
    <w:link w:val="886"/>
    <w:pPr>
      <w:ind w:left="200" w:hanging="200"/>
    </w:pPr>
  </w:style>
  <w:style w:type="paragraph" w:styleId="941">
    <w:name w:val="目录 6"/>
    <w:basedOn w:val="886"/>
    <w:next w:val="886"/>
    <w:link w:val="886"/>
    <w:semiHidden/>
    <w:pPr>
      <w:ind w:left="1050"/>
      <w:jc w:val="left"/>
    </w:pPr>
  </w:style>
  <w:style w:type="paragraph" w:styleId="942">
    <w:name w:val="正文文本缩进 3"/>
    <w:basedOn w:val="886"/>
    <w:next w:val="942"/>
    <w:link w:val="943"/>
    <w:pPr>
      <w:ind w:left="645" w:firstLine="645"/>
    </w:pPr>
    <w:rPr>
      <w:rFonts w:ascii="Arial" w:hAnsi="Arial" w:eastAsia="仿宋_GB2312" w:cs="Arial"/>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6"/>
    <w:next w:val="886"/>
    <w:link w:val="886"/>
    <w:semiHidden/>
    <w:pPr>
      <w:ind w:left="840" w:hanging="420"/>
    </w:pPr>
  </w:style>
  <w:style w:type="paragraph" w:styleId="945">
    <w:name w:val="目录 2"/>
    <w:basedOn w:val="886"/>
    <w:next w:val="886"/>
    <w:link w:val="886"/>
    <w:semiHidden/>
    <w:pPr>
      <w:ind w:left="210"/>
      <w:jc w:val="left"/>
    </w:pPr>
    <w:rPr>
      <w:smallCaps/>
      <w:szCs w:val="24"/>
    </w:rPr>
  </w:style>
  <w:style w:type="paragraph" w:styleId="946">
    <w:name w:val="目录 9"/>
    <w:basedOn w:val="886"/>
    <w:next w:val="886"/>
    <w:link w:val="886"/>
    <w:semiHidden/>
    <w:pPr>
      <w:ind w:left="1680"/>
      <w:jc w:val="left"/>
    </w:pPr>
  </w:style>
  <w:style w:type="paragraph" w:styleId="947">
    <w:name w:val="正文文本 2"/>
    <w:basedOn w:val="886"/>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普通(网站)"/>
    <w:basedOn w:val="886"/>
    <w:next w:val="949"/>
    <w:link w:val="886"/>
    <w:uiPriority w:val="99"/>
    <w:pPr>
      <w:jc w:val="left"/>
      <w:spacing w:before="100" w:beforeAutospacing="1" w:after="100" w:afterAutospacing="1"/>
      <w:widowControl/>
    </w:pPr>
    <w:rPr>
      <w:rFonts w:ascii="宋体" w:hAnsi="宋体" w:cs="宋体"/>
      <w:sz w:val="24"/>
      <w:szCs w:val="24"/>
    </w:rPr>
  </w:style>
  <w:style w:type="paragraph" w:styleId="950">
    <w:name w:val="索引 1"/>
    <w:basedOn w:val="886"/>
    <w:next w:val="886"/>
    <w:link w:val="886"/>
    <w:semiHidden/>
    <w:pPr>
      <w:spacing w:line="240" w:lineRule="atLeast"/>
    </w:pPr>
    <w:rPr>
      <w:b/>
      <w:bCs/>
    </w:rPr>
  </w:style>
  <w:style w:type="paragraph" w:styleId="951">
    <w:name w:val="批注主题"/>
    <w:basedOn w:val="914"/>
    <w:next w:val="914"/>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918"/>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20"/>
    <w:next w:val="955"/>
    <w:link w:val="956"/>
    <w:pPr>
      <w:ind w:firstLine="420"/>
      <w:spacing w:line="360" w:lineRule="auto"/>
    </w:pPr>
    <w:rPr>
      <w:rFonts w:ascii="宋体" w:hAnsi="宋体" w:eastAsia="宋体"/>
      <w:sz w:val="21"/>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7"/>
    <w:next w:val="957"/>
    <w:link w:val="886"/>
    <w:pPr>
      <w:jc w:val="both"/>
      <w:widowControl w:val="off"/>
    </w:pPr>
    <w:rPr>
      <w:rFonts w:ascii="Times New Roman" w:hAnsi="Times New Roman" w:eastAsia="宋体" w:cs="Times New Roman"/>
      <w:sz w:val="20"/>
      <w:szCs w:val="20"/>
    </w:rPr>
    <w:tblPr/>
  </w:style>
  <w:style w:type="character" w:styleId="958">
    <w:name w:val="要点"/>
    <w:next w:val="958"/>
    <w:link w:val="886"/>
    <w:qFormat/>
    <w:rPr>
      <w:b/>
      <w:bCs/>
    </w:rPr>
  </w:style>
  <w:style w:type="character" w:styleId="959">
    <w:name w:val="页码"/>
    <w:next w:val="959"/>
    <w:link w:val="886"/>
  </w:style>
  <w:style w:type="character" w:styleId="960">
    <w:name w:val="已访问的超链接"/>
    <w:basedOn w:val="896"/>
    <w:next w:val="960"/>
    <w:link w:val="886"/>
    <w:rPr>
      <w:color w:val="800080"/>
      <w:u w:val="none"/>
    </w:rPr>
  </w:style>
  <w:style w:type="character" w:styleId="961">
    <w:name w:val="强调"/>
    <w:basedOn w:val="896"/>
    <w:next w:val="961"/>
    <w:link w:val="886"/>
    <w:uiPriority w:val="20"/>
    <w:qFormat/>
    <w:rPr>
      <w:b w:val="0"/>
      <w:bCs w:val="0"/>
      <w:i w:val="0"/>
      <w:iCs w:val="0"/>
    </w:rPr>
  </w:style>
  <w:style w:type="character" w:styleId="962">
    <w:name w:val="HTML 定义"/>
    <w:basedOn w:val="896"/>
    <w:next w:val="962"/>
    <w:link w:val="886"/>
    <w:uiPriority w:val="99"/>
    <w:unhideWhenUsed/>
    <w:rPr>
      <w:b w:val="0"/>
      <w:bCs w:val="0"/>
      <w:i w:val="0"/>
      <w:iCs w:val="0"/>
    </w:rPr>
  </w:style>
  <w:style w:type="character" w:styleId="963">
    <w:name w:val="HTML 打字机"/>
    <w:basedOn w:val="896"/>
    <w:next w:val="963"/>
    <w:link w:val="886"/>
    <w:uiPriority w:val="99"/>
    <w:unhideWhenUsed/>
    <w:rPr>
      <w:rFonts w:ascii="monospace" w:hAnsi="monospace" w:eastAsia="monospace" w:cs="monospace"/>
      <w:sz w:val="20"/>
    </w:rPr>
  </w:style>
  <w:style w:type="character" w:styleId="964">
    <w:name w:val="HTML 缩写"/>
    <w:basedOn w:val="896"/>
    <w:next w:val="964"/>
    <w:link w:val="886"/>
    <w:uiPriority w:val="99"/>
    <w:unhideWhenUsed/>
  </w:style>
  <w:style w:type="character" w:styleId="965">
    <w:name w:val="HTML 变量"/>
    <w:basedOn w:val="896"/>
    <w:next w:val="965"/>
    <w:link w:val="886"/>
    <w:uiPriority w:val="99"/>
    <w:unhideWhenUsed/>
    <w:rPr>
      <w:b w:val="0"/>
      <w:bCs w:val="0"/>
      <w:i w:val="0"/>
      <w:iCs w:val="0"/>
    </w:rPr>
  </w:style>
  <w:style w:type="character" w:styleId="966">
    <w:name w:val="超链接"/>
    <w:basedOn w:val="896"/>
    <w:next w:val="966"/>
    <w:link w:val="886"/>
    <w:rPr>
      <w:color w:val="0000ff"/>
      <w:u w:val="none"/>
    </w:rPr>
  </w:style>
  <w:style w:type="character" w:styleId="967">
    <w:name w:val="HTML 代码"/>
    <w:basedOn w:val="896"/>
    <w:next w:val="967"/>
    <w:link w:val="886"/>
    <w:uiPriority w:val="99"/>
    <w:unhideWhenUsed/>
    <w:rPr>
      <w:rFonts w:ascii="monospace" w:hAnsi="monospace" w:eastAsia="monospace" w:cs="monospace"/>
      <w:b w:val="0"/>
      <w:bCs w:val="0"/>
      <w:i w:val="0"/>
      <w:iCs w:val="0"/>
      <w:sz w:val="20"/>
    </w:rPr>
  </w:style>
  <w:style w:type="character" w:styleId="968">
    <w:name w:val="批注引用"/>
    <w:next w:val="968"/>
    <w:link w:val="886"/>
    <w:semiHidden/>
    <w:rPr>
      <w:sz w:val="21"/>
      <w:szCs w:val="21"/>
    </w:rPr>
  </w:style>
  <w:style w:type="character" w:styleId="969">
    <w:name w:val="HTML 引文"/>
    <w:basedOn w:val="896"/>
    <w:next w:val="969"/>
    <w:link w:val="886"/>
    <w:uiPriority w:val="99"/>
    <w:unhideWhenUsed/>
    <w:rPr>
      <w:b w:val="0"/>
      <w:bCs w:val="0"/>
      <w:i w:val="0"/>
      <w:iCs w:val="0"/>
    </w:rPr>
  </w:style>
  <w:style w:type="character" w:styleId="970">
    <w:name w:val="HTML 键盘"/>
    <w:basedOn w:val="896"/>
    <w:next w:val="970"/>
    <w:link w:val="886"/>
    <w:uiPriority w:val="99"/>
    <w:unhideWhenUsed/>
    <w:rPr>
      <w:rFonts w:ascii="monospace" w:hAnsi="monospace" w:eastAsia="monospace" w:cs="monospace"/>
      <w:sz w:val="20"/>
    </w:rPr>
  </w:style>
  <w:style w:type="character" w:styleId="971">
    <w:name w:val="HTML 样本"/>
    <w:basedOn w:val="896"/>
    <w:next w:val="971"/>
    <w:link w:val="886"/>
    <w:uiPriority w:val="99"/>
    <w:unhideWhenUsed/>
    <w:rPr>
      <w:rFonts w:ascii="monospace" w:hAnsi="monospace" w:eastAsia="monospace" w:cs="monospace"/>
    </w:rPr>
  </w:style>
  <w:style w:type="paragraph" w:styleId="972">
    <w:name w:val="正文文本1"/>
    <w:basedOn w:val="886"/>
    <w:next w:val="886"/>
    <w:link w:val="886"/>
    <w:qFormat/>
    <w:rPr>
      <w:rFonts w:ascii="楷体_GB2312" w:hAnsi="Arial" w:eastAsia="楷体_GB2312" w:cs="Times New Roman"/>
      <w:sz w:val="28"/>
      <w:szCs w:val="28"/>
    </w:rPr>
  </w:style>
  <w:style w:type="paragraph" w:styleId="973">
    <w:name w:val="正文空2字"/>
    <w:basedOn w:val="974"/>
    <w:next w:val="973"/>
    <w:link w:val="886"/>
    <w:uiPriority w:val="99"/>
    <w:qFormat/>
    <w:pPr>
      <w:ind w:firstLine="640"/>
      <w:spacing w:line="560" w:lineRule="exact"/>
      <w:widowControl w:val="off"/>
    </w:pPr>
    <w:rPr>
      <w:rFonts w:ascii="仿宋_GB2312" w:hAnsi="仿宋_GB2312" w:cs="仿宋_GB2312"/>
      <w:lang w:val="zh-TW"/>
    </w:rPr>
  </w:style>
  <w:style w:type="paragraph" w:styleId="974">
    <w:name w:val="左对齐正文"/>
    <w:next w:val="974"/>
    <w:link w:val="886"/>
    <w:uiPriority w:val="99"/>
    <w:qFormat/>
    <w:rPr>
      <w:rFonts w:ascii="Calibri" w:hAnsi="Calibri" w:eastAsia="仿宋_GB2312" w:cs="Calibri"/>
      <w:sz w:val="32"/>
      <w:szCs w:val="32"/>
      <w:lang w:val="en-US" w:eastAsia="zh-CN" w:bidi="ar-SA"/>
    </w:rPr>
  </w:style>
  <w:style w:type="paragraph" w:styleId="975">
    <w:name w:val="索引 41"/>
    <w:basedOn w:val="886"/>
    <w:next w:val="886"/>
    <w:link w:val="886"/>
    <w:semiHidden/>
    <w:qFormat/>
    <w:pPr>
      <w:ind w:left="1260"/>
    </w:pPr>
    <w:rPr>
      <w:rFonts w:ascii="Calibri" w:hAnsi="Calibri" w:eastAsia="Calibri" w:cs="宋体"/>
      <w:sz w:val="20"/>
      <w:lang w:val="zh-CN"/>
    </w:rPr>
  </w:style>
  <w:style w:type="character" w:styleId="976">
    <w:name w:val="font5 Char"/>
    <w:next w:val="976"/>
    <w:link w:val="886"/>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86"/>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86"/>
    <w:next w:val="980"/>
    <w:link w:val="979"/>
    <w:qFormat/>
    <w:pPr>
      <w:contextualSpacing/>
      <w:ind w:left="720"/>
      <w:jc w:val="left"/>
      <w:widowControl/>
    </w:pPr>
    <w:rPr>
      <w:rFonts w:ascii="Calibri" w:hAnsi="Calibri" w:eastAsia="宋体" w:cs="Times New Roman"/>
      <w:sz w:val="24"/>
      <w:szCs w:val="24"/>
      <w:lang w:eastAsia="en-US" w:bidi="en-US"/>
    </w:rPr>
  </w:style>
  <w:style w:type="paragraph" w:styleId="981">
    <w:name w:val="Body Text(ch)"/>
    <w:basedOn w:val="886"/>
    <w:next w:val="918"/>
    <w:link w:val="886"/>
    <w:pPr>
      <w:spacing w:after="120"/>
    </w:pPr>
    <w:rPr>
      <w:rFonts w:ascii="宋体" w:hAnsi="Arial"/>
      <w:bCs/>
      <w:iCs/>
      <w:szCs w:val="24"/>
    </w:rPr>
  </w:style>
  <w:style w:type="paragraph" w:styleId="982">
    <w:name w:val="xl27"/>
    <w:basedOn w:val="886"/>
    <w:next w:val="982"/>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886"/>
    <w:next w:val="98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886"/>
    <w:next w:val="984"/>
    <w:link w:val="886"/>
    <w:pPr>
      <w:ind w:firstLine="200"/>
      <w:tabs>
        <w:tab w:val="left" w:pos="360" w:leader="none"/>
      </w:tabs>
    </w:pPr>
    <w:rPr>
      <w:sz w:val="28"/>
      <w:szCs w:val="30"/>
    </w:rPr>
  </w:style>
  <w:style w:type="paragraph" w:styleId="985">
    <w:name w:val=" Char"/>
    <w:basedOn w:val="911"/>
    <w:next w:val="985"/>
    <w:link w:val="886"/>
    <w:rPr>
      <w:rFonts w:ascii="Tahoma" w:hAnsi="Tahoma"/>
      <w:sz w:val="24"/>
      <w:szCs w:val="24"/>
    </w:rPr>
  </w:style>
  <w:style w:type="paragraph" w:styleId="986">
    <w:name w:val="普通正文"/>
    <w:basedOn w:val="886"/>
    <w:next w:val="986"/>
    <w:link w:val="886"/>
    <w:pPr>
      <w:ind w:firstLine="480"/>
      <w:jc w:val="left"/>
      <w:spacing w:before="120" w:after="120" w:line="360" w:lineRule="auto"/>
    </w:pPr>
    <w:rPr>
      <w:rFonts w:ascii="Arial" w:hAnsi="Arial"/>
      <w:sz w:val="24"/>
      <w:szCs w:val="24"/>
    </w:rPr>
  </w:style>
  <w:style w:type="paragraph" w:styleId="987">
    <w:name w:val="table_lines"/>
    <w:basedOn w:val="886"/>
    <w:next w:val="987"/>
    <w:link w:val="886"/>
    <w:pPr>
      <w:jc w:val="left"/>
      <w:widowControl/>
    </w:pPr>
    <w:rPr>
      <w:sz w:val="20"/>
      <w:szCs w:val="20"/>
      <w:lang w:val="de-DE" w:eastAsia="de-DE"/>
    </w:rPr>
  </w:style>
  <w:style w:type="paragraph" w:styleId="988">
    <w:name w:val="附录1"/>
    <w:next w:val="988"/>
    <w:link w:val="88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9">
    <w:name w:val="font7"/>
    <w:basedOn w:val="886"/>
    <w:next w:val="989"/>
    <w:link w:val="886"/>
    <w:pPr>
      <w:jc w:val="left"/>
      <w:spacing w:before="100" w:beforeAutospacing="1" w:after="100" w:afterAutospacing="1"/>
      <w:widowControl/>
    </w:pPr>
    <w:rPr>
      <w:rFonts w:hint="eastAsia" w:ascii="宋体" w:hAnsi="宋体"/>
      <w:sz w:val="18"/>
      <w:szCs w:val="18"/>
    </w:rPr>
  </w:style>
  <w:style w:type="paragraph" w:styleId="990">
    <w:name w:val=" Char Char Char Char"/>
    <w:basedOn w:val="911"/>
    <w:next w:val="990"/>
    <w:link w:val="886"/>
    <w:pPr>
      <w:spacing w:line="360" w:lineRule="auto"/>
    </w:pPr>
    <w:rPr>
      <w:rFonts w:ascii="Tahoma" w:hAnsi="Tahoma"/>
      <w:sz w:val="24"/>
      <w:szCs w:val="24"/>
    </w:rPr>
  </w:style>
  <w:style w:type="paragraph" w:styleId="991">
    <w:name w:val="列出段落"/>
    <w:basedOn w:val="886"/>
    <w:next w:val="991"/>
    <w:link w:val="886"/>
    <w:qFormat/>
    <w:pPr>
      <w:contextualSpacing/>
      <w:ind w:left="720"/>
      <w:jc w:val="left"/>
      <w:widowControl/>
    </w:pPr>
    <w:rPr>
      <w:rFonts w:ascii="Calibri" w:hAnsi="Calibri"/>
      <w:sz w:val="24"/>
      <w:szCs w:val="24"/>
      <w:lang w:eastAsia="en-US" w:bidi="en-US"/>
    </w:rPr>
  </w:style>
  <w:style w:type="paragraph" w:styleId="992">
    <w:name w:val="4"/>
    <w:basedOn w:val="886"/>
    <w:next w:val="942"/>
    <w:link w:val="886"/>
    <w:pPr>
      <w:ind w:firstLine="420"/>
      <w:spacing w:line="360" w:lineRule="auto"/>
    </w:pPr>
    <w:rPr>
      <w:color w:val="ff0000"/>
      <w:sz w:val="24"/>
      <w:szCs w:val="24"/>
    </w:rPr>
  </w:style>
  <w:style w:type="paragraph" w:styleId="993">
    <w:name w:val="普通 (Web)"/>
    <w:basedOn w:val="886"/>
    <w:next w:val="993"/>
    <w:link w:val="886"/>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86"/>
    <w:next w:val="994"/>
    <w:link w:val="886"/>
    <w:pPr>
      <w:spacing w:line="360" w:lineRule="auto"/>
    </w:pPr>
    <w:rPr>
      <w:sz w:val="24"/>
      <w:szCs w:val="20"/>
    </w:rPr>
  </w:style>
  <w:style w:type="paragraph" w:styleId="995">
    <w:name w:val="样式1"/>
    <w:basedOn w:val="886"/>
    <w:next w:val="995"/>
    <w:link w:val="886"/>
    <w:pPr>
      <w:numPr>
        <w:ilvl w:val="0"/>
        <w:numId w:val="3"/>
      </w:numPr>
      <w:tabs>
        <w:tab w:val="left" w:pos="709" w:leader="none"/>
      </w:tabs>
    </w:pPr>
    <w:rPr>
      <w:rFonts w:ascii="宋体" w:hAnsi="宋体"/>
    </w:rPr>
  </w:style>
  <w:style w:type="paragraph" w:styleId="996">
    <w:name w:val="font6"/>
    <w:basedOn w:val="886"/>
    <w:next w:val="996"/>
    <w:link w:val="886"/>
    <w:pPr>
      <w:jc w:val="left"/>
      <w:spacing w:before="100" w:beforeAutospacing="1" w:after="100" w:afterAutospacing="1"/>
      <w:widowControl/>
    </w:pPr>
    <w:rPr>
      <w:rFonts w:hint="eastAsia" w:ascii="宋体" w:hAnsi="宋体"/>
      <w:sz w:val="28"/>
      <w:szCs w:val="28"/>
      <w:u w:val="single"/>
    </w:rPr>
  </w:style>
  <w:style w:type="paragraph" w:styleId="997">
    <w:name w:val="xl25"/>
    <w:basedOn w:val="886"/>
    <w:next w:val="997"/>
    <w:link w:val="8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86"/>
    <w:next w:val="886"/>
    <w:link w:val="88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86"/>
    <w:next w:val="886"/>
    <w:link w:val="886"/>
    <w:pPr>
      <w:ind w:firstLine="624"/>
      <w:spacing w:line="590" w:lineRule="atLeast"/>
    </w:pPr>
    <w:rPr>
      <w:rFonts w:ascii="方正黑体_GBK" w:eastAsia="方正黑体_GBK"/>
      <w:sz w:val="32"/>
      <w:szCs w:val="32"/>
    </w:rPr>
  </w:style>
  <w:style w:type="paragraph" w:styleId="1000">
    <w:name w:val="xl24"/>
    <w:basedOn w:val="886"/>
    <w:next w:val="1000"/>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86"/>
    <w:next w:val="1001"/>
    <w:link w:val="88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86"/>
    <w:next w:val="1002"/>
    <w:link w:val="886"/>
    <w:pPr>
      <w:jc w:val="left"/>
      <w:spacing w:after="160" w:line="240" w:lineRule="exact"/>
      <w:widowControl/>
    </w:pPr>
    <w:rPr>
      <w:rFonts w:ascii="Verdana" w:hAnsi="Verdana"/>
      <w:sz w:val="20"/>
      <w:szCs w:val="20"/>
      <w:lang w:eastAsia="en-US"/>
    </w:rPr>
  </w:style>
  <w:style w:type="paragraph" w:styleId="1003">
    <w:name w:val="xl28"/>
    <w:basedOn w:val="886"/>
    <w:next w:val="1003"/>
    <w:link w:val="8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86"/>
    <w:next w:val="1004"/>
    <w:link w:val="886"/>
    <w:pPr>
      <w:jc w:val="left"/>
      <w:spacing w:after="160" w:line="240" w:lineRule="exact"/>
      <w:widowControl/>
    </w:pPr>
    <w:rPr>
      <w:rFonts w:ascii="Verdana" w:hAnsi="Verdana"/>
      <w:sz w:val="20"/>
      <w:szCs w:val="20"/>
      <w:lang w:eastAsia="en-US"/>
    </w:rPr>
  </w:style>
  <w:style w:type="paragraph" w:styleId="1005">
    <w:name w:val="xl30"/>
    <w:basedOn w:val="886"/>
    <w:next w:val="1005"/>
    <w:link w:val="886"/>
    <w:pPr>
      <w:jc w:val="center"/>
      <w:spacing w:before="100" w:beforeAutospacing="1" w:after="100" w:afterAutospacing="1"/>
      <w:widowControl/>
    </w:pPr>
    <w:rPr>
      <w:rFonts w:ascii="宋体" w:hAnsi="宋体"/>
      <w:b/>
      <w:bCs/>
      <w:sz w:val="36"/>
      <w:szCs w:val="36"/>
    </w:rPr>
  </w:style>
  <w:style w:type="paragraph" w:styleId="1006">
    <w:name w:val="Char Char Char Char"/>
    <w:basedOn w:val="911"/>
    <w:next w:val="1006"/>
    <w:link w:val="886"/>
    <w:pPr>
      <w:spacing w:line="360" w:lineRule="auto"/>
    </w:pPr>
    <w:rPr>
      <w:rFonts w:ascii="Tahoma" w:hAnsi="Tahoma"/>
      <w:sz w:val="24"/>
      <w:szCs w:val="24"/>
    </w:rPr>
  </w:style>
  <w:style w:type="paragraph" w:styleId="1007">
    <w:name w:val="table_1stline"/>
    <w:basedOn w:val="886"/>
    <w:next w:val="1007"/>
    <w:link w:val="886"/>
    <w:pPr>
      <w:jc w:val="left"/>
      <w:spacing w:before="120"/>
      <w:widowControl/>
    </w:pPr>
    <w:rPr>
      <w:bCs/>
      <w:sz w:val="20"/>
      <w:szCs w:val="20"/>
      <w:lang w:val="de-DE" w:eastAsia="de-DE"/>
    </w:rPr>
  </w:style>
  <w:style w:type="paragraph" w:styleId="1008">
    <w:name w:val="font5"/>
    <w:basedOn w:val="886"/>
    <w:next w:val="1008"/>
    <w:link w:val="886"/>
    <w:pPr>
      <w:jc w:val="left"/>
      <w:spacing w:before="100" w:beforeAutospacing="1" w:after="100" w:afterAutospacing="1"/>
      <w:widowControl/>
    </w:pPr>
    <w:rPr>
      <w:rFonts w:hint="eastAsia" w:ascii="宋体" w:hAnsi="宋体"/>
      <w:sz w:val="28"/>
      <w:szCs w:val="28"/>
    </w:rPr>
  </w:style>
  <w:style w:type="paragraph" w:styleId="1009">
    <w:name w:val="标题1"/>
    <w:basedOn w:val="886"/>
    <w:next w:val="886"/>
    <w:link w:val="88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86"/>
    <w:uiPriority w:val="99"/>
    <w:semiHidden/>
    <w:rPr>
      <w:rFonts w:ascii="Times New Roman" w:hAnsi="Times New Roman"/>
      <w:sz w:val="21"/>
      <w:szCs w:val="21"/>
      <w:lang w:val="en-US" w:eastAsia="zh-CN" w:bidi="ar-SA"/>
    </w:rPr>
  </w:style>
  <w:style w:type="paragraph" w:styleId="1011">
    <w:name w:val="无间隔"/>
    <w:next w:val="1011"/>
    <w:link w:val="886"/>
    <w:uiPriority w:val="99"/>
    <w:qFormat/>
    <w:pPr>
      <w:jc w:val="both"/>
      <w:widowControl w:val="off"/>
    </w:pPr>
    <w:rPr>
      <w:rFonts w:ascii="Times New Roman" w:hAnsi="Times New Roman"/>
      <w:sz w:val="21"/>
      <w:szCs w:val="21"/>
      <w:lang w:val="en-US" w:eastAsia="zh-CN" w:bidi="ar-SA"/>
    </w:rPr>
  </w:style>
  <w:style w:type="table" w:styleId="1012">
    <w:name w:val="Table Normal"/>
    <w:next w:val="1012"/>
    <w:link w:val="886"/>
    <w:qFormat/>
    <w:tblPr/>
  </w:style>
  <w:style w:type="paragraph" w:styleId="1013">
    <w:name w:val="Normal_5_0"/>
    <w:next w:val="1013"/>
    <w:link w:val="886"/>
    <w:qFormat/>
    <w:pPr>
      <w:jc w:val="both"/>
      <w:widowControl w:val="off"/>
    </w:pPr>
    <w:rPr>
      <w:rFonts w:ascii="Calibri" w:hAnsi="Calibri" w:eastAsia="宋体" w:cs="Times New Roman"/>
      <w:sz w:val="21"/>
      <w:szCs w:val="22"/>
      <w:lang w:val="en-US" w:eastAsia="zh-CN" w:bidi="ar-SA"/>
    </w:rPr>
  </w:style>
  <w:style w:type="paragraph" w:styleId="1014">
    <w:name w:val="Normal_6_0"/>
    <w:next w:val="1014"/>
    <w:link w:val="886"/>
    <w:qFormat/>
    <w:rPr>
      <w:rFonts w:ascii="黑体" w:hAnsi="黑体" w:eastAsia="黑体" w:cs="黑体"/>
      <w:b/>
      <w:sz w:val="32"/>
      <w:szCs w:val="24"/>
      <w:lang w:val="en-US" w:eastAsia="zh-CN" w:bidi="ar-SA"/>
    </w:rPr>
  </w:style>
  <w:style w:type="paragraph" w:styleId="1015">
    <w:name w:val="Normal_1_2"/>
    <w:next w:val="1015"/>
    <w:link w:val="886"/>
    <w:qFormat/>
    <w:rPr>
      <w:rFonts w:ascii="Times New Roman" w:hAnsi="Times New Roman" w:eastAsia="Times New Roman" w:cs="Times New Roman"/>
      <w:sz w:val="24"/>
      <w:szCs w:val="24"/>
      <w:lang w:val="en-US" w:eastAsia="zh-CN" w:bidi="ar-SA"/>
    </w:rPr>
  </w:style>
  <w:style w:type="paragraph" w:styleId="1016">
    <w:name w:val="正文_2"/>
    <w:next w:val="1017"/>
    <w:link w:val="886"/>
    <w:qFormat/>
    <w:pPr>
      <w:jc w:val="both"/>
      <w:widowControl w:val="off"/>
    </w:pPr>
    <w:rPr>
      <w:rFonts w:ascii="Calibri" w:hAnsi="Calibri" w:eastAsia="宋体" w:cs="Times New Roman"/>
      <w:sz w:val="21"/>
      <w:szCs w:val="22"/>
      <w:lang w:val="en-US" w:eastAsia="zh-CN" w:bidi="ar-SA"/>
    </w:rPr>
  </w:style>
  <w:style w:type="paragraph" w:styleId="1017">
    <w:name w:val="正文文本_0"/>
    <w:basedOn w:val="1016"/>
    <w:next w:val="1016"/>
    <w:link w:val="886"/>
    <w:qFormat/>
    <w:pPr>
      <w:spacing w:line="60" w:lineRule="auto"/>
    </w:pPr>
    <w:rPr>
      <w:rFonts w:ascii="仿宋_GB2312" w:eastAsia="仿宋_GB2312"/>
      <w:sz w:val="32"/>
    </w:rPr>
  </w:style>
  <w:style w:type="paragraph" w:styleId="1018">
    <w:name w:val="正文文本12"/>
    <w:basedOn w:val="886"/>
    <w:next w:val="1018"/>
    <w:link w:val="886"/>
    <w:uiPriority w:val="1"/>
    <w:qFormat/>
    <w:pPr>
      <w:ind w:left="120"/>
    </w:pPr>
    <w:rPr>
      <w:rFonts w:ascii="宋体" w:hAnsi="宋体" w:eastAsia="宋体" w:cs="宋体"/>
      <w:sz w:val="21"/>
      <w:szCs w:val="21"/>
      <w:lang w:val="zh-CN" w:eastAsia="zh-CN" w:bidi="zh-CN"/>
    </w:rPr>
  </w:style>
  <w:style w:type="paragraph" w:styleId="1019">
    <w:name w:val="正文2"/>
    <w:basedOn w:val="886"/>
    <w:next w:val="1019"/>
    <w:link w:val="886"/>
    <w:qFormat/>
    <w:pPr>
      <w:ind w:firstLine="510"/>
      <w:spacing w:before="156" w:line="360" w:lineRule="auto"/>
    </w:pPr>
    <w:rPr>
      <w:sz w:val="24"/>
      <w:szCs w:val="20"/>
    </w:rPr>
  </w:style>
  <w:style w:type="paragraph" w:styleId="1020">
    <w:name w:val="首行缩进"/>
    <w:basedOn w:val="886"/>
    <w:next w:val="1020"/>
    <w:link w:val="886"/>
    <w:qFormat/>
    <w:pPr>
      <w:ind w:firstLine="480"/>
    </w:pPr>
    <w:rPr>
      <w:rFonts w:ascii="Times New Roman" w:hAnsi="Times New Roman" w:cs="Times New Roman"/>
      <w:lang w:val="zh-CN"/>
    </w:rPr>
  </w:style>
  <w:style w:type="paragraph" w:styleId="1021">
    <w:name w:val="Normal_18_0"/>
    <w:next w:val="1021"/>
    <w:link w:val="886"/>
    <w:qFormat/>
    <w:rPr>
      <w:rFonts w:ascii="黑体" w:hAnsi="黑体" w:eastAsia="黑体" w:cs="黑体"/>
      <w:b/>
      <w:sz w:val="32"/>
      <w:szCs w:val="24"/>
      <w:lang w:val="en-US" w:eastAsia="zh-CN" w:bidi="ar-SA"/>
    </w:rPr>
  </w:style>
  <w:style w:type="paragraph" w:styleId="1022">
    <w:name w:val="正文_12_0_0_0_0"/>
    <w:basedOn w:val="886"/>
    <w:next w:val="1022"/>
    <w:link w:val="886"/>
    <w:qFormat/>
    <w:rPr>
      <w:rFonts w:ascii="Times New Roman" w:hAnsi="Times New Roman"/>
      <w:szCs w:val="24"/>
    </w:rPr>
  </w:style>
  <w:style w:type="paragraph" w:styleId="1023">
    <w:name w:val="正文_12_0_0_0"/>
    <w:next w:val="1023"/>
    <w:link w:val="886"/>
    <w:qFormat/>
    <w:pPr>
      <w:jc w:val="both"/>
      <w:widowControl w:val="off"/>
    </w:pPr>
    <w:rPr>
      <w:rFonts w:ascii="Times New Roman" w:hAnsi="Times New Roman" w:eastAsia="宋体" w:cs="Times New Roman"/>
      <w:sz w:val="21"/>
      <w:szCs w:val="24"/>
      <w:lang w:val="en-US" w:eastAsia="zh-CN" w:bidi="ar-SA"/>
    </w:rPr>
  </w:style>
  <w:style w:type="paragraph" w:styleId="1024">
    <w:name w:val="正文_14_0"/>
    <w:next w:val="1024"/>
    <w:link w:val="886"/>
    <w:qFormat/>
    <w:pPr>
      <w:jc w:val="both"/>
      <w:widowControl w:val="off"/>
    </w:pPr>
    <w:rPr>
      <w:rFonts w:ascii="Calibri" w:hAnsi="Calibri" w:eastAsia="宋体" w:cs="Times New Roman"/>
      <w:sz w:val="21"/>
      <w:szCs w:val="22"/>
      <w:lang w:val="en-US" w:eastAsia="zh-CN" w:bidi="ar-SA"/>
    </w:rPr>
  </w:style>
  <w:style w:type="paragraph" w:styleId="1025">
    <w:name w:val="正文_14_0_0"/>
    <w:next w:val="1025"/>
    <w:link w:val="886"/>
    <w:qFormat/>
    <w:pPr>
      <w:jc w:val="both"/>
      <w:widowControl w:val="off"/>
    </w:pPr>
    <w:rPr>
      <w:rFonts w:ascii="Times New Roman" w:hAnsi="Times New Roman" w:eastAsia="宋体" w:cs="Times New Roman"/>
      <w:sz w:val="21"/>
      <w:szCs w:val="24"/>
      <w:lang w:val="en-US" w:eastAsia="zh-CN" w:bidi="ar-SA"/>
    </w:rPr>
  </w:style>
  <w:style w:type="paragraph" w:styleId="1026">
    <w:name w:val="Normal_20"/>
    <w:next w:val="1026"/>
    <w:link w:val="886"/>
    <w:qFormat/>
    <w:rPr>
      <w:rFonts w:ascii="黑体" w:hAnsi="黑体" w:eastAsia="黑体" w:cs="黑体"/>
      <w:b/>
      <w:sz w:val="32"/>
      <w:szCs w:val="24"/>
      <w:lang w:val="en-US" w:eastAsia="zh-CN" w:bidi="ar-SA"/>
    </w:rPr>
  </w:style>
  <w:style w:type="paragraph" w:styleId="1027">
    <w:name w:val="正文_15_0"/>
    <w:next w:val="1027"/>
    <w:link w:val="886"/>
    <w:qFormat/>
    <w:pPr>
      <w:jc w:val="both"/>
      <w:widowControl w:val="off"/>
    </w:pPr>
    <w:rPr>
      <w:rFonts w:ascii="Calibri" w:hAnsi="Calibri" w:eastAsia="宋体" w:cs="Times New Roman"/>
      <w:sz w:val="21"/>
      <w:szCs w:val="22"/>
      <w:lang w:val="en-US" w:eastAsia="zh-CN" w:bidi="ar-SA"/>
    </w:rPr>
  </w:style>
  <w:style w:type="paragraph" w:styleId="1028">
    <w:name w:val="Normal_0"/>
    <w:next w:val="1028"/>
    <w:link w:val="886"/>
    <w:qFormat/>
    <w:rPr>
      <w:rFonts w:ascii="黑体" w:hAnsi="黑体" w:eastAsia="黑体" w:cs="Times New Roman"/>
      <w:b/>
      <w:sz w:val="32"/>
      <w:szCs w:val="24"/>
      <w:lang w:val="en-US" w:eastAsia="zh-CN" w:bidi="ar-SA"/>
    </w:rPr>
  </w:style>
  <w:style w:type="paragraph" w:styleId="1029">
    <w:name w:val="部分1"/>
    <w:basedOn w:val="886"/>
    <w:next w:val="1029"/>
    <w:link w:val="886"/>
    <w:qFormat/>
    <w:pPr>
      <w:jc w:val="center"/>
      <w:keepNext/>
      <w:pageBreakBefore/>
      <w:spacing w:line="360" w:lineRule="auto"/>
      <w:tabs>
        <w:tab w:val="left" w:pos="720" w:leader="none"/>
      </w:tabs>
      <w:outlineLvl w:val="0"/>
    </w:pPr>
    <w:rPr>
      <w:rFonts w:eastAsia="黑体"/>
      <w:b/>
      <w:sz w:val="36"/>
      <w:szCs w:val="20"/>
    </w:rPr>
  </w:style>
  <w:style w:type="paragraph" w:styleId="1030">
    <w:name w:val="Normal_12_0"/>
    <w:next w:val="1030"/>
    <w:link w:val="886"/>
    <w:qFormat/>
    <w:pPr>
      <w:jc w:val="both"/>
      <w:widowControl w:val="off"/>
    </w:pPr>
    <w:rPr>
      <w:rFonts w:ascii="Calibri" w:hAnsi="Calibri" w:eastAsia="宋体" w:cs="Times New Roman"/>
      <w:sz w:val="21"/>
      <w:szCs w:val="22"/>
    </w:rPr>
  </w:style>
  <w:style w:type="paragraph" w:styleId="1031">
    <w:name w:val="正文_9_0"/>
    <w:next w:val="1031"/>
    <w:link w:val="886"/>
    <w:qFormat/>
    <w:pPr>
      <w:jc w:val="both"/>
      <w:widowControl w:val="off"/>
    </w:pPr>
    <w:rPr>
      <w:rFonts w:ascii="Calibri" w:hAnsi="Calibri" w:eastAsia="宋体" w:cs="Times New Roman"/>
      <w:sz w:val="21"/>
      <w:szCs w:val="22"/>
    </w:rPr>
  </w:style>
  <w:style w:type="paragraph" w:styleId="1032">
    <w:name w:val="正文_8_1"/>
    <w:next w:val="1032"/>
    <w:link w:val="886"/>
    <w:qFormat/>
    <w:pPr>
      <w:jc w:val="both"/>
      <w:widowControl w:val="off"/>
    </w:pPr>
    <w:rPr>
      <w:rFonts w:ascii="Calibri" w:hAnsi="Calibri" w:eastAsia="宋体" w:cs="Times New Roman"/>
      <w:sz w:val="21"/>
      <w:szCs w:val="22"/>
    </w:rPr>
  </w:style>
  <w:style w:type="paragraph" w:styleId="1033">
    <w:name w:val="正文_1_0_0_0_0"/>
    <w:next w:val="1033"/>
    <w:link w:val="886"/>
    <w:qFormat/>
    <w:pPr>
      <w:jc w:val="both"/>
      <w:widowControl w:val="off"/>
    </w:pPr>
    <w:rPr>
      <w:rFonts w:ascii="Times New Roman" w:hAnsi="Times New Roman" w:eastAsia="宋体" w:cs="Times New Roman"/>
      <w:sz w:val="21"/>
    </w:rPr>
  </w:style>
  <w:style w:type="paragraph" w:styleId="1034">
    <w:name w:val="列出段落_2"/>
    <w:basedOn w:val="1032"/>
    <w:next w:val="1034"/>
    <w:link w:val="886"/>
    <w:uiPriority w:val="34"/>
    <w:qFormat/>
    <w:pPr>
      <w:ind w:firstLine="420"/>
    </w:pPr>
    <w:rPr>
      <w:rFonts w:ascii="Calibri" w:hAnsi="Calibri" w:eastAsia="宋体"/>
    </w:rPr>
  </w:style>
  <w:style w:type="paragraph" w:styleId="1035">
    <w:name w:val="Normal_13_0"/>
    <w:next w:val="1035"/>
    <w:link w:val="886"/>
    <w:qFormat/>
    <w:rPr>
      <w:rFonts w:ascii="黑体" w:hAnsi="黑体" w:eastAsia="黑体" w:cs="黑体"/>
      <w:b/>
      <w:sz w:val="32"/>
      <w:szCs w:val="24"/>
    </w:rPr>
  </w:style>
  <w:style w:type="paragraph" w:styleId="1036">
    <w:name w:val="正文_16_0_0"/>
    <w:next w:val="1037"/>
    <w:link w:val="886"/>
    <w:qFormat/>
    <w:pPr>
      <w:jc w:val="both"/>
      <w:widowControl w:val="off"/>
    </w:pPr>
    <w:rPr>
      <w:rFonts w:ascii="Calibri" w:hAnsi="Calibri" w:eastAsia="宋体" w:cs="Times New Roman"/>
      <w:sz w:val="21"/>
      <w:szCs w:val="22"/>
    </w:rPr>
  </w:style>
  <w:style w:type="paragraph" w:styleId="1037">
    <w:name w:val="正文1_0"/>
    <w:next w:val="1037"/>
    <w:link w:val="886"/>
    <w:qFormat/>
    <w:pPr>
      <w:jc w:val="both"/>
      <w:widowControl w:val="off"/>
    </w:pPr>
    <w:rPr>
      <w:rFonts w:ascii="Times New Roman" w:hAnsi="Times New Roman" w:eastAsia="宋体" w:cs="Times New Roman"/>
      <w:szCs w:val="24"/>
    </w:rPr>
  </w:style>
  <w:style w:type="paragraph" w:styleId="1038">
    <w:name w:val="正文_1_1_1"/>
    <w:next w:val="1038"/>
    <w:link w:val="886"/>
    <w:qFormat/>
    <w:pPr>
      <w:jc w:val="both"/>
      <w:widowControl w:val="off"/>
    </w:pPr>
    <w:rPr>
      <w:rFonts w:ascii="Calibri" w:hAnsi="Calibri" w:eastAsia="宋体" w:cs="Times New Roman"/>
      <w:sz w:val="21"/>
      <w:szCs w:val="22"/>
      <w:lang w:val="en-US" w:eastAsia="zh-CN" w:bidi="ar-SA"/>
    </w:rPr>
  </w:style>
  <w:style w:type="paragraph" w:styleId="1039">
    <w:name w:val="Heading 4"/>
    <w:basedOn w:val="1026"/>
    <w:next w:val="1026"/>
    <w:link w:val="886"/>
    <w:uiPriority w:val="9"/>
    <w:unhideWhenUsed/>
    <w:qFormat/>
    <w:pPr>
      <w:keepLines/>
      <w:keepNext/>
      <w:spacing w:before="280" w:after="290" w:line="376" w:lineRule="auto"/>
      <w:outlineLvl w:val="3"/>
    </w:pPr>
    <w:rPr>
      <w:rFonts w:ascii="Calibri Light" w:hAnsi="Calibri Light" w:eastAsia="宋体"/>
      <w:bCs/>
      <w:sz w:val="28"/>
      <w:szCs w:val="28"/>
    </w:rPr>
  </w:style>
  <w:style w:type="paragraph" w:styleId="1040">
    <w:name w:val="正文_1_1"/>
    <w:next w:val="1040"/>
    <w:link w:val="886"/>
    <w:qFormat/>
    <w:pPr>
      <w:jc w:val="both"/>
      <w:widowControl w:val="off"/>
    </w:pPr>
    <w:rPr>
      <w:rFonts w:ascii="Calibri" w:hAnsi="Calibri" w:eastAsia="宋体" w:cs="Times New Roman"/>
      <w:sz w:val="21"/>
      <w:szCs w:val="22"/>
      <w:lang w:val="en-US" w:eastAsia="zh-CN" w:bidi="ar-SA"/>
    </w:rPr>
  </w:style>
  <w:style w:type="paragraph" w:styleId="1041">
    <w:name w:val="正文_2_0"/>
    <w:next w:val="1042"/>
    <w:link w:val="886"/>
    <w:qFormat/>
    <w:pPr>
      <w:jc w:val="both"/>
      <w:widowControl w:val="off"/>
    </w:pPr>
    <w:rPr>
      <w:rFonts w:ascii="Times New Roman" w:hAnsi="Times New Roman" w:eastAsia="宋体" w:cs="Times New Roman"/>
      <w:sz w:val="21"/>
      <w:szCs w:val="24"/>
      <w:lang w:val="en-US" w:eastAsia="zh-CN" w:bidi="ar-SA"/>
    </w:rPr>
  </w:style>
  <w:style w:type="paragraph" w:styleId="1042">
    <w:name w:val="正文首行缩进 2_0"/>
    <w:basedOn w:val="1043"/>
    <w:next w:val="1042"/>
    <w:link w:val="886"/>
    <w:qFormat/>
    <w:pPr>
      <w:ind w:left="200" w:firstLine="200"/>
      <w:spacing w:after="120"/>
    </w:pPr>
    <w:rPr>
      <w:rFonts w:ascii="Times New Roman" w:hAnsi="Times New Roman"/>
      <w:sz w:val="24"/>
      <w:szCs w:val="24"/>
    </w:rPr>
  </w:style>
  <w:style w:type="paragraph" w:styleId="1043">
    <w:name w:val="正文文本缩进_0"/>
    <w:basedOn w:val="1016"/>
    <w:next w:val="1043"/>
    <w:link w:val="886"/>
    <w:qFormat/>
    <w:pPr>
      <w:ind w:firstLine="225"/>
    </w:pPr>
    <w:rPr>
      <w:rFonts w:ascii="仿宋_GB2312" w:eastAsia="仿宋_GB2312"/>
      <w:sz w:val="32"/>
    </w:rPr>
  </w:style>
  <w:style w:type="paragraph" w:styleId="1044">
    <w:name w:val="标题 2_0"/>
    <w:basedOn w:val="1045"/>
    <w:next w:val="1045"/>
    <w:link w:val="886"/>
    <w:qFormat/>
    <w:pPr>
      <w:jc w:val="center"/>
      <w:keepLines/>
      <w:keepNext/>
      <w:spacing w:before="260" w:after="260" w:line="410" w:lineRule="auto"/>
      <w:outlineLvl w:val="1"/>
    </w:pPr>
    <w:rPr>
      <w:rFonts w:ascii="Arial" w:hAnsi="Arial" w:eastAsia="黑体"/>
      <w:b/>
      <w:bCs/>
      <w:sz w:val="32"/>
      <w:szCs w:val="32"/>
    </w:rPr>
  </w:style>
  <w:style w:type="paragraph" w:styleId="1045">
    <w:name w:val="正文_2_1"/>
    <w:next w:val="1045"/>
    <w:link w:val="886"/>
    <w:qFormat/>
    <w:pPr>
      <w:jc w:val="both"/>
      <w:widowControl w:val="off"/>
    </w:pPr>
    <w:rPr>
      <w:rFonts w:ascii="Times New Roman" w:hAnsi="Times New Roman" w:eastAsia="宋体" w:cs="Times New Roman"/>
      <w:szCs w:val="24"/>
      <w:lang w:val="en-US" w:eastAsia="zh-CN" w:bidi="ar-SA"/>
    </w:rPr>
  </w:style>
  <w:style w:type="table" w:styleId="1046">
    <w:name w:val="网格型_0"/>
    <w:basedOn w:val="897"/>
    <w:next w:val="1046"/>
    <w:link w:val="886"/>
    <w:qFormat/>
    <w:tblPr/>
  </w:style>
  <w:style w:type="paragraph" w:styleId="1047">
    <w:name w:val="正文_2_2_0"/>
    <w:next w:val="1048"/>
    <w:link w:val="886"/>
    <w:qFormat/>
    <w:pPr>
      <w:jc w:val="both"/>
      <w:widowControl w:val="off"/>
    </w:pPr>
    <w:rPr>
      <w:rFonts w:ascii="Calibri" w:hAnsi="Calibri" w:eastAsia="宋体" w:cs="Times New Roman"/>
      <w:sz w:val="21"/>
      <w:szCs w:val="22"/>
      <w:lang w:val="en-US" w:eastAsia="zh-CN" w:bidi="ar-SA"/>
    </w:rPr>
  </w:style>
  <w:style w:type="paragraph" w:styleId="1048">
    <w:name w:val="脚注文本_0_0_0"/>
    <w:basedOn w:val="1047"/>
    <w:next w:val="1049"/>
    <w:link w:val="886"/>
    <w:qFormat/>
    <w:pPr>
      <w:jc w:val="left"/>
    </w:pPr>
    <w:rPr>
      <w:rFonts w:ascii="宋体" w:hAnsi="Calibri"/>
      <w:bCs/>
      <w:sz w:val="18"/>
      <w:szCs w:val="18"/>
    </w:rPr>
  </w:style>
  <w:style w:type="paragraph" w:styleId="1049">
    <w:name w:val="索引 5_0_0_0"/>
    <w:basedOn w:val="1047"/>
    <w:next w:val="1047"/>
    <w:link w:val="886"/>
    <w:qFormat/>
    <w:pPr>
      <w:ind w:left="800"/>
    </w:pPr>
    <w:rPr>
      <w:rFonts w:ascii="Calibri" w:hAnsi="Calibri"/>
      <w:szCs w:val="22"/>
    </w:rPr>
  </w:style>
  <w:style w:type="character" w:styleId="1050">
    <w:name w:val="font01"/>
    <w:basedOn w:val="896"/>
    <w:next w:val="1050"/>
    <w:link w:val="886"/>
    <w:qFormat/>
    <w:rPr>
      <w:rFonts w:hint="eastAsia" w:ascii="宋体" w:hAnsi="宋体" w:eastAsia="宋体" w:cs="宋体"/>
      <w:color w:val="000000"/>
      <w:sz w:val="22"/>
      <w:szCs w:val="22"/>
      <w:u w:val="none"/>
    </w:rPr>
  </w:style>
  <w:style w:type="character" w:styleId="1051">
    <w:name w:val="hover"/>
    <w:basedOn w:val="896"/>
    <w:next w:val="1051"/>
    <w:link w:val="886"/>
    <w:rPr>
      <w:shd w:val="clear" w:color="auto" w:fill="eeeeee"/>
    </w:rPr>
  </w:style>
  <w:style w:type="character" w:styleId="1052">
    <w:name w:val="first-child"/>
    <w:basedOn w:val="896"/>
    <w:next w:val="1052"/>
    <w:link w:val="886"/>
  </w:style>
  <w:style w:type="character" w:styleId="1053">
    <w:name w:val="old"/>
    <w:basedOn w:val="896"/>
    <w:next w:val="1053"/>
    <w:link w:val="886"/>
    <w:rPr>
      <w:color w:val="999999"/>
    </w:rPr>
  </w:style>
  <w:style w:type="character" w:styleId="1054">
    <w:name w:val="hour_am"/>
    <w:basedOn w:val="896"/>
    <w:next w:val="1054"/>
    <w:link w:val="886"/>
  </w:style>
  <w:style w:type="character" w:styleId="1055">
    <w:name w:val="hour_pm"/>
    <w:basedOn w:val="896"/>
    <w:next w:val="1055"/>
    <w:link w:val="886"/>
  </w:style>
  <w:style w:type="character" w:styleId="1056">
    <w:name w:val="glyphicon"/>
    <w:basedOn w:val="896"/>
    <w:next w:val="1056"/>
    <w:link w:val="886"/>
  </w:style>
  <w:style w:type="character" w:styleId="1057">
    <w:name w:val="layui-layer-tabnow"/>
    <w:basedOn w:val="896"/>
    <w:next w:val="1057"/>
    <w:link w:val="886"/>
    <w:rPr>
      <w:shd w:val="clear" w:color="auto" w:fill="ffffff"/>
    </w:rPr>
  </w:style>
  <w:style w:type="paragraph" w:styleId="1058">
    <w:name w:val="自由格式"/>
    <w:next w:val="1058"/>
    <w:link w:val="886"/>
    <w:qFormat/>
    <w:pPr>
      <w:pBdr>
        <w:top w:val="none" w:color="000000" w:sz="0" w:space="0"/>
        <w:left w:val="none" w:color="000000" w:sz="0" w:space="0"/>
        <w:bottom w:val="none" w:color="000000" w:sz="0" w:space="0"/>
        <w:right w:val="none" w:color="000000" w:sz="0" w:space="0"/>
        <w:between w:val="none" w:color="000000" w:sz="0" w:space="0"/>
      </w:pBdr>
    </w:pPr>
    <w:rPr>
      <w:rFonts w:ascii="Helvetica Neue Light" w:hAnsi="Helvetica Neue Light" w:eastAsia="Helvetica Neue Light" w:cs="Helvetica Neue Light"/>
      <w:color w:val="000000"/>
      <w:sz w:val="20"/>
      <w:szCs w:val="20"/>
      <w:lang w:val="en-US" w:eastAsia="zh-CN" w:bidi="ar-SA"/>
    </w:rPr>
  </w:style>
  <w:style w:type="character" w:styleId="1059">
    <w:name w:val="font11"/>
    <w:basedOn w:val="896"/>
    <w:next w:val="1059"/>
    <w:link w:val="886"/>
    <w:qFormat/>
    <w:rPr>
      <w:rFonts w:hint="eastAsia" w:ascii="Arial Unicode MS" w:hAnsi="Arial Unicode MS" w:eastAsia="Arial Unicode MS" w:cs="Arial Unicode MS"/>
      <w:color w:val="000000"/>
      <w:sz w:val="22"/>
      <w:szCs w:val="22"/>
      <w:u w:val="none"/>
    </w:rPr>
  </w:style>
  <w:style w:type="character" w:styleId="1060">
    <w:name w:val="font21"/>
    <w:basedOn w:val="896"/>
    <w:next w:val="1060"/>
    <w:link w:val="886"/>
    <w:qFormat/>
    <w:rPr>
      <w:rFonts w:hint="eastAsia" w:ascii="Arial Unicode MS" w:hAnsi="Arial Unicode MS" w:eastAsia="Arial Unicode MS" w:cs="Arial Unicode MS"/>
      <w:b/>
      <w:color w:val="000000"/>
      <w:sz w:val="22"/>
      <w:szCs w:val="22"/>
      <w:u w:val="none"/>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陈刘艳</cp:lastModifiedBy>
  <cp:revision>10</cp:revision>
  <dcterms:created xsi:type="dcterms:W3CDTF">2023-03-16T02:16:00Z</dcterms:created>
  <dcterms:modified xsi:type="dcterms:W3CDTF">2024-08-29T09:43:41Z</dcterms:modified>
</cp:coreProperties>
</file>