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ind w:left="0" w:firstLine="0"/>
        <w:jc w:val="both"/>
        <w:keepLines/>
        <w:keepNext/>
        <w:pageBreakBefore w:val="0"/>
        <w:spacing w:line="360" w:lineRule="auto"/>
        <w:widowControl/>
        <w:rPr>
          <w:rFonts w:hint="eastAsia" w:asciiTheme="minorEastAsia" w:hAnsiTheme="minorEastAsia" w:eastAsiaTheme="minorEastAsia" w:cstheme="minorEastAsia"/>
          <w:color w:val="auto"/>
          <w:sz w:val="56"/>
          <w:szCs w:val="36"/>
          <w:highlight w:val="none"/>
        </w:rPr>
      </w:pPr>
      <w:r>
        <w:rPr>
          <w:rFonts w:hint="eastAsia" w:asciiTheme="minorEastAsia" w:hAnsiTheme="minorEastAsia" w:eastAsiaTheme="minorEastAsia" w:cstheme="minorEastAsia"/>
          <w:color w:val="auto"/>
          <w:sz w:val="56"/>
          <w:szCs w:val="36"/>
          <w:highlight w:val="none"/>
        </w:rPr>
      </w:r>
      <w:r/>
    </w:p>
    <w:p>
      <w:pPr>
        <w:rPr>
          <w:rFonts w:hint="eastAsia"/>
          <w:color w:val="auto"/>
          <w:highlight w:val="none"/>
        </w:rPr>
      </w:pPr>
      <w:r>
        <w:rPr>
          <w:rFonts w:hint="eastAsia"/>
          <w:color w:val="auto"/>
          <w:highlight w:val="none"/>
        </w:rPr>
      </w:r>
      <w:r/>
    </w:p>
    <w:p>
      <w:pPr>
        <w:pStyle w:val="808"/>
        <w:ind w:left="0" w:firstLine="0"/>
        <w:jc w:val="center"/>
        <w:keepLines/>
        <w:keepNext/>
        <w:pageBreakBefore w:val="0"/>
        <w:spacing w:line="360" w:lineRule="auto"/>
        <w:widowControl/>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t xml:space="preserve">招标文件</w:t>
      </w:r>
      <w:r/>
    </w:p>
    <w:p>
      <w:pPr>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r>
      <w:r/>
    </w:p>
    <w:p>
      <w:pPr>
        <w:rPr>
          <w:rFonts w:hint="eastAsia" w:asciiTheme="minorEastAsia" w:hAnsiTheme="minorEastAsia" w:eastAsiaTheme="minorEastAsia" w:cstheme="minorEastAsia"/>
          <w:color w:val="auto"/>
          <w:sz w:val="96"/>
          <w:szCs w:val="44"/>
          <w:highlight w:val="none"/>
        </w:rPr>
      </w:pPr>
      <w:r>
        <w:rPr>
          <w:rFonts w:hint="eastAsia" w:asciiTheme="minorEastAsia" w:hAnsiTheme="minorEastAsia" w:eastAsiaTheme="minorEastAsia" w:cstheme="minorEastAsia"/>
          <w:color w:val="auto"/>
          <w:sz w:val="96"/>
          <w:szCs w:val="44"/>
          <w:highlight w:val="none"/>
        </w:rPr>
      </w:r>
      <w:r/>
    </w:p>
    <w:p>
      <w:pPr>
        <w:ind w:left="0" w:firstLine="964"/>
        <w:jc w:val="both"/>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项目名称：</w:t>
      </w:r>
      <w:r>
        <w:rPr>
          <w:rFonts w:hint="eastAsia" w:asciiTheme="minorEastAsia" w:hAnsiTheme="minorEastAsia" w:eastAsiaTheme="minorEastAsia" w:cstheme="minorEastAsia"/>
          <w:b/>
          <w:bCs/>
          <w:color w:val="auto"/>
          <w:sz w:val="32"/>
          <w:szCs w:val="22"/>
          <w:highlight w:val="none"/>
          <w:lang w:eastAsia="zh-CN"/>
        </w:rPr>
        <w:t xml:space="preserve">沛县人民医院污水处理运维外包项目</w:t>
      </w:r>
      <w:r/>
    </w:p>
    <w:p>
      <w:pPr>
        <w:ind w:left="0" w:firstLine="964"/>
        <w:jc w:val="both"/>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lang w:eastAsia="zh-CN"/>
        </w:rPr>
        <w:t xml:space="preserve">项目编号：JSZC-320322-JSPY-G2024-0007</w:t>
      </w:r>
      <w:r/>
    </w:p>
    <w:p>
      <w:pPr>
        <w:ind w:firstLine="964"/>
        <w:jc w:val="both"/>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招 标 人：</w:t>
      </w:r>
      <w:r>
        <w:rPr>
          <w:rFonts w:hint="eastAsia" w:asciiTheme="minorEastAsia" w:hAnsiTheme="minorEastAsia" w:eastAsiaTheme="minorEastAsia" w:cstheme="minorEastAsia"/>
          <w:b/>
          <w:bCs/>
          <w:color w:val="auto"/>
          <w:sz w:val="32"/>
          <w:szCs w:val="22"/>
          <w:highlight w:val="none"/>
          <w:lang w:eastAsia="zh-CN"/>
        </w:rPr>
        <w:t xml:space="preserve">沛县人民医院</w:t>
      </w:r>
      <w:r/>
    </w:p>
    <w:p>
      <w:pPr>
        <w:ind w:firstLine="0"/>
        <w:jc w:val="both"/>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default"/>
          <w:color w:val="auto"/>
          <w:sz w:val="24"/>
          <w:szCs w:val="32"/>
          <w:highlight w:val="none"/>
        </w:rPr>
        <mc:AlternateContent>
          <mc:Choice Requires="wpg">
            <w:drawing>
              <wp:inline xmlns:wp="http://schemas.openxmlformats.org/drawingml/2006/wordprocessingDrawing" distT="0" distB="0" distL="0" distR="0">
                <wp:extent cx="2209800" cy="2448560"/>
                <wp:effectExtent l="0" t="0" r="0" b="8890"/>
                <wp:docPr id="6" name="图片 7" descr="头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头像1"/>
                        <pic:cNvPicPr>
                          <a:picLocks noChangeAspect="1"/>
                        </pic:cNvPicPr>
                        <pic:nvPr/>
                      </pic:nvPicPr>
                      <pic:blipFill>
                        <a:blip r:embed="rId14"/>
                        <a:stretch/>
                      </pic:blipFill>
                      <pic:spPr bwMode="auto">
                        <a:xfrm>
                          <a:off x="0" y="0"/>
                          <a:ext cx="2209800" cy="244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4.0pt;height:192.8pt;mso-wrap-distance-left:0.0pt;mso-wrap-distance-top:0.0pt;mso-wrap-distance-right:0.0pt;mso-wrap-distance-bottom:0.0pt;" stroked="f">
                <v:path textboxrect="0,0,0,0"/>
                <v:imagedata r:id="rId14" o:title=""/>
              </v:shape>
            </w:pict>
          </mc:Fallback>
        </mc:AlternateContent>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40"/>
          <w:szCs w:val="28"/>
          <w:highlight w:val="none"/>
        </w:rPr>
      </w:pPr>
      <w:r>
        <w:rPr>
          <w:rFonts w:hint="eastAsia" w:asciiTheme="minorEastAsia" w:hAnsiTheme="minorEastAsia" w:eastAsiaTheme="minorEastAsia" w:cstheme="minorEastAsia"/>
          <w:b/>
          <w:bCs/>
          <w:color w:val="auto"/>
          <w:sz w:val="40"/>
          <w:szCs w:val="28"/>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采购代理机构：</w:t>
      </w:r>
      <w:r>
        <w:rPr>
          <w:rFonts w:hint="eastAsia" w:asciiTheme="minorEastAsia" w:hAnsiTheme="minorEastAsia" w:eastAsiaTheme="minorEastAsia" w:cstheme="minorEastAsia"/>
          <w:b/>
          <w:bCs/>
          <w:color w:val="auto"/>
          <w:sz w:val="32"/>
          <w:szCs w:val="22"/>
          <w:highlight w:val="none"/>
          <w:lang w:eastAsia="zh-CN"/>
        </w:rPr>
        <w:t xml:space="preserve">江苏沛源工程项目管理有限公司</w:t>
      </w:r>
      <w:r/>
    </w:p>
    <w:p>
      <w:pPr>
        <w:ind w:firstLine="0"/>
        <w:jc w:val="center"/>
        <w:pageBreakBefore w:val="0"/>
        <w:spacing w:line="360" w:lineRule="auto"/>
        <w:rPr>
          <w:rFonts w:hint="eastAsia" w:asciiTheme="minorEastAsia" w:hAnsiTheme="minorEastAsia" w:eastAsiaTheme="minorEastAsia" w:cstheme="minorEastAsia"/>
          <w:b/>
          <w:caps w:val="0"/>
          <w:color w:val="auto"/>
          <w:sz w:val="40"/>
          <w:szCs w:val="40"/>
          <w:highlight w:val="none"/>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bCs/>
          <w:color w:val="auto"/>
          <w:sz w:val="32"/>
          <w:szCs w:val="22"/>
          <w:highlight w:val="none"/>
        </w:rPr>
        <w:t xml:space="preserve">二〇二四年</w:t>
      </w:r>
      <w:r>
        <w:rPr>
          <w:rFonts w:hint="eastAsia" w:asciiTheme="minorEastAsia" w:hAnsiTheme="minorEastAsia" w:eastAsiaTheme="minorEastAsia" w:cstheme="minorEastAsia"/>
          <w:b/>
          <w:bCs/>
          <w:color w:val="auto"/>
          <w:sz w:val="32"/>
          <w:szCs w:val="22"/>
          <w:highlight w:val="none"/>
          <w:lang w:val="en-US" w:eastAsia="zh-CN"/>
        </w:rPr>
        <w:t xml:space="preserve">十一</w:t>
      </w:r>
      <w:r>
        <w:rPr>
          <w:rFonts w:hint="eastAsia" w:asciiTheme="minorEastAsia" w:hAnsiTheme="minorEastAsia" w:eastAsiaTheme="minorEastAsia" w:cstheme="minorEastAsia"/>
          <w:b/>
          <w:bCs/>
          <w:color w:val="auto"/>
          <w:sz w:val="32"/>
          <w:szCs w:val="22"/>
          <w:highlight w:val="none"/>
        </w:rPr>
        <w:t xml:space="preserve">月</w:t>
      </w:r>
      <w:r/>
    </w:p>
    <w:p>
      <w:pPr>
        <w:ind w:firstLine="0"/>
        <w:jc w:val="center"/>
        <w:pageBreakBefore w:val="0"/>
        <w:spacing w:line="360" w:lineRule="auto"/>
        <w:rPr>
          <w:rFonts w:hint="eastAsia" w:asciiTheme="minorEastAsia" w:hAnsiTheme="minorEastAsia" w:eastAsiaTheme="minorEastAsia" w:cstheme="minorEastAsia"/>
          <w:b/>
          <w:caps w:val="0"/>
          <w:color w:val="auto"/>
          <w:sz w:val="44"/>
          <w:szCs w:val="44"/>
          <w:highlight w:val="none"/>
        </w:rPr>
      </w:pPr>
      <w:r>
        <w:rPr>
          <w:rFonts w:hint="eastAsia" w:asciiTheme="minorEastAsia" w:hAnsiTheme="minorEastAsia" w:eastAsiaTheme="minorEastAsia" w:cstheme="minorEastAsia"/>
          <w:b/>
          <w:caps w:val="0"/>
          <w:color w:val="auto"/>
          <w:sz w:val="44"/>
          <w:szCs w:val="44"/>
          <w:highlight w:val="none"/>
        </w:rPr>
        <w:t xml:space="preserve">目  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sz w:val="28"/>
          <w:szCs w:val="21"/>
          <w:highlight w:val="none"/>
        </w:rPr>
        <w:fldChar w:fldCharType="begin"/>
      </w:r>
      <w:r>
        <w:rPr>
          <w:rFonts w:hint="eastAsia" w:asciiTheme="minorEastAsia" w:hAnsiTheme="minorEastAsia" w:eastAsiaTheme="minorEastAsia" w:cstheme="minorEastAsia"/>
          <w:caps w:val="0"/>
          <w:color w:val="auto"/>
          <w:sz w:val="28"/>
          <w:szCs w:val="21"/>
          <w:highlight w:val="none"/>
        </w:rPr>
        <w:instrText xml:space="preserve">TOC \o "1-1" \h \u </w:instrText>
      </w:r>
      <w:r>
        <w:rPr>
          <w:rFonts w:hint="eastAsia" w:asciiTheme="minorEastAsia" w:hAnsiTheme="minorEastAsia" w:eastAsiaTheme="minorEastAsia" w:cstheme="minorEastAsia"/>
          <w:caps w:val="0"/>
          <w:color w:val="auto"/>
          <w:sz w:val="28"/>
          <w:szCs w:val="21"/>
          <w:highlight w:val="none"/>
        </w:rPr>
        <w:fldChar w:fldCharType="separate"/>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"_Toc996"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第一章 投标邀请</w:t>
      </w:r>
      <w:r>
        <w:rPr>
          <w:rFonts w:hint="eastAsia" w:asciiTheme="minorEastAsia" w:hAnsiTheme="minorEastAsia" w:eastAsiaTheme="minorEastAsia" w:cstheme="minorEastAsia"/>
          <w:caps w:val="0"/>
          <w:color w:val="auto"/>
          <w:sz w:val="28"/>
          <w:szCs w:val="21"/>
          <w:highlight w:val="none"/>
        </w:rPr>
        <w:fldChar w:fldCharType="end"/>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"_Toc396"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第二章 投标人须知</w:t>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"_Toc16411"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第三章 投标资料表</w:t>
      </w:r>
      <w:r>
        <w:rPr>
          <w:rFonts w:hint="eastAsia" w:asciiTheme="minorEastAsia" w:hAnsiTheme="minorEastAsia" w:eastAsiaTheme="minorEastAsia" w:cstheme="minorEastAsia"/>
          <w:caps w:val="0"/>
          <w:color w:val="auto"/>
          <w:sz w:val="28"/>
          <w:szCs w:val="21"/>
          <w:highlight w:val="none"/>
        </w:rPr>
        <w:fldChar w:fldCharType="end"/>
      </w:r>
      <w:r>
        <w:rPr>
          <w:rFonts w:hint="eastAsia" w:asciiTheme="minorEastAsia" w:hAnsiTheme="minorEastAsia" w:eastAsiaTheme="minorEastAsia" w:cstheme="minorEastAsia"/>
          <w:caps w:val="0"/>
          <w:color w:val="auto"/>
          <w:sz w:val="28"/>
          <w:szCs w:val="21"/>
          <w:highlight w:val="none"/>
        </w:rPr>
        <w:fldChar w:fldCharType="end"/>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"_Toc4749"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第四章 评标标准</w:t>
      </w:r>
      <w:r>
        <w:rPr>
          <w:rFonts w:hint="eastAsia" w:asciiTheme="minorEastAsia" w:hAnsiTheme="minorEastAsia" w:eastAsiaTheme="minorEastAsia" w:cstheme="minorEastAsia"/>
          <w:caps w:val="0"/>
          <w:color w:val="auto"/>
          <w:sz w:val="28"/>
          <w:szCs w:val="21"/>
          <w:highlight w:val="none"/>
        </w:rPr>
        <w:fldChar w:fldCharType="end"/>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"_Toc4807"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第五章 拟签订的合同文本</w:t>
      </w:r>
      <w:r>
        <w:rPr>
          <w:rFonts w:hint="eastAsia" w:asciiTheme="minorEastAsia" w:hAnsiTheme="minorEastAsia" w:eastAsiaTheme="minorEastAsia" w:cstheme="minorEastAsia"/>
          <w:caps w:val="0"/>
          <w:color w:val="auto"/>
          <w:sz w:val="28"/>
          <w:szCs w:val="21"/>
          <w:highlight w:val="none"/>
        </w:rPr>
        <w:fldChar w:fldCharType="end"/>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"_Toc1430"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第六章 采购需求</w:t>
      </w:r>
      <w:r>
        <w:rPr>
          <w:rFonts w:hint="eastAsia" w:asciiTheme="minorEastAsia" w:hAnsiTheme="minorEastAsia" w:eastAsiaTheme="minorEastAsia" w:cstheme="minorEastAsia"/>
          <w:caps w:val="0"/>
          <w:color w:val="auto"/>
          <w:sz w:val="28"/>
          <w:szCs w:val="21"/>
          <w:highlight w:val="none"/>
        </w:rPr>
        <w:fldChar w:fldCharType="end"/>
      </w:r>
      <w:r/>
    </w:p>
    <w:p>
      <w:pPr>
        <w:pStyle w:val="837"/>
        <w:ind w:firstLine="0"/>
        <w:pageBreakBefore w:val="0"/>
        <w:spacing w:line="360" w:lineRule="auto"/>
        <w:tabs>
          <w:tab w:val="right" w:pos="9355" w:leader="dot"/>
        </w:tabs>
        <w:rPr>
          <w:rFonts w:hint="eastAsia" w:asciiTheme="minorEastAsia" w:hAnsiTheme="minorEastAsia" w:eastAsiaTheme="minorEastAsia" w:cstheme="minorEastAsia"/>
          <w:caps w:val="0"/>
          <w:color w:val="auto"/>
          <w:sz w:val="28"/>
          <w:szCs w:val="21"/>
          <w:highlight w:val="none"/>
        </w:rPr>
      </w:pP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\l "_Toc1056"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8"/>
          <w:szCs w:val="21"/>
          <w:highlight w:val="none"/>
        </w:rPr>
        <w:t xml:space="preserve">第七章  投标文件相关格式</w:t>
      </w:r>
      <w:r>
        <w:rPr>
          <w:rFonts w:hint="eastAsia" w:asciiTheme="minorEastAsia" w:hAnsiTheme="minorEastAsia" w:eastAsiaTheme="minorEastAsia" w:cstheme="minorEastAsia"/>
          <w:caps w:val="0"/>
          <w:color w:val="auto"/>
          <w:sz w:val="28"/>
          <w:szCs w:val="21"/>
          <w:highlight w:val="none"/>
        </w:rPr>
        <w:fldChar w:fldCharType="end"/>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8"/>
          <w:szCs w:val="21"/>
          <w:highlight w:val="none"/>
        </w:rPr>
        <w:fldChar w:fldCharType="end"/>
      </w:r>
      <w:r/>
    </w:p>
    <w:p>
      <w:pPr>
        <w:pStyle w:val="860"/>
        <w:ind w:firstLine="0"/>
        <w:jc w:val="center"/>
        <w:pageBreakBefore w:val="0"/>
        <w:spacing w:line="360" w:lineRule="auto"/>
        <w:rPr>
          <w:rFonts w:hint="eastAsia" w:asciiTheme="minorEastAsia" w:hAnsiTheme="minorEastAsia" w:eastAsiaTheme="minorEastAsia" w:cstheme="minorEastAsia"/>
          <w:b/>
          <w:caps w:val="0"/>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Theme="minorEastAsia" w:hAnsiTheme="minorEastAsia" w:eastAsiaTheme="minorEastAsia" w:cstheme="minorEastAsia"/>
          <w:b/>
          <w:caps w:val="0"/>
          <w:color w:val="auto"/>
          <w:sz w:val="44"/>
          <w:szCs w:val="44"/>
          <w:highlight w:val="none"/>
        </w:rPr>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lang w:eastAsia="zh-CN"/>
        </w:rPr>
        <w:t xml:space="preserve">沛县人民医院</w:t>
      </w:r>
      <w:r/>
    </w:p>
    <w:p>
      <w:pPr>
        <w:ind w:firstLine="0"/>
        <w:jc w:val="center"/>
        <w:pageBreakBefore w:val="0"/>
        <w:spacing w:line="360" w:lineRule="auto"/>
        <w:rPr>
          <w:rFonts w:hint="eastAsia" w:asciiTheme="minorEastAsia" w:hAnsiTheme="minorEastAsia" w:eastAsiaTheme="minorEastAsia" w:cstheme="minorEastAsia"/>
          <w:b/>
          <w:bCs/>
          <w:color w:val="auto"/>
          <w:sz w:val="32"/>
          <w:szCs w:val="22"/>
          <w:highlight w:val="none"/>
        </w:rPr>
      </w:pPr>
      <w:r>
        <w:rPr>
          <w:rFonts w:hint="eastAsia" w:asciiTheme="minorEastAsia" w:hAnsiTheme="minorEastAsia" w:eastAsiaTheme="minorEastAsia" w:cstheme="minorEastAsia"/>
          <w:b/>
          <w:bCs/>
          <w:color w:val="auto"/>
          <w:sz w:val="32"/>
          <w:szCs w:val="22"/>
          <w:highlight w:val="none"/>
        </w:rPr>
        <w:t xml:space="preserve">《</w:t>
      </w:r>
      <w:r>
        <w:rPr>
          <w:rFonts w:hint="eastAsia" w:asciiTheme="minorEastAsia" w:hAnsiTheme="minorEastAsia" w:eastAsiaTheme="minorEastAsia" w:cstheme="minorEastAsia"/>
          <w:b/>
          <w:bCs/>
          <w:color w:val="auto"/>
          <w:sz w:val="32"/>
          <w:szCs w:val="22"/>
          <w:highlight w:val="none"/>
          <w:lang w:eastAsia="zh-CN"/>
        </w:rPr>
        <w:t xml:space="preserve">沛县人民医院污水处理运维外包项目</w:t>
      </w:r>
      <w:r>
        <w:rPr>
          <w:rFonts w:hint="eastAsia" w:asciiTheme="minorEastAsia" w:hAnsiTheme="minorEastAsia" w:eastAsiaTheme="minorEastAsia" w:cstheme="minorEastAsia"/>
          <w:b/>
          <w:bCs/>
          <w:color w:val="auto"/>
          <w:sz w:val="32"/>
          <w:szCs w:val="22"/>
          <w:highlight w:val="none"/>
        </w:rPr>
        <w:t xml:space="preserve">》</w:t>
      </w:r>
      <w:r/>
    </w:p>
    <w:p>
      <w:pPr>
        <w:ind w:firstLine="0"/>
        <w:jc w:val="center"/>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b/>
          <w:bCs/>
          <w:color w:val="auto"/>
          <w:sz w:val="32"/>
          <w:szCs w:val="22"/>
          <w:highlight w:val="none"/>
        </w:rPr>
        <w:t xml:space="preserve">招标文件</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bookmarkStart w:id="0" w:name="_Toc996"/>
      <w:r/>
      <w:bookmarkStart w:id="1" w:name="_Toc523404695"/>
      <w:r>
        <w:rPr>
          <w:rFonts w:hint="eastAsia" w:asciiTheme="minorEastAsia" w:hAnsiTheme="minorEastAsia" w:eastAsiaTheme="minorEastAsia" w:cstheme="minorEastAsia"/>
          <w:color w:val="auto"/>
          <w:highlight w:val="none"/>
        </w:rPr>
        <w:t xml:space="preserve">第一章 投标邀请</w:t>
      </w:r>
      <w:bookmarkEnd w:id="0"/>
      <w:r/>
      <w:bookmarkEnd w:id="1"/>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江苏沛源工程项目管理有限公司</w:t>
      </w:r>
      <w:r>
        <w:rPr>
          <w:rFonts w:hint="eastAsia" w:asciiTheme="minorEastAsia" w:hAnsiTheme="minorEastAsia" w:eastAsiaTheme="minorEastAsia" w:cstheme="minorEastAsia"/>
          <w:color w:val="auto"/>
          <w:highlight w:val="none"/>
        </w:rPr>
        <w:t xml:space="preserve">对</w:t>
      </w:r>
      <w:r>
        <w:rPr>
          <w:rFonts w:hint="eastAsia" w:asciiTheme="minorEastAsia" w:hAnsiTheme="minorEastAsia" w:eastAsiaTheme="minorEastAsia" w:cstheme="minorEastAsia"/>
          <w:color w:val="auto"/>
          <w:highlight w:val="none"/>
          <w:lang w:eastAsia="zh-CN"/>
        </w:rPr>
        <w:t xml:space="preserve">沛县人民医院</w:t>
      </w:r>
      <w:r>
        <w:rPr>
          <w:rFonts w:hint="eastAsia" w:asciiTheme="minorEastAsia" w:hAnsiTheme="minorEastAsia" w:eastAsiaTheme="minorEastAsia" w:cstheme="minorEastAsia"/>
          <w:color w:val="auto"/>
          <w:highlight w:val="none"/>
        </w:rPr>
        <w:t xml:space="preserve">“</w:t>
      </w:r>
      <w:r>
        <w:rPr>
          <w:rFonts w:hint="eastAsia" w:asciiTheme="minorEastAsia" w:hAnsiTheme="minorEastAsia" w:eastAsiaTheme="minorEastAsia" w:cstheme="minorEastAsia"/>
          <w:color w:val="auto"/>
          <w:highlight w:val="none"/>
          <w:lang w:eastAsia="zh-CN"/>
        </w:rPr>
        <w:t xml:space="preserve">沛县人民医院污水处理运维外包项目</w:t>
      </w:r>
      <w:r>
        <w:rPr>
          <w:rFonts w:hint="eastAsia" w:asciiTheme="minorEastAsia" w:hAnsiTheme="minorEastAsia" w:eastAsiaTheme="minorEastAsia" w:cstheme="minorEastAsia"/>
          <w:color w:val="auto"/>
          <w:highlight w:val="none"/>
        </w:rPr>
        <w:t xml:space="preserve">”进行公开招标采购，现邀请符合相关条件的</w:t>
      </w: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投标。</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一、项目名称和项目编号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(一)项目名称：</w:t>
      </w:r>
      <w:r>
        <w:rPr>
          <w:rFonts w:hint="eastAsia" w:asciiTheme="minorEastAsia" w:hAnsiTheme="minorEastAsia" w:eastAsiaTheme="minorEastAsia" w:cstheme="minorEastAsia"/>
          <w:caps w:val="0"/>
          <w:color w:val="auto"/>
          <w:highlight w:val="none"/>
          <w:lang w:eastAsia="zh-CN"/>
        </w:rPr>
        <w:t xml:space="preserve">沛县人民医院污水处理运维外包项目</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(二)项目编号：</w:t>
      </w:r>
      <w:r>
        <w:rPr>
          <w:rFonts w:hint="eastAsia" w:asciiTheme="minorEastAsia" w:hAnsiTheme="minorEastAsia" w:eastAsiaTheme="minorEastAsia" w:cstheme="minorEastAsia"/>
          <w:caps w:val="0"/>
          <w:color w:val="auto"/>
          <w:highlight w:val="none"/>
          <w:lang w:eastAsia="zh-CN"/>
        </w:rPr>
        <w:t xml:space="preserve">JSZC-320322-JSPY-G2024-0007</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二、对投标人的资格要求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详见本项目公开招标公告。</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三、获取招标文件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（1）潜在</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访问电子招标投标交易平台的网络地址和方法：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③“CA数字证书”的获取：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（2）采购代理机构将数据电文形式的招标文件加载至电子招标投标交易平台，供潜在</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下载或者查阅。</w:t>
      </w:r>
      <w:r/>
    </w:p>
    <w:p>
      <w:pPr>
        <w:ind w:firstLine="0"/>
        <w:pageBreakBefore w:val="0"/>
        <w:spacing w:line="360" w:lineRule="auto"/>
        <w:rPr>
          <w:rFonts w:hint="eastAsia" w:asciiTheme="minorEastAsia" w:hAnsiTheme="minorEastAsia" w:eastAsiaTheme="minorEastAsia" w:cstheme="minorEastAsia"/>
          <w:b w:val="0"/>
          <w:bCs w:val="0"/>
          <w:caps w:val="0"/>
          <w:color w:val="auto"/>
          <w:highlight w:val="none"/>
        </w:rPr>
      </w:pPr>
      <w:r>
        <w:rPr>
          <w:rFonts w:hint="eastAsia" w:asciiTheme="minorEastAsia" w:hAnsiTheme="minorEastAsia" w:eastAsiaTheme="minorEastAsia" w:cstheme="minorEastAsia"/>
          <w:b w:val="0"/>
          <w:bCs w:val="0"/>
          <w:caps w:val="0"/>
          <w:color w:val="auto"/>
          <w:highlight w:val="none"/>
        </w:rPr>
        <w:t xml:space="preserve">（3）苏采云系统使用谷歌浏览器参与不见面开标。</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val="0"/>
          <w:bCs w:val="0"/>
          <w:caps w:val="0"/>
          <w:color w:val="auto"/>
          <w:highlight w:val="none"/>
        </w:rPr>
        <w:t xml:space="preserve">（4）售价：免费。</w:t>
      </w:r>
      <w:r>
        <w:rPr>
          <w:rFonts w:hint="eastAsia" w:asciiTheme="minorEastAsia" w:hAnsiTheme="minorEastAsia" w:eastAsiaTheme="minorEastAsia" w:cstheme="minorEastAsia"/>
          <w:b/>
          <w:bCs/>
          <w:caps w:val="0"/>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四、投标有关信息</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（一）投标截止时间：</w:t>
      </w:r>
      <w:r>
        <w:rPr>
          <w:rFonts w:hint="eastAsia" w:asciiTheme="minorEastAsia" w:hAnsiTheme="minorEastAsia" w:eastAsiaTheme="minorEastAsia" w:cstheme="minorEastAsia"/>
          <w:b/>
          <w:bCs/>
          <w:caps w:val="0"/>
          <w:color w:val="auto"/>
          <w:highlight w:val="none"/>
          <w:lang w:eastAsia="zh-CN"/>
        </w:rPr>
        <w:t xml:space="preserve">2024年</w:t>
      </w:r>
      <w:r>
        <w:rPr>
          <w:rFonts w:hint="eastAsia" w:asciiTheme="minorEastAsia" w:hAnsiTheme="minorEastAsia" w:eastAsiaTheme="minorEastAsia" w:cstheme="minorEastAsia"/>
          <w:b/>
          <w:bCs/>
          <w:caps w:val="0"/>
          <w:color w:val="auto"/>
          <w:highlight w:val="none"/>
          <w:lang w:val="en-US" w:eastAsia="zh-CN"/>
        </w:rPr>
        <w:t xml:space="preserve">12</w:t>
      </w:r>
      <w:r>
        <w:rPr>
          <w:rFonts w:hint="eastAsia" w:asciiTheme="minorEastAsia" w:hAnsiTheme="minorEastAsia" w:eastAsiaTheme="minorEastAsia" w:cstheme="minorEastAsia"/>
          <w:b/>
          <w:bCs/>
          <w:caps w:val="0"/>
          <w:color w:val="auto"/>
          <w:highlight w:val="none"/>
          <w:lang w:eastAsia="zh-CN"/>
        </w:rPr>
        <w:t xml:space="preserve">月23日北京时间9：30。</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（二）开标时间：</w:t>
      </w:r>
      <w:r>
        <w:rPr>
          <w:rFonts w:hint="eastAsia" w:asciiTheme="minorEastAsia" w:hAnsiTheme="minorEastAsia" w:eastAsiaTheme="minorEastAsia" w:cstheme="minorEastAsia"/>
          <w:b/>
          <w:bCs/>
          <w:caps w:val="0"/>
          <w:color w:val="auto"/>
          <w:highlight w:val="none"/>
          <w:lang w:eastAsia="zh-CN"/>
        </w:rPr>
        <w:t xml:space="preserve">2024年12月23日北京时间9：30。</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（三）开标地点：“苏采云”系统（网址：http://jszfcg. jsczt. cn/）“开标大厅”或进入徐州政府采购网（网址：http://czj. xz. gov. cn/Home/HomeIndex）-业务工作 -用户登录，点击“苏采云”进入系统“开标大厅”。 </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五、采购人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（一）名称：</w:t>
      </w:r>
      <w:r>
        <w:rPr>
          <w:rFonts w:hint="eastAsia" w:asciiTheme="minorEastAsia" w:hAnsiTheme="minorEastAsia" w:eastAsiaTheme="minorEastAsia" w:cstheme="minorEastAsia"/>
          <w:caps w:val="0"/>
          <w:color w:val="auto"/>
          <w:highlight w:val="none"/>
          <w:lang w:eastAsia="zh-CN"/>
        </w:rPr>
        <w:t xml:space="preserve">沛县人民医院</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（二）地址：</w:t>
      </w:r>
      <w:r>
        <w:rPr>
          <w:rFonts w:hint="eastAsia" w:asciiTheme="minorEastAsia" w:hAnsiTheme="minorEastAsia" w:eastAsiaTheme="minorEastAsia" w:cstheme="minorEastAsia"/>
          <w:caps w:val="0"/>
          <w:color w:val="auto"/>
          <w:highlight w:val="none"/>
          <w:lang w:eastAsia="zh-CN"/>
        </w:rPr>
        <w:t xml:space="preserve">沛县城关乡汉源大道69号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（三）联系方式：0516-89656799</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（四）采购项目联系人：</w:t>
      </w:r>
      <w:r>
        <w:rPr>
          <w:rFonts w:hint="eastAsia" w:asciiTheme="minorEastAsia" w:hAnsiTheme="minorEastAsia" w:eastAsiaTheme="minorEastAsia" w:cstheme="minorEastAsia"/>
          <w:caps w:val="0"/>
          <w:color w:val="auto"/>
          <w:highlight w:val="none"/>
          <w:lang w:eastAsia="zh-CN"/>
        </w:rPr>
        <w:t xml:space="preserve">朱本永</w:t>
      </w:r>
      <w:r/>
    </w:p>
    <w:p>
      <w:pPr>
        <w:ind w:firstLine="0"/>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t xml:space="preserve">六、采购代理机构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（一）名称：</w:t>
      </w:r>
      <w:r>
        <w:rPr>
          <w:rFonts w:hint="eastAsia" w:asciiTheme="minorEastAsia" w:hAnsiTheme="minorEastAsia" w:eastAsiaTheme="minorEastAsia" w:cstheme="minorEastAsia"/>
          <w:caps w:val="0"/>
          <w:color w:val="auto"/>
          <w:highlight w:val="none"/>
          <w:lang w:eastAsia="zh-CN"/>
        </w:rPr>
        <w:t xml:space="preserve">江苏沛源工程项目管理有限公司</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（二）地址：</w:t>
      </w:r>
      <w:r>
        <w:rPr>
          <w:rFonts w:hint="eastAsia" w:asciiTheme="minorEastAsia" w:hAnsiTheme="minorEastAsia" w:eastAsiaTheme="minorEastAsia" w:cstheme="minorEastAsia"/>
          <w:caps w:val="0"/>
          <w:color w:val="auto"/>
          <w:highlight w:val="none"/>
          <w:lang w:eastAsia="zh-CN"/>
        </w:rPr>
        <w:t xml:space="preserve">徐州市云龙区绿地商务城loft3栋1311室</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（三）联系方法：</w:t>
      </w:r>
      <w:r>
        <w:rPr>
          <w:rFonts w:hint="eastAsia" w:asciiTheme="minorEastAsia" w:hAnsiTheme="minorEastAsia" w:eastAsiaTheme="minorEastAsia" w:cstheme="minorEastAsia"/>
          <w:caps w:val="0"/>
          <w:color w:val="auto"/>
          <w:highlight w:val="none"/>
          <w:lang w:val="en-US" w:eastAsia="zh-CN"/>
        </w:rPr>
        <w:t xml:space="preserve">0516-83205675</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（四）采购项目联系人：</w:t>
      </w:r>
      <w:r>
        <w:rPr>
          <w:rFonts w:hint="eastAsia" w:asciiTheme="minorEastAsia" w:hAnsiTheme="minorEastAsia" w:eastAsiaTheme="minorEastAsia" w:cstheme="minorEastAsia"/>
          <w:caps w:val="0"/>
          <w:color w:val="auto"/>
          <w:highlight w:val="none"/>
          <w:lang w:val="en-US" w:eastAsia="zh-CN"/>
        </w:rPr>
        <w:t xml:space="preserve">孙梦</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rPr>
          <w:rFonts w:hint="eastAsia"/>
          <w:color w:val="auto"/>
          <w:highlight w:val="none"/>
        </w:rPr>
      </w:pPr>
      <w:r/>
      <w:bookmarkStart w:id="2" w:name="_Toc396"/>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9"/>
        <w:pageBreakBefore w:val="0"/>
        <w:spacing w:line="360" w:lineRule="auto"/>
        <w:rPr>
          <w:rFonts w:hint="eastAsia"/>
          <w:color w:val="auto"/>
          <w:highlight w:val="none"/>
        </w:rPr>
      </w:pPr>
      <w:r>
        <w:rPr>
          <w:rFonts w:hint="eastAsia"/>
          <w:color w:val="auto"/>
          <w:highlight w:val="none"/>
        </w:rPr>
        <w:t xml:space="preserve">第二章 投标人须知</w:t>
      </w:r>
      <w:bookmarkEnd w:id="2"/>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一、总则</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（一）采购人。采购人即指依法进行政府采购的国家机关、事业单位和团体组织。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（二）政府招标采购方式。政府采购货物或服务（以下简称“货物服务”）的招标方式，分为公开招标和邀请招标。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lang w:val="en-US" w:eastAsia="zh-CN"/>
        </w:rPr>
        <w:t xml:space="preserve">①</w:t>
      </w:r>
      <w:r>
        <w:rPr>
          <w:rFonts w:hint="eastAsia" w:asciiTheme="minorEastAsia" w:hAnsiTheme="minorEastAsia" w:eastAsiaTheme="minorEastAsia" w:cstheme="minorEastAsia"/>
          <w:caps w:val="0"/>
          <w:color w:val="auto"/>
          <w:highlight w:val="none"/>
        </w:rPr>
        <w:t xml:space="preserve">本项目应当履行促进绿色低碳循环发展，执行国家相关绿色标准，推动环保、节能、节水、循环、低碳、再生、有机等绿色产品和相关绿色服务、绿色基础设施应用的要求。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②若项目要求提供履约担保的，</w:t>
      </w:r>
      <w:r>
        <w:rPr>
          <w:rFonts w:hint="eastAsia" w:asciiTheme="minorEastAsia" w:hAnsiTheme="minorEastAsia" w:eastAsiaTheme="minorEastAsia" w:cstheme="minorEastAsia"/>
          <w:caps w:val="0"/>
          <w:color w:val="auto"/>
          <w:highlight w:val="none"/>
          <w:lang w:val="en-US" w:eastAsia="zh-CN"/>
        </w:rPr>
        <w:t xml:space="preserve">中标投标人</w:t>
      </w:r>
      <w:r>
        <w:rPr>
          <w:rFonts w:hint="eastAsia" w:asciiTheme="minorEastAsia" w:hAnsiTheme="minorEastAsia" w:eastAsiaTheme="minorEastAsia" w:cstheme="minorEastAsia"/>
          <w:caps w:val="0"/>
          <w:color w:val="auto"/>
          <w:highlight w:val="none"/>
        </w:rPr>
        <w:t xml:space="preserve">可以以履约保函(保险)形式代替提供履约保证金。</w:t>
      </w:r>
      <w:r>
        <w:rPr>
          <w:rFonts w:hint="eastAsia" w:asciiTheme="minorEastAsia" w:hAnsiTheme="minorEastAsia" w:eastAsiaTheme="minorEastAsia" w:cstheme="minorEastAsia"/>
          <w:caps w:val="0"/>
          <w:color w:val="auto"/>
          <w:highlight w:val="none"/>
          <w:lang w:val="en-US" w:eastAsia="zh-CN"/>
        </w:rPr>
        <w:t xml:space="preserve">投标人</w:t>
      </w:r>
      <w:r>
        <w:rPr>
          <w:rFonts w:hint="eastAsia" w:asciiTheme="minorEastAsia" w:hAnsiTheme="minorEastAsia" w:eastAsiaTheme="minorEastAsia" w:cstheme="minorEastAsia"/>
          <w:caps w:val="0"/>
          <w:color w:val="auto"/>
          <w:highlight w:val="none"/>
        </w:rPr>
        <w:t xml:space="preserve">可登录江苏政府采购网“资料下载”栏目 (网址:www.ccgp-jiangsugovcn/jiangsu/zlxz)下载“政府采购电子履约保函(保险)操作手册”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（五）采购人委托采购代理机构代理招标的，采购代理机构必须在采购人委托的范围内依法开展采购活动。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（六）投标人的资格条件：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参加“政府采购货物服务投标活动”的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（以下简称投标人），应当是能够提供本国货物服务的本国</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，但法律、行政法规规定的外国</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可以参加货物服务招标投标活动的除外。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投标人是指响应招标、参加投标竞争的法人、其他组织或者自然人。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投标人授权代表系指法定代表人或受法人委托的受托人。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（七）投标费用：投标人应承担所有与准备和参加投标有关的费用。无论投标的结果如何，采购代理机构对上述费用不承担任何责任和义务。</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二、招标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（八）招标文件应包括以下内容：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第一章，投标邀请；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第二章，投标人须知；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第三章，投标资料表；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第四章，评标标准；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第五章，拟签订的合同文本；</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第六章，采购需求；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第七章，投标文件相关格式。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（九）招标文件澄清或者修改：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现场考察以本文件第三章《投标资料表》中的要求为准。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开标前答疑会以本文件第三章《投标资料表》中的要求为准。</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三、投标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（十）投标人应当按照招标文件的要求编制投标文件。投标文件应对招标文件提出的要求和条件作出实质性响应。</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（十一）投标文件的语言。投标文件以及投标人与采购代理机构就有关投标的往来函电均应使用本文件第三章《投标资料表》规定的语言书写，否则无效。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（十二）投标文件的构成：</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投标文件的构成以本文件第三章《投标资料表》中的要求为准。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投标人应当提交的资格、资信证明文件，以本文件第三章《投标资料表》中的所提要求为准。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（十三）投标函和价格表、商务条件、交货和提供服务的时间：</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投标函和价格表的要求见本章（十二）、（十三），格式见本文件第七章《投标文件相关格式》中《投标函》和《开标一览表》。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商务条件以本文件第三章《投标资料表》中的要求为准。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交货和提供服务的时间，以本文件第三章《投标资料表》中所提要求为准。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（十四）投标报价要求：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投标人应按照招标文件的要求报出分项价格和总价。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投标人应按照招标文件的要求进行报价，如投标人作出偏离，应在《偏离表》中列出。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采购人不支付报价以外的任何费用。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投标人只能提交一个投标价格，投标人提交多个价格的投标文件，在资格性、符合性检查时按照无效投标处理。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（十五）投标货币。以本文件第三章《投标资料表》中所提要求为准。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（十六）投标有效期：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投标有效期为开标之日后90天。采购人可以要求对投标有效期延长一次，但该延长期最长不得超过30天。</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如果采购人发出要求延长投标有效期的通知，并在投标有效期届满前，没有收到投标人同意的书面通知，则视为该投标人不接受上述延期的要求。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（十七）投标文件的编制要求和签署要求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（2）投标人应对 CA 证书妥善保管，如被他人盗用投标，因此带来的结果均由投标人自行承担。</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（3）投标人应当对招标文件提出的要求和条件作出实质性响应，并在电子投标系统逐条应答。</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（4）投标人应对要求提供的资格证明文件（如资质证书、资格证书）、技术资料（如白皮书、彩页、手册、检测报告等）扫描上传至投标系统。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（十八）投标文件的盖章要求：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投标文件的盖章要求，以本文件第三章《投标资料表》中所提要求为准。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（二十二）本项目不允许</w:t>
      </w:r>
      <w:r>
        <w:rPr>
          <w:rFonts w:hint="eastAsia" w:asciiTheme="minorEastAsia" w:hAnsiTheme="minorEastAsia" w:eastAsiaTheme="minorEastAsia" w:cstheme="minorEastAsia"/>
          <w:caps w:val="0"/>
          <w:color w:val="auto"/>
          <w:highlight w:val="none"/>
          <w:lang w:val="en-US" w:eastAsia="zh-CN"/>
        </w:rPr>
        <w:t xml:space="preserve">联合体投标</w:t>
      </w:r>
      <w:r>
        <w:rPr>
          <w:rFonts w:hint="eastAsia" w:asciiTheme="minorEastAsia" w:hAnsiTheme="minorEastAsia" w:eastAsiaTheme="minorEastAsia" w:cstheme="minorEastAsia"/>
          <w:caps w:val="0"/>
          <w:color w:val="auto"/>
          <w:highlight w:val="none"/>
        </w:rPr>
        <w:t xml:space="preserve">。</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（二十三）投标人应当遵循公平竞争的原则，不得恶意串通，不得妨碍其他投标人的竞争行为，不得损害采购人或者其他投标人的合法权益。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在评标过程中发现投标人有上述情形的，评标委员会应当认定其投标无效，并书面报告本级财政部门。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（二十四）有下列情形之一的，其投标无效。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不同投标人的投标文件，由同一单位或者个人编制；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不同投标人委托同一单位或者个人办理投标事宜；</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不同投标人的投标文件中，所载明的项目管理成员或联系人为同一人；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不同投标人的投标文件，异常一致或者投标报价呈规律性差异；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6. 电子投标文件未按规定期限投标的；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7. 电子投标文件未按招标文件要求签章的；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8. 投标人未在规定时间内解密电子投标文件的；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9. 投标文件未按招标文件规定的内容和要求填写的；没有在投标系统指定位置上传对应文件、材料的；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10. 不具备招标文件中规定的资格要求的；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11. 报价超过招标文件中规定的预算金额或者最高限价的；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12. 投标文件含有采购人不能接受的附加条件的；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13. 法律、法规和招标文件规定的其他无效情形。</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四、开标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（二十五）开标：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开标时间及地点。开标应当在招标文件确定的提交投标文件截止时间的同一时间公开进行；开标地点应当为招标文件中预先确定的地点。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由电子招标投标交易平台主持，邀请投标人参加。</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所有投标单位使用 CA 证书在开标时间时，解密各自投标文件，由工作人员操作系统进行开标，投标人不足3家的，不得评标。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（二十六）公开招标采购项目开标结束后，采购人依法对投标人的资格进行审查。合格投标人不足3家的，不得评标。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评标工作由采购代理机构负责组织，并履行下列职责：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（1）核对评审专家身份和采购人代表授权函，对评审专家在政府采购活动中的职责履行情况予以记录，并及时将有关违法违规行为向财政部门报告；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（2）宣布评标纪律；</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（3）公布投标人名单，告知评审专家应当回避的情形；</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（4）组织评标委员会推选评标组长（采购人代表不得担任组长）；</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（5）在评标期间采取必要的通讯管理措施，保证评标活动不受外界干扰；</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（6）根据评标委员会的要求介绍政府采购相关政策法规、招标文件；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（9）评审工作完成后，按照规定向评审专家支付劳务报酬和异地评审差旅费，不得向评审专家以外的其他人员支付评审劳务报酬； </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（10）处理与评标有关的其他事项。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评标委员会负责具体评标事务，并独立履行下列职责：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（1）审查、评价投标文件是否符合招标文件的商务、技术等实质性要求；</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（2）要求投标人对投标文件有关事项作出澄清或者说明；</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（3）对投标文件进行比较和评价；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（4）确定中标候选人名单，以及根据采购人委托直接确定中标人；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（5）向采购人、采购代理机构或有关部门报告评标中发现的违法行为。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（二十七）评标方法分为最低评标价法和综合评分法。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（二十八）评标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评标工作程序：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（1）投标文件初审。</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①资格性审查。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②符合性审查。</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（2）澄清有关问题。</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（3）比较与评价。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（4）推荐中标候选</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名单。</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（5）编写评审报告（评标报告）。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非单一产品采购项目，多家投标人提供的核心产品品牌相同的，按前两款规定处理。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（二十九）投标文件报价出现前后不一致的，按照下列规定修正：</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投标文件中开标一览表（报价表）内容与投标文件中相应内容不一致的，以开标一览表（报价表）为准；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大写金额和小写金额不一致的，以大写金额为准；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单价金额小数点或者百分比有明显错位的，以开标一览表的总价为准，并修改单价；</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总价金额与按单价合计金额不一致的，以单价金额计算结果为准。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评标中需要投标人对投标文件澄清或者说明的，应当通过“苏采云”系统交换数据电文。在评标期间，请投标人保持在线。</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（三十二）废标条款：</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出现下列情形之一的，应予废标。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符合专业条件的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或者对招标文件作实质响应的</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不足三家的；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出现影响采购公正的违法、违规行为的；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投标人的报价均超过了采购预算，采购人不能支付的；</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因重大变故，采购任务取消的。</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六、定标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（三十三）采购代理机构应当在评标结束后2个工作日内将评标报告送采购人。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（三十四）采购人应当自收到评标报告之日起5个工作日内，在评标报告确定的中标候选人名单中按顺序确定中标人。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七、政府采购合同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（三十六）签订政府采购合同（合同签订方式）：</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采购人不得向中标人提出任何不合理的要求作为签订合同的条件。</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中标或者中标</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拒绝与采购人签订合同的，采购人可以按照评审报告推荐的中标或者中标候选人名单排序，确定下一个候选人为中标或者中标</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，也可以重新开展政府采购活动。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（三十八）腐败和欺诈行为：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采购代理机构、采购人、投标人等参与招投标的各方，均应在招标、采购、合同执行等过程中保持廉洁和最高的道德水准。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（1）腐败和欺诈行为的含义：</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（2）如果被推荐的中标人有腐败和欺诈行为，将取消其中标资格。</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（3）如果投标人在任何时候，被法院及政府有关管理部门认定为有腐败和欺诈行为，采购代理机构有权拒绝其投标、取消其中标资格和撤销其已签署的合同。</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八、询问和质疑</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（四十）询问和质疑</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对政府采购活动事项有疑问的，向采购代理机构提出询问；</w:t>
      </w:r>
      <w:r>
        <w:rPr>
          <w:rFonts w:hint="eastAsia" w:asciiTheme="minorEastAsia" w:hAnsiTheme="minorEastAsia" w:eastAsiaTheme="minorEastAsia" w:cstheme="minorEastAsia"/>
          <w:caps w:val="0"/>
          <w:color w:val="auto"/>
          <w:highlight w:val="none"/>
          <w:lang w:eastAsia="zh-CN"/>
        </w:rPr>
        <w:t xml:space="preserve">投标人</w:t>
      </w:r>
      <w:r>
        <w:rPr>
          <w:rFonts w:hint="eastAsia" w:asciiTheme="minorEastAsia" w:hAnsiTheme="minorEastAsia" w:eastAsiaTheme="minorEastAsia" w:cstheme="minorEastAsia"/>
          <w:caps w:val="0"/>
          <w:color w:val="auto"/>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10"/>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九、电子招标投标交易平台</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（四十一）电子招标投标交易平台（即“苏采云”系统，网址：http://jszfcg. jsczt. cn/）相关要求是本招标文件的组成部分。</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bookmarkStart w:id="3" w:name="_Toc16411"/>
      <w:r>
        <w:rPr>
          <w:rFonts w:hint="eastAsia" w:asciiTheme="minorEastAsia" w:hAnsiTheme="minorEastAsia" w:eastAsiaTheme="minorEastAsia" w:cstheme="minorEastAsia"/>
          <w:color w:val="auto"/>
          <w:highlight w:val="none"/>
        </w:rPr>
        <w:t xml:space="preserve">第三章 投标资料表</w:t>
      </w:r>
      <w:bookmarkEnd w:id="3"/>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8"/>
        <w:tblW w:w="970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8004"/>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caps w:val="0"/>
                <w:color w:val="auto"/>
                <w:sz w:val="24"/>
                <w:highlight w:val="none"/>
              </w:rPr>
            </w:pPr>
            <w:r>
              <w:rPr>
                <w:rFonts w:hint="eastAsia" w:asciiTheme="minorEastAsia" w:hAnsiTheme="minorEastAsia" w:eastAsiaTheme="minorEastAsia" w:cstheme="minorEastAsia"/>
                <w:b/>
                <w:caps w:val="0"/>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caps w:val="0"/>
                <w:color w:val="auto"/>
                <w:sz w:val="24"/>
                <w:highlight w:val="none"/>
              </w:rPr>
            </w:pPr>
            <w:r>
              <w:rPr>
                <w:rFonts w:hint="eastAsia" w:asciiTheme="minorEastAsia" w:hAnsiTheme="minorEastAsia" w:eastAsiaTheme="minorEastAsia" w:cstheme="minorEastAsia"/>
                <w:b/>
                <w:caps w:val="0"/>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本项目采购人：</w:t>
            </w:r>
            <w:r>
              <w:rPr>
                <w:rFonts w:hint="eastAsia" w:asciiTheme="minorEastAsia" w:hAnsiTheme="minorEastAsia" w:eastAsiaTheme="minorEastAsia" w:cstheme="minorEastAsia"/>
                <w:caps w:val="0"/>
                <w:color w:val="auto"/>
                <w:sz w:val="24"/>
                <w:highlight w:val="none"/>
                <w:lang w:eastAsia="zh-CN"/>
              </w:rPr>
              <w:t xml:space="preserve">沛县人民医院</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本项目采购代理机构：</w:t>
            </w:r>
            <w:r>
              <w:rPr>
                <w:rFonts w:hint="eastAsia" w:asciiTheme="minorEastAsia" w:hAnsiTheme="minorEastAsia" w:eastAsiaTheme="minorEastAsia" w:cstheme="minorEastAsia"/>
                <w:caps w:val="0"/>
                <w:color w:val="auto"/>
                <w:sz w:val="24"/>
                <w:highlight w:val="none"/>
                <w:lang w:eastAsia="zh-CN"/>
              </w:rPr>
              <w:t xml:space="preserve">江苏沛源工程项目管理有限公司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投标人的资格条件：</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一、符合《中华人民共和国政府采购法》第二十二条的规定；</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w:t>
            </w:r>
            <w:r>
              <w:rPr>
                <w:rFonts w:hint="eastAsia" w:asciiTheme="minorEastAsia" w:hAnsiTheme="minorEastAsia" w:eastAsiaTheme="minorEastAsia" w:cstheme="minorEastAsia"/>
                <w:b/>
                <w:bCs/>
                <w:caps w:val="0"/>
                <w:color w:val="auto"/>
                <w:sz w:val="24"/>
                <w:highlight w:val="none"/>
                <w:lang w:eastAsia="zh-CN"/>
              </w:rPr>
              <w:t xml:space="preserve">本</w:t>
            </w:r>
            <w:r>
              <w:rPr>
                <w:rFonts w:hint="eastAsia" w:asciiTheme="minorEastAsia" w:hAnsiTheme="minorEastAsia" w:eastAsiaTheme="minorEastAsia" w:cstheme="minorEastAsia"/>
                <w:b/>
                <w:bCs/>
                <w:caps w:val="0"/>
                <w:color w:val="auto"/>
                <w:sz w:val="24"/>
                <w:highlight w:val="none"/>
              </w:rPr>
              <w:t xml:space="preserve">项目属于专门面向中小微企业采购的项目</w:t>
            </w:r>
            <w:r>
              <w:rPr>
                <w:rFonts w:hint="eastAsia" w:asciiTheme="minorEastAsia" w:hAnsiTheme="minorEastAsia" w:eastAsiaTheme="minorEastAsia" w:cstheme="minorEastAsia"/>
                <w:b/>
                <w:bCs/>
                <w:caps w:val="0"/>
                <w:color w:val="auto"/>
                <w:sz w:val="24"/>
                <w:highlight w:val="none"/>
                <w:lang w:eastAsia="zh-CN"/>
              </w:rPr>
              <w:t xml:space="preserve">，</w:t>
            </w:r>
            <w:r>
              <w:rPr>
                <w:rFonts w:hint="eastAsia" w:asciiTheme="minorEastAsia" w:hAnsiTheme="minorEastAsia" w:eastAsiaTheme="minorEastAsia" w:cstheme="minorEastAsia"/>
                <w:b/>
                <w:bCs/>
                <w:caps w:val="0"/>
                <w:color w:val="auto"/>
                <w:sz w:val="24"/>
                <w:highlight w:val="none"/>
                <w:lang w:val="en-US" w:eastAsia="zh-CN"/>
              </w:rPr>
              <w:t xml:space="preserve">投标人</w:t>
            </w:r>
            <w:r>
              <w:rPr>
                <w:rFonts w:hint="eastAsia" w:asciiTheme="minorEastAsia" w:hAnsiTheme="minorEastAsia" w:eastAsiaTheme="minorEastAsia" w:cstheme="minorEastAsia"/>
                <w:b/>
                <w:bCs/>
                <w:caps w:val="0"/>
                <w:color w:val="auto"/>
                <w:sz w:val="24"/>
                <w:highlight w:val="none"/>
                <w:lang w:eastAsia="zh-CN"/>
              </w:rPr>
              <w:t xml:space="preserve">应为中小微企业、监狱企业、残疾人福利性单位。</w:t>
            </w:r>
            <w:r/>
          </w:p>
          <w:p>
            <w:pPr>
              <w:ind w:left="0" w:right="0" w:firstLine="0"/>
              <w:jc w:val="left"/>
              <w:keepLines w:val="0"/>
              <w:keepNext w:val="0"/>
              <w:spacing w:before="0" w:beforeAutospacing="0" w:after="0" w:afterAutospacing="0" w:line="360" w:lineRule="auto"/>
              <w:widowControl/>
              <w:rPr>
                <w:rFonts w:hint="default" w:ascii="宋体" w:hAnsi="宋体" w:eastAsia="仿宋" w:cs="宋体"/>
                <w:bCs/>
                <w:color w:val="auto"/>
                <w:szCs w:val="20"/>
                <w:highlight w:val="none"/>
              </w:rPr>
              <w:suppressLineNumbers w:val="0"/>
            </w:pPr>
            <w:r>
              <w:rPr>
                <w:rFonts w:hint="eastAsia" w:asciiTheme="minorEastAsia" w:hAnsiTheme="minorEastAsia" w:eastAsiaTheme="minorEastAsia" w:cstheme="minorEastAsia"/>
                <w:b/>
                <w:bCs/>
                <w:caps w:val="0"/>
                <w:color w:val="auto"/>
                <w:sz w:val="24"/>
                <w:szCs w:val="24"/>
                <w:highlight w:val="none"/>
              </w:rPr>
              <w:t xml:space="preserve">三、本项目特定资格条件：</w:t>
            </w:r>
            <w:r>
              <w:rPr>
                <w:rFonts w:hint="eastAsia" w:ascii="宋体" w:hAnsi="宋体" w:cs="宋体" w:eastAsiaTheme="minorEastAsia"/>
                <w:bCs/>
                <w:color w:val="auto"/>
                <w:sz w:val="24"/>
                <w:szCs w:val="20"/>
                <w:highlight w:val="none"/>
                <w:lang w:val="en-US" w:eastAsia="zh-CN" w:bidi="ar"/>
              </w:rPr>
              <w:t xml:space="preserve">无</w:t>
            </w:r>
            <w:r>
              <w:rPr>
                <w:rFonts w:hint="eastAsia" w:ascii="宋体" w:hAnsi="宋体" w:cs="宋体"/>
                <w:bCs/>
                <w:color w:val="auto"/>
                <w:sz w:val="24"/>
                <w:szCs w:val="20"/>
                <w:highlight w:val="none"/>
                <w:lang w:val="en-US" w:eastAsia="zh-CN" w:bidi="ar"/>
              </w:rPr>
              <w:t xml:space="preserve">。</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同时明确相关事项如下：</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一、本项目不接受联合体参与采购活动。</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二、单位负责人为同一人或者存在直接控股、管理关系的不同</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，不得参加同一合同项下的政府采购活动。</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三、为本采购项目提供整体设计、规范编制或者项目管理、监理、检测等服务的</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，不得再参加本采购项目的采购活动。</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四、查询及使用</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信用记录：</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(一)由采购人查询信用信息。</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(二)查询渠道包括：</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1.“信用中国”网（</w:t>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"http://www.creditchina.gov.cn/"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4"/>
                <w:highlight w:val="none"/>
              </w:rPr>
              <w:t xml:space="preserve">www.creditchina.gov.cn</w:t>
            </w:r>
            <w:r>
              <w:rPr>
                <w:rFonts w:hint="eastAsia" w:asciiTheme="minorEastAsia" w:hAnsiTheme="minorEastAsia" w:eastAsiaTheme="minorEastAsia" w:cstheme="minorEastAsia"/>
                <w:caps w:val="0"/>
                <w:color w:val="auto"/>
                <w:sz w:val="24"/>
                <w:highlight w:val="none"/>
              </w:rPr>
              <w:fldChar w:fldCharType="end"/>
            </w:r>
            <w:r>
              <w:rPr>
                <w:rFonts w:hint="eastAsia" w:asciiTheme="minorEastAsia" w:hAnsiTheme="minorEastAsia" w:eastAsiaTheme="minorEastAsia" w:cstheme="minorEastAsia"/>
                <w:caps w:val="0"/>
                <w:color w:val="auto"/>
                <w:sz w:val="24"/>
                <w:highlight w:val="none"/>
              </w:rPr>
              <w:t xml:space="preserve">）；</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中国政府采购网（</w:t>
            </w:r>
            <w:r>
              <w:rPr>
                <w:rFonts w:hint="eastAsia" w:asciiTheme="minorEastAsia" w:hAnsiTheme="minorEastAsia" w:eastAsiaTheme="minorEastAsia" w:cstheme="minorEastAsia"/>
                <w:caps w:val="0"/>
                <w:color w:val="auto"/>
                <w:highlight w:val="none"/>
              </w:rPr>
              <w:fldChar w:fldCharType="begin"/>
            </w:r>
            <w:r>
              <w:rPr>
                <w:rFonts w:hint="eastAsia" w:asciiTheme="minorEastAsia" w:hAnsiTheme="minorEastAsia" w:eastAsiaTheme="minorEastAsia" w:cstheme="minorEastAsia"/>
                <w:caps w:val="0"/>
                <w:color w:val="auto"/>
                <w:highlight w:val="none"/>
              </w:rPr>
              <w:instrText xml:space="preserve"> HYPERLINK "http://www.ccgp.gov.cn/" </w:instrText>
            </w:r>
            <w:r>
              <w:rPr>
                <w:rFonts w:hint="eastAsia" w:asciiTheme="minorEastAsia" w:hAnsiTheme="minorEastAsia" w:eastAsiaTheme="minorEastAsia" w:cstheme="minorEastAsia"/>
                <w:caps w:val="0"/>
                <w:color w:val="auto"/>
                <w:highlight w:val="none"/>
              </w:rPr>
              <w:fldChar w:fldCharType="separate"/>
            </w:r>
            <w:r>
              <w:rPr>
                <w:rFonts w:hint="eastAsia" w:asciiTheme="minorEastAsia" w:hAnsiTheme="minorEastAsia" w:eastAsiaTheme="minorEastAsia" w:cstheme="minorEastAsia"/>
                <w:caps w:val="0"/>
                <w:color w:val="auto"/>
                <w:sz w:val="24"/>
                <w:highlight w:val="none"/>
              </w:rPr>
              <w:t xml:space="preserve">www.ccgp.gov.cn</w:t>
            </w:r>
            <w:r>
              <w:rPr>
                <w:rFonts w:hint="eastAsia" w:asciiTheme="minorEastAsia" w:hAnsiTheme="minorEastAsia" w:eastAsiaTheme="minorEastAsia" w:cstheme="minorEastAsia"/>
                <w:caps w:val="0"/>
                <w:color w:val="auto"/>
                <w:sz w:val="24"/>
                <w:highlight w:val="none"/>
              </w:rPr>
              <w:fldChar w:fldCharType="end"/>
            </w:r>
            <w:r>
              <w:rPr>
                <w:rFonts w:hint="eastAsia" w:asciiTheme="minorEastAsia" w:hAnsiTheme="minorEastAsia" w:eastAsiaTheme="minorEastAsia" w:cstheme="minorEastAsia"/>
                <w:caps w:val="0"/>
                <w:color w:val="auto"/>
                <w:sz w:val="24"/>
                <w:highlight w:val="none"/>
              </w:rPr>
              <w:t xml:space="preserve">）；</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3.“诚信江苏”网（www.jiangsu.gov.cn/jsxy/index.htm）或“信用江苏”网（http://credit.jiangsu.gov.cn/）；</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4.“诚信徐州”网（http://www.xuzhoucredit.gov.cn）或“信用徐州”网（www.xuzhoucredit.gov.cn/）；</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(三)截止时点（查询环节）：资格审查结束前。</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(四)信用信息查询记录和证据留存的具体方式：网页截屏打印，与其他采购文件一并保存。</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(五)信用信息的使用规则：</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采购人对</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tabs>
                <w:tab w:val="left" w:pos="5760" w:leader="none"/>
              </w:tabs>
              <w:rPr>
                <w:rFonts w:hint="default" w:asciiTheme="minorEastAsia" w:hAnsiTheme="minorEastAsia" w:eastAsiaTheme="minorEastAsia" w:cstheme="minorEastAsia"/>
                <w:caps w:val="0"/>
                <w:color w:val="auto"/>
                <w:sz w:val="24"/>
                <w:highlight w:val="none"/>
              </w:rPr>
            </w:pPr>
            <w:r>
              <w:rPr>
                <w:rFonts w:hint="eastAsia" w:ascii="宋体" w:hAnsi="宋体" w:eastAsia="宋体" w:cs="宋体"/>
                <w:b/>
                <w:bCs/>
                <w:color w:val="auto"/>
                <w:sz w:val="24"/>
                <w:szCs w:val="24"/>
                <w:highlight w:val="none"/>
                <w:lang w:eastAsia="zh-CN"/>
              </w:rPr>
              <w:t xml:space="preserve">现场考察：</w:t>
            </w:r>
            <w:r>
              <w:rPr>
                <w:rFonts w:hint="eastAsia" w:eastAsia="宋体"/>
                <w:b/>
                <w:bCs/>
                <w:color w:val="auto"/>
                <w:sz w:val="24"/>
                <w:szCs w:val="24"/>
                <w:highlight w:val="none"/>
                <w:lang w:eastAsia="zh-CN"/>
              </w:rPr>
              <w:t xml:space="preserve">供应商在投标过程中，由招标人统一组织踏勘项目场区，确定场区内现有设备设施的基本情况，</w:t>
            </w:r>
            <w:r>
              <w:rPr>
                <w:rFonts w:hint="eastAsia" w:ascii="Times New Roman" w:eastAsia="宋体"/>
                <w:b/>
                <w:bCs/>
                <w:color w:val="auto"/>
                <w:sz w:val="24"/>
                <w:szCs w:val="24"/>
                <w:highlight w:val="none"/>
                <w:lang w:val="en-US" w:eastAsia="zh-CN"/>
              </w:rPr>
              <w:t xml:space="preserve">因考察所产生的各项费用由投标人自行承担，如投标人未参与由</w:t>
            </w:r>
            <w:r>
              <w:rPr>
                <w:rFonts w:hint="eastAsia" w:eastAsia="宋体"/>
                <w:b/>
                <w:bCs/>
                <w:color w:val="auto"/>
                <w:sz w:val="24"/>
                <w:szCs w:val="24"/>
                <w:highlight w:val="none"/>
                <w:lang w:eastAsia="zh-CN"/>
              </w:rPr>
              <w:t xml:space="preserve">招标人统一组织踏勘项目场区</w:t>
            </w:r>
            <w:r>
              <w:rPr>
                <w:rFonts w:hint="eastAsia" w:ascii="Times New Roman" w:eastAsia="宋体"/>
                <w:b/>
                <w:bCs/>
                <w:color w:val="auto"/>
                <w:sz w:val="24"/>
                <w:szCs w:val="24"/>
                <w:highlight w:val="none"/>
                <w:lang w:val="en-US" w:eastAsia="zh-CN"/>
              </w:rPr>
              <w:t xml:space="preserve">考察，将</w:t>
            </w:r>
            <w:r>
              <w:rPr>
                <w:rFonts w:hint="eastAsia" w:eastAsia="宋体"/>
                <w:b/>
                <w:bCs/>
                <w:color w:val="auto"/>
                <w:sz w:val="24"/>
                <w:szCs w:val="24"/>
                <w:highlight w:val="none"/>
                <w:lang w:eastAsia="zh-CN"/>
              </w:rPr>
              <w:t xml:space="preserve">承担因自身踏勘不充分而造成的所有风险和费用增加，</w:t>
            </w:r>
            <w:r>
              <w:rPr>
                <w:rFonts w:hint="eastAsia" w:ascii="Times New Roman" w:eastAsia="宋体"/>
                <w:b/>
                <w:bCs/>
                <w:color w:val="auto"/>
                <w:sz w:val="24"/>
                <w:szCs w:val="24"/>
                <w:highlight w:val="none"/>
                <w:lang w:val="en-US" w:eastAsia="zh-CN"/>
              </w:rPr>
              <w:t xml:space="preserve">并视同认可</w:t>
            </w:r>
            <w:r>
              <w:rPr>
                <w:rFonts w:hint="eastAsia" w:eastAsia="宋体"/>
                <w:b/>
                <w:bCs/>
                <w:color w:val="auto"/>
                <w:sz w:val="24"/>
                <w:szCs w:val="24"/>
                <w:highlight w:val="none"/>
                <w:lang w:eastAsia="zh-CN"/>
              </w:rPr>
              <w:t xml:space="preserve">踏勘</w:t>
            </w:r>
            <w:r>
              <w:rPr>
                <w:rFonts w:hint="eastAsia" w:ascii="Times New Roman" w:eastAsia="宋体"/>
                <w:b/>
                <w:bCs/>
                <w:color w:val="auto"/>
                <w:sz w:val="24"/>
                <w:szCs w:val="24"/>
                <w:highlight w:val="none"/>
                <w:lang w:val="en-US" w:eastAsia="zh-CN"/>
              </w:rPr>
              <w:t xml:space="preserve">现场考察结果。</w:t>
            </w:r>
            <w:r>
              <w:rPr>
                <w:rFonts w:hint="eastAsia" w:ascii="宋体" w:hAnsi="宋体" w:eastAsia="宋体" w:cs="宋体"/>
                <w:b/>
                <w:bCs/>
                <w:color w:val="auto"/>
                <w:sz w:val="24"/>
                <w:szCs w:val="24"/>
                <w:highlight w:val="none"/>
                <w:lang w:eastAsia="zh-CN"/>
              </w:rPr>
              <w:t xml:space="preserve">现场考察</w:t>
            </w:r>
            <w:r>
              <w:rPr>
                <w:rFonts w:hint="eastAsia" w:ascii="Times New Roman" w:eastAsia="宋体"/>
                <w:b/>
                <w:bCs/>
                <w:color w:val="auto"/>
                <w:sz w:val="24"/>
                <w:szCs w:val="24"/>
                <w:highlight w:val="none"/>
                <w:lang w:val="en-US" w:eastAsia="zh-CN"/>
              </w:rPr>
              <w:t xml:space="preserve">时间：2024年12月9日上午8：00-下午5：00。</w:t>
            </w:r>
            <w:r>
              <w:rPr>
                <w:rFonts w:hint="eastAsia"/>
                <w:b/>
                <w:bCs/>
                <w:color w:val="auto"/>
                <w:sz w:val="24"/>
                <w:szCs w:val="24"/>
                <w:highlight w:val="none"/>
                <w:lang w:val="en-US" w:eastAsia="zh-CN"/>
              </w:rPr>
              <w:t xml:space="preserve">联系人：朱科长，联系电话：13775818300</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(十二)1</w:t>
            </w:r>
            <w:r/>
          </w:p>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线上投标文件编制要求：</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请按照以下要求（包括但不限于以下要求）制作：</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一、基本目录</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w:t>
            </w:r>
            <w:r>
              <w:rPr>
                <w:rFonts w:hint="eastAsia" w:asciiTheme="minorEastAsia" w:hAnsiTheme="minorEastAsia" w:eastAsiaTheme="minorEastAsia" w:cstheme="minorEastAsia"/>
                <w:caps w:val="0"/>
                <w:color w:val="auto"/>
                <w:sz w:val="24"/>
                <w:highlight w:val="none"/>
              </w:rPr>
              <w:t xml:space="preserve">《开标一览表》（加盖电子签章，政府采购客户端工具输入报价自动生成）。</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二、资格条件（1～</w:t>
            </w:r>
            <w:r>
              <w:rPr>
                <w:rFonts w:hint="eastAsia" w:asciiTheme="minorEastAsia" w:hAnsiTheme="minorEastAsia" w:eastAsiaTheme="minorEastAsia" w:cstheme="minorEastAsia"/>
                <w:b/>
                <w:bCs/>
                <w:caps w:val="0"/>
                <w:color w:val="auto"/>
                <w:sz w:val="24"/>
                <w:highlight w:val="none"/>
                <w:lang w:val="en-US" w:eastAsia="zh-CN"/>
              </w:rPr>
              <w:t xml:space="preserve">6</w:t>
            </w:r>
            <w:r>
              <w:rPr>
                <w:rFonts w:hint="eastAsia" w:asciiTheme="minorEastAsia" w:hAnsiTheme="minorEastAsia" w:eastAsiaTheme="minorEastAsia" w:cstheme="minorEastAsia"/>
                <w:b/>
                <w:bCs/>
                <w:caps w:val="0"/>
                <w:color w:val="auto"/>
                <w:sz w:val="24"/>
                <w:highlight w:val="none"/>
              </w:rPr>
              <w:t xml:space="preserve">项必须提供</w:t>
            </w:r>
            <w:r>
              <w:rPr>
                <w:rFonts w:hint="eastAsia" w:asciiTheme="minorEastAsia" w:hAnsiTheme="minorEastAsia" w:eastAsiaTheme="minorEastAsia" w:cstheme="minorEastAsia"/>
                <w:b/>
                <w:bCs/>
                <w:caps w:val="0"/>
                <w:color w:val="auto"/>
                <w:sz w:val="24"/>
                <w:highlight w:val="none"/>
                <w:lang w:val="en-US" w:eastAsia="zh-CN"/>
              </w:rPr>
              <w:t xml:space="preserve">原件的扫描件</w:t>
            </w:r>
            <w:r>
              <w:rPr>
                <w:rFonts w:hint="eastAsia" w:asciiTheme="minorEastAsia" w:hAnsiTheme="minorEastAsia" w:eastAsiaTheme="minorEastAsia" w:cstheme="minorEastAsia"/>
                <w:b/>
                <w:bCs/>
                <w:caps w:val="0"/>
                <w:color w:val="auto"/>
                <w:sz w:val="24"/>
                <w:highlight w:val="none"/>
              </w:rPr>
              <w:t xml:space="preserve">，否则响应无效）</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1.投标人合法有效的法人或者其他组织的营业执照等证明文件，自然人的身份证明，以上证明文件提供原件的扫描件。</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财务状况报告（即提供投标人的本项目开标时间前6个月内任何1个月（不含开标当月）的资产负债表、利润表各一份或提供投标人上年度财务报告或投标人的本项目开标时间前6个月内银行出具的资信证明原件的扫描件）；</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3.投标人的本项目开标时间前6个月内任何1个月（不含开标当月）的依法缴纳税收和社会保障资金的相关材料原件的扫描件（依法免税或不需要缴纳社会保障资金的投标人,提供相应文件证明其依法免税或不需要缴纳社会保障资金)；</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4.具备履行合同所必需的设备和专业技术能力的证明材料；投标文件中提供《具备履行合同所必需的设备和专业技术能力的书面声明（附证明材料原件的扫描件）》（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p>
          <w:p>
            <w:pPr>
              <w:numPr>
                <w:ilvl w:val="0"/>
                <w:numId w:val="0"/>
              </w:numPr>
              <w:ind w:firstLine="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6.投标人为中小企业（含中型、小型、微型企业，下同）的，提供《中小企业声明函》（加盖电子签章，填写完整。格式见招标文件第七章《投标文件相关格式》）。《中小企业声明函》查询渠道参考工业和信息化部发布的中小企业规模自测小程序。</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三、符合条件（必须提供，否则投标无效）</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(一)报价</w:t>
            </w:r>
            <w:r/>
          </w:p>
          <w:p>
            <w:pPr>
              <w:pStyle w:val="865"/>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1.《开标一览表》（加盖电子签章，格式见招标文件第七章《投标文件相关格式》。）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2.《分项价格表》（加盖电子签章，格式见招标文件第七章《投标文件相关格式》。）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（二）商务资信</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1.《投标函》（加盖电子签章，格式见招标文件第七章《投标文件相关格式》。）</w:t>
            </w:r>
            <w:r/>
          </w:p>
          <w:p>
            <w:pPr>
              <w:pStyle w:val="865"/>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865"/>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3.</w:t>
            </w:r>
            <w:r>
              <w:rPr>
                <w:rFonts w:hint="eastAsia" w:asciiTheme="minorEastAsia" w:hAnsiTheme="minorEastAsia" w:eastAsiaTheme="minorEastAsia" w:cstheme="minorEastAsia"/>
                <w:caps w:val="0"/>
                <w:color w:val="auto"/>
                <w:sz w:val="24"/>
                <w:highlight w:val="none"/>
              </w:rPr>
              <w:t xml:space="preserve">《</w:t>
            </w:r>
            <w:r>
              <w:rPr>
                <w:rFonts w:hint="eastAsia" w:asciiTheme="minorEastAsia" w:hAnsiTheme="minorEastAsia" w:eastAsiaTheme="minorEastAsia" w:cstheme="minorEastAsia"/>
                <w:caps w:val="0"/>
                <w:color w:val="auto"/>
                <w:sz w:val="24"/>
                <w:highlight w:val="none"/>
                <w:lang w:val="en-US" w:eastAsia="zh-CN"/>
              </w:rPr>
              <w:t xml:space="preserve">投标人承诺</w:t>
            </w:r>
            <w:r>
              <w:rPr>
                <w:rFonts w:hint="eastAsia" w:asciiTheme="minorEastAsia" w:hAnsiTheme="minorEastAsia" w:eastAsiaTheme="minorEastAsia" w:cstheme="minorEastAsia"/>
                <w:caps w:val="0"/>
                <w:color w:val="auto"/>
                <w:sz w:val="24"/>
                <w:highlight w:val="none"/>
              </w:rPr>
              <w:t xml:space="preserve">》（加盖电子签章，格式见招标文件第七章《投标文件相关格式》。）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szCs w:val="18"/>
                <w:highlight w:val="none"/>
              </w:rPr>
            </w:pPr>
            <w:r>
              <w:rPr>
                <w:rFonts w:hint="eastAsia" w:asciiTheme="minorEastAsia" w:hAnsiTheme="minorEastAsia" w:eastAsiaTheme="minorEastAsia" w:cstheme="minorEastAsia"/>
                <w:caps w:val="0"/>
                <w:color w:val="auto"/>
                <w:sz w:val="24"/>
                <w:szCs w:val="18"/>
                <w:highlight w:val="none"/>
                <w:lang w:val="en-US" w:eastAsia="zh-CN" w:bidi="ar-SA"/>
              </w:rPr>
              <w:t xml:space="preserve">（三）技术响应</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1.《偏离表》（加盖电子签章，格式见招标文件第七章《投标文件相关格式》。）</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四、综合评审评分项</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（一）技术部分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详</w:t>
            </w:r>
            <w:r>
              <w:rPr>
                <w:rFonts w:hint="eastAsia" w:asciiTheme="minorEastAsia" w:hAnsiTheme="minorEastAsia" w:eastAsiaTheme="minorEastAsia" w:cstheme="minorEastAsia"/>
                <w:caps w:val="0"/>
                <w:color w:val="auto"/>
                <w:sz w:val="24"/>
                <w:highlight w:val="none"/>
              </w:rPr>
              <w:t xml:space="preserve">见本文件第六章《采购需求》及第四章《评标标准》。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（二）商务部分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详</w:t>
            </w:r>
            <w:r>
              <w:rPr>
                <w:rFonts w:hint="eastAsia" w:asciiTheme="minorEastAsia" w:hAnsiTheme="minorEastAsia" w:eastAsiaTheme="minorEastAsia" w:cstheme="minorEastAsia"/>
                <w:caps w:val="0"/>
                <w:color w:val="auto"/>
                <w:sz w:val="24"/>
                <w:highlight w:val="none"/>
              </w:rPr>
              <w:t xml:space="preserve">见本文件第四章《评标标准》。</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五、价格折扣文件格式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（一）企业报价折扣证明：</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投标人为中小企业（含中型、小型、微型企业，下同）的，提供《中小企业声明函》（加盖电子签章，格式见招标文件第七章《投标文件相关格式》）。《中小企业声明函》查询渠道参考工业和信息化部发布的中小企业规模自测小程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投标人为监狱企业的，视同小微企业，提供省级以上监狱管理局、戒毒管理局（含新疆生产建设兵团）出具的属于监狱企业的证明文件复印件。具体以《财政部司法部关于政府采购支持监狱企业发展有关问题的通知》（财库〔2014〕68号）的规定为准。 </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2、投标人为监狱企业的，提供省级以上监狱管理局、戒毒管理局（含新疆生产建设兵团）出具的属于监狱企业的证明文件原件的扫描件。</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注：具体以《财政部 司法部关于政府采购支持监狱企业发展有关问题的通知》（财库〔2014〕68号）的规定为准。 </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3、投标人为享受政府采购支持政策的残疾人福利性单位的，提供《残疾人福利性单位声明函》（加盖电子签章，格式见招标文件第七章《投标文件相关格式》）。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享受政府采购支持政策的残疾人福利性单位应当同时满足以下条件：</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（一）安置的残疾人占本单位在职职工人数的比例不低于25%（含25%），并且安置的残疾人人数不少于10人（含10人）；</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（二）依法与安置的每位残疾人签订了一年以上（含一年）的劳动合同或服务协议；</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（三）为安置的每位残疾人按月足额缴纳了基本养老保险、基本医疗保险、失业保险、工伤保险和生育保险等社会保险费；</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（四）通过银行等金融机构向安置的每位残疾人，按月支付了不低于单位所在区县适用的经省级人民政府批准的月最低工资标准的工资；</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（五）提供本单位制造的货物、承担的工程或者服务（以下简称产品），或者提供其他残疾人福利性单位制造的货物（不包括使用非残疾人福利性单位注册商标的货物）。</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具体以《三部门联合发布关于促进残疾人就业政府采购政策的通知》（财库〔2017〕141号）规定为准。</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注：</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投标人应对以上文件的合法性、真实性负责。</w:t>
            </w:r>
            <w:r/>
          </w:p>
          <w:p>
            <w:pPr>
              <w:pStyle w:val="860"/>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商务条件见：</w:t>
            </w:r>
            <w:r/>
          </w:p>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一、本文件第四章《评标标准》中《评分细则》。</w:t>
            </w:r>
            <w:r/>
          </w:p>
          <w:p>
            <w:pPr>
              <w:pStyle w:val="860"/>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0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aps w:val="0"/>
                <w:color w:val="auto"/>
                <w:sz w:val="24"/>
                <w:szCs w:val="24"/>
                <w:highlight w:val="none"/>
              </w:rPr>
            </w:pPr>
            <w:r>
              <w:rPr>
                <w:rFonts w:hint="eastAsia" w:asciiTheme="minorEastAsia" w:hAnsiTheme="minorEastAsia" w:eastAsiaTheme="minorEastAsia" w:cstheme="minorEastAsia"/>
                <w:b/>
                <w:bCs/>
                <w:caps w:val="0"/>
                <w:color w:val="auto"/>
                <w:sz w:val="24"/>
                <w:szCs w:val="24"/>
                <w:highlight w:val="none"/>
                <w:lang w:val="en-US" w:eastAsia="zh-CN" w:bidi="ar-SA"/>
              </w:rPr>
              <w:t xml:space="preserve">本项目不接受超过</w:t>
            </w:r>
            <w:r>
              <w:rPr>
                <w:rFonts w:hint="eastAsia" w:asciiTheme="minorEastAsia" w:hAnsiTheme="minorEastAsia" w:eastAsiaTheme="minorEastAsia" w:cstheme="minorEastAsia"/>
                <w:b/>
                <w:bCs/>
                <w:caps w:val="0"/>
                <w:color w:val="auto"/>
                <w:sz w:val="24"/>
                <w:szCs w:val="24"/>
                <w:highlight w:val="none"/>
                <w:u w:val="single"/>
                <w:lang w:val="en-US" w:eastAsia="zh-CN" w:bidi="ar-SA"/>
              </w:rPr>
              <w:t xml:space="preserve">240 </w:t>
            </w:r>
            <w:r>
              <w:rPr>
                <w:rFonts w:hint="eastAsia" w:asciiTheme="minorEastAsia" w:hAnsiTheme="minorEastAsia" w:eastAsiaTheme="minorEastAsia" w:cstheme="minorEastAsia"/>
                <w:b/>
                <w:bCs/>
                <w:caps w:val="0"/>
                <w:color w:val="auto"/>
                <w:sz w:val="24"/>
                <w:szCs w:val="24"/>
                <w:highlight w:val="none"/>
                <w:lang w:val="en-US" w:eastAsia="zh-CN" w:bidi="ar-SA"/>
              </w:rPr>
              <w:t xml:space="preserve">万元人民币（采购项目预算金额）的投标报价</w:t>
            </w:r>
            <w:r>
              <w:rPr>
                <w:rFonts w:hint="eastAsia" w:asciiTheme="minorEastAsia" w:hAnsiTheme="minorEastAsia" w:eastAsiaTheme="minorEastAsia" w:cstheme="minorEastAsia"/>
                <w:caps w:val="0"/>
                <w:color w:val="auto"/>
                <w:sz w:val="24"/>
                <w:szCs w:val="24"/>
                <w:highlight w:val="none"/>
                <w:lang w:val="en-US" w:eastAsia="zh-CN" w:bidi="ar-SA"/>
              </w:rPr>
              <w:t xml:space="preserve">。报价包括全部费用。用户不再支付报价以外的任何费用。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投标报价</w:t>
            </w:r>
            <w:r>
              <w:rPr>
                <w:rFonts w:hint="eastAsia" w:asciiTheme="minorEastAsia" w:hAnsiTheme="minorEastAsia" w:eastAsiaTheme="minorEastAsia" w:cstheme="minorEastAsia"/>
                <w:caps w:val="0"/>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bCs/>
                <w:caps w:val="0"/>
                <w:color w:val="auto"/>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投标人应当通过“苏采云”系统提交数据电文形式的投标文件（即电子投标）。</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特别说明：通过“苏采云”系统提交政府采购客户端工具导出加密的投标文件（后缀名为zip）。投标文件不得超过150M！</w:t>
            </w:r>
            <w:r/>
          </w:p>
          <w:p>
            <w:pPr>
              <w:pStyle w:val="860"/>
              <w:ind w:firstLine="0"/>
              <w:pageBreakBefore w:val="0"/>
              <w:spacing w:line="360" w:lineRule="auto"/>
              <w:rPr>
                <w:rFonts w:hint="eastAsia" w:asciiTheme="minorEastAsia" w:hAnsiTheme="minorEastAsia" w:eastAsiaTheme="minorEastAsia" w:cstheme="minorEastAsia"/>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说明：本项目采用线上投标，即</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投标文件编制</w:t>
            </w:r>
            <w:r>
              <w:rPr>
                <w:rFonts w:hint="eastAsia" w:asciiTheme="minorEastAsia" w:hAnsiTheme="minorEastAsia" w:eastAsiaTheme="minorEastAsia" w:cstheme="minorEastAsia"/>
                <w:caps w:val="0"/>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投标文件的提交与接收： </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1.投标文件提交与接收时间：</w:t>
            </w:r>
            <w:r>
              <w:rPr>
                <w:rFonts w:hint="eastAsia" w:asciiTheme="minorEastAsia" w:hAnsiTheme="minorEastAsia" w:eastAsiaTheme="minorEastAsia" w:cstheme="minorEastAsia"/>
                <w:b/>
                <w:bCs/>
                <w:caps w:val="0"/>
                <w:color w:val="auto"/>
                <w:sz w:val="24"/>
                <w:highlight w:val="none"/>
              </w:rPr>
              <w:t xml:space="preserve">提交投标文件截止时间</w:t>
            </w:r>
            <w:r>
              <w:rPr>
                <w:rFonts w:hint="eastAsia" w:asciiTheme="minorEastAsia" w:hAnsiTheme="minorEastAsia" w:eastAsiaTheme="minorEastAsia" w:cstheme="minorEastAsia"/>
                <w:b/>
                <w:bCs/>
                <w:caps w:val="0"/>
                <w:color w:val="auto"/>
                <w:sz w:val="28"/>
                <w:szCs w:val="28"/>
                <w:highlight w:val="none"/>
              </w:rPr>
              <w:t xml:space="preserve">（</w:t>
            </w:r>
            <w:r>
              <w:rPr>
                <w:rFonts w:hint="eastAsia" w:asciiTheme="minorEastAsia" w:hAnsiTheme="minorEastAsia" w:eastAsiaTheme="minorEastAsia" w:cstheme="minorEastAsia"/>
                <w:b/>
                <w:bCs/>
                <w:caps w:val="0"/>
                <w:color w:val="auto"/>
                <w:sz w:val="24"/>
                <w:szCs w:val="32"/>
                <w:highlight w:val="none"/>
                <w:lang w:eastAsia="zh-CN"/>
              </w:rPr>
              <w:t xml:space="preserve">2024年12月23日北京时间9：30</w:t>
            </w:r>
            <w:r>
              <w:rPr>
                <w:rFonts w:hint="eastAsia" w:asciiTheme="minorEastAsia" w:hAnsiTheme="minorEastAsia" w:eastAsiaTheme="minorEastAsia" w:cstheme="minorEastAsia"/>
                <w:b/>
                <w:bCs/>
                <w:caps w:val="0"/>
                <w:color w:val="auto"/>
                <w:sz w:val="28"/>
                <w:szCs w:val="28"/>
                <w:highlight w:val="none"/>
              </w:rPr>
              <w:t xml:space="preserve">）</w:t>
            </w:r>
            <w:r>
              <w:rPr>
                <w:rFonts w:hint="eastAsia" w:asciiTheme="minorEastAsia" w:hAnsiTheme="minorEastAsia" w:eastAsiaTheme="minorEastAsia" w:cstheme="minorEastAsia"/>
                <w:b/>
                <w:bCs/>
                <w:caps w:val="0"/>
                <w:color w:val="auto"/>
                <w:sz w:val="24"/>
                <w:highlight w:val="none"/>
              </w:rPr>
              <w:t xml:space="preserve">前。</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投标文件提交与接收地点：</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开标时间及地点：</w:t>
            </w:r>
            <w:r/>
          </w:p>
          <w:p>
            <w:pPr>
              <w:pStyle w:val="860"/>
              <w:ind w:firstLine="0"/>
              <w:pageBreakBefore w:val="0"/>
              <w:spacing w:line="360" w:lineRule="auto"/>
              <w:rPr>
                <w:rFonts w:hint="eastAsia" w:asciiTheme="minorEastAsia" w:hAnsiTheme="minorEastAsia" w:eastAsiaTheme="minorEastAsia" w:cstheme="minorEastAsia"/>
                <w:b/>
                <w:bCs/>
                <w:caps w:val="0"/>
                <w:color w:val="auto"/>
                <w:sz w:val="32"/>
                <w:szCs w:val="32"/>
                <w:highlight w:val="none"/>
              </w:rPr>
            </w:pPr>
            <w:r>
              <w:rPr>
                <w:rFonts w:hint="eastAsia" w:asciiTheme="minorEastAsia" w:hAnsiTheme="minorEastAsia" w:eastAsiaTheme="minorEastAsia" w:cstheme="minorEastAsia"/>
                <w:b/>
                <w:bCs/>
                <w:caps w:val="0"/>
                <w:color w:val="auto"/>
                <w:sz w:val="24"/>
                <w:highlight w:val="none"/>
              </w:rPr>
              <w:t xml:space="preserve">1. 开标时间：</w:t>
            </w:r>
            <w:r>
              <w:rPr>
                <w:rFonts w:hint="eastAsia" w:asciiTheme="minorEastAsia" w:hAnsiTheme="minorEastAsia" w:eastAsiaTheme="minorEastAsia" w:cstheme="minorEastAsia"/>
                <w:b/>
                <w:bCs/>
                <w:caps w:val="0"/>
                <w:color w:val="auto"/>
                <w:sz w:val="24"/>
                <w:szCs w:val="32"/>
                <w:highlight w:val="none"/>
                <w:lang w:eastAsia="zh-CN"/>
              </w:rPr>
              <w:t xml:space="preserve">2024年12月23日北京时间9：30。</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(二十八)1</w:t>
            </w:r>
            <w:r/>
          </w:p>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一、推荐中标候选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名单。中标候选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数量应当根据采购需要确定，但必须按顺序排列中标候选</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w:t>
            </w:r>
            <w:r/>
          </w:p>
          <w:p>
            <w:pPr>
              <w:pStyle w:val="860"/>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二、采用综合评分法的，按评审后得分由高到低顺序排列。得分相同的，按投标报价由低到高顺序排列。得分且投标报价相同的，按项目服务方案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（二十九）</w:t>
            </w:r>
            <w:r/>
          </w:p>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评标中需要投标人对投标文件澄清或者说明的，应当通过“苏采云”系统交换数据电文。在评标期间，请投标人保持在线。</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60"/>
              <w:ind w:firstLine="0"/>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b/>
                <w:bCs/>
                <w:caps w:val="0"/>
                <w:color w:val="auto"/>
                <w:sz w:val="24"/>
                <w:highlight w:val="none"/>
              </w:rPr>
            </w:pPr>
            <w:r>
              <w:rPr>
                <w:rFonts w:hint="eastAsia" w:asciiTheme="minorEastAsia" w:hAnsiTheme="minorEastAsia" w:eastAsiaTheme="minorEastAsia" w:cstheme="minorEastAsia"/>
                <w:b/>
                <w:bCs/>
                <w:caps w:val="0"/>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采购人与中标、中标</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sz w:val="24"/>
                <w:highlight w:val="none"/>
              </w:rPr>
              <w:t xml:space="preserve">履约保证金：</w:t>
            </w:r>
            <w:r>
              <w:rPr>
                <w:rFonts w:hint="eastAsia" w:asciiTheme="minorEastAsia" w:hAnsiTheme="minorEastAsia" w:eastAsiaTheme="minorEastAsia" w:cstheme="minorEastAsia"/>
                <w:caps w:val="0"/>
                <w:color w:val="auto"/>
                <w:sz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jc w:val="center"/>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一、</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对政府采购活动事项有疑问的，向采购代理机构提出询问；</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二、</w:t>
            </w:r>
            <w:r>
              <w:rPr>
                <w:rFonts w:hint="eastAsia" w:asciiTheme="minorEastAsia" w:hAnsiTheme="minorEastAsia" w:eastAsiaTheme="minorEastAsia" w:cstheme="minorEastAsia"/>
                <w:caps w:val="0"/>
                <w:color w:val="auto"/>
                <w:sz w:val="24"/>
                <w:highlight w:val="none"/>
                <w:lang w:eastAsia="zh-CN"/>
              </w:rPr>
              <w:t xml:space="preserve">投标人</w:t>
            </w:r>
            <w:r>
              <w:rPr>
                <w:rFonts w:hint="eastAsia" w:asciiTheme="minorEastAsia" w:hAnsiTheme="minorEastAsia" w:eastAsiaTheme="minorEastAsia" w:cstheme="minorEastAsia"/>
                <w:caps w:val="0"/>
                <w:color w:val="auto"/>
                <w:sz w:val="24"/>
                <w:highlight w:val="none"/>
              </w:rPr>
              <w:t xml:space="preserve">在法定质疑期内一次性提出针对同一采购程序环节的质疑。</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质疑接收人：</w:t>
            </w:r>
            <w:r>
              <w:rPr>
                <w:rFonts w:hint="eastAsia" w:asciiTheme="minorEastAsia" w:hAnsiTheme="minorEastAsia" w:eastAsiaTheme="minorEastAsia" w:cstheme="minorEastAsia"/>
                <w:caps w:val="0"/>
                <w:color w:val="auto"/>
                <w:sz w:val="24"/>
                <w:highlight w:val="none"/>
                <w:lang w:eastAsia="zh-CN"/>
              </w:rPr>
              <w:t xml:space="preserve">孙梦</w:t>
            </w:r>
            <w:r>
              <w:rPr>
                <w:rFonts w:hint="eastAsia" w:asciiTheme="minorEastAsia" w:hAnsiTheme="minorEastAsia" w:eastAsiaTheme="minorEastAsia" w:cstheme="minorEastAsia"/>
                <w:caps w:val="0"/>
                <w:color w:val="auto"/>
                <w:sz w:val="24"/>
                <w:highlight w:val="none"/>
              </w:rPr>
              <w:t xml:space="preserve">；  联系电话：</w:t>
            </w:r>
            <w:r>
              <w:rPr>
                <w:rFonts w:hint="eastAsia" w:asciiTheme="minorEastAsia" w:hAnsiTheme="minorEastAsia" w:eastAsiaTheme="minorEastAsia" w:cstheme="minorEastAsia"/>
                <w:caps w:val="0"/>
                <w:color w:val="auto"/>
                <w:sz w:val="24"/>
                <w:highlight w:val="none"/>
                <w:lang w:eastAsia="zh-CN"/>
              </w:rPr>
              <w:t xml:space="preserve">0516-83205675</w:t>
            </w:r>
            <w:r>
              <w:rPr>
                <w:rFonts w:hint="eastAsia" w:asciiTheme="minorEastAsia" w:hAnsiTheme="minorEastAsia" w:eastAsiaTheme="minorEastAsia" w:cstheme="minorEastAsia"/>
                <w:caps w:val="0"/>
                <w:color w:val="auto"/>
                <w:sz w:val="24"/>
                <w:highlight w:val="none"/>
              </w:rPr>
              <w:t xml:space="preserve">；</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办公地址：</w:t>
            </w:r>
            <w:r>
              <w:rPr>
                <w:rFonts w:hint="eastAsia" w:asciiTheme="minorEastAsia" w:hAnsiTheme="minorEastAsia" w:eastAsiaTheme="minorEastAsia" w:cstheme="minorEastAsia"/>
                <w:caps w:val="0"/>
                <w:color w:val="auto"/>
                <w:sz w:val="24"/>
                <w:highlight w:val="none"/>
                <w:lang w:eastAsia="zh-CN"/>
              </w:rPr>
              <w:t xml:space="preserve">徐州市云龙区绿地商务城loft3栋1311室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eastAsia="zh-CN"/>
              </w:rPr>
              <w:t xml:space="preserve">附加说明</w:t>
            </w:r>
            <w:r/>
          </w:p>
        </w:tc>
        <w:tc>
          <w:tcPr>
            <w:tcBorders>
              <w:top w:val="single" w:color="000000" w:sz="4" w:space="0"/>
              <w:left w:val="single" w:color="000000" w:sz="4" w:space="0"/>
              <w:bottom w:val="single" w:color="000000" w:sz="4" w:space="0"/>
              <w:right w:val="single" w:color="000000" w:sz="4" w:space="0"/>
            </w:tcBorders>
            <w:tcW w:w="8004" w:type="dxa"/>
            <w:textDirection w:val="lrTb"/>
            <w:noWrap w:val="false"/>
          </w:tcPr>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1、</w:t>
            </w:r>
            <w:r>
              <w:rPr>
                <w:rFonts w:hint="eastAsia" w:asciiTheme="minorEastAsia" w:hAnsiTheme="minorEastAsia" w:eastAsiaTheme="minorEastAsia" w:cstheme="minorEastAsia"/>
                <w:caps w:val="0"/>
                <w:color w:val="auto"/>
                <w:sz w:val="24"/>
                <w:highlight w:val="none"/>
                <w:lang w:eastAsia="zh-CN"/>
              </w:rPr>
              <w:t xml:space="preserve">中标人在领取中标通知书前，须向采购代理机构提交一正两副投标文件、《开标一览表》和《分项价格表》的数据文件（WORD格式）。</w:t>
            </w:r>
            <w:r/>
          </w:p>
          <w:p>
            <w:pPr>
              <w:pStyle w:val="860"/>
              <w:ind w:firstLine="0"/>
              <w:pageBreakBefore w:val="0"/>
              <w:spacing w:line="360" w:lineRule="auto"/>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lang w:val="en-US" w:eastAsia="zh-CN"/>
              </w:rPr>
              <w:t xml:space="preserve">2、</w:t>
            </w:r>
            <w:r>
              <w:rPr>
                <w:rFonts w:hint="eastAsia" w:asciiTheme="minorEastAsia" w:hAnsiTheme="minorEastAsia" w:eastAsiaTheme="minorEastAsia" w:cstheme="minorEastAsia"/>
                <w:caps w:val="0"/>
                <w:color w:val="auto"/>
                <w:sz w:val="24"/>
                <w:highlight w:val="none"/>
                <w:lang w:eastAsia="zh-CN"/>
              </w:rPr>
              <w:t xml:space="preserve">中标人在领取中标通知书前，一次性向代理机构缴纳代理服务费。</w:t>
            </w:r>
            <w:r/>
          </w:p>
        </w:tc>
      </w:tr>
    </w:tbl>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810"/>
        <w:ind w:firstLine="0"/>
        <w:jc w:val="center"/>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本章附件：招标代理服务收费标准</w:t>
      </w:r>
      <w:r/>
    </w:p>
    <w:tbl>
      <w:tblPr>
        <w:tblStyle w:val="818"/>
        <w:tblW w:w="9964"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1681"/>
        <w:gridCol w:w="2353"/>
        <w:gridCol w:w="1681"/>
        <w:gridCol w:w="2013"/>
      </w:tblGrid>
      <w:tr>
        <w:trPr>
          <w:jc w:val="center"/>
          <w:trHeight w:val="73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工程</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收费上限</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1. 00%</w:t>
            </w:r>
            <w:r/>
          </w:p>
        </w:tc>
        <w:tc>
          <w:tcPr>
            <w:tcBorders>
              <w:top w:val="single" w:color="000000" w:sz="4" w:space="0"/>
              <w:left w:val="single" w:color="000000" w:sz="4" w:space="0"/>
              <w:bottom w:val="single" w:color="000000" w:sz="4" w:space="0"/>
              <w:right w:val="single" w:color="000000" w:sz="4" w:space="0"/>
            </w:tcBorders>
            <w:tcW w:w="2013" w:type="dxa"/>
            <w:vAlign w:val="center"/>
            <w:vMerge w:val="restart"/>
            <w:textDirection w:val="lrTb"/>
            <w:noWrap w:val="false"/>
          </w:tcPr>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最低5千元</w:t>
            </w:r>
            <w:r/>
          </w:p>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最高15万元</w:t>
            </w:r>
            <w:r/>
          </w:p>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r>
            <w:r/>
          </w:p>
          <w:p>
            <w:pPr>
              <w:pStyle w:val="860"/>
              <w:ind w:firstLine="0"/>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（PPP项目最高15万元）</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100万~500万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1. 10%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0. 70%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500万~1000万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0. 55%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l000万~5000万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5000万~l亿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0. 20%</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1亿~5亿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5亿~10亿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0. 035%</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10亿~50亿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0. 008%</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50亿~100亿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0. 006%</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100亿以上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color w:val="auto"/>
                <w:sz w:val="24"/>
                <w:highlight w:val="none"/>
              </w:rPr>
            </w:pPr>
            <w:r>
              <w:rPr>
                <w:rFonts w:hint="eastAsia" w:asciiTheme="minorEastAsia" w:hAnsiTheme="minorEastAsia" w:eastAsiaTheme="minorEastAsia" w:cstheme="minorEastAsia"/>
                <w:caps w:val="0"/>
                <w:color w:val="auto"/>
                <w:sz w:val="24"/>
                <w:highlight w:val="none"/>
              </w:rPr>
              <w:t xml:space="preserve">0. 004%</w:t>
            </w:r>
            <w:r/>
          </w:p>
        </w:tc>
        <w:tc>
          <w:tcPr>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pStyle w:val="860"/>
              <w:ind w:firstLine="0"/>
              <w:jc w:val="center"/>
              <w:pageBreakBefore w:val="0"/>
              <w:spacing w:line="360" w:lineRule="auto"/>
              <w:widowControl/>
              <w:rPr>
                <w:rFonts w:hint="eastAsia" w:asciiTheme="minorEastAsia" w:hAnsiTheme="minorEastAsia" w:eastAsiaTheme="minorEastAsia" w:cstheme="minorEastAsia"/>
                <w:caps w:val="0"/>
                <w:sz w:val="24"/>
                <w:highlight w:val="none"/>
              </w:rPr>
            </w:pPr>
            <w:r>
              <w:rPr>
                <w:rFonts w:hint="eastAsia" w:asciiTheme="minorEastAsia" w:hAnsiTheme="minorEastAsia" w:eastAsiaTheme="minorEastAsia" w:cstheme="minorEastAsia"/>
                <w:caps w:val="0"/>
                <w:sz w:val="24"/>
                <w:highlight w:val="none"/>
              </w:rPr>
            </w:r>
            <w:r/>
          </w:p>
        </w:tc>
      </w:tr>
    </w:tbl>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说明：</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1. 按上表计算的收费为代理服务全过程的收费金额。各社会代理机构不另外收取采购文件制作售卖费用。</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2. 代理服务费按差额定率累进法计算。</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3. 代理服务费基准金额（按差额定率累进法计算的）=中标金额（按差额定率累进法计算的） * 费率（%）。</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4. 代理服务费应收取金额=代理服务费基准金额（按差额定率累进法计算的）的合计数。</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5. 计算出的代理服务费应收取金额如低于5千元，按5千元收取；如高于15万元，按15万元收取。</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6. 定点类等无金额或事先不能计算出价格总额，采购预算为1元的项目，中标（</w:t>
      </w:r>
      <w:r>
        <w:rPr>
          <w:rFonts w:hint="eastAsia" w:asciiTheme="minorEastAsia" w:hAnsiTheme="minorEastAsia" w:eastAsiaTheme="minorEastAsia" w:cstheme="minorEastAsia"/>
          <w:caps w:val="0"/>
          <w:color w:val="auto"/>
          <w:highlight w:val="none"/>
          <w:lang w:val="en-US" w:eastAsia="zh-CN"/>
        </w:rPr>
        <w:t xml:space="preserve">成交</w:t>
      </w:r>
      <w:r>
        <w:rPr>
          <w:rFonts w:hint="eastAsia" w:asciiTheme="minorEastAsia" w:hAnsiTheme="minorEastAsia" w:eastAsiaTheme="minorEastAsia" w:cstheme="minorEastAsia"/>
          <w:caps w:val="0"/>
          <w:color w:val="auto"/>
          <w:highlight w:val="none"/>
        </w:rPr>
        <w:t xml:space="preserve">）金额按100万元计算。</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t xml:space="preserve">7. 多</w:t>
      </w:r>
      <w:r>
        <w:rPr>
          <w:rFonts w:hint="eastAsia" w:asciiTheme="minorEastAsia" w:hAnsiTheme="minorEastAsia" w:eastAsiaTheme="minorEastAsia" w:cstheme="minorEastAsia"/>
          <w:caps w:val="0"/>
          <w:color w:val="auto"/>
          <w:highlight w:val="none"/>
          <w:lang w:val="en-US" w:eastAsia="zh-CN"/>
        </w:rPr>
        <w:t xml:space="preserve">个采购包（</w:t>
      </w:r>
      <w:r>
        <w:rPr>
          <w:rFonts w:hint="eastAsia" w:asciiTheme="minorEastAsia" w:hAnsiTheme="minorEastAsia" w:eastAsiaTheme="minorEastAsia" w:cstheme="minorEastAsia"/>
          <w:caps w:val="0"/>
          <w:color w:val="auto"/>
          <w:highlight w:val="none"/>
          <w:lang w:eastAsia="zh-CN"/>
        </w:rPr>
        <w:t xml:space="preserve">采购包</w:t>
      </w:r>
      <w:r>
        <w:rPr>
          <w:rFonts w:hint="eastAsia" w:asciiTheme="minorEastAsia" w:hAnsiTheme="minorEastAsia" w:eastAsiaTheme="minorEastAsia" w:cstheme="minorEastAsia"/>
          <w:caps w:val="0"/>
          <w:color w:val="auto"/>
          <w:highlight w:val="none"/>
          <w:lang w:val="en-US" w:eastAsia="zh-CN"/>
        </w:rPr>
        <w:t xml:space="preserve">）</w:t>
      </w:r>
      <w:r>
        <w:rPr>
          <w:rFonts w:hint="eastAsia" w:asciiTheme="minorEastAsia" w:hAnsiTheme="minorEastAsia" w:eastAsiaTheme="minorEastAsia" w:cstheme="minorEastAsia"/>
          <w:caps w:val="0"/>
          <w:color w:val="auto"/>
          <w:highlight w:val="none"/>
        </w:rPr>
        <w:t xml:space="preserve">项目按总项目中标（成交）金额收费，最高不超过15万元。</w:t>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br w:type="page" w:clear="all"/>
      </w:r>
      <w:r/>
    </w:p>
    <w:p>
      <w:pPr>
        <w:pStyle w:val="809"/>
        <w:numPr>
          <w:ilvl w:val="0"/>
          <w:numId w:val="1"/>
        </w:numPr>
        <w:ind w:firstLine="0"/>
        <w:pageBreakBefore w:val="0"/>
        <w:spacing w:line="360" w:lineRule="auto"/>
        <w:rPr>
          <w:rFonts w:hint="eastAsia" w:asciiTheme="minorEastAsia" w:hAnsiTheme="minorEastAsia" w:eastAsiaTheme="minorEastAsia" w:cstheme="minorEastAsia"/>
          <w:color w:val="auto"/>
          <w:highlight w:val="none"/>
        </w:rPr>
      </w:pPr>
      <w:r/>
      <w:bookmarkStart w:id="4" w:name="_Toc4749"/>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评标标准</w:t>
      </w:r>
      <w:bookmarkEnd w:id="4"/>
      <w:r/>
      <w:r/>
    </w:p>
    <w:tbl>
      <w:tblPr>
        <w:tblStyle w:val="818"/>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1295"/>
        <w:gridCol w:w="6736"/>
      </w:tblGrid>
      <w:tr>
        <w:trPr>
          <w:trHeight w:val="312"/>
        </w:trPr>
        <w:tc>
          <w:tcPr>
            <w:tcW w:w="1291"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b/>
                <w:bCs/>
                <w:caps w:val="0"/>
                <w:color w:val="auto"/>
                <w:szCs w:val="20"/>
                <w:highlight w:val="none"/>
              </w:rPr>
            </w:pPr>
            <w:r>
              <w:rPr>
                <w:rFonts w:hint="eastAsia" w:asciiTheme="minorEastAsia" w:hAnsiTheme="minorEastAsia" w:eastAsiaTheme="minorEastAsia" w:cstheme="minorEastAsia"/>
                <w:b/>
                <w:bCs/>
                <w:caps w:val="0"/>
                <w:color w:val="auto"/>
                <w:szCs w:val="20"/>
                <w:highlight w:val="none"/>
              </w:rPr>
              <w:t xml:space="preserve">评审因素</w:t>
            </w:r>
            <w:r/>
          </w:p>
          <w:p>
            <w:pPr>
              <w:ind w:left="0" w:firstLine="0"/>
              <w:jc w:val="center"/>
              <w:pageBreakBefore w:val="0"/>
              <w:spacing w:line="360" w:lineRule="auto"/>
              <w:widowControl/>
              <w:rPr>
                <w:rFonts w:hint="eastAsia" w:asciiTheme="minorEastAsia" w:hAnsiTheme="minorEastAsia" w:eastAsiaTheme="minorEastAsia" w:cstheme="minorEastAsia"/>
                <w:b/>
                <w:bCs/>
                <w:caps w:val="0"/>
                <w:color w:val="auto"/>
                <w:szCs w:val="20"/>
                <w:highlight w:val="none"/>
              </w:rPr>
            </w:pPr>
            <w:r>
              <w:rPr>
                <w:rFonts w:hint="eastAsia" w:asciiTheme="minorEastAsia" w:hAnsiTheme="minorEastAsia" w:eastAsiaTheme="minorEastAsia" w:cstheme="minorEastAsia"/>
                <w:b/>
                <w:bCs/>
                <w:caps w:val="0"/>
                <w:color w:val="auto"/>
                <w:szCs w:val="20"/>
                <w:highlight w:val="none"/>
              </w:rPr>
              <w:t xml:space="preserve">分值</w:t>
            </w:r>
            <w:r/>
          </w:p>
        </w:tc>
        <w:tc>
          <w:tcPr>
            <w:gridSpan w:val="2"/>
            <w:tcW w:w="8031" w:type="dxa"/>
            <w:vAlign w:val="center"/>
            <w:textDirection w:val="lrTb"/>
            <w:noWrap w:val="false"/>
          </w:tcPr>
          <w:p>
            <w:pPr>
              <w:ind w:firstLine="0"/>
              <w:jc w:val="center"/>
              <w:pageBreakBefore w:val="0"/>
              <w:spacing w:line="360" w:lineRule="auto"/>
              <w:widowControl/>
              <w:rPr>
                <w:rFonts w:hint="eastAsia" w:asciiTheme="minorEastAsia" w:hAnsiTheme="minorEastAsia" w:eastAsiaTheme="minorEastAsia" w:cstheme="minorEastAsia"/>
                <w:b/>
                <w:bCs/>
                <w:caps w:val="0"/>
                <w:color w:val="auto"/>
                <w:szCs w:val="20"/>
                <w:highlight w:val="none"/>
              </w:rPr>
            </w:pPr>
            <w:r>
              <w:rPr>
                <w:rFonts w:hint="eastAsia" w:asciiTheme="minorEastAsia" w:hAnsiTheme="minorEastAsia" w:eastAsiaTheme="minorEastAsia" w:cstheme="minorEastAsia"/>
                <w:b/>
                <w:bCs/>
                <w:caps w:val="0"/>
                <w:color w:val="auto"/>
                <w:szCs w:val="20"/>
                <w:highlight w:val="none"/>
              </w:rPr>
              <w:t xml:space="preserve">评分依据</w:t>
            </w:r>
            <w:r/>
          </w:p>
        </w:tc>
      </w:tr>
      <w:tr>
        <w:trPr>
          <w:trHeight w:val="1040"/>
        </w:trPr>
        <w:tc>
          <w:tcPr>
            <w:tcW w:w="1291" w:type="dxa"/>
            <w:vAlign w:val="center"/>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价格部分</w:t>
            </w:r>
            <w:r/>
          </w:p>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20</w:t>
            </w:r>
            <w:r>
              <w:rPr>
                <w:rFonts w:hint="eastAsia" w:asciiTheme="minorEastAsia" w:hAnsiTheme="minorEastAsia" w:eastAsiaTheme="minorEastAsia" w:cstheme="minorEastAsia"/>
                <w:caps w:val="0"/>
                <w:color w:val="auto"/>
                <w:szCs w:val="20"/>
                <w:highlight w:val="none"/>
              </w:rPr>
              <w:t xml:space="preserve">分</w:t>
            </w:r>
            <w:r/>
          </w:p>
        </w:tc>
        <w:tc>
          <w:tcPr>
            <w:gridSpan w:val="2"/>
            <w:tcW w:w="8031"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eastAsia="zh-CN"/>
              </w:rPr>
              <w:t xml:space="preserve">以完全满足招标文件实质性要求的投标为有效投标，有效投标报价（预算总价）的最低价为评标基准价，其价格分为满分</w:t>
            </w:r>
            <w:r>
              <w:rPr>
                <w:rFonts w:hint="eastAsia" w:asciiTheme="minorEastAsia" w:hAnsiTheme="minorEastAsia" w:eastAsiaTheme="minorEastAsia" w:cstheme="minorEastAsia"/>
                <w:caps w:val="0"/>
                <w:color w:val="auto"/>
                <w:szCs w:val="20"/>
                <w:highlight w:val="none"/>
                <w:lang w:val="en-US" w:eastAsia="zh-CN"/>
              </w:rPr>
              <w:t xml:space="preserve">20</w:t>
            </w:r>
            <w:r>
              <w:rPr>
                <w:rFonts w:hint="eastAsia" w:asciiTheme="minorEastAsia" w:hAnsiTheme="minorEastAsia" w:eastAsiaTheme="minorEastAsia" w:cstheme="minorEastAsia"/>
                <w:caps w:val="0"/>
                <w:color w:val="auto"/>
                <w:szCs w:val="20"/>
                <w:highlight w:val="none"/>
                <w:lang w:eastAsia="zh-CN"/>
              </w:rPr>
              <w:t xml:space="preserve">分。其他投标人的投标报价得分=(评标基准价／投标报价)×</w:t>
            </w:r>
            <w:r>
              <w:rPr>
                <w:rFonts w:hint="eastAsia" w:asciiTheme="minorEastAsia" w:hAnsiTheme="minorEastAsia" w:eastAsiaTheme="minorEastAsia" w:cstheme="minorEastAsia"/>
                <w:caps w:val="0"/>
                <w:color w:val="auto"/>
                <w:szCs w:val="20"/>
                <w:highlight w:val="none"/>
                <w:lang w:val="en-US" w:eastAsia="zh-CN"/>
              </w:rPr>
              <w:t xml:space="preserve">20</w:t>
            </w:r>
            <w:r>
              <w:rPr>
                <w:rFonts w:hint="eastAsia" w:asciiTheme="minorEastAsia" w:hAnsiTheme="minorEastAsia" w:eastAsiaTheme="minorEastAsia" w:cstheme="minorEastAsia"/>
                <w:caps w:val="0"/>
                <w:color w:val="auto"/>
                <w:szCs w:val="20"/>
                <w:highlight w:val="none"/>
                <w:lang w:eastAsia="zh-CN"/>
              </w:rPr>
              <w:t xml:space="preserve">，结果保留两位小数。</w:t>
            </w:r>
            <w:r/>
          </w:p>
        </w:tc>
      </w:tr>
      <w:tr>
        <w:trPr>
          <w:trHeight w:val="2199"/>
        </w:trPr>
        <w:tc>
          <w:tcPr>
            <w:tcW w:w="1291" w:type="dxa"/>
            <w:vAlign w:val="center"/>
            <w:vMerge w:val="restart"/>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技术部分</w:t>
            </w:r>
            <w:r/>
          </w:p>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66</w:t>
            </w:r>
            <w:r>
              <w:rPr>
                <w:rFonts w:hint="eastAsia" w:asciiTheme="minorEastAsia" w:hAnsiTheme="minorEastAsia" w:eastAsiaTheme="minorEastAsia" w:cstheme="minorEastAsia"/>
                <w:caps w:val="0"/>
                <w:color w:val="auto"/>
                <w:szCs w:val="20"/>
                <w:highlight w:val="none"/>
              </w:rPr>
              <w:t xml:space="preserve">分</w:t>
            </w:r>
            <w:r/>
          </w:p>
        </w:tc>
        <w:tc>
          <w:tcPr>
            <w:tcW w:w="1295"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对项目的理解</w:t>
            </w:r>
            <w:r>
              <w:rPr>
                <w:highlight w:val="none"/>
              </w:rPr>
            </w:r>
            <w:r/>
          </w:p>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w:t>
            </w:r>
            <w:r>
              <w:rPr>
                <w:rFonts w:hint="eastAsia" w:asciiTheme="minorEastAsia" w:hAnsiTheme="minorEastAsia" w:eastAsiaTheme="minorEastAsia" w:cstheme="minorEastAsia"/>
                <w:caps w:val="0"/>
                <w:color w:val="auto"/>
                <w:szCs w:val="20"/>
                <w:highlight w:val="none"/>
                <w:lang w:val="en-US" w:eastAsia="zh-CN"/>
              </w:rPr>
              <w:t xml:space="preserve">12</w:t>
            </w:r>
            <w:r>
              <w:rPr>
                <w:rFonts w:hint="eastAsia" w:asciiTheme="minorEastAsia" w:hAnsiTheme="minorEastAsia" w:eastAsiaTheme="minorEastAsia" w:cstheme="minorEastAsia"/>
                <w:caps w:val="0"/>
                <w:color w:val="auto"/>
                <w:szCs w:val="20"/>
                <w:highlight w:val="none"/>
              </w:rPr>
              <w:t xml:space="preserve">分）</w:t>
            </w:r>
            <w:r>
              <w:rPr>
                <w:highlight w:val="none"/>
              </w:rPr>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投标人投标文件中的内容对项目进水水质、水量、设备配置情况、工艺参数等项目现状、基础资料情况熟悉程度，针对现状提出进一步保障运营的合理化建议。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12</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9</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分，内容不全面的得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w:t>
            </w:r>
            <w:r>
              <w:rPr>
                <w:highlight w:val="none"/>
              </w:rPr>
            </w:r>
            <w:r/>
          </w:p>
        </w:tc>
      </w:tr>
      <w:tr>
        <w:trPr>
          <w:trHeight w:val="2199"/>
        </w:trPr>
        <w:tc>
          <w:tcPr>
            <w:tcW w:w="1291" w:type="dxa"/>
            <w:vAlign w:val="center"/>
            <w:vMerge w:val="continue"/>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lang w:val="en-US" w:eastAsia="zh-CN"/>
              </w:rPr>
            </w:pPr>
            <w:r>
              <w:rPr>
                <w:rFonts w:hint="eastAsia" w:asciiTheme="minorEastAsia" w:hAnsiTheme="minorEastAsia" w:eastAsiaTheme="minorEastAsia" w:cstheme="minorEastAsia"/>
                <w:caps w:val="0"/>
                <w:szCs w:val="20"/>
                <w:highlight w:val="none"/>
                <w:lang w:val="en-US" w:eastAsia="zh-CN"/>
              </w:rPr>
            </w:r>
            <w:r/>
          </w:p>
        </w:tc>
        <w:tc>
          <w:tcPr>
            <w:tcW w:w="1295" w:type="dxa"/>
            <w:vAlign w:val="center"/>
            <w:textDirection w:val="lrTb"/>
            <w:noWrap w:val="false"/>
          </w:tcPr>
          <w:p>
            <w:pPr>
              <w:ind w:left="0" w:right="0" w:firstLine="0"/>
              <w:keepLines w:val="0"/>
              <w:keepNext w:val="0"/>
              <w:spacing w:before="0" w:beforeAutospacing="0" w:after="0" w:afterAutospacing="0"/>
              <w:widowControl/>
              <w:rPr>
                <w:rFonts w:hint="eastAsia" w:asciiTheme="minorEastAsia" w:hAnsiTheme="minorEastAsia" w:eastAsiaTheme="minorEastAsia" w:cstheme="minorEastAsia"/>
                <w:caps w:val="0"/>
                <w:color w:val="auto"/>
                <w:szCs w:val="20"/>
                <w:highlight w:val="none"/>
              </w:rPr>
              <w:suppressLineNumbers w:val="0"/>
            </w:pPr>
            <w:r>
              <w:rPr>
                <w:rFonts w:hint="eastAsia" w:asciiTheme="minorEastAsia" w:hAnsiTheme="minorEastAsia" w:eastAsiaTheme="minorEastAsia" w:cstheme="minorEastAsia"/>
                <w:caps w:val="0"/>
                <w:color w:val="auto"/>
                <w:szCs w:val="20"/>
                <w:highlight w:val="none"/>
                <w:lang w:val="en-US" w:eastAsia="zh-CN"/>
              </w:rPr>
              <w:t xml:space="preserve">整改措施及方案</w:t>
            </w:r>
            <w:r/>
          </w:p>
          <w:p>
            <w:pPr>
              <w:ind w:left="0" w:right="0" w:firstLine="0"/>
              <w:keepLines w:val="0"/>
              <w:keepNext w:val="0"/>
              <w:spacing w:before="0" w:beforeAutospacing="0" w:after="0" w:afterAutospacing="0"/>
              <w:widowControl/>
              <w:rPr>
                <w:rFonts w:hint="default" w:asciiTheme="minorEastAsia" w:hAnsiTheme="minorEastAsia" w:eastAsiaTheme="minorEastAsia" w:cstheme="minorEastAsia"/>
                <w:caps w:val="0"/>
                <w:color w:val="auto"/>
                <w:szCs w:val="20"/>
                <w:highlight w:val="none"/>
              </w:rPr>
              <w:suppressLineNumbers w:val="0"/>
            </w:pPr>
            <w:r>
              <w:rPr>
                <w:rFonts w:hint="eastAsia" w:asciiTheme="minorEastAsia" w:hAnsiTheme="minorEastAsia" w:eastAsiaTheme="minorEastAsia" w:cstheme="minorEastAsia"/>
                <w:caps w:val="0"/>
                <w:color w:val="auto"/>
                <w:szCs w:val="20"/>
                <w:highlight w:val="none"/>
                <w:lang w:val="en-US" w:eastAsia="zh-CN"/>
              </w:rPr>
              <w:t xml:space="preserve">（12分）</w:t>
            </w:r>
            <w:r/>
          </w:p>
        </w:tc>
        <w:tc>
          <w:tcPr>
            <w:tcW w:w="673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Cs w:val="20"/>
                <w:highlight w:val="none"/>
              </w:rPr>
              <w:suppressLineNumbers w:val="0"/>
            </w:pPr>
            <w:r>
              <w:rPr>
                <w:rFonts w:hint="eastAsia" w:ascii="宋体" w:hAnsi="宋体" w:eastAsia="宋体" w:cs="宋体"/>
                <w:color w:val="auto"/>
                <w:sz w:val="24"/>
                <w:szCs w:val="20"/>
                <w:highlight w:val="none"/>
                <w:lang w:val="en-US" w:eastAsia="zh-CN" w:bidi="ar"/>
              </w:rPr>
              <w:t xml:space="preserve">投标人对工艺系统的了解情况，熟悉程度，针对现状编制合理化整改方案。应包含施工方法和施工措施，质量、安全、进度及环境保护的保障措施，平面的布置及人材机的调配；设备及其备品备件的安装调试；调试运行方案等。</w:t>
            </w:r>
            <w:r>
              <w:rPr>
                <w:rFonts w:hint="eastAsia" w:asciiTheme="minorEastAsia" w:hAnsiTheme="minorEastAsia" w:eastAsiaTheme="minorEastAsia" w:cstheme="minorEastAsia"/>
                <w:caps w:val="0"/>
                <w:color w:val="auto"/>
                <w:szCs w:val="20"/>
                <w:highlight w:val="none"/>
              </w:rPr>
              <w:t xml:space="preserve">内容完整的得1</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8</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6</w:t>
            </w:r>
            <w:r>
              <w:rPr>
                <w:rFonts w:hint="eastAsia" w:asciiTheme="minorEastAsia" w:hAnsiTheme="minorEastAsia" w:eastAsiaTheme="minorEastAsia" w:cstheme="minorEastAsia"/>
                <w:caps w:val="0"/>
                <w:color w:val="auto"/>
                <w:szCs w:val="20"/>
                <w:highlight w:val="none"/>
              </w:rPr>
              <w:t xml:space="preserve">分，内容不全面的得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w:t>
            </w:r>
            <w:r/>
          </w:p>
        </w:tc>
      </w:tr>
      <w:tr>
        <w:trPr>
          <w:trHeight w:val="771"/>
        </w:trPr>
        <w:tc>
          <w:tcPr>
            <w:tcW w:w="1291"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295"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运营维护方案</w:t>
            </w:r>
            <w:r/>
          </w:p>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w:t>
            </w:r>
            <w:r>
              <w:rPr>
                <w:rFonts w:hint="eastAsia" w:asciiTheme="minorEastAsia" w:hAnsiTheme="minorEastAsia" w:eastAsiaTheme="minorEastAsia" w:cstheme="minorEastAsia"/>
                <w:caps w:val="0"/>
                <w:color w:val="auto"/>
                <w:szCs w:val="20"/>
                <w:highlight w:val="none"/>
                <w:lang w:val="en-US" w:eastAsia="zh-CN"/>
              </w:rPr>
              <w:t xml:space="preserve">22</w:t>
            </w:r>
            <w:r>
              <w:rPr>
                <w:rFonts w:hint="eastAsia" w:asciiTheme="minorEastAsia" w:hAnsiTheme="minorEastAsia" w:eastAsiaTheme="minorEastAsia" w:cstheme="minorEastAsia"/>
                <w:caps w:val="0"/>
                <w:color w:val="auto"/>
                <w:szCs w:val="20"/>
                <w:highlight w:val="none"/>
              </w:rPr>
              <w:t xml:space="preserve">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（1）运营维护范围、运营维护目标、运营维护组织结构。内容详细具体、科学合理、措施可靠，组织严谨、针对性强，内容完整的得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（2）运营管理系统，包括日常管理的主要流程、各环节的工作责任、日常水质检测体系（包括采样方法、技术、检测指标和频率）等。内容详细具体、科学合理、措施可靠，组织严谨、针对性强，内容完整的得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3）设施的维护方案：各项检查、维护、维修、改进计划，以及运行与维护手册要点等；日常养护方案；远程监控信息系统的维护和更新。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7</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（4）运营期内各类紧急情况下</w:t>
            </w:r>
            <w:r>
              <w:rPr>
                <w:rFonts w:hint="eastAsia" w:asciiTheme="minorEastAsia" w:hAnsiTheme="minorEastAsia" w:eastAsiaTheme="minorEastAsia" w:cstheme="minorEastAsia"/>
                <w:caps w:val="0"/>
                <w:color w:val="auto"/>
                <w:szCs w:val="20"/>
                <w:highlight w:val="none"/>
                <w:lang w:val="en-US" w:eastAsia="zh-CN"/>
              </w:rPr>
              <w:t xml:space="preserve">的</w:t>
            </w:r>
            <w:r>
              <w:rPr>
                <w:rFonts w:hint="eastAsia" w:asciiTheme="minorEastAsia" w:hAnsiTheme="minorEastAsia" w:eastAsiaTheme="minorEastAsia" w:cstheme="minorEastAsia"/>
                <w:caps w:val="0"/>
                <w:color w:val="auto"/>
                <w:szCs w:val="20"/>
                <w:highlight w:val="none"/>
              </w:rPr>
              <w:t xml:space="preserve">应急预案：运营商应建立应急抢修、抢险救灾预案、并建立与之相应的组织、指挥、设备、物资等安全保障体系、应急预案应至少包括如下内容：设配配置，明确设备数量等。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分，内容不全面的得0分。</w:t>
            </w:r>
            <w:r/>
          </w:p>
        </w:tc>
      </w:tr>
      <w:tr>
        <w:trPr>
          <w:trHeight w:val="771"/>
        </w:trPr>
        <w:tc>
          <w:tcPr>
            <w:tcW w:w="1291"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295" w:type="dxa"/>
            <w:vAlign w:val="center"/>
            <w:textDirection w:val="lrTb"/>
            <w:noWrap w:val="false"/>
          </w:tcPr>
          <w:p>
            <w:pPr>
              <w:ind w:left="0" w:firstLine="0"/>
              <w:jc w:val="left"/>
              <w:pageBreakBefore w:val="0"/>
              <w:spacing w:line="360" w:lineRule="auto"/>
              <w:widowControl/>
              <w:rPr>
                <w:rFonts w:hint="default"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档案管理方案(8分）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仿宋" w:hAnsi="仿宋" w:eastAsia="仿宋" w:cs="仿宋"/>
                <w:color w:val="auto"/>
                <w:spacing w:val="10"/>
                <w:sz w:val="24"/>
                <w:szCs w:val="20"/>
                <w:highlight w:val="none"/>
              </w:rPr>
              <w:t xml:space="preserve">根据供应商提供的档案管理方案（包括运行日志、监测记录、维修记录、</w:t>
            </w:r>
            <w:r>
              <w:rPr>
                <w:rFonts w:hint="eastAsia" w:ascii="仿宋" w:hAnsi="仿宋" w:eastAsia="仿宋" w:cs="仿宋"/>
                <w:color w:val="auto"/>
                <w:spacing w:val="2"/>
                <w:sz w:val="24"/>
                <w:szCs w:val="20"/>
                <w:highlight w:val="none"/>
              </w:rPr>
              <w:t xml:space="preserve"> </w:t>
            </w:r>
            <w:r>
              <w:rPr>
                <w:rFonts w:hint="eastAsia" w:ascii="仿宋" w:hAnsi="仿宋" w:eastAsia="仿宋" w:cs="仿宋"/>
                <w:color w:val="auto"/>
                <w:spacing w:val="9"/>
                <w:sz w:val="24"/>
                <w:szCs w:val="20"/>
                <w:highlight w:val="none"/>
              </w:rPr>
              <w:t xml:space="preserve">污水排放记录表及其他采购人要求提供的材料等）</w:t>
            </w:r>
            <w:r>
              <w:rPr>
                <w:rFonts w:hint="eastAsia" w:ascii="仿宋" w:hAnsi="仿宋" w:cs="仿宋"/>
                <w:color w:val="auto"/>
                <w:spacing w:val="9"/>
                <w:sz w:val="24"/>
                <w:szCs w:val="20"/>
                <w:highlight w:val="none"/>
                <w:lang w:eastAsia="zh-CN"/>
              </w:rPr>
              <w:t xml:space="preserve">、</w:t>
            </w:r>
            <w:r>
              <w:rPr>
                <w:rFonts w:hint="eastAsia" w:ascii="仿宋" w:hAnsi="仿宋" w:cs="仿宋"/>
                <w:color w:val="auto"/>
                <w:spacing w:val="9"/>
                <w:sz w:val="24"/>
                <w:szCs w:val="20"/>
                <w:highlight w:val="none"/>
                <w:lang w:val="en-US" w:eastAsia="zh-CN"/>
              </w:rPr>
              <w:t xml:space="preserve">运行案例等</w:t>
            </w:r>
            <w:r>
              <w:rPr>
                <w:rFonts w:hint="eastAsia" w:ascii="仿宋" w:hAnsi="仿宋" w:eastAsia="仿宋" w:cs="仿宋"/>
                <w:color w:val="auto"/>
                <w:spacing w:val="9"/>
                <w:sz w:val="24"/>
                <w:szCs w:val="20"/>
                <w:highlight w:val="none"/>
              </w:rPr>
              <w:t xml:space="preserve">进行综合评审。</w:t>
            </w:r>
            <w:r>
              <w:rPr>
                <w:rFonts w:hint="eastAsia" w:ascii="仿宋" w:hAnsi="仿宋" w:eastAsia="仿宋" w:cs="仿宋"/>
                <w:color w:val="auto"/>
                <w:spacing w:val="10"/>
                <w:sz w:val="24"/>
                <w:szCs w:val="20"/>
                <w:highlight w:val="none"/>
              </w:rPr>
              <w:t xml:space="preserve">评委根据</w:t>
            </w:r>
            <w:r>
              <w:rPr>
                <w:rFonts w:hint="eastAsia" w:ascii="仿宋" w:hAnsi="仿宋" w:eastAsia="仿宋" w:cs="仿宋"/>
                <w:color w:val="auto"/>
                <w:spacing w:val="9"/>
                <w:sz w:val="24"/>
                <w:szCs w:val="20"/>
                <w:highlight w:val="none"/>
              </w:rPr>
              <w:t xml:space="preserve">内容科</w:t>
            </w:r>
            <w:r>
              <w:rPr>
                <w:rFonts w:hint="eastAsia" w:ascii="仿宋" w:hAnsi="仿宋" w:eastAsia="仿宋" w:cs="仿宋"/>
                <w:color w:val="auto"/>
                <w:spacing w:val="6"/>
                <w:sz w:val="24"/>
                <w:szCs w:val="20"/>
                <w:highlight w:val="none"/>
              </w:rPr>
              <w:t xml:space="preserve">学、可行、全面、有针对性</w:t>
            </w:r>
            <w:r>
              <w:rPr>
                <w:rFonts w:hint="eastAsia" w:ascii="仿宋" w:hAnsi="仿宋" w:eastAsia="仿宋" w:cs="仿宋"/>
                <w:color w:val="auto"/>
                <w:spacing w:val="5"/>
                <w:sz w:val="24"/>
                <w:szCs w:val="20"/>
                <w:highlight w:val="none"/>
              </w:rPr>
              <w:t xml:space="preserve">等方面打分</w:t>
            </w:r>
            <w:r>
              <w:rPr>
                <w:rFonts w:hint="eastAsia" w:asciiTheme="minorEastAsia" w:hAnsiTheme="minorEastAsia" w:eastAsiaTheme="minorEastAsia" w:cstheme="minorEastAsia"/>
                <w:caps w:val="0"/>
                <w:color w:val="auto"/>
                <w:szCs w:val="20"/>
                <w:highlight w:val="none"/>
              </w:rPr>
              <w:t xml:space="preserve">内容完整的得</w:t>
            </w:r>
            <w:r>
              <w:rPr>
                <w:rFonts w:hint="eastAsia" w:asciiTheme="minorEastAsia" w:hAnsiTheme="minorEastAsia" w:eastAsiaTheme="minorEastAsia" w:cstheme="minorEastAsia"/>
                <w:caps w:val="0"/>
                <w:color w:val="auto"/>
                <w:szCs w:val="20"/>
                <w:highlight w:val="none"/>
                <w:lang w:val="en-US" w:eastAsia="zh-CN"/>
              </w:rPr>
              <w:t xml:space="preserve">8</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6</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4</w:t>
            </w:r>
            <w:r>
              <w:rPr>
                <w:rFonts w:hint="eastAsia" w:asciiTheme="minorEastAsia" w:hAnsiTheme="minorEastAsia" w:eastAsiaTheme="minorEastAsia" w:cstheme="minorEastAsia"/>
                <w:caps w:val="0"/>
                <w:color w:val="auto"/>
                <w:szCs w:val="20"/>
                <w:highlight w:val="none"/>
              </w:rPr>
              <w:t xml:space="preserve">分，内容不全面的得</w:t>
            </w:r>
            <w:r>
              <w:rPr>
                <w:rFonts w:hint="eastAsia" w:asciiTheme="minorEastAsia" w:hAnsiTheme="minorEastAsia" w:eastAsiaTheme="minorEastAsia" w:cstheme="minorEastAsia"/>
                <w:caps w:val="0"/>
                <w:color w:val="auto"/>
                <w:szCs w:val="20"/>
                <w:highlight w:val="none"/>
                <w:lang w:val="en-US" w:eastAsia="zh-CN"/>
              </w:rPr>
              <w:t xml:space="preserve">0</w:t>
            </w:r>
            <w:r>
              <w:rPr>
                <w:rFonts w:hint="eastAsia" w:asciiTheme="minorEastAsia" w:hAnsiTheme="minorEastAsia" w:eastAsiaTheme="minorEastAsia" w:cstheme="minorEastAsia"/>
                <w:caps w:val="0"/>
                <w:color w:val="auto"/>
                <w:szCs w:val="20"/>
                <w:highlight w:val="none"/>
              </w:rPr>
              <w:t xml:space="preserve">分。</w:t>
            </w:r>
            <w:r/>
          </w:p>
        </w:tc>
      </w:tr>
      <w:tr>
        <w:trPr>
          <w:trHeight w:val="558"/>
        </w:trPr>
        <w:tc>
          <w:tcPr>
            <w:tcW w:w="1291"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295" w:type="dxa"/>
            <w:vAlign w:val="center"/>
            <w:textDirection w:val="lrTb"/>
            <w:noWrap w:val="false"/>
          </w:tcPr>
          <w:p>
            <w:pPr>
              <w:ind w:left="0" w:firstLine="0"/>
              <w:jc w:val="left"/>
              <w:pageBreakBefore w:val="0"/>
              <w:spacing w:line="360" w:lineRule="auto"/>
              <w:widowControl/>
              <w:rPr>
                <w:rFonts w:hint="eastAsia"/>
                <w:color w:val="auto"/>
                <w:highlight w:val="none"/>
              </w:rPr>
            </w:pPr>
            <w:r>
              <w:rPr>
                <w:rFonts w:hint="eastAsia" w:asciiTheme="minorEastAsia" w:hAnsiTheme="minorEastAsia" w:eastAsiaTheme="minorEastAsia" w:cstheme="minorEastAsia"/>
                <w:caps w:val="0"/>
                <w:color w:val="auto"/>
                <w:szCs w:val="20"/>
                <w:highlight w:val="none"/>
              </w:rPr>
              <w:t xml:space="preserve">移交方案</w:t>
            </w:r>
            <w:r/>
          </w:p>
          <w:p>
            <w:pPr>
              <w:ind w:left="0"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w:t>
            </w:r>
            <w:r>
              <w:rPr>
                <w:rFonts w:hint="eastAsia" w:asciiTheme="minorEastAsia" w:hAnsiTheme="minorEastAsia" w:eastAsiaTheme="minorEastAsia" w:cstheme="minorEastAsia"/>
                <w:caps w:val="0"/>
                <w:color w:val="auto"/>
                <w:szCs w:val="20"/>
                <w:highlight w:val="none"/>
                <w:lang w:val="en-US" w:eastAsia="zh-CN"/>
              </w:rPr>
              <w:t xml:space="preserve">6</w:t>
            </w:r>
            <w:r>
              <w:rPr>
                <w:rFonts w:hint="eastAsia" w:asciiTheme="minorEastAsia" w:hAnsiTheme="minorEastAsia" w:eastAsiaTheme="minorEastAsia" w:cstheme="minorEastAsia"/>
                <w:caps w:val="0"/>
                <w:color w:val="auto"/>
                <w:szCs w:val="20"/>
                <w:highlight w:val="none"/>
              </w:rPr>
              <w:t xml:space="preserve">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（1）</w:t>
            </w:r>
            <w:r>
              <w:rPr>
                <w:rFonts w:hint="eastAsia" w:asciiTheme="minorEastAsia" w:hAnsiTheme="minorEastAsia" w:eastAsiaTheme="minorEastAsia" w:cstheme="minorEastAsia"/>
                <w:caps w:val="0"/>
                <w:color w:val="auto"/>
                <w:szCs w:val="20"/>
                <w:highlight w:val="none"/>
                <w:lang w:val="en-US" w:eastAsia="zh-CN"/>
              </w:rPr>
              <w:t xml:space="preserve">服务期内</w:t>
            </w:r>
            <w:r>
              <w:rPr>
                <w:rFonts w:hint="eastAsia" w:asciiTheme="minorEastAsia" w:hAnsiTheme="minorEastAsia" w:eastAsiaTheme="minorEastAsia" w:cstheme="minorEastAsia"/>
                <w:caps w:val="0"/>
                <w:color w:val="auto"/>
                <w:szCs w:val="20"/>
                <w:highlight w:val="none"/>
              </w:rPr>
              <w:t xml:space="preserve">开始时移交计划、移交验收程序、移交验收标准、移交期限等内容是否合理、可行、完整。内容详细具体、科学合理、措施可靠，组织严谨、针对性强，内容完整的得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1</w:t>
            </w:r>
            <w:r>
              <w:rPr>
                <w:rFonts w:hint="eastAsia" w:asciiTheme="minorEastAsia" w:hAnsiTheme="minorEastAsia" w:eastAsiaTheme="minorEastAsia" w:cstheme="minorEastAsia"/>
                <w:caps w:val="0"/>
                <w:color w:val="auto"/>
                <w:szCs w:val="20"/>
                <w:highlight w:val="none"/>
              </w:rPr>
              <w:t xml:space="preserve">分，内容不全面的得0分。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（2）</w:t>
            </w:r>
            <w:r>
              <w:rPr>
                <w:rFonts w:hint="eastAsia" w:asciiTheme="minorEastAsia" w:hAnsiTheme="minorEastAsia" w:eastAsiaTheme="minorEastAsia" w:cstheme="minorEastAsia"/>
                <w:caps w:val="0"/>
                <w:color w:val="auto"/>
                <w:szCs w:val="20"/>
                <w:highlight w:val="none"/>
                <w:lang w:val="en-US" w:eastAsia="zh-CN"/>
              </w:rPr>
              <w:t xml:space="preserve">服务期内</w:t>
            </w:r>
            <w:r>
              <w:rPr>
                <w:rFonts w:hint="eastAsia" w:asciiTheme="minorEastAsia" w:hAnsiTheme="minorEastAsia" w:eastAsiaTheme="minorEastAsia" w:cstheme="minorEastAsia"/>
                <w:caps w:val="0"/>
                <w:color w:val="auto"/>
                <w:szCs w:val="20"/>
                <w:highlight w:val="none"/>
              </w:rPr>
              <w:t xml:space="preserve">结束时，项目设施移交的工作程序、内容、时间，设备的完好率及缺陷责任期等。内容详细具体、科学合理、措施可靠，组织严谨、针对性强，内容完整的得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2</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1</w:t>
            </w:r>
            <w:r>
              <w:rPr>
                <w:rFonts w:hint="eastAsia" w:asciiTheme="minorEastAsia" w:hAnsiTheme="minorEastAsia" w:eastAsiaTheme="minorEastAsia" w:cstheme="minorEastAsia"/>
                <w:caps w:val="0"/>
                <w:color w:val="auto"/>
                <w:szCs w:val="20"/>
                <w:highlight w:val="none"/>
              </w:rPr>
              <w:t xml:space="preserve">分，内容不全面的得0分。</w:t>
            </w:r>
            <w:r/>
          </w:p>
        </w:tc>
      </w:tr>
      <w:tr>
        <w:trPr>
          <w:trHeight w:val="1404"/>
        </w:trPr>
        <w:tc>
          <w:tcPr>
            <w:tcW w:w="1291" w:type="dxa"/>
            <w:vAlign w:val="center"/>
            <w:vMerge w:val="continue"/>
            <w:textDirection w:val="lrTb"/>
            <w:noWrap w:val="false"/>
          </w:tcPr>
          <w:p>
            <w:pPr>
              <w:ind w:left="0"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295" w:type="dxa"/>
            <w:vAlign w:val="center"/>
            <w:textDirection w:val="lrTb"/>
            <w:noWrap w:val="false"/>
          </w:tcPr>
          <w:p>
            <w:pPr>
              <w:ind w:left="0" w:firstLine="0"/>
              <w:jc w:val="left"/>
              <w:pageBreakBefore w:val="0"/>
              <w:spacing w:line="360" w:lineRule="auto"/>
              <w:widowControl/>
              <w:rPr>
                <w:rFonts w:hint="default" w:asciiTheme="minorEastAsia" w:hAnsiTheme="minorEastAsia" w:eastAsiaTheme="minorEastAsia" w:cstheme="minorEastAsia"/>
                <w:caps w:val="0"/>
                <w:color w:val="auto"/>
                <w:szCs w:val="20"/>
                <w:highlight w:val="none"/>
              </w:rPr>
            </w:pPr>
            <w:r>
              <w:rPr>
                <w:rFonts w:hint="default" w:asciiTheme="minorEastAsia" w:hAnsiTheme="minorEastAsia" w:eastAsiaTheme="minorEastAsia" w:cstheme="minorEastAsia"/>
                <w:caps w:val="0"/>
                <w:color w:val="auto"/>
                <w:szCs w:val="20"/>
                <w:highlight w:val="none"/>
                <w:lang w:val="en-US" w:eastAsia="zh-CN"/>
              </w:rPr>
              <w:t xml:space="preserve">服务体系及服务承诺</w:t>
            </w:r>
            <w:r>
              <w:rPr>
                <w:rFonts w:hint="eastAsia" w:asciiTheme="minorEastAsia" w:hAnsiTheme="minorEastAsia" w:eastAsiaTheme="minorEastAsia" w:cstheme="minorEastAsia"/>
                <w:caps w:val="0"/>
                <w:color w:val="auto"/>
                <w:szCs w:val="20"/>
                <w:highlight w:val="none"/>
                <w:lang w:val="en-US" w:eastAsia="zh-CN"/>
              </w:rPr>
              <w:t xml:space="preserve">（6分）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服务体系及服务承诺</w:t>
            </w:r>
            <w:r>
              <w:rPr>
                <w:rFonts w:hint="eastAsia" w:asciiTheme="minorEastAsia" w:hAnsiTheme="minorEastAsia" w:eastAsiaTheme="minorEastAsia" w:cstheme="minorEastAsia"/>
                <w:caps w:val="0"/>
                <w:color w:val="auto"/>
                <w:szCs w:val="20"/>
                <w:highlight w:val="none"/>
                <w:lang w:eastAsia="zh-CN"/>
              </w:rPr>
              <w:t xml:space="preserve">：</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内容详细具体、科学合理、措施可靠，组织严谨、针对性强，内容完整的得</w:t>
            </w:r>
            <w:r>
              <w:rPr>
                <w:rFonts w:hint="eastAsia" w:asciiTheme="minorEastAsia" w:hAnsiTheme="minorEastAsia" w:eastAsiaTheme="minorEastAsia" w:cstheme="minorEastAsia"/>
                <w:caps w:val="0"/>
                <w:color w:val="auto"/>
                <w:szCs w:val="20"/>
                <w:highlight w:val="none"/>
                <w:lang w:val="en-US" w:eastAsia="zh-CN"/>
              </w:rPr>
              <w:t xml:space="preserve">6</w:t>
            </w:r>
            <w:r>
              <w:rPr>
                <w:rFonts w:hint="eastAsia" w:asciiTheme="minorEastAsia" w:hAnsiTheme="minorEastAsia" w:eastAsiaTheme="minorEastAsia" w:cstheme="minorEastAsia"/>
                <w:caps w:val="0"/>
                <w:color w:val="auto"/>
                <w:szCs w:val="20"/>
                <w:highlight w:val="none"/>
              </w:rPr>
              <w:t xml:space="preserve">分，内容较好、针对性较强的得</w:t>
            </w:r>
            <w:r>
              <w:rPr>
                <w:rFonts w:hint="eastAsia" w:asciiTheme="minorEastAsia" w:hAnsiTheme="minorEastAsia" w:eastAsiaTheme="minorEastAsia" w:cstheme="minorEastAsia"/>
                <w:caps w:val="0"/>
                <w:color w:val="auto"/>
                <w:szCs w:val="20"/>
                <w:highlight w:val="none"/>
                <w:lang w:val="en-US" w:eastAsia="zh-CN"/>
              </w:rPr>
              <w:t xml:space="preserve">5</w:t>
            </w:r>
            <w:r>
              <w:rPr>
                <w:rFonts w:hint="eastAsia" w:asciiTheme="minorEastAsia" w:hAnsiTheme="minorEastAsia" w:eastAsiaTheme="minorEastAsia" w:cstheme="minorEastAsia"/>
                <w:caps w:val="0"/>
                <w:color w:val="auto"/>
                <w:szCs w:val="20"/>
                <w:highlight w:val="none"/>
              </w:rPr>
              <w:t xml:space="preserve">分，内容一般、基本可行的得</w:t>
            </w:r>
            <w:r>
              <w:rPr>
                <w:rFonts w:hint="eastAsia" w:asciiTheme="minorEastAsia" w:hAnsiTheme="minorEastAsia" w:eastAsiaTheme="minorEastAsia" w:cstheme="minorEastAsia"/>
                <w:caps w:val="0"/>
                <w:color w:val="auto"/>
                <w:szCs w:val="20"/>
                <w:highlight w:val="none"/>
                <w:lang w:val="en-US" w:eastAsia="zh-CN"/>
              </w:rPr>
              <w:t xml:space="preserve">3</w:t>
            </w:r>
            <w:r>
              <w:rPr>
                <w:rFonts w:hint="eastAsia" w:asciiTheme="minorEastAsia" w:hAnsiTheme="minorEastAsia" w:eastAsiaTheme="minorEastAsia" w:cstheme="minorEastAsia"/>
                <w:caps w:val="0"/>
                <w:color w:val="auto"/>
                <w:szCs w:val="20"/>
                <w:highlight w:val="none"/>
              </w:rPr>
              <w:t xml:space="preserve">分，内容不全面的得0分。</w:t>
            </w:r>
            <w:r/>
          </w:p>
        </w:tc>
      </w:tr>
      <w:tr>
        <w:trPr>
          <w:trHeight w:val="558"/>
        </w:trPr>
        <w:tc>
          <w:tcPr>
            <w:tcW w:w="1291" w:type="dxa"/>
            <w:vAlign w:val="center"/>
            <w:vMerge w:val="restart"/>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商务部分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rPr>
              <w:t xml:space="preserve">（</w:t>
            </w:r>
            <w:r>
              <w:rPr>
                <w:rFonts w:hint="eastAsia" w:asciiTheme="minorEastAsia" w:hAnsiTheme="minorEastAsia" w:eastAsiaTheme="minorEastAsia" w:cstheme="minorEastAsia"/>
                <w:caps w:val="0"/>
                <w:color w:val="auto"/>
                <w:szCs w:val="20"/>
                <w:highlight w:val="none"/>
                <w:lang w:val="en-US" w:eastAsia="zh-CN"/>
              </w:rPr>
              <w:t xml:space="preserve">14</w:t>
            </w:r>
            <w:r>
              <w:rPr>
                <w:rFonts w:hint="eastAsia" w:asciiTheme="minorEastAsia" w:hAnsiTheme="minorEastAsia" w:eastAsiaTheme="minorEastAsia" w:cstheme="minorEastAsia"/>
                <w:caps w:val="0"/>
                <w:color w:val="auto"/>
                <w:szCs w:val="20"/>
                <w:highlight w:val="none"/>
              </w:rPr>
              <w:t xml:space="preserve">分）</w:t>
            </w:r>
            <w:r/>
          </w:p>
        </w:tc>
        <w:tc>
          <w:tcPr>
            <w:tcW w:w="1295"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投标人业绩</w:t>
            </w:r>
            <w:r/>
          </w:p>
          <w:p>
            <w:pPr>
              <w:ind w:left="0" w:firstLine="0"/>
              <w:jc w:val="center"/>
              <w:pageBreakBefore w:val="0"/>
              <w:spacing w:line="360" w:lineRule="auto"/>
              <w:widowControl/>
              <w:rPr>
                <w:rFonts w:hint="eastAsia"/>
                <w:color w:val="auto"/>
                <w:highlight w:val="none"/>
              </w:rPr>
            </w:pPr>
            <w:r>
              <w:rPr>
                <w:rFonts w:hint="eastAsia" w:asciiTheme="minorEastAsia" w:hAnsiTheme="minorEastAsia" w:eastAsiaTheme="minorEastAsia" w:cstheme="minorEastAsia"/>
                <w:caps w:val="0"/>
                <w:color w:val="auto"/>
                <w:szCs w:val="20"/>
                <w:highlight w:val="none"/>
                <w:lang w:val="en-US" w:eastAsia="zh-CN"/>
              </w:rPr>
              <w:t xml:space="preserve">（4分）</w:t>
            </w:r>
            <w:r/>
          </w:p>
        </w:tc>
        <w:tc>
          <w:tcPr>
            <w:tcW w:w="6736" w:type="dxa"/>
            <w:vAlign w:val="center"/>
            <w:textDirection w:val="lrTb"/>
            <w:noWrap w:val="false"/>
          </w:tcPr>
          <w:p>
            <w:pPr>
              <w:pStyle w:val="916"/>
              <w:numPr>
                <w:ilvl w:val="0"/>
                <w:numId w:val="0"/>
              </w:numPr>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 w:val="24"/>
                <w:szCs w:val="20"/>
                <w:highlight w:val="none"/>
                <w:lang w:val="zh-CN" w:eastAsia="zh-CN" w:bidi="ar-SA"/>
              </w:rPr>
              <w:t xml:space="preserve">投标人自20</w:t>
            </w:r>
            <w:r>
              <w:rPr>
                <w:rFonts w:hint="eastAsia" w:asciiTheme="minorEastAsia" w:hAnsiTheme="minorEastAsia" w:eastAsiaTheme="minorEastAsia" w:cstheme="minorEastAsia"/>
                <w:caps w:val="0"/>
                <w:color w:val="auto"/>
                <w:sz w:val="24"/>
                <w:szCs w:val="20"/>
                <w:highlight w:val="none"/>
                <w:lang w:val="en-US" w:eastAsia="zh-CN" w:bidi="ar-SA"/>
              </w:rPr>
              <w:t xml:space="preserve">21</w:t>
            </w:r>
            <w:r>
              <w:rPr>
                <w:rFonts w:hint="eastAsia" w:asciiTheme="minorEastAsia" w:hAnsiTheme="minorEastAsia" w:eastAsiaTheme="minorEastAsia" w:cstheme="minorEastAsia"/>
                <w:caps w:val="0"/>
                <w:color w:val="auto"/>
                <w:sz w:val="24"/>
                <w:szCs w:val="20"/>
                <w:highlight w:val="none"/>
                <w:lang w:val="zh-CN" w:eastAsia="zh-CN" w:bidi="ar-SA"/>
              </w:rPr>
              <w:t xml:space="preserve">年1月1日（含，以合同签订时间为准）以来</w:t>
            </w:r>
            <w:r>
              <w:rPr>
                <w:rFonts w:hint="eastAsia" w:asciiTheme="minorEastAsia" w:hAnsiTheme="minorEastAsia" w:eastAsiaTheme="minorEastAsia" w:cstheme="minorEastAsia"/>
                <w:caps w:val="0"/>
                <w:color w:val="auto"/>
                <w:sz w:val="24"/>
                <w:szCs w:val="20"/>
                <w:highlight w:val="none"/>
                <w:lang w:val="en-US" w:eastAsia="zh-CN" w:bidi="ar-SA"/>
              </w:rPr>
              <w:t xml:space="preserve">承担过</w:t>
            </w:r>
            <w:r>
              <w:rPr>
                <w:rFonts w:hint="eastAsia" w:asciiTheme="minorEastAsia" w:hAnsiTheme="minorEastAsia" w:eastAsiaTheme="minorEastAsia" w:cstheme="minorEastAsia"/>
                <w:caps w:val="0"/>
                <w:color w:val="auto"/>
                <w:sz w:val="24"/>
                <w:szCs w:val="20"/>
                <w:highlight w:val="none"/>
                <w:lang w:val="zh-CN" w:eastAsia="zh-CN" w:bidi="ar-SA"/>
              </w:rPr>
              <w:t xml:space="preserve">医院“</w:t>
            </w:r>
            <w:r>
              <w:rPr>
                <w:rFonts w:hint="eastAsia" w:asciiTheme="minorEastAsia" w:hAnsiTheme="minorEastAsia" w:eastAsiaTheme="minorEastAsia" w:cstheme="minorEastAsia"/>
                <w:caps w:val="0"/>
                <w:color w:val="auto"/>
                <w:sz w:val="24"/>
                <w:szCs w:val="20"/>
                <w:highlight w:val="none"/>
                <w:lang w:val="en-US" w:eastAsia="zh-CN" w:bidi="ar-SA"/>
              </w:rPr>
              <w:t xml:space="preserve">污水处理运营维保</w:t>
            </w:r>
            <w:r>
              <w:rPr>
                <w:rFonts w:hint="eastAsia" w:asciiTheme="minorEastAsia" w:hAnsiTheme="minorEastAsia" w:eastAsiaTheme="minorEastAsia" w:cstheme="minorEastAsia"/>
                <w:caps w:val="0"/>
                <w:color w:val="auto"/>
                <w:sz w:val="24"/>
                <w:szCs w:val="20"/>
                <w:highlight w:val="none"/>
                <w:lang w:val="zh-CN" w:eastAsia="zh-CN" w:bidi="ar-SA"/>
              </w:rPr>
              <w:t xml:space="preserve">”</w:t>
            </w:r>
            <w:r>
              <w:rPr>
                <w:rFonts w:hint="eastAsia" w:asciiTheme="minorEastAsia" w:hAnsiTheme="minorEastAsia" w:eastAsiaTheme="minorEastAsia" w:cstheme="minorEastAsia"/>
                <w:caps w:val="0"/>
                <w:color w:val="auto"/>
                <w:sz w:val="24"/>
                <w:szCs w:val="20"/>
                <w:highlight w:val="none"/>
                <w:lang w:val="en-US" w:eastAsia="zh-CN" w:bidi="ar-SA"/>
              </w:rPr>
              <w:t xml:space="preserve">相关</w:t>
            </w:r>
            <w:r>
              <w:rPr>
                <w:rFonts w:hint="eastAsia" w:asciiTheme="minorEastAsia" w:hAnsiTheme="minorEastAsia" w:eastAsiaTheme="minorEastAsia" w:cstheme="minorEastAsia"/>
                <w:caps w:val="0"/>
                <w:color w:val="auto"/>
                <w:sz w:val="24"/>
                <w:szCs w:val="20"/>
                <w:highlight w:val="none"/>
                <w:lang w:val="zh-CN" w:eastAsia="zh-CN" w:bidi="ar-SA"/>
              </w:rPr>
              <w:t xml:space="preserve">业绩，每有一份得</w:t>
            </w:r>
            <w:r>
              <w:rPr>
                <w:rFonts w:hint="eastAsia" w:asciiTheme="minorEastAsia" w:hAnsiTheme="minorEastAsia" w:eastAsiaTheme="minorEastAsia" w:cstheme="minorEastAsia"/>
                <w:caps w:val="0"/>
                <w:color w:val="auto"/>
                <w:sz w:val="24"/>
                <w:szCs w:val="20"/>
                <w:highlight w:val="none"/>
                <w:lang w:val="en-US" w:eastAsia="zh-CN" w:bidi="ar-SA"/>
              </w:rPr>
              <w:t xml:space="preserve">2</w:t>
            </w:r>
            <w:r>
              <w:rPr>
                <w:rFonts w:hint="eastAsia" w:asciiTheme="minorEastAsia" w:hAnsiTheme="minorEastAsia" w:eastAsiaTheme="minorEastAsia" w:cstheme="minorEastAsia"/>
                <w:caps w:val="0"/>
                <w:color w:val="auto"/>
                <w:sz w:val="24"/>
                <w:szCs w:val="20"/>
                <w:highlight w:val="none"/>
                <w:lang w:val="zh-CN" w:eastAsia="zh-CN" w:bidi="ar-SA"/>
              </w:rPr>
              <w:t xml:space="preserve">分，最多得</w:t>
            </w:r>
            <w:r>
              <w:rPr>
                <w:rFonts w:hint="eastAsia" w:asciiTheme="minorEastAsia" w:hAnsiTheme="minorEastAsia" w:eastAsiaTheme="minorEastAsia" w:cstheme="minorEastAsia"/>
                <w:caps w:val="0"/>
                <w:color w:val="auto"/>
                <w:sz w:val="24"/>
                <w:szCs w:val="20"/>
                <w:highlight w:val="none"/>
                <w:lang w:val="en-US" w:eastAsia="zh-CN" w:bidi="ar-SA"/>
              </w:rPr>
              <w:t xml:space="preserve">4</w:t>
            </w:r>
            <w:r>
              <w:rPr>
                <w:rFonts w:hint="eastAsia" w:asciiTheme="minorEastAsia" w:hAnsiTheme="minorEastAsia" w:eastAsiaTheme="minorEastAsia" w:cstheme="minorEastAsia"/>
                <w:caps w:val="0"/>
                <w:color w:val="auto"/>
                <w:sz w:val="24"/>
                <w:szCs w:val="20"/>
                <w:highlight w:val="none"/>
                <w:lang w:val="zh-CN" w:eastAsia="zh-CN" w:bidi="ar-SA"/>
              </w:rPr>
              <w:t xml:space="preserve">分。</w:t>
            </w:r>
            <w:r>
              <w:rPr>
                <w:rFonts w:hint="eastAsia" w:asciiTheme="minorEastAsia" w:hAnsiTheme="minorEastAsia" w:eastAsiaTheme="minorEastAsia" w:cstheme="minorEastAsia"/>
                <w:caps w:val="0"/>
                <w:color w:val="auto"/>
                <w:sz w:val="24"/>
                <w:szCs w:val="20"/>
                <w:highlight w:val="none"/>
                <w:lang w:val="en-US" w:eastAsia="zh-CN" w:bidi="ar-SA"/>
              </w:rPr>
              <w:t xml:space="preserve">需提供类似业绩的合同及中标通知书原件扫描件，二者缺一不可，扫描件</w:t>
            </w:r>
            <w:r>
              <w:rPr>
                <w:rFonts w:hint="eastAsia" w:asciiTheme="minorEastAsia" w:hAnsiTheme="minorEastAsia" w:eastAsiaTheme="minorEastAsia" w:cstheme="minorEastAsia"/>
                <w:caps w:val="0"/>
                <w:color w:val="auto"/>
                <w:sz w:val="24"/>
                <w:szCs w:val="20"/>
                <w:highlight w:val="none"/>
                <w:lang w:val="zh-CN" w:eastAsia="zh-CN" w:bidi="ar-SA"/>
              </w:rPr>
              <w:t xml:space="preserve">附在响应文件中并</w:t>
            </w:r>
            <w:r>
              <w:rPr>
                <w:rFonts w:hint="eastAsia" w:asciiTheme="minorEastAsia" w:hAnsiTheme="minorEastAsia" w:eastAsiaTheme="minorEastAsia" w:cstheme="minorEastAsia"/>
                <w:caps w:val="0"/>
                <w:color w:val="auto"/>
                <w:sz w:val="24"/>
                <w:szCs w:val="20"/>
                <w:highlight w:val="none"/>
                <w:lang w:val="en-US" w:eastAsia="zh-CN" w:bidi="ar-SA"/>
              </w:rPr>
              <w:t xml:space="preserve">加盖单位公章，否则不予认可。</w:t>
            </w:r>
            <w:r/>
          </w:p>
        </w:tc>
      </w:tr>
      <w:tr>
        <w:trPr>
          <w:trHeight w:val="558"/>
        </w:trPr>
        <w:tc>
          <w:tcPr>
            <w:tcW w:w="1291"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rPr>
                <w:rFonts w:hint="eastAsia" w:asciiTheme="minorEastAsia" w:hAnsiTheme="minorEastAsia" w:eastAsiaTheme="minorEastAsia" w:cstheme="minorEastAsia"/>
                <w:caps w:val="0"/>
                <w:szCs w:val="20"/>
                <w:highlight w:val="none"/>
              </w:rPr>
            </w:r>
            <w:r/>
          </w:p>
        </w:tc>
        <w:tc>
          <w:tcPr>
            <w:tcW w:w="1295" w:type="dxa"/>
            <w:vAlign w:val="center"/>
            <w:textDirection w:val="lrTb"/>
            <w:noWrap w:val="false"/>
          </w:tcPr>
          <w:p>
            <w:pPr>
              <w:ind w:left="0" w:firstLine="0"/>
              <w:jc w:val="center"/>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人员配备（6分）</w:t>
            </w:r>
            <w:r/>
          </w:p>
        </w:tc>
        <w:tc>
          <w:tcPr>
            <w:tcW w:w="6736"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1、具备有效的污水处理操作工高级证书的得3分，具备有效的污水处理操作工中级证书的得2分，其余不得分。</w:t>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2、具备有效的环保工程师高级证书的得3分，具备有效的环保工程师中级证书的得2分，其余不得分。</w:t>
            </w:r>
            <w:r/>
          </w:p>
          <w:p>
            <w:pPr>
              <w:ind w:firstLine="0"/>
              <w:jc w:val="left"/>
              <w:pageBreakBefore w:val="0"/>
              <w:spacing w:line="360" w:lineRule="auto"/>
              <w:widowControl/>
              <w:rPr>
                <w:rFonts w:hint="eastAsia" w:asciiTheme="minorEastAsia" w:hAnsiTheme="minorEastAsia" w:eastAsiaTheme="minorEastAsia" w:cstheme="minorEastAsia"/>
                <w:b/>
                <w:bCs/>
                <w:caps w:val="0"/>
                <w:color w:val="auto"/>
                <w:szCs w:val="20"/>
                <w:highlight w:val="none"/>
              </w:rPr>
            </w:pPr>
            <w:r>
              <w:rPr>
                <w:rFonts w:hint="eastAsia" w:asciiTheme="minorEastAsia" w:hAnsiTheme="minorEastAsia" w:eastAsiaTheme="minorEastAsia" w:cstheme="minorEastAsia"/>
                <w:b/>
                <w:bCs/>
                <w:caps w:val="0"/>
                <w:color w:val="auto"/>
                <w:szCs w:val="20"/>
                <w:highlight w:val="none"/>
                <w:lang w:val="en-US" w:eastAsia="zh-CN"/>
              </w:rPr>
              <w:t xml:space="preserve">投标文件中提供相关人员资质证书原件扫描件及所投入人员近6个月内连续3月的社保缴纳证明材料，否则不得分。</w:t>
            </w:r>
            <w:r/>
          </w:p>
          <w:p>
            <w:pPr>
              <w:ind w:firstLine="0"/>
              <w:jc w:val="left"/>
              <w:pageBreakBefore w:val="0"/>
              <w:spacing w:line="360" w:lineRule="auto"/>
              <w:widowControl/>
              <w:rPr>
                <w:rFonts w:hint="default" w:asciiTheme="minorEastAsia" w:hAnsiTheme="minorEastAsia" w:eastAsiaTheme="minorEastAsia" w:cstheme="minorEastAsia"/>
                <w:b/>
                <w:bCs/>
                <w:caps w:val="0"/>
                <w:color w:val="auto"/>
                <w:szCs w:val="20"/>
                <w:highlight w:val="none"/>
              </w:rPr>
            </w:pPr>
            <w:r>
              <w:rPr>
                <w:rFonts w:hint="eastAsia" w:asciiTheme="minorEastAsia" w:hAnsiTheme="minorEastAsia" w:eastAsiaTheme="minorEastAsia" w:cstheme="minorEastAsia"/>
                <w:b/>
                <w:bCs/>
                <w:caps w:val="0"/>
                <w:color w:val="auto"/>
                <w:szCs w:val="20"/>
                <w:highlight w:val="none"/>
                <w:lang w:val="en-US" w:eastAsia="zh-CN"/>
              </w:rPr>
              <w:t xml:space="preserve">注：以上人员不重复计分。</w:t>
            </w:r>
            <w:r/>
          </w:p>
        </w:tc>
      </w:tr>
      <w:tr>
        <w:trPr>
          <w:trHeight w:val="558"/>
        </w:trPr>
        <w:tc>
          <w:tcPr>
            <w:tcW w:w="1291" w:type="dxa"/>
            <w:vAlign w:val="center"/>
            <w:vMerge w:val="continue"/>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szCs w:val="20"/>
                <w:highlight w:val="none"/>
              </w:rPr>
            </w:pPr>
            <w:r/>
            <w:bookmarkStart w:id="31" w:name="_GoBack"/>
            <w:r/>
            <w:r/>
          </w:p>
        </w:tc>
        <w:tc>
          <w:tcPr>
            <w:shd w:val="clear" w:color="auto" w:fill="auto"/>
            <w:tcW w:w="1295" w:type="dxa"/>
            <w:vAlign w:val="center"/>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企业等级（4分）</w:t>
            </w:r>
            <w:r>
              <w:rPr>
                <w:highlight w:val="none"/>
              </w:rPr>
            </w:r>
            <w:r/>
          </w:p>
        </w:tc>
        <w:tc>
          <w:tcPr>
            <w:shd w:val="clear" w:color="auto" w:fill="auto"/>
            <w:tcW w:w="6736" w:type="dxa"/>
            <w:vAlign w:val="top"/>
            <w:textDirection w:val="lrTb"/>
            <w:noWrap w:val="false"/>
          </w:tcPr>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1、具备有效的污水处理服务企业资质证书一级的得2分，具备有效的污水处理服务企业资质证书二级的得1分，其余不得分。</w:t>
            </w:r>
            <w:r>
              <w:rPr>
                <w:highlight w:val="none"/>
              </w:rPr>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caps w:val="0"/>
                <w:color w:val="auto"/>
                <w:szCs w:val="20"/>
                <w:highlight w:val="none"/>
                <w:lang w:val="en-US" w:eastAsia="zh-CN"/>
              </w:rPr>
              <w:t xml:space="preserve">2、具备有效的环境保护设备设施运营服务企业资质证书一级的得2分，具备有效的环境保护设备设施运营服务企业资质证书二级的得1分，其余不得分。</w:t>
            </w:r>
            <w:r>
              <w:rPr>
                <w:highlight w:val="none"/>
              </w:rPr>
            </w:r>
            <w:r/>
          </w:p>
          <w:p>
            <w:pPr>
              <w:ind w:firstLine="0"/>
              <w:jc w:val="left"/>
              <w:pageBreakBefore w:val="0"/>
              <w:spacing w:line="360" w:lineRule="auto"/>
              <w:widowControl/>
              <w:rPr>
                <w:rFonts w:hint="eastAsia" w:asciiTheme="minorEastAsia" w:hAnsiTheme="minorEastAsia" w:eastAsiaTheme="minorEastAsia" w:cstheme="minorEastAsia"/>
                <w:caps w:val="0"/>
                <w:color w:val="auto"/>
                <w:szCs w:val="20"/>
                <w:highlight w:val="none"/>
              </w:rPr>
            </w:pPr>
            <w:r>
              <w:rPr>
                <w:rFonts w:hint="eastAsia" w:asciiTheme="minorEastAsia" w:hAnsiTheme="minorEastAsia" w:eastAsiaTheme="minorEastAsia" w:cstheme="minorEastAsia"/>
                <w:b/>
                <w:bCs/>
                <w:caps w:val="0"/>
                <w:color w:val="auto"/>
                <w:szCs w:val="20"/>
                <w:highlight w:val="none"/>
                <w:lang w:val="en-US" w:eastAsia="zh-CN"/>
              </w:rPr>
              <w:t xml:space="preserve">投标文件中提供相关资质证书复印件，否则不得分。</w:t>
            </w:r>
            <w:bookmarkEnd w:id="31"/>
            <w:r>
              <w:rPr>
                <w:highlight w:val="none"/>
              </w:rPr>
            </w:r>
            <w:r/>
          </w:p>
        </w:tc>
      </w:tr>
    </w:tbl>
    <w:p>
      <w:pPr>
        <w:pStyle w:val="823"/>
        <w:ind w:firstLine="0"/>
        <w:jc w:val="both"/>
        <w:pageBreakBefore w:val="0"/>
        <w:spacing w:line="360" w:lineRule="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本章说明：本项目采用综合评分法。</w:t>
      </w:r>
      <w:r/>
    </w:p>
    <w:p>
      <w:pPr>
        <w:pStyle w:val="823"/>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23"/>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ind w:firstLine="0"/>
        <w:pageBreakBefore w:val="0"/>
        <w:spacing w:line="360" w:lineRule="auto"/>
        <w:rPr>
          <w:rFonts w:hint="eastAsia" w:asciiTheme="minorEastAsia" w:hAnsiTheme="minorEastAsia" w:eastAsiaTheme="minorEastAsia" w:cstheme="minorEastAsia"/>
          <w:caps w:val="0"/>
          <w:color w:val="auto"/>
          <w:highlight w:val="none"/>
        </w:rPr>
      </w:pPr>
      <w:r>
        <w:rPr>
          <w:rFonts w:hint="eastAsia" w:asciiTheme="minorEastAsia" w:hAnsiTheme="minorEastAsia" w:eastAsiaTheme="minorEastAsia" w:cstheme="minorEastAsia"/>
          <w:caps w:val="0"/>
          <w:color w:val="auto"/>
          <w:highlight w:val="none"/>
        </w:rPr>
      </w:r>
      <w:r/>
    </w:p>
    <w:p>
      <w:pPr>
        <w:pStyle w:val="809"/>
        <w:numPr>
          <w:ilvl w:val="0"/>
          <w:numId w:val="1"/>
        </w:numPr>
        <w:ind w:left="0" w:firstLine="0"/>
        <w:pageBreakBefore w:val="0"/>
        <w:spacing w:line="360" w:lineRule="auto"/>
        <w:rPr>
          <w:rFonts w:hint="eastAsia" w:asciiTheme="minorEastAsia" w:hAnsiTheme="minorEastAsia" w:eastAsiaTheme="minorEastAsia" w:cstheme="minorEastAsia"/>
          <w:color w:val="auto"/>
          <w:highlight w:val="none"/>
        </w:rPr>
      </w:pPr>
      <w:r/>
      <w:bookmarkStart w:id="5" w:name="_Toc4807"/>
      <w:r>
        <w:rPr>
          <w:rFonts w:hint="eastAsia" w:asciiTheme="minorEastAsia" w:hAnsiTheme="minorEastAsia" w:eastAsiaTheme="minorEastAsia" w:cstheme="minorEastAsia"/>
          <w:color w:val="auto"/>
          <w:highlight w:val="none"/>
        </w:rPr>
        <w:t xml:space="preserve">拟签订的合同文本</w:t>
      </w:r>
      <w:bookmarkEnd w:id="5"/>
      <w:r/>
      <w:r/>
    </w:p>
    <w:p>
      <w:pPr>
        <w:numPr>
          <w:ilvl w:val="0"/>
          <w:numId w:val="0"/>
        </w:num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904"/>
        <w:ind w:firstLine="0"/>
        <w:pageBreakBefore w:val="0"/>
        <w:spacing w:line="360" w:lineRule="auto"/>
        <w:rPr>
          <w:rFonts w:hint="eastAsia" w:asciiTheme="minorEastAsia" w:hAnsiTheme="minorEastAsia" w:eastAsiaTheme="minorEastAsia" w:cstheme="minorEastAsia"/>
          <w:caps w:val="0"/>
          <w:color w:val="auto"/>
          <w:sz w:val="32"/>
          <w:szCs w:val="32"/>
          <w:highlight w:val="none"/>
        </w:rPr>
      </w:pPr>
      <w:r>
        <w:rPr>
          <w:rFonts w:hint="eastAsia" w:asciiTheme="minorEastAsia" w:hAnsiTheme="minorEastAsia" w:eastAsiaTheme="minorEastAsia" w:cstheme="minorEastAsia"/>
          <w:caps w:val="0"/>
          <w:color w:val="auto"/>
          <w:sz w:val="28"/>
          <w:szCs w:val="28"/>
          <w:highlight w:val="none"/>
        </w:rPr>
        <w:t xml:space="preserve">项目名称：</w:t>
      </w:r>
      <w:r>
        <w:rPr>
          <w:rFonts w:hint="eastAsia" w:asciiTheme="minorEastAsia" w:hAnsiTheme="minorEastAsia" w:eastAsiaTheme="minorEastAsia" w:cstheme="minorEastAsia"/>
          <w:bCs/>
          <w:caps w:val="0"/>
          <w:color w:val="auto"/>
          <w:sz w:val="28"/>
          <w:szCs w:val="28"/>
          <w:highlight w:val="none"/>
          <w:lang w:eastAsia="zh-CN"/>
        </w:rPr>
        <w:t xml:space="preserve">沛县人民医院污水处理运维外包项目</w:t>
      </w:r>
      <w:r/>
    </w:p>
    <w:p>
      <w:pPr>
        <w:pStyle w:val="904"/>
        <w:ind w:firstLine="0"/>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caps w:val="0"/>
          <w:color w:val="auto"/>
          <w:sz w:val="28"/>
          <w:szCs w:val="28"/>
          <w:highlight w:val="none"/>
        </w:rPr>
        <w:t xml:space="preserve">项目编号：</w:t>
      </w:r>
      <w:r/>
    </w:p>
    <w:p>
      <w:pPr>
        <w:pStyle w:val="904"/>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政</w:t>
      </w:r>
      <w:r/>
    </w:p>
    <w:p>
      <w:pPr>
        <w:pStyle w:val="904"/>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府</w:t>
      </w:r>
      <w:r/>
    </w:p>
    <w:p>
      <w:pPr>
        <w:pStyle w:val="904"/>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采</w:t>
      </w:r>
      <w:r/>
    </w:p>
    <w:p>
      <w:pPr>
        <w:pStyle w:val="904"/>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购</w:t>
      </w:r>
      <w:r/>
    </w:p>
    <w:p>
      <w:pPr>
        <w:pStyle w:val="904"/>
        <w:ind w:firstLine="0"/>
        <w:jc w:val="center"/>
        <w:pageBreakBefore w:val="0"/>
        <w:spacing w:line="360" w:lineRule="auto"/>
        <w:rPr>
          <w:rFonts w:hint="eastAsia" w:asciiTheme="minorEastAsia" w:hAnsiTheme="minorEastAsia" w:eastAsiaTheme="minorEastAsia" w:cstheme="minorEastAsia"/>
          <w:b/>
          <w:bCs/>
          <w:caps w:val="0"/>
          <w:color w:val="auto"/>
          <w:sz w:val="52"/>
          <w:szCs w:val="52"/>
          <w:highlight w:val="none"/>
        </w:rPr>
      </w:pPr>
      <w:r>
        <w:rPr>
          <w:rFonts w:hint="eastAsia" w:asciiTheme="minorEastAsia" w:hAnsiTheme="minorEastAsia" w:eastAsiaTheme="minorEastAsia" w:cstheme="minorEastAsia"/>
          <w:b/>
          <w:bCs/>
          <w:caps w:val="0"/>
          <w:color w:val="auto"/>
          <w:sz w:val="52"/>
          <w:szCs w:val="52"/>
          <w:highlight w:val="none"/>
        </w:rPr>
        <w:t xml:space="preserve">合</w:t>
      </w:r>
      <w:r/>
    </w:p>
    <w:p>
      <w:pPr>
        <w:pStyle w:val="904"/>
        <w:ind w:firstLine="0"/>
        <w:jc w:val="center"/>
        <w:pageBreakBefore w:val="0"/>
        <w:spacing w:line="360" w:lineRule="auto"/>
        <w:rPr>
          <w:rFonts w:hint="eastAsia"/>
          <w:color w:val="auto"/>
          <w:highlight w:val="none"/>
        </w:rPr>
      </w:pPr>
      <w:r>
        <w:rPr>
          <w:rFonts w:hint="eastAsia" w:asciiTheme="minorEastAsia" w:hAnsiTheme="minorEastAsia" w:eastAsiaTheme="minorEastAsia" w:cstheme="minorEastAsia"/>
          <w:b/>
          <w:bCs/>
          <w:caps w:val="0"/>
          <w:color w:val="auto"/>
          <w:sz w:val="52"/>
          <w:szCs w:val="52"/>
          <w:highlight w:val="none"/>
        </w:rPr>
        <w:t xml:space="preserve">同</w:t>
      </w:r>
      <w:r/>
    </w:p>
    <w:p>
      <w:pPr>
        <w:pStyle w:val="904"/>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采  购  人：</w:t>
      </w:r>
      <w:r/>
    </w:p>
    <w:p>
      <w:pPr>
        <w:pStyle w:val="904"/>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中标</w:t>
      </w:r>
      <w:r>
        <w:rPr>
          <w:rFonts w:hint="eastAsia" w:asciiTheme="minorEastAsia" w:hAnsiTheme="minorEastAsia" w:eastAsiaTheme="minorEastAsia" w:cstheme="minorEastAsia"/>
          <w:caps w:val="0"/>
          <w:color w:val="auto"/>
          <w:sz w:val="28"/>
          <w:szCs w:val="28"/>
          <w:highlight w:val="none"/>
          <w:lang w:eastAsia="zh-CN"/>
        </w:rPr>
        <w:t xml:space="preserve">投标人</w:t>
      </w:r>
      <w:r>
        <w:rPr>
          <w:rFonts w:hint="eastAsia" w:asciiTheme="minorEastAsia" w:hAnsiTheme="minorEastAsia" w:eastAsiaTheme="minorEastAsia" w:cstheme="minorEastAsia"/>
          <w:caps w:val="0"/>
          <w:color w:val="auto"/>
          <w:sz w:val="28"/>
          <w:szCs w:val="28"/>
          <w:highlight w:val="none"/>
        </w:rPr>
        <w:t xml:space="preserve">：</w:t>
      </w:r>
      <w:r/>
    </w:p>
    <w:p>
      <w:pPr>
        <w:pStyle w:val="904"/>
        <w:ind w:firstLine="0"/>
        <w:pageBreakBefore w:val="0"/>
        <w:spacing w:line="360" w:lineRule="auto"/>
        <w:rPr>
          <w:rFonts w:hint="eastAsia"/>
          <w:color w:val="auto"/>
          <w:highlight w:val="none"/>
        </w:rPr>
      </w:pPr>
      <w:r>
        <w:rPr>
          <w:rFonts w:hint="eastAsia" w:asciiTheme="minorEastAsia" w:hAnsiTheme="minorEastAsia" w:eastAsiaTheme="minorEastAsia" w:cstheme="minorEastAsia"/>
          <w:caps w:val="0"/>
          <w:color w:val="auto"/>
          <w:sz w:val="28"/>
          <w:szCs w:val="28"/>
          <w:highlight w:val="none"/>
        </w:rPr>
        <w:t xml:space="preserve">合同签订日期： 年 月 日</w:t>
      </w:r>
      <w:r/>
    </w:p>
    <w:p>
      <w:pPr>
        <w:pStyle w:val="904"/>
        <w:ind w:firstLine="0"/>
        <w:pageBreakBefore w:val="0"/>
        <w:spacing w:line="360" w:lineRule="auto"/>
        <w:rPr>
          <w:rFonts w:hint="eastAsia" w:asciiTheme="minorEastAsia" w:hAnsiTheme="minorEastAsia" w:eastAsiaTheme="minorEastAsia" w:cstheme="minorEastAsia"/>
          <w:b/>
          <w:bCs/>
          <w:caps w:val="0"/>
          <w:color w:val="auto"/>
          <w:sz w:val="22"/>
          <w:szCs w:val="22"/>
          <w:highlight w:val="none"/>
        </w:rPr>
      </w:pPr>
      <w:r>
        <w:rPr>
          <w:rFonts w:hint="eastAsia" w:asciiTheme="minorEastAsia" w:hAnsiTheme="minorEastAsia" w:eastAsiaTheme="minorEastAsia" w:cstheme="minorEastAsia"/>
          <w:b/>
          <w:bCs/>
          <w:caps w:val="0"/>
          <w:color w:val="auto"/>
          <w:sz w:val="22"/>
          <w:szCs w:val="22"/>
          <w:highlight w:val="none"/>
        </w:rPr>
        <w:t xml:space="preserve">友情提醒：采购人与中标、中标</w:t>
      </w:r>
      <w:r>
        <w:rPr>
          <w:rFonts w:hint="eastAsia" w:asciiTheme="minorEastAsia" w:hAnsiTheme="minorEastAsia" w:eastAsiaTheme="minorEastAsia" w:cstheme="minorEastAsia"/>
          <w:b/>
          <w:bCs/>
          <w:caps w:val="0"/>
          <w:color w:val="auto"/>
          <w:sz w:val="22"/>
          <w:szCs w:val="22"/>
          <w:highlight w:val="none"/>
          <w:lang w:eastAsia="zh-CN"/>
        </w:rPr>
        <w:t xml:space="preserve">投标人</w:t>
      </w:r>
      <w:r>
        <w:rPr>
          <w:rFonts w:hint="eastAsia" w:asciiTheme="minorEastAsia" w:hAnsiTheme="minorEastAsia" w:eastAsiaTheme="minorEastAsia" w:cstheme="minorEastAsia"/>
          <w:b/>
          <w:bCs/>
          <w:caps w:val="0"/>
          <w:color w:val="auto"/>
          <w:sz w:val="22"/>
          <w:szCs w:val="22"/>
          <w:highlight w:val="none"/>
        </w:rPr>
        <w:t xml:space="preserve">应当在中标、中标通知书发出之日起三十日内，按照采购文件确定的事项签订政府采购合同。</w:t>
      </w:r>
      <w:r/>
    </w:p>
    <w:p>
      <w:pPr>
        <w:pStyle w:val="904"/>
        <w:ind w:firstLine="0"/>
        <w:pageBreakBefore w:val="0"/>
        <w:spacing w:line="360" w:lineRule="auto"/>
        <w:rPr>
          <w:rFonts w:hint="eastAsia" w:asciiTheme="minorEastAsia" w:hAnsiTheme="minorEastAsia" w:eastAsiaTheme="minorEastAsia" w:cstheme="minorEastAsia"/>
          <w:caps w:val="0"/>
          <w:color w:val="auto"/>
          <w:sz w:val="21"/>
          <w:szCs w:val="21"/>
          <w:highlight w:val="none"/>
        </w:rPr>
      </w:pPr>
      <w:r>
        <w:rPr>
          <w:rFonts w:hint="eastAsia" w:asciiTheme="minorEastAsia" w:hAnsiTheme="minorEastAsia" w:eastAsiaTheme="minorEastAsia" w:cstheme="minorEastAsia"/>
          <w:b/>
          <w:bCs/>
          <w:caps w:val="0"/>
          <w:color w:val="auto"/>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0"/>
        <w:jc w:val="center"/>
        <w:pageBreakBefore w:val="0"/>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 xml:space="preserve">沛县人民医院污水处理运维外包项目</w:t>
      </w:r>
      <w:r>
        <w:rPr>
          <w:rFonts w:hint="eastAsia" w:asciiTheme="minorEastAsia" w:hAnsiTheme="minorEastAsia" w:eastAsiaTheme="minorEastAsia" w:cstheme="minorEastAsia"/>
          <w:b/>
          <w:bCs/>
          <w:color w:val="auto"/>
          <w:sz w:val="32"/>
          <w:szCs w:val="32"/>
          <w:highlight w:val="none"/>
        </w:rPr>
        <w:t xml:space="preserve">合同</w:t>
      </w:r>
      <w:r/>
    </w:p>
    <w:p>
      <w:pPr>
        <w:pStyle w:val="830"/>
        <w:ind w:firstLine="0"/>
        <w:jc w:val="center"/>
        <w:pageBreakBefore w:val="0"/>
        <w:spacing w:before="120" w:after="120"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（本合同为合同</w:t>
      </w:r>
      <w:r>
        <w:rPr>
          <w:rFonts w:hint="eastAsia" w:asciiTheme="minorEastAsia" w:hAnsiTheme="minorEastAsia" w:eastAsiaTheme="minorEastAsia" w:cstheme="minorEastAsia"/>
          <w:b/>
          <w:color w:val="auto"/>
          <w:sz w:val="24"/>
          <w:szCs w:val="24"/>
          <w:highlight w:val="none"/>
          <w:lang w:val="en-US" w:eastAsia="zh-CN"/>
        </w:rPr>
        <w:t xml:space="preserve">样板</w:t>
      </w:r>
      <w:r>
        <w:rPr>
          <w:rFonts w:hint="eastAsia" w:asciiTheme="minorEastAsia" w:hAnsiTheme="minorEastAsia" w:eastAsiaTheme="minorEastAsia" w:cstheme="minorEastAsia"/>
          <w:b/>
          <w:color w:val="auto"/>
          <w:sz w:val="24"/>
          <w:szCs w:val="24"/>
          <w:highlight w:val="none"/>
        </w:rPr>
        <w:t xml:space="preserve">，最终稿由双方协商后确定）</w:t>
      </w:r>
      <w:r/>
    </w:p>
    <w:p>
      <w:pPr>
        <w:contextualSpacing/>
        <w:ind w:firstLine="480"/>
        <w:jc w:val="left"/>
        <w:keepLines w:val="0"/>
        <w:keepNext w:val="0"/>
        <w:pageBreakBefore w:val="0"/>
        <w:spacing w:line="440" w:lineRule="exact"/>
        <w:widowControl w:val="off"/>
        <w:tabs>
          <w:tab w:val="left" w:pos="1187" w:leader="none"/>
          <w:tab w:val="left" w:pos="5297" w:leader="none"/>
          <w:tab w:val="left" w:pos="6738"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lang w:eastAsia="zh-CN"/>
        </w:rPr>
        <w:t xml:space="preserve">沛县人民医院</w:t>
      </w:r>
      <w:r/>
    </w:p>
    <w:p>
      <w:pPr>
        <w:contextualSpacing/>
        <w:ind w:firstLine="480"/>
        <w:jc w:val="left"/>
        <w:keepLines w:val="0"/>
        <w:keepNext w:val="0"/>
        <w:pageBreakBefore w:val="0"/>
        <w:spacing w:line="440" w:lineRule="exact"/>
        <w:widowControl w:val="off"/>
        <w:tabs>
          <w:tab w:val="left" w:pos="1187" w:leader="none"/>
          <w:tab w:val="left" w:pos="5297"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w:t>
      </w:r>
      <w:r/>
    </w:p>
    <w:p>
      <w:pPr>
        <w:contextualSpacing/>
        <w:ind w:firstLine="480"/>
        <w:jc w:val="left"/>
        <w:keepLines w:val="0"/>
        <w:keepNext w:val="0"/>
        <w:pageBreakBefore w:val="0"/>
        <w:spacing w:line="440" w:lineRule="exact"/>
        <w:widowControl w:val="off"/>
        <w:tabs>
          <w:tab w:val="left" w:pos="1187" w:leader="none"/>
          <w:tab w:val="left" w:pos="5297"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甲、乙双方根据《中华人民共和国民法典》，按照平等、自愿的原则，经友好协商，签订本维保合同。 </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一、项目名称、总价、期限</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1.项目名称：</w:t>
      </w:r>
      <w:r>
        <w:rPr>
          <w:rFonts w:hint="eastAsia" w:ascii="宋体" w:hAnsi="宋体" w:eastAsia="宋体" w:cs="Times New Roman"/>
          <w:color w:val="auto"/>
          <w:sz w:val="24"/>
          <w:szCs w:val="24"/>
          <w:highlight w:val="none"/>
          <w:lang w:eastAsia="zh-CN"/>
        </w:rPr>
        <w:t xml:space="preserve">沛县人民医院污水处理运维外包项目</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2.合同总价：人民币</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元，大写：（人民币）</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元。</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3.合同期限：</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eastAsia="zh-CN"/>
        </w:rPr>
        <w:t xml:space="preserve">。</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服务起止时间为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日到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日。</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二、运维范围</w:t>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（一）工作要求</w:t>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①通过技术服务达到《医疗机构水污染物排放标准》（GB18466-2005）标准及本地区环保局颁发排放重点水污染物许可证预处理标准要求。（附表：排放标准）《医疗机构水污染物排放标准》（GB18466-2005）</w:t>
      </w:r>
      <w:r/>
    </w:p>
    <w:p>
      <w:pPr>
        <w:ind w:firstLine="120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综合医疗机构和其他医疗机构水污染物排放限值（日均值）</w:t>
      </w:r>
      <w:r/>
    </w:p>
    <w:tbl>
      <w:tblPr>
        <w:tblStyle w:val="818"/>
        <w:tblpPr w:horzAnchor="text" w:tblpXSpec="left" w:vertAnchor="text" w:tblpY="1" w:leftFromText="180" w:topFromText="0" w:rightFromText="180" w:bottomFromText="0"/>
        <w:tblW w:w="90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4305"/>
        <w:gridCol w:w="1627"/>
        <w:gridCol w:w="2140"/>
      </w:tblGrid>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控制项目</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排放标准</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rPr>
              <w:t xml:space="preserve">标准</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粪大肠菌群数(MPN/L)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5000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肠道致病菌</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不得检出</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肠道病菌</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不得检出</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PH</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6-9</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化学需氧量（COD)浓度（mg/L）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250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化学需氧量（BOD)浓度（mg/L）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悬浮物（SS）浓度（mg/L）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氨氮（mg/L）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动植物油（mg/L）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石油类（mg/L）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阴离子表面活性剂（mg/L）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色度（稀释倍数）</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挥发酚（mg/L）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总氰化物（mg/L）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总汞（mg/L）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总镉（mg/L）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0.1</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总铬（mg/L）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六价铬（mg/L）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总砷（mg/L）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总铅（mg/L）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总银（mg/L）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总A(Bq/L)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总B(Bq/L)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总余氯（mg/L）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2-8</w:t>
            </w:r>
            <w:r/>
          </w:p>
        </w:tc>
      </w:tr>
      <w:tr>
        <w:trPr>
          <w:trHeight w:val="1064"/>
        </w:trPr>
        <w:tc>
          <w:tcPr>
            <w:gridSpan w:val="4"/>
            <w:tcBorders>
              <w:top w:val="single" w:color="000000" w:sz="4" w:space="0"/>
              <w:left w:val="single" w:color="000000" w:sz="4" w:space="0"/>
              <w:bottom w:val="single" w:color="000000" w:sz="4" w:space="0"/>
              <w:right w:val="single" w:color="000000" w:sz="4" w:space="0"/>
            </w:tcBorders>
            <w:tcW w:w="9098" w:type="dxa"/>
            <w:vAlign w:val="top"/>
            <w:textDirection w:val="lrTb"/>
            <w:noWrap w:val="false"/>
          </w:tcPr>
          <w:p>
            <w:pPr>
              <w:ind w:firstLine="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1）采用含氯消毒剂消毒的工艺控制要求为：一级标准：消毒接触池接触时间≥1h，接触池出口总余氯3-10mg/L。二级标准：消毒接触池接触时间≥1h，接触池出口总余氯2-8mg/L。2）采用其他消毒剂对总余氯不作要求。</w:t>
            </w:r>
            <w:r>
              <w:rPr>
                <w:rFonts w:hint="eastAsia" w:ascii="宋体" w:hAnsi="宋体" w:eastAsia="宋体" w:cs="宋体"/>
                <w:color w:val="auto"/>
                <w:sz w:val="24"/>
                <w:szCs w:val="24"/>
                <w:highlight w:val="none"/>
                <w:lang w:val="en-US" w:eastAsia="zh-CN"/>
              </w:rPr>
              <w:t xml:space="preserve">3）具体以沛县人民医院排污许可证排放标准为准。</w:t>
            </w:r>
            <w:r/>
          </w:p>
        </w:tc>
      </w:tr>
    </w:tbl>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6" w:name="_Toc18061"/>
      <w:r/>
      <w:bookmarkStart w:id="7" w:name="_Toc8097"/>
      <w:r/>
      <w:bookmarkStart w:id="8" w:name="_Toc28991"/>
      <w:r/>
      <w:bookmarkStart w:id="9" w:name="_Toc48429633"/>
      <w:r/>
      <w:bookmarkStart w:id="10" w:name="_Toc48911687"/>
      <w:r/>
      <w:bookmarkStart w:id="11" w:name="_Toc49157837"/>
      <w:r/>
      <w:bookmarkStart w:id="12" w:name="_Toc49157500"/>
      <w:r/>
      <w:bookmarkStart w:id="13" w:name="_Toc457394830"/>
      <w:r/>
      <w:bookmarkStart w:id="14" w:name="_Toc40583804"/>
      <w:r/>
      <w:bookmarkStart w:id="15" w:name="_Toc27200"/>
      <w:r/>
      <w:bookmarkStart w:id="16" w:name="_Toc45095492"/>
      <w:r/>
      <w:bookmarkStart w:id="17" w:name="_Toc49158174"/>
      <w:r/>
      <w:bookmarkStart w:id="18" w:name="_Toc352743687"/>
      <w:r/>
      <w:bookmarkStart w:id="19" w:name="_Toc48909557"/>
      <w:r/>
      <w:bookmarkStart w:id="20" w:name="_Toc45424926"/>
      <w:r/>
      <w:bookmarkStart w:id="21" w:name="_Toc48428952"/>
      <w:r>
        <w:rPr>
          <w:rFonts w:hint="default" w:ascii="宋体" w:hAnsi="宋体" w:eastAsia="宋体" w:cs="Times New Roman"/>
          <w:color w:val="auto"/>
          <w:sz w:val="24"/>
          <w:szCs w:val="24"/>
          <w:highlight w:val="none"/>
        </w:rPr>
        <w:t xml:space="preserve">（二）处理原则</w:t>
      </w:r>
      <w:bookmarkEnd w:id="6"/>
      <w:r/>
      <w:bookmarkEnd w:id="7"/>
      <w:r/>
      <w:bookmarkEnd w:id="8"/>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严格执行环境保护的各项规定，确保经处理后的污水水质达到《医疗机构水污染物排放标准》（GB18466-2005）中水污染物排放限值要求，在总体规划的指导下，从保护城市水源和环境的角度出发，充分发挥建设项目的社会、环境、经济效益。具体原则如下：</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22" w:name="_Toc24597"/>
      <w:r>
        <w:rPr>
          <w:rFonts w:hint="default" w:ascii="宋体" w:hAnsi="宋体" w:eastAsia="宋体" w:cs="Times New Roman"/>
          <w:color w:val="auto"/>
          <w:sz w:val="24"/>
          <w:szCs w:val="24"/>
          <w:highlight w:val="none"/>
        </w:rPr>
        <w:t xml:space="preserve">1、技术先进可靠、经济合理的原则</w:t>
      </w:r>
      <w:bookmarkEnd w:id="22"/>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运维过程中所采用的工艺和技术应在满足技术发展要求，避免重复改造而造成经济上的浪费。选择满足出水水质要求并且能适应当地条件、节约能耗、降低成本的处理工艺，科学安排运行方式。</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23" w:name="_Toc15285"/>
      <w:r/>
      <w:bookmarkStart w:id="24" w:name="_Toc22645"/>
      <w:r>
        <w:rPr>
          <w:rFonts w:hint="default" w:ascii="宋体" w:hAnsi="宋体" w:eastAsia="宋体" w:cs="Times New Roman"/>
          <w:color w:val="auto"/>
          <w:sz w:val="24"/>
          <w:szCs w:val="24"/>
          <w:highlight w:val="none"/>
        </w:rPr>
        <w:t xml:space="preserve">2、安全性原则</w:t>
      </w:r>
      <w:bookmarkEnd w:id="23"/>
      <w:r/>
      <w:bookmarkEnd w:id="24"/>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废水处理关系到千万用户，因此处理出水水质不能存在任何问题，如果出现水质超标，其影响面很大，是关系到大量人群身体健康的安全性问题，故需采用处理技术和处理系统具有高品质的出水和安全保障措施。</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25" w:name="_Toc14816"/>
      <w:r/>
      <w:bookmarkStart w:id="26" w:name="_Toc26100"/>
      <w:r>
        <w:rPr>
          <w:rFonts w:hint="default" w:ascii="宋体" w:hAnsi="宋体" w:eastAsia="宋体" w:cs="Times New Roman"/>
          <w:color w:val="auto"/>
          <w:sz w:val="24"/>
          <w:szCs w:val="24"/>
          <w:highlight w:val="none"/>
        </w:rPr>
        <w:t xml:space="preserve">3、低运行成本原则</w:t>
      </w:r>
      <w:bookmarkEnd w:id="25"/>
      <w:r/>
      <w:bookmarkEnd w:id="26"/>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运行成本应作为技术方案选择的重要原则之一。以高效节能、可靠、方便维护为原则，确保工艺运行效果，降低运行、维护费用；采用适合国情的监测仪表及自动化技术，便于操作和管理。</w:t>
      </w:r>
      <w:bookmarkStart w:id="27" w:name="_Toc991"/>
      <w:r/>
      <w:bookmarkEnd w:id="27"/>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28" w:name="_Toc12076"/>
      <w:r>
        <w:rPr>
          <w:rFonts w:hint="default" w:ascii="宋体" w:hAnsi="宋体" w:eastAsia="宋体" w:cs="Times New Roman"/>
          <w:color w:val="auto"/>
          <w:sz w:val="24"/>
          <w:szCs w:val="24"/>
          <w:highlight w:val="none"/>
        </w:rPr>
        <w:t xml:space="preserve">4、降低污染原则</w:t>
      </w:r>
      <w:bookmarkEnd w:id="28"/>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尽量减少对周围环境的负面影响，选择能减少二次污染的工艺；尽量减少处理工艺产生的异味，控制噪声强度，减少噪声干扰。</w:t>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（三）日常运营服务内容：</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1、维护污水处理系统的运行状况，以确保污水处理站的正常运行，水质达标；</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2、定期对进站前、后的污染物浓度进行检测和分析，根据分析结果调整运行工况，并在此基础上总结完善，不断提高运行技术水平；</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3、做好日常水质分析、保存记录完整的各项资料，及时整理汇总、分析运行记录，建立运行技术档案，同时可提供给甲方随时查看存档；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4、建立处理构筑物和设备维修保养工作的记录文档，以提高设备的使用率和完好率，延长设备的使用寿命；</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5、实施数据管理，建立数据库信息系统，积累生产运行数据，定期总结运行经验，指导和控制运行工况；</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6、如果因乙方原因导致甲方污水站排放不达标而造成环保处罚，乙方将承担相关费用及对甲方造成的影响。</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7、乙方保证运营期内出水水质达标，不断优化运营成本，能让业主抛开污水治理的负担，集中精力从事医疗经营工作，创造更多的经济及社会效益。</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（四）设备维保服务内容：</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1、负责污水站工艺系统定期维护、维修、检查等工作，保证污水站设备的正常运转；</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2、在维护过程中，乙方负责准备维修工具、常规备品备件，污水处理站设备设施</w:t>
      </w:r>
      <w:r>
        <w:rPr>
          <w:rFonts w:hint="eastAsia" w:ascii="宋体" w:hAnsi="宋体" w:eastAsia="宋体" w:cs="Times New Roman"/>
          <w:color w:val="auto"/>
          <w:sz w:val="24"/>
          <w:szCs w:val="24"/>
          <w:highlight w:val="none"/>
          <w:lang w:val="en-US" w:eastAsia="zh-CN"/>
        </w:rPr>
        <w:t xml:space="preserve">等</w:t>
      </w:r>
      <w:r>
        <w:rPr>
          <w:rFonts w:hint="default" w:ascii="宋体" w:hAnsi="宋体" w:eastAsia="宋体" w:cs="Times New Roman"/>
          <w:color w:val="auto"/>
          <w:sz w:val="24"/>
          <w:szCs w:val="24"/>
          <w:highlight w:val="none"/>
        </w:rPr>
        <w:t xml:space="preserve">维修费用由乙方承担；乙方负责</w:t>
      </w:r>
      <w:r>
        <w:rPr>
          <w:rFonts w:hint="eastAsia" w:ascii="宋体" w:hAnsi="宋体" w:eastAsia="宋体" w:cs="Times New Roman"/>
          <w:color w:val="auto"/>
          <w:sz w:val="24"/>
          <w:szCs w:val="24"/>
          <w:highlight w:val="none"/>
          <w:lang w:val="en-US" w:eastAsia="zh-CN"/>
        </w:rPr>
        <w:t xml:space="preserve">所有设备</w:t>
      </w:r>
      <w:r>
        <w:rPr>
          <w:rFonts w:hint="default" w:ascii="宋体" w:hAnsi="宋体" w:eastAsia="宋体" w:cs="Times New Roman"/>
          <w:color w:val="auto"/>
          <w:sz w:val="24"/>
          <w:szCs w:val="24"/>
          <w:highlight w:val="none"/>
        </w:rPr>
        <w:t xml:space="preserve">免费更换维修。</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3、协助完善运行、操作手册，服从院方管理制度，不得违反环保政策法规；</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配合上级监管部门的检查和相关环境统计数据的上报，运维期间排污许可证如有变更由乙方完成，甲方协助提供相关资料，环保系统上所需要填报的季度报告、年度报告由乙方负责填报。第三方公司的对接、环保相关事件的处理均由乙方负责对接解决。</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乙方需本着实事求是、经济节约的态度，及时对设备进行维护保养，实现设备运行效率最大化。甲方对乙方的设备维护情况进行不定期抽查，发现乙方因维护不到位而导致的设备工作异常的，每发现一次，对乙方罚款500元，由此产生的其它损失由乙方承担。</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6、乙方维保前应向甲方提出注意事项，以保证污水站进水水质水量稳定，避免超负荷运行。</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（五）人员要求：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1、专职值班人员</w:t>
      </w:r>
      <w:r>
        <w:rPr>
          <w:rFonts w:hint="eastAsia" w:ascii="宋体" w:hAnsi="宋体" w:eastAsia="宋体" w:cs="Times New Roman"/>
          <w:color w:val="auto"/>
          <w:sz w:val="24"/>
          <w:szCs w:val="24"/>
          <w:highlight w:val="none"/>
          <w:lang w:val="en-US" w:eastAsia="zh-CN"/>
        </w:rPr>
        <w:t xml:space="preserve">4</w:t>
      </w:r>
      <w:r>
        <w:rPr>
          <w:rFonts w:hint="default" w:ascii="宋体" w:hAnsi="宋体" w:eastAsia="宋体" w:cs="Times New Roman"/>
          <w:color w:val="auto"/>
          <w:sz w:val="24"/>
          <w:szCs w:val="24"/>
          <w:highlight w:val="none"/>
        </w:rPr>
        <w:t xml:space="preserve">名（</w:t>
      </w:r>
      <w:r>
        <w:rPr>
          <w:rFonts w:hint="eastAsia" w:ascii="宋体" w:hAnsi="宋体" w:eastAsia="宋体" w:cs="Times New Roman"/>
          <w:color w:val="auto"/>
          <w:sz w:val="24"/>
          <w:szCs w:val="24"/>
          <w:highlight w:val="none"/>
          <w:lang w:val="en-US" w:eastAsia="zh-CN"/>
        </w:rPr>
        <w:t xml:space="preserve">院方人员，须持证上岗</w:t>
      </w:r>
      <w:r>
        <w:rPr>
          <w:rFonts w:hint="default" w:ascii="宋体" w:hAnsi="宋体" w:eastAsia="宋体" w:cs="Times New Roman"/>
          <w:color w:val="auto"/>
          <w:sz w:val="24"/>
          <w:szCs w:val="24"/>
          <w:highlight w:val="none"/>
        </w:rPr>
        <w:t xml:space="preserve">），技术工程师（持环保工程师上岗证）1人，专人现场值班，能够及时处理应急事务。确保出水指标、机器运转等所有工作满足环保、卫生等部门要求。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2、污水处理站拟派工作人员的工资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含院方4名专职人员工资，工资合计大约29万元，具体按医院工资发放标准）</w:t>
      </w:r>
      <w:r>
        <w:rPr>
          <w:rFonts w:hint="default" w:ascii="宋体" w:hAnsi="宋体" w:eastAsia="宋体" w:cs="Times New Roman"/>
          <w:color w:val="auto"/>
          <w:sz w:val="24"/>
          <w:szCs w:val="24"/>
          <w:highlight w:val="none"/>
        </w:rPr>
        <w:t xml:space="preserve">发放由乙方负责，工作人员应无条件服从医院管理并遵守院内各项规章制度，对不服从管理及违反劳动纪律的，主管科室有权对其进行罚款处理，并最终辞退。工作管理人员应符合政府环保部门的要求并具有相应资质和上岗资格，甲方有监督的义务。在运行过程中，乙方操作人员必须遵守甲方的各项规章制度，在运行过程中出现任何人身意外伤害由乙方承担。乙方应为工作人员购买意外伤害险。</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3、乙方人员必须遵守国家法律法规以及甲方的各项工作、安全生产制度，不得从事与合同无关的各项业务。</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（六）运营要求：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污水处理站的运行日志、监测记录、维修记录、污水排放记录表等必须由乙方详实记录并妥善保存，当合同期满后，完整移交给医院方。在运营期内，乙方有义务配合医院方做好上级部门的监督检查工作，并提供相关材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严格按照操作规程进行操作，按时定期定量加药，确保污水排放水质达标。因乙方运行或管理不当引起的环保检查超标罚款由乙方承担。如果污水抽查不合格，上级部门对本单位进行通报处理造成影响的，甲方有权终止合同并对其进行相应的处罚。</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乙方负责污水处理设备的正常维护保养，保证设备的正常运行，同时定时采样监测，每天检测2次活性氧值和PH值检测（随时满足最新规范要求）并记录台账。检测试剂由乙方承担，同时负责与第三方公司的对接工作，确保医院污水站符合相关要求执行。</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污水处理设备维修保养的主要内容：水泵、风机、格栅、管道、仪表、电控柜、消毒设备等维修、维护、好氧菌、厌氧菌更换及添加培养、生化池清理、防腐处理、日常的运行维护保养工作由乙方全面负责。其中，日常保养：定期对设备的清洁、检修、加油等外部维护。一级保养：定期对设备的易损零部件进行的检查、保养，包括清洁、润滑、设备局部和重点的拆卸、调整等。二级保养：对设备进行严格的检查和修理，包括更换零部件，修复设备的精度等。小修：局部性修理，先进行局部修理，更换和调整。</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5、如果乙方没有及时并按要求完成维保工作，出现事故或安全隐患给甲方或第三人造成损失的由乙方承担赔偿。</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6、污水处理工艺如出现运行故障，乙方应及时向甲方汇报。如需大的工艺系统维修整改，院方应配合实施整改工作，整改方案需经甲方同意。如因乙方巡检不到位、汇报拖延造成的一切损失由乙方负责。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甲方污水站消毒所需要的消毒粉由乙方承担，并保证处理后的污水，甲方定期对污水排放进行抽检，如污水排放不合格，一次罚款1000元。运营期内，排水量如增加，多出消毒粉用量，不做追加，乙方对出水结果负责。消毒粉使用以总价包死的方式。</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8、定期对污泥进行处理，处理过程中絮凝剂费用由乙方承担，甲方负责联系第三方危废处置单位进行转运处理，（如期间由转运系统需要数据填报由乙方负责数据填报，甲方只负责提供数据资料）。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9、甲方有应急任务时，如有需要，乙方应配合甲方协助处理。</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10、乙方委派的工作人员与甲方不存在劳务关系，乙方必须为派遣的人员购买各类保险，否则甲方有权不接受乙方人员。乙方工作人员一切劳资纠纷及内部伤残事故，均由乙方负责。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11、乙方委派的工作人员由乙方为其提供劳动防护用品，包括但不限于：胶手套、劳保鞋、工作服、防护用品、防护服、手消、洗手液、上墙资料、办公用品、台账等。</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12、乙方承担环保责任，如因运营维保不到位产生的环保处罚由乙方承担。</w:t>
      </w:r>
      <w:r/>
    </w:p>
    <w:p>
      <w:pPr>
        <w:ind w:firstLine="480"/>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13、合同期满成交乙方应对运维设施及运维资料进行完整交接，否则将扣除相应维保费用。</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三</w:t>
      </w:r>
      <w:r>
        <w:rPr>
          <w:rFonts w:hint="eastAsia" w:ascii="宋体" w:hAnsi="宋体" w:eastAsia="宋体" w:cs="Times New Roman"/>
          <w:b/>
          <w:color w:val="auto"/>
          <w:sz w:val="24"/>
          <w:szCs w:val="24"/>
          <w:highlight w:val="none"/>
        </w:rPr>
        <w:t xml:space="preserve">、维护要求：详见合同附件1；</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四</w:t>
      </w:r>
      <w:r>
        <w:rPr>
          <w:rFonts w:hint="eastAsia" w:ascii="宋体" w:hAnsi="宋体" w:eastAsia="宋体" w:cs="Times New Roman"/>
          <w:b/>
          <w:color w:val="auto"/>
          <w:sz w:val="24"/>
          <w:szCs w:val="24"/>
          <w:highlight w:val="none"/>
        </w:rPr>
        <w:t xml:space="preserve">、维护方案：详见乙方投标文件[项目编号：</w:t>
      </w:r>
      <w:r>
        <w:rPr>
          <w:rFonts w:hint="eastAsia" w:ascii="宋体" w:hAnsi="宋体" w:eastAsia="宋体" w:cs="Times New Roman"/>
          <w:b/>
          <w:color w:val="auto"/>
          <w:sz w:val="24"/>
          <w:szCs w:val="24"/>
          <w:highlight w:val="none"/>
          <w:lang w:eastAsia="zh-CN"/>
        </w:rPr>
        <w:t xml:space="preserve">JSZC-320322-JSPY-G2024-0007 </w:t>
      </w:r>
      <w:r>
        <w:rPr>
          <w:rFonts w:hint="eastAsia" w:ascii="宋体" w:hAnsi="宋体" w:eastAsia="宋体" w:cs="Times New Roman"/>
          <w:b/>
          <w:color w:val="auto"/>
          <w:sz w:val="24"/>
          <w:szCs w:val="24"/>
          <w:highlight w:val="none"/>
        </w:rPr>
        <w:t xml:space="preserve">] ；</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五</w:t>
      </w:r>
      <w:r>
        <w:rPr>
          <w:rFonts w:hint="eastAsia" w:ascii="宋体" w:hAnsi="宋体" w:eastAsia="宋体" w:cs="Times New Roman"/>
          <w:b/>
          <w:color w:val="auto"/>
          <w:sz w:val="24"/>
          <w:szCs w:val="24"/>
          <w:highlight w:val="none"/>
        </w:rPr>
        <w:t xml:space="preserve">、甲乙双方的权利和义务</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（一）甲方的权利和义务</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1.甲方对乙方有实施日常检查、考核、管理的权利；</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2.甲方可对乙方存在问题限期整改，整改费用由乙方承担；</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3.乙方如连续两次整改不合格，甲方有权终止合同；</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4.甲方需确保乙方合同价款的按时到位；</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5.甲方检查人员必须公开、公平、公正检查考核。</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（二）乙方的权利和义务</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1.乙方签订合同后设备及人员必须按照甲方的要求进行运行维护；</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2.乙方必须按照甲方要求服务，确保达到服务质量标准，按服务要求开展运维；</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3.运维服务中出现的一切可控范围内的质量、安全事故均由乙方承担；</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4.因服务质量返工造成的经济损失完全由乙方负责；</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5.按照服务标准要求，做好所有的内业资料收集整理；</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6.乙方必须服从甲方管理，否则甲方有权责令乙方退出工地，解除合同，甲方损失由乙方负担；</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7.乙方要加强对工作人员的安全教育，完善相关措施，确保安全无事故，成交项目管理期间内如出现责任事故，均由乙方负责，与甲方无关；</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8.乙方在项目实施过程中，承担安全主体责任。</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rPr>
        <w:t xml:space="preserve">、合同价款的支付</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合同总价￥</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元（人民币大写：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）。经双方协商一致， 选择以下第（  ）种付款方式:</w:t>
      </w:r>
      <w:r/>
    </w:p>
    <w:p>
      <w:pPr>
        <w:ind w:firstLine="480"/>
        <w:jc w:val="both"/>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付款方式一：提交预付款保函的</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合同总价的百分之五十 (50%)即￥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在合同签订生效15日内，乙方向甲方出具等额预付款保函后，办理政府采购资金结算手续，经审核后支付给乙方。</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合同总价的百分之二十 (20%)即￥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，在乙方完成任务后并验收合格后，买方自收到发票（发票金额为合同总价的20%）后15日内，办理政府采购资金结算手续，经审核后支付给乙方。</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合同总价的百分之三十 (30%)即￥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，在乙方完2024年委托抽检任务后并验收合格后，买方自收到发票（发票金额为合同总价的30%）后15日内，办理政府采购资金结算手续，经审核后支付给乙方。</w:t>
      </w:r>
      <w:r/>
    </w:p>
    <w:p>
      <w:pPr>
        <w:ind w:firstLine="480"/>
        <w:jc w:val="both"/>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付款方式二：不提交预付款保函的</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合同总价的百分之四十 (40%)即￥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在合同签订生效，买方自收到发票（发票金额为合同总价的40%）后15日内，办理政府采购资金结算.手续，经审核后支付给乙方。</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合同总价的百分之三十 (30%)即￥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，在乙方完成任务后并验收合格后，买方自收到发票（发票金额为合同总价的30%）后15日内，办理政府采购资金结算手续，经审核后支付给乙方。</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合同总价的百分之三十 (30%)即￥</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 大写：人民币</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，在乙方完成任务后并验收合格后，买方自收到发票（发票金额为合同总价的30%）后15日内，办理政府采购资金结算手续，经审核后支付给乙方。</w:t>
      </w:r>
      <w:r/>
    </w:p>
    <w:p>
      <w:pPr>
        <w:ind w:firstLine="480"/>
        <w:jc w:val="both"/>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付款方式</w:t>
      </w:r>
      <w:r>
        <w:rPr>
          <w:rFonts w:hint="eastAsia" w:ascii="宋体" w:hAnsi="宋体" w:eastAsia="宋体" w:cs="宋体"/>
          <w:b/>
          <w:bCs/>
          <w:color w:val="auto"/>
          <w:sz w:val="24"/>
          <w:szCs w:val="24"/>
          <w:highlight w:val="none"/>
          <w:lang w:val="en-US" w:eastAsia="zh-CN" w:bidi="ar"/>
        </w:rPr>
        <w:t xml:space="preserve">三：</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甲方每</w:t>
      </w:r>
      <w:r>
        <w:rPr>
          <w:rFonts w:hint="eastAsia" w:ascii="宋体" w:hAnsi="宋体" w:eastAsia="宋体" w:cs="Times New Roman"/>
          <w:color w:val="auto"/>
          <w:sz w:val="24"/>
          <w:szCs w:val="24"/>
          <w:highlight w:val="none"/>
          <w:lang w:eastAsia="zh-CN"/>
        </w:rPr>
        <w:t xml:space="preserve">季度</w:t>
      </w:r>
      <w:r>
        <w:rPr>
          <w:rFonts w:hint="eastAsia" w:ascii="宋体" w:hAnsi="宋体" w:eastAsia="宋体" w:cs="Times New Roman"/>
          <w:color w:val="auto"/>
          <w:sz w:val="24"/>
          <w:szCs w:val="24"/>
          <w:highlight w:val="none"/>
        </w:rPr>
        <w:t xml:space="preserve">维护期结束后对乙方运维工作进行考核，考核结果达到院方要求，按照合同约定支付当</w:t>
      </w:r>
      <w:r>
        <w:rPr>
          <w:rFonts w:hint="eastAsia" w:ascii="宋体" w:hAnsi="宋体" w:eastAsia="宋体" w:cs="Times New Roman"/>
          <w:color w:val="auto"/>
          <w:sz w:val="24"/>
          <w:szCs w:val="24"/>
          <w:highlight w:val="none"/>
          <w:lang w:eastAsia="zh-CN"/>
        </w:rPr>
        <w:t xml:space="preserve">季度</w:t>
      </w:r>
      <w:r>
        <w:rPr>
          <w:rFonts w:hint="eastAsia" w:ascii="宋体" w:hAnsi="宋体" w:eastAsia="宋体" w:cs="Times New Roman"/>
          <w:color w:val="auto"/>
          <w:sz w:val="24"/>
          <w:szCs w:val="24"/>
          <w:highlight w:val="none"/>
        </w:rPr>
        <w:t xml:space="preserve">服务费用，金额为合同总价的</w:t>
      </w:r>
      <w:r>
        <w:rPr>
          <w:rFonts w:hint="eastAsia" w:ascii="宋体" w:hAnsi="宋体" w:eastAsia="宋体" w:cs="Times New Roman"/>
          <w:color w:val="auto"/>
          <w:sz w:val="24"/>
          <w:szCs w:val="24"/>
          <w:highlight w:val="none"/>
          <w:lang w:val="en-US" w:eastAsia="zh-CN"/>
        </w:rPr>
        <w:t xml:space="preserve">25%</w:t>
      </w:r>
      <w:r>
        <w:rPr>
          <w:rFonts w:hint="eastAsia" w:ascii="宋体" w:hAnsi="宋体" w:eastAsia="宋体" w:cs="Times New Roman"/>
          <w:color w:val="auto"/>
          <w:sz w:val="24"/>
          <w:szCs w:val="24"/>
          <w:highlight w:val="none"/>
        </w:rPr>
        <w:t xml:space="preserve">，即人民币：（大写）</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。如达不到甲方要求，按照本合同</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lang w:val="en-US" w:eastAsia="zh-CN"/>
        </w:rPr>
        <w:t xml:space="preserve">七</w:t>
      </w:r>
      <w:r>
        <w:rPr>
          <w:rFonts w:hint="eastAsia" w:ascii="宋体" w:hAnsi="宋体" w:eastAsia="宋体" w:cs="Times New Roman"/>
          <w:b/>
          <w:color w:val="auto"/>
          <w:sz w:val="24"/>
          <w:szCs w:val="24"/>
          <w:highlight w:val="none"/>
        </w:rPr>
        <w:t xml:space="preserve">、违约与赔偿”</w:t>
      </w:r>
      <w:r>
        <w:rPr>
          <w:rFonts w:hint="eastAsia" w:ascii="宋体" w:hAnsi="宋体" w:eastAsia="宋体" w:cs="Times New Roman"/>
          <w:color w:val="auto"/>
          <w:sz w:val="24"/>
          <w:szCs w:val="24"/>
          <w:highlight w:val="none"/>
        </w:rPr>
        <w:t xml:space="preserve">规定处理。</w:t>
      </w:r>
      <w:r/>
    </w:p>
    <w:p>
      <w:pPr>
        <w:contextualSpacing/>
        <w:ind w:firstLine="482"/>
        <w:jc w:val="both"/>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七</w:t>
      </w:r>
      <w:r>
        <w:rPr>
          <w:rFonts w:hint="eastAsia" w:ascii="宋体" w:hAnsi="宋体" w:eastAsia="宋体" w:cs="Times New Roman"/>
          <w:b/>
          <w:color w:val="auto"/>
          <w:sz w:val="24"/>
          <w:szCs w:val="24"/>
          <w:highlight w:val="none"/>
        </w:rPr>
        <w:t xml:space="preserve">、违约与赔偿</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1.如乙方提供的服务无法满足</w:t>
      </w:r>
      <w:r>
        <w:rPr>
          <w:rFonts w:hint="eastAsia" w:ascii="宋体" w:hAnsi="宋体" w:eastAsia="宋体" w:cs="Times New Roman"/>
          <w:color w:val="auto"/>
          <w:sz w:val="24"/>
          <w:szCs w:val="24"/>
          <w:highlight w:val="none"/>
          <w:lang w:eastAsia="zh-CN"/>
        </w:rPr>
        <w:t xml:space="preserve">沛县人民医院污水处理运维外包项目</w:t>
      </w:r>
      <w:r>
        <w:rPr>
          <w:rFonts w:hint="eastAsia" w:ascii="宋体" w:hAnsi="宋体" w:eastAsia="宋体" w:cs="Times New Roman"/>
          <w:color w:val="auto"/>
          <w:sz w:val="24"/>
          <w:szCs w:val="24"/>
          <w:highlight w:val="none"/>
        </w:rPr>
        <w:t xml:space="preserve">要求的，甲方有权中止合同；由乙方造成的一般性故障，除由乙方继续改正完善外，甲方可视造成的损失程度扣除乙方当年服务费用的5%～10%的违约赔偿金。</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2.如乙方未按国家及行业现行的强制性技术标准规范等进行运维服务，甲方可按当年服务费用的5%～10%扣除乙方的违约金。</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3.未经甲方同意，乙方擅自更换本项目负责人，甲方将按当年服务费用的5%扣除乙方的违约金。未经甲方同意，乙方擅自更换本合同项目运行人员，每更换一个，甲方将扣除乙方的违约金壹万元。</w:t>
      </w:r>
      <w:r/>
    </w:p>
    <w:p>
      <w:pPr>
        <w:contextualSpacing/>
        <w:ind w:firstLine="480"/>
        <w:jc w:val="both"/>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4.如乙方将本合同项目转让，或未经甲方同意擅自将本合同项目任何部分分包出去，甲方有权终止合同，且不支付该分包工作量的费用，并按当年服务费用的5%～10%扣除乙方的违约金。</w:t>
      </w:r>
      <w:r/>
    </w:p>
    <w:p>
      <w:pPr>
        <w:contextualSpacing/>
        <w:ind w:firstLine="530"/>
        <w:jc w:val="both"/>
        <w:keepLines w:val="0"/>
        <w:keepNext w:val="0"/>
        <w:pageBreakBefore w:val="0"/>
        <w:spacing w:line="440" w:lineRule="exact"/>
        <w:widowControl w:val="off"/>
        <w:rPr>
          <w:rFonts w:hint="default" w:ascii="宋体" w:hAnsi="宋体" w:eastAsia="宋体" w:cs="Times New Roman"/>
          <w:b/>
          <w:color w:val="auto"/>
          <w:spacing w:val="12"/>
          <w:sz w:val="24"/>
          <w:szCs w:val="24"/>
          <w:highlight w:val="none"/>
        </w:rPr>
      </w:pPr>
      <w:r>
        <w:rPr>
          <w:rFonts w:hint="eastAsia" w:ascii="宋体" w:hAnsi="宋体" w:eastAsia="宋体" w:cs="Times New Roman"/>
          <w:b/>
          <w:color w:val="auto"/>
          <w:spacing w:val="12"/>
          <w:sz w:val="24"/>
          <w:szCs w:val="24"/>
          <w:highlight w:val="none"/>
          <w:lang w:val="en-US" w:eastAsia="zh-CN"/>
        </w:rPr>
        <w:t xml:space="preserve">八</w:t>
      </w:r>
      <w:r>
        <w:rPr>
          <w:rFonts w:hint="eastAsia" w:ascii="宋体" w:hAnsi="宋体" w:eastAsia="宋体" w:cs="Times New Roman"/>
          <w:b/>
          <w:color w:val="auto"/>
          <w:spacing w:val="12"/>
          <w:sz w:val="24"/>
          <w:szCs w:val="24"/>
          <w:highlight w:val="none"/>
        </w:rPr>
        <w:t xml:space="preserve">、其他约定</w:t>
      </w:r>
      <w:r/>
    </w:p>
    <w:p>
      <w:pPr>
        <w:ind w:left="0" w:right="0" w:firstLine="480"/>
        <w:jc w:val="both"/>
        <w:keepLines w:val="0"/>
        <w:keepNext w:val="0"/>
        <w:pageBreakBefore w:val="0"/>
        <w:spacing w:before="0" w:after="0" w:line="360" w:lineRule="auto"/>
        <w:widowControl/>
        <w:tabs>
          <w:tab w:val="left" w:pos="1440" w:leader="none"/>
          <w:tab w:val="left" w:pos="8296" w:leader="none"/>
        </w:tabs>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pacing w:val="12"/>
          <w:sz w:val="24"/>
          <w:szCs w:val="24"/>
          <w:highlight w:val="none"/>
        </w:rPr>
        <w:t xml:space="preserve">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份，具有同等效力，甲乙双方各执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p>
    <w:p>
      <w:pPr>
        <w:contextualSpacing/>
        <w:ind w:right="-175" w:firstLine="528"/>
        <w:jc w:val="both"/>
        <w:keepLines w:val="0"/>
        <w:keepNext w:val="0"/>
        <w:pageBreakBefore w:val="0"/>
        <w:spacing w:line="440" w:lineRule="exact"/>
        <w:widowControl w:val="off"/>
        <w:rPr>
          <w:rFonts w:hint="default" w:ascii="宋体" w:hAnsi="宋体" w:eastAsia="宋体" w:cs="Times New Roman"/>
          <w:color w:val="auto"/>
          <w:spacing w:val="12"/>
          <w:sz w:val="24"/>
          <w:szCs w:val="24"/>
          <w:highlight w:val="none"/>
        </w:rPr>
      </w:pPr>
      <w:r>
        <w:rPr>
          <w:rFonts w:hint="eastAsia" w:ascii="宋体" w:hAnsi="宋体" w:eastAsia="宋体" w:cs="Times New Roman"/>
          <w:color w:val="auto"/>
          <w:spacing w:val="12"/>
          <w:sz w:val="24"/>
          <w:szCs w:val="24"/>
          <w:highlight w:val="none"/>
        </w:rPr>
        <w:t xml:space="preserve">2、本合同一经双方签字、盖章立即生效。合同执行期间，双方当事人不得擅自变更、中止或者终止合同。</w:t>
      </w:r>
      <w:r/>
    </w:p>
    <w:p>
      <w:pPr>
        <w:contextualSpacing/>
        <w:ind w:right="-175" w:firstLine="528"/>
        <w:jc w:val="both"/>
        <w:keepLines w:val="0"/>
        <w:keepNext w:val="0"/>
        <w:pageBreakBefore w:val="0"/>
        <w:spacing w:line="440" w:lineRule="exact"/>
        <w:widowControl w:val="off"/>
        <w:rPr>
          <w:rFonts w:hint="default" w:ascii="宋体" w:hAnsi="宋体" w:eastAsia="宋体" w:cs="Times New Roman"/>
          <w:color w:val="auto"/>
          <w:spacing w:val="12"/>
          <w:sz w:val="24"/>
          <w:szCs w:val="24"/>
          <w:highlight w:val="none"/>
        </w:rPr>
      </w:pPr>
      <w:r>
        <w:rPr>
          <w:rFonts w:hint="eastAsia" w:ascii="宋体" w:hAnsi="宋体" w:eastAsia="宋体" w:cs="Times New Roman"/>
          <w:color w:val="auto"/>
          <w:spacing w:val="12"/>
          <w:sz w:val="24"/>
          <w:szCs w:val="24"/>
          <w:highlight w:val="none"/>
        </w:rPr>
        <w:t xml:space="preserve">3、本合同未尽事宜详见招标文件，如本合同与招标文件中的内容有矛盾的，以招标文件规定为准。</w:t>
      </w:r>
      <w:r/>
    </w:p>
    <w:p>
      <w:pPr>
        <w:contextualSpacing/>
        <w:ind w:firstLine="530"/>
        <w:jc w:val="both"/>
        <w:keepLines w:val="0"/>
        <w:keepNext w:val="0"/>
        <w:pageBreakBefore w:val="0"/>
        <w:spacing w:line="440" w:lineRule="exact"/>
        <w:widowControl w:val="off"/>
        <w:rPr>
          <w:rFonts w:hint="default" w:ascii="宋体" w:hAnsi="宋体" w:eastAsia="宋体" w:cs="Times New Roman"/>
          <w:b/>
          <w:color w:val="auto"/>
          <w:spacing w:val="12"/>
          <w:sz w:val="24"/>
          <w:szCs w:val="24"/>
          <w:highlight w:val="none"/>
        </w:rPr>
      </w:pPr>
      <w:r>
        <w:rPr>
          <w:rFonts w:hint="eastAsia" w:ascii="宋体" w:hAnsi="宋体" w:eastAsia="宋体" w:cs="Times New Roman"/>
          <w:b/>
          <w:color w:val="auto"/>
          <w:spacing w:val="12"/>
          <w:sz w:val="24"/>
          <w:szCs w:val="24"/>
          <w:highlight w:val="none"/>
          <w:lang w:val="en-US" w:eastAsia="zh-CN"/>
        </w:rPr>
        <w:t xml:space="preserve">九</w:t>
      </w:r>
      <w:r>
        <w:rPr>
          <w:rFonts w:hint="eastAsia" w:ascii="宋体" w:hAnsi="宋体" w:eastAsia="宋体" w:cs="Times New Roman"/>
          <w:b/>
          <w:color w:val="auto"/>
          <w:spacing w:val="12"/>
          <w:sz w:val="24"/>
          <w:szCs w:val="24"/>
          <w:highlight w:val="none"/>
        </w:rPr>
        <w:t xml:space="preserve">、其他</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按《中华人民共和国民法典》及双方约定执行，如遇合同纠纷双方协商解决，协商解决不成，由合同履约地人民法院裁决。</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甲方（签章）：____________________________________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____________________________________</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邮编： ____________________________________</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法定代表人或授权代表(签名)： 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乙方（签章）：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邮编：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____________________________________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开户银行：________________________________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银行帐号： ________________________________  </w:t>
      </w:r>
      <w:r/>
    </w:p>
    <w:p>
      <w:pPr>
        <w:contextualSpacing/>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法定代表人或授权代表(签名)： ___________________________</w:t>
      </w:r>
      <w:r/>
    </w:p>
    <w:p>
      <w:pPr>
        <w:ind w:firstLine="0"/>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合同附件</w:t>
      </w:r>
      <w:r/>
    </w:p>
    <w:p>
      <w:pPr>
        <w:ind w:firstLine="0"/>
        <w:jc w:val="both"/>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合同附件1维护要求(详见招标文件第六章《采购需求》)</w:t>
      </w:r>
      <w:r/>
    </w:p>
    <w:p>
      <w:pPr>
        <w:ind w:firstLine="0"/>
        <w:jc w:val="both"/>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合同附件2 服务方案(详见乙方投标文件[项目编号：</w:t>
      </w:r>
      <w:r>
        <w:rPr>
          <w:rFonts w:hint="eastAsia" w:ascii="宋体" w:hAnsi="宋体" w:eastAsia="宋体" w:cs="Times New Roman"/>
          <w:color w:val="auto"/>
          <w:sz w:val="24"/>
          <w:szCs w:val="24"/>
          <w:highlight w:val="none"/>
          <w:lang w:eastAsia="zh-CN"/>
        </w:rPr>
        <w:t xml:space="preserve">JSZC-320322-JSPY-G2024-0007</w:t>
      </w:r>
      <w:r>
        <w:rPr>
          <w:rFonts w:hint="eastAsia" w:ascii="宋体" w:hAnsi="宋体" w:eastAsia="宋体" w:cs="Times New Roman"/>
          <w:color w:val="auto"/>
          <w:sz w:val="24"/>
          <w:szCs w:val="24"/>
          <w:highlight w:val="none"/>
        </w:rPr>
        <w:t xml:space="preserve">])</w:t>
      </w:r>
      <w:r/>
    </w:p>
    <w:p>
      <w:pPr>
        <w:contextualSpacing/>
        <w:ind w:firstLine="480"/>
        <w:rPr>
          <w:rFonts w:ascii="宋体" w:hAnsi="宋体"/>
          <w:color w:val="auto"/>
          <w:sz w:val="24"/>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4"/>
          <w:highlight w:val="none"/>
        </w:rPr>
      </w:r>
      <w:r/>
    </w:p>
    <w:p>
      <w:pPr>
        <w:pStyle w:val="856"/>
        <w:ind w:firstLine="0"/>
        <w:jc w:val="center"/>
        <w:pageBreakBefore w:val="0"/>
        <w:spacing w:line="360" w:lineRule="auto"/>
        <w:rPr>
          <w:rFonts w:hint="eastAsia" w:ascii="宋体" w:hAnsi="宋体" w:eastAsia="宋体" w:cs="宋体"/>
          <w:b w:val="0"/>
          <w:bCs w:val="0"/>
          <w:color w:val="auto"/>
          <w:spacing w:val="0"/>
          <w:sz w:val="24"/>
          <w:szCs w:val="24"/>
          <w:highlight w:val="none"/>
        </w:rPr>
      </w:pPr>
      <w:r>
        <w:rPr>
          <w:rFonts w:hint="eastAsia" w:ascii="宋体" w:hAnsi="宋体" w:cs="宋体"/>
          <w:b/>
          <w:bCs/>
          <w:color w:val="auto"/>
          <w:sz w:val="28"/>
          <w:szCs w:val="28"/>
          <w:highlight w:val="none"/>
          <w:lang w:val="en-US" w:eastAsia="zh-CN" w:bidi="ar-SA"/>
        </w:rPr>
        <w:t xml:space="preserve">第六章 </w:t>
      </w:r>
      <w:r>
        <w:rPr>
          <w:rFonts w:hint="eastAsia" w:ascii="宋体" w:hAnsi="宋体" w:eastAsia="宋体" w:cs="宋体"/>
          <w:b/>
          <w:bCs/>
          <w:color w:val="auto"/>
          <w:sz w:val="28"/>
          <w:szCs w:val="28"/>
          <w:highlight w:val="none"/>
          <w:lang w:val="en-US" w:eastAsia="zh-CN" w:bidi="ar-SA"/>
        </w:rPr>
        <w:t xml:space="preserve">采购需求</w:t>
      </w:r>
      <w:r/>
    </w:p>
    <w:p>
      <w:pPr>
        <w:ind w:firstLine="482"/>
        <w:jc w:val="both"/>
        <w:keepLines w:val="0"/>
        <w:keepNext w:val="0"/>
        <w:pageBreakBefore w:val="0"/>
        <w:spacing w:line="440" w:lineRule="exact"/>
        <w:widowControl w:val="off"/>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 xml:space="preserve">一、本项目不接受超过</w:t>
      </w:r>
      <w:r>
        <w:rPr>
          <w:rFonts w:hint="eastAsia" w:ascii="宋体" w:hAnsi="宋体" w:eastAsia="宋体"/>
          <w:b/>
          <w:color w:val="auto"/>
          <w:sz w:val="24"/>
          <w:szCs w:val="24"/>
          <w:highlight w:val="none"/>
          <w:lang w:val="en-US" w:eastAsia="zh-CN"/>
        </w:rPr>
        <w:t xml:space="preserve">240</w:t>
      </w:r>
      <w:r>
        <w:rPr>
          <w:rFonts w:hint="default" w:ascii="宋体" w:hAnsi="宋体" w:eastAsia="宋体"/>
          <w:b/>
          <w:color w:val="auto"/>
          <w:sz w:val="24"/>
          <w:szCs w:val="24"/>
          <w:highlight w:val="none"/>
        </w:rPr>
        <w:t xml:space="preserve">万元（采购项目预算金额）的投标报价。</w:t>
      </w:r>
      <w:r/>
    </w:p>
    <w:p>
      <w:pPr>
        <w:ind w:firstLine="482"/>
        <w:jc w:val="both"/>
        <w:keepLines w:val="0"/>
        <w:keepNext w:val="0"/>
        <w:pageBreakBefore w:val="0"/>
        <w:spacing w:line="440" w:lineRule="exact"/>
        <w:widowControl w:val="off"/>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 xml:space="preserve">二、服务期限：</w:t>
      </w:r>
      <w:r>
        <w:rPr>
          <w:rFonts w:hint="eastAsia" w:ascii="宋体" w:hAnsi="宋体" w:eastAsia="宋体"/>
          <w:b/>
          <w:color w:val="auto"/>
          <w:sz w:val="24"/>
          <w:szCs w:val="24"/>
          <w:highlight w:val="none"/>
          <w:lang w:val="en-US" w:eastAsia="zh-CN"/>
        </w:rPr>
        <w:t xml:space="preserve">三</w:t>
      </w:r>
      <w:r>
        <w:rPr>
          <w:rFonts w:hint="default" w:ascii="宋体" w:hAnsi="宋体" w:eastAsia="宋体"/>
          <w:b/>
          <w:color w:val="auto"/>
          <w:sz w:val="24"/>
          <w:szCs w:val="24"/>
          <w:highlight w:val="none"/>
        </w:rPr>
        <w:t xml:space="preserve">年</w:t>
      </w:r>
      <w:r/>
    </w:p>
    <w:p>
      <w:pPr>
        <w:ind w:firstLine="482"/>
        <w:jc w:val="both"/>
        <w:keepLines w:val="0"/>
        <w:keepNext w:val="0"/>
        <w:pageBreakBefore w:val="0"/>
        <w:spacing w:line="440" w:lineRule="exact"/>
        <w:widowControl w:val="off"/>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 xml:space="preserve">三、运维范围：</w:t>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bookmarkStart w:id="29" w:name="_Toc3386"/>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AU"/>
        </w:rPr>
        <w:t xml:space="preserve">医疗废水处理站处理</w:t>
      </w:r>
      <w:r>
        <w:rPr>
          <w:rFonts w:hint="default" w:ascii="宋体" w:hAnsi="宋体" w:eastAsia="宋体" w:cs="宋体"/>
          <w:color w:val="auto"/>
          <w:sz w:val="24"/>
          <w:szCs w:val="24"/>
          <w:highlight w:val="none"/>
        </w:rPr>
        <w:t xml:space="preserve">设计</w:t>
      </w:r>
      <w:r>
        <w:rPr>
          <w:rFonts w:hint="default" w:ascii="宋体" w:hAnsi="宋体" w:eastAsia="宋体" w:cs="宋体"/>
          <w:color w:val="auto"/>
          <w:sz w:val="24"/>
          <w:szCs w:val="24"/>
          <w:highlight w:val="none"/>
          <w:lang w:val="en-AU"/>
        </w:rPr>
        <w:t xml:space="preserve">规模每天</w:t>
      </w:r>
      <w:r>
        <w:rPr>
          <w:rFonts w:hint="eastAsia" w:ascii="宋体" w:hAnsi="宋体" w:eastAsia="宋体" w:cs="宋体"/>
          <w:color w:val="auto"/>
          <w:sz w:val="24"/>
          <w:szCs w:val="24"/>
          <w:highlight w:val="none"/>
          <w:lang w:val="en-US" w:eastAsia="zh-CN"/>
        </w:rPr>
        <w:t xml:space="preserve">1200</w:t>
      </w:r>
      <w:r>
        <w:rPr>
          <w:rFonts w:hint="default" w:ascii="宋体" w:hAnsi="宋体" w:eastAsia="宋体" w:cs="宋体"/>
          <w:color w:val="auto"/>
          <w:sz w:val="24"/>
          <w:szCs w:val="24"/>
          <w:highlight w:val="none"/>
          <w:lang w:val="en-AU"/>
        </w:rPr>
        <w:t xml:space="preserve">吨，废水经污水处理站处理后排入市政污水管网。</w:t>
      </w:r>
      <w:bookmarkEnd w:id="29"/>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2、此项目包含运维外包前的整改费用（大包），甲方不再支付其他费用。</w:t>
      </w:r>
      <w:r/>
    </w:p>
    <w:p>
      <w:pPr>
        <w:ind w:firstLine="482"/>
        <w:jc w:val="both"/>
        <w:keepLines w:val="0"/>
        <w:keepNext w:val="0"/>
        <w:pageBreakBefore w:val="0"/>
        <w:spacing w:line="440" w:lineRule="exact"/>
        <w:widowControl w:val="off"/>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 xml:space="preserve">四、运维要求</w:t>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（一）工作要求</w:t>
      </w:r>
      <w:r/>
    </w:p>
    <w:p>
      <w:pPr>
        <w:ind w:firstLine="48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①通过技术服务达到《医疗机构水污染物排放标准》（GB18466-2005）标准及本地区环保局颁发排放重点水污染物许可证预处理标准要求。（附表：排放标准）《医疗机构水污染物排放标准》（GB18466-2005）</w:t>
      </w:r>
      <w:r/>
    </w:p>
    <w:p>
      <w:pPr>
        <w:ind w:firstLine="1200"/>
        <w:jc w:val="both"/>
        <w:keepLines w:val="0"/>
        <w:keepNext w:val="0"/>
        <w:pageBreakBefore w:val="0"/>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综合医疗机构和其他医疗机构水污染物排放限值（日均值）</w:t>
      </w:r>
      <w:r/>
    </w:p>
    <w:tbl>
      <w:tblPr>
        <w:tblStyle w:val="818"/>
        <w:tblpPr w:horzAnchor="text" w:tblpXSpec="left" w:vertAnchor="text" w:tblpY="1" w:leftFromText="180" w:topFromText="0" w:rightFromText="180" w:bottomFromText="0"/>
        <w:tblW w:w="90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6"/>
        <w:gridCol w:w="4305"/>
        <w:gridCol w:w="1627"/>
        <w:gridCol w:w="2140"/>
      </w:tblGrid>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控制项目</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排放标准</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rPr>
              <w:t xml:space="preserve">标准</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粪大肠菌群数(MPN/L)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5000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肠道致病菌</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不得检出</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肠道病菌</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不得检出</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PH</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6-9</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化学需氧量（COD)浓度（mg/L）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250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化学需氧量（BOD)浓度（mg/L）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悬浮物（SS）浓度（mg/L）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氨氮（mg/L）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动植物油（mg/L）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石油类（mg/L）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阴离子表面活性剂（mg/L）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色度（稀释倍数）</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挥发酚（mg/L）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总氰化物（mg/L）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总汞（mg/L）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总镉（mg/L）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0.1</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总铬（mg/L）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六价铬（mg/L）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总砷（mg/L）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总铅（mg/L）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总银（mg/L）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总A(Bq/L)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总B(Bq/L)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10</w:t>
            </w:r>
            <w:r/>
          </w:p>
        </w:tc>
      </w:tr>
      <w:tr>
        <w:trPr>
          <w:trHeight w:val="270"/>
        </w:trPr>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4305"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总余氯（mg/L）</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2140"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2-8</w:t>
            </w:r>
            <w:r/>
          </w:p>
        </w:tc>
      </w:tr>
      <w:tr>
        <w:trPr>
          <w:trHeight w:val="1064"/>
        </w:trPr>
        <w:tc>
          <w:tcPr>
            <w:gridSpan w:val="4"/>
            <w:tcBorders>
              <w:top w:val="single" w:color="000000" w:sz="4" w:space="0"/>
              <w:left w:val="single" w:color="000000" w:sz="4" w:space="0"/>
              <w:bottom w:val="single" w:color="000000" w:sz="4" w:space="0"/>
              <w:right w:val="single" w:color="000000" w:sz="4" w:space="0"/>
            </w:tcBorders>
            <w:tcW w:w="9098" w:type="dxa"/>
            <w:vAlign w:val="top"/>
            <w:textDirection w:val="lrTb"/>
            <w:noWrap w:val="false"/>
          </w:tcPr>
          <w:p>
            <w:pPr>
              <w:ind w:firstLine="0"/>
              <w:jc w:val="both"/>
              <w:keepLines w:val="0"/>
              <w:keepNext w:val="0"/>
              <w:pageBreakBefore w:val="0"/>
              <w:spacing w:line="40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1）采用含氯消毒剂消毒的工艺控制要求为：一级标准：消毒接触池接触时间≥1h，接触池出口总余氯3-10mg/L。二级标准：消毒接触池接触时间≥1h，接触池出口总余氯2-8mg/L。2）采用其他消毒剂对总余氯不作要求。</w:t>
            </w:r>
            <w:r>
              <w:rPr>
                <w:rFonts w:hint="eastAsia" w:ascii="宋体" w:hAnsi="宋体" w:eastAsia="宋体" w:cs="宋体"/>
                <w:color w:val="auto"/>
                <w:sz w:val="24"/>
                <w:szCs w:val="24"/>
                <w:highlight w:val="none"/>
                <w:lang w:val="en-US" w:eastAsia="zh-CN"/>
              </w:rPr>
              <w:t xml:space="preserve">3）具体以沛县人民医院排污许可证排放标准为准。</w:t>
            </w:r>
            <w:r/>
          </w:p>
        </w:tc>
      </w:tr>
    </w:tbl>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（二）处理原则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严格执行环境保护的各项规定，确保经处理后的污水水质达到《医疗机构水污染物排放标准》（GB18466-2005）中水污染物排放限值要求，在总体规划的指导下，从保护城市水源和环境的角度出发，充分发挥建设项目的社会、环境、经济效益。具体原则如下：</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1、技术先进可靠、经济合理的原则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运维过程中所采用的工艺和技术应在满足技术发展要求，避免重复改造而造成经济上的浪费。选择满足出水水质要求并且能适应当地条件、节约能耗、降低成本的处理工艺，科学安排运行方式。</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2、安全性原则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废水处理关系到千万用户，因此处理出水水质不能存在任何问题，如果出现水质超标，其影响面很大，是关系到大量人群身体健康的安全性问题，故需采用处理技术和处理系统具有高品质的出水和安全保障措施。</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3、低运行成本原则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运行成本应作为技术方案选择的重要原则之一。以高效节能、可靠、方便维护为原则，确保工艺运行效果，降低运行、维护费用；采用适合国情的监测仪表及自动化技术，便于操作和管理。</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4、降低污染原则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尽量减少对周围环境的负面影响，选择能减少二次污染的工艺；尽量减少处理工艺产生的异味，控制噪声强度，减少噪声干扰。</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（三）日常运营服务内容：</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1、维护污水处理系统的运行状况，以确保污水处理站的正常运行，水质达标；</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2、定期对进站前、后的污染物浓度进行检测和分析，根据分析结果调整运行工况，并在此基础上总结完善，不断提高运行技术水平；</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3、做好日常水质分析、保存记录完整的各项资料，及时整理汇总、分析运行记录，建立运行技术档案，同时可提供给甲方随时查看存档；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4、建立处理构筑物和设备维修保养工作的记录文档，以提高设备的使用率和完好率，延长设备的使用寿命；</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5、实施数据管理，建立数据库信息系统，积累生产运行数据，定期总结运行经验，指导和控制运行工况；</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6、如果因乙方原因导致甲方污水站排放不达标而造成环保处罚，乙方将承担相关费用及对甲方造成的影响。</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7、乙方保证运营期内出水水质达标，不断优化运营成本，能让业主抛开污水治理的负担，集中精力从事医疗经营工作，创造更多的经济及社会效益。</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（四）设备维保服务内容：</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1、负责污水站工艺系统定期维护、维修、检查等工作，保证污水站设备的正常运转；</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2、在维护过程中，乙方负责准备维修工具、常规备品备件，污水处理站设备设施</w:t>
      </w:r>
      <w:r>
        <w:rPr>
          <w:rFonts w:hint="eastAsia" w:ascii="宋体" w:hAnsi="宋体" w:eastAsia="宋体" w:cs="Times New Roman"/>
          <w:color w:val="auto"/>
          <w:sz w:val="24"/>
          <w:szCs w:val="24"/>
          <w:highlight w:val="none"/>
          <w:lang w:val="en-US" w:eastAsia="zh-CN"/>
        </w:rPr>
        <w:t xml:space="preserve">等</w:t>
      </w:r>
      <w:r>
        <w:rPr>
          <w:rFonts w:hint="default" w:ascii="宋体" w:hAnsi="宋体" w:eastAsia="宋体" w:cs="Times New Roman"/>
          <w:color w:val="auto"/>
          <w:sz w:val="24"/>
          <w:szCs w:val="24"/>
          <w:highlight w:val="none"/>
        </w:rPr>
        <w:t xml:space="preserve">维修费用由乙方承担；乙方负责</w:t>
      </w:r>
      <w:r>
        <w:rPr>
          <w:rFonts w:hint="eastAsia" w:ascii="宋体" w:hAnsi="宋体" w:eastAsia="宋体" w:cs="Times New Roman"/>
          <w:color w:val="auto"/>
          <w:sz w:val="24"/>
          <w:szCs w:val="24"/>
          <w:highlight w:val="none"/>
          <w:lang w:val="en-US" w:eastAsia="zh-CN"/>
        </w:rPr>
        <w:t xml:space="preserve">所有设备</w:t>
      </w:r>
      <w:r>
        <w:rPr>
          <w:rFonts w:hint="default" w:ascii="宋体" w:hAnsi="宋体" w:eastAsia="宋体" w:cs="Times New Roman"/>
          <w:color w:val="auto"/>
          <w:sz w:val="24"/>
          <w:szCs w:val="24"/>
          <w:highlight w:val="none"/>
        </w:rPr>
        <w:t xml:space="preserve">免费更换维修。</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3、协助完善运行、操作手册，服从院方管理制度，不得违反环保政策法规；</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配合上级监管部门的检查和相关环境统计数据的上报，运维期间排污许可证如有变更由乙方完成，甲方协助提供相关资料，环保系统上所需要填报的季度报告、年度报告由乙方负责填报。第三方公司的对接、环保相关事件的处理均由乙方负责对接解决。</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乙方需本着实事求是、经济节约的态度，及时对设备进行维护保养，实现设备运行效率最大化。甲方对乙方的设备维护情况进行不定期抽查，发现乙方因维护不到位而导致的设备工作异常的，每发现一次，对乙方罚款500元，由此产生的其它损失由乙方承担。</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6、乙方维保前应向甲方提出注意事项，以保证污水站进水水质水量稳定，避免超负荷运行。</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（五）人员要求：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1、专职值班人员</w:t>
      </w:r>
      <w:r>
        <w:rPr>
          <w:rFonts w:hint="eastAsia" w:ascii="宋体" w:hAnsi="宋体" w:eastAsia="宋体" w:cs="Times New Roman"/>
          <w:color w:val="auto"/>
          <w:sz w:val="24"/>
          <w:szCs w:val="24"/>
          <w:highlight w:val="none"/>
          <w:lang w:val="en-US" w:eastAsia="zh-CN"/>
        </w:rPr>
        <w:t xml:space="preserve">4</w:t>
      </w:r>
      <w:r>
        <w:rPr>
          <w:rFonts w:hint="default" w:ascii="宋体" w:hAnsi="宋体" w:eastAsia="宋体" w:cs="Times New Roman"/>
          <w:color w:val="auto"/>
          <w:sz w:val="24"/>
          <w:szCs w:val="24"/>
          <w:highlight w:val="none"/>
        </w:rPr>
        <w:t xml:space="preserve">名（</w:t>
      </w:r>
      <w:r>
        <w:rPr>
          <w:rFonts w:hint="eastAsia" w:ascii="宋体" w:hAnsi="宋体" w:eastAsia="宋体" w:cs="Times New Roman"/>
          <w:color w:val="auto"/>
          <w:sz w:val="24"/>
          <w:szCs w:val="24"/>
          <w:highlight w:val="none"/>
          <w:lang w:val="en-US" w:eastAsia="zh-CN"/>
        </w:rPr>
        <w:t xml:space="preserve">院方人员，须持证上岗</w:t>
      </w:r>
      <w:r>
        <w:rPr>
          <w:rFonts w:hint="default" w:ascii="宋体" w:hAnsi="宋体" w:eastAsia="宋体" w:cs="Times New Roman"/>
          <w:color w:val="auto"/>
          <w:sz w:val="24"/>
          <w:szCs w:val="24"/>
          <w:highlight w:val="none"/>
        </w:rPr>
        <w:t xml:space="preserve">），技术工程师（持环保工程师上岗证）1人，专人现场值班，能够及时处理应急事务。确保出水指标、机器运转等所有工作满足环保、卫生等部门要求。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2、污水处理站拟派工作人员</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含院方4名人员）</w:t>
      </w:r>
      <w:r>
        <w:rPr>
          <w:rFonts w:hint="default" w:ascii="宋体" w:hAnsi="宋体" w:eastAsia="宋体" w:cs="Times New Roman"/>
          <w:color w:val="auto"/>
          <w:sz w:val="24"/>
          <w:szCs w:val="24"/>
          <w:highlight w:val="none"/>
        </w:rPr>
        <w:t xml:space="preserve">的工资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基本工资+绩效+保险+公积金+食堂补助，约29万元）</w:t>
      </w:r>
      <w:r>
        <w:rPr>
          <w:rFonts w:hint="default" w:ascii="宋体" w:hAnsi="宋体" w:eastAsia="宋体" w:cs="Times New Roman"/>
          <w:color w:val="auto"/>
          <w:sz w:val="24"/>
          <w:szCs w:val="24"/>
          <w:highlight w:val="none"/>
        </w:rPr>
        <w:t xml:space="preserve">发放由乙方负责，工作人员应无条件服从医院管理并遵守院内各项规章制度，对不服从管理及违反劳动纪律的，主管科室有权对其进行罚款处理，并最终辞退。工作管理人员应符合政府环保部门的要求并具有相应资质和上岗资格，甲方有监督的义务。在运行过程中，乙方操作人员必须遵守甲方的各项规章制度，在运行过程中出现任何人身意外伤害由乙方承担。乙方应为工作人员购买意外伤害险。</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3、乙方人员必须遵守国家法律法规以及甲方的各项工作、安全生产制度，不得从事与合同无关的各项业务。</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（六）运营要求：</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污水处理站的运行日志、监测记录、维修记录、污水排放记录表等必须由乙方详实记录并妥善保存，当合同期满后，完整移交给医院方。在运营期内，乙方有义务配合医院方做好上级部门的监督检查工作，并提供相关材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严格按照操作规程进行操作，按时定期定量加药，确保污水排放水质达标。因乙方运行或管理不当引起的环保检查超标罚款由乙方承担。如果污水抽查不合格，上级部门对本单位进行通报处理造成影响的，甲方有权终止合同并对其进行相应的处罚。</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乙方负责污水处理设备的正常维护保养，保证设备的正常运行，同时定时采样监测，每天检测2次活性氧值和PH值检测（随时满足最新规范要求）并记录台账。检测试剂由乙方承担，同时负责与第三方公司的对接工作，确保医院污水站符合相关要求执行。</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污水处理设备维修保养的主要内容：水泵、风机、格栅、管道、仪表、电控柜、消毒设备等维修、维护、好氧菌、厌氧菌更换及添加培养、生化池清理、防腐处理、日常的运行维护保养工作由乙方全面负责。其中，日常保养：定期对设备的清洁、检修、加油等外部维护。一级保养：定期对设备的易损零部件进行的检查、保养，包括清洁、润滑、设备局部和重点的拆卸、调整等。二级保养：对设备进行严格的检查和修理，包括更换零部件，修复设备的精度等。小修：局部性修理，先进行局部修理，更换和调整。</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5、如果乙方没有及时并按要求完成维保工作，出现事故或安全隐患给甲方或第三人造成损失的由乙方承担赔偿。</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6、污水处理工艺如出现运行故障，乙方应及时向甲方汇报。如需大的工艺系统维修整改，院方应配合实施整改工作，整改方案需经甲方同意。如因乙方巡检不到位、汇报拖延造成的一切损失由乙方负责。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甲方污水站消毒所需要的消毒粉由乙方承担，并保证处理后的污水，甲方定期对污水排放进行抽检，如污水排放不合格，一次罚款1000元。运营期内，排水量如增加，多出消毒粉用量，不做追加，乙方对出水结果负责。消毒粉使用以总价包死的方式。</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8、定期对污泥进行处理，处理过程中絮凝剂费用由乙方承担，甲方负责联系第三方危废处置单位进行转运处理，（如期间由转运系统需要数据填报由乙方负责数据填报，甲方只负责提供数据资料）。</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9、甲方有应急任务时，如有需要，乙方应配合甲方协助处理。</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10、乙方委派的工作人员与甲方不存在劳务关系，乙方必须为派遣的人员购买各类保险，否则甲方有权不接受乙方人员。乙方工作人员一切劳资纠纷及内部伤残事故，均由乙方负责。</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11、乙方委派的工作人员由乙方为其提供劳动防护用品，包括但不限于：胶手套、劳保鞋、工作服、防护用品、防护服、手消、洗手液、上墙资料、办公用品、台账等。</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12、乙方承担环保责任，如因运营维保不到位产生的环保处罚由乙方承担。</w:t>
      </w:r>
      <w:r/>
    </w:p>
    <w:p>
      <w:pPr>
        <w:ind w:firstLine="480"/>
        <w:jc w:val="both"/>
        <w:keepLines w:val="0"/>
        <w:keepNext w:val="0"/>
        <w:pageBreakBefore w:val="0"/>
        <w:spacing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13、合同期满成交乙方应对运维设施及运维资料进行完整交接，否则将扣除相应维保费用。</w:t>
      </w:r>
      <w:r/>
    </w:p>
    <w:p>
      <w:pPr>
        <w:ind w:firstLine="0"/>
        <w:jc w:val="both"/>
        <w:keepLines w:val="0"/>
        <w:keepNext w:val="0"/>
        <w:pageBreakBefore w:val="0"/>
        <w:spacing w:line="440" w:lineRule="exact"/>
        <w:widowControl w:val="off"/>
        <w:rPr>
          <w:rFonts w:ascii="Calibri" w:hAnsi="Calibri" w:eastAsia="宋体"/>
          <w:color w:val="auto"/>
          <w:sz w:val="21"/>
          <w:szCs w:val="24"/>
          <w:highlight w:val="none"/>
        </w:rPr>
      </w:pPr>
      <w:r>
        <w:rPr>
          <w:rFonts w:ascii="Calibri" w:hAnsi="Calibri" w:eastAsia="宋体"/>
          <w:color w:val="auto"/>
          <w:sz w:val="21"/>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09"/>
        <w:pageBreakBefore w:val="0"/>
        <w:spacing w:line="360" w:lineRule="auto"/>
        <w:rPr>
          <w:rFonts w:hint="eastAsia" w:asciiTheme="minorEastAsia" w:hAnsiTheme="minorEastAsia" w:eastAsiaTheme="minorEastAsia" w:cstheme="minorEastAsia"/>
          <w:color w:val="auto"/>
          <w:highlight w:val="none"/>
        </w:rPr>
      </w:pPr>
      <w:r>
        <w:rPr>
          <w:color w:val="auto"/>
          <w:highlight w:val="none"/>
        </w:rPr>
        <w:t xml:space="preserve">第七章 </w:t>
      </w:r>
      <w:bookmarkStart w:id="30" w:name="_Toc1056"/>
      <w:r>
        <w:rPr>
          <w:rFonts w:hint="eastAsia" w:asciiTheme="minorEastAsia" w:hAnsiTheme="minorEastAsia" w:eastAsiaTheme="minorEastAsia" w:cstheme="minorEastAsia"/>
          <w:color w:val="auto"/>
          <w:highlight w:val="none"/>
        </w:rPr>
        <w:t xml:space="preserve">投标文件相关格式</w:t>
      </w:r>
      <w:bookmarkEnd w:id="30"/>
      <w:r/>
      <w:r/>
    </w:p>
    <w:p>
      <w:pPr>
        <w:numPr>
          <w:ilvl w:val="0"/>
          <w:numId w:val="0"/>
        </w:numPr>
        <w:ind w:firstLine="0"/>
        <w:pageBreakBefore w:val="0"/>
        <w:spacing w:line="360" w:lineRule="auto"/>
        <w:rPr>
          <w:rFonts w:hint="eastAsia"/>
          <w:color w:val="auto"/>
          <w:highlight w:val="none"/>
        </w:rPr>
      </w:pPr>
      <w:r>
        <w:rPr>
          <w:rFonts w:hint="eastAsia"/>
          <w:color w:val="auto"/>
          <w:highlight w:val="none"/>
        </w:rPr>
      </w:r>
      <w:r/>
    </w:p>
    <w:p>
      <w:pPr>
        <w:ind w:firstLine="0"/>
        <w:jc w:val="center"/>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一、投标函格式</w:t>
      </w:r>
      <w:r/>
    </w:p>
    <w:p>
      <w:pPr>
        <w:pStyle w:val="864"/>
        <w:spacing w:line="400" w:lineRule="exact"/>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项目[项目编号：</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]招标文件，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rPr>
          <w:rFonts w:hint="eastAsia" w:ascii="宋体" w:hAnsi="宋体" w:eastAsia="宋体"/>
          <w:color w:val="auto"/>
          <w:sz w:val="24"/>
          <w:szCs w:val="24"/>
          <w:highlight w:val="none"/>
        </w:rPr>
        <w:t xml:space="preserve">姓名)代表我方</w:t>
      </w:r>
      <w:r>
        <w:rPr>
          <w:rFonts w:hint="eastAsia" w:ascii="宋体" w:hAnsi="宋体" w:eastAsia="宋体"/>
          <w:color w:val="auto"/>
          <w:sz w:val="21"/>
          <w:szCs w:val="21"/>
          <w:highlight w:val="none"/>
        </w:rPr>
        <w:t xml:space="preserve">______________</w:t>
      </w:r>
      <w:r>
        <w:rPr>
          <w:rFonts w:hint="eastAsia" w:ascii="宋体" w:hAnsi="宋体" w:eastAsia="宋体"/>
          <w:color w:val="auto"/>
          <w:sz w:val="24"/>
          <w:szCs w:val="24"/>
          <w:highlight w:val="none"/>
        </w:rPr>
        <w:t xml:space="preserve">（投标人的名称）全权处理本次投标的有关事宜。</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据此函，投标人承诺并同意如下： </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1.投标人唯一投标报价见《开标一览表》。</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2.投标人将按招标文件的规定履行合同责任和义务。</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3.投标人已详细审查全部招标文件，包括第[插入编号] [补遗书][如果有的话]。投标人完全理解并同意放弃对这方面有不明及误解的权力。</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4.投标有效期为90天。</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5.投标人同意提供按照贵方可能要求的与其投标有关的一切数据或资料，完全理解贵方不一定接受最低价的投标或收到的任何投标。</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江苏沛源工程项目管理有限公司</w:t>
      </w:r>
      <w:r>
        <w:rPr>
          <w:rFonts w:hint="eastAsia" w:ascii="宋体" w:hAnsi="宋体" w:eastAsia="宋体"/>
          <w:color w:val="auto"/>
          <w:sz w:val="24"/>
          <w:szCs w:val="24"/>
          <w:highlight w:val="none"/>
        </w:rPr>
        <w:t xml:space="preserve">有权将我单位本项目的《开标一览表》和《分项价格表》予以公示，公示的方式由</w:t>
      </w:r>
      <w:r>
        <w:rPr>
          <w:rFonts w:hint="eastAsia" w:ascii="宋体" w:hAnsi="宋体" w:eastAsia="宋体"/>
          <w:color w:val="auto"/>
          <w:sz w:val="24"/>
          <w:szCs w:val="24"/>
          <w:highlight w:val="none"/>
          <w:lang w:eastAsia="zh-CN"/>
        </w:rPr>
        <w:t xml:space="preserve">江苏沛源工程项目管理有限公司</w:t>
      </w:r>
      <w:r>
        <w:rPr>
          <w:rFonts w:hint="eastAsia" w:ascii="宋体" w:hAnsi="宋体" w:eastAsia="宋体"/>
          <w:color w:val="auto"/>
          <w:sz w:val="24"/>
          <w:szCs w:val="24"/>
          <w:highlight w:val="none"/>
        </w:rPr>
        <w:t xml:space="preserve">确定。如我单位被确定为中标、成交供应商，</w:t>
      </w:r>
      <w:r>
        <w:rPr>
          <w:rFonts w:hint="eastAsia" w:ascii="宋体" w:hAnsi="宋体" w:eastAsia="宋体"/>
          <w:color w:val="auto"/>
          <w:sz w:val="24"/>
          <w:szCs w:val="24"/>
          <w:highlight w:val="none"/>
          <w:lang w:eastAsia="zh-CN"/>
        </w:rPr>
        <w:t xml:space="preserve">江苏沛源工程项目管理有限公司</w:t>
      </w:r>
      <w:r>
        <w:rPr>
          <w:rFonts w:hint="eastAsia" w:ascii="宋体" w:hAnsi="宋体" w:eastAsia="宋体"/>
          <w:color w:val="auto"/>
          <w:sz w:val="24"/>
          <w:szCs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8.与本投标有关的一切正式往来信函请寄：</w:t>
      </w:r>
      <w:r/>
    </w:p>
    <w:p>
      <w:pPr>
        <w:pStyle w:val="864"/>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 </w:t>
      </w:r>
      <w:r/>
    </w:p>
    <w:p>
      <w:pPr>
        <w:pStyle w:val="864"/>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电话： </w:t>
      </w:r>
      <w:r/>
    </w:p>
    <w:p>
      <w:pPr>
        <w:pStyle w:val="864"/>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传真： </w:t>
      </w:r>
      <w:r/>
    </w:p>
    <w:p>
      <w:pPr>
        <w:pStyle w:val="864"/>
        <w:spacing w:line="30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手机：                                    投标人：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（盖电子签章）</w:t>
      </w:r>
      <w:r/>
    </w:p>
    <w:p>
      <w:pPr>
        <w:pStyle w:val="864"/>
        <w:ind w:firstLine="480"/>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pStyle w:val="864"/>
        <w:ind w:firstLine="3120"/>
        <w:jc w:val="righ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   年  月  日</w:t>
      </w:r>
      <w:r>
        <w:rPr>
          <w:rFonts w:hint="eastAsia" w:asciiTheme="minorEastAsia" w:hAnsiTheme="minorEastAsia" w:eastAsiaTheme="minorEastAsia" w:cstheme="minorEastAsia"/>
          <w:color w:val="auto"/>
          <w:sz w:val="24"/>
          <w:szCs w:val="24"/>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二、开标一览表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沛县人民医院污水处理运维外包项目</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JSZC-320322-JSPY-G2024-0007</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货币单位：人民币元</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818"/>
        <w:tblW w:w="84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08"/>
        <w:gridCol w:w="2702"/>
        <w:gridCol w:w="2824"/>
      </w:tblGrid>
      <w:tr>
        <w:trPr>
          <w:cantSplit/>
          <w:jc w:val="center"/>
          <w:trHeight w:val="1084"/>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p>
        </w:tc>
        <w:tc>
          <w:tcPr>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服务期限</w:t>
            </w:r>
            <w:r/>
          </w:p>
        </w:tc>
        <w:tc>
          <w:tcPr>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总价（小写）</w:t>
            </w:r>
            <w:r/>
          </w:p>
        </w:tc>
      </w:tr>
      <w:tr>
        <w:trPr>
          <w:cantSplit/>
          <w:jc w:val="center"/>
          <w:trHeight w:val="2138"/>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right w:val="single" w:color="auto" w:sz="4" w:space="0"/>
            </w:tcBorders>
            <w:tcW w:w="2702"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left w:val="single" w:color="auto" w:sz="4" w:space="0"/>
            </w:tcBorders>
            <w:tcW w:w="2824"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cantSplit/>
          <w:jc w:val="center"/>
          <w:trHeight w:val="1135"/>
        </w:trPr>
        <w:tc>
          <w:tcPr>
            <w:tcW w:w="2908"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总价（大写）：</w:t>
            </w:r>
            <w:r/>
          </w:p>
        </w:tc>
        <w:tc>
          <w:tcPr>
            <w:gridSpan w:val="2"/>
            <w:tcW w:w="5526"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承诺：本报价（总价）为</w:t>
      </w:r>
      <w:r>
        <w:rPr>
          <w:rFonts w:hint="eastAsia" w:asciiTheme="minorEastAsia" w:hAnsiTheme="minorEastAsia" w:eastAsiaTheme="minorEastAsia" w:cstheme="minorEastAsia"/>
          <w:color w:val="auto"/>
          <w:highlight w:val="none"/>
          <w:lang w:eastAsia="zh-CN"/>
        </w:rPr>
        <w:t xml:space="preserve">投标人</w:t>
      </w:r>
      <w:r>
        <w:rPr>
          <w:rFonts w:hint="eastAsia" w:asciiTheme="minorEastAsia" w:hAnsiTheme="minorEastAsia" w:eastAsiaTheme="minorEastAsia" w:cstheme="minorEastAsia"/>
          <w:color w:val="auto"/>
          <w:highlight w:val="none"/>
        </w:rPr>
        <w:t xml:space="preserve">本企业提供的服务。</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报价说明：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1、报价应包括全部内容，以及为完成上述内容所需的全部费用。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2、报价以总价为准，大小写不一致以大写为准；</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3、偏离说明：详见《偏离表》；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三、分项价格表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沛县人民医院污水处理运维外包项目</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JSZC-320322-JSPY-G2024-0007</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货币单位：人民币元</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default"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格式自拟</w:t>
      </w:r>
      <w:r/>
    </w:p>
    <w:p>
      <w:pPr>
        <w:pStyle w:val="860"/>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p>
    <w:p>
      <w:pPr>
        <w:pStyle w:val="860"/>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60"/>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投标人：（电子签章）</w:t>
      </w:r>
      <w:r/>
    </w:p>
    <w:p>
      <w:pPr>
        <w:pStyle w:val="860"/>
        <w:ind w:firstLine="0"/>
        <w:jc w:val="center"/>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日期：   年  月  日</w:t>
      </w:r>
      <w:r/>
    </w:p>
    <w:p>
      <w:pPr>
        <w:pStyle w:val="860"/>
        <w:ind w:firstLine="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注：①如果不提供详细分项报价的，将视为没有实质性响应招标文件。②投标人对以上数据的真实性负责。</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江苏沛源工程项目管理有限公司</w:t>
      </w:r>
      <w:r>
        <w:rPr>
          <w:rFonts w:hint="eastAsia" w:asciiTheme="minorEastAsia" w:hAnsiTheme="minorEastAsia" w:eastAsiaTheme="minorEastAsia" w:cstheme="minorEastAsia"/>
          <w:color w:val="auto"/>
          <w:highlight w:val="none"/>
        </w:rPr>
        <w:t xml:space="preserve">有权将以上内容进行公示。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四、偏离表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沛县人民医院污水处理运维外包项目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JSZC-320322-JSPY-G2024-0007</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bl>
      <w:tblPr>
        <w:tblStyle w:val="81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tc>
      </w:tr>
    </w:tbl>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五、法定代表人授权书</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法定代表人（负责人）：               职务：</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统一社会信用代码：</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                   性别：男（女）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年龄：  岁                 民族：   族</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职务：                     移动电话：</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身份证号：</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兹委托（      ）全权代表我企业（公司）参与</w:t>
      </w:r>
      <w:r>
        <w:rPr>
          <w:rFonts w:hint="eastAsia" w:asciiTheme="minorEastAsia" w:hAnsiTheme="minorEastAsia" w:eastAsiaTheme="minorEastAsia" w:cstheme="minorEastAsia"/>
          <w:color w:val="auto"/>
          <w:highlight w:val="none"/>
          <w:lang w:eastAsia="zh-CN"/>
        </w:rPr>
        <w:t xml:space="preserve">【沛县人民医院污水处理运维外包项目（采购包名称）】</w:t>
      </w:r>
      <w:r>
        <w:rPr>
          <w:rFonts w:hint="eastAsia" w:asciiTheme="minorEastAsia" w:hAnsiTheme="minorEastAsia" w:eastAsiaTheme="minorEastAsia" w:cstheme="minorEastAsia"/>
          <w:color w:val="auto"/>
          <w:highlight w:val="none"/>
        </w:rPr>
        <w:t xml:space="preserve">项目（项目编号：</w:t>
      </w:r>
      <w:r>
        <w:rPr>
          <w:rFonts w:hint="eastAsia" w:asciiTheme="minorEastAsia" w:hAnsiTheme="minorEastAsia" w:eastAsiaTheme="minorEastAsia" w:cstheme="minorEastAsia"/>
          <w:color w:val="auto"/>
          <w:highlight w:val="none"/>
          <w:lang w:eastAsia="zh-CN"/>
        </w:rPr>
        <w:t xml:space="preserve">JSZC-320322-JSPY-G2024-0007</w:t>
      </w:r>
      <w:r>
        <w:rPr>
          <w:rFonts w:hint="eastAsia" w:asciiTheme="minorEastAsia" w:hAnsiTheme="minorEastAsia" w:eastAsiaTheme="minorEastAsia" w:cstheme="minor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特此授权委托。</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委托人（盖章）：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法定代表人（签字或盖章）：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受托人（签字）：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年   月   日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(受托人身份证复印件附后)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六、中小企业声明函</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4"/>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本公司郑重声明，根据《政府采购促进中小企业发展管理办法》（财库 (2020)46号）的规定，本公司参加</w:t>
      </w:r>
      <w:r>
        <w:rPr>
          <w:rFonts w:hint="eastAsia" w:ascii="宋体" w:hAnsi="宋体" w:eastAsia="宋体"/>
          <w:color w:val="auto"/>
          <w:sz w:val="24"/>
          <w:szCs w:val="24"/>
          <w:highlight w:val="none"/>
          <w:u w:val="single"/>
        </w:rPr>
        <w:t xml:space="preserve">（单位名称）</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（项目名称）</w:t>
      </w:r>
      <w:r>
        <w:rPr>
          <w:rFonts w:hint="eastAsia" w:ascii="宋体" w:hAnsi="宋体" w:eastAsia="宋体"/>
          <w:color w:val="auto"/>
          <w:sz w:val="24"/>
          <w:szCs w:val="24"/>
          <w:highlight w:val="none"/>
        </w:rPr>
        <w:t xml:space="preserve">采购活动，提供的货物全部由符合政策要求的中小企业制造。相关企业的具体情况如下：</w:t>
      </w:r>
      <w:r/>
    </w:p>
    <w:p>
      <w:pPr>
        <w:pStyle w:val="864"/>
        <w:numPr>
          <w:ilvl w:val="0"/>
          <w:numId w:val="2"/>
        </w:numPr>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（标的名称）</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）行业</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人， 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b/>
          <w:color w:val="auto"/>
          <w:sz w:val="24"/>
          <w:szCs w:val="24"/>
          <w:highlight w:val="none"/>
        </w:rPr>
        <w:t xml:space="preserve">属于（□中型企业、□小型企业、□微型企业，请勾选！）</w:t>
      </w:r>
      <w:r>
        <w:rPr>
          <w:rFonts w:hint="eastAsia" w:ascii="宋体" w:hAnsi="宋体" w:eastAsia="宋体"/>
          <w:color w:val="auto"/>
          <w:sz w:val="24"/>
          <w:szCs w:val="24"/>
          <w:highlight w:val="none"/>
        </w:rPr>
        <w:t xml:space="preserve">；</w:t>
      </w:r>
      <w:r/>
    </w:p>
    <w:p>
      <w:pPr>
        <w:pStyle w:val="864"/>
        <w:numPr>
          <w:ilvl w:val="0"/>
          <w:numId w:val="2"/>
        </w:numPr>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（标的名称）</w:t>
      </w:r>
      <w:r>
        <w:rPr>
          <w:rFonts w:hint="eastAsia" w:ascii="宋体" w:hAnsi="宋体" w:eastAsia="宋体"/>
          <w:color w:val="auto"/>
          <w:sz w:val="24"/>
          <w:szCs w:val="24"/>
          <w:highlight w:val="none"/>
        </w:rPr>
        <w:t xml:space="preserve">，属于</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）行业</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为</w:t>
      </w:r>
      <w:r>
        <w:rPr>
          <w:rFonts w:hint="eastAsia" w:ascii="宋体" w:hAnsi="宋体" w:eastAsia="宋体"/>
          <w:color w:val="auto"/>
          <w:sz w:val="24"/>
          <w:szCs w:val="24"/>
          <w:highlight w:val="none"/>
          <w:u w:val="single"/>
        </w:rPr>
        <w:t xml:space="preserve">（企业名称）</w:t>
      </w:r>
      <w:r>
        <w:rPr>
          <w:rFonts w:hint="eastAsia" w:ascii="宋体" w:hAnsi="宋体" w:eastAsia="宋体"/>
          <w:color w:val="auto"/>
          <w:sz w:val="24"/>
          <w:szCs w:val="24"/>
          <w:highlight w:val="none"/>
        </w:rPr>
        <w:t xml:space="preserve">，从业人员</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人，营业收入为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 资产总额为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rPr>
          <w:rFonts w:hint="eastAsia" w:ascii="宋体" w:hAnsi="宋体" w:eastAsia="宋体"/>
          <w:b/>
          <w:color w:val="auto"/>
          <w:sz w:val="24"/>
          <w:szCs w:val="24"/>
          <w:highlight w:val="none"/>
        </w:rPr>
        <w:t xml:space="preserve">属于（□中型企业、□小型企业、□微型企业，请勾选！）</w:t>
      </w:r>
      <w:r>
        <w:rPr>
          <w:rFonts w:hint="eastAsia" w:ascii="宋体" w:hAnsi="宋体" w:eastAsia="宋体"/>
          <w:color w:val="auto"/>
          <w:sz w:val="24"/>
          <w:szCs w:val="24"/>
          <w:highlight w:val="none"/>
        </w:rPr>
        <w:t xml:space="preserve">；</w:t>
      </w:r>
      <w:r/>
    </w:p>
    <w:p>
      <w:pPr>
        <w:pStyle w:val="864"/>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64"/>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以上企业，不属于大企业的分支机构，不存在控股股东为大企业的情形，也不存在与大企业的负责人为同一人的情形。</w:t>
      </w:r>
      <w:r/>
    </w:p>
    <w:p>
      <w:pPr>
        <w:pStyle w:val="864"/>
        <w:ind w:firstLine="560"/>
        <w:jc w:val="left"/>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本企业对上述声明内容的真实性负责。如有虚假，将依法承担相应责任。</w:t>
      </w:r>
      <w:r/>
    </w:p>
    <w:p>
      <w:pPr>
        <w:pStyle w:val="864"/>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64"/>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企业名称（电子签章）：</w:t>
      </w:r>
      <w:r/>
    </w:p>
    <w:p>
      <w:pPr>
        <w:pStyle w:val="864"/>
        <w:ind w:firstLine="560"/>
        <w:spacing w:line="48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备注：</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w:t>
      </w:r>
      <w:r>
        <w:rPr>
          <w:rFonts w:hint="eastAsia" w:asciiTheme="minorEastAsia" w:hAnsiTheme="minorEastAsia" w:eastAsiaTheme="minorEastAsia" w:cstheme="minorEastAsia"/>
          <w:color w:val="auto"/>
          <w:highlight w:val="none"/>
        </w:rPr>
        <w:t xml:space="preserve">、从业人员、营业收入、资产总额填报上一年度数据，无上一年度数据的新成立企业可不填报。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2</w:t>
      </w:r>
      <w:r>
        <w:rPr>
          <w:rFonts w:hint="eastAsia" w:asciiTheme="minorEastAsia" w:hAnsiTheme="minorEastAsia" w:eastAsiaTheme="minorEastAsia" w:cstheme="minorEastAsia"/>
          <w:color w:val="auto"/>
          <w:highlight w:val="none"/>
        </w:rPr>
        <w:t xml:space="preserve">、“中小企业声明涵”查询渠道用微信搜索“中小企业规模类型自测小程序”。</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七、残疾人福利性单位声明函</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八、投标人参加政府采购活动前3年内在经营活动中没有重大违法记录的书面声明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我单位在参加</w:t>
      </w:r>
      <w:r>
        <w:rPr>
          <w:rFonts w:hint="eastAsia" w:asciiTheme="minorEastAsia" w:hAnsiTheme="minorEastAsia" w:eastAsiaTheme="minorEastAsia" w:cstheme="minorEastAsia"/>
          <w:color w:val="auto"/>
          <w:highlight w:val="none"/>
          <w:lang w:eastAsia="zh-CN"/>
        </w:rPr>
        <w:t xml:space="preserve">沛县人民医院污水处理运维外包项目</w:t>
      </w: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（电子签章）</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九、预付款保函支付条款模板</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64"/>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付款条件一：提交预付款保函的</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（1）合同签订且乙方向甲方出具预付款保函后个</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（2）验收合格后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XX</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64"/>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64"/>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付款条件二：不提交预付款保函的</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（1）合同签订后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（2）验收合格后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个工作日内，甲方应支付合同价款的百分之</w:t>
      </w:r>
      <w:r>
        <w:rPr>
          <w:rFonts w:hint="eastAsia" w:ascii="宋体" w:hAnsi="宋体" w:eastAsia="宋体"/>
          <w:color w:val="auto"/>
          <w:sz w:val="24"/>
          <w:szCs w:val="24"/>
          <w:highlight w:val="none"/>
          <w:u w:val="single"/>
        </w:rPr>
        <w:t xml:space="preserve"> XX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XX</w:t>
      </w:r>
      <w:r>
        <w:rPr>
          <w:rFonts w:hint="eastAsia" w:ascii="宋体" w:hAnsi="宋体" w:eastAsia="宋体"/>
          <w:color w:val="auto"/>
          <w:sz w:val="24"/>
          <w:szCs w:val="24"/>
          <w:highlight w:val="none"/>
        </w:rPr>
        <w:t xml:space="preserve">%)小写￥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大写：人民币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64"/>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864"/>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注：1、付款条件一中，出具预付款保函后支付的合同款应当与保函金额一致。</w:t>
      </w:r>
      <w:r/>
    </w:p>
    <w:p>
      <w:pPr>
        <w:pStyle w:val="864"/>
        <w:numPr>
          <w:ilvl w:val="0"/>
          <w:numId w:val="3"/>
        </w:numPr>
        <w:ind w:firstLine="480"/>
        <w:jc w:val="left"/>
        <w:spacing w:line="360" w:lineRule="auto"/>
        <w:rPr>
          <w:rFonts w:hint="eastAsia"/>
          <w:color w:val="auto"/>
          <w:sz w:val="21"/>
          <w:szCs w:val="24"/>
          <w:highlight w:val="none"/>
        </w:rPr>
      </w:pPr>
      <w:r>
        <w:rPr>
          <w:rFonts w:hint="eastAsia" w:ascii="宋体" w:hAnsi="宋体" w:eastAsia="宋体"/>
          <w:color w:val="auto"/>
          <w:sz w:val="24"/>
          <w:szCs w:val="24"/>
          <w:highlight w:val="none"/>
        </w:rPr>
        <w:t xml:space="preserve">付款条件二中，预付款比例设定应符合《关于做好政府采购支持企业发展有关事项的通知》(苏财购（2020）52号)要求。</w:t>
      </w:r>
      <w:r/>
    </w:p>
    <w:p>
      <w:pPr>
        <w:pStyle w:val="857"/>
        <w:ind w:left="0" w:firstLine="0"/>
        <w:rPr>
          <w:rFonts w:hint="eastAsia"/>
          <w:color w:val="auto"/>
          <w:sz w:val="28"/>
          <w:szCs w:val="20"/>
          <w:highlight w:val="none"/>
        </w:rPr>
      </w:pPr>
      <w:r>
        <w:rPr>
          <w:rFonts w:hint="eastAsia"/>
          <w:color w:val="auto"/>
          <w:sz w:val="28"/>
          <w:szCs w:val="20"/>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十、具备履行合同所必需的设备和专业技术能力的书面声明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（附证明材料原件的扫描件）</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沛县人民医院污水处理运维外包项目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项目编号：</w:t>
      </w:r>
      <w:r>
        <w:rPr>
          <w:rFonts w:hint="eastAsia" w:asciiTheme="minorEastAsia" w:hAnsiTheme="minorEastAsia" w:eastAsiaTheme="minorEastAsia" w:cstheme="minorEastAsia"/>
          <w:color w:val="auto"/>
          <w:highlight w:val="none"/>
          <w:lang w:eastAsia="zh-CN"/>
        </w:rPr>
        <w:t xml:space="preserve">JSZC-320322-JSPY-G2024-0007</w:t>
      </w:r>
      <w:r>
        <w:rPr>
          <w:rFonts w:hint="eastAsia" w:asciiTheme="minorEastAsia" w:hAnsiTheme="minorEastAsia" w:eastAsiaTheme="minorEastAsia" w:cstheme="minorEastAsia"/>
          <w:color w:val="auto"/>
          <w:highlight w:val="none"/>
        </w:rPr>
        <w:t xml:space="preserve">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投标人郑重声明：投标人具备履行合同</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项目名称：</w:t>
      </w:r>
      <w:r>
        <w:rPr>
          <w:rFonts w:hint="eastAsia" w:asciiTheme="minorEastAsia" w:hAnsiTheme="minorEastAsia" w:eastAsiaTheme="minorEastAsia" w:cstheme="minorEastAsia"/>
          <w:color w:val="auto"/>
          <w:highlight w:val="none"/>
          <w:lang w:eastAsia="zh-CN"/>
        </w:rPr>
        <w:t xml:space="preserve">沛县人民医院污水处理运维外包项目（采购包名称）</w:t>
      </w:r>
      <w:r>
        <w:rPr>
          <w:rFonts w:hint="eastAsia" w:asciiTheme="minorEastAsia" w:hAnsiTheme="minorEastAsia" w:eastAsiaTheme="minorEastAsia" w:cstheme="minorEastAsia"/>
          <w:color w:val="auto"/>
          <w:highlight w:val="none"/>
        </w:rPr>
        <w:t xml:space="preserve"> ，项目编号：</w:t>
      </w:r>
      <w:r>
        <w:rPr>
          <w:rFonts w:hint="eastAsia" w:asciiTheme="minorEastAsia" w:hAnsiTheme="minorEastAsia" w:eastAsiaTheme="minorEastAsia" w:cstheme="minorEastAsia"/>
          <w:color w:val="auto"/>
          <w:highlight w:val="none"/>
          <w:lang w:eastAsia="zh-CN"/>
        </w:rPr>
        <w:t xml:space="preserve">JSZC-320322-JSPY-G2024-0007</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所必需的专业技术能力，具体为：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特此声明。</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投标人对上述声明的真实性负责。如有虚假，将依法承担相应责任。</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                  （电子签章）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09"/>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十一、</w:t>
      </w:r>
      <w:r>
        <w:rPr>
          <w:rFonts w:hint="eastAsia" w:asciiTheme="minorEastAsia" w:hAnsiTheme="minorEastAsia" w:eastAsiaTheme="minorEastAsia" w:cstheme="minorEastAsia"/>
          <w:color w:val="auto"/>
          <w:highlight w:val="none"/>
        </w:rPr>
        <w:t xml:space="preserve">投标人承诺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 目 名 称：</w:t>
      </w:r>
      <w:r>
        <w:rPr>
          <w:rFonts w:hint="eastAsia" w:asciiTheme="minorEastAsia" w:hAnsiTheme="minorEastAsia" w:eastAsiaTheme="minorEastAsia" w:cstheme="minorEastAsia"/>
          <w:color w:val="auto"/>
          <w:highlight w:val="none"/>
          <w:lang w:eastAsia="zh-CN"/>
        </w:rPr>
        <w:t xml:space="preserve">沛县人民医院污水处理运维外包项目</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项 目 编 号：</w:t>
      </w:r>
      <w:r>
        <w:rPr>
          <w:rFonts w:hint="eastAsia" w:asciiTheme="minorEastAsia" w:hAnsiTheme="minorEastAsia" w:eastAsiaTheme="minorEastAsia" w:cstheme="minorEastAsia"/>
          <w:color w:val="auto"/>
          <w:highlight w:val="none"/>
          <w:lang w:eastAsia="zh-CN"/>
        </w:rPr>
        <w:t xml:space="preserve">JSZC-320322-JSPY-G2024-0007</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如我单位中标，将履行以下承诺(包含但不限于以下承诺)：</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一、将遵循公开、公正和诚实信用的原则自愿参加</w:t>
      </w:r>
      <w:r>
        <w:rPr>
          <w:rFonts w:hint="eastAsia" w:asciiTheme="minorEastAsia" w:hAnsiTheme="minorEastAsia" w:eastAsiaTheme="minorEastAsia" w:cstheme="minorEastAsia"/>
          <w:color w:val="auto"/>
          <w:highlight w:val="none"/>
          <w:lang w:eastAsia="zh-CN"/>
        </w:rPr>
        <w:t xml:space="preserve">沛县人民医院污水处理运维外包项目（采购包名称）</w:t>
      </w:r>
      <w:r>
        <w:rPr>
          <w:rFonts w:hint="eastAsia" w:asciiTheme="minorEastAsia" w:hAnsiTheme="minorEastAsia" w:eastAsiaTheme="minorEastAsia" w:cstheme="minorEastAsia"/>
          <w:color w:val="auto"/>
          <w:highlight w:val="none"/>
        </w:rPr>
        <w:t xml:space="preserve">的投标；</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二、所提供的一切材料都是真实、合法、有效的；</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三、……</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注：投标人应根据招标文件中要求上传的承诺，逐条响应。</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投标人名称（公章）： ____________________ </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投标人授权代表（签字或盖章）：___________</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w:t>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48"/>
        <w:ind w:firstLine="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0"/>
        <w:jc w:val="left"/>
        <w:pageBreakBefore w:val="0"/>
        <w:spacing w:line="360" w:lineRule="auto"/>
        <w:rPr>
          <w:rFonts w:hint="eastAsia" w:asciiTheme="minorEastAsia" w:hAnsiTheme="minorEastAsia" w:eastAsiaTheme="minorEastAsia" w:cstheme="minorEastAsia"/>
          <w:b/>
          <w:bCs/>
          <w:caps w:val="0"/>
          <w:color w:val="auto"/>
          <w:highlight w:val="none"/>
        </w:rPr>
      </w:pPr>
      <w:r>
        <w:rPr>
          <w:rFonts w:hint="eastAsia" w:asciiTheme="minorEastAsia" w:hAnsiTheme="minorEastAsia" w:eastAsiaTheme="minorEastAsia" w:cstheme="minorEastAsia"/>
          <w:b/>
          <w:bCs/>
          <w:caps w:val="0"/>
          <w:color w:val="auto"/>
          <w:highlight w:val="none"/>
        </w:rPr>
      </w:r>
      <w:r/>
    </w:p>
    <w:sectPr>
      <w:footerReference w:type="default" r:id="rId12"/>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Symbol">
    <w:panose1 w:val="05050102010706020507"/>
  </w:font>
  <w:font w:name="新宋体">
    <w:panose1 w:val="02010609030101010101"/>
  </w:font>
  <w:font w:name="Cambria">
    <w:panose1 w:val="0204050305040603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- 2 -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- 2 -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17</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- 3 -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- 3 -</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hint="default"/>
        <w:u w:val="none"/>
      </w:rPr>
    </w:lvl>
    <w:lvl w:ilvl="1">
      <w:start w:val="1"/>
      <w:numFmt w:val="bullet"/>
      <w:isLgl w:val="false"/>
      <w:suff w:val="tab"/>
      <w:lvlText w:val="o"/>
      <w:lvlJc w:val="left"/>
      <w:pPr>
        <w:ind w:left="1440" w:hanging="360"/>
      </w:pPr>
      <w:rPr>
        <w:rFonts w:hint="default" w:ascii="Courier New" w:hAnsi="Courier New"/>
        <w:u w:val="none"/>
      </w:rPr>
    </w:lvl>
    <w:lvl w:ilvl="2">
      <w:start w:val="1"/>
      <w:numFmt w:val="bullet"/>
      <w:isLgl w:val="false"/>
      <w:suff w:val="tab"/>
      <w:lvlText w:val="§"/>
      <w:lvlJc w:val="left"/>
      <w:pPr>
        <w:ind w:left="2160" w:hanging="360"/>
      </w:pPr>
      <w:rPr>
        <w:rFonts w:hint="default" w:ascii="Wingdings" w:hAnsi="Wingdings" w:eastAsia="Wingdings"/>
        <w:u w:val="none"/>
      </w:rPr>
    </w:lvl>
    <w:lvl w:ilvl="3">
      <w:start w:val="1"/>
      <w:numFmt w:val="bullet"/>
      <w:isLgl w:val="false"/>
      <w:suff w:val="tab"/>
      <w:lvlText w:val="·"/>
      <w:lvlJc w:val="left"/>
      <w:pPr>
        <w:ind w:left="2880" w:hanging="360"/>
      </w:pPr>
      <w:rPr>
        <w:rFonts w:hint="default" w:ascii="Symbol" w:hAnsi="Symbol" w:eastAsia="Symbol"/>
        <w:u w:val="none"/>
      </w:rPr>
    </w:lvl>
    <w:lvl w:ilvl="4">
      <w:start w:val="1"/>
      <w:numFmt w:val="bullet"/>
      <w:isLgl w:val="false"/>
      <w:suff w:val="tab"/>
      <w:lvlText w:val="o"/>
      <w:lvlJc w:val="left"/>
      <w:pPr>
        <w:ind w:left="3600" w:hanging="360"/>
      </w:pPr>
      <w:rPr>
        <w:rFonts w:hint="default" w:ascii="Courier New" w:hAnsi="Courier New"/>
        <w:u w:val="none"/>
      </w:rPr>
    </w:lvl>
    <w:lvl w:ilvl="5">
      <w:start w:val="1"/>
      <w:numFmt w:val="bullet"/>
      <w:isLgl w:val="false"/>
      <w:suff w:val="tab"/>
      <w:lvlText w:val="§"/>
      <w:lvlJc w:val="left"/>
      <w:pPr>
        <w:ind w:left="4320" w:hanging="360"/>
      </w:pPr>
      <w:rPr>
        <w:rFonts w:hint="default" w:ascii="Wingdings" w:hAnsi="Wingdings" w:eastAsia="Wingdings"/>
        <w:u w:val="none"/>
      </w:rPr>
    </w:lvl>
    <w:lvl w:ilvl="6">
      <w:start w:val="1"/>
      <w:numFmt w:val="bullet"/>
      <w:isLgl w:val="false"/>
      <w:suff w:val="tab"/>
      <w:lvlText w:val="·"/>
      <w:lvlJc w:val="left"/>
      <w:pPr>
        <w:ind w:left="5040" w:hanging="360"/>
      </w:pPr>
      <w:rPr>
        <w:rFonts w:hint="default" w:ascii="Symbol" w:hAnsi="Symbol" w:eastAsia="Symbol"/>
        <w:u w:val="none"/>
      </w:rPr>
    </w:lvl>
    <w:lvl w:ilvl="7">
      <w:start w:val="1"/>
      <w:numFmt w:val="bullet"/>
      <w:isLgl w:val="false"/>
      <w:suff w:val="tab"/>
      <w:lvlText w:val="o"/>
      <w:lvlJc w:val="left"/>
      <w:pPr>
        <w:ind w:left="5760" w:hanging="360"/>
      </w:pPr>
      <w:rPr>
        <w:rFonts w:hint="default" w:ascii="Courier New" w:hAnsi="Courier New"/>
        <w:u w:val="none"/>
      </w:rPr>
    </w:lvl>
    <w:lvl w:ilvl="8">
      <w:start w:val="1"/>
      <w:numFmt w:val="bullet"/>
      <w:isLgl w:val="false"/>
      <w:suff w:val="tab"/>
      <w:lvlText w:val="§"/>
      <w:lvlJc w:val="left"/>
      <w:pPr>
        <w:ind w:left="6480" w:hanging="360"/>
      </w:pPr>
      <w:rPr>
        <w:rFonts w:hint="default" w:ascii="Wingdings" w:hAnsi="Wingdings" w:eastAsia="Wingdings"/>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ind w:firstLine="480"/>
      <w:spacing w:line="400" w:lineRule="exact"/>
    </w:pPr>
    <w:rPr>
      <w:rFonts w:hint="default" w:ascii="Times New Roman" w:hAnsi="Times New Roman" w:eastAsia="仿宋" w:cs="Times New Roman"/>
      <w:sz w:val="24"/>
      <w:lang w:val="en-US" w:eastAsia="zh-CN" w:bidi="ar-SA"/>
    </w:rPr>
  </w:style>
  <w:style w:type="paragraph" w:styleId="808">
    <w:name w:val="Heading 1"/>
    <w:basedOn w:val="807"/>
    <w:next w:val="807"/>
    <w:link w:val="1055"/>
    <w:uiPriority w:val="0"/>
    <w:qFormat/>
    <w:pPr>
      <w:jc w:val="center"/>
      <w:keepLines/>
      <w:keepNext/>
      <w:spacing w:line="360" w:lineRule="auto"/>
      <w:outlineLvl w:val="0"/>
    </w:pPr>
    <w:rPr>
      <w:rFonts w:ascii="Arial" w:hAnsi="Arial" w:eastAsia="仿宋" w:cs="Arial"/>
      <w:b/>
      <w:sz w:val="72"/>
      <w:szCs w:val="40"/>
    </w:rPr>
  </w:style>
  <w:style w:type="paragraph" w:styleId="809">
    <w:name w:val="Heading 2"/>
    <w:next w:val="807"/>
    <w:link w:val="1056"/>
    <w:uiPriority w:val="0"/>
    <w:unhideWhenUsed/>
    <w:qFormat/>
    <w:pPr>
      <w:jc w:val="center"/>
      <w:keepLines/>
      <w:keepNext/>
      <w:spacing w:line="240" w:lineRule="auto"/>
      <w:outlineLvl w:val="1"/>
    </w:pPr>
    <w:rPr>
      <w:rFonts w:hint="default" w:ascii="Arial" w:hAnsi="Arial" w:eastAsia="宋体" w:cs="Arial"/>
      <w:b/>
      <w:sz w:val="30"/>
      <w:lang w:val="en-US" w:eastAsia="zh-CN" w:bidi="ar-SA"/>
    </w:rPr>
  </w:style>
  <w:style w:type="paragraph" w:styleId="810">
    <w:name w:val="Heading 3"/>
    <w:basedOn w:val="807"/>
    <w:next w:val="807"/>
    <w:link w:val="1057"/>
    <w:uiPriority w:val="0"/>
    <w:unhideWhenUsed/>
    <w:qFormat/>
    <w:pPr>
      <w:keepLines/>
      <w:keepNext/>
      <w:spacing w:line="400" w:lineRule="exact"/>
      <w:outlineLvl w:val="2"/>
    </w:pPr>
    <w:rPr>
      <w:rFonts w:asciiTheme="minorAscii" w:hAnsiTheme="minorAscii" w:cstheme="minorBidi"/>
      <w:b/>
      <w:szCs w:val="22"/>
      <w:lang w:eastAsia="en-US"/>
    </w:rPr>
  </w:style>
  <w:style w:type="paragraph" w:styleId="811">
    <w:name w:val="Heading 4"/>
    <w:next w:val="807"/>
    <w:link w:val="1058"/>
    <w:uiPriority w:val="0"/>
    <w:unhideWhenUsed/>
    <w:qFormat/>
    <w:pPr>
      <w:jc w:val="center"/>
      <w:keepLines/>
      <w:keepNext/>
      <w:spacing w:before="320" w:after="200"/>
      <w:outlineLvl w:val="3"/>
    </w:pPr>
    <w:rPr>
      <w:rFonts w:hint="default" w:ascii="Arial" w:hAnsi="Arial" w:eastAsia="仿宋" w:cs="Arial"/>
      <w:b/>
      <w:bCs/>
      <w:sz w:val="32"/>
      <w:szCs w:val="26"/>
      <w:lang w:val="en-US" w:eastAsia="zh-CN" w:bidi="ar-SA"/>
    </w:rPr>
  </w:style>
  <w:style w:type="paragraph" w:styleId="812">
    <w:name w:val="Heading 5"/>
    <w:basedOn w:val="807"/>
    <w:next w:val="807"/>
    <w:link w:val="1059"/>
    <w:uiPriority w:val="0"/>
    <w:semiHidden/>
    <w:unhideWhenUsed/>
    <w:qFormat/>
    <w:pPr>
      <w:keepLines/>
      <w:keepNext/>
      <w:spacing w:before="80" w:after="80" w:line="372" w:lineRule="auto"/>
      <w:outlineLvl w:val="4"/>
    </w:pPr>
    <w:rPr>
      <w:b/>
    </w:rPr>
  </w:style>
  <w:style w:type="paragraph" w:styleId="813">
    <w:name w:val="Heading 6"/>
    <w:basedOn w:val="807"/>
    <w:next w:val="807"/>
    <w:link w:val="912"/>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914"/>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915"/>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39"/>
    <w:unhideWhenUsed/>
    <w:qFormat/>
    <w:pPr>
      <w:ind w:left="1701"/>
      <w:spacing w:after="57"/>
    </w:pPr>
  </w:style>
  <w:style w:type="paragraph" w:styleId="820">
    <w:name w:val="Normal Indent"/>
    <w:basedOn w:val="807"/>
    <w:uiPriority w:val="0"/>
    <w:qFormat/>
    <w:pPr>
      <w:ind w:firstLine="420"/>
    </w:pPr>
  </w:style>
  <w:style w:type="paragraph" w:styleId="821">
    <w:name w:val="Caption"/>
    <w:basedOn w:val="807"/>
    <w:next w:val="80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2">
    <w:name w:val="annotation text"/>
    <w:basedOn w:val="807"/>
    <w:link w:val="1077"/>
    <w:uiPriority w:val="99"/>
    <w:semiHidden/>
    <w:unhideWhenUsed/>
    <w:qFormat/>
  </w:style>
  <w:style w:type="paragraph" w:styleId="823">
    <w:name w:val="Body Text"/>
    <w:basedOn w:val="807"/>
    <w:next w:val="824"/>
    <w:uiPriority w:val="0"/>
    <w:qFormat/>
    <w:pPr>
      <w:spacing w:after="120"/>
      <w:tabs>
        <w:tab w:val="left" w:pos="420" w:leader="none"/>
      </w:tabs>
    </w:pPr>
  </w:style>
  <w:style w:type="paragraph" w:styleId="824">
    <w:name w:val="Body Text 2"/>
    <w:basedOn w:val="807"/>
    <w:uiPriority w:val="0"/>
    <w:qFormat/>
    <w:pPr>
      <w:tabs>
        <w:tab w:val="left" w:pos="540" w:leader="none"/>
      </w:tabs>
    </w:pPr>
    <w:rPr>
      <w:rFonts w:ascii="宋体" w:hAnsi="宋体" w:cs="Arial"/>
      <w:color w:val="000000"/>
      <w:szCs w:val="21"/>
    </w:rPr>
  </w:style>
  <w:style w:type="paragraph" w:styleId="825">
    <w:name w:val="Body Text Indent"/>
    <w:basedOn w:val="807"/>
    <w:uiPriority w:val="99"/>
    <w:unhideWhenUsed/>
    <w:qFormat/>
    <w:pPr>
      <w:ind w:firstLine="425"/>
      <w:spacing w:line="360" w:lineRule="auto"/>
    </w:pPr>
  </w:style>
  <w:style w:type="paragraph" w:styleId="826">
    <w:name w:val="Block Text"/>
    <w:basedOn w:val="807"/>
    <w:uiPriority w:val="0"/>
    <w:qFormat/>
    <w:pPr>
      <w:ind w:left="1440"/>
      <w:spacing w:after="120"/>
    </w:pPr>
  </w:style>
  <w:style w:type="paragraph" w:styleId="827">
    <w:name w:val="index 4"/>
    <w:basedOn w:val="807"/>
    <w:next w:val="807"/>
    <w:uiPriority w:val="99"/>
    <w:qFormat/>
    <w:pPr>
      <w:ind w:left="600"/>
    </w:pPr>
    <w:rPr>
      <w:rFonts w:ascii="Calibri" w:hAnsi="Calibri"/>
    </w:rPr>
  </w:style>
  <w:style w:type="paragraph" w:styleId="828">
    <w:name w:val="toc 5"/>
    <w:basedOn w:val="807"/>
    <w:next w:val="807"/>
    <w:uiPriority w:val="39"/>
    <w:unhideWhenUsed/>
    <w:qFormat/>
    <w:pPr>
      <w:ind w:left="1134"/>
      <w:spacing w:after="57"/>
    </w:pPr>
  </w:style>
  <w:style w:type="paragraph" w:styleId="829">
    <w:name w:val="toc 3"/>
    <w:basedOn w:val="807"/>
    <w:next w:val="807"/>
    <w:uiPriority w:val="39"/>
    <w:unhideWhenUsed/>
    <w:qFormat/>
    <w:pPr>
      <w:ind w:left="567"/>
      <w:spacing w:after="57"/>
    </w:pPr>
  </w:style>
  <w:style w:type="paragraph" w:styleId="830">
    <w:name w:val="Plain Text"/>
    <w:basedOn w:val="807"/>
    <w:uiPriority w:val="99"/>
    <w:qFormat/>
    <w:pPr>
      <w:ind w:firstLine="200"/>
      <w:spacing w:line="360" w:lineRule="auto"/>
    </w:pPr>
    <w:rPr>
      <w:rFonts w:ascii="宋体" w:hAnsi="Courier New" w:eastAsia="宋体"/>
      <w:sz w:val="21"/>
      <w:szCs w:val="21"/>
    </w:rPr>
  </w:style>
  <w:style w:type="paragraph" w:styleId="831">
    <w:name w:val="toc 8"/>
    <w:basedOn w:val="807"/>
    <w:next w:val="807"/>
    <w:uiPriority w:val="39"/>
    <w:unhideWhenUsed/>
    <w:qFormat/>
    <w:pPr>
      <w:ind w:left="1984"/>
      <w:spacing w:after="57"/>
    </w:pPr>
  </w:style>
  <w:style w:type="paragraph" w:styleId="832">
    <w:name w:val="endnote text"/>
    <w:basedOn w:val="807"/>
    <w:link w:val="1053"/>
    <w:uiPriority w:val="99"/>
    <w:semiHidden/>
    <w:unhideWhenUsed/>
    <w:qFormat/>
    <w:pPr>
      <w:spacing w:line="240" w:lineRule="auto"/>
    </w:pPr>
    <w:rPr>
      <w:sz w:val="20"/>
    </w:rPr>
  </w:style>
  <w:style w:type="paragraph" w:styleId="833">
    <w:name w:val="Balloon Text"/>
    <w:basedOn w:val="807"/>
    <w:link w:val="1079"/>
    <w:uiPriority w:val="99"/>
    <w:semiHidden/>
    <w:unhideWhenUsed/>
    <w:qFormat/>
    <w:pPr>
      <w:spacing w:line="240" w:lineRule="auto"/>
    </w:pPr>
    <w:rPr>
      <w:sz w:val="18"/>
      <w:szCs w:val="18"/>
    </w:rPr>
  </w:style>
  <w:style w:type="paragraph" w:styleId="834">
    <w:name w:val="Footer"/>
    <w:basedOn w:val="807"/>
    <w:link w:val="926"/>
    <w:uiPriority w:val="99"/>
    <w:unhideWhenUsed/>
    <w:qFormat/>
    <w:pPr>
      <w:spacing w:line="240" w:lineRule="auto"/>
      <w:tabs>
        <w:tab w:val="center" w:pos="7143" w:leader="none"/>
        <w:tab w:val="right" w:pos="14287" w:leader="none"/>
      </w:tabs>
    </w:pPr>
  </w:style>
  <w:style w:type="paragraph" w:styleId="835">
    <w:name w:val="envelope return"/>
    <w:basedOn w:val="807"/>
    <w:uiPriority w:val="99"/>
    <w:unhideWhenUsed/>
    <w:qFormat/>
    <w:rPr>
      <w:rFonts w:ascii="Arial" w:hAnsi="Arial"/>
    </w:rPr>
  </w:style>
  <w:style w:type="paragraph" w:styleId="836">
    <w:name w:val="Header"/>
    <w:basedOn w:val="807"/>
    <w:link w:val="924"/>
    <w:uiPriority w:val="99"/>
    <w:unhideWhenUsed/>
    <w:qFormat/>
    <w:pPr>
      <w:spacing w:line="240" w:lineRule="auto"/>
      <w:tabs>
        <w:tab w:val="center" w:pos="7143" w:leader="none"/>
        <w:tab w:val="right" w:pos="14287" w:leader="none"/>
      </w:tabs>
    </w:pPr>
  </w:style>
  <w:style w:type="paragraph" w:styleId="837">
    <w:name w:val="toc 1"/>
    <w:basedOn w:val="807"/>
    <w:next w:val="807"/>
    <w:uiPriority w:val="0"/>
    <w:qFormat/>
  </w:style>
  <w:style w:type="paragraph" w:styleId="838">
    <w:name w:val="toc 4"/>
    <w:basedOn w:val="807"/>
    <w:next w:val="807"/>
    <w:uiPriority w:val="39"/>
    <w:unhideWhenUsed/>
    <w:qFormat/>
    <w:pPr>
      <w:ind w:left="850"/>
      <w:spacing w:after="57"/>
    </w:pPr>
  </w:style>
  <w:style w:type="paragraph" w:styleId="839">
    <w:name w:val="Subtitle"/>
    <w:basedOn w:val="807"/>
    <w:next w:val="807"/>
    <w:link w:val="919"/>
    <w:uiPriority w:val="11"/>
    <w:qFormat/>
    <w:pPr>
      <w:spacing w:before="200" w:after="200"/>
    </w:pPr>
    <w:rPr>
      <w:szCs w:val="24"/>
    </w:rPr>
  </w:style>
  <w:style w:type="paragraph" w:styleId="840">
    <w:name w:val="footnote text"/>
    <w:basedOn w:val="807"/>
    <w:uiPriority w:val="0"/>
    <w:qFormat/>
    <w:rPr>
      <w:sz w:val="18"/>
    </w:rPr>
  </w:style>
  <w:style w:type="paragraph" w:styleId="841">
    <w:name w:val="toc 6"/>
    <w:basedOn w:val="807"/>
    <w:next w:val="807"/>
    <w:uiPriority w:val="39"/>
    <w:unhideWhenUsed/>
    <w:qFormat/>
    <w:pPr>
      <w:ind w:left="1417"/>
      <w:spacing w:after="57"/>
    </w:pPr>
  </w:style>
  <w:style w:type="paragraph" w:styleId="842">
    <w:name w:val="table of figures"/>
    <w:basedOn w:val="807"/>
    <w:next w:val="807"/>
    <w:uiPriority w:val="99"/>
    <w:unhideWhenUsed/>
    <w:qFormat/>
  </w:style>
  <w:style w:type="paragraph" w:styleId="843">
    <w:name w:val="toc 2"/>
    <w:basedOn w:val="807"/>
    <w:next w:val="807"/>
    <w:uiPriority w:val="39"/>
    <w:unhideWhenUsed/>
    <w:qFormat/>
    <w:pPr>
      <w:ind w:left="283"/>
      <w:spacing w:after="57"/>
    </w:pPr>
  </w:style>
  <w:style w:type="paragraph" w:styleId="844">
    <w:name w:val="toc 9"/>
    <w:basedOn w:val="807"/>
    <w:next w:val="807"/>
    <w:uiPriority w:val="39"/>
    <w:unhideWhenUsed/>
    <w:qFormat/>
    <w:pPr>
      <w:ind w:left="2268"/>
      <w:spacing w:after="57"/>
    </w:pPr>
  </w:style>
  <w:style w:type="paragraph" w:styleId="845">
    <w:name w:val="Title"/>
    <w:basedOn w:val="807"/>
    <w:next w:val="807"/>
    <w:link w:val="918"/>
    <w:uiPriority w:val="10"/>
    <w:qFormat/>
    <w:pPr>
      <w:contextualSpacing/>
      <w:spacing w:before="300" w:after="200"/>
    </w:pPr>
    <w:rPr>
      <w:sz w:val="48"/>
      <w:szCs w:val="48"/>
    </w:rPr>
  </w:style>
  <w:style w:type="paragraph" w:styleId="846">
    <w:name w:val="annotation subject"/>
    <w:basedOn w:val="822"/>
    <w:next w:val="822"/>
    <w:link w:val="1078"/>
    <w:uiPriority w:val="99"/>
    <w:semiHidden/>
    <w:unhideWhenUsed/>
    <w:qFormat/>
    <w:rPr>
      <w:b/>
      <w:bCs/>
    </w:rPr>
  </w:style>
  <w:style w:type="paragraph" w:styleId="847">
    <w:name w:val="Body Text First Indent"/>
    <w:basedOn w:val="823"/>
    <w:next w:val="848"/>
    <w:uiPriority w:val="0"/>
    <w:qFormat/>
    <w:pPr>
      <w:ind w:firstLine="420"/>
      <w:spacing w:after="0"/>
    </w:pPr>
    <w:rPr>
      <w:sz w:val="28"/>
      <w:szCs w:val="28"/>
    </w:rPr>
  </w:style>
  <w:style w:type="paragraph" w:styleId="848">
    <w:name w:val="Body Text First Indent 2"/>
    <w:basedOn w:val="825"/>
    <w:uiPriority w:val="0"/>
    <w:qFormat/>
    <w:pPr>
      <w:ind w:firstLine="420"/>
    </w:pPr>
    <w:rPr>
      <w:rFonts w:ascii="宋体" w:hAnsi="宋体"/>
    </w:rPr>
  </w:style>
  <w:style w:type="table" w:styleId="849">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endnote reference"/>
    <w:basedOn w:val="817"/>
    <w:uiPriority w:val="99"/>
    <w:semiHidden/>
    <w:unhideWhenUsed/>
    <w:qFormat/>
    <w:rPr>
      <w:vertAlign w:val="superscript"/>
    </w:rPr>
  </w:style>
  <w:style w:type="character" w:styleId="851">
    <w:name w:val="Hyperlink"/>
    <w:basedOn w:val="817"/>
    <w:uiPriority w:val="99"/>
    <w:unhideWhenUsed/>
    <w:qFormat/>
    <w:rPr>
      <w:color w:val="0563c1" w:themeColor="hyperlink"/>
      <w:u w:val="single"/>
      <w14:textFill>
        <w14:solidFill>
          <w14:schemeClr w14:val="hlink"/>
        </w14:solidFill>
      </w14:textFill>
    </w:rPr>
  </w:style>
  <w:style w:type="character" w:styleId="852">
    <w:name w:val="annotation reference"/>
    <w:basedOn w:val="817"/>
    <w:uiPriority w:val="99"/>
    <w:semiHidden/>
    <w:unhideWhenUsed/>
    <w:qFormat/>
    <w:rPr>
      <w:sz w:val="21"/>
      <w:szCs w:val="21"/>
    </w:rPr>
  </w:style>
  <w:style w:type="character" w:styleId="853">
    <w:name w:val="footnote reference"/>
    <w:basedOn w:val="817"/>
    <w:uiPriority w:val="99"/>
    <w:unhideWhenUsed/>
    <w:qFormat/>
    <w:rPr>
      <w:vertAlign w:val="superscript"/>
    </w:rPr>
  </w:style>
  <w:style w:type="paragraph" w:styleId="854" w:customStyle="1">
    <w:name w:val="目录 11"/>
    <w:basedOn w:val="855"/>
    <w:next w:val="855"/>
    <w:uiPriority w:val="0"/>
    <w:qFormat/>
    <w:pPr>
      <w:jc w:val="left"/>
      <w:spacing w:after="100" w:line="259" w:lineRule="auto"/>
      <w:widowControl/>
    </w:pPr>
    <w:rPr>
      <w:rFonts w:ascii="Calibri" w:hAnsi="Calibri"/>
      <w:sz w:val="22"/>
      <w:szCs w:val="22"/>
    </w:rPr>
  </w:style>
  <w:style w:type="paragraph" w:styleId="855" w:customStyle="1">
    <w:name w:val="正文11"/>
    <w:next w:val="856"/>
    <w:link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6" w:customStyle="1">
    <w:name w:val="正文文本1"/>
    <w:basedOn w:val="855"/>
    <w:next w:val="855"/>
    <w:uiPriority w:val="0"/>
    <w:qFormat/>
    <w:pPr>
      <w:spacing w:after="120"/>
    </w:pPr>
  </w:style>
  <w:style w:type="paragraph" w:styleId="857" w:customStyle="1">
    <w:name w:val="文本块1"/>
    <w:basedOn w:val="858"/>
    <w:uiPriority w:val="0"/>
    <w:qFormat/>
    <w:pPr>
      <w:ind w:left="567" w:right="454" w:firstLine="498"/>
      <w:jc w:val="left"/>
      <w:widowControl/>
    </w:pPr>
    <w:rPr>
      <w:rFonts w:ascii="仿宋_GB2312" w:eastAsia="仿宋_GB2312"/>
      <w:sz w:val="30"/>
      <w:szCs w:val="20"/>
    </w:rPr>
  </w:style>
  <w:style w:type="paragraph" w:styleId="858" w:customStyle="1">
    <w:name w:val="正文111"/>
    <w:next w:val="8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目录 111"/>
    <w:basedOn w:val="860"/>
    <w:next w:val="807"/>
    <w:uiPriority w:val="0"/>
    <w:qFormat/>
  </w:style>
  <w:style w:type="paragraph" w:styleId="860" w:customStyle="1">
    <w:name w:val="正文1"/>
    <w:basedOn w:val="855"/>
    <w:next w:val="856"/>
    <w:uiPriority w:val="0"/>
    <w:qFormat/>
  </w:style>
  <w:style w:type="paragraph" w:styleId="861" w:customStyle="1">
    <w:name w:val="一级条标题"/>
    <w:basedOn w:val="862"/>
    <w:next w:val="86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62" w:customStyle="1">
    <w:name w:val="章标题"/>
    <w:next w:val="86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63" w:customStyle="1">
    <w:name w:val="段"/>
    <w:basedOn w:val="860"/>
    <w:next w:val="860"/>
    <w:uiPriority w:val="0"/>
    <w:qFormat/>
    <w:pPr>
      <w:ind w:firstLine="200"/>
      <w:widowControl/>
    </w:pPr>
    <w:rPr>
      <w:rFonts w:ascii="宋体"/>
      <w:sz w:val="20"/>
      <w:szCs w:val="20"/>
    </w:rPr>
  </w:style>
  <w:style w:type="paragraph" w:styleId="864" w:customStyle="1">
    <w:name w:val="正文12"/>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脚注文本1"/>
    <w:basedOn w:val="860"/>
    <w:next w:val="866"/>
    <w:uiPriority w:val="0"/>
    <w:qFormat/>
    <w:pPr>
      <w:jc w:val="left"/>
    </w:pPr>
    <w:rPr>
      <w:rFonts w:ascii="宋体" w:eastAsia="Times New Roman"/>
      <w:sz w:val="18"/>
      <w:szCs w:val="18"/>
    </w:rPr>
  </w:style>
  <w:style w:type="paragraph" w:styleId="866" w:customStyle="1">
    <w:name w:val="索引 51"/>
    <w:basedOn w:val="858"/>
    <w:next w:val="860"/>
    <w:uiPriority w:val="0"/>
    <w:qFormat/>
    <w:pPr>
      <w:ind w:left="798"/>
      <w:jc w:val="left"/>
    </w:pPr>
    <w:rPr>
      <w:rFonts w:ascii="Calibri" w:hAnsi="Calibri"/>
    </w:rPr>
  </w:style>
  <w:style w:type="paragraph" w:styleId="867" w:customStyle="1">
    <w:name w:val="正文文本缩进11"/>
    <w:basedOn w:val="858"/>
    <w:uiPriority w:val="0"/>
    <w:qFormat/>
    <w:pPr>
      <w:ind w:firstLine="425"/>
      <w:spacing w:line="360" w:lineRule="auto"/>
    </w:pPr>
  </w:style>
  <w:style w:type="paragraph" w:styleId="868" w:customStyle="1">
    <w:name w:val="标题 41"/>
    <w:basedOn w:val="860"/>
    <w:next w:val="855"/>
    <w:uiPriority w:val="0"/>
    <w:qFormat/>
    <w:pPr>
      <w:keepLines/>
      <w:keepNext/>
      <w:spacing w:before="280" w:after="290" w:line="376" w:lineRule="auto"/>
      <w:outlineLvl w:val="3"/>
    </w:pPr>
    <w:rPr>
      <w:rFonts w:ascii="Cambria" w:hAnsi="Cambria" w:eastAsia="宋体"/>
      <w:b/>
      <w:bCs/>
      <w:sz w:val="28"/>
      <w:szCs w:val="28"/>
    </w:rPr>
  </w:style>
  <w:style w:type="paragraph" w:styleId="869" w:customStyle="1">
    <w:name w:val="文本块11"/>
    <w:basedOn w:val="864"/>
    <w:uiPriority w:val="0"/>
    <w:qFormat/>
    <w:pPr>
      <w:ind w:left="420" w:right="33"/>
      <w:jc w:val="left"/>
    </w:pPr>
    <w:rPr>
      <w:sz w:val="24"/>
      <w:szCs w:val="20"/>
    </w:rPr>
  </w:style>
  <w:style w:type="paragraph" w:styleId="870" w:customStyle="1">
    <w:name w:val="正文缩进1"/>
    <w:basedOn w:val="807"/>
    <w:uiPriority w:val="0"/>
    <w:qFormat/>
    <w:pPr>
      <w:ind w:firstLine="420"/>
    </w:pPr>
  </w:style>
  <w:style w:type="paragraph" w:styleId="871" w:customStyle="1">
    <w:name w:val="标题 11"/>
    <w:basedOn w:val="860"/>
    <w:next w:val="860"/>
    <w:uiPriority w:val="0"/>
    <w:qFormat/>
    <w:pPr>
      <w:jc w:val="center"/>
      <w:keepLines/>
      <w:keepNext/>
      <w:spacing w:line="578" w:lineRule="auto"/>
      <w:outlineLvl w:val="0"/>
    </w:pPr>
    <w:rPr>
      <w:rFonts w:eastAsia="新宋体"/>
      <w:b/>
      <w:bCs/>
      <w:sz w:val="30"/>
      <w:szCs w:val="44"/>
    </w:rPr>
  </w:style>
  <w:style w:type="paragraph" w:styleId="872" w:customStyle="1">
    <w:name w:val="正文文本111"/>
    <w:basedOn w:val="864"/>
    <w:next w:val="864"/>
    <w:uiPriority w:val="0"/>
    <w:qFormat/>
  </w:style>
  <w:style w:type="character" w:styleId="873" w:customStyle="1">
    <w:name w:val="Heading 6 Char"/>
    <w:basedOn w:val="817"/>
    <w:uiPriority w:val="9"/>
    <w:qFormat/>
    <w:rPr>
      <w:rFonts w:ascii="Arial" w:hAnsi="Arial" w:eastAsia="Arial" w:cs="Arial"/>
      <w:b/>
      <w:bCs/>
      <w:sz w:val="22"/>
      <w:szCs w:val="22"/>
    </w:rPr>
  </w:style>
  <w:style w:type="character" w:styleId="874" w:customStyle="1">
    <w:name w:val="Heading 7 Char"/>
    <w:basedOn w:val="817"/>
    <w:uiPriority w:val="9"/>
    <w:qFormat/>
    <w:rPr>
      <w:rFonts w:ascii="Arial" w:hAnsi="Arial" w:eastAsia="Arial" w:cs="Arial"/>
      <w:b/>
      <w:bCs/>
      <w:i/>
      <w:iCs/>
      <w:sz w:val="22"/>
      <w:szCs w:val="22"/>
    </w:rPr>
  </w:style>
  <w:style w:type="character" w:styleId="875" w:customStyle="1">
    <w:name w:val="Heading 8 Char"/>
    <w:basedOn w:val="817"/>
    <w:uiPriority w:val="9"/>
    <w:qFormat/>
    <w:rPr>
      <w:rFonts w:ascii="Arial" w:hAnsi="Arial" w:eastAsia="Arial" w:cs="Arial"/>
      <w:i/>
      <w:iCs/>
      <w:sz w:val="22"/>
      <w:szCs w:val="22"/>
    </w:rPr>
  </w:style>
  <w:style w:type="character" w:styleId="876" w:customStyle="1">
    <w:name w:val="Heading 9 Char"/>
    <w:basedOn w:val="817"/>
    <w:uiPriority w:val="9"/>
    <w:qFormat/>
    <w:rPr>
      <w:rFonts w:ascii="Arial" w:hAnsi="Arial" w:eastAsia="Arial" w:cs="Arial"/>
      <w:i/>
      <w:iCs/>
      <w:sz w:val="21"/>
      <w:szCs w:val="21"/>
    </w:rPr>
  </w:style>
  <w:style w:type="character" w:styleId="877" w:customStyle="1">
    <w:name w:val="Title Char"/>
    <w:basedOn w:val="817"/>
    <w:uiPriority w:val="10"/>
    <w:qFormat/>
    <w:rPr>
      <w:sz w:val="48"/>
      <w:szCs w:val="48"/>
    </w:rPr>
  </w:style>
  <w:style w:type="character" w:styleId="878" w:customStyle="1">
    <w:name w:val="Subtitle Char"/>
    <w:basedOn w:val="817"/>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817"/>
    <w:uiPriority w:val="99"/>
    <w:qFormat/>
  </w:style>
  <w:style w:type="character" w:styleId="882" w:customStyle="1">
    <w:name w:val="Caption Char"/>
    <w:uiPriority w:val="99"/>
    <w:qFormat/>
  </w:style>
  <w:style w:type="table" w:styleId="883"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Endnote Text Char"/>
    <w:uiPriority w:val="99"/>
    <w:qFormat/>
    <w:rPr>
      <w:sz w:val="20"/>
    </w:r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正文文本11"/>
    <w:basedOn w:val="855"/>
    <w:next w:val="807"/>
    <w:uiPriority w:val="0"/>
    <w:qFormat/>
    <w:pPr>
      <w:spacing w:after="120"/>
    </w:pPr>
  </w:style>
  <w:style w:type="paragraph" w:styleId="905" w:customStyle="1">
    <w:name w:val="标题 211"/>
    <w:basedOn w:val="855"/>
    <w:next w:val="855"/>
    <w:uiPriority w:val="0"/>
    <w:qFormat/>
    <w:pPr>
      <w:keepLines/>
      <w:keepNext/>
      <w:spacing w:before="260" w:after="260" w:line="416" w:lineRule="auto"/>
      <w:outlineLvl w:val="1"/>
    </w:pPr>
    <w:rPr>
      <w:rFonts w:ascii="Calibri Light" w:hAnsi="Calibri Light"/>
      <w:bCs/>
      <w:sz w:val="32"/>
      <w:szCs w:val="32"/>
    </w:rPr>
  </w:style>
  <w:style w:type="paragraph" w:styleId="906" w:customStyle="1">
    <w:name w:val="正文缩进11"/>
    <w:basedOn w:val="864"/>
    <w:uiPriority w:val="0"/>
    <w:qFormat/>
    <w:pPr>
      <w:ind w:firstLine="420"/>
    </w:pPr>
  </w:style>
  <w:style w:type="character" w:styleId="907" w:customStyle="1">
    <w:name w:val="Heading 1 Char"/>
    <w:basedOn w:val="817"/>
    <w:uiPriority w:val="9"/>
    <w:qFormat/>
    <w:rPr>
      <w:rFonts w:ascii="Arial" w:hAnsi="Arial" w:eastAsia="Arial" w:cs="Arial"/>
      <w:sz w:val="40"/>
      <w:szCs w:val="40"/>
    </w:rPr>
  </w:style>
  <w:style w:type="character" w:styleId="908" w:customStyle="1">
    <w:name w:val="Heading 2 Char"/>
    <w:basedOn w:val="817"/>
    <w:uiPriority w:val="9"/>
    <w:qFormat/>
    <w:rPr>
      <w:rFonts w:ascii="Arial" w:hAnsi="Arial" w:eastAsia="Arial" w:cs="Arial"/>
      <w:sz w:val="34"/>
    </w:rPr>
  </w:style>
  <w:style w:type="character" w:styleId="909" w:customStyle="1">
    <w:name w:val="Heading 3 Char"/>
    <w:basedOn w:val="817"/>
    <w:uiPriority w:val="9"/>
    <w:qFormat/>
    <w:rPr>
      <w:rFonts w:ascii="Arial" w:hAnsi="Arial" w:eastAsia="Arial" w:cs="Arial"/>
      <w:sz w:val="30"/>
      <w:szCs w:val="30"/>
    </w:rPr>
  </w:style>
  <w:style w:type="character" w:styleId="910" w:customStyle="1">
    <w:name w:val="Heading 4 Char"/>
    <w:basedOn w:val="817"/>
    <w:uiPriority w:val="9"/>
    <w:qFormat/>
    <w:rPr>
      <w:rFonts w:ascii="Arial" w:hAnsi="Arial" w:eastAsia="Arial" w:cs="Arial"/>
      <w:b/>
      <w:bCs/>
      <w:sz w:val="26"/>
      <w:szCs w:val="26"/>
    </w:rPr>
  </w:style>
  <w:style w:type="character" w:styleId="911" w:customStyle="1">
    <w:name w:val="Heading 5 Char"/>
    <w:basedOn w:val="817"/>
    <w:uiPriority w:val="9"/>
    <w:qFormat/>
    <w:rPr>
      <w:rFonts w:ascii="Arial" w:hAnsi="Arial" w:eastAsia="Arial" w:cs="Arial"/>
      <w:b/>
      <w:bCs/>
      <w:sz w:val="24"/>
      <w:szCs w:val="24"/>
    </w:rPr>
  </w:style>
  <w:style w:type="character" w:styleId="912" w:customStyle="1">
    <w:name w:val="标题 6 字符"/>
    <w:basedOn w:val="817"/>
    <w:link w:val="813"/>
    <w:uiPriority w:val="9"/>
    <w:qFormat/>
    <w:rPr>
      <w:rFonts w:ascii="Arial" w:hAnsi="Arial" w:eastAsia="Arial" w:cs="Arial"/>
      <w:b/>
      <w:bCs/>
      <w:sz w:val="22"/>
      <w:szCs w:val="22"/>
    </w:rPr>
  </w:style>
  <w:style w:type="character" w:styleId="913" w:customStyle="1">
    <w:name w:val="标题 7 字符"/>
    <w:basedOn w:val="817"/>
    <w:link w:val="814"/>
    <w:uiPriority w:val="9"/>
    <w:qFormat/>
    <w:rPr>
      <w:rFonts w:ascii="Arial" w:hAnsi="Arial" w:eastAsia="Arial" w:cs="Arial"/>
      <w:b/>
      <w:bCs/>
      <w:i/>
      <w:iCs/>
      <w:sz w:val="22"/>
      <w:szCs w:val="22"/>
    </w:rPr>
  </w:style>
  <w:style w:type="character" w:styleId="914" w:customStyle="1">
    <w:name w:val="标题 8 字符"/>
    <w:basedOn w:val="817"/>
    <w:link w:val="815"/>
    <w:uiPriority w:val="9"/>
    <w:qFormat/>
    <w:rPr>
      <w:rFonts w:ascii="Arial" w:hAnsi="Arial" w:eastAsia="Arial" w:cs="Arial"/>
      <w:i/>
      <w:iCs/>
      <w:sz w:val="22"/>
      <w:szCs w:val="22"/>
    </w:rPr>
  </w:style>
  <w:style w:type="character" w:styleId="915" w:customStyle="1">
    <w:name w:val="标题 9 字符"/>
    <w:basedOn w:val="817"/>
    <w:link w:val="816"/>
    <w:uiPriority w:val="9"/>
    <w:qFormat/>
    <w:rPr>
      <w:rFonts w:ascii="Arial" w:hAnsi="Arial" w:eastAsia="Arial" w:cs="Arial"/>
      <w:i/>
      <w:iCs/>
      <w:sz w:val="21"/>
      <w:szCs w:val="21"/>
    </w:rPr>
  </w:style>
  <w:style w:type="paragraph" w:styleId="916">
    <w:name w:val="List Paragraph"/>
    <w:basedOn w:val="807"/>
    <w:uiPriority w:val="34"/>
    <w:qFormat/>
    <w:pPr>
      <w:contextualSpacing/>
      <w:ind w:left="720"/>
    </w:pPr>
  </w:style>
  <w:style w:type="paragraph" w:styleId="917">
    <w:name w:val="No Spacing"/>
    <w:uiPriority w:val="1"/>
    <w:qFormat/>
    <w:rPr>
      <w:rFonts w:hint="default" w:ascii="Times New Roman" w:hAnsi="Times New Roman" w:eastAsia="宋体" w:cs="Times New Roman"/>
      <w:lang w:val="en-US" w:eastAsia="zh-CN" w:bidi="ar-SA"/>
    </w:rPr>
  </w:style>
  <w:style w:type="character" w:styleId="918" w:customStyle="1">
    <w:name w:val="标题 字符"/>
    <w:basedOn w:val="817"/>
    <w:link w:val="845"/>
    <w:uiPriority w:val="10"/>
    <w:qFormat/>
    <w:rPr>
      <w:sz w:val="48"/>
      <w:szCs w:val="48"/>
    </w:rPr>
  </w:style>
  <w:style w:type="character" w:styleId="919" w:customStyle="1">
    <w:name w:val="副标题 字符"/>
    <w:basedOn w:val="817"/>
    <w:link w:val="839"/>
    <w:uiPriority w:val="11"/>
    <w:qFormat/>
    <w:rPr>
      <w:sz w:val="24"/>
      <w:szCs w:val="24"/>
    </w:rPr>
  </w:style>
  <w:style w:type="paragraph" w:styleId="920">
    <w:name w:val="Quote"/>
    <w:basedOn w:val="807"/>
    <w:next w:val="807"/>
    <w:link w:val="921"/>
    <w:uiPriority w:val="29"/>
    <w:qFormat/>
    <w:pPr>
      <w:ind w:left="720" w:right="720"/>
    </w:pPr>
    <w:rPr>
      <w:i/>
    </w:rPr>
  </w:style>
  <w:style w:type="character" w:styleId="921" w:customStyle="1">
    <w:name w:val="引用 字符"/>
    <w:link w:val="920"/>
    <w:uiPriority w:val="29"/>
    <w:qFormat/>
    <w:rPr>
      <w:i/>
    </w:rPr>
  </w:style>
  <w:style w:type="paragraph" w:styleId="922">
    <w:name w:val="Intense Quote"/>
    <w:basedOn w:val="807"/>
    <w:next w:val="807"/>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
    <w:basedOn w:val="817"/>
    <w:link w:val="836"/>
    <w:uiPriority w:val="99"/>
    <w:qFormat/>
  </w:style>
  <w:style w:type="character" w:styleId="925" w:customStyle="1">
    <w:name w:val="Footer Char"/>
    <w:basedOn w:val="817"/>
    <w:uiPriority w:val="99"/>
    <w:qFormat/>
  </w:style>
  <w:style w:type="character" w:styleId="926" w:customStyle="1">
    <w:name w:val="页脚 字符"/>
    <w:link w:val="834"/>
    <w:uiPriority w:val="99"/>
    <w:qFormat/>
  </w:style>
  <w:style w:type="table" w:styleId="927" w:customStyle="1">
    <w:name w:val="Table Grid Light"/>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8" w:customStyle="1">
    <w:name w:val="无格式表格 11"/>
    <w:basedOn w:val="81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1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1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0" w:customStyle="1">
    <w:name w:val="网格表 2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1"/>
    <w:basedOn w:val="8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2" w:customStyle="1">
    <w:name w:val="Grid Table 2 - Accent 2"/>
    <w:basedOn w:val="8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2 - Accent 3"/>
    <w:basedOn w:val="8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2 - Accent 4"/>
    <w:basedOn w:val="8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2 - Accent 5"/>
    <w:basedOn w:val="8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6" w:customStyle="1">
    <w:name w:val="Grid Table 2 - Accent 6"/>
    <w:basedOn w:val="8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网格表 31"/>
    <w:basedOn w:val="81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1"/>
    <w:basedOn w:val="81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2"/>
    <w:basedOn w:val="81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3"/>
    <w:basedOn w:val="8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4"/>
    <w:basedOn w:val="81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5"/>
    <w:basedOn w:val="81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6"/>
    <w:basedOn w:val="8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网格表 41"/>
    <w:basedOn w:val="81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customStyle="1">
    <w:name w:val="Grid Table 4 - Accent 1"/>
    <w:basedOn w:val="81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6" w:customStyle="1">
    <w:name w:val="Grid Table 4 - Accent 2"/>
    <w:basedOn w:val="81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7" w:customStyle="1">
    <w:name w:val="Grid Table 4 - Accent 3"/>
    <w:basedOn w:val="81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8" w:customStyle="1">
    <w:name w:val="Grid Table 4 - Accent 4"/>
    <w:basedOn w:val="81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9" w:customStyle="1">
    <w:name w:val="Grid Table 4 - Accent 5"/>
    <w:basedOn w:val="81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0" w:customStyle="1">
    <w:name w:val="Grid Table 4 - Accent 6"/>
    <w:basedOn w:val="8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1" w:customStyle="1">
    <w:name w:val="网格表 5 深色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2" w:customStyle="1">
    <w:name w:val="Grid Table 5 Dark- Accent 1"/>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3" w:customStyle="1">
    <w:name w:val="Grid Table 5 Dark - Accent 2"/>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4" w:customStyle="1">
    <w:name w:val="Grid Table 5 Dark - Accent 3"/>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5" w:customStyle="1">
    <w:name w:val="Grid Table 5 Dark- Accent 4"/>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6" w:customStyle="1">
    <w:name w:val="Grid Table 5 Dark - Accent 5"/>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7" w:customStyle="1">
    <w:name w:val="Grid Table 5 Dark - Accent 6"/>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8" w:customStyle="1">
    <w:name w:val="网格表 6 彩色1"/>
    <w:basedOn w:val="81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9" w:customStyle="1">
    <w:name w:val="Grid Table 6 Colorful - Accent 1"/>
    <w:basedOn w:val="81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0" w:customStyle="1">
    <w:name w:val="Grid Table 6 Colorful - Accent 2"/>
    <w:basedOn w:val="8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1" w:customStyle="1">
    <w:name w:val="Grid Table 6 Colorful - Accent 3"/>
    <w:basedOn w:val="81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2" w:customStyle="1">
    <w:name w:val="Grid Table 6 Colorful - Accent 4"/>
    <w:basedOn w:val="8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3" w:customStyle="1">
    <w:name w:val="Grid Table 6 Colorful - Accent 5"/>
    <w:basedOn w:val="81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4" w:customStyle="1">
    <w:name w:val="Grid Table 6 Colorful - Accent 6"/>
    <w:basedOn w:val="81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5" w:customStyle="1">
    <w:name w:val="网格表 7 彩色1"/>
    <w:basedOn w:val="81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Grid Table 7 Colorful - Accent 1"/>
    <w:basedOn w:val="81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7" w:customStyle="1">
    <w:name w:val="Grid Table 7 Colorful - Accent 2"/>
    <w:basedOn w:val="81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8" w:customStyle="1">
    <w:name w:val="Grid Table 7 Colorful - Accent 3"/>
    <w:basedOn w:val="81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9" w:customStyle="1">
    <w:name w:val="Grid Table 7 Colorful - Accent 4"/>
    <w:basedOn w:val="81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0" w:customStyle="1">
    <w:name w:val="Grid Table 7 Colorful - Accent 5"/>
    <w:basedOn w:val="81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1" w:customStyle="1">
    <w:name w:val="Grid Table 7 Colorful - Accent 6"/>
    <w:basedOn w:val="81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2" w:customStyle="1">
    <w:name w:val="清单表 1 浅色1"/>
    <w:basedOn w:val="81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customStyle="1">
    <w:name w:val="List Table 1 Light - Accent 1"/>
    <w:basedOn w:val="81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4" w:customStyle="1">
    <w:name w:val="List Table 1 Light - Accent 2"/>
    <w:basedOn w:val="8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5" w:customStyle="1">
    <w:name w:val="List Table 1 Light - Accent 3"/>
    <w:basedOn w:val="8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6" w:customStyle="1">
    <w:name w:val="List Table 1 Light - Accent 4"/>
    <w:basedOn w:val="81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7" w:customStyle="1">
    <w:name w:val="List Table 1 Light - Accent 5"/>
    <w:basedOn w:val="81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8" w:customStyle="1">
    <w:name w:val="List Table 1 Light - Accent 6"/>
    <w:basedOn w:val="8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清单表 21"/>
    <w:basedOn w:val="81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0" w:customStyle="1">
    <w:name w:val="List Table 2 - Accent 1"/>
    <w:basedOn w:val="81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1" w:customStyle="1">
    <w:name w:val="List Table 2 - Accent 2"/>
    <w:basedOn w:val="8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2" w:customStyle="1">
    <w:name w:val="List Table 2 - Accent 3"/>
    <w:basedOn w:val="81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3" w:customStyle="1">
    <w:name w:val="List Table 2 - Accent 4"/>
    <w:basedOn w:val="81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4" w:customStyle="1">
    <w:name w:val="List Table 2 - Accent 5"/>
    <w:basedOn w:val="81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5" w:customStyle="1">
    <w:name w:val="List Table 2 - Accent 6"/>
    <w:basedOn w:val="81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6" w:customStyle="1">
    <w:name w:val="清单表 3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3 - Accent 1"/>
    <w:basedOn w:val="81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8" w:customStyle="1">
    <w:name w:val="List Table 3 - Accent 2"/>
    <w:basedOn w:val="81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9" w:customStyle="1">
    <w:name w:val="List Table 3 - Accent 3"/>
    <w:basedOn w:val="8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0" w:customStyle="1">
    <w:name w:val="List Table 3 - Accent 4"/>
    <w:basedOn w:val="81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1" w:customStyle="1">
    <w:name w:val="List Table 3 - Accent 5"/>
    <w:basedOn w:val="81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2" w:customStyle="1">
    <w:name w:val="List Table 3 - Accent 6"/>
    <w:basedOn w:val="81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3" w:customStyle="1">
    <w:name w:val="清单表 41"/>
    <w:basedOn w:val="81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 Accent 1"/>
    <w:basedOn w:val="81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5" w:customStyle="1">
    <w:name w:val="List Table 4 - Accent 2"/>
    <w:basedOn w:val="81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6" w:customStyle="1">
    <w:name w:val="List Table 4 - Accent 3"/>
    <w:basedOn w:val="8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7" w:customStyle="1">
    <w:name w:val="List Table 4 - Accent 4"/>
    <w:basedOn w:val="81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8" w:customStyle="1">
    <w:name w:val="List Table 4 - Accent 5"/>
    <w:basedOn w:val="81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9" w:customStyle="1">
    <w:name w:val="List Table 4 - Accent 6"/>
    <w:basedOn w:val="8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0" w:customStyle="1">
    <w:name w:val="清单表 5 深色1"/>
    <w:basedOn w:val="81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1"/>
    <w:basedOn w:val="81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2"/>
    <w:basedOn w:val="81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3"/>
    <w:basedOn w:val="81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4"/>
    <w:basedOn w:val="81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5"/>
    <w:basedOn w:val="81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6"/>
    <w:basedOn w:val="81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清单表 6 彩色1"/>
    <w:basedOn w:val="81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8" w:customStyle="1">
    <w:name w:val="List Table 6 Colorful - Accent 1"/>
    <w:basedOn w:val="81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9" w:customStyle="1">
    <w:name w:val="List Table 6 Colorful - Accent 2"/>
    <w:basedOn w:val="81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0" w:customStyle="1">
    <w:name w:val="List Table 6 Colorful - Accent 3"/>
    <w:basedOn w:val="81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1" w:customStyle="1">
    <w:name w:val="List Table 6 Colorful - Accent 4"/>
    <w:basedOn w:val="81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2" w:customStyle="1">
    <w:name w:val="List Table 6 Colorful - Accent 5"/>
    <w:basedOn w:val="81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3" w:customStyle="1">
    <w:name w:val="List Table 6 Colorful - Accent 6"/>
    <w:basedOn w:val="81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4" w:customStyle="1">
    <w:name w:val="清单表 7 彩色1"/>
    <w:basedOn w:val="81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7 Colorful - Accent 1"/>
    <w:basedOn w:val="81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basedOn w:val="81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basedOn w:val="81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basedOn w:val="81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basedOn w:val="81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basedOn w:val="81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1" w:customStyle="1">
    <w:name w:val="Lined - Accent"/>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3" w:customStyle="1">
    <w:name w:val="Lined - Accent 2"/>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4" w:customStyle="1">
    <w:name w:val="Lined - Accent 3"/>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5" w:customStyle="1">
    <w:name w:val="Lined - Accent 4"/>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6" w:customStyle="1">
    <w:name w:val="Lined - Accent 5"/>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7" w:customStyle="1">
    <w:name w:val="Lined - Accent 6"/>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8" w:customStyle="1">
    <w:name w:val="Bordered &amp; Lined - Accent"/>
    <w:basedOn w:val="81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basedOn w:val="81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0" w:customStyle="1">
    <w:name w:val="Bordered &amp; Lined - Accent 2"/>
    <w:basedOn w:val="81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1" w:customStyle="1">
    <w:name w:val="Bordered &amp; Lined - Accent 3"/>
    <w:basedOn w:val="81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2" w:customStyle="1">
    <w:name w:val="Bordered &amp; Lined - Accent 4"/>
    <w:basedOn w:val="81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3" w:customStyle="1">
    <w:name w:val="Bordered &amp; Lined - Accent 5"/>
    <w:basedOn w:val="81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4" w:customStyle="1">
    <w:name w:val="Bordered &amp; Lined - Accent 6"/>
    <w:basedOn w:val="81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5" w:customStyle="1">
    <w:name w:val="Bordered"/>
    <w:basedOn w:val="81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basedOn w:val="81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7" w:customStyle="1">
    <w:name w:val="Bordered - Accent 2"/>
    <w:basedOn w:val="81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8" w:customStyle="1">
    <w:name w:val="Bordered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9" w:customStyle="1">
    <w:name w:val="Bordered - Accent 4"/>
    <w:basedOn w:val="81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0" w:customStyle="1">
    <w:name w:val="Bordered - Accent 5"/>
    <w:basedOn w:val="81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1" w:customStyle="1">
    <w:name w:val="Bordered - Accent 6"/>
    <w:basedOn w:val="8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2" w:customStyle="1">
    <w:name w:val="Footnote Text Char"/>
    <w:uiPriority w:val="99"/>
    <w:qFormat/>
    <w:rPr>
      <w:sz w:val="18"/>
    </w:rPr>
  </w:style>
  <w:style w:type="character" w:styleId="1053" w:customStyle="1">
    <w:name w:val="尾注文本 字符"/>
    <w:link w:val="832"/>
    <w:uiPriority w:val="99"/>
    <w:qFormat/>
    <w:rPr>
      <w:sz w:val="20"/>
    </w:rPr>
  </w:style>
  <w:style w:type="paragraph" w:styleId="1054" w:customStyle="1">
    <w:name w:val="TOC 标题1"/>
    <w:uiPriority w:val="39"/>
    <w:unhideWhenUsed/>
    <w:qFormat/>
    <w:rPr>
      <w:rFonts w:hint="default" w:ascii="Times New Roman" w:hAnsi="Times New Roman" w:eastAsia="宋体" w:cs="Times New Roman"/>
      <w:lang w:val="en-US" w:eastAsia="zh-CN" w:bidi="ar-SA"/>
    </w:rPr>
  </w:style>
  <w:style w:type="character" w:styleId="1055" w:customStyle="1">
    <w:name w:val="标题 1 字符"/>
    <w:link w:val="808"/>
    <w:uiPriority w:val="0"/>
    <w:qFormat/>
    <w:rPr>
      <w:rFonts w:ascii="Arial" w:hAnsi="Arial" w:eastAsia="仿宋" w:cs="微软雅黑"/>
      <w:b/>
      <w:sz w:val="72"/>
      <w:szCs w:val="32"/>
      <w:lang w:bidi="ar-SA"/>
    </w:rPr>
  </w:style>
  <w:style w:type="character" w:styleId="1056" w:customStyle="1">
    <w:name w:val="标题 2 字符"/>
    <w:link w:val="809"/>
    <w:uiPriority w:val="9"/>
    <w:qFormat/>
    <w:rPr>
      <w:rFonts w:ascii="Arial" w:hAnsi="Arial" w:eastAsia="宋体" w:cs="Times New Roman"/>
      <w:b/>
      <w:bCs/>
      <w:sz w:val="21"/>
      <w:szCs w:val="21"/>
      <w:lang w:bidi="ar-SA"/>
    </w:rPr>
  </w:style>
  <w:style w:type="character" w:styleId="1057" w:customStyle="1">
    <w:name w:val="标题 3 字符"/>
    <w:link w:val="810"/>
    <w:uiPriority w:val="0"/>
    <w:qFormat/>
    <w:rPr>
      <w:rFonts w:eastAsia="仿宋" w:asciiTheme="minorAscii" w:hAnsiTheme="minorAscii" w:cstheme="minorBidi"/>
      <w:b/>
      <w:sz w:val="24"/>
      <w:szCs w:val="22"/>
      <w:lang w:val="en-US" w:eastAsia="en-US" w:bidi="ar-SA"/>
    </w:rPr>
  </w:style>
  <w:style w:type="character" w:styleId="1058" w:customStyle="1">
    <w:name w:val="标题 4 字符"/>
    <w:link w:val="811"/>
    <w:uiPriority w:val="0"/>
    <w:qFormat/>
    <w:rPr>
      <w:rFonts w:ascii="Arial" w:hAnsi="Arial" w:eastAsia="仿宋"/>
      <w:b/>
      <w:sz w:val="32"/>
      <w:szCs w:val="20"/>
      <w:lang w:val="zh-CN"/>
    </w:rPr>
  </w:style>
  <w:style w:type="character" w:styleId="1059" w:customStyle="1">
    <w:name w:val="标题 5 字符"/>
    <w:link w:val="812"/>
    <w:uiPriority w:val="0"/>
    <w:qFormat/>
    <w:rPr>
      <w:rFonts w:eastAsia="宋体"/>
      <w:b/>
      <w:sz w:val="24"/>
    </w:rPr>
  </w:style>
  <w:style w:type="paragraph" w:styleId="1060" w:customStyle="1">
    <w:name w:val="正文文本缩进1"/>
    <w:basedOn w:val="860"/>
    <w:next w:val="1061"/>
    <w:uiPriority w:val="0"/>
    <w:qFormat/>
    <w:pPr>
      <w:ind w:left="420"/>
      <w:spacing w:after="120"/>
    </w:pPr>
  </w:style>
  <w:style w:type="paragraph" w:styleId="1061" w:customStyle="1">
    <w:name w:val="寄信人地址1"/>
    <w:basedOn w:val="855"/>
    <w:uiPriority w:val="0"/>
    <w:qFormat/>
    <w:rPr>
      <w:rFonts w:ascii="Arial" w:hAnsi="Arial"/>
    </w:rPr>
  </w:style>
  <w:style w:type="paragraph" w:styleId="1062" w:customStyle="1">
    <w:name w:val="正文首行缩进1"/>
    <w:basedOn w:val="904"/>
    <w:next w:val="1063"/>
    <w:uiPriority w:val="0"/>
    <w:qFormat/>
    <w:pPr>
      <w:ind w:firstLine="200"/>
      <w:spacing w:line="360" w:lineRule="auto"/>
    </w:pPr>
    <w:rPr>
      <w:rFonts w:ascii="仿宋_GB2312" w:eastAsia="仿宋_GB2312"/>
      <w:sz w:val="30"/>
      <w:szCs w:val="30"/>
    </w:rPr>
  </w:style>
  <w:style w:type="paragraph" w:styleId="1063" w:customStyle="1">
    <w:name w:val="正文首行缩进 21"/>
    <w:basedOn w:val="1060"/>
    <w:next w:val="864"/>
    <w:uiPriority w:val="0"/>
    <w:qFormat/>
    <w:pPr>
      <w:ind w:left="0" w:firstLine="420"/>
      <w:spacing w:after="0" w:line="360" w:lineRule="auto"/>
    </w:pPr>
    <w:rPr>
      <w:rFonts w:ascii="宋体" w:hAnsi="宋体"/>
    </w:rPr>
  </w:style>
  <w:style w:type="paragraph" w:styleId="1064" w:customStyle="1">
    <w:name w:val="标题 21"/>
    <w:basedOn w:val="858"/>
    <w:next w:val="864"/>
    <w:uiPriority w:val="0"/>
    <w:qFormat/>
    <w:pPr>
      <w:ind w:firstLine="600"/>
      <w:spacing w:line="520" w:lineRule="exact"/>
      <w:outlineLvl w:val="1"/>
    </w:pPr>
    <w:rPr>
      <w:rFonts w:ascii="黑体" w:hAnsi="黑体" w:eastAsia="黑体"/>
      <w:sz w:val="30"/>
      <w:szCs w:val="30"/>
    </w:rPr>
  </w:style>
  <w:style w:type="paragraph" w:styleId="1065" w:customStyle="1">
    <w:name w:val="PlainText1"/>
    <w:basedOn w:val="807"/>
    <w:uiPriority w:val="0"/>
    <w:qFormat/>
    <w:rPr>
      <w:rFonts w:ascii="宋体" w:hAnsi="Courier New"/>
    </w:rPr>
  </w:style>
  <w:style w:type="paragraph" w:styleId="1066" w:customStyle="1">
    <w:name w:val="UserStyle_0"/>
    <w:next w:val="807"/>
    <w:uiPriority w:val="0"/>
    <w:qFormat/>
    <w:rPr>
      <w:rFonts w:hint="default" w:ascii="Times New Roman" w:hAnsi="Times New Roman" w:eastAsia="宋体" w:cs="Times New Roman"/>
      <w:color w:val="000000"/>
      <w:sz w:val="24"/>
      <w:szCs w:val="24"/>
      <w:lang w:val="en-US" w:eastAsia="zh-CN" w:bidi="ar-SA"/>
    </w:rPr>
  </w:style>
  <w:style w:type="paragraph" w:styleId="1067" w:customStyle="1">
    <w:name w:val="日期1"/>
    <w:basedOn w:val="860"/>
    <w:next w:val="860"/>
    <w:uiPriority w:val="0"/>
    <w:qFormat/>
    <w:rPr>
      <w:rFonts w:eastAsia="仿宋_GB2312"/>
      <w:sz w:val="28"/>
      <w:szCs w:val="20"/>
    </w:rPr>
  </w:style>
  <w:style w:type="paragraph" w:styleId="1068" w:customStyle="1">
    <w:name w:val="普通(网站)11"/>
    <w:basedOn w:val="860"/>
    <w:uiPriority w:val="0"/>
    <w:qFormat/>
    <w:pPr>
      <w:jc w:val="left"/>
      <w:spacing w:before="100" w:beforeAutospacing="1" w:after="100" w:afterAutospacing="1"/>
      <w:widowControl/>
    </w:pPr>
    <w:rPr>
      <w:rFonts w:ascii="宋体" w:hAnsi="宋体"/>
      <w:sz w:val="24"/>
    </w:rPr>
  </w:style>
  <w:style w:type="paragraph" w:styleId="1069" w:customStyle="1">
    <w:name w:val="页眉1"/>
    <w:basedOn w:val="860"/>
    <w:uiPriority w:val="0"/>
    <w:qFormat/>
    <w:pPr>
      <w:jc w:val="center"/>
      <w:tabs>
        <w:tab w:val="center" w:pos="4153" w:leader="none"/>
        <w:tab w:val="right" w:pos="8306" w:leader="none"/>
      </w:tabs>
      <w:pBdr>
        <w:bottom w:val="single" w:color="000000" w:sz="6" w:space="1"/>
      </w:pBdr>
    </w:pPr>
    <w:rPr>
      <w:sz w:val="18"/>
      <w:szCs w:val="18"/>
    </w:rPr>
  </w:style>
  <w:style w:type="paragraph" w:styleId="1070" w:customStyle="1">
    <w:name w:val="页脚1"/>
    <w:basedOn w:val="860"/>
    <w:uiPriority w:val="0"/>
    <w:qFormat/>
    <w:pPr>
      <w:jc w:val="left"/>
      <w:tabs>
        <w:tab w:val="center" w:pos="4153" w:leader="none"/>
        <w:tab w:val="right" w:pos="8306" w:leader="none"/>
      </w:tabs>
    </w:pPr>
    <w:rPr>
      <w:sz w:val="18"/>
      <w:szCs w:val="18"/>
    </w:rPr>
  </w:style>
  <w:style w:type="character" w:styleId="1071" w:customStyle="1">
    <w:name w:val="页码1"/>
    <w:uiPriority w:val="0"/>
    <w:qFormat/>
  </w:style>
  <w:style w:type="paragraph" w:styleId="1072" w:customStyle="1">
    <w:name w:val="纯文本1"/>
    <w:basedOn w:val="858"/>
    <w:uiPriority w:val="0"/>
    <w:qFormat/>
    <w:rPr>
      <w:rFonts w:ascii="宋体" w:hAnsi="Courier New"/>
      <w:szCs w:val="21"/>
    </w:rPr>
  </w:style>
  <w:style w:type="character" w:styleId="1073" w:customStyle="1">
    <w:name w:val="16"/>
    <w:basedOn w:val="1074"/>
    <w:uiPriority w:val="0"/>
    <w:qFormat/>
    <w:rPr>
      <w:rFonts w:hint="default" w:ascii="Times New Roman" w:hAnsi="Times New Roman" w:eastAsia="宋体" w:cs="Times New Roman"/>
      <w:sz w:val="21"/>
      <w:szCs w:val="24"/>
      <w:lang w:val="en-US" w:eastAsia="zh-CN" w:bidi="ar-SA"/>
    </w:rPr>
  </w:style>
  <w:style w:type="character" w:styleId="1074" w:customStyle="1">
    <w:name w:val="默认段落字体1"/>
    <w:uiPriority w:val="0"/>
    <w:semiHidden/>
    <w:qFormat/>
  </w:style>
  <w:style w:type="character" w:styleId="1075" w:customStyle="1">
    <w:name w:val="15"/>
    <w:basedOn w:val="1074"/>
    <w:link w:val="855"/>
    <w:uiPriority w:val="0"/>
    <w:qFormat/>
    <w:rPr>
      <w:rFonts w:ascii="仿宋" w:hAnsi="仿宋" w:eastAsia="仿宋"/>
      <w:color w:val="000000"/>
      <w:sz w:val="18"/>
      <w:szCs w:val="18"/>
    </w:rPr>
  </w:style>
  <w:style w:type="paragraph" w:styleId="1076" w:customStyle="1">
    <w:name w:val="p0"/>
    <w:basedOn w:val="855"/>
    <w:uiPriority w:val="0"/>
    <w:qFormat/>
    <w:pPr>
      <w:widowControl/>
    </w:pPr>
    <w:rPr>
      <w:szCs w:val="21"/>
    </w:rPr>
  </w:style>
  <w:style w:type="character" w:styleId="1077" w:customStyle="1">
    <w:name w:val="批注文字 字符"/>
    <w:basedOn w:val="817"/>
    <w:link w:val="822"/>
    <w:uiPriority w:val="99"/>
    <w:semiHidden/>
    <w:qFormat/>
    <w:rPr>
      <w:rFonts w:ascii="Times New Roman" w:hAnsi="Times New Roman" w:eastAsia="宋体" w:cs="Times New Roman"/>
      <w:sz w:val="24"/>
    </w:rPr>
  </w:style>
  <w:style w:type="character" w:styleId="1078" w:customStyle="1">
    <w:name w:val="批注主题 字符"/>
    <w:basedOn w:val="1077"/>
    <w:link w:val="846"/>
    <w:uiPriority w:val="99"/>
    <w:semiHidden/>
    <w:qFormat/>
    <w:rPr>
      <w:rFonts w:ascii="Times New Roman" w:hAnsi="Times New Roman" w:eastAsia="宋体" w:cs="Times New Roman"/>
      <w:b/>
      <w:bCs/>
      <w:sz w:val="24"/>
    </w:rPr>
  </w:style>
  <w:style w:type="character" w:styleId="1079" w:customStyle="1">
    <w:name w:val="批注框文本 字符"/>
    <w:basedOn w:val="817"/>
    <w:link w:val="833"/>
    <w:uiPriority w:val="99"/>
    <w:semiHidden/>
    <w:qFormat/>
    <w:rPr>
      <w:rFonts w:ascii="Times New Roman" w:hAnsi="Times New Roman" w:eastAsia="宋体" w:cs="Times New Roman"/>
      <w:sz w:val="18"/>
      <w:szCs w:val="18"/>
    </w:rPr>
  </w:style>
  <w:style w:type="paragraph" w:styleId="1080" w:customStyle="1">
    <w:name w:val="Table Paragraph"/>
    <w:basedOn w:val="807"/>
    <w:uiPriority w:val="1"/>
    <w:qFormat/>
    <w:rPr>
      <w:rFonts w:ascii="宋体" w:hAnsi="宋体" w:cs="宋体"/>
      <w:lang w:val="zh-CN" w:bidi="zh-CN"/>
    </w:rPr>
  </w:style>
  <w:style w:type="character" w:styleId="1081" w:customStyle="1">
    <w:name w:val="font51"/>
    <w:basedOn w:val="817"/>
    <w:uiPriority w:val="0"/>
    <w:qFormat/>
    <w:rPr>
      <w:rFonts w:hint="eastAsia" w:ascii="宋体" w:hAnsi="宋体" w:eastAsia="宋体" w:cs="宋体"/>
      <w:b/>
      <w:bCs/>
      <w:color w:val="000000"/>
      <w:sz w:val="18"/>
      <w:szCs w:val="18"/>
      <w:u w:val="none"/>
    </w:rPr>
  </w:style>
  <w:style w:type="character" w:styleId="1082" w:customStyle="1">
    <w:name w:val="font31"/>
    <w:basedOn w:val="817"/>
    <w:uiPriority w:val="0"/>
    <w:qFormat/>
    <w:rPr>
      <w:rFonts w:hint="eastAsia" w:ascii="宋体" w:hAnsi="宋体" w:eastAsia="宋体" w:cs="宋体"/>
      <w:color w:val="000000"/>
      <w:sz w:val="22"/>
      <w:szCs w:val="22"/>
      <w:u w:val="single"/>
    </w:rPr>
  </w:style>
  <w:style w:type="paragraph" w:styleId="10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4" w:customStyle="1">
    <w:name w:val="Body text|1"/>
    <w:basedOn w:val="807"/>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85" w:customStyle="1">
    <w:name w:val="FUNO标题1"/>
    <w:basedOn w:val="807"/>
    <w:next w:val="807"/>
    <w:uiPriority w:val="0"/>
    <w:qFormat/>
    <w:pPr>
      <w:ind w:left="425" w:hanging="425"/>
      <w:jc w:val="center"/>
      <w:spacing w:after="200" w:line="273" w:lineRule="auto"/>
      <w:widowControl/>
      <w:outlineLvl w:val="0"/>
    </w:pPr>
    <w:rPr>
      <w:rFonts w:ascii="Arial Unicode MS" w:hAnsi="Arial Unicode MS" w:cs="宋体"/>
      <w:b/>
      <w:bCs/>
      <w:sz w:val="44"/>
      <w:szCs w:val="44"/>
    </w:rPr>
  </w:style>
  <w:style w:type="character" w:styleId="1086" w:customStyle="1">
    <w:name w:val="font41"/>
    <w:basedOn w:val="817"/>
    <w:uiPriority w:val="0"/>
    <w:qFormat/>
    <w:rPr>
      <w:rFonts w:hint="eastAsia" w:ascii="仿宋" w:hAnsi="仿宋" w:eastAsia="仿宋" w:cs="仿宋"/>
      <w:color w:val="ff0000"/>
      <w:sz w:val="24"/>
      <w:szCs w:val="24"/>
      <w:u w:val="none"/>
    </w:rPr>
  </w:style>
  <w:style w:type="paragraph" w:styleId="1087" w:customStyle="1">
    <w:name w:val="PlainText"/>
    <w:basedOn w:val="807"/>
    <w:uiPriority w:val="0"/>
    <w:qFormat/>
    <w:rPr>
      <w:rFonts w:ascii="宋体" w:hAnsi="Courier New"/>
      <w:szCs w:val="21"/>
    </w:rPr>
  </w:style>
  <w:style w:type="character" w:styleId="1088" w:customStyle="1">
    <w:name w:val="NormalCharacter"/>
    <w:uiPriority w:val="0"/>
    <w:semiHidden/>
    <w:qFormat/>
  </w:style>
  <w:style w:type="paragraph" w:styleId="1089" w:customStyle="1">
    <w:name w:val="标题 31"/>
    <w:basedOn w:val="807"/>
    <w:next w:val="807"/>
    <w:uiPriority w:val="0"/>
    <w:qFormat/>
    <w:pPr>
      <w:jc w:val="left"/>
      <w:spacing w:beforeAutospacing="1" w:afterAutospacing="1"/>
      <w:outlineLvl w:val="2"/>
    </w:pPr>
    <w:rPr>
      <w:rFonts w:hint="eastAsia" w:ascii="宋体" w:hAnsi="宋体"/>
      <w:b/>
      <w:bCs/>
      <w:sz w:val="27"/>
      <w:szCs w:val="27"/>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孙梦</cp:lastModifiedBy>
  <cp:revision>46</cp:revision>
  <dcterms:created xsi:type="dcterms:W3CDTF">2023-04-12T07:00:00Z</dcterms:created>
  <dcterms:modified xsi:type="dcterms:W3CDTF">2024-11-27T01:34:06Z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F2DDD27A8177471C851CCF97FDEA1F45_13</vt:lpwstr>
  </property>
</Properties>
</file>