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79D25">
      <w:pPr>
        <w:pageBreakBefore w:val="0"/>
        <w:kinsoku/>
        <w:wordWrap w:val="0"/>
        <w:overflowPunct/>
        <w:topLinePunct w:val="0"/>
        <w:bidi w:val="0"/>
        <w:adjustRightInd w:val="0"/>
        <w:snapToGrid w:val="0"/>
        <w:spacing w:line="360" w:lineRule="auto"/>
        <w:rPr>
          <w:rFonts w:hint="eastAsia" w:ascii="宋体" w:hAnsi="宋体" w:eastAsia="宋体" w:cs="宋体"/>
        </w:rPr>
      </w:pPr>
    </w:p>
    <w:p w14:paraId="375B3503">
      <w:pPr>
        <w:pageBreakBefore w:val="0"/>
        <w:kinsoku/>
        <w:wordWrap w:val="0"/>
        <w:overflowPunct/>
        <w:topLinePunct w:val="0"/>
        <w:bidi w:val="0"/>
        <w:adjustRightInd w:val="0"/>
        <w:snapToGrid w:val="0"/>
        <w:spacing w:line="360" w:lineRule="auto"/>
        <w:rPr>
          <w:rFonts w:hint="eastAsia" w:ascii="宋体" w:hAnsi="宋体" w:eastAsia="宋体" w:cs="宋体"/>
        </w:rPr>
      </w:pPr>
    </w:p>
    <w:p w14:paraId="2403CBE7">
      <w:pPr>
        <w:pageBreakBefore w:val="0"/>
        <w:kinsoku/>
        <w:wordWrap w:val="0"/>
        <w:overflowPunct/>
        <w:topLinePunct w:val="0"/>
        <w:bidi w:val="0"/>
        <w:adjustRightInd w:val="0"/>
        <w:snapToGrid w:val="0"/>
        <w:spacing w:line="360" w:lineRule="auto"/>
        <w:rPr>
          <w:rFonts w:hint="eastAsia" w:ascii="宋体" w:hAnsi="宋体" w:eastAsia="宋体" w:cs="宋体"/>
        </w:rPr>
      </w:pPr>
    </w:p>
    <w:p w14:paraId="42551162">
      <w:pPr>
        <w:pageBreakBefore w:val="0"/>
        <w:kinsoku/>
        <w:wordWrap w:val="0"/>
        <w:overflowPunct/>
        <w:topLinePunct w:val="0"/>
        <w:bidi w:val="0"/>
        <w:adjustRightInd w:val="0"/>
        <w:snapToGrid w:val="0"/>
        <w:spacing w:line="360" w:lineRule="auto"/>
        <w:jc w:val="center"/>
        <w:rPr>
          <w:rFonts w:hint="eastAsia" w:ascii="宋体" w:hAnsi="宋体" w:eastAsia="宋体" w:cs="宋体"/>
          <w:b/>
          <w:sz w:val="84"/>
          <w:szCs w:val="84"/>
        </w:rPr>
      </w:pPr>
      <w:r>
        <w:rPr>
          <w:rFonts w:hint="eastAsia" w:ascii="宋体" w:hAnsi="宋体" w:eastAsia="宋体" w:cs="宋体"/>
          <w:b/>
          <w:sz w:val="84"/>
          <w:szCs w:val="84"/>
        </w:rPr>
        <w:t>竞争性磋商文件</w:t>
      </w:r>
    </w:p>
    <w:p w14:paraId="6C98210A">
      <w:pPr>
        <w:pageBreakBefore w:val="0"/>
        <w:kinsoku/>
        <w:wordWrap w:val="0"/>
        <w:overflowPunct/>
        <w:topLinePunct w:val="0"/>
        <w:bidi w:val="0"/>
        <w:adjustRightInd w:val="0"/>
        <w:snapToGrid w:val="0"/>
        <w:spacing w:line="360" w:lineRule="auto"/>
        <w:ind w:firstLine="2249"/>
        <w:jc w:val="left"/>
        <w:rPr>
          <w:rFonts w:hint="eastAsia" w:ascii="宋体" w:hAnsi="宋体" w:eastAsia="宋体" w:cs="宋体"/>
          <w:b/>
          <w:bCs/>
          <w:sz w:val="32"/>
          <w:szCs w:val="24"/>
        </w:rPr>
      </w:pPr>
    </w:p>
    <w:p w14:paraId="339EBA3D">
      <w:pPr>
        <w:pageBreakBefore w:val="0"/>
        <w:kinsoku/>
        <w:wordWrap w:val="0"/>
        <w:overflowPunct/>
        <w:topLinePunct w:val="0"/>
        <w:bidi w:val="0"/>
        <w:adjustRightInd w:val="0"/>
        <w:snapToGrid w:val="0"/>
        <w:spacing w:line="360" w:lineRule="auto"/>
        <w:ind w:firstLine="2249"/>
        <w:jc w:val="left"/>
        <w:rPr>
          <w:rFonts w:hint="eastAsia" w:ascii="宋体" w:hAnsi="宋体" w:eastAsia="宋体" w:cs="宋体"/>
          <w:b/>
          <w:bCs/>
          <w:sz w:val="32"/>
          <w:szCs w:val="24"/>
        </w:rPr>
      </w:pPr>
    </w:p>
    <w:p w14:paraId="12C081BD">
      <w:pPr>
        <w:pageBreakBefore w:val="0"/>
        <w:kinsoku/>
        <w:wordWrap w:val="0"/>
        <w:overflowPunct/>
        <w:topLinePunct w:val="0"/>
        <w:bidi w:val="0"/>
        <w:adjustRightInd w:val="0"/>
        <w:snapToGrid w:val="0"/>
        <w:spacing w:line="360" w:lineRule="auto"/>
        <w:ind w:firstLine="2249"/>
        <w:jc w:val="left"/>
        <w:rPr>
          <w:rFonts w:hint="eastAsia" w:ascii="宋体" w:hAnsi="宋体" w:eastAsia="宋体" w:cs="宋体"/>
          <w:b/>
          <w:bCs/>
          <w:sz w:val="32"/>
          <w:szCs w:val="24"/>
        </w:rPr>
      </w:pPr>
    </w:p>
    <w:p w14:paraId="094917CC">
      <w:pPr>
        <w:pageBreakBefore w:val="0"/>
        <w:kinsoku/>
        <w:wordWrap w:val="0"/>
        <w:overflowPunct/>
        <w:topLinePunct w:val="0"/>
        <w:bidi w:val="0"/>
        <w:adjustRightInd w:val="0"/>
        <w:snapToGrid w:val="0"/>
        <w:spacing w:line="360" w:lineRule="auto"/>
        <w:ind w:firstLine="2249"/>
        <w:jc w:val="left"/>
        <w:rPr>
          <w:rFonts w:hint="eastAsia" w:ascii="宋体" w:hAnsi="宋体" w:eastAsia="宋体" w:cs="宋体"/>
          <w:b/>
          <w:bCs/>
          <w:sz w:val="32"/>
          <w:szCs w:val="24"/>
        </w:rPr>
      </w:pPr>
    </w:p>
    <w:p w14:paraId="1B45F5E8">
      <w:pPr>
        <w:pageBreakBefore w:val="0"/>
        <w:kinsoku/>
        <w:wordWrap w:val="0"/>
        <w:overflowPunct/>
        <w:topLinePunct w:val="0"/>
        <w:bidi w:val="0"/>
        <w:adjustRightInd w:val="0"/>
        <w:snapToGrid w:val="0"/>
        <w:spacing w:line="360" w:lineRule="auto"/>
        <w:ind w:firstLine="2249"/>
        <w:jc w:val="left"/>
        <w:rPr>
          <w:rFonts w:hint="eastAsia" w:ascii="宋体" w:hAnsi="宋体" w:eastAsia="宋体" w:cs="宋体"/>
          <w:b/>
          <w:bCs/>
          <w:sz w:val="32"/>
          <w:szCs w:val="24"/>
        </w:rPr>
      </w:pPr>
    </w:p>
    <w:p w14:paraId="5948AC26">
      <w:pPr>
        <w:pageBreakBefore w:val="0"/>
        <w:kinsoku/>
        <w:wordWrap w:val="0"/>
        <w:overflowPunct/>
        <w:topLinePunct w:val="0"/>
        <w:bidi w:val="0"/>
        <w:adjustRightInd w:val="0"/>
        <w:snapToGrid w:val="0"/>
        <w:spacing w:line="360" w:lineRule="auto"/>
        <w:ind w:firstLine="2249"/>
        <w:jc w:val="left"/>
        <w:rPr>
          <w:rFonts w:hint="eastAsia" w:ascii="宋体" w:hAnsi="宋体" w:eastAsia="宋体" w:cs="宋体"/>
          <w:b/>
          <w:bCs/>
          <w:sz w:val="32"/>
          <w:szCs w:val="24"/>
        </w:rPr>
      </w:pPr>
    </w:p>
    <w:p w14:paraId="3AEA254C">
      <w:pPr>
        <w:pageBreakBefore w:val="0"/>
        <w:tabs>
          <w:tab w:val="left" w:pos="210"/>
        </w:tabs>
        <w:kinsoku/>
        <w:wordWrap w:val="0"/>
        <w:overflowPunct/>
        <w:topLinePunct w:val="0"/>
        <w:bidi w:val="0"/>
        <w:adjustRightInd w:val="0"/>
        <w:snapToGrid w:val="0"/>
        <w:spacing w:line="360" w:lineRule="auto"/>
        <w:ind w:left="223" w:leftChars="106" w:firstLine="1690" w:firstLineChars="526"/>
        <w:rPr>
          <w:rFonts w:hint="eastAsia" w:ascii="宋体" w:hAnsi="宋体" w:eastAsia="宋体" w:cs="宋体"/>
          <w:b/>
          <w:bCs/>
          <w:sz w:val="32"/>
          <w:szCs w:val="24"/>
        </w:rPr>
      </w:pPr>
      <w:r>
        <w:rPr>
          <w:rFonts w:hint="eastAsia" w:ascii="宋体" w:hAnsi="宋体" w:eastAsia="宋体" w:cs="宋体"/>
          <w:b/>
          <w:bCs/>
          <w:sz w:val="32"/>
          <w:szCs w:val="24"/>
        </w:rPr>
        <w:t>项目名称：连云港市公安局机房设备及软件维护</w:t>
      </w:r>
    </w:p>
    <w:p w14:paraId="7E8BB66A">
      <w:pPr>
        <w:pageBreakBefore w:val="0"/>
        <w:tabs>
          <w:tab w:val="left" w:pos="210"/>
        </w:tabs>
        <w:kinsoku/>
        <w:wordWrap w:val="0"/>
        <w:overflowPunct/>
        <w:topLinePunct w:val="0"/>
        <w:bidi w:val="0"/>
        <w:adjustRightInd w:val="0"/>
        <w:snapToGrid w:val="0"/>
        <w:spacing w:line="360" w:lineRule="auto"/>
        <w:ind w:left="223" w:leftChars="106" w:firstLine="3296" w:firstLineChars="1026"/>
        <w:rPr>
          <w:rFonts w:hint="eastAsia" w:ascii="宋体" w:hAnsi="宋体" w:eastAsia="宋体" w:cs="宋体"/>
          <w:b/>
          <w:bCs/>
          <w:sz w:val="32"/>
          <w:szCs w:val="24"/>
        </w:rPr>
      </w:pPr>
      <w:r>
        <w:rPr>
          <w:rFonts w:hint="eastAsia" w:ascii="宋体" w:hAnsi="宋体" w:eastAsia="宋体" w:cs="宋体"/>
          <w:b/>
          <w:bCs/>
          <w:sz w:val="32"/>
          <w:szCs w:val="24"/>
        </w:rPr>
        <w:t>（不专门面向中小企业）</w:t>
      </w:r>
    </w:p>
    <w:p w14:paraId="0D52A642">
      <w:pPr>
        <w:pageBreakBefore w:val="0"/>
        <w:kinsoku/>
        <w:wordWrap w:val="0"/>
        <w:overflowPunct/>
        <w:topLinePunct w:val="0"/>
        <w:bidi w:val="0"/>
        <w:adjustRightInd w:val="0"/>
        <w:snapToGrid w:val="0"/>
        <w:spacing w:line="360" w:lineRule="auto"/>
        <w:jc w:val="center"/>
        <w:rPr>
          <w:rFonts w:hint="eastAsia" w:ascii="宋体" w:hAnsi="宋体" w:eastAsia="宋体" w:cs="宋体"/>
          <w:b/>
          <w:sz w:val="44"/>
          <w:szCs w:val="21"/>
        </w:rPr>
      </w:pPr>
      <w:r>
        <w:rPr>
          <w:rFonts w:hint="eastAsia" w:ascii="宋体" w:hAnsi="宋体" w:eastAsia="宋体" w:cs="宋体"/>
          <w:b/>
          <w:bCs/>
          <w:sz w:val="32"/>
          <w:szCs w:val="24"/>
        </w:rPr>
        <w:t>项目编号：JSZC-320700-GXGL-C2025-0051</w:t>
      </w:r>
    </w:p>
    <w:p w14:paraId="1BE7D6BA">
      <w:pPr>
        <w:pageBreakBefore w:val="0"/>
        <w:kinsoku/>
        <w:wordWrap w:val="0"/>
        <w:overflowPunct/>
        <w:topLinePunct w:val="0"/>
        <w:bidi w:val="0"/>
        <w:adjustRightInd w:val="0"/>
        <w:snapToGrid w:val="0"/>
        <w:spacing w:line="360" w:lineRule="auto"/>
        <w:jc w:val="center"/>
        <w:rPr>
          <w:rFonts w:hint="eastAsia" w:ascii="宋体" w:hAnsi="宋体" w:eastAsia="宋体" w:cs="宋体"/>
          <w:b/>
          <w:sz w:val="44"/>
          <w:szCs w:val="21"/>
        </w:rPr>
      </w:pPr>
    </w:p>
    <w:p w14:paraId="1A234874">
      <w:pPr>
        <w:pageBreakBefore w:val="0"/>
        <w:kinsoku/>
        <w:wordWrap w:val="0"/>
        <w:overflowPunct/>
        <w:topLinePunct w:val="0"/>
        <w:bidi w:val="0"/>
        <w:adjustRightInd w:val="0"/>
        <w:snapToGrid w:val="0"/>
        <w:spacing w:line="360" w:lineRule="auto"/>
        <w:jc w:val="center"/>
        <w:rPr>
          <w:rFonts w:hint="eastAsia" w:ascii="宋体" w:hAnsi="宋体" w:eastAsia="宋体" w:cs="宋体"/>
          <w:b/>
          <w:sz w:val="44"/>
          <w:szCs w:val="21"/>
        </w:rPr>
      </w:pPr>
    </w:p>
    <w:p w14:paraId="514BDF52">
      <w:pPr>
        <w:pageBreakBefore w:val="0"/>
        <w:kinsoku/>
        <w:wordWrap w:val="0"/>
        <w:overflowPunct/>
        <w:topLinePunct w:val="0"/>
        <w:bidi w:val="0"/>
        <w:adjustRightInd w:val="0"/>
        <w:snapToGrid w:val="0"/>
        <w:spacing w:line="360" w:lineRule="auto"/>
        <w:jc w:val="center"/>
        <w:rPr>
          <w:rFonts w:hint="eastAsia" w:ascii="宋体" w:hAnsi="宋体" w:eastAsia="宋体" w:cs="宋体"/>
          <w:b/>
          <w:sz w:val="44"/>
          <w:szCs w:val="21"/>
        </w:rPr>
      </w:pPr>
    </w:p>
    <w:p w14:paraId="38DFE7B9">
      <w:pPr>
        <w:pageBreakBefore w:val="0"/>
        <w:kinsoku/>
        <w:wordWrap w:val="0"/>
        <w:overflowPunct/>
        <w:topLinePunct w:val="0"/>
        <w:bidi w:val="0"/>
        <w:adjustRightInd w:val="0"/>
        <w:snapToGrid w:val="0"/>
        <w:spacing w:line="360" w:lineRule="auto"/>
        <w:ind w:firstLine="1263" w:firstLineChars="393"/>
        <w:jc w:val="left"/>
        <w:rPr>
          <w:rFonts w:hint="eastAsia" w:ascii="宋体" w:hAnsi="宋体" w:eastAsia="宋体" w:cs="宋体"/>
          <w:b/>
          <w:bCs/>
          <w:sz w:val="32"/>
          <w:szCs w:val="32"/>
        </w:rPr>
      </w:pPr>
      <w:r>
        <w:rPr>
          <w:rFonts w:hint="eastAsia" w:ascii="宋体" w:hAnsi="宋体" w:eastAsia="宋体" w:cs="宋体"/>
          <w:b/>
          <w:bCs/>
          <w:sz w:val="32"/>
          <w:szCs w:val="32"/>
        </w:rPr>
        <w:t>采   购   人：</w:t>
      </w:r>
      <w:r>
        <w:rPr>
          <w:rFonts w:hint="eastAsia" w:ascii="宋体" w:hAnsi="宋体" w:eastAsia="宋体" w:cs="宋体"/>
          <w:b/>
          <w:bCs/>
          <w:sz w:val="32"/>
          <w:szCs w:val="24"/>
        </w:rPr>
        <w:t>连云港市公安局（机关）</w:t>
      </w:r>
    </w:p>
    <w:p w14:paraId="697B74E5">
      <w:pPr>
        <w:pageBreakBefore w:val="0"/>
        <w:kinsoku/>
        <w:wordWrap w:val="0"/>
        <w:overflowPunct/>
        <w:topLinePunct w:val="0"/>
        <w:bidi w:val="0"/>
        <w:adjustRightInd w:val="0"/>
        <w:snapToGrid w:val="0"/>
        <w:spacing w:line="360" w:lineRule="auto"/>
        <w:ind w:firstLine="1263" w:firstLineChars="393"/>
        <w:jc w:val="left"/>
        <w:rPr>
          <w:rFonts w:hint="eastAsia" w:ascii="宋体" w:hAnsi="宋体" w:eastAsia="宋体" w:cs="宋体"/>
          <w:b/>
          <w:bCs/>
          <w:sz w:val="32"/>
          <w:szCs w:val="24"/>
        </w:rPr>
      </w:pPr>
      <w:r>
        <w:rPr>
          <w:rFonts w:hint="eastAsia" w:ascii="宋体" w:hAnsi="宋体" w:eastAsia="宋体" w:cs="宋体"/>
          <w:b/>
          <w:sz w:val="32"/>
          <w:szCs w:val="32"/>
        </w:rPr>
        <w:t>采购代理机构：</w:t>
      </w:r>
      <w:r>
        <w:rPr>
          <w:rFonts w:hint="eastAsia" w:ascii="宋体" w:hAnsi="宋体" w:eastAsia="宋体" w:cs="宋体"/>
          <w:b/>
          <w:bCs/>
          <w:sz w:val="32"/>
          <w:szCs w:val="24"/>
        </w:rPr>
        <w:t>江苏国兴建设项目管理有限公司</w:t>
      </w:r>
    </w:p>
    <w:p w14:paraId="2A63074D">
      <w:pPr>
        <w:pageBreakBefore w:val="0"/>
        <w:kinsoku/>
        <w:wordWrap w:val="0"/>
        <w:overflowPunct/>
        <w:topLinePunct w:val="0"/>
        <w:bidi w:val="0"/>
        <w:adjustRightInd w:val="0"/>
        <w:snapToGrid w:val="0"/>
        <w:spacing w:line="360" w:lineRule="auto"/>
        <w:jc w:val="center"/>
        <w:rPr>
          <w:rFonts w:hint="eastAsia" w:ascii="宋体" w:hAnsi="宋体" w:eastAsia="宋体" w:cs="宋体"/>
        </w:rPr>
      </w:pPr>
      <w:r>
        <w:rPr>
          <w:rFonts w:hint="eastAsia" w:ascii="宋体" w:hAnsi="宋体" w:eastAsia="宋体" w:cs="宋体"/>
          <w:b/>
          <w:bCs/>
          <w:sz w:val="32"/>
          <w:szCs w:val="24"/>
        </w:rPr>
        <w:t>202</w:t>
      </w:r>
      <w:r>
        <w:rPr>
          <w:rFonts w:hint="eastAsia" w:ascii="宋体" w:hAnsi="宋体" w:eastAsia="宋体" w:cs="宋体"/>
          <w:b/>
          <w:bCs/>
          <w:sz w:val="32"/>
          <w:szCs w:val="24"/>
          <w:lang w:val="en-US" w:eastAsia="zh-CN"/>
        </w:rPr>
        <w:t>6</w:t>
      </w:r>
      <w:r>
        <w:rPr>
          <w:rFonts w:hint="eastAsia" w:ascii="宋体" w:hAnsi="宋体" w:eastAsia="宋体" w:cs="宋体"/>
          <w:b/>
          <w:bCs/>
          <w:sz w:val="32"/>
          <w:szCs w:val="24"/>
        </w:rPr>
        <w:t>年</w:t>
      </w:r>
      <w:r>
        <w:rPr>
          <w:rFonts w:hint="eastAsia" w:ascii="宋体" w:hAnsi="宋体" w:eastAsia="宋体" w:cs="宋体"/>
          <w:b/>
          <w:bCs/>
          <w:sz w:val="32"/>
          <w:szCs w:val="24"/>
          <w:lang w:val="en-US" w:eastAsia="zh-CN"/>
        </w:rPr>
        <w:t>0</w:t>
      </w:r>
      <w:r>
        <w:rPr>
          <w:rFonts w:hint="eastAsia" w:ascii="宋体" w:hAnsi="宋体" w:eastAsia="宋体" w:cs="宋体"/>
          <w:b/>
          <w:bCs/>
          <w:sz w:val="32"/>
          <w:szCs w:val="24"/>
        </w:rPr>
        <w:t>1月</w:t>
      </w:r>
      <w:r>
        <w:rPr>
          <w:rFonts w:hint="eastAsia" w:ascii="宋体" w:hAnsi="宋体" w:eastAsia="宋体" w:cs="宋体"/>
        </w:rPr>
        <w:br w:type="page" w:clear="all"/>
      </w:r>
      <w:r>
        <w:rPr>
          <w:rFonts w:hint="eastAsia" w:ascii="宋体" w:hAnsi="宋体" w:eastAsia="宋体" w:cs="宋体"/>
        </w:rPr>
        <w:fldChar w:fldCharType="begin"/>
      </w:r>
      <w:r>
        <w:rPr>
          <w:rFonts w:hint="eastAsia" w:ascii="宋体" w:hAnsi="宋体" w:eastAsia="宋体" w:cs="宋体"/>
        </w:rPr>
        <w:instrText xml:space="preserve"> TOC \o "1-1" \u </w:instrText>
      </w:r>
      <w:r>
        <w:rPr>
          <w:rFonts w:hint="eastAsia" w:ascii="宋体" w:hAnsi="宋体" w:eastAsia="宋体" w:cs="宋体"/>
        </w:rPr>
        <w:fldChar w:fldCharType="separate"/>
      </w:r>
    </w:p>
    <w:p w14:paraId="156DF6A8">
      <w:pPr>
        <w:pageBreakBefore w:val="0"/>
        <w:kinsoku/>
        <w:wordWrap w:val="0"/>
        <w:overflowPunct/>
        <w:topLinePunct w:val="0"/>
        <w:bidi w:val="0"/>
        <w:adjustRightInd w:val="0"/>
        <w:snapToGrid w:val="0"/>
        <w:spacing w:line="360" w:lineRule="auto"/>
        <w:jc w:val="center"/>
        <w:rPr>
          <w:rFonts w:hint="eastAsia" w:ascii="宋体" w:hAnsi="宋体" w:eastAsia="宋体" w:cs="宋体"/>
          <w:sz w:val="44"/>
          <w:szCs w:val="44"/>
        </w:rPr>
      </w:pPr>
      <w:r>
        <w:rPr>
          <w:rFonts w:hint="eastAsia" w:ascii="宋体" w:hAnsi="宋体" w:eastAsia="宋体" w:cs="宋体"/>
          <w:sz w:val="44"/>
          <w:szCs w:val="44"/>
        </w:rPr>
        <w:t>目  录</w:t>
      </w:r>
    </w:p>
    <w:p w14:paraId="07B79F5B">
      <w:pPr>
        <w:pStyle w:val="25"/>
        <w:pageBreakBefore w:val="0"/>
        <w:kinsoku/>
        <w:wordWrap w:val="0"/>
        <w:overflowPunct/>
        <w:topLinePunct w:val="0"/>
        <w:bidi w:val="0"/>
        <w:adjustRightInd w:val="0"/>
        <w:snapToGrid w:val="0"/>
        <w:spacing w:line="360" w:lineRule="auto"/>
        <w:rPr>
          <w:rFonts w:hint="eastAsia" w:ascii="宋体" w:hAnsi="宋体" w:eastAsia="宋体" w:cs="宋体"/>
        </w:rPr>
      </w:pPr>
      <w:r>
        <w:rPr>
          <w:rFonts w:hint="eastAsia" w:ascii="宋体" w:hAnsi="宋体" w:eastAsia="宋体" w:cs="宋体"/>
        </w:rPr>
        <w:t>第一章  磋商邀请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_Toc161932691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p w14:paraId="79AB58CE">
      <w:pPr>
        <w:pStyle w:val="25"/>
        <w:pageBreakBefore w:val="0"/>
        <w:kinsoku/>
        <w:wordWrap w:val="0"/>
        <w:overflowPunct/>
        <w:topLinePunct w:val="0"/>
        <w:bidi w:val="0"/>
        <w:adjustRightInd w:val="0"/>
        <w:snapToGrid w:val="0"/>
        <w:spacing w:line="360" w:lineRule="auto"/>
        <w:rPr>
          <w:rFonts w:hint="eastAsia" w:ascii="宋体" w:hAnsi="宋体" w:eastAsia="宋体" w:cs="宋体"/>
        </w:rPr>
      </w:pPr>
      <w:r>
        <w:rPr>
          <w:rFonts w:hint="eastAsia" w:ascii="宋体" w:hAnsi="宋体" w:eastAsia="宋体" w:cs="宋体"/>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_Toc161932692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p w14:paraId="4C72E6E1">
      <w:pPr>
        <w:pStyle w:val="25"/>
        <w:pageBreakBefore w:val="0"/>
        <w:kinsoku/>
        <w:wordWrap w:val="0"/>
        <w:overflowPunct/>
        <w:topLinePunct w:val="0"/>
        <w:bidi w:val="0"/>
        <w:adjustRightInd w:val="0"/>
        <w:snapToGrid w:val="0"/>
        <w:spacing w:line="360" w:lineRule="auto"/>
        <w:rPr>
          <w:rFonts w:hint="eastAsia" w:ascii="宋体" w:hAnsi="宋体" w:eastAsia="宋体" w:cs="宋体"/>
        </w:rPr>
      </w:pPr>
      <w:r>
        <w:rPr>
          <w:rFonts w:hint="eastAsia" w:ascii="宋体" w:hAnsi="宋体" w:eastAsia="宋体" w:cs="宋体"/>
        </w:rPr>
        <w:t>第三章  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_Toc161932693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p>
    <w:p w14:paraId="6A38ADC6">
      <w:pPr>
        <w:pStyle w:val="25"/>
        <w:pageBreakBefore w:val="0"/>
        <w:kinsoku/>
        <w:wordWrap w:val="0"/>
        <w:overflowPunct/>
        <w:topLinePunct w:val="0"/>
        <w:bidi w:val="0"/>
        <w:adjustRightInd w:val="0"/>
        <w:snapToGrid w:val="0"/>
        <w:spacing w:line="360" w:lineRule="auto"/>
        <w:rPr>
          <w:rFonts w:hint="eastAsia" w:ascii="宋体" w:hAnsi="宋体" w:eastAsia="宋体" w:cs="宋体"/>
        </w:rPr>
      </w:pPr>
      <w:r>
        <w:rPr>
          <w:rFonts w:hint="eastAsia" w:ascii="宋体" w:hAnsi="宋体" w:eastAsia="宋体" w:cs="宋体"/>
        </w:rPr>
        <w:t>第四章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_Toc161932694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p>
    <w:p w14:paraId="3CEB0CF8">
      <w:pPr>
        <w:pStyle w:val="25"/>
        <w:pageBreakBefore w:val="0"/>
        <w:kinsoku/>
        <w:wordWrap w:val="0"/>
        <w:overflowPunct/>
        <w:topLinePunct w:val="0"/>
        <w:bidi w:val="0"/>
        <w:adjustRightInd w:val="0"/>
        <w:snapToGrid w:val="0"/>
        <w:spacing w:line="360" w:lineRule="auto"/>
        <w:rPr>
          <w:rFonts w:hint="eastAsia" w:ascii="宋体" w:hAnsi="宋体" w:eastAsia="宋体" w:cs="宋体"/>
        </w:rPr>
      </w:pPr>
      <w:r>
        <w:rPr>
          <w:rFonts w:hint="eastAsia" w:ascii="宋体" w:hAnsi="宋体" w:eastAsia="宋体" w:cs="宋体"/>
        </w:rPr>
        <w:t>第五章  评审方法与评审标准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_Toc161932695 \h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p>
    <w:p w14:paraId="7DEFA31D">
      <w:pPr>
        <w:pStyle w:val="25"/>
        <w:pageBreakBefore w:val="0"/>
        <w:kinsoku/>
        <w:wordWrap w:val="0"/>
        <w:overflowPunct/>
        <w:topLinePunct w:val="0"/>
        <w:bidi w:val="0"/>
        <w:adjustRightInd w:val="0"/>
        <w:snapToGrid w:val="0"/>
        <w:spacing w:line="360" w:lineRule="auto"/>
        <w:rPr>
          <w:rFonts w:hint="eastAsia" w:ascii="宋体" w:hAnsi="宋体" w:eastAsia="宋体" w:cs="宋体"/>
        </w:rPr>
      </w:pPr>
      <w:r>
        <w:rPr>
          <w:rFonts w:hint="eastAsia" w:ascii="宋体" w:hAnsi="宋体" w:eastAsia="宋体" w:cs="宋体"/>
        </w:rPr>
        <w:t>第六章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_Toc161932696 \h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p>
    <w:p w14:paraId="63579148">
      <w:pPr>
        <w:pageBreakBefore w:val="0"/>
        <w:widowControl/>
        <w:kinsoku/>
        <w:wordWrap w:val="0"/>
        <w:overflowPunct/>
        <w:topLinePunct w:val="0"/>
        <w:bidi w:val="0"/>
        <w:adjustRightInd w:val="0"/>
        <w:snapToGrid w:val="0"/>
        <w:spacing w:line="360" w:lineRule="auto"/>
        <w:jc w:val="left"/>
        <w:rPr>
          <w:rFonts w:hint="eastAsia" w:ascii="宋体" w:hAnsi="宋体" w:eastAsia="宋体" w:cs="宋体"/>
        </w:rPr>
      </w:pPr>
      <w:r>
        <w:rPr>
          <w:rFonts w:hint="eastAsia" w:ascii="宋体" w:hAnsi="宋体" w:eastAsia="宋体" w:cs="宋体"/>
        </w:rPr>
        <w:fldChar w:fldCharType="end"/>
      </w:r>
      <w:r>
        <w:rPr>
          <w:rFonts w:hint="eastAsia" w:ascii="宋体" w:hAnsi="宋体" w:eastAsia="宋体" w:cs="宋体"/>
        </w:rPr>
        <w:br w:type="page" w:clear="all"/>
      </w:r>
    </w:p>
    <w:p w14:paraId="43F7DD5E">
      <w:pPr>
        <w:pStyle w:val="3"/>
        <w:pageBreakBefore w:val="0"/>
        <w:kinsoku/>
        <w:wordWrap w:val="0"/>
        <w:overflowPunct/>
        <w:topLinePunct w:val="0"/>
        <w:bidi w:val="0"/>
        <w:adjustRightInd w:val="0"/>
        <w:snapToGrid w:val="0"/>
        <w:spacing w:before="0" w:after="0" w:line="360" w:lineRule="auto"/>
        <w:jc w:val="center"/>
        <w:rPr>
          <w:rFonts w:hint="eastAsia" w:ascii="宋体" w:hAnsi="宋体" w:eastAsia="宋体" w:cs="宋体"/>
          <w:b w:val="0"/>
        </w:rPr>
      </w:pPr>
      <w:bookmarkStart w:id="0" w:name="_Toc161932691"/>
      <w:r>
        <w:rPr>
          <w:rFonts w:hint="eastAsia" w:ascii="宋体" w:hAnsi="宋体" w:eastAsia="宋体" w:cs="宋体"/>
          <w:b w:val="0"/>
        </w:rPr>
        <w:t>第一章  磋商邀请</w:t>
      </w:r>
      <w:bookmarkEnd w:id="0"/>
    </w:p>
    <w:p w14:paraId="103A7C0F">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受</w:t>
      </w:r>
      <w:r>
        <w:rPr>
          <w:rFonts w:hint="eastAsia" w:ascii="宋体" w:hAnsi="宋体" w:eastAsia="宋体" w:cs="宋体"/>
          <w:b/>
          <w:bCs/>
          <w:sz w:val="24"/>
          <w:szCs w:val="24"/>
          <w:u w:val="single"/>
        </w:rPr>
        <w:t>连云港市公安局（机关）</w:t>
      </w:r>
      <w:r>
        <w:rPr>
          <w:rFonts w:hint="eastAsia" w:ascii="宋体" w:hAnsi="宋体" w:eastAsia="宋体" w:cs="宋体"/>
          <w:sz w:val="24"/>
          <w:szCs w:val="24"/>
        </w:rPr>
        <w:t>的委托，</w:t>
      </w:r>
      <w:r>
        <w:rPr>
          <w:rFonts w:hint="eastAsia" w:ascii="宋体" w:hAnsi="宋体" w:eastAsia="宋体" w:cs="宋体"/>
          <w:b/>
          <w:bCs/>
          <w:sz w:val="24"/>
          <w:szCs w:val="24"/>
        </w:rPr>
        <w:t>江苏国兴建设项目管理有限公司</w:t>
      </w:r>
      <w:r>
        <w:rPr>
          <w:rFonts w:hint="eastAsia" w:ascii="宋体" w:hAnsi="宋体" w:eastAsia="宋体" w:cs="宋体"/>
          <w:sz w:val="24"/>
          <w:szCs w:val="24"/>
        </w:rPr>
        <w:t>就</w:t>
      </w:r>
      <w:r>
        <w:rPr>
          <w:rFonts w:hint="eastAsia" w:ascii="宋体" w:hAnsi="宋体" w:eastAsia="宋体" w:cs="宋体"/>
          <w:b/>
          <w:bCs/>
          <w:sz w:val="24"/>
          <w:szCs w:val="24"/>
          <w:u w:val="single"/>
        </w:rPr>
        <w:t>连云港市公安局机房设备及软件维护（不专门面向中小企业）</w:t>
      </w:r>
      <w:r>
        <w:rPr>
          <w:rFonts w:hint="eastAsia" w:ascii="宋体" w:hAnsi="宋体" w:eastAsia="宋体" w:cs="宋体"/>
          <w:b/>
          <w:bCs/>
          <w:sz w:val="24"/>
          <w:szCs w:val="24"/>
        </w:rPr>
        <w:t>（JSZC-320700-GXGL-C2025-0051）</w:t>
      </w:r>
      <w:r>
        <w:rPr>
          <w:rFonts w:hint="eastAsia" w:ascii="宋体" w:hAnsi="宋体" w:eastAsia="宋体" w:cs="宋体"/>
          <w:sz w:val="24"/>
          <w:szCs w:val="24"/>
        </w:rPr>
        <w:t>进行竞争性磋商采购，欢迎符合条件的供应商参加磋商。</w:t>
      </w:r>
    </w:p>
    <w:tbl>
      <w:tblPr>
        <w:tblStyle w:val="37"/>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5"/>
      </w:tblGrid>
      <w:tr w14:paraId="3743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5" w:type="dxa"/>
          </w:tcPr>
          <w:p w14:paraId="6D5DAD88">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项目概况</w:t>
            </w:r>
          </w:p>
          <w:p w14:paraId="64AD7F68">
            <w:pPr>
              <w:pageBreakBefore w:val="0"/>
              <w:kinsoku/>
              <w:wordWrap w:val="0"/>
              <w:overflowPunct/>
              <w:topLinePunct w:val="0"/>
              <w:bidi w:val="0"/>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u w:val="single"/>
              </w:rPr>
              <w:t>连云港市公安局机房设备及软件维护（不专门面向中小企业）</w:t>
            </w:r>
            <w:r>
              <w:rPr>
                <w:rFonts w:hint="eastAsia" w:ascii="宋体" w:hAnsi="宋体" w:eastAsia="宋体" w:cs="宋体"/>
                <w:sz w:val="24"/>
                <w:szCs w:val="24"/>
              </w:rPr>
              <w:t>采购项目的潜在供应商应在“江苏政府采购网”自行免费下载采购文件，并于</w:t>
            </w:r>
            <w:r>
              <w:rPr>
                <w:rFonts w:hint="eastAsia" w:ascii="宋体" w:hAnsi="宋体" w:eastAsia="宋体" w:cs="宋体"/>
                <w:b/>
                <w:bCs/>
                <w:sz w:val="24"/>
                <w:szCs w:val="24"/>
                <w:highlight w:val="yellow"/>
                <w:u w:val="single"/>
              </w:rPr>
              <w:t>202</w:t>
            </w:r>
            <w:r>
              <w:rPr>
                <w:rFonts w:hint="eastAsia" w:ascii="宋体" w:hAnsi="宋体" w:eastAsia="宋体" w:cs="宋体"/>
                <w:b/>
                <w:bCs/>
                <w:sz w:val="24"/>
                <w:szCs w:val="24"/>
                <w:highlight w:val="yellow"/>
                <w:u w:val="single"/>
                <w:lang w:val="en-US" w:eastAsia="zh-CN"/>
              </w:rPr>
              <w:t>6</w:t>
            </w:r>
            <w:r>
              <w:rPr>
                <w:rFonts w:hint="eastAsia" w:ascii="宋体" w:hAnsi="宋体" w:eastAsia="宋体" w:cs="宋体"/>
                <w:b/>
                <w:bCs/>
                <w:sz w:val="24"/>
                <w:szCs w:val="24"/>
                <w:highlight w:val="yellow"/>
                <w:u w:val="single"/>
              </w:rPr>
              <w:t>年</w:t>
            </w:r>
            <w:r>
              <w:rPr>
                <w:rFonts w:hint="eastAsia" w:ascii="宋体" w:hAnsi="宋体" w:eastAsia="宋体" w:cs="宋体"/>
                <w:b/>
                <w:bCs/>
                <w:sz w:val="24"/>
                <w:szCs w:val="24"/>
                <w:highlight w:val="yellow"/>
                <w:u w:val="single"/>
                <w:lang w:val="en-US" w:eastAsia="zh-CN"/>
              </w:rPr>
              <w:t>02</w:t>
            </w:r>
            <w:r>
              <w:rPr>
                <w:rFonts w:hint="eastAsia" w:ascii="宋体" w:hAnsi="宋体" w:eastAsia="宋体" w:cs="宋体"/>
                <w:b/>
                <w:bCs/>
                <w:sz w:val="24"/>
                <w:szCs w:val="24"/>
                <w:highlight w:val="yellow"/>
                <w:u w:val="single"/>
              </w:rPr>
              <w:t>月</w:t>
            </w:r>
            <w:r>
              <w:rPr>
                <w:rFonts w:hint="eastAsia" w:ascii="宋体" w:hAnsi="宋体" w:eastAsia="宋体" w:cs="宋体"/>
                <w:b/>
                <w:bCs/>
                <w:sz w:val="24"/>
                <w:szCs w:val="24"/>
                <w:highlight w:val="yellow"/>
                <w:u w:val="single"/>
                <w:lang w:val="en-US" w:eastAsia="zh-CN"/>
              </w:rPr>
              <w:t>06</w:t>
            </w:r>
            <w:r>
              <w:rPr>
                <w:rFonts w:hint="eastAsia" w:ascii="宋体" w:hAnsi="宋体" w:eastAsia="宋体" w:cs="宋体"/>
                <w:b/>
                <w:bCs/>
                <w:sz w:val="24"/>
                <w:szCs w:val="24"/>
                <w:highlight w:val="yellow"/>
                <w:u w:val="single"/>
              </w:rPr>
              <w:t>日09:00:00</w:t>
            </w:r>
            <w:r>
              <w:rPr>
                <w:rFonts w:hint="eastAsia" w:ascii="宋体" w:hAnsi="宋体" w:eastAsia="宋体" w:cs="宋体"/>
                <w:sz w:val="24"/>
                <w:szCs w:val="24"/>
              </w:rPr>
              <w:t>（北京时间）前提交（上传）响应文件。</w:t>
            </w:r>
          </w:p>
        </w:tc>
      </w:tr>
    </w:tbl>
    <w:p w14:paraId="5C7326E2">
      <w:pPr>
        <w:pStyle w:val="4"/>
        <w:pageBreakBefore w:val="0"/>
        <w:kinsoku/>
        <w:wordWrap w:val="0"/>
        <w:overflowPunct/>
        <w:topLinePunct w:val="0"/>
        <w:bidi w:val="0"/>
        <w:adjustRightInd w:val="0"/>
        <w:snapToGrid w:val="0"/>
        <w:spacing w:before="0" w:after="0" w:line="360" w:lineRule="auto"/>
        <w:rPr>
          <w:rFonts w:hint="eastAsia" w:ascii="宋体" w:hAnsi="宋体" w:eastAsia="宋体" w:cs="宋体"/>
          <w:b/>
          <w:bCs w:val="0"/>
          <w:sz w:val="24"/>
          <w:szCs w:val="24"/>
        </w:rPr>
      </w:pPr>
      <w:r>
        <w:rPr>
          <w:rFonts w:hint="eastAsia" w:ascii="宋体" w:hAnsi="宋体" w:eastAsia="宋体" w:cs="宋体"/>
          <w:b/>
          <w:bCs w:val="0"/>
          <w:sz w:val="24"/>
          <w:szCs w:val="24"/>
        </w:rPr>
        <w:t>一、项目基本情况</w:t>
      </w:r>
    </w:p>
    <w:p w14:paraId="48B1EFE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项目编号：JSZC-320700-GXGL-C2025-0051</w:t>
      </w:r>
    </w:p>
    <w:p w14:paraId="76EC2C71">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项目名称：连云港市公安局机房设备及软件维护（不专门面向中小企业）</w:t>
      </w:r>
    </w:p>
    <w:p w14:paraId="458D56A9">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预算金额：185.9万元，</w:t>
      </w:r>
      <w:r>
        <w:rPr>
          <w:rFonts w:hint="eastAsia" w:ascii="宋体" w:hAnsi="宋体" w:eastAsia="宋体" w:cs="宋体"/>
          <w:sz w:val="24"/>
          <w:szCs w:val="28"/>
        </w:rPr>
        <w:t>报价超出预算金额的按无效响应处理。</w:t>
      </w:r>
    </w:p>
    <w:p w14:paraId="6B96EFB4">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采购方式：竞争性磋商</w:t>
      </w:r>
    </w:p>
    <w:p w14:paraId="2B6176E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采购需求：我局九岭中心机房及各附属机房共有各类硬件设备900余台（除网安、技侦、反恐、通保），已超厂家质保期需另行维保设备总数约为366台，以上设备承载连云港市公安局多部门业务应用系统。通过该项目，对相关设备定期巡检及故障及时处理，提高设备的使用寿命，降低设备出现故障的概率，确保机房设备的稳定运行。同时使机房设备在任何情况下，可及时得到设备或软件生产厂家或供应商的产品维修和技术支持，做到网络不中断、系统不瘫痪、数据不丢失的运维目标。（详细内容见本磋商文件项目需求）</w:t>
      </w:r>
    </w:p>
    <w:p w14:paraId="7529343F">
      <w:pPr>
        <w:pageBreakBefore w:val="0"/>
        <w:kinsoku/>
        <w:wordWrap w:val="0"/>
        <w:overflowPunct/>
        <w:topLinePunct w:val="0"/>
        <w:bidi w:val="0"/>
        <w:adjustRightInd w:val="0"/>
        <w:snapToGrid w:val="0"/>
        <w:spacing w:line="360" w:lineRule="auto"/>
        <w:ind w:firstLine="482"/>
        <w:jc w:val="left"/>
        <w:rPr>
          <w:rFonts w:hint="eastAsia" w:ascii="宋体" w:hAnsi="宋体" w:eastAsia="宋体" w:cs="宋体"/>
          <w:b/>
          <w:sz w:val="24"/>
          <w:szCs w:val="24"/>
        </w:rPr>
      </w:pPr>
      <w:r>
        <w:rPr>
          <w:rFonts w:hint="eastAsia" w:ascii="宋体" w:hAnsi="宋体" w:eastAsia="宋体" w:cs="宋体"/>
          <w:b/>
          <w:sz w:val="24"/>
          <w:szCs w:val="24"/>
        </w:rPr>
        <w:t>对本项目资格要求、采购需求、评审方法与评审标准等部分的询问、质疑请与采购人联系，由采购人负责答复。</w:t>
      </w:r>
    </w:p>
    <w:p w14:paraId="000C9432">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合同履行期限：自合同签订之日起1年。</w:t>
      </w:r>
    </w:p>
    <w:p w14:paraId="0D76F7D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u w:val="single"/>
        </w:rPr>
        <w:t>不接受</w:t>
      </w:r>
      <w:r>
        <w:rPr>
          <w:rFonts w:hint="eastAsia" w:ascii="宋体" w:hAnsi="宋体" w:eastAsia="宋体" w:cs="宋体"/>
          <w:sz w:val="24"/>
          <w:szCs w:val="24"/>
        </w:rPr>
        <w:t>联合体参与磋商。</w:t>
      </w:r>
    </w:p>
    <w:p w14:paraId="3FB0E471">
      <w:pPr>
        <w:pStyle w:val="4"/>
        <w:pageBreakBefore w:val="0"/>
        <w:kinsoku/>
        <w:wordWrap w:val="0"/>
        <w:overflowPunct/>
        <w:topLinePunct w:val="0"/>
        <w:bidi w:val="0"/>
        <w:adjustRightInd w:val="0"/>
        <w:snapToGrid w:val="0"/>
        <w:spacing w:before="0" w:after="0" w:line="360" w:lineRule="auto"/>
        <w:rPr>
          <w:rFonts w:hint="eastAsia" w:ascii="宋体" w:hAnsi="宋体" w:eastAsia="宋体" w:cs="宋体"/>
          <w:b/>
          <w:bCs w:val="0"/>
          <w:sz w:val="24"/>
          <w:szCs w:val="24"/>
        </w:rPr>
      </w:pPr>
      <w:r>
        <w:rPr>
          <w:rFonts w:hint="eastAsia" w:ascii="宋体" w:hAnsi="宋体" w:eastAsia="宋体" w:cs="宋体"/>
          <w:b/>
          <w:bCs w:val="0"/>
          <w:sz w:val="24"/>
          <w:szCs w:val="24"/>
        </w:rPr>
        <w:t>二、申请人的资格要求</w:t>
      </w:r>
    </w:p>
    <w:p w14:paraId="4171E6D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（一）满足《中华人民共和国政府采购法》第二十二条规定，并提供下列材料：</w:t>
      </w:r>
    </w:p>
    <w:p w14:paraId="457119F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1.法人或者其他组织的营业执照等证明文件，自然人的身份证明；</w:t>
      </w:r>
    </w:p>
    <w:p w14:paraId="043C0514">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2024或2025</w:t>
      </w:r>
      <w:r>
        <w:rPr>
          <w:rFonts w:hint="eastAsia" w:ascii="宋体" w:hAnsi="宋体" w:eastAsia="宋体" w:cs="宋体"/>
          <w:sz w:val="24"/>
          <w:szCs w:val="24"/>
        </w:rPr>
        <w:t>年度的财务状况报告（成立不满一年无需提供）；</w:t>
      </w:r>
    </w:p>
    <w:p w14:paraId="3D62C861">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3.依法缴纳税收和社会保障资金的相关材料（提供提交响应文件截止时间前一年内至少一个月依法缴纳税收及缴纳社会保障资金的证明材料，供应商依法享受缓缴、免缴税收、社会保障资金的提供证明材料）；</w:t>
      </w:r>
    </w:p>
    <w:p w14:paraId="1C857E67">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b/>
          <w:bCs/>
          <w:sz w:val="24"/>
          <w:szCs w:val="24"/>
        </w:rPr>
      </w:pPr>
      <w:r>
        <w:rPr>
          <w:rFonts w:hint="eastAsia" w:ascii="宋体" w:hAnsi="宋体" w:eastAsia="宋体" w:cs="宋体"/>
          <w:b/>
          <w:bCs/>
          <w:sz w:val="24"/>
          <w:szCs w:val="24"/>
        </w:rPr>
        <w:t>注：根据连财购〔2023〕4号文件精神，2、3项可以提供《财务状况报告及税收、社会保障资金缴纳情况承诺函》，详见响应文件格式。</w:t>
      </w:r>
    </w:p>
    <w:p w14:paraId="08D59AA7">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4.具备履行合同所必需的设备和专业技术能力的声明及证明材料；</w:t>
      </w:r>
    </w:p>
    <w:p w14:paraId="2B0C369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5.参加政府采购活动前3年内在经营活动中没有重大违法记录的书面声明。</w:t>
      </w:r>
    </w:p>
    <w:p w14:paraId="044D0842">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6.法律、行政法规规定的其他条件。（如有，请按要求提供）</w:t>
      </w:r>
    </w:p>
    <w:p w14:paraId="13D40C82">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7.资格审查现场查询信用中国、中国政府采购网，供应商被列入失信被执行人、税收违法黑名单、政府采购严重违法失信行为记录名单及具有其他不符合《中华人民共和国政府采购法》第二十二条规定情形的，拒绝其参与政府采购活动。（响应文件中无需提供证明材料）</w:t>
      </w:r>
    </w:p>
    <w:p w14:paraId="49F42382">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（二）落实政府采购政策需满足的资格要求：无。</w:t>
      </w:r>
    </w:p>
    <w:p w14:paraId="6C82666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（三）本项目的特定资格要求：无。</w:t>
      </w:r>
    </w:p>
    <w:p w14:paraId="6C66D49B">
      <w:pPr>
        <w:pStyle w:val="4"/>
        <w:pageBreakBefore w:val="0"/>
        <w:kinsoku/>
        <w:wordWrap w:val="0"/>
        <w:overflowPunct/>
        <w:topLinePunct w:val="0"/>
        <w:bidi w:val="0"/>
        <w:adjustRightInd w:val="0"/>
        <w:snapToGrid w:val="0"/>
        <w:spacing w:before="0" w:after="0" w:line="360" w:lineRule="auto"/>
        <w:rPr>
          <w:rFonts w:hint="eastAsia" w:ascii="宋体" w:hAnsi="宋体" w:eastAsia="宋体" w:cs="宋体"/>
          <w:b/>
          <w:bCs w:val="0"/>
          <w:sz w:val="24"/>
          <w:szCs w:val="24"/>
        </w:rPr>
      </w:pPr>
      <w:r>
        <w:rPr>
          <w:rFonts w:hint="eastAsia" w:ascii="宋体" w:hAnsi="宋体" w:eastAsia="宋体" w:cs="宋体"/>
          <w:b/>
          <w:bCs w:val="0"/>
          <w:sz w:val="24"/>
          <w:szCs w:val="24"/>
        </w:rPr>
        <w:t>三、获取采购文件</w:t>
      </w:r>
    </w:p>
    <w:p w14:paraId="61B66193">
      <w:pPr>
        <w:pageBreakBefore w:val="0"/>
        <w:kinsoku/>
        <w:wordWrap w:val="0"/>
        <w:overflowPunct/>
        <w:topLinePunct w:val="0"/>
        <w:bidi w:val="0"/>
        <w:adjustRightInd w:val="0"/>
        <w:snapToGrid w:val="0"/>
        <w:spacing w:line="360" w:lineRule="auto"/>
        <w:ind w:firstLine="480"/>
        <w:jc w:val="left"/>
        <w:rPr>
          <w:rFonts w:hint="default" w:ascii="宋体" w:hAnsi="宋体" w:eastAsia="宋体" w:cs="宋体"/>
          <w:sz w:val="24"/>
          <w:szCs w:val="24"/>
          <w:lang w:val="en-US" w:eastAsia="zh-CN"/>
        </w:rPr>
      </w:pPr>
      <w:r>
        <w:rPr>
          <w:rFonts w:hint="eastAsia" w:ascii="宋体" w:hAnsi="宋体" w:eastAsia="宋体" w:cs="宋体"/>
          <w:sz w:val="24"/>
          <w:szCs w:val="24"/>
        </w:rPr>
        <w:t>时间：自磋商公告发布之日起</w:t>
      </w:r>
      <w:r>
        <w:rPr>
          <w:rFonts w:hint="eastAsia" w:ascii="宋体" w:hAnsi="宋体" w:eastAsia="宋体" w:cs="宋体"/>
          <w:sz w:val="24"/>
          <w:szCs w:val="24"/>
          <w:lang w:val="en-US" w:eastAsia="zh-CN"/>
        </w:rPr>
        <w:t>5个工作日</w:t>
      </w:r>
    </w:p>
    <w:p w14:paraId="1FBDC291">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地点：江苏政府采购网</w:t>
      </w:r>
    </w:p>
    <w:p w14:paraId="4FA909C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方式：供应商需办理江苏省政府采购交易系统CA数字证书，登录“苏采云”政府采购交易系统，自行下载。</w:t>
      </w:r>
    </w:p>
    <w:p w14:paraId="71CA1B4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售价：0.00元</w:t>
      </w:r>
    </w:p>
    <w:p w14:paraId="010396E2">
      <w:pPr>
        <w:pStyle w:val="4"/>
        <w:pageBreakBefore w:val="0"/>
        <w:kinsoku/>
        <w:wordWrap w:val="0"/>
        <w:overflowPunct/>
        <w:topLinePunct w:val="0"/>
        <w:bidi w:val="0"/>
        <w:adjustRightInd w:val="0"/>
        <w:snapToGrid w:val="0"/>
        <w:spacing w:before="0" w:after="0" w:line="360" w:lineRule="auto"/>
        <w:rPr>
          <w:rFonts w:hint="eastAsia" w:ascii="宋体" w:hAnsi="宋体" w:eastAsia="宋体" w:cs="宋体"/>
          <w:b/>
          <w:bCs w:val="0"/>
          <w:sz w:val="24"/>
          <w:szCs w:val="24"/>
        </w:rPr>
      </w:pPr>
      <w:r>
        <w:rPr>
          <w:rFonts w:hint="eastAsia" w:ascii="宋体" w:hAnsi="宋体" w:eastAsia="宋体" w:cs="宋体"/>
          <w:b/>
          <w:bCs w:val="0"/>
          <w:sz w:val="24"/>
          <w:szCs w:val="24"/>
        </w:rPr>
        <w:t>四、提交响应文件截止时间、开启时间和地点</w:t>
      </w:r>
    </w:p>
    <w:p w14:paraId="41CB473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提交响应文件截止时间：</w:t>
      </w:r>
      <w:r>
        <w:rPr>
          <w:rFonts w:hint="eastAsia" w:ascii="宋体" w:hAnsi="宋体" w:eastAsia="宋体" w:cs="宋体"/>
          <w:sz w:val="24"/>
          <w:szCs w:val="24"/>
          <w:highlight w:val="yellow"/>
        </w:rPr>
        <w:t>202</w:t>
      </w:r>
      <w:r>
        <w:rPr>
          <w:rFonts w:hint="eastAsia" w:ascii="宋体" w:hAnsi="宋体" w:eastAsia="宋体" w:cs="宋体"/>
          <w:sz w:val="24"/>
          <w:szCs w:val="24"/>
          <w:highlight w:val="yellow"/>
          <w:lang w:val="en-US" w:eastAsia="zh-CN"/>
        </w:rPr>
        <w:t>6</w:t>
      </w:r>
      <w:r>
        <w:rPr>
          <w:rFonts w:hint="eastAsia" w:ascii="宋体" w:hAnsi="宋体" w:eastAsia="宋体" w:cs="宋体"/>
          <w:sz w:val="24"/>
          <w:szCs w:val="24"/>
          <w:highlight w:val="yellow"/>
        </w:rPr>
        <w:t>年</w:t>
      </w:r>
      <w:r>
        <w:rPr>
          <w:rFonts w:hint="eastAsia" w:ascii="宋体" w:hAnsi="宋体" w:eastAsia="宋体" w:cs="宋体"/>
          <w:sz w:val="24"/>
          <w:szCs w:val="24"/>
          <w:highlight w:val="yellow"/>
          <w:lang w:val="en-US" w:eastAsia="zh-CN"/>
        </w:rPr>
        <w:t>02</w:t>
      </w:r>
      <w:r>
        <w:rPr>
          <w:rFonts w:hint="eastAsia" w:ascii="宋体" w:hAnsi="宋体" w:eastAsia="宋体" w:cs="宋体"/>
          <w:sz w:val="24"/>
          <w:szCs w:val="24"/>
          <w:highlight w:val="yellow"/>
        </w:rPr>
        <w:t>月</w:t>
      </w:r>
      <w:r>
        <w:rPr>
          <w:rFonts w:hint="eastAsia" w:ascii="宋体" w:hAnsi="宋体" w:eastAsia="宋体" w:cs="宋体"/>
          <w:sz w:val="24"/>
          <w:szCs w:val="24"/>
          <w:highlight w:val="yellow"/>
          <w:lang w:val="en-US" w:eastAsia="zh-CN"/>
        </w:rPr>
        <w:t>06</w:t>
      </w:r>
      <w:r>
        <w:rPr>
          <w:rFonts w:hint="eastAsia" w:ascii="宋体" w:hAnsi="宋体" w:eastAsia="宋体" w:cs="宋体"/>
          <w:sz w:val="24"/>
          <w:szCs w:val="24"/>
          <w:highlight w:val="yellow"/>
        </w:rPr>
        <w:t>日09:00:00（北京时间）</w:t>
      </w:r>
    </w:p>
    <w:p w14:paraId="540E806E">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开启时间：提交响应文件截止时间</w:t>
      </w:r>
    </w:p>
    <w:p w14:paraId="489768F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rPr>
      </w:pPr>
      <w:r>
        <w:rPr>
          <w:rFonts w:hint="eastAsia" w:ascii="宋体" w:hAnsi="宋体" w:eastAsia="宋体" w:cs="宋体"/>
          <w:sz w:val="24"/>
          <w:szCs w:val="24"/>
        </w:rPr>
        <w:t>开启地点：“苏采云”政府采购交易系统网上开标大厅</w:t>
      </w:r>
    </w:p>
    <w:p w14:paraId="25456624">
      <w:pPr>
        <w:pStyle w:val="4"/>
        <w:pageBreakBefore w:val="0"/>
        <w:kinsoku/>
        <w:wordWrap w:val="0"/>
        <w:overflowPunct/>
        <w:topLinePunct w:val="0"/>
        <w:bidi w:val="0"/>
        <w:adjustRightInd w:val="0"/>
        <w:snapToGrid w:val="0"/>
        <w:spacing w:before="0" w:after="0" w:line="360" w:lineRule="auto"/>
        <w:rPr>
          <w:rFonts w:hint="eastAsia" w:ascii="宋体" w:hAnsi="宋体" w:eastAsia="宋体" w:cs="宋体"/>
          <w:b/>
          <w:bCs w:val="0"/>
          <w:sz w:val="24"/>
          <w:szCs w:val="24"/>
        </w:rPr>
      </w:pPr>
      <w:r>
        <w:rPr>
          <w:rFonts w:hint="eastAsia" w:ascii="宋体" w:hAnsi="宋体" w:eastAsia="宋体" w:cs="宋体"/>
          <w:b/>
          <w:bCs w:val="0"/>
          <w:sz w:val="24"/>
          <w:szCs w:val="24"/>
        </w:rPr>
        <w:t>五、公告期限</w:t>
      </w:r>
    </w:p>
    <w:p w14:paraId="4D4441A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w:t>
      </w:r>
    </w:p>
    <w:p w14:paraId="10ADE700">
      <w:pPr>
        <w:pStyle w:val="4"/>
        <w:pageBreakBefore w:val="0"/>
        <w:kinsoku/>
        <w:wordWrap w:val="0"/>
        <w:overflowPunct/>
        <w:topLinePunct w:val="0"/>
        <w:bidi w:val="0"/>
        <w:adjustRightInd w:val="0"/>
        <w:snapToGrid w:val="0"/>
        <w:spacing w:before="0" w:after="0" w:line="360" w:lineRule="auto"/>
        <w:rPr>
          <w:rFonts w:hint="eastAsia" w:ascii="宋体" w:hAnsi="宋体" w:eastAsia="宋体" w:cs="宋体"/>
          <w:b/>
          <w:bCs w:val="0"/>
          <w:sz w:val="24"/>
          <w:szCs w:val="24"/>
        </w:rPr>
      </w:pPr>
      <w:r>
        <w:rPr>
          <w:rFonts w:hint="eastAsia" w:ascii="宋体" w:hAnsi="宋体" w:eastAsia="宋体" w:cs="宋体"/>
          <w:b/>
          <w:bCs w:val="0"/>
          <w:sz w:val="24"/>
          <w:szCs w:val="24"/>
        </w:rPr>
        <w:t>六、其他补充事宜</w:t>
      </w:r>
    </w:p>
    <w:p w14:paraId="615252BE">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1.本次磋商采购不收取磋商保证金。</w:t>
      </w:r>
    </w:p>
    <w:p w14:paraId="2AA7E36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2.本磋商文件中</w:t>
      </w:r>
      <w:r>
        <w:rPr>
          <w:rFonts w:hint="eastAsia" w:ascii="宋体" w:hAnsi="宋体" w:eastAsia="宋体" w:cs="宋体"/>
          <w:b/>
          <w:bCs/>
          <w:i/>
          <w:iCs/>
          <w:sz w:val="24"/>
          <w:szCs w:val="24"/>
          <w:u w:val="single"/>
        </w:rPr>
        <w:t>斜体且有下划线</w:t>
      </w:r>
      <w:r>
        <w:rPr>
          <w:rFonts w:hint="eastAsia" w:ascii="宋体" w:hAnsi="宋体" w:eastAsia="宋体" w:cs="宋体"/>
          <w:sz w:val="24"/>
          <w:szCs w:val="24"/>
        </w:rPr>
        <w:t>部分为实质性要求和条件，供应商须逐条做出满足实质性要求和条件的响应，否则将按无效响应处理。</w:t>
      </w:r>
    </w:p>
    <w:p w14:paraId="1555A4E2">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无论出于何种原因，采购人及其委托的采购代理机构在采购活动开始前可对磋商文件进行修改、补充或者变更，其内容作为磋商文件的重要组成部分，请各供应商关注江苏政府采购网。若因供应商自身原因未及时关注本项目有关修改、补充或者变更信息，导致响应文件编制或者提交失误，由此造成的一切损失由供应商自行承担。</w:t>
      </w:r>
    </w:p>
    <w:p w14:paraId="5A99FA4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4.根据江苏省财政厅《关于更换全省政府采购交易系统C A数字证书和电子签章的通知》（苏财购〔2023〕101号）要求，“苏采云”政府采购交易系统的CA数字证书、电子签章已更换为江苏省电子政务证书认证中心CA和方正国际软件（北京）有限公司电子签章。供应商通过“苏采云”系统参与政府采购项目，需要办理（更换）CA数字证书和电子签章。具体办理指南和操作手册见链接：</w:t>
      </w:r>
    </w:p>
    <w:p w14:paraId="786DD15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http://www.ccgp-jiangsu.gov.cn/jiangsu/zlxz/ee/ee3a4bc5a3454aa2b0d9312230633ce9.html</w:t>
      </w:r>
    </w:p>
    <w:p w14:paraId="308D124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请供应商按照《操作手册》要求获取采购文件，制作、提交（上传）电子响应文件，参加开启，澄清、说明或者补正，参加磋商和提交最后报价。因供应商未按要求操作导致电子响应文件被拒绝、造成无效响应的，自行承担一切损失。</w:t>
      </w:r>
    </w:p>
    <w:p w14:paraId="0593A724">
      <w:pPr>
        <w:pStyle w:val="4"/>
        <w:pageBreakBefore w:val="0"/>
        <w:kinsoku/>
        <w:wordWrap w:val="0"/>
        <w:overflowPunct/>
        <w:topLinePunct w:val="0"/>
        <w:bidi w:val="0"/>
        <w:adjustRightInd w:val="0"/>
        <w:snapToGrid w:val="0"/>
        <w:spacing w:before="0" w:after="0" w:line="360" w:lineRule="auto"/>
        <w:rPr>
          <w:rFonts w:hint="eastAsia" w:ascii="宋体" w:hAnsi="宋体" w:eastAsia="宋体" w:cs="宋体"/>
          <w:b/>
          <w:bCs w:val="0"/>
          <w:sz w:val="24"/>
          <w:szCs w:val="24"/>
        </w:rPr>
      </w:pPr>
      <w:r>
        <w:rPr>
          <w:rFonts w:hint="eastAsia" w:ascii="宋体" w:hAnsi="宋体" w:eastAsia="宋体" w:cs="宋体"/>
          <w:b/>
          <w:bCs w:val="0"/>
          <w:sz w:val="24"/>
          <w:szCs w:val="24"/>
        </w:rPr>
        <w:t>七、对本次采购提出询问，请按以下方式联系</w:t>
      </w:r>
    </w:p>
    <w:p w14:paraId="1E852082">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1.采购人信息</w:t>
      </w:r>
    </w:p>
    <w:p w14:paraId="5CFEBFAE">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lang w:eastAsia="zh-CN"/>
        </w:rPr>
      </w:pPr>
      <w:r>
        <w:rPr>
          <w:rFonts w:hint="eastAsia" w:ascii="宋体" w:hAnsi="宋体" w:eastAsia="宋体" w:cs="宋体"/>
          <w:sz w:val="24"/>
          <w:szCs w:val="24"/>
        </w:rPr>
        <w:t>名    称：连云港市公安局</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机关</w:t>
      </w:r>
      <w:r>
        <w:rPr>
          <w:rFonts w:hint="eastAsia" w:ascii="宋体" w:hAnsi="宋体" w:eastAsia="宋体" w:cs="宋体"/>
          <w:sz w:val="24"/>
          <w:szCs w:val="24"/>
          <w:lang w:eastAsia="zh-CN"/>
        </w:rPr>
        <w:t>）</w:t>
      </w:r>
    </w:p>
    <w:p w14:paraId="128E454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地    址：连云港市海州区朝阳东路9号</w:t>
      </w:r>
    </w:p>
    <w:p w14:paraId="4AFCB5AF">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联系方式：冯金 15861236196</w:t>
      </w:r>
    </w:p>
    <w:p w14:paraId="5428E0B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2.采购代理机构信息</w:t>
      </w:r>
    </w:p>
    <w:p w14:paraId="582DE19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名    称：江苏国兴建设项目管理有限公司</w:t>
      </w:r>
    </w:p>
    <w:p w14:paraId="448FE7D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地    址：连云港市海州区凤凰商务花园1号楼304室</w:t>
      </w:r>
    </w:p>
    <w:p w14:paraId="3A3223C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联系方式：王工  0518-85508678</w:t>
      </w:r>
    </w:p>
    <w:p w14:paraId="3C3A746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3.项目联系方式</w:t>
      </w:r>
    </w:p>
    <w:p w14:paraId="2138857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项目联系人：冯金</w:t>
      </w:r>
    </w:p>
    <w:p w14:paraId="7BB380B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电      话：15861236196</w:t>
      </w:r>
    </w:p>
    <w:p w14:paraId="12DBA65A">
      <w:pPr>
        <w:pageBreakBefore w:val="0"/>
        <w:kinsoku/>
        <w:wordWrap w:val="0"/>
        <w:overflowPunct/>
        <w:topLinePunct w:val="0"/>
        <w:bidi w:val="0"/>
        <w:adjustRightInd w:val="0"/>
        <w:snapToGrid w:val="0"/>
        <w:spacing w:line="360" w:lineRule="auto"/>
        <w:ind w:firstLine="880"/>
        <w:jc w:val="left"/>
        <w:rPr>
          <w:rFonts w:hint="eastAsia" w:ascii="宋体" w:hAnsi="宋体" w:eastAsia="宋体" w:cs="宋体"/>
          <w:bCs/>
          <w:sz w:val="44"/>
          <w:szCs w:val="44"/>
        </w:rPr>
      </w:pPr>
    </w:p>
    <w:p w14:paraId="005725F3">
      <w:pPr>
        <w:pageBreakBefore w:val="0"/>
        <w:widowControl/>
        <w:kinsoku/>
        <w:wordWrap w:val="0"/>
        <w:overflowPunct/>
        <w:topLinePunct w:val="0"/>
        <w:bidi w:val="0"/>
        <w:adjustRightInd w:val="0"/>
        <w:snapToGrid w:val="0"/>
        <w:spacing w:line="360" w:lineRule="auto"/>
        <w:jc w:val="left"/>
        <w:rPr>
          <w:rFonts w:hint="eastAsia" w:ascii="宋体" w:hAnsi="宋体" w:eastAsia="宋体" w:cs="宋体"/>
          <w:bCs/>
          <w:sz w:val="44"/>
          <w:szCs w:val="44"/>
        </w:rPr>
      </w:pPr>
      <w:bookmarkStart w:id="1" w:name="_Toc161932692"/>
      <w:r>
        <w:rPr>
          <w:rFonts w:hint="eastAsia" w:ascii="宋体" w:hAnsi="宋体" w:eastAsia="宋体" w:cs="宋体"/>
          <w:b/>
        </w:rPr>
        <w:br w:type="page" w:clear="all"/>
      </w:r>
    </w:p>
    <w:p w14:paraId="4DFBEB32">
      <w:pPr>
        <w:pStyle w:val="3"/>
        <w:pageBreakBefore w:val="0"/>
        <w:widowControl w:val="0"/>
        <w:numPr>
          <w:ilvl w:val="0"/>
          <w:numId w:val="0"/>
        </w:numPr>
        <w:kinsoku/>
        <w:wordWrap w:val="0"/>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b w:val="0"/>
        </w:rPr>
      </w:pPr>
      <w:r>
        <w:rPr>
          <w:rFonts w:hint="eastAsia" w:ascii="宋体" w:hAnsi="宋体" w:eastAsia="宋体" w:cs="宋体"/>
          <w:b w:val="0"/>
          <w:bCs/>
          <w:sz w:val="44"/>
          <w:szCs w:val="44"/>
          <w:lang w:val="en-US" w:eastAsia="zh-CN" w:bidi="ar-SA"/>
        </w:rPr>
        <w:t xml:space="preserve">第二章 </w:t>
      </w:r>
      <w:r>
        <w:rPr>
          <w:rFonts w:hint="eastAsia" w:ascii="宋体" w:hAnsi="宋体" w:eastAsia="宋体" w:cs="宋体"/>
          <w:b w:val="0"/>
        </w:rPr>
        <w:t xml:space="preserve"> 供应商须知</w:t>
      </w:r>
      <w:bookmarkEnd w:id="1"/>
    </w:p>
    <w:p w14:paraId="097B231F">
      <w:pPr>
        <w:pStyle w:val="3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center"/>
        <w:textAlignment w:val="auto"/>
      </w:pPr>
      <w:r>
        <w:rPr>
          <w:rFonts w:hint="eastAsia" w:ascii="宋体" w:hAnsi="宋体" w:eastAsia="宋体" w:cs="宋体"/>
          <w:color w:val="000000"/>
          <w:sz w:val="24"/>
          <w:szCs w:val="24"/>
        </w:rPr>
        <w:t>（参加竞争性磋商的供应商以下简称“供应商”）</w:t>
      </w:r>
    </w:p>
    <w:p w14:paraId="2AFF2BA3">
      <w:pPr>
        <w:pStyle w:val="4"/>
        <w:pageBreakBefore w:val="0"/>
        <w:widowControl w:val="0"/>
        <w:kinsoku/>
        <w:wordWrap w:val="0"/>
        <w:overflowPunct/>
        <w:topLinePunct w:val="0"/>
        <w:autoSpaceDE/>
        <w:autoSpaceDN/>
        <w:bidi w:val="0"/>
        <w:adjustRightInd w:val="0"/>
        <w:snapToGrid w:val="0"/>
        <w:spacing w:before="0" w:after="0"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一、总则</w:t>
      </w:r>
    </w:p>
    <w:p w14:paraId="1AA8EF7D">
      <w:pPr>
        <w:pStyle w:val="5"/>
        <w:pageBreakBefore w:val="0"/>
        <w:widowControl w:val="0"/>
        <w:kinsoku/>
        <w:wordWrap w:val="0"/>
        <w:overflowPunct/>
        <w:topLinePunct w:val="0"/>
        <w:autoSpaceDE/>
        <w:autoSpaceDN/>
        <w:bidi w:val="0"/>
        <w:adjustRightInd w:val="0"/>
        <w:snapToGrid w:val="0"/>
        <w:spacing w:before="0" w:after="0" w:line="360" w:lineRule="auto"/>
        <w:ind w:firstLine="562"/>
        <w:jc w:val="left"/>
        <w:textAlignment w:val="auto"/>
        <w:rPr>
          <w:rFonts w:hint="eastAsia" w:ascii="宋体" w:hAnsi="宋体" w:eastAsia="宋体" w:cs="宋体"/>
          <w:sz w:val="24"/>
          <w:szCs w:val="24"/>
        </w:rPr>
      </w:pPr>
      <w:r>
        <w:rPr>
          <w:rFonts w:hint="eastAsia" w:ascii="宋体" w:hAnsi="宋体" w:eastAsia="宋体" w:cs="宋体"/>
          <w:sz w:val="24"/>
          <w:szCs w:val="24"/>
        </w:rPr>
        <w:t>1.采购方式</w:t>
      </w:r>
    </w:p>
    <w:p w14:paraId="28C3CFF4">
      <w:pPr>
        <w:pageBreakBefore w:val="0"/>
        <w:widowControl w:val="0"/>
        <w:kinsoku/>
        <w:wordWrap w:val="0"/>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 本次政府采购活动采取竞争性磋商（以下简称磋商）方式，本磋商文件仅适用于磋商公告中所述项目。</w:t>
      </w:r>
    </w:p>
    <w:p w14:paraId="2EAC3257">
      <w:pPr>
        <w:pStyle w:val="5"/>
        <w:pageBreakBefore w:val="0"/>
        <w:widowControl w:val="0"/>
        <w:kinsoku/>
        <w:wordWrap w:val="0"/>
        <w:overflowPunct/>
        <w:topLinePunct w:val="0"/>
        <w:autoSpaceDE/>
        <w:autoSpaceDN/>
        <w:bidi w:val="0"/>
        <w:adjustRightInd w:val="0"/>
        <w:snapToGrid w:val="0"/>
        <w:spacing w:before="0" w:after="0" w:line="360" w:lineRule="auto"/>
        <w:ind w:firstLine="562"/>
        <w:jc w:val="left"/>
        <w:textAlignment w:val="auto"/>
        <w:rPr>
          <w:rFonts w:hint="eastAsia" w:ascii="宋体" w:hAnsi="宋体" w:eastAsia="宋体" w:cs="宋体"/>
          <w:sz w:val="24"/>
          <w:szCs w:val="24"/>
        </w:rPr>
      </w:pPr>
      <w:r>
        <w:rPr>
          <w:rFonts w:hint="eastAsia" w:ascii="宋体" w:hAnsi="宋体" w:eastAsia="宋体" w:cs="宋体"/>
          <w:sz w:val="24"/>
          <w:szCs w:val="24"/>
        </w:rPr>
        <w:t>2.合格的供应商</w:t>
      </w:r>
    </w:p>
    <w:p w14:paraId="465EEF97">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 满足磋商公告中对申请人的资格要求的规定。</w:t>
      </w:r>
    </w:p>
    <w:p w14:paraId="2AAD29D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2.2 银行、保险、石油石化、电力、电信等特殊行业法人的分支机构（不具有独立的法人资格）参加本项目政府采购活动的，应当提供总公司出具的愿为其参与政府采购活动以及履约行为承担民事责任的承诺书（或授权书）。</w:t>
      </w:r>
    </w:p>
    <w:p w14:paraId="2D5AD269">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2.3 满足本磋商文件全部实质性要求和条件的规定。</w:t>
      </w:r>
    </w:p>
    <w:p w14:paraId="52BBCAD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2.4 符合上述条件的供应商应承担参与磋商采购及履约过程中应承担的全部责任与义务。</w:t>
      </w:r>
    </w:p>
    <w:p w14:paraId="718CBF34">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3.适用法律</w:t>
      </w:r>
    </w:p>
    <w:p w14:paraId="7AEEC1A8">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3.1 本次磋商采购及由此产生的合同受中华人民共和国有关的法律法规制约和保护。</w:t>
      </w:r>
    </w:p>
    <w:p w14:paraId="092B7B40">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4.磋商费用</w:t>
      </w:r>
    </w:p>
    <w:p w14:paraId="6112A3AE">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4.1 供应商应自行承担所有与参加磋商采购活动有关的费用，无论磋商采购过程中的做法和结果如何，采购人和代理机构在任何情况下均无义务和责任承担这些费用。</w:t>
      </w:r>
    </w:p>
    <w:p w14:paraId="1BFB9912">
      <w:pPr>
        <w:pageBreakBefore w:val="0"/>
        <w:kinsoku/>
        <w:wordWrap w:val="0"/>
        <w:overflowPunct/>
        <w:topLinePunct w:val="0"/>
        <w:bidi w:val="0"/>
        <w:adjustRightInd w:val="0"/>
        <w:snapToGrid w:val="0"/>
        <w:spacing w:line="360" w:lineRule="auto"/>
        <w:ind w:firstLine="480"/>
        <w:jc w:val="left"/>
        <w:rPr>
          <w:rFonts w:hint="default" w:ascii="宋体" w:hAnsi="宋体" w:eastAsia="宋体" w:cs="宋体"/>
          <w:sz w:val="24"/>
          <w:szCs w:val="24"/>
          <w:lang w:val="en-US" w:eastAsia="zh-CN"/>
        </w:rPr>
      </w:pPr>
      <w:r>
        <w:rPr>
          <w:rFonts w:hint="eastAsia" w:ascii="宋体" w:hAnsi="宋体" w:eastAsia="宋体" w:cs="宋体"/>
          <w:sz w:val="24"/>
          <w:szCs w:val="24"/>
        </w:rPr>
        <w:t>4.2 本次磋商采购代理服务费根据苏招协〔2022〕2号文规定标准的40%计取。以上费用均由中标人在领取中标通知书时一次性支付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支付方式：电汇、现金、网银。</w:t>
      </w:r>
    </w:p>
    <w:p w14:paraId="32AF971C">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5.磋商文件的约束力</w:t>
      </w:r>
    </w:p>
    <w:p w14:paraId="5DE7043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5.1 供应商一旦参加本项目采购活动，即被认为接受了本磋商文件的规定和约束。</w:t>
      </w:r>
    </w:p>
    <w:p w14:paraId="06B98B47">
      <w:pPr>
        <w:pStyle w:val="4"/>
        <w:pageBreakBefore w:val="0"/>
        <w:kinsoku/>
        <w:wordWrap w:val="0"/>
        <w:overflowPunct/>
        <w:topLinePunct w:val="0"/>
        <w:bidi w:val="0"/>
        <w:adjustRightInd w:val="0"/>
        <w:snapToGrid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二、磋商文件</w:t>
      </w:r>
    </w:p>
    <w:p w14:paraId="186919E4">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6.磋商文件的构成</w:t>
      </w:r>
    </w:p>
    <w:p w14:paraId="0D79110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6.1 磋商文件由以下部分构成：</w:t>
      </w:r>
    </w:p>
    <w:p w14:paraId="2C6D46B4">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（1）磋商邀请</w:t>
      </w:r>
    </w:p>
    <w:p w14:paraId="2D68FD5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（2）供应商须知</w:t>
      </w:r>
    </w:p>
    <w:p w14:paraId="3360863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（3）合同文本</w:t>
      </w:r>
    </w:p>
    <w:p w14:paraId="0B931612">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（4）采购需求</w:t>
      </w:r>
    </w:p>
    <w:p w14:paraId="0A124054">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（5）评审方法与评审标准</w:t>
      </w:r>
    </w:p>
    <w:p w14:paraId="7A9E77C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（6）响应文件格式</w:t>
      </w:r>
    </w:p>
    <w:p w14:paraId="1600A2C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请仔细检查磋商文件是否齐全，如有缺漏请立即与代理机构联系解决。</w:t>
      </w:r>
    </w:p>
    <w:p w14:paraId="5D9C3A02">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7.磋商文件的澄清</w:t>
      </w:r>
    </w:p>
    <w:p w14:paraId="35BCB679">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7.1 任何要求对磋商文件进行澄清的供应商，应在提交响应文件截止时间五日前按磋商公告中的通讯地址，以书面形式通知采购人或者代理机构。</w:t>
      </w:r>
    </w:p>
    <w:p w14:paraId="7C900629">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8.磋商文件的修改</w:t>
      </w:r>
    </w:p>
    <w:p w14:paraId="3BBF0D3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8.1 在响应文件提交截止时间前，采购人和代理机构可以对磋商文件进行修改。</w:t>
      </w:r>
    </w:p>
    <w:p w14:paraId="538E0FFF">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8.2 采购人和代理机构有权按照法定的要求推迟提交响应文件截止时间和开启时间。</w:t>
      </w:r>
    </w:p>
    <w:p w14:paraId="09A24709">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8.3 磋商文件的修改将在江苏政府采购网公布，补充文件将作为磋商文件的组成部分，并对供应商具有约束力。</w:t>
      </w:r>
    </w:p>
    <w:p w14:paraId="320FDDDA">
      <w:pPr>
        <w:pStyle w:val="4"/>
        <w:pageBreakBefore w:val="0"/>
        <w:kinsoku/>
        <w:wordWrap w:val="0"/>
        <w:overflowPunct/>
        <w:topLinePunct w:val="0"/>
        <w:bidi w:val="0"/>
        <w:adjustRightInd w:val="0"/>
        <w:snapToGrid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三、响应文件编制</w:t>
      </w:r>
    </w:p>
    <w:p w14:paraId="56B562FA">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9.响应文件编写注意事项</w:t>
      </w:r>
    </w:p>
    <w:p w14:paraId="65D1708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9.1 供应商应当仔细阅读磋商文件中所有的事项、格式、条款和规范等要求，在完全了解采购内容、技术性能要求和商务条件后，按照磋商文件的要求编制响应文件。响应文件应当对磋商文件提出的要求和条件作出明确响应，并保证所提供的全部资料的真实性，否则作无效响应处理。</w:t>
      </w:r>
    </w:p>
    <w:p w14:paraId="4B9A0148">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9.2 对磋商文件提出的实质性要求和条件作出响应是指供应商必须对磋商文件中标明实质性要求和条件的技术参数及性能配置、数量、价格、售后服务、合同主要条款及其它要求等内容逐条作出满足原要求和条件的响应。</w:t>
      </w:r>
    </w:p>
    <w:p w14:paraId="0A7232DD">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10.响应文件的语言及度量衡单位</w:t>
      </w:r>
    </w:p>
    <w:p w14:paraId="33AF829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10.1 除专用术语外，供应商提交的响应文件以及供应商与采购人和代理机构就有关磋商采购活动的所有来往通知、函件和文件均应使用简体中文。必要时专用术语应附有中文解释。供应商提交的支持资料和已印制的文献可以使用外文，但相应内容应附有中文翻译本，在解释响应文件时以中文翻译本为准。未附中文翻译本或翻译本中文内容明显与外文内容不一致的，其不利后果由供应商自行承担。</w:t>
      </w:r>
    </w:p>
    <w:p w14:paraId="2D40980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10.2 除技术性能另有规定外，响应文件所使用的度量衡单位，均须采用国家法定计量单位。</w:t>
      </w:r>
    </w:p>
    <w:p w14:paraId="4C69084D">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11.响应文件的构成</w:t>
      </w:r>
    </w:p>
    <w:p w14:paraId="65504DFE">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11.1 供应商编写的响应文件应包括资格证明文件、符合性证明文件、分项报价表、技术要求响应及偏离表（如有请提供）、商务要求响应及偏离表、其他证明文件、磋商响应函等部分。</w:t>
      </w:r>
    </w:p>
    <w:p w14:paraId="42766E18">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11.2 如响应文件制作工具中格式和内容与江苏政府采购网发布的磋商文件不一致，请以江苏政府采购网发布的磋商文件为准。</w:t>
      </w:r>
    </w:p>
    <w:p w14:paraId="51FF1F0E">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11.3 特别提醒供应商，混乱的编排导致响应文件被误读或竞争性磋商小组（以下简称磋商小组）查找不到有效文件是供应商的风险。</w:t>
      </w:r>
    </w:p>
    <w:p w14:paraId="2A334974">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12.证明供应商及响应标的符合磋商文件规定的文件</w:t>
      </w:r>
    </w:p>
    <w:p w14:paraId="5E49039F">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12.1 供应商应按照磋商文件要求提交证明文件，证明其及响应标的符合磋商文件规定。</w:t>
      </w:r>
    </w:p>
    <w:p w14:paraId="0646477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12.2 磋商文件对证明文件无明确形式要求的，证明文件可以以文字资料、图纸和数据等形式提交。</w:t>
      </w:r>
    </w:p>
    <w:p w14:paraId="1B857188">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12.3 供应商委托代理时应当提交授权委托书，请按磋商文件第六章给定格式及要求填写并附法定代表人（单位负责人）与委托代理人身份证明。</w:t>
      </w:r>
    </w:p>
    <w:p w14:paraId="2FE74E65">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13.分项报价表</w:t>
      </w:r>
    </w:p>
    <w:p w14:paraId="52F504F8">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13.1 供应商应根据响应报价要求在分项报价表中列明各项单价、总价等，未全部列示的作无效响应处理。</w:t>
      </w:r>
    </w:p>
    <w:p w14:paraId="32EF6C6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13.2 响应文件中的单价和总价无特殊规定的采用人民币报价，以元为单位标注。磋商文件中另有规定的按规定执行。</w:t>
      </w:r>
    </w:p>
    <w:p w14:paraId="75E1CDFB">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14.技术要求响应及偏离表、商务要求响应及偏离表</w:t>
      </w:r>
    </w:p>
    <w:p w14:paraId="2797D81F">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14.1 技术要求是指对采购标的的功能和质量要求，包括性能、材料、结构、外观、安全，或者服务内容和标准等。商务要求是指取得采购标的的时间、地点、财务和服务要求，包括交付（实施）的时间（期限）和地点（范围），付款条件（进度和方式），包装和运输，售后服务，保险等。供应商需对磋商文件中的技术要求与商务要求逐项作出响应或偏离。</w:t>
      </w:r>
    </w:p>
    <w:p w14:paraId="17E0E477">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14.2 供应商可在响应文件中提供认为需要的其他技术文件或说明。</w:t>
      </w:r>
    </w:p>
    <w:p w14:paraId="43119BA0">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15.服务承诺、培训计划、人员安排及其他</w:t>
      </w:r>
    </w:p>
    <w:p w14:paraId="62EBD7F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15.1 供应商需根据磋商文件要求提供有关售后服务的管理制度，售后服务机构的分布情况，售后服务人员的数量、素质、技术水平及售后服务的反应能力等。</w:t>
      </w:r>
    </w:p>
    <w:p w14:paraId="1FF5821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15.2 供应商需根据磋商文件要求提供培训计划、人员安排等。</w:t>
      </w:r>
    </w:p>
    <w:p w14:paraId="02F62B37">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15.3 供应商需根据磋商文件要求提供响应标的的主要组成部分、功能设计、实现思路及关键技术等。</w:t>
      </w:r>
    </w:p>
    <w:p w14:paraId="422B585F">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16.磋商响应函</w:t>
      </w:r>
    </w:p>
    <w:p w14:paraId="1B0715B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16.1 供应商应按照磋商文件中提供的格式完整、正确填写磋商响应函。</w:t>
      </w:r>
    </w:p>
    <w:p w14:paraId="53318B92">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17.磋商有效期</w:t>
      </w:r>
    </w:p>
    <w:p w14:paraId="6196FFB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17.1 磋商有效期为磋商文件规定的开启之日后六十（60）天。磋商有效期比规定短的将被视为未实质性响应磋商文件而予以拒绝。</w:t>
      </w:r>
    </w:p>
    <w:p w14:paraId="1AF389B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17.2 在特殊情况下，代理机构于原磋商有效期满之前，可向供应商提出延长磋商有效期的要求。这种要求与答复均应采用书面形式。供应商可以拒绝代理机构的这一要求而放弃磋商响应，同意延长磋商有效期的供应商既不能要求也不允许修改其响应文件。受磋商有效期约束的所有权利与义务均延长至新的有效期。</w:t>
      </w:r>
    </w:p>
    <w:p w14:paraId="59847254">
      <w:pPr>
        <w:pStyle w:val="4"/>
        <w:pageBreakBefore w:val="0"/>
        <w:kinsoku/>
        <w:wordWrap w:val="0"/>
        <w:overflowPunct/>
        <w:topLinePunct w:val="0"/>
        <w:bidi w:val="0"/>
        <w:adjustRightInd w:val="0"/>
        <w:snapToGrid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四、响应文件提交</w:t>
      </w:r>
    </w:p>
    <w:p w14:paraId="4E481F86">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18.电子响应文件的提交</w:t>
      </w:r>
    </w:p>
    <w:p w14:paraId="02F57EF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18.1 供应商应当按照《操作手册》规定，在响应文件提交截止时间前制作并提交（上传）电子响应文件。</w:t>
      </w:r>
    </w:p>
    <w:p w14:paraId="0B1ADBB9">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19.提交响应文件截止时间</w:t>
      </w:r>
    </w:p>
    <w:p w14:paraId="00CF84D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19.1 供应商提交（上传）电子响应文件的时间不得迟于磋商公告中规定的截止时间。</w:t>
      </w:r>
    </w:p>
    <w:p w14:paraId="5C788C7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供应商应充分考虑计算机硬件、软件及网络环境等风险因素，如因供应商自身原因造成电子响应文件提交（上传）不成功的按照本磋商文件第二章第29.1条规定作无效响应处理。</w:t>
      </w:r>
    </w:p>
    <w:p w14:paraId="48AB891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19.2 采购人和代理机构可以按照规定，通过修改磋商文件酌情延长响应文件提交截止时间，在此情况下，供应商的所有权利和义务以及供应商受制的截止时间均应以延长后新的截止时间为准。</w:t>
      </w:r>
    </w:p>
    <w:p w14:paraId="07AE087E">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20.响应文件的拒收</w:t>
      </w:r>
    </w:p>
    <w:p w14:paraId="13BA27A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20.1 代理机构拒绝接收在磋商文件规定的截止时间后提交（上传）的任何响应文件。</w:t>
      </w:r>
    </w:p>
    <w:p w14:paraId="6BFEEBBA">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21.响应文件的撤回和修改</w:t>
      </w:r>
    </w:p>
    <w:p w14:paraId="681E8FE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21.1 供应商可在提交（上传）响应文件截止时间前，撤回其电子响应文件，具体操作方法见《操作手册》。供应商撤回电子响应文件的，则认为其不再参与本项目采购活动。</w:t>
      </w:r>
    </w:p>
    <w:p w14:paraId="3EB10E24">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21.2 供应商可在提交（上传）响应文件截止时间前，对其电子响应文件进行修改，具体操作方法见《操作手册》。在提交（上传）响应文件截止时间之后，供应商不得对其电子响应文件做任何修改。</w:t>
      </w:r>
    </w:p>
    <w:p w14:paraId="3943F62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21.3 在提交（上传）响应文件截止时间至磋商文件中规定的磋商有效期满之间的这段时间内，供应商不得撤回其电子响应文件。</w:t>
      </w:r>
    </w:p>
    <w:p w14:paraId="4B27A837">
      <w:pPr>
        <w:pStyle w:val="4"/>
        <w:pageBreakBefore w:val="0"/>
        <w:kinsoku/>
        <w:wordWrap w:val="0"/>
        <w:overflowPunct/>
        <w:topLinePunct w:val="0"/>
        <w:bidi w:val="0"/>
        <w:adjustRightInd w:val="0"/>
        <w:snapToGrid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五、响应文件开启（解密）与评审</w:t>
      </w:r>
    </w:p>
    <w:p w14:paraId="6FCFF0D2">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22.响应文件开启（解密）</w:t>
      </w:r>
    </w:p>
    <w:p w14:paraId="6AD7420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22.1 代理机构将在磋商公告中规定的时间和地点组织响应文件开启。供应商应当按时参加，并在“苏采云”系统规定的时间内对电子响应文件进行解密。</w:t>
      </w:r>
    </w:p>
    <w:p w14:paraId="67B564F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22.2 供应商在开启（解密）过程中涉及的响应文件解密、开启结果确认等工作，应当按照《操作手册》规定执行。</w:t>
      </w:r>
    </w:p>
    <w:p w14:paraId="35C6452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22.5 供应商未参加开启（解密）的，视同认可开启（解密）结果。</w:t>
      </w:r>
    </w:p>
    <w:p w14:paraId="5BFA6C47">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22.6 供应商在开启（解密）、澄清、磋商、最后报价、评审全过程中应保持通信畅通，及时登录“苏采云”系统查阅、答复相关信息，并安排专人与代理机构及磋商小组联系。</w:t>
      </w:r>
    </w:p>
    <w:p w14:paraId="033C9F53">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23.磋商小组</w:t>
      </w:r>
    </w:p>
    <w:p w14:paraId="29DE005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23.1 响应文件开启（解密）后，代理机构将组织磋商小组进行评审。</w:t>
      </w:r>
    </w:p>
    <w:p w14:paraId="419DA84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23.2 磋商小组由采购人代表和有关技术、经济等方面的评审专家组成，且人员构成符合政府采购有关规定。</w:t>
      </w:r>
    </w:p>
    <w:p w14:paraId="31767E14">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23.3 磋商小组按照磋商文件规定的评审程序、评审方法和评审标准进行独立评审并确定成交候选人。</w:t>
      </w:r>
    </w:p>
    <w:p w14:paraId="29D94CF9">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24.评审过程的保密与公正</w:t>
      </w:r>
    </w:p>
    <w:p w14:paraId="3AD43E0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24.1 凡是与审查、澄清、评价和比较有关的资料以及成交建议等，采购人、评审专家、代理机构均不得向供应商或与评审无关的其他人员透露。</w:t>
      </w:r>
    </w:p>
    <w:p w14:paraId="1C7F471F">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24.2 在评审过程中，供应商不得以任何行为影响评审过程，否则其响应文件将被作为无效响应文件。</w:t>
      </w:r>
    </w:p>
    <w:p w14:paraId="12858EB2">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24.3 代理机构和磋商小组不向未成交的供应商解释未成交原因，也不公布评审过程中的相关细节。</w:t>
      </w:r>
    </w:p>
    <w:p w14:paraId="23579744">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25.响应文件的澄清</w:t>
      </w:r>
    </w:p>
    <w:p w14:paraId="2B0ED49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25.1 评审期间，磋商小组对响应文件中含义不明确、同类问题表述不一致或者有明显文字和计算错误的内容，有权要求供应商作出必要的澄清、说明或者补正。</w:t>
      </w:r>
    </w:p>
    <w:p w14:paraId="218402E2">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供应商的澄清、说明或者补正应当采用书面形式，并加盖公章，或者由法定代表人（单位负责人）或其授权的代表签字。供应商的澄清、说明或者补正不得超出响应文件的范围或者改变响应文件的实质性内容。</w:t>
      </w:r>
    </w:p>
    <w:p w14:paraId="1E42513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磋商小组并非对每个供应商都提出澄清、说明或者补正要求。</w:t>
      </w:r>
    </w:p>
    <w:p w14:paraId="16FECEA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25.2 需要供应商进行澄清、说明或者补正的，磋商小组将通过“苏采云”系统向供应商发出“澄清要求函”，接到“澄清要求函”的供应商应当按照要求在“苏采云”系统中提交“澄清响应函”并加盖CA电子公章。澄清、说明或者补正的内容作为响应文件的补充部分，具体操作方法见《操作手册》。</w:t>
      </w:r>
    </w:p>
    <w:p w14:paraId="64DE8457">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25.3 接到磋商小组澄清、说明或者补正要求的供应商如未按要求响应，其风险由供应商自行承担。</w:t>
      </w:r>
    </w:p>
    <w:p w14:paraId="6F5112C5">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26.对响应文件的初审</w:t>
      </w:r>
    </w:p>
    <w:p w14:paraId="74910EAE">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26.1 响应文件初审分为资格审查和符合性审查。</w:t>
      </w:r>
    </w:p>
    <w:p w14:paraId="4071D00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（1）资格审查：磋商小组依据法律法规和磋商文件的规定，对响应文件中的资格证明文件进行审查，以确定供应商是否具备参加磋商采购的资格。</w:t>
      </w:r>
    </w:p>
    <w:p w14:paraId="0A2D8AE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磋商小组在进行资格审查的同时，将在信用中国网站（www.creditchina.gov.cn）、中国政府采购网（www.ccgp.gov.cn）查询供应商的信用记录，以确定供应商是否具备参加磋商资格，查询结果留存并归档。</w:t>
      </w:r>
    </w:p>
    <w:p w14:paraId="3302B9E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接受联合体的项目，两个以上的自然人、法人或者其他组织组成一个联合体，以一个供应商的身份共同参加政府采购活动的，联合体成员中任何一方存在不良信用记录的，视同联合体存在不良信用记录。</w:t>
      </w:r>
    </w:p>
    <w:p w14:paraId="5D192AD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（2）符合性审查：磋商小组依据磋商文件的规定，从响应文件的有效性、完整性和对磋商文件的响应程度进行审查，以确定其是否对磋商文件的实质性要求作出响应。</w:t>
      </w:r>
    </w:p>
    <w:p w14:paraId="1259171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未通过资格审查或符合性审查的供应商，将在“苏采云”系统中告知其未通过资格审查或符合性审查的原因，评审结束后，将不再告知。</w:t>
      </w:r>
    </w:p>
    <w:p w14:paraId="0849BFF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26.2 在磋商之前，磋商小组将首先审查每份响应文件是否实质性响应了磋商文件的要求。实质性响应的文件应当与磋商文件要求的全部条款、条件和规格相符，没有重大偏离或保留。</w:t>
      </w:r>
    </w:p>
    <w:p w14:paraId="7490760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所谓重大偏离或保留是指与磋商文件规定的实质性要求存在负偏离，或者在实质上与磋商文件不一致，而且限制了合同中买方和代理机构的权利或供应商的义务，纠正这些偏离或保留将会对其他实质性响应要求的供应商的竞争地位产生不公正的影响。重大偏离的认定需经过磋商小组以少数服从多数的原则作出结论。磋商小组决定响应文件的响应性只根据响应文件本身的内容，而不寻求外部的证据。</w:t>
      </w:r>
    </w:p>
    <w:p w14:paraId="06CBAB5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26.3 如果响应文件实质上没有响应磋商文件的要求，磋商小组将予以拒绝，供应商不得通过修改或撤销不符合要求的偏离或保留而使其成为实质性响应。</w:t>
      </w:r>
    </w:p>
    <w:p w14:paraId="7BB764E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26.4评委会将对确定为实质性响应的供应商进行进一步审核，看其是否有计算上或累加上的算术错误，修正错误的原则如下：</w:t>
      </w:r>
    </w:p>
    <w:p w14:paraId="1CE2E637">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（1）响应文件中开标一览表内容与响应文件中相应内容不一致的，以开标一览表为准。</w:t>
      </w:r>
    </w:p>
    <w:p w14:paraId="07B95E09">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（2）大写金额和小写金额不一致的，以大写金额为准。</w:t>
      </w:r>
    </w:p>
    <w:p w14:paraId="3C32BA57">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（3）单价金额小数点或者百分比有明显错位的，以开标一览表的总价为准，并修改单价。</w:t>
      </w:r>
    </w:p>
    <w:p w14:paraId="6F0B9832">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（4）总价金额与按单价汇总金额不一致的，以单价金额计算结果为准。</w:t>
      </w:r>
    </w:p>
    <w:p w14:paraId="468C93E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同时出现两种以上错误的，按照前款规定的顺序修正。</w:t>
      </w:r>
    </w:p>
    <w:p w14:paraId="554B7C5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评委会将按上述修正错误的方法调整响应文件中的响应报价，并通过“苏采云”系统告知供应商，调整后的价格对供应商具有约束力。如果供应商不接受修正后的价格，则其响应将被拒绝。</w:t>
      </w:r>
    </w:p>
    <w:p w14:paraId="36380605">
      <w:pPr>
        <w:pStyle w:val="3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bidi w:val="0"/>
        <w:adjustRightInd w:val="0"/>
        <w:snapToGrid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color w:val="000000"/>
          <w:sz w:val="24"/>
          <w:szCs w:val="24"/>
        </w:rPr>
        <w:t>26.5 采用综合评分法的采购项目，提供相同品牌产品且通过资格审查、符合性审查的不同投标人参加同一合同项下投标的，按一家投标人计算，评审后得分最高的同品牌投标人获得中标人推荐资格；评审得分相同的，由评委会按照招标文件规定的方式确定一个投标人获得中标人推荐资格，招标文件未规定的采取随机抽取方式确定，其他同品牌投标人不作为中标候选人。</w:t>
      </w:r>
    </w:p>
    <w:p w14:paraId="7D9769FB">
      <w:pPr>
        <w:pStyle w:val="3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bidi w:val="0"/>
        <w:adjustRightInd w:val="0"/>
        <w:snapToGrid w:val="0"/>
        <w:spacing w:before="0" w:beforeAutospacing="0" w:after="0" w:afterAutospacing="0" w:line="360" w:lineRule="auto"/>
        <w:ind w:left="0" w:firstLine="480"/>
        <w:jc w:val="both"/>
        <w:rPr>
          <w:rFonts w:hint="eastAsia" w:ascii="宋体" w:hAnsi="宋体" w:eastAsia="宋体" w:cs="宋体"/>
          <w:sz w:val="24"/>
          <w:szCs w:val="24"/>
        </w:rPr>
      </w:pPr>
      <w:r>
        <w:rPr>
          <w:rFonts w:hint="eastAsia" w:ascii="宋体" w:hAnsi="宋体" w:eastAsia="宋体" w:cs="宋体"/>
          <w:color w:val="000000"/>
          <w:sz w:val="24"/>
          <w:szCs w:val="24"/>
        </w:rPr>
        <w:t>26.6 政府采购异常低价审查：</w:t>
      </w:r>
    </w:p>
    <w:p w14:paraId="2CA0429C">
      <w:pPr>
        <w:pStyle w:val="3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bidi w:val="0"/>
        <w:adjustRightInd w:val="0"/>
        <w:snapToGrid w:val="0"/>
        <w:spacing w:before="0" w:beforeAutospacing="0" w:after="0" w:afterAutospacing="0" w:line="360" w:lineRule="auto"/>
        <w:ind w:left="0" w:firstLine="480"/>
        <w:jc w:val="both"/>
        <w:rPr>
          <w:rFonts w:hint="eastAsia" w:ascii="宋体" w:hAnsi="宋体" w:eastAsia="宋体" w:cs="宋体"/>
          <w:sz w:val="24"/>
          <w:szCs w:val="24"/>
        </w:rPr>
      </w:pPr>
      <w:r>
        <w:rPr>
          <w:rFonts w:hint="eastAsia" w:ascii="宋体" w:hAnsi="宋体" w:eastAsia="宋体" w:cs="宋体"/>
          <w:color w:val="000000"/>
          <w:sz w:val="24"/>
          <w:szCs w:val="24"/>
        </w:rPr>
        <w:t>（1）评审过程中出现下列情形之一的，磋商小组应当启动异常低价投标（响应）审查程序：</w:t>
      </w:r>
    </w:p>
    <w:p w14:paraId="0DDBC80C">
      <w:pPr>
        <w:pStyle w:val="3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bidi w:val="0"/>
        <w:adjustRightInd w:val="0"/>
        <w:snapToGrid w:val="0"/>
        <w:spacing w:before="0" w:beforeAutospacing="0" w:after="0" w:afterAutospacing="0" w:line="360" w:lineRule="auto"/>
        <w:ind w:left="0" w:firstLine="480"/>
        <w:jc w:val="both"/>
        <w:rPr>
          <w:rFonts w:hint="eastAsia" w:ascii="宋体" w:hAnsi="宋体" w:eastAsia="宋体" w:cs="宋体"/>
          <w:sz w:val="24"/>
          <w:szCs w:val="24"/>
        </w:rPr>
      </w:pPr>
      <w:r>
        <w:rPr>
          <w:rFonts w:hint="eastAsia" w:ascii="宋体" w:hAnsi="宋体" w:eastAsia="宋体" w:cs="宋体"/>
          <w:color w:val="000000"/>
          <w:sz w:val="24"/>
          <w:szCs w:val="24"/>
        </w:rPr>
        <w:t>①投标（响应）报价低于采购项目预算50%的，即投标（响应）报价&lt;采购项目预算×50%；</w:t>
      </w:r>
    </w:p>
    <w:p w14:paraId="40C85BCA">
      <w:pPr>
        <w:pStyle w:val="3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bidi w:val="0"/>
        <w:adjustRightInd w:val="0"/>
        <w:snapToGrid w:val="0"/>
        <w:spacing w:before="0" w:beforeAutospacing="0" w:after="0" w:afterAutospacing="0" w:line="360" w:lineRule="auto"/>
        <w:ind w:left="0" w:firstLine="480"/>
        <w:jc w:val="both"/>
        <w:rPr>
          <w:rFonts w:hint="eastAsia" w:ascii="宋体" w:hAnsi="宋体" w:eastAsia="宋体" w:cs="宋体"/>
          <w:sz w:val="24"/>
          <w:szCs w:val="24"/>
        </w:rPr>
      </w:pPr>
      <w:r>
        <w:rPr>
          <w:rFonts w:hint="eastAsia" w:ascii="宋体" w:hAnsi="宋体" w:eastAsia="宋体" w:cs="宋体"/>
          <w:color w:val="000000"/>
          <w:sz w:val="24"/>
          <w:szCs w:val="24"/>
        </w:rPr>
        <w:t>②投标（响应）报价低于采购项目最高限价45%的，即投标（响应）报价&lt;采购项目最高限价×45%；</w:t>
      </w:r>
    </w:p>
    <w:p w14:paraId="3477B7CB">
      <w:pPr>
        <w:pStyle w:val="3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bidi w:val="0"/>
        <w:adjustRightInd w:val="0"/>
        <w:snapToGrid w:val="0"/>
        <w:spacing w:before="0" w:beforeAutospacing="0" w:after="0" w:afterAutospacing="0" w:line="360" w:lineRule="auto"/>
        <w:ind w:left="0" w:firstLine="480"/>
        <w:rPr>
          <w:rFonts w:hint="eastAsia" w:ascii="宋体" w:hAnsi="宋体" w:eastAsia="宋体" w:cs="宋体"/>
          <w:sz w:val="24"/>
          <w:szCs w:val="24"/>
        </w:rPr>
      </w:pPr>
      <w:r>
        <w:rPr>
          <w:rFonts w:hint="eastAsia" w:ascii="宋体" w:hAnsi="宋体" w:eastAsia="宋体" w:cs="宋体"/>
          <w:color w:val="000000"/>
          <w:sz w:val="24"/>
          <w:szCs w:val="24"/>
        </w:rPr>
        <w:t>③磋商小组认定的供应商报价过低、有可能影响产品质量或者不能诚信履约的其他情形。</w:t>
      </w:r>
    </w:p>
    <w:p w14:paraId="34D25FF9">
      <w:pPr>
        <w:pStyle w:val="3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bidi w:val="0"/>
        <w:adjustRightInd w:val="0"/>
        <w:snapToGrid w:val="0"/>
        <w:spacing w:before="0" w:beforeAutospacing="0" w:after="0" w:afterAutospacing="0" w:line="360" w:lineRule="auto"/>
        <w:ind w:left="0" w:firstLine="480"/>
        <w:rPr>
          <w:rFonts w:hint="eastAsia" w:ascii="宋体" w:hAnsi="宋体" w:eastAsia="宋体" w:cs="宋体"/>
          <w:sz w:val="24"/>
          <w:szCs w:val="24"/>
        </w:rPr>
      </w:pPr>
      <w:r>
        <w:rPr>
          <w:rFonts w:hint="eastAsia" w:ascii="宋体" w:hAnsi="宋体" w:eastAsia="宋体" w:cs="宋体"/>
          <w:color w:val="000000"/>
          <w:sz w:val="24"/>
          <w:szCs w:val="24"/>
        </w:rPr>
        <w:t>（2）启动异常低价投标（响应）审查后，磋商小组应当要求相关供应商在评标现场合理的时间内，提供项目具体成本测算等与报价合理性相关的书面说明及相关证明材料，对投标（响应）价格作出解释，由磋商小组结合同类产品在主要电商平台的价格、该行业当地薪资水平等情况，依据专业经验对供应商报价合理性进行判断。投标（响应）供应商不提供书面说明、证明材料，或者提供的书面说明、证明材料不能证明其报价合理性的，磋商小组应当将其作为无效投标（响应）处理。审查相关情况应当在评审报告中进行记录。</w:t>
      </w:r>
    </w:p>
    <w:p w14:paraId="0320FCF2">
      <w:pPr>
        <w:pStyle w:val="3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bidi w:val="0"/>
        <w:adjustRightInd w:val="0"/>
        <w:snapToGrid w:val="0"/>
        <w:spacing w:before="0" w:beforeAutospacing="0" w:after="0" w:afterAutospacing="0" w:line="360" w:lineRule="auto"/>
        <w:ind w:left="0" w:firstLine="480"/>
        <w:rPr>
          <w:rFonts w:hint="eastAsia" w:ascii="宋体" w:hAnsi="宋体" w:eastAsia="宋体" w:cs="宋体"/>
          <w:sz w:val="24"/>
          <w:szCs w:val="24"/>
        </w:rPr>
      </w:pPr>
      <w:r>
        <w:rPr>
          <w:rFonts w:hint="eastAsia" w:ascii="宋体" w:hAnsi="宋体" w:eastAsia="宋体" w:cs="宋体"/>
          <w:color w:val="000000"/>
          <w:sz w:val="24"/>
          <w:szCs w:val="24"/>
        </w:rPr>
        <w:t>评委会将书面方式要求其在合理的时间内提供书面说明、证明材料。供应商可在投标（响应）文件中提供项目具体成本测算等与报价合理性相关的书面说明及相关证明材料，对投标（响应）价格作出解释，便于评审。</w:t>
      </w:r>
    </w:p>
    <w:p w14:paraId="2D04DAFB">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27.磋商程序</w:t>
      </w:r>
    </w:p>
    <w:p w14:paraId="7F3F7E21">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27.1 对于通过资格审查和符合性审查的供应商，磋商小组将集中与单一供应商分别进行磋商。</w:t>
      </w:r>
    </w:p>
    <w:p w14:paraId="2E8C624F">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在磋商过程中，磋商小组可能根据磋商文件和磋商情况实质性变动的内容有：采购需求中的技术、服务要求以及合同草案条款。对磋商文件作出的实质性变动是磋商文件的有效组成部分，磋商小组将通过“苏采云”系统向供应商发出“磋商函”。供应商应当按照磋商文件的变动情况和磋商小组的要求在“苏采云”系统提交“磋商响应函”，并加盖CA电子公章。供应商未按照要求作出响应的视为放弃磋商，其响应文件按无效响应处理。</w:t>
      </w:r>
    </w:p>
    <w:p w14:paraId="687D5E3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已提交响应文件的供应商，在提交最后报价之前，可以根据磋商情况退出磋商采购，应在“苏采云”系统中提交“退出磋商函”并加盖CA电子公章。</w:t>
      </w:r>
    </w:p>
    <w:p w14:paraId="66F1D03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27.2 磋商文件能够详细列明采购标的的技术、服务要求的，磋商结束后，磋商小组将在“苏采云”系统向所有实质性响应的供应商发出“最后报价要求函”及最后报价格式表，要求所有实质性响应的供应商在规定的时间内提交最后报价。</w:t>
      </w:r>
    </w:p>
    <w:p w14:paraId="565FFD5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磋商文件不能详细列明采购标的的技术、服务要求，需经磋商由供应商提供最终设计方案或解决方案的，磋商结束后，磋商小组将按照少数服从多数的原则投票推荐3家以上供应商的设计方案或者解决方案，并在“苏采云”系统中向其发出“最后报价要求函”及最后报价格式表，要求其在规定的时间内提交最后报价。</w:t>
      </w:r>
    </w:p>
    <w:p w14:paraId="655507D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最后报价格式表须加盖CA电子公章，否则视为未提交最后报价。</w:t>
      </w:r>
    </w:p>
    <w:p w14:paraId="3B3170FF">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供应商未在磋商小组规定的时间内在“苏采云”系统中提交最后报价的视为放弃磋商，其响应文件按无效响应处理。</w:t>
      </w:r>
    </w:p>
    <w:p w14:paraId="00CB9AAF">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28.评审方法与评审标准</w:t>
      </w:r>
    </w:p>
    <w:p w14:paraId="6A790478">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28.1 评审方法。详见本磋商文件第五章。</w:t>
      </w:r>
    </w:p>
    <w:p w14:paraId="5040947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28.2 评审标准。详见本磋商文件第五章。</w:t>
      </w:r>
    </w:p>
    <w:p w14:paraId="009C9420">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29.未实质性响应磋商文件的情形和采购活动终止</w:t>
      </w:r>
    </w:p>
    <w:p w14:paraId="761213E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29.1 未实质性响应磋商文件的情形：</w:t>
      </w:r>
    </w:p>
    <w:p w14:paraId="2DA7706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（1）供应商未按照磋商文件要求提交（上传）电子响应文件的。</w:t>
      </w:r>
    </w:p>
    <w:p w14:paraId="54026C72">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（2）供应商在“苏采云”系统规定的时间内未成功解密电子响应文件的。</w:t>
      </w:r>
    </w:p>
    <w:p w14:paraId="741110B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（3）供应商不具备磋商文件中规定的资格要求的。</w:t>
      </w:r>
    </w:p>
    <w:p w14:paraId="69E0C24E">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供应商被信用中国网站（www.creditchina.gov.cn）、中国政府采购网（www.ccgp.gov.cn）列入失信被执行人、重大税收违法案件当事人名单、政府采购严重违法失信行为记录名单及其他不符合《中华人民共和国政府采购法》第二十二条规定情形的。</w:t>
      </w:r>
    </w:p>
    <w:p w14:paraId="6C064AC1">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（5）不符合磋商文件中规定的实质性要求和条件的（本磋商文件中</w:t>
      </w:r>
      <w:r>
        <w:rPr>
          <w:rFonts w:hint="eastAsia" w:ascii="宋体" w:hAnsi="宋体" w:eastAsia="宋体" w:cs="宋体"/>
          <w:b/>
          <w:bCs/>
          <w:i/>
          <w:iCs/>
          <w:sz w:val="24"/>
          <w:szCs w:val="24"/>
          <w:u w:val="single"/>
        </w:rPr>
        <w:t>斜体且有下划线部分</w:t>
      </w:r>
      <w:r>
        <w:rPr>
          <w:rFonts w:hint="eastAsia" w:ascii="宋体" w:hAnsi="宋体" w:eastAsia="宋体" w:cs="宋体"/>
          <w:sz w:val="24"/>
          <w:szCs w:val="24"/>
        </w:rPr>
        <w:t>为实质性要求和条件）。</w:t>
      </w:r>
    </w:p>
    <w:p w14:paraId="6242E08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6）本项目采购产品（如有）被财政部、国家发改委、生态环境部等列入“节能产品品目清单”“环境标志产品品目清单”强制采购范围，而供应商所响应产品不在强制采购范围内或者未按要求提供国家确定的认证机构出具的、处于有效期之内的节能产品认证证书的。</w:t>
      </w:r>
    </w:p>
    <w:p w14:paraId="41DAEE72">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（7）供应商未通过符合性审查的。</w:t>
      </w:r>
    </w:p>
    <w:p w14:paraId="2243CD9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（8）供应商未按照要求对磋商或者最后报价作出响应的。</w:t>
      </w:r>
    </w:p>
    <w:p w14:paraId="59738A48">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（9）供应商提交两个（含两个）以上不同的最后报价的。</w:t>
      </w:r>
    </w:p>
    <w:p w14:paraId="1C905D21">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（10）供应商的最后报价超过了采购预算或者最高限价的。</w:t>
      </w:r>
    </w:p>
    <w:p w14:paraId="173CF00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11）磋商小组认为供应商的最后报价明显低于其他通过符合性审查供应商的最后报价，有可能影响产品质量或者不能诚信履约的，将通过“苏采云”系统要求其在合理的时间内提供说明，必要时提交相关证明材料，供应商不能证明其报价合理性的。</w:t>
      </w:r>
    </w:p>
    <w:p w14:paraId="4BCA4842">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（12）响应文件含有采购人不能接受的附加条件的。</w:t>
      </w:r>
    </w:p>
    <w:p w14:paraId="755A596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（13）响应文件未按照磋商文件要求加盖公章（CA电子公章）的。</w:t>
      </w:r>
    </w:p>
    <w:p w14:paraId="6F47FCE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（14）其他法律法规及本磋商文件规定的属于未实质性响应磋商文件的情形。</w:t>
      </w:r>
    </w:p>
    <w:p w14:paraId="4032AA5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29.2 有下列情形之一的，视为供应商串通，响应无效：</w:t>
      </w:r>
    </w:p>
    <w:p w14:paraId="6C564421">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（1）不同供应商的响应文件由同一单位或者个人编制。</w:t>
      </w:r>
    </w:p>
    <w:p w14:paraId="7DA12F69">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（2）不同供应商委托同一单位或者个人办理磋商事宜。</w:t>
      </w:r>
    </w:p>
    <w:p w14:paraId="17423A6F">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（3）不同供应商的响应文件载明的项目管理成员或者联系人员为同一人。</w:t>
      </w:r>
    </w:p>
    <w:p w14:paraId="3EC2F85F">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（4）不同供应商的响应文件异常一致或者最后报价呈规律性差异。</w:t>
      </w:r>
    </w:p>
    <w:p w14:paraId="0862FBA7">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（5）不同供应商的响应文件相互混装。</w:t>
      </w:r>
    </w:p>
    <w:p w14:paraId="3A299194">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29.3 采购活动终止的情形：</w:t>
      </w:r>
    </w:p>
    <w:p w14:paraId="1C3DA218">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（1）因“苏采云”系统故障原因造成开启（解密）不成功的，或者在磋商文件规定的截止时间内成功解密电子响应文件的供应商不足三家的。</w:t>
      </w:r>
    </w:p>
    <w:p w14:paraId="5C4F79E9">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（2）磋商小组认定磋商文件存在歧义、重大缺陷导致评审工作无法进行的。</w:t>
      </w:r>
    </w:p>
    <w:p w14:paraId="50BF2E3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（3）除本磋商文件第二章第27.2条第三款规定的情形外，符合专业条件的供应商或者对磋商文件作实质响应的供应商不足三家的。</w:t>
      </w:r>
    </w:p>
    <w:p w14:paraId="7BA993A7">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（4）出现影响采购公正的违法、违规行为的。</w:t>
      </w:r>
    </w:p>
    <w:p w14:paraId="3B64F7B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（5）因重大变故，采购任务取消的。</w:t>
      </w:r>
    </w:p>
    <w:p w14:paraId="5749621D">
      <w:pPr>
        <w:pStyle w:val="4"/>
        <w:pageBreakBefore w:val="0"/>
        <w:kinsoku/>
        <w:wordWrap w:val="0"/>
        <w:overflowPunct/>
        <w:topLinePunct w:val="0"/>
        <w:bidi w:val="0"/>
        <w:adjustRightInd w:val="0"/>
        <w:snapToGrid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六、成交</w:t>
      </w:r>
    </w:p>
    <w:p w14:paraId="49CFEE54">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30.确定成交单位</w:t>
      </w:r>
    </w:p>
    <w:p w14:paraId="2680354E">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30.1 磋商小组根据综合评审情况，按照评审得分由高到低顺序推荐3名成交候选供应商，并编写评审报告。符合本磋商文件第二章第27.2条第三款规定情形的，可以推荐2名成交候选供应商。评审得分相同的，按照最后报价由低到高的顺序推荐。评审得分且最后报价相同的，按照技术指标优劣顺序推荐。</w:t>
      </w:r>
    </w:p>
    <w:p w14:paraId="4B03A3A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14:paraId="2FE0878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30.2 采购人从评审报告提出的成交候选供应商中，按照排序由高到低的原则确定成交供应商。采购人确定成交供应商后，代理机构将在江苏政府采购网发布成交结果公告，公告期限为1个工作日。</w:t>
      </w:r>
    </w:p>
    <w:p w14:paraId="6CEE9F5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30.3 若有充分证据证明，成交供应商存在下列情形之一的，一经查实，将被取消成交资格：</w:t>
      </w:r>
    </w:p>
    <w:p w14:paraId="592188C2">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（1）提供虚假材料谋取中标、成交的。</w:t>
      </w:r>
    </w:p>
    <w:p w14:paraId="5D3B7D7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（2）采取不正当手段诋毁、排挤其他供应商的。</w:t>
      </w:r>
    </w:p>
    <w:p w14:paraId="61B5E6A1">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（3）与采购人、其他供应商或者代理机构恶意串通的。</w:t>
      </w:r>
    </w:p>
    <w:p w14:paraId="2A7DF37F">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（4）向采购人、代理机构行贿或者提供其他不正当利益的。</w:t>
      </w:r>
    </w:p>
    <w:p w14:paraId="4331A28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（5）属于本磋商文件规定的无效情形，但在评审过程中又未被磋商小组发现的。</w:t>
      </w:r>
    </w:p>
    <w:p w14:paraId="1F37390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（6）成交后无正当理由拒不与采购人签订政府采购合同或者未按照磋商文件确定的事项签订政府采购合同的。</w:t>
      </w:r>
    </w:p>
    <w:p w14:paraId="6329E448">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（7）将政府采购合同转包的。</w:t>
      </w:r>
    </w:p>
    <w:p w14:paraId="5E07167C">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31.成交通知书</w:t>
      </w:r>
    </w:p>
    <w:p w14:paraId="7CB9F74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31.1 成交结果确定后，代理机构将向成交供应商发出成交通知书。请成交供应商在成交结果公告届满之日起30日内，登录“苏采云”系统及时领取（下载）成交通知书。因系统存储空间有限，自成交结果公告届满之日起30日后，“苏采云”系统不再保证提供下载成交通知书服务，因未及时下载造成的不利后果由成交供应商自行承担。</w:t>
      </w:r>
    </w:p>
    <w:p w14:paraId="0F53FDC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31.2 成交通知书将作为政府采购合同的一个组成部分。对采购人和成交供应商均具有法律效力。成交通知书发出后，采购人改变成交结果的，或者成交供应商放弃成交项目的，应当依法承担法律责任。</w:t>
      </w:r>
    </w:p>
    <w:p w14:paraId="42F7FE64">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31.3 成交供应商应在成交后七个工作日内，向代理机构提供四份与电子响应文件一致的纸质打印胶装响应文件，封面、骑缝需加盖公章。</w:t>
      </w:r>
    </w:p>
    <w:p w14:paraId="015DAC33">
      <w:pPr>
        <w:pStyle w:val="4"/>
        <w:pageBreakBefore w:val="0"/>
        <w:kinsoku/>
        <w:wordWrap w:val="0"/>
        <w:overflowPunct/>
        <w:topLinePunct w:val="0"/>
        <w:bidi w:val="0"/>
        <w:adjustRightInd w:val="0"/>
        <w:snapToGrid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七、授予合同</w:t>
      </w:r>
    </w:p>
    <w:p w14:paraId="59B0AC11">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32.签订合同</w:t>
      </w:r>
    </w:p>
    <w:p w14:paraId="492F687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32.1 成交供应商应当在成交通知书发出之日起三十日内，按照磋商文件和成交供应商响应文件的规定，与采购人签订政府采购合同。</w:t>
      </w:r>
    </w:p>
    <w:p w14:paraId="4FBE51A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32.2 磋商文件、成交供应商的响应文件及磋商采购过程中有关澄清、承诺、磋商响应等文件均应作为合同附件。</w:t>
      </w:r>
    </w:p>
    <w:p w14:paraId="5432E6F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32.3 签订合同后，成交供应商不得将合同标的转包。未经采购人同意，成交供应商也不得采用分包的形式履行合同，否则采购人有权终止合同。转包或分包造成采购人损失的，成交供应商应承担相应赔偿责任。</w:t>
      </w:r>
    </w:p>
    <w:p w14:paraId="3B78FFFD">
      <w:pPr>
        <w:pStyle w:val="2"/>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32.4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2596FC6">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33.合同标的的追加</w:t>
      </w:r>
    </w:p>
    <w:p w14:paraId="3495461E">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33.1 政府采购合同履行中，采购人需追加与合同标的相同的货物、工程或者服务的，在不改变合同其他条款的前提下，可以按照《中华人民共和国政府采购法》第四十九条规定，与供应商协商签订补充合同，但所有补充合同的采购金额不得超过原合同采购金额的百分之十。</w:t>
      </w:r>
    </w:p>
    <w:p w14:paraId="4690AB65">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34.政府采购履约资金扶持政策</w:t>
      </w:r>
    </w:p>
    <w:p w14:paraId="241708E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34.1 成交供应商可凭政府采购合同办理融资贷款，详情请见江苏政府采购网“政采贷”专栏。</w:t>
      </w:r>
    </w:p>
    <w:p w14:paraId="09EBEFBE">
      <w:pPr>
        <w:pStyle w:val="4"/>
        <w:pageBreakBefore w:val="0"/>
        <w:kinsoku/>
        <w:wordWrap w:val="0"/>
        <w:overflowPunct/>
        <w:topLinePunct w:val="0"/>
        <w:bidi w:val="0"/>
        <w:adjustRightInd w:val="0"/>
        <w:snapToGrid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八、询问与质疑</w:t>
      </w:r>
    </w:p>
    <w:p w14:paraId="0A93D1C5">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35.询问</w:t>
      </w:r>
    </w:p>
    <w:p w14:paraId="110E699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35.1 供应商对政府采购活动事项有疑问的，可以提出询问，采购人或者代理机构应当在3个工作日内对供应商依法提出的询问作出答复，但答复的内容不得涉及商业秘密。供应商提出的询问超出采购人对代理机构委托授权范围的，代理机构应当告知供应商向采购人提出。</w:t>
      </w:r>
    </w:p>
    <w:p w14:paraId="6C08C033">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36.质疑提出</w:t>
      </w:r>
    </w:p>
    <w:p w14:paraId="07ACDE0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36.1 提出质疑的供应商应当是参与所质疑项目采购活动的供应商。</w:t>
      </w:r>
    </w:p>
    <w:p w14:paraId="7C47369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36.2 供应商认为采购文件、采购过程、采购结果使自己的权益受到损害的，可以在知道或者应知其权益受到损害之日（获取采购文件之日、成交结果公告发布之日）起七个工作日内以书面形式向采购人、代理机构提出质疑。</w:t>
      </w:r>
    </w:p>
    <w:p w14:paraId="73ED98B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供应商应当在法定质疑期内一次性提出针对同一采购程序环节的质疑，供应商如在法定期限内对同一采购程序环节提出多次质疑的，采购人、代理机构将只对供应商第一次质疑作出答复。</w:t>
      </w:r>
    </w:p>
    <w:p w14:paraId="45168048">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未依照采购公告要求获取采购文件的供应商，视为未参与该项目采购活动，不具备对该采购文件提出质疑的法定权利。</w:t>
      </w:r>
    </w:p>
    <w:p w14:paraId="7FFC7638">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36.3 提出质疑时，必须坚持“实事求是”的原则，不能臆测。属于须由法定部门调查、侦查或先行作出相关认定的事项，质疑供应商应当依法申请具有法定职权的部门查清、认定，并将相关结果提供给采购人、代理机构。采购人、代理机构不具有法定调查、认定权限。</w:t>
      </w:r>
    </w:p>
    <w:p w14:paraId="2A4F9669">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36.4 质疑函的接收方式为供应商书面原件提交。联系部门、联系电话和通讯地址详见磋商文件第一章。质疑实行实名制，不得进行虚假、恶意质疑。</w:t>
      </w:r>
    </w:p>
    <w:p w14:paraId="2F50285E">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36.5 质疑函应当使用范本，详见磋商文件第六章。供应商提出质疑应当提交质疑函和必要的证明材料，应当包括下列内容：</w:t>
      </w:r>
    </w:p>
    <w:p w14:paraId="4808E63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（1）供应商的姓名或者名称、地址、邮编、联系人及联系电话；</w:t>
      </w:r>
    </w:p>
    <w:p w14:paraId="177A059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（2）质疑项目的名称、编号；</w:t>
      </w:r>
    </w:p>
    <w:p w14:paraId="5E74452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14:paraId="52F2BEEF">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（4）事实依据；</w:t>
      </w:r>
    </w:p>
    <w:p w14:paraId="5DEE144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（5）必要的法律依据；</w:t>
      </w:r>
    </w:p>
    <w:p w14:paraId="1A41E0D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（6）提出质疑的日期；</w:t>
      </w:r>
    </w:p>
    <w:p w14:paraId="3162A5D4">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（7）必要的证明材料；</w:t>
      </w:r>
    </w:p>
    <w:p w14:paraId="4C0C5799">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（8）营业执照复印件及授权委托书原件、法定代表人（单位负责人）身份证复印件、委托代理人身份证复印件。</w:t>
      </w:r>
    </w:p>
    <w:p w14:paraId="789B3DFE">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供应商为自然人的，应当由本人签字；供应商为法人或者其他组织的，应当由法定代表人、主要负责人，或者其委托代理人签字或者盖章，并加盖单位公章。</w:t>
      </w:r>
    </w:p>
    <w:p w14:paraId="69F99421">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37.质疑函的受理和答复</w:t>
      </w:r>
    </w:p>
    <w:p w14:paraId="4ABB349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37.1 质疑供应商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代理机构不负责搜集必要的证明材料等工作。</w:t>
      </w:r>
    </w:p>
    <w:p w14:paraId="523DE96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37.2 对符合法定要求的质疑，采购人、代理机构接收并登记《质疑函登记表》。在处理过程中，发现需要质疑供应商进一步补充必要的证明材料的，质疑供应商应在法定的时间内提供，质疑答复时间相应顺延。质疑供应商不能按时提供必要的证明材料的，视同放弃质疑。</w:t>
      </w:r>
    </w:p>
    <w:p w14:paraId="12B1E9C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37.3 对不符合质疑要求的，采购人、代理机构有权要求其补充必要的证明材料，质疑供应商未在法定的时间内提供补充必要的证明材料的，视同放弃质疑。</w:t>
      </w:r>
    </w:p>
    <w:p w14:paraId="2BF6DA8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37.4 以下情形的质疑依法不予受理：</w:t>
      </w:r>
    </w:p>
    <w:p w14:paraId="19D717F8">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（1）内容不符合《政府采购质疑和投诉办法》第十二条规定的质疑。</w:t>
      </w:r>
    </w:p>
    <w:p w14:paraId="2D00B21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（2）超出政府采购法定期限的质疑。</w:t>
      </w:r>
    </w:p>
    <w:p w14:paraId="51B6898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（3）以传真、电子邮件等方式提交的非原件形式的质疑。</w:t>
      </w:r>
    </w:p>
    <w:p w14:paraId="6FEE3308">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（4）未参加采购活动的供应商或在采购活动中自身权益未受到损害的供应商提出的质疑。</w:t>
      </w:r>
    </w:p>
    <w:p w14:paraId="3F86165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（5）供应商组成联合体，联合体中任何一方或多方未按要求签字（盖章）、加盖公章的质疑。</w:t>
      </w:r>
    </w:p>
    <w:p w14:paraId="429497C4">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37.5 采购人、代理机构依法受理的质疑，将按照政府采购有关规定，在法定期限内答复。</w:t>
      </w:r>
    </w:p>
    <w:p w14:paraId="03D9E32C">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38.质疑处理</w:t>
      </w:r>
    </w:p>
    <w:p w14:paraId="5661CF1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38.1 质疑供应商未按照法定程序进行质疑投诉的，视为一般失信行为。</w:t>
      </w:r>
    </w:p>
    <w:p w14:paraId="4D35C3DF">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38.2 质疑供应商不配合或者采用不正当手段干扰政府采购质疑、投诉处理工作的，视为一般失信行为。</w:t>
      </w:r>
    </w:p>
    <w:p w14:paraId="420DE40F">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38.3 质疑供应商投诉受理期间，就同一事项多头举报，干扰财政部门投诉处理的，视为一般失信行为。</w:t>
      </w:r>
    </w:p>
    <w:p w14:paraId="6AA0B7F7">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38.4 质疑供应商在全国范围12个月内三次以上质疑查无实据的，视为一般失信行为。</w:t>
      </w:r>
    </w:p>
    <w:p w14:paraId="69DC15C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38.5 质疑供应商采用捏造事实、提供虚假材料或者以非法手段取得证明材料等方式进行虚假、恶意投诉的，视为严重失信行为。（证据来源的合法性存在明显疑问，投诉人无法证明其取得方式合法的，视为以非法手段取得证明材料）</w:t>
      </w:r>
    </w:p>
    <w:p w14:paraId="217394C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38.6 质疑供应商在全国范围12个月内三次以上投诉查无实据的，视为严重失信行为。</w:t>
      </w:r>
    </w:p>
    <w:p w14:paraId="01946769">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38.7 未尽事宜，依照有关法律法规执行。</w:t>
      </w:r>
    </w:p>
    <w:p w14:paraId="279B5637">
      <w:pPr>
        <w:pStyle w:val="4"/>
        <w:pageBreakBefore w:val="0"/>
        <w:kinsoku/>
        <w:wordWrap w:val="0"/>
        <w:overflowPunct/>
        <w:topLinePunct w:val="0"/>
        <w:bidi w:val="0"/>
        <w:adjustRightInd w:val="0"/>
        <w:snapToGrid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九、政府采购政策功能</w:t>
      </w:r>
    </w:p>
    <w:p w14:paraId="2A6D234A">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39.促进中小企业发展</w:t>
      </w:r>
    </w:p>
    <w:p w14:paraId="3FBA89DE">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39.1 本项目执行《关于印发〈政府采购促进中小企业发展管理办法〉的通知》（财库〔2020〕46号，以下简称《办法》）、《关于印发中小企业划型标准规定的通知》（工信部联企业〔2011〕300号，以下简称《通知》）、《关于政府采购支持监狱企业发展有关问题的通知》（财库〔2014〕68号）、《关于促进残疾人就业政府采购政策的通知》（财库〔2017〕141号）、《关于进一步加大政府采购支持中小企业力度的通知》（财库〔2022〕19号）的规定。对于小型企业、微型企业、监狱企业、残疾人福利性单位报价以扣除优惠比率后的价格参与评审，但不作为成交价和合同签约价。成交价和合同签约价仍以其成交的最后报价为准。</w:t>
      </w:r>
    </w:p>
    <w:p w14:paraId="15837092">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39.2 本项目对提供的服务全部由小型企业、微型企业、残疾人福利性单位和监狱企业承接的报价给予10%的扣除，用扣除后的价格参与评审。</w:t>
      </w:r>
    </w:p>
    <w:p w14:paraId="0EFE2AA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如本项目同意联合体参加磋商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4%的价格扣除，用扣除后的价格参与评审。联合体各方均为小型、微型企业（残疾人福利单位、监狱企业）的，联合体视同小型、微型企业。</w:t>
      </w:r>
    </w:p>
    <w:p w14:paraId="722F179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39.3 参加本项目政府采购活动的供应商享受价格评审优惠的应当提供的材料： </w:t>
      </w:r>
    </w:p>
    <w:p w14:paraId="6631AE0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（1）供应商为小型企业、微型企业的，提供《中小企业声明函》（第六章 响应文件格式）。</w:t>
      </w:r>
    </w:p>
    <w:p w14:paraId="76F03A1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（2）符合《关于促进残疾人就业政府采购政策的通知》（财库〔2017〕141号）规定的条件并提供《残疾人福利性单位声明函》（第六章 响应文件格式）的残疾人福利性单位视同小型、微型企业。</w:t>
      </w:r>
    </w:p>
    <w:p w14:paraId="7E4802DE">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符合《关于政府采购支持监狱企业发展有关问题的通知》（财库〔2014〕68号）规定的监狱企业并提供由省级以上监狱管理局、戒毒管理局（含新疆生产建设兵团）出具的属于监狱企业证明文件的，视同小型、微型企业。</w:t>
      </w:r>
    </w:p>
    <w:p w14:paraId="1E8F087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39.4 残疾人福利单位、监狱企业属于小型企业、微型企业的，不重复享受政策。</w:t>
      </w:r>
    </w:p>
    <w:p w14:paraId="21797D4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39.5 享受扶持政策获得政府采购合同的，小微型企业不得将合同分包给大中型企业，中型企业不得将合同分包给大型企业。</w:t>
      </w:r>
    </w:p>
    <w:p w14:paraId="6BBB9954">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40.支持绿色发展</w:t>
      </w:r>
    </w:p>
    <w:p w14:paraId="3510020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40.1 本项目执行《关于印发环境标志产品政府采购品目清单的通知》（财库〔2019〕18号）、《关于印发节能产品政府采购品目清单的通知》（财库〔2019〕19号）等有关规定，采购产品属于品目清单范围的，采购人及其委托的采购代理机构将依据国家确定的认证机构出具的、处于有效期之内的节能产品、环境标志产品认证证书，对获得证书的产品实施政府优先采购或强制采购。供应商须按磋商文件要求提供相关产品认证证书。</w:t>
      </w:r>
    </w:p>
    <w:p w14:paraId="6667D41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40.2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73A633D9">
      <w:pPr>
        <w:pStyle w:val="5"/>
        <w:pageBreakBefore w:val="0"/>
        <w:kinsoku/>
        <w:wordWrap w:val="0"/>
        <w:overflowPunct/>
        <w:topLinePunct w:val="0"/>
        <w:bidi w:val="0"/>
        <w:adjustRightInd w:val="0"/>
        <w:snapToGrid w:val="0"/>
        <w:spacing w:before="0" w:after="0"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41.政府采购需求标准</w:t>
      </w:r>
    </w:p>
    <w:p w14:paraId="76D8B31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41.1 本项目执行《绿色数据中心政府采购需求标准（试行）》《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等政府采购需求标准。采购标的如涉及数据中心相关设备及运维服务、台式计算机、便携式计算机、一体式计算机、工作站、通用服务器、操作系统、数据库的，执行相关政府采购需求标准。</w:t>
      </w:r>
      <w:r>
        <w:rPr>
          <w:rFonts w:hint="eastAsia" w:ascii="宋体" w:hAnsi="宋体" w:eastAsia="宋体" w:cs="宋体"/>
          <w:sz w:val="24"/>
          <w:szCs w:val="24"/>
        </w:rPr>
        <w:br w:type="page" w:clear="all"/>
      </w:r>
    </w:p>
    <w:p w14:paraId="25151D16">
      <w:pPr>
        <w:pStyle w:val="3"/>
        <w:pageBreakBefore w:val="0"/>
        <w:kinsoku/>
        <w:wordWrap w:val="0"/>
        <w:overflowPunct/>
        <w:topLinePunct w:val="0"/>
        <w:bidi w:val="0"/>
        <w:adjustRightInd w:val="0"/>
        <w:snapToGrid w:val="0"/>
        <w:spacing w:before="0" w:after="0" w:line="360" w:lineRule="auto"/>
        <w:jc w:val="center"/>
        <w:rPr>
          <w:rFonts w:hint="eastAsia" w:ascii="宋体" w:hAnsi="宋体" w:eastAsia="宋体" w:cs="宋体"/>
          <w:b w:val="0"/>
        </w:rPr>
      </w:pPr>
      <w:bookmarkStart w:id="2" w:name="_Toc161932693"/>
      <w:r>
        <w:rPr>
          <w:rFonts w:hint="eastAsia" w:ascii="宋体" w:hAnsi="宋体" w:eastAsia="宋体" w:cs="宋体"/>
          <w:b w:val="0"/>
        </w:rPr>
        <w:t>第三章  合同文本</w:t>
      </w:r>
      <w:bookmarkEnd w:id="2"/>
    </w:p>
    <w:p w14:paraId="101A2EF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（备注：以下为成交后签订本项目合同的通用条款，成交供应商不得提出实质性的修改，签订合同时请删除本条备注。）</w:t>
      </w:r>
    </w:p>
    <w:p w14:paraId="343A1938">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p>
    <w:p w14:paraId="7964D66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p>
    <w:p w14:paraId="6A048DDC">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连云港市政府采购合同（服务）</w:t>
      </w:r>
    </w:p>
    <w:p w14:paraId="02FDB84C">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（合同编号：***）</w:t>
      </w:r>
    </w:p>
    <w:p w14:paraId="4CC72564">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甲方：（买方）_________</w:t>
      </w:r>
    </w:p>
    <w:p w14:paraId="523F51F9">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乙方：（卖方）_________</w:t>
      </w:r>
    </w:p>
    <w:p w14:paraId="0D6C04F4">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甲、乙双方根据</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）竞争性磋商采购的结果，签订本合同。</w:t>
      </w:r>
    </w:p>
    <w:p w14:paraId="3CB850B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一、合同内容</w:t>
      </w:r>
    </w:p>
    <w:p w14:paraId="6C20BFF2">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1.1 服务内容：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B3AFA34">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1.2 服务要求：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C4AC4BE">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1.3 服务标准：</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DEE67C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1.4 补充条款：</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BEEF4A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二、合同金额</w:t>
      </w:r>
    </w:p>
    <w:p w14:paraId="1CF57D4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 本合同金额为人民币（大写）：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FE000E2">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2.2 本合同价款包含所有乙方提供合同约定产品和服务的报酬及乙方提供合同中产品和服务所支出的必要费用，甲方在上述合同价款之外不再向乙方支付其他任何费用。</w:t>
      </w:r>
    </w:p>
    <w:p w14:paraId="613D0979">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三、技术资料</w:t>
      </w:r>
    </w:p>
    <w:p w14:paraId="680C81D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3.1 乙方应按磋商文件规定的时间向甲方提供有关技术资料。</w:t>
      </w:r>
    </w:p>
    <w:p w14:paraId="7E88F78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AC35FC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四、知识产权</w:t>
      </w:r>
    </w:p>
    <w:p w14:paraId="1AEC56E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4.1 乙方应保证甲方在使用、接受本合同产品和服务或其任何一部分时不受第三方提出侵犯其专利权、版权、商标权和工业设计权等知识产权的起诉。一旦出现侵权，由乙方负全部责任。</w:t>
      </w:r>
    </w:p>
    <w:p w14:paraId="052537F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五、产权担保</w:t>
      </w:r>
    </w:p>
    <w:p w14:paraId="7063080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5.1 乙方保证所交付标的的所有权完全属于乙方且无任何抵押、查封等产权瑕疵。</w:t>
      </w:r>
    </w:p>
    <w:p w14:paraId="784F4BB8">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六、履约保证金</w:t>
      </w:r>
    </w:p>
    <w:p w14:paraId="7CC1B67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6.1 本合同不收取履约保证金。</w:t>
      </w:r>
    </w:p>
    <w:p w14:paraId="063D4B3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七、合同转包或分包</w:t>
      </w:r>
    </w:p>
    <w:p w14:paraId="461B5BE4">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7.1 本合同范围内产品或服务，应由乙方直接供应，不得转让他人供应或部分分包给他人供应。</w:t>
      </w:r>
    </w:p>
    <w:p w14:paraId="09BDABD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7.2 如有转让和未经甲方同意的分包行为，甲方有权终止合同。</w:t>
      </w:r>
    </w:p>
    <w:p w14:paraId="2C8ED5D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八、服务时间</w:t>
      </w:r>
    </w:p>
    <w:p w14:paraId="0132A8F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8.1 服务时间：</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5136B28">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九、合同内容的交付</w:t>
      </w:r>
    </w:p>
    <w:p w14:paraId="2AE2EED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9.1 交 付 期：_________。</w:t>
      </w:r>
    </w:p>
    <w:p w14:paraId="5AE165B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9.2 交付方式：_________。</w:t>
      </w:r>
    </w:p>
    <w:p w14:paraId="5C09D05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9.3 交付地点：_________。</w:t>
      </w:r>
    </w:p>
    <w:p w14:paraId="7815ECE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9.4 乙方应保证合同标的安全运达甲方指定地点，合同标的在交付甲方前发生的风险均由乙方负责。合同标的涉及包装的应符合《商品包装政府采购需求标准（试行）》和《快递包装政府采购需求标准（试行）》的规定。使用说明书、质量检验证明书等（如有）一并提交甲方。</w:t>
      </w:r>
    </w:p>
    <w:p w14:paraId="0A237E5E">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9.5 乙方在合同标的交付甲方48小时前通知甲方准备接收。合同标的在规定的交付期限内由乙方送达甲方指定的地点视为交付，乙方同时需通知甲方已送达。</w:t>
      </w:r>
    </w:p>
    <w:p w14:paraId="2FD5603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十、合同款支付</w:t>
      </w:r>
    </w:p>
    <w:p w14:paraId="396FBCA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10.1 付款方式：_________。</w:t>
      </w:r>
    </w:p>
    <w:p w14:paraId="63501229">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10.2 当采购数量与实际使用数量不一致时，乙方应根据实际使用量提供产品和服务，合同的最终结算金额按实际使用量乘以成交单价计算。</w:t>
      </w:r>
    </w:p>
    <w:p w14:paraId="19B533B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十一、税费</w:t>
      </w:r>
    </w:p>
    <w:p w14:paraId="0E78554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11.1 本合同执行中相关的一切税费均由乙方负担。</w:t>
      </w:r>
    </w:p>
    <w:p w14:paraId="630ED7B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十二、质量保证及售后服务</w:t>
      </w:r>
    </w:p>
    <w:p w14:paraId="12756FB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12.1 乙方应按磋商文件规定和响应文件承诺的性能、技术要求、质量标准向甲方提供产品或服务。</w:t>
      </w:r>
    </w:p>
    <w:p w14:paraId="05F918AF">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12.2 乙方提供的产品或服务在服务期内因其本身出现质量问题，根据实际情况，经双方协商，可按以下办法处理：</w:t>
      </w:r>
    </w:p>
    <w:p w14:paraId="35A19BC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（1）更换：由乙方承担所产生的全部费用。</w:t>
      </w:r>
    </w:p>
    <w:p w14:paraId="2DC5075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（2）合同终止处理：合同终止，乙方退还甲方支付的合同款，同时承担由此产生的全部费用，甲方不承担任何产生费用。</w:t>
      </w:r>
    </w:p>
    <w:p w14:paraId="12C6AC9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12.3 如在使用过程中发生质量问题，乙方在接到甲方通知后</w:t>
      </w:r>
      <w:r>
        <w:rPr>
          <w:rFonts w:hint="eastAsia" w:ascii="宋体" w:hAnsi="宋体" w:eastAsia="宋体" w:cs="宋体"/>
          <w:sz w:val="24"/>
          <w:szCs w:val="24"/>
          <w:u w:val="single"/>
        </w:rPr>
        <w:t xml:space="preserve">    </w:t>
      </w:r>
      <w:r>
        <w:rPr>
          <w:rFonts w:hint="eastAsia" w:ascii="宋体" w:hAnsi="宋体" w:eastAsia="宋体" w:cs="宋体"/>
          <w:sz w:val="24"/>
          <w:szCs w:val="24"/>
        </w:rPr>
        <w:t>小时内到达甲方现场。</w:t>
      </w:r>
    </w:p>
    <w:p w14:paraId="56124BBE">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12.4 在服务期内，乙方应对产品或服务出现的质量及安全问题负责处理解决并承担一切费用。</w:t>
      </w:r>
    </w:p>
    <w:p w14:paraId="49F10CD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十三、项目验收</w:t>
      </w:r>
    </w:p>
    <w:p w14:paraId="77DEDC5F">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13.1 甲方依法组织履约验收工作。</w:t>
      </w:r>
    </w:p>
    <w:p w14:paraId="71D0FC5F">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13.2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6A001F98">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13.3 对于实际使用人和甲方分离的项目，甲方邀请实际使用人参与验收。</w:t>
      </w:r>
    </w:p>
    <w:p w14:paraId="6DA4CA2E">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13.4 如有必要，甲方邀请参加本项目的其他供应商或第三方专业机构及专家参与验收，相关意见将作为验收书的参考资料。</w:t>
      </w:r>
    </w:p>
    <w:p w14:paraId="3F96C6E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13.5 甲方成立验收小组，按照采购合同的约定对乙方的履约情况进行验收。验收时间、验收标准见磋商文件验收内容。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44690DC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13.6 验收合格的项目，甲方根据采购合同的约定及时向乙方支付合同款项、退还履约保证金。验收不合格的项目，甲方依法及时处理。采购合同的履行、违约责任和解决争议的方式等适用《中华人民共和国民法典》。乙方在履约过程中有政府采购法律法规规定的违法违规情形的，甲方将及时报告本级财政部门。</w:t>
      </w:r>
    </w:p>
    <w:p w14:paraId="178B31E7">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十四、违约责任</w:t>
      </w:r>
    </w:p>
    <w:p w14:paraId="6C2F45A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14.1 甲方无正当理由拒收的，甲方向乙方偿付拒收标的总值</w:t>
      </w:r>
      <w:r>
        <w:rPr>
          <w:rFonts w:hint="eastAsia" w:ascii="宋体" w:hAnsi="宋体" w:eastAsia="宋体" w:cs="宋体"/>
          <w:sz w:val="24"/>
          <w:szCs w:val="24"/>
          <w:u w:val="single"/>
        </w:rPr>
        <w:t xml:space="preserve">      </w:t>
      </w:r>
      <w:r>
        <w:rPr>
          <w:rFonts w:hint="eastAsia" w:ascii="宋体" w:hAnsi="宋体" w:eastAsia="宋体" w:cs="宋体"/>
          <w:sz w:val="24"/>
          <w:szCs w:val="24"/>
        </w:rPr>
        <w:t>的违约金。</w:t>
      </w:r>
    </w:p>
    <w:p w14:paraId="670ADAAF">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14.2 甲方无故逾期验收和办理合同款支付手续的，甲方应按逾期付款总额每日</w:t>
      </w:r>
      <w:r>
        <w:rPr>
          <w:rFonts w:hint="eastAsia" w:ascii="宋体" w:hAnsi="宋体" w:eastAsia="宋体" w:cs="宋体"/>
          <w:sz w:val="24"/>
          <w:szCs w:val="24"/>
          <w:u w:val="single"/>
        </w:rPr>
        <w:t xml:space="preserve">      </w:t>
      </w:r>
      <w:r>
        <w:rPr>
          <w:rFonts w:hint="eastAsia" w:ascii="宋体" w:hAnsi="宋体" w:eastAsia="宋体" w:cs="宋体"/>
          <w:sz w:val="24"/>
          <w:szCs w:val="24"/>
        </w:rPr>
        <w:t>向乙方支付违约金，最高限额为本合同总额的</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9212FA9">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14.3 乙方逾期交付合同标的的，乙方应按逾期交付总额每日</w:t>
      </w:r>
      <w:r>
        <w:rPr>
          <w:rFonts w:hint="eastAsia" w:ascii="宋体" w:hAnsi="宋体" w:eastAsia="宋体" w:cs="宋体"/>
          <w:sz w:val="24"/>
          <w:szCs w:val="24"/>
          <w:u w:val="single"/>
        </w:rPr>
        <w:t xml:space="preserve">       </w:t>
      </w:r>
      <w:r>
        <w:rPr>
          <w:rFonts w:hint="eastAsia" w:ascii="宋体" w:hAnsi="宋体" w:eastAsia="宋体" w:cs="宋体"/>
          <w:sz w:val="24"/>
          <w:szCs w:val="24"/>
        </w:rPr>
        <w:t>向甲方支付违约金，由甲方从待付合同款中扣除，最高限额为本合同总额的</w:t>
      </w:r>
      <w:r>
        <w:rPr>
          <w:rFonts w:hint="eastAsia" w:ascii="宋体" w:hAnsi="宋体" w:eastAsia="宋体" w:cs="宋体"/>
          <w:sz w:val="24"/>
          <w:szCs w:val="24"/>
          <w:u w:val="single"/>
        </w:rPr>
        <w:t xml:space="preserve">      </w:t>
      </w:r>
      <w:r>
        <w:rPr>
          <w:rFonts w:hint="eastAsia" w:ascii="宋体" w:hAnsi="宋体" w:eastAsia="宋体" w:cs="宋体"/>
          <w:sz w:val="24"/>
          <w:szCs w:val="24"/>
        </w:rPr>
        <w:t>。逾期超过约定日期</w:t>
      </w:r>
      <w:r>
        <w:rPr>
          <w:rFonts w:hint="eastAsia" w:ascii="宋体" w:hAnsi="宋体" w:eastAsia="宋体" w:cs="宋体"/>
          <w:sz w:val="24"/>
          <w:szCs w:val="24"/>
          <w:u w:val="single"/>
        </w:rPr>
        <w:t xml:space="preserve">       </w:t>
      </w:r>
      <w:r>
        <w:rPr>
          <w:rFonts w:hint="eastAsia" w:ascii="宋体" w:hAnsi="宋体" w:eastAsia="宋体" w:cs="宋体"/>
          <w:sz w:val="24"/>
          <w:szCs w:val="24"/>
        </w:rPr>
        <w:t>不能交付的，甲方可解除本合同。乙方因逾期交付或因其他违约行为导致甲方解除合同的，乙方应向甲方支付合同总额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的违约金，如造成甲方损失超过违约金的，超出部分由乙方继续承担赔偿责任。 </w:t>
      </w:r>
    </w:p>
    <w:p w14:paraId="104125A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14.4 乙方交付的产品或服务不符合项目需求要求、乙方响应文件承诺及国家有关质量标准的，甲方有权拒收，乙方愿意更换但逾期交付的，按乙方逾期交付处理。乙方拒绝更换的，甲方可单方面解除合同，并由乙方赔偿由此造成的甲方全部损失。</w:t>
      </w:r>
    </w:p>
    <w:p w14:paraId="620F621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十五、不可抗力事件处理</w:t>
      </w:r>
    </w:p>
    <w:p w14:paraId="0EF48A7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15.1 在合同有效期内，任何一方因不可抗力事件导致不能履行合同的，则合同履行期可延长，其延长期与不可抗力影响期相同。</w:t>
      </w:r>
    </w:p>
    <w:p w14:paraId="3A497F5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15.2 不可抗力事件发生后，应立即通知对方，并寄送有关权威机构出具的证明。</w:t>
      </w:r>
    </w:p>
    <w:p w14:paraId="44E5892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15.3 不可抗力事件延续120天以上，双方应通过友好协商，确定是否继续履行合同。</w:t>
      </w:r>
    </w:p>
    <w:p w14:paraId="009FD53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十六、解决争议的方法</w:t>
      </w:r>
    </w:p>
    <w:p w14:paraId="68CF3282">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16.1 甲乙双方因合同签订、履行而发生的一切争议，应通过友好协商解决。如协商不成，按下列第</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w:t>
      </w:r>
      <w:r>
        <w:rPr>
          <w:rFonts w:hint="eastAsia" w:ascii="宋体" w:hAnsi="宋体" w:eastAsia="宋体" w:cs="宋体"/>
          <w:sz w:val="24"/>
          <w:szCs w:val="24"/>
        </w:rPr>
        <w:t>种方式解决：</w:t>
      </w:r>
    </w:p>
    <w:p w14:paraId="76197CF8">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（1）向连云港仲裁委员会申请仲裁。</w:t>
      </w:r>
    </w:p>
    <w:p w14:paraId="331988D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（2）向合同签订地法院起诉，合同签订地在此约定为连云港市。</w:t>
      </w:r>
    </w:p>
    <w:p w14:paraId="56EAEE2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十七、合同生效及其他</w:t>
      </w:r>
    </w:p>
    <w:p w14:paraId="4C261AD9">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17.1 合同经双方法定代表人或授权代表签字并加盖单位公章后生效。</w:t>
      </w:r>
    </w:p>
    <w:p w14:paraId="57A87809">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17.2 本合同未尽事宜，遵照《中华人民共和国民法典》《中华人民共和国政府采购法》等有关条文执行。</w:t>
      </w:r>
    </w:p>
    <w:p w14:paraId="1582F68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17.3 本合同正本一式四份，具有同等法律效力，甲方执二份、乙方各执一份，甲方报一份至政府采购监督管理部门。</w:t>
      </w:r>
    </w:p>
    <w:p w14:paraId="474A3FE8">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p>
    <w:p w14:paraId="56BDDB3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p>
    <w:p w14:paraId="463B45F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甲方：                        乙方： </w:t>
      </w:r>
    </w:p>
    <w:p w14:paraId="7B6794C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地址：                        地址： </w:t>
      </w:r>
    </w:p>
    <w:p w14:paraId="1142973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法定代表人或授权代表：        法定代表人或授权代表：</w:t>
      </w:r>
    </w:p>
    <w:p w14:paraId="40C37381">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联系电话：                    联系电话：     </w:t>
      </w:r>
    </w:p>
    <w:p w14:paraId="15B91ED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                                     </w:t>
      </w:r>
    </w:p>
    <w:p w14:paraId="6CFE1835">
      <w:pPr>
        <w:pageBreakBefore w:val="0"/>
        <w:kinsoku/>
        <w:wordWrap w:val="0"/>
        <w:overflowPunct/>
        <w:topLinePunct w:val="0"/>
        <w:bidi w:val="0"/>
        <w:adjustRightInd w:val="0"/>
        <w:snapToGrid w:val="0"/>
        <w:spacing w:line="360" w:lineRule="auto"/>
        <w:ind w:firstLine="480"/>
        <w:jc w:val="right"/>
        <w:rPr>
          <w:rFonts w:hint="eastAsia" w:ascii="宋体" w:hAnsi="宋体" w:eastAsia="宋体" w:cs="宋体"/>
          <w:sz w:val="24"/>
          <w:szCs w:val="24"/>
        </w:rPr>
      </w:pPr>
      <w:r>
        <w:rPr>
          <w:rFonts w:hint="eastAsia" w:ascii="宋体" w:hAnsi="宋体" w:eastAsia="宋体" w:cs="宋体"/>
          <w:sz w:val="24"/>
          <w:szCs w:val="24"/>
        </w:rPr>
        <w:t>签订日期：       年    月    日</w:t>
      </w:r>
    </w:p>
    <w:p w14:paraId="0643628E">
      <w:pPr>
        <w:pageBreakBefore w:val="0"/>
        <w:widowControl/>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clear="all"/>
      </w:r>
    </w:p>
    <w:p w14:paraId="67DEC3C7">
      <w:pPr>
        <w:keepNext/>
        <w:keepLines/>
        <w:pageBreakBefore w:val="0"/>
        <w:kinsoku/>
        <w:wordWrap w:val="0"/>
        <w:overflowPunct/>
        <w:topLinePunct w:val="0"/>
        <w:bidi w:val="0"/>
        <w:adjustRightInd w:val="0"/>
        <w:snapToGrid w:val="0"/>
        <w:spacing w:line="360" w:lineRule="auto"/>
        <w:ind w:firstLine="624"/>
        <w:jc w:val="center"/>
        <w:outlineLvl w:val="0"/>
        <w:rPr>
          <w:rFonts w:hint="eastAsia" w:ascii="宋体" w:hAnsi="宋体" w:eastAsia="宋体" w:cs="宋体"/>
          <w:bCs/>
          <w:kern w:val="2"/>
          <w:sz w:val="44"/>
          <w:szCs w:val="44"/>
        </w:rPr>
      </w:pPr>
      <w:bookmarkStart w:id="3" w:name="_Toc161932694"/>
      <w:r>
        <w:rPr>
          <w:rFonts w:hint="eastAsia" w:ascii="宋体" w:hAnsi="宋体" w:eastAsia="宋体" w:cs="宋体"/>
          <w:bCs/>
          <w:kern w:val="2"/>
          <w:sz w:val="44"/>
          <w:szCs w:val="44"/>
        </w:rPr>
        <w:t>第四章  采购需求</w:t>
      </w:r>
      <w:bookmarkEnd w:id="3"/>
    </w:p>
    <w:p w14:paraId="0728C4A9">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说明：本项目属性为</w:t>
      </w:r>
      <w:r>
        <w:rPr>
          <w:rFonts w:hint="eastAsia" w:ascii="宋体" w:hAnsi="宋体" w:eastAsia="宋体" w:cs="宋体"/>
          <w:b/>
          <w:sz w:val="24"/>
          <w:szCs w:val="24"/>
          <w:u w:val="single"/>
        </w:rPr>
        <w:t>服务</w:t>
      </w:r>
      <w:r>
        <w:rPr>
          <w:rFonts w:hint="eastAsia" w:ascii="宋体" w:hAnsi="宋体" w:eastAsia="宋体" w:cs="宋体"/>
          <w:sz w:val="24"/>
          <w:szCs w:val="24"/>
        </w:rPr>
        <w:t>，采购标的对应的中小企业划分标准所属行业为：</w:t>
      </w:r>
      <w:r>
        <w:rPr>
          <w:rFonts w:hint="eastAsia" w:ascii="宋体" w:hAnsi="宋体" w:eastAsia="宋体" w:cs="宋体"/>
          <w:b/>
          <w:bCs/>
          <w:sz w:val="24"/>
          <w:szCs w:val="24"/>
          <w:u w:val="single"/>
        </w:rPr>
        <w:t>软件和信息技术服务业</w:t>
      </w:r>
      <w:r>
        <w:rPr>
          <w:rFonts w:hint="eastAsia" w:ascii="宋体" w:hAnsi="宋体" w:eastAsia="宋体" w:cs="宋体"/>
          <w:b/>
          <w:bCs/>
          <w:sz w:val="24"/>
          <w:szCs w:val="24"/>
        </w:rPr>
        <w:t>。</w:t>
      </w:r>
    </w:p>
    <w:p w14:paraId="735D397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1.根据《政府采购需求管理办法》等有关规定，采购人确定采购需求。</w:t>
      </w:r>
    </w:p>
    <w:p w14:paraId="4EB1D3B5">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
          <w:bCs/>
          <w:kern w:val="2"/>
          <w:sz w:val="24"/>
          <w:szCs w:val="24"/>
        </w:rPr>
      </w:pPr>
      <w:r>
        <w:rPr>
          <w:rFonts w:hint="eastAsia" w:ascii="宋体" w:hAnsi="宋体" w:eastAsia="宋体" w:cs="宋体"/>
          <w:sz w:val="24"/>
          <w:szCs w:val="24"/>
        </w:rPr>
        <w:t>2.</w:t>
      </w:r>
      <w:r>
        <w:rPr>
          <w:rFonts w:hint="eastAsia" w:ascii="宋体" w:hAnsi="宋体" w:eastAsia="宋体" w:cs="宋体"/>
          <w:b/>
          <w:sz w:val="24"/>
          <w:szCs w:val="24"/>
        </w:rPr>
        <w:t>本磋商文件中</w:t>
      </w:r>
      <w:r>
        <w:rPr>
          <w:rFonts w:hint="eastAsia" w:ascii="宋体" w:hAnsi="宋体" w:eastAsia="宋体" w:cs="宋体"/>
          <w:b/>
          <w:i/>
          <w:sz w:val="24"/>
          <w:szCs w:val="24"/>
          <w:u w:val="single"/>
        </w:rPr>
        <w:t>斜体且有下划线部分</w:t>
      </w:r>
      <w:r>
        <w:rPr>
          <w:rFonts w:hint="eastAsia" w:ascii="宋体" w:hAnsi="宋体" w:eastAsia="宋体" w:cs="宋体"/>
          <w:b/>
          <w:sz w:val="24"/>
          <w:szCs w:val="24"/>
        </w:rPr>
        <w:t>为实质性要求和条件</w:t>
      </w:r>
      <w:r>
        <w:rPr>
          <w:rFonts w:hint="eastAsia" w:ascii="宋体" w:hAnsi="宋体" w:eastAsia="宋体" w:cs="宋体"/>
          <w:sz w:val="24"/>
          <w:szCs w:val="24"/>
        </w:rPr>
        <w:t>，由采购人根据实际情况设置，供应商须逐条明确作出满足实质性要求和条件的响应，否则将按无效响应处理。</w:t>
      </w:r>
    </w:p>
    <w:p w14:paraId="7134EFE2">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项目背景：</w:t>
      </w:r>
    </w:p>
    <w:p w14:paraId="62228FE2">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我局九岭中心机房及各附属机房共有各类硬件设备900余台（除网安、技侦、反恐、通保），已超厂家质保期、需另行维保的设备总数约为366台，以上设备承载连云港市公安局多部门业务应用系统。通过该项目，对相关设备定期巡检，及时处理故障，提高设备的使用寿命，降低设备出现故障的概率，确保机房设备的稳定运行。同时，使机房设备在任何情况下都能及时得到设备或软件生产厂家或供应商的产品维修和技术支持，做到网络不中断、系统不瘫痪、数据不丢失的运维目标。</w:t>
      </w:r>
    </w:p>
    <w:p w14:paraId="5FB72620">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目前，2024年签署的《机房设备及软件维保合同》已到期，为保障市局主楼及九岭数据中心机房的正常运转，开展本次机房设备及软件维保项目建设。需重新招标选择第三方系统集成商为所有设备及软件提供质保打包服务，合同期1年。</w:t>
      </w:r>
    </w:p>
    <w:tbl>
      <w:tblPr>
        <w:tblStyle w:val="36"/>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644"/>
      </w:tblGrid>
      <w:tr w14:paraId="530C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0" w:type="dxa"/>
            <w:gridSpan w:val="2"/>
            <w:tcBorders>
              <w:top w:val="nil"/>
              <w:left w:val="nil"/>
              <w:bottom w:val="single" w:color="auto" w:sz="4" w:space="0"/>
              <w:right w:val="nil"/>
            </w:tcBorders>
            <w:vAlign w:val="center"/>
          </w:tcPr>
          <w:p w14:paraId="0FC4DD90">
            <w:pPr>
              <w:pageBreakBefore w:val="0"/>
              <w:kinsoku/>
              <w:wordWrap w:val="0"/>
              <w:overflowPunct/>
              <w:topLinePunct w:val="0"/>
              <w:bidi w:val="0"/>
              <w:adjustRightInd w:val="0"/>
              <w:snapToGrid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采购需求中</w:t>
            </w:r>
            <w:r>
              <w:rPr>
                <w:rFonts w:hint="eastAsia" w:ascii="宋体" w:hAnsi="宋体" w:eastAsia="宋体" w:cs="宋体"/>
                <w:kern w:val="2"/>
                <w:sz w:val="24"/>
                <w:szCs w:val="24"/>
                <w:lang w:eastAsia="zh-CN"/>
              </w:rPr>
              <w:t>需</w:t>
            </w:r>
            <w:r>
              <w:rPr>
                <w:rFonts w:hint="eastAsia" w:ascii="宋体" w:hAnsi="宋体" w:eastAsia="宋体" w:cs="宋体"/>
                <w:kern w:val="2"/>
                <w:sz w:val="24"/>
                <w:szCs w:val="24"/>
              </w:rPr>
              <w:t>满足的实质性要求和条件</w:t>
            </w:r>
          </w:p>
        </w:tc>
      </w:tr>
      <w:tr w14:paraId="358F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tcBorders>
          </w:tcPr>
          <w:p w14:paraId="62646C4E">
            <w:pPr>
              <w:pageBreakBefore w:val="0"/>
              <w:kinsoku/>
              <w:wordWrap w:val="0"/>
              <w:overflowPunct/>
              <w:topLinePunct w:val="0"/>
              <w:bidi w:val="0"/>
              <w:adjustRightInd w:val="0"/>
              <w:snapToGrid w:val="0"/>
              <w:spacing w:line="360" w:lineRule="auto"/>
              <w:rPr>
                <w:rFonts w:hint="eastAsia" w:ascii="宋体" w:hAnsi="宋体" w:eastAsia="宋体" w:cs="宋体"/>
                <w:b/>
                <w:kern w:val="2"/>
                <w:sz w:val="24"/>
                <w:szCs w:val="24"/>
              </w:rPr>
            </w:pPr>
            <w:r>
              <w:rPr>
                <w:rFonts w:hint="eastAsia" w:ascii="宋体" w:hAnsi="宋体" w:eastAsia="宋体" w:cs="宋体"/>
                <w:b/>
                <w:kern w:val="2"/>
                <w:sz w:val="24"/>
                <w:szCs w:val="24"/>
              </w:rPr>
              <w:t>序号</w:t>
            </w:r>
          </w:p>
        </w:tc>
        <w:tc>
          <w:tcPr>
            <w:tcW w:w="8644" w:type="dxa"/>
            <w:tcBorders>
              <w:top w:val="single" w:color="auto" w:sz="4" w:space="0"/>
            </w:tcBorders>
          </w:tcPr>
          <w:p w14:paraId="7141F76F">
            <w:pPr>
              <w:pageBreakBefore w:val="0"/>
              <w:kinsoku/>
              <w:wordWrap w:val="0"/>
              <w:overflowPunct/>
              <w:topLinePunct w:val="0"/>
              <w:bidi w:val="0"/>
              <w:adjustRightInd w:val="0"/>
              <w:snapToGrid w:val="0"/>
              <w:spacing w:line="360" w:lineRule="auto"/>
              <w:jc w:val="center"/>
              <w:rPr>
                <w:rFonts w:hint="eastAsia" w:ascii="宋体" w:hAnsi="宋体" w:eastAsia="宋体" w:cs="宋体"/>
                <w:b/>
                <w:kern w:val="2"/>
                <w:sz w:val="24"/>
                <w:szCs w:val="24"/>
              </w:rPr>
            </w:pPr>
            <w:r>
              <w:rPr>
                <w:rFonts w:hint="eastAsia" w:ascii="宋体" w:hAnsi="宋体" w:eastAsia="宋体" w:cs="宋体"/>
                <w:b/>
                <w:kern w:val="2"/>
                <w:sz w:val="24"/>
                <w:szCs w:val="24"/>
              </w:rPr>
              <w:t>实质性要求和条件</w:t>
            </w:r>
          </w:p>
        </w:tc>
      </w:tr>
      <w:tr w14:paraId="7C05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816" w:type="dxa"/>
          </w:tcPr>
          <w:p w14:paraId="4C9A6D7A">
            <w:pPr>
              <w:pageBreakBefore w:val="0"/>
              <w:kinsoku/>
              <w:wordWrap w:val="0"/>
              <w:overflowPunct/>
              <w:topLinePunct w:val="0"/>
              <w:bidi w:val="0"/>
              <w:adjustRightInd w:val="0"/>
              <w:snapToGrid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8644" w:type="dxa"/>
          </w:tcPr>
          <w:p w14:paraId="407E1589">
            <w:pPr>
              <w:pageBreakBefore w:val="0"/>
              <w:kinsoku/>
              <w:wordWrap w:val="0"/>
              <w:overflowPunct/>
              <w:topLinePunct w:val="0"/>
              <w:bidi w:val="0"/>
              <w:adjustRightInd w:val="0"/>
              <w:snapToGrid w:val="0"/>
              <w:spacing w:line="360" w:lineRule="auto"/>
              <w:rPr>
                <w:rFonts w:hint="eastAsia" w:ascii="宋体" w:hAnsi="宋体" w:eastAsia="宋体" w:cs="宋体"/>
                <w:kern w:val="2"/>
                <w:sz w:val="24"/>
                <w:szCs w:val="24"/>
              </w:rPr>
            </w:pPr>
            <w:r>
              <w:rPr>
                <w:rFonts w:hint="eastAsia" w:ascii="宋体" w:hAnsi="宋体" w:eastAsia="宋体" w:cs="宋体"/>
                <w:b/>
                <w:bCs/>
                <w:i/>
                <w:iCs/>
                <w:kern w:val="2"/>
                <w:sz w:val="24"/>
                <w:szCs w:val="24"/>
                <w:u w:val="single"/>
              </w:rPr>
              <w:t>付款方式：合同签订后20日内完成首次设备维护，首次维护设备完好度达到100%，中标人可以提出初验申请，初验合格后支付合同总金额的40%；服务期结束后中标人提交项目验收资料申请项目终验，终验合格并完成项目审计后，支付至审计结算金额的100%（每次支付时须扣除考核扣减的相关费用）。</w:t>
            </w:r>
          </w:p>
        </w:tc>
      </w:tr>
      <w:tr w14:paraId="0A5C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16" w:type="dxa"/>
          </w:tcPr>
          <w:p w14:paraId="5237A0DA">
            <w:pPr>
              <w:pageBreakBefore w:val="0"/>
              <w:kinsoku/>
              <w:wordWrap w:val="0"/>
              <w:overflowPunct/>
              <w:topLinePunct w:val="0"/>
              <w:bidi w:val="0"/>
              <w:adjustRightInd w:val="0"/>
              <w:snapToGrid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8644" w:type="dxa"/>
          </w:tcPr>
          <w:p w14:paraId="3CD5CCBF">
            <w:pPr>
              <w:pageBreakBefore w:val="0"/>
              <w:kinsoku/>
              <w:wordWrap w:val="0"/>
              <w:overflowPunct/>
              <w:topLinePunct w:val="0"/>
              <w:bidi w:val="0"/>
              <w:adjustRightInd w:val="0"/>
              <w:snapToGrid w:val="0"/>
              <w:spacing w:line="360" w:lineRule="auto"/>
              <w:rPr>
                <w:rFonts w:hint="eastAsia" w:ascii="宋体" w:hAnsi="宋体" w:eastAsia="宋体" w:cs="宋体"/>
                <w:color w:val="FF0000"/>
                <w:kern w:val="2"/>
                <w:sz w:val="24"/>
                <w:szCs w:val="24"/>
              </w:rPr>
            </w:pPr>
            <w:r>
              <w:rPr>
                <w:rFonts w:hint="eastAsia" w:ascii="宋体" w:hAnsi="宋体" w:eastAsia="宋体" w:cs="宋体"/>
                <w:b/>
                <w:i/>
                <w:iCs/>
                <w:kern w:val="2"/>
                <w:sz w:val="24"/>
                <w:szCs w:val="24"/>
                <w:u w:val="single"/>
              </w:rPr>
              <w:t>项目实施期间提供不低于4人驻场服务。其中机房系统维护保障不低于2人，警务基础平台运维不低于2人。</w:t>
            </w:r>
          </w:p>
        </w:tc>
      </w:tr>
      <w:tr w14:paraId="2920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16" w:type="dxa"/>
          </w:tcPr>
          <w:p w14:paraId="6727F928">
            <w:pPr>
              <w:pageBreakBefore w:val="0"/>
              <w:kinsoku/>
              <w:wordWrap w:val="0"/>
              <w:overflowPunct/>
              <w:topLinePunct w:val="0"/>
              <w:bidi w:val="0"/>
              <w:adjustRightInd w:val="0"/>
              <w:snapToGrid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3</w:t>
            </w:r>
          </w:p>
        </w:tc>
        <w:tc>
          <w:tcPr>
            <w:tcW w:w="8644" w:type="dxa"/>
          </w:tcPr>
          <w:p w14:paraId="277C45EF">
            <w:pPr>
              <w:pageBreakBefore w:val="0"/>
              <w:kinsoku/>
              <w:wordWrap w:val="0"/>
              <w:overflowPunct/>
              <w:topLinePunct w:val="0"/>
              <w:bidi w:val="0"/>
              <w:adjustRightInd w:val="0"/>
              <w:snapToGrid w:val="0"/>
              <w:spacing w:line="360" w:lineRule="auto"/>
              <w:jc w:val="left"/>
              <w:rPr>
                <w:ins w:id="0" w:author="荣剑" w:date="2024-04-28T14:55:00Z"/>
                <w:rFonts w:hint="eastAsia" w:ascii="宋体" w:hAnsi="宋体" w:eastAsia="宋体" w:cs="宋体"/>
                <w:b/>
                <w:bCs/>
                <w:kern w:val="2"/>
                <w:sz w:val="24"/>
                <w:szCs w:val="24"/>
                <w:highlight w:val="yellow"/>
              </w:rPr>
            </w:pPr>
            <w:r>
              <w:rPr>
                <w:rFonts w:hint="eastAsia" w:ascii="宋体" w:hAnsi="宋体" w:eastAsia="宋体" w:cs="宋体"/>
                <w:b/>
                <w:bCs/>
                <w:i/>
                <w:iCs/>
                <w:kern w:val="2"/>
                <w:sz w:val="24"/>
                <w:szCs w:val="24"/>
                <w:u w:val="single"/>
              </w:rPr>
              <w:t>考核处罚每付款周期统计一次，从当期应付款项中扣除。成交供应商需严格遵守磋商文件及合同相关约定，服从本考核办法，年度考核扣款不超过审计结算金额的30%。考核办法如下：</w:t>
            </w:r>
          </w:p>
          <w:p w14:paraId="5D7C5AB2">
            <w:pPr>
              <w:pageBreakBefore w:val="0"/>
              <w:kinsoku/>
              <w:wordWrap w:val="0"/>
              <w:overflowPunct/>
              <w:topLinePunct w:val="0"/>
              <w:bidi w:val="0"/>
              <w:adjustRightInd w:val="0"/>
              <w:snapToGrid w:val="0"/>
              <w:spacing w:line="360" w:lineRule="auto"/>
              <w:jc w:val="left"/>
              <w:rPr>
                <w:rFonts w:hint="eastAsia" w:ascii="宋体" w:hAnsi="宋体" w:eastAsia="宋体" w:cs="宋体"/>
                <w:b/>
                <w:bCs/>
                <w:i/>
                <w:iCs/>
                <w:kern w:val="2"/>
                <w:sz w:val="24"/>
                <w:szCs w:val="24"/>
                <w:u w:val="single"/>
              </w:rPr>
            </w:pPr>
            <w:r>
              <w:rPr>
                <w:rFonts w:hint="eastAsia" w:ascii="宋体" w:hAnsi="宋体" w:eastAsia="宋体" w:cs="宋体"/>
                <w:b/>
                <w:bCs/>
                <w:i/>
                <w:iCs/>
                <w:kern w:val="2"/>
                <w:sz w:val="24"/>
                <w:szCs w:val="24"/>
                <w:u w:val="single"/>
              </w:rPr>
              <w:t>（1）成交供应商应加强网络安全及保密事项的培训和管理，项目有关人员必须遵守安全保密规定，严禁发生“一机两用”“双网互通”等网络安全违规事件。一旦发生上述违规事件，每人每次处罚50000元。</w:t>
            </w:r>
          </w:p>
          <w:p w14:paraId="748A9EE5">
            <w:pPr>
              <w:pageBreakBefore w:val="0"/>
              <w:kinsoku/>
              <w:wordWrap w:val="0"/>
              <w:overflowPunct/>
              <w:topLinePunct w:val="0"/>
              <w:bidi w:val="0"/>
              <w:adjustRightInd w:val="0"/>
              <w:snapToGrid w:val="0"/>
              <w:spacing w:line="360" w:lineRule="auto"/>
              <w:jc w:val="left"/>
              <w:rPr>
                <w:rFonts w:hint="eastAsia" w:ascii="宋体" w:hAnsi="宋体" w:eastAsia="宋体" w:cs="宋体"/>
                <w:b/>
                <w:bCs/>
                <w:i/>
                <w:iCs/>
                <w:kern w:val="2"/>
                <w:sz w:val="24"/>
                <w:szCs w:val="24"/>
                <w:u w:val="single"/>
              </w:rPr>
            </w:pPr>
            <w:r>
              <w:rPr>
                <w:rFonts w:hint="eastAsia" w:ascii="宋体" w:hAnsi="宋体" w:eastAsia="宋体" w:cs="宋体"/>
                <w:b/>
                <w:bCs/>
                <w:i/>
                <w:iCs/>
                <w:kern w:val="2"/>
                <w:sz w:val="24"/>
                <w:szCs w:val="24"/>
                <w:u w:val="single"/>
              </w:rPr>
              <w:t>（2）采购人或监理单位发现问题以书面方式通知成交供应商，如在规定期限内无故不整改或未完成整改，每次处罚3000元。</w:t>
            </w:r>
          </w:p>
          <w:p w14:paraId="174E72F3">
            <w:pPr>
              <w:pageBreakBefore w:val="0"/>
              <w:kinsoku/>
              <w:wordWrap w:val="0"/>
              <w:overflowPunct/>
              <w:topLinePunct w:val="0"/>
              <w:bidi w:val="0"/>
              <w:adjustRightInd w:val="0"/>
              <w:snapToGrid w:val="0"/>
              <w:spacing w:line="360" w:lineRule="auto"/>
              <w:rPr>
                <w:rFonts w:hint="eastAsia" w:ascii="宋体" w:hAnsi="宋体" w:eastAsia="宋体" w:cs="宋体"/>
                <w:b/>
                <w:bCs/>
                <w:i/>
                <w:iCs/>
                <w:kern w:val="2"/>
                <w:sz w:val="24"/>
                <w:szCs w:val="24"/>
                <w:u w:val="single"/>
              </w:rPr>
            </w:pPr>
            <w:r>
              <w:rPr>
                <w:rFonts w:hint="eastAsia" w:ascii="宋体" w:hAnsi="宋体" w:eastAsia="宋体" w:cs="宋体"/>
                <w:b/>
                <w:bCs/>
                <w:i/>
                <w:iCs/>
                <w:kern w:val="2"/>
                <w:sz w:val="24"/>
                <w:szCs w:val="24"/>
                <w:u w:val="single"/>
              </w:rPr>
              <w:t>（3）</w:t>
            </w:r>
            <w:r>
              <w:rPr>
                <w:rFonts w:hint="eastAsia" w:ascii="宋体" w:hAnsi="宋体" w:eastAsia="宋体" w:cs="宋体"/>
                <w:b/>
                <w:i/>
                <w:iCs/>
                <w:kern w:val="2"/>
                <w:sz w:val="24"/>
                <w:szCs w:val="24"/>
                <w:u w:val="single"/>
              </w:rPr>
              <w:t>机房系统维护保障</w:t>
            </w:r>
            <w:r>
              <w:rPr>
                <w:rFonts w:hint="eastAsia" w:ascii="宋体" w:hAnsi="宋体" w:eastAsia="宋体" w:cs="宋体"/>
                <w:b/>
                <w:bCs/>
                <w:i/>
                <w:iCs/>
                <w:kern w:val="2"/>
                <w:sz w:val="24"/>
                <w:szCs w:val="24"/>
                <w:u w:val="single"/>
              </w:rPr>
              <w:t>驻场人员应当保持7*24小时值班，发现驻场人员未按规定值班备勤或擅离职守的，每人每次处罚3000元；供应商派驻的工程师得不到采购人认可或中途变更驻场工程师（未得到采购人确认），扣除合同审计结算金额的10%。</w:t>
            </w:r>
          </w:p>
          <w:p w14:paraId="1F3DE7F4">
            <w:pPr>
              <w:pageBreakBefore w:val="0"/>
              <w:kinsoku/>
              <w:wordWrap w:val="0"/>
              <w:overflowPunct/>
              <w:topLinePunct w:val="0"/>
              <w:bidi w:val="0"/>
              <w:adjustRightInd w:val="0"/>
              <w:snapToGrid w:val="0"/>
              <w:spacing w:line="360" w:lineRule="auto"/>
              <w:jc w:val="left"/>
              <w:rPr>
                <w:rFonts w:hint="eastAsia" w:ascii="宋体" w:hAnsi="宋体" w:eastAsia="宋体" w:cs="宋体"/>
                <w:b/>
                <w:bCs/>
                <w:i/>
                <w:iCs/>
                <w:kern w:val="2"/>
                <w:sz w:val="24"/>
                <w:szCs w:val="24"/>
                <w:u w:val="single"/>
              </w:rPr>
            </w:pPr>
            <w:r>
              <w:rPr>
                <w:rFonts w:hint="eastAsia" w:ascii="宋体" w:hAnsi="宋体" w:eastAsia="宋体" w:cs="宋体"/>
                <w:b/>
                <w:bCs/>
                <w:i/>
                <w:iCs/>
                <w:kern w:val="2"/>
                <w:sz w:val="24"/>
                <w:szCs w:val="24"/>
                <w:u w:val="single"/>
              </w:rPr>
              <w:t>（4）每年一次对本项目系统、机房进行全面检修、维护保养（电力供应、UPS、布线、地板底座空间、设备除尘等），并提供书面报告，否则每次扣5000元。</w:t>
            </w:r>
          </w:p>
          <w:p w14:paraId="6BEEC955">
            <w:pPr>
              <w:pageBreakBefore w:val="0"/>
              <w:kinsoku/>
              <w:wordWrap w:val="0"/>
              <w:overflowPunct/>
              <w:topLinePunct w:val="0"/>
              <w:bidi w:val="0"/>
              <w:adjustRightInd w:val="0"/>
              <w:snapToGrid w:val="0"/>
              <w:spacing w:line="360" w:lineRule="auto"/>
              <w:jc w:val="left"/>
              <w:rPr>
                <w:rFonts w:hint="eastAsia" w:ascii="宋体" w:hAnsi="宋体" w:eastAsia="宋体" w:cs="宋体"/>
                <w:b/>
                <w:bCs/>
                <w:i/>
                <w:iCs/>
                <w:kern w:val="2"/>
                <w:sz w:val="24"/>
                <w:szCs w:val="24"/>
                <w:u w:val="single"/>
              </w:rPr>
            </w:pPr>
            <w:r>
              <w:rPr>
                <w:rFonts w:hint="eastAsia" w:ascii="宋体" w:hAnsi="宋体" w:eastAsia="宋体" w:cs="宋体"/>
                <w:b/>
                <w:bCs/>
                <w:i/>
                <w:iCs/>
                <w:kern w:val="2"/>
                <w:sz w:val="24"/>
                <w:szCs w:val="24"/>
                <w:u w:val="single"/>
              </w:rPr>
              <w:t>（5）遇到重大活动、重要保障任务及重要警情任务时，接到采购人通知须无条件执行采购人保障要求及人员安排，如无故不执行保障要求的，每人次扣款5000元。</w:t>
            </w:r>
          </w:p>
          <w:p w14:paraId="10826838">
            <w:pPr>
              <w:pageBreakBefore w:val="0"/>
              <w:kinsoku/>
              <w:wordWrap w:val="0"/>
              <w:overflowPunct/>
              <w:topLinePunct w:val="0"/>
              <w:bidi w:val="0"/>
              <w:adjustRightInd w:val="0"/>
              <w:snapToGrid w:val="0"/>
              <w:spacing w:line="360" w:lineRule="auto"/>
              <w:rPr>
                <w:rFonts w:hint="eastAsia" w:ascii="宋体" w:hAnsi="宋体" w:eastAsia="宋体" w:cs="宋体"/>
                <w:b/>
                <w:bCs/>
                <w:i/>
                <w:iCs/>
                <w:kern w:val="2"/>
                <w:sz w:val="24"/>
                <w:szCs w:val="24"/>
                <w:u w:val="single"/>
              </w:rPr>
            </w:pPr>
            <w:r>
              <w:rPr>
                <w:rFonts w:hint="eastAsia" w:ascii="宋体" w:hAnsi="宋体" w:eastAsia="宋体" w:cs="宋体"/>
                <w:b/>
                <w:bCs/>
                <w:i/>
                <w:iCs/>
                <w:kern w:val="2"/>
                <w:sz w:val="24"/>
                <w:szCs w:val="24"/>
                <w:u w:val="single"/>
              </w:rPr>
              <w:t>（</w:t>
            </w:r>
            <w:r>
              <w:rPr>
                <w:rFonts w:hint="eastAsia" w:ascii="宋体" w:hAnsi="宋体" w:eastAsia="宋体" w:cs="宋体"/>
                <w:b/>
                <w:bCs/>
                <w:i/>
                <w:iCs/>
                <w:kern w:val="2"/>
                <w:sz w:val="24"/>
                <w:szCs w:val="24"/>
                <w:u w:val="single"/>
                <w:lang w:val="en-US" w:eastAsia="zh-CN"/>
              </w:rPr>
              <w:t>6</w:t>
            </w:r>
            <w:r>
              <w:rPr>
                <w:rFonts w:hint="eastAsia" w:ascii="宋体" w:hAnsi="宋体" w:eastAsia="宋体" w:cs="宋体"/>
                <w:b/>
                <w:bCs/>
                <w:i/>
                <w:iCs/>
                <w:kern w:val="2"/>
                <w:sz w:val="24"/>
                <w:szCs w:val="24"/>
                <w:u w:val="single"/>
              </w:rPr>
              <w:t>）年度考核得分低于80分的，扣除合同审计结算金额的30%。</w:t>
            </w:r>
          </w:p>
          <w:p w14:paraId="1254E0B6">
            <w:pPr>
              <w:pageBreakBefore w:val="0"/>
              <w:kinsoku/>
              <w:wordWrap w:val="0"/>
              <w:overflowPunct/>
              <w:topLinePunct w:val="0"/>
              <w:bidi w:val="0"/>
              <w:adjustRightInd w:val="0"/>
              <w:snapToGrid w:val="0"/>
              <w:spacing w:line="360" w:lineRule="auto"/>
              <w:rPr>
                <w:rFonts w:hint="eastAsia" w:ascii="宋体" w:hAnsi="宋体" w:eastAsia="宋体" w:cs="宋体"/>
                <w:b/>
                <w:bCs/>
                <w:i/>
                <w:iCs/>
                <w:kern w:val="2"/>
                <w:sz w:val="24"/>
                <w:szCs w:val="24"/>
                <w:u w:val="single"/>
              </w:rPr>
            </w:pPr>
            <w:r>
              <w:rPr>
                <w:rFonts w:hint="eastAsia" w:ascii="宋体" w:hAnsi="宋体" w:eastAsia="宋体" w:cs="宋体"/>
                <w:b/>
                <w:bCs/>
                <w:i/>
                <w:iCs/>
                <w:kern w:val="2"/>
                <w:sz w:val="24"/>
                <w:szCs w:val="24"/>
                <w:u w:val="single"/>
              </w:rPr>
              <w:t>（</w:t>
            </w:r>
            <w:r>
              <w:rPr>
                <w:rFonts w:hint="eastAsia" w:ascii="宋体" w:hAnsi="宋体" w:eastAsia="宋体" w:cs="宋体"/>
                <w:b/>
                <w:bCs/>
                <w:i/>
                <w:iCs/>
                <w:kern w:val="2"/>
                <w:sz w:val="24"/>
                <w:szCs w:val="24"/>
                <w:u w:val="single"/>
                <w:lang w:val="en-US" w:eastAsia="zh-CN"/>
              </w:rPr>
              <w:t>7</w:t>
            </w:r>
            <w:r>
              <w:rPr>
                <w:rFonts w:hint="eastAsia" w:ascii="宋体" w:hAnsi="宋体" w:eastAsia="宋体" w:cs="宋体"/>
                <w:b/>
                <w:bCs/>
                <w:i/>
                <w:iCs/>
                <w:kern w:val="2"/>
                <w:sz w:val="24"/>
                <w:szCs w:val="24"/>
                <w:u w:val="single"/>
              </w:rPr>
              <w:t>）月度考核得分连续两个月低于60分的，甲方有权终止维保服务合同。</w:t>
            </w:r>
          </w:p>
          <w:p w14:paraId="42245AC7">
            <w:pPr>
              <w:pageBreakBefore w:val="0"/>
              <w:kinsoku/>
              <w:wordWrap w:val="0"/>
              <w:overflowPunct/>
              <w:topLinePunct w:val="0"/>
              <w:bidi w:val="0"/>
              <w:adjustRightInd w:val="0"/>
              <w:snapToGrid w:val="0"/>
              <w:spacing w:line="360" w:lineRule="auto"/>
              <w:rPr>
                <w:rFonts w:hint="eastAsia" w:ascii="宋体" w:hAnsi="宋体" w:eastAsia="宋体" w:cs="宋体"/>
                <w:b/>
                <w:bCs/>
                <w:i/>
                <w:iCs/>
                <w:kern w:val="2"/>
                <w:sz w:val="24"/>
                <w:szCs w:val="24"/>
                <w:u w:val="single"/>
              </w:rPr>
            </w:pPr>
            <w:r>
              <w:rPr>
                <w:rFonts w:hint="eastAsia" w:ascii="宋体" w:hAnsi="宋体" w:eastAsia="宋体" w:cs="宋体"/>
                <w:b/>
                <w:bCs/>
                <w:i/>
                <w:iCs/>
                <w:kern w:val="2"/>
                <w:sz w:val="24"/>
                <w:szCs w:val="24"/>
                <w:u w:val="single"/>
              </w:rPr>
              <w:t>（</w:t>
            </w:r>
            <w:r>
              <w:rPr>
                <w:rFonts w:hint="eastAsia" w:ascii="宋体" w:hAnsi="宋体" w:eastAsia="宋体" w:cs="宋体"/>
                <w:b/>
                <w:bCs/>
                <w:i/>
                <w:iCs/>
                <w:kern w:val="2"/>
                <w:sz w:val="24"/>
                <w:szCs w:val="24"/>
                <w:u w:val="single"/>
                <w:lang w:val="en-US" w:eastAsia="zh-CN"/>
              </w:rPr>
              <w:t>8</w:t>
            </w:r>
            <w:r>
              <w:rPr>
                <w:rFonts w:hint="eastAsia" w:ascii="宋体" w:hAnsi="宋体" w:eastAsia="宋体" w:cs="宋体"/>
                <w:b/>
                <w:bCs/>
                <w:i/>
                <w:iCs/>
                <w:kern w:val="2"/>
                <w:sz w:val="24"/>
                <w:szCs w:val="24"/>
                <w:u w:val="single"/>
              </w:rPr>
              <w:t>）在维保存储设备出现磁盘损坏，存储空间需要优化调整时，成交供应商需及时提供服务，必要时需协调存储设备原厂商提供现场服务，确保存储设备安全正常运行并满足业务应用需要。如发生服务不及时影响业务应用需要的情况（8小时内无法响应用户需求，恢复设备和系统正常运行），出现1次扣除合同审计结算金额的10%，出现2次扣除合同审计结算金额的20%，出现第3次自动中止合同执行，并由中标供应商承担相应的经济及法律责任；发生数据丢失并导致数据资源不能恢复的严重情况自动中止合同执行，并由成交供应商承担相应的经济及法律责任。</w:t>
            </w:r>
          </w:p>
          <w:p w14:paraId="535A0CD5">
            <w:pPr>
              <w:pageBreakBefore w:val="0"/>
              <w:kinsoku/>
              <w:wordWrap w:val="0"/>
              <w:overflowPunct/>
              <w:topLinePunct w:val="0"/>
              <w:bidi w:val="0"/>
              <w:adjustRightInd w:val="0"/>
              <w:snapToGrid w:val="0"/>
              <w:spacing w:line="360" w:lineRule="auto"/>
              <w:rPr>
                <w:rFonts w:hint="eastAsia" w:ascii="宋体" w:hAnsi="宋体" w:eastAsia="宋体" w:cs="宋体"/>
                <w:b/>
                <w:bCs/>
                <w:i/>
                <w:iCs/>
                <w:kern w:val="2"/>
                <w:sz w:val="24"/>
                <w:szCs w:val="24"/>
                <w:u w:val="single"/>
              </w:rPr>
            </w:pPr>
            <w:r>
              <w:rPr>
                <w:rFonts w:hint="eastAsia" w:ascii="宋体" w:hAnsi="宋体" w:eastAsia="宋体" w:cs="宋体"/>
                <w:b/>
                <w:bCs/>
                <w:i/>
                <w:iCs/>
                <w:kern w:val="2"/>
                <w:sz w:val="24"/>
                <w:szCs w:val="24"/>
                <w:u w:val="single"/>
              </w:rPr>
              <w:t>（</w:t>
            </w:r>
            <w:r>
              <w:rPr>
                <w:rFonts w:hint="eastAsia" w:ascii="宋体" w:hAnsi="宋体" w:eastAsia="宋体" w:cs="宋体"/>
                <w:b/>
                <w:bCs/>
                <w:i/>
                <w:iCs/>
                <w:kern w:val="2"/>
                <w:sz w:val="24"/>
                <w:szCs w:val="24"/>
                <w:u w:val="single"/>
                <w:lang w:val="en-US" w:eastAsia="zh-CN"/>
              </w:rPr>
              <w:t>9</w:t>
            </w:r>
            <w:r>
              <w:rPr>
                <w:rFonts w:hint="eastAsia" w:ascii="宋体" w:hAnsi="宋体" w:eastAsia="宋体" w:cs="宋体"/>
                <w:b/>
                <w:bCs/>
                <w:i/>
                <w:iCs/>
                <w:kern w:val="2"/>
                <w:sz w:val="24"/>
                <w:szCs w:val="24"/>
                <w:u w:val="single"/>
              </w:rPr>
              <w:t>）系统设备发生故障后，在规定时间内无法解决技术问题和更新故障软硬件，直接影响用户正常开展业务工作的，采购人有权选择第三方公司提供服务，所需费用由供应商承担，从合同总金额中无条件扣除，并每天/次扣除合同审计结算金额0.5%的违约金。</w:t>
            </w:r>
          </w:p>
          <w:p w14:paraId="3252B351">
            <w:pPr>
              <w:pageBreakBefore w:val="0"/>
              <w:kinsoku/>
              <w:wordWrap w:val="0"/>
              <w:overflowPunct/>
              <w:topLinePunct w:val="0"/>
              <w:bidi w:val="0"/>
              <w:adjustRightInd w:val="0"/>
              <w:snapToGrid w:val="0"/>
              <w:spacing w:line="360" w:lineRule="auto"/>
              <w:jc w:val="left"/>
              <w:rPr>
                <w:rFonts w:hint="eastAsia" w:ascii="宋体" w:hAnsi="宋体" w:eastAsia="宋体" w:cs="宋体"/>
                <w:b/>
                <w:bCs/>
                <w:i/>
                <w:iCs/>
                <w:color w:val="FF0000"/>
                <w:kern w:val="2"/>
                <w:sz w:val="24"/>
                <w:szCs w:val="24"/>
                <w:u w:val="single"/>
              </w:rPr>
            </w:pPr>
            <w:r>
              <w:rPr>
                <w:rFonts w:hint="eastAsia" w:ascii="宋体" w:hAnsi="宋体" w:eastAsia="宋体" w:cs="宋体"/>
                <w:b/>
                <w:bCs/>
                <w:i/>
                <w:iCs/>
                <w:kern w:val="2"/>
                <w:sz w:val="24"/>
                <w:szCs w:val="24"/>
                <w:u w:val="single"/>
              </w:rPr>
              <w:t>（1</w:t>
            </w:r>
            <w:r>
              <w:rPr>
                <w:rFonts w:hint="eastAsia" w:ascii="宋体" w:hAnsi="宋体" w:eastAsia="宋体" w:cs="宋体"/>
                <w:b/>
                <w:bCs/>
                <w:i/>
                <w:iCs/>
                <w:kern w:val="2"/>
                <w:sz w:val="24"/>
                <w:szCs w:val="24"/>
                <w:u w:val="single"/>
                <w:lang w:val="en-US" w:eastAsia="zh-CN"/>
              </w:rPr>
              <w:t>0</w:t>
            </w:r>
            <w:r>
              <w:rPr>
                <w:rFonts w:hint="eastAsia" w:ascii="宋体" w:hAnsi="宋体" w:eastAsia="宋体" w:cs="宋体"/>
                <w:b/>
                <w:bCs/>
                <w:i/>
                <w:iCs/>
                <w:kern w:val="2"/>
                <w:sz w:val="24"/>
                <w:szCs w:val="24"/>
                <w:u w:val="single"/>
              </w:rPr>
              <w:t>）被使用一次一票否决项，扣除合同审计结算金额的15%。</w:t>
            </w:r>
          </w:p>
        </w:tc>
      </w:tr>
    </w:tbl>
    <w:p w14:paraId="389E4AE3">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kern w:val="2"/>
          <w:sz w:val="24"/>
          <w:szCs w:val="24"/>
        </w:rPr>
      </w:pPr>
    </w:p>
    <w:p w14:paraId="759454BD">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服务技术要求</w:t>
      </w:r>
    </w:p>
    <w:p w14:paraId="58386605">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1.服务范围</w:t>
      </w:r>
    </w:p>
    <w:p w14:paraId="4EE656CD">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rPr>
        <w:t>1.1</w:t>
      </w:r>
      <w:r>
        <w:rPr>
          <w:rFonts w:hint="eastAsia" w:ascii="宋体" w:hAnsi="宋体" w:eastAsia="宋体" w:cs="宋体"/>
          <w:kern w:val="2"/>
          <w:sz w:val="24"/>
          <w:szCs w:val="24"/>
        </w:rPr>
        <w:t>机房设备维保</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对连云港市公安局九岭中心机房及相关附属机房相关过保软硬件设备提供延长质保</w:t>
      </w:r>
      <w:r>
        <w:rPr>
          <w:rFonts w:hint="eastAsia" w:ascii="宋体" w:hAnsi="宋体" w:eastAsia="宋体" w:cs="宋体"/>
          <w:kern w:val="2"/>
          <w:sz w:val="24"/>
          <w:szCs w:val="24"/>
          <w:lang w:eastAsia="zh-CN"/>
        </w:rPr>
        <w:t>服务</w:t>
      </w:r>
      <w:r>
        <w:rPr>
          <w:rFonts w:hint="eastAsia" w:ascii="宋体" w:hAnsi="宋体" w:eastAsia="宋体" w:cs="宋体"/>
          <w:kern w:val="2"/>
          <w:sz w:val="24"/>
          <w:szCs w:val="24"/>
        </w:rPr>
        <w:t>至本项目服务期满（项目服务期内新增硬件设备的质保及运维保障服务，应纳入该维保）。涉及的所有软硬件</w:t>
      </w:r>
      <w:r>
        <w:rPr>
          <w:rFonts w:hint="eastAsia" w:ascii="宋体" w:hAnsi="宋体" w:eastAsia="宋体" w:cs="宋体"/>
          <w:kern w:val="2"/>
          <w:sz w:val="24"/>
          <w:szCs w:val="24"/>
          <w:lang w:eastAsia="zh-CN"/>
        </w:rPr>
        <w:t>应</w:t>
      </w:r>
      <w:r>
        <w:rPr>
          <w:rFonts w:hint="eastAsia" w:ascii="宋体" w:hAnsi="宋体" w:eastAsia="宋体" w:cs="宋体"/>
          <w:kern w:val="2"/>
          <w:sz w:val="24"/>
          <w:szCs w:val="24"/>
        </w:rPr>
        <w:t>进行日常维护、部署、迁移与恢复，确保硬件设备正常、稳定运行。包含机房网络系统安全运维管理，机房硬件设备的日常维护和系统升级，提供快速的备件供应、技术支持、故障处理等服务。重大活动期间提供数据安全保障、提供应急预案、定期举办应急演练、保障通信网络、设备安全运行等。</w:t>
      </w:r>
    </w:p>
    <w:p w14:paraId="304FCD95">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kern w:val="2"/>
          <w:sz w:val="24"/>
          <w:szCs w:val="24"/>
          <w:lang w:val="en-US" w:eastAsia="zh-CN"/>
        </w:rPr>
      </w:pPr>
      <w:r>
        <w:rPr>
          <w:rFonts w:hint="eastAsia" w:ascii="宋体" w:hAnsi="宋体" w:eastAsia="宋体" w:cs="宋体"/>
          <w:b/>
          <w:bCs/>
          <w:kern w:val="2"/>
          <w:sz w:val="24"/>
          <w:szCs w:val="24"/>
          <w:lang w:val="en-US" w:eastAsia="zh-CN"/>
        </w:rPr>
        <w:t>1.2</w:t>
      </w:r>
      <w:r>
        <w:rPr>
          <w:rFonts w:hint="eastAsia" w:ascii="宋体" w:hAnsi="宋体" w:eastAsia="宋体" w:cs="宋体"/>
          <w:kern w:val="2"/>
          <w:sz w:val="24"/>
          <w:szCs w:val="24"/>
        </w:rPr>
        <w:t>机房系统保障</w:t>
      </w:r>
      <w:r>
        <w:rPr>
          <w:rFonts w:hint="eastAsia" w:ascii="宋体" w:hAnsi="宋体" w:eastAsia="宋体" w:cs="宋体"/>
          <w:kern w:val="2"/>
          <w:sz w:val="24"/>
          <w:szCs w:val="24"/>
          <w:lang w:eastAsia="zh-CN"/>
        </w:rPr>
        <w:t>。对</w:t>
      </w:r>
      <w:r>
        <w:rPr>
          <w:rFonts w:hint="eastAsia" w:ascii="宋体" w:hAnsi="宋体" w:eastAsia="宋体" w:cs="宋体"/>
          <w:kern w:val="2"/>
          <w:sz w:val="24"/>
          <w:szCs w:val="24"/>
        </w:rPr>
        <w:t>机房运行设备及动环等设备进行日常巡检、保持机房环境卫生、机房机器上下架、线路、零件等整理</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依托机房运维管理系统，针对运维内容，完善电子台账，详细记录包括但不限于运维设备（软硬件）数量、规格型号、设备状态、故障记录等。</w:t>
      </w:r>
    </w:p>
    <w:p w14:paraId="4EB6CC8F">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rPr>
        <w:t>1.3</w:t>
      </w:r>
      <w:r>
        <w:rPr>
          <w:rFonts w:hint="eastAsia" w:ascii="宋体" w:hAnsi="宋体" w:eastAsia="宋体" w:cs="宋体"/>
          <w:kern w:val="2"/>
          <w:sz w:val="24"/>
          <w:szCs w:val="24"/>
        </w:rPr>
        <w:t>警综平台保障</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对警</w:t>
      </w:r>
      <w:r>
        <w:rPr>
          <w:rFonts w:hint="eastAsia" w:ascii="宋体" w:hAnsi="宋体" w:eastAsia="宋体" w:cs="宋体"/>
          <w:kern w:val="2"/>
          <w:sz w:val="24"/>
          <w:szCs w:val="24"/>
          <w:lang w:eastAsia="zh-CN"/>
        </w:rPr>
        <w:t>综</w:t>
      </w:r>
      <w:r>
        <w:rPr>
          <w:rFonts w:hint="eastAsia" w:ascii="宋体" w:hAnsi="宋体" w:eastAsia="宋体" w:cs="宋体"/>
          <w:kern w:val="2"/>
          <w:sz w:val="24"/>
          <w:szCs w:val="24"/>
        </w:rPr>
        <w:t>平台业务子系统功能进行日常维护，同时完善公安部报表、技防设备、接处警数据监控、数据标签、监所管理等功能，以满足我局日常工作及有关考核要求。</w:t>
      </w:r>
    </w:p>
    <w:p w14:paraId="7C2BD143">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rPr>
        <w:t>2</w:t>
      </w:r>
      <w:r>
        <w:rPr>
          <w:rFonts w:hint="eastAsia" w:ascii="宋体" w:hAnsi="宋体" w:eastAsia="宋体" w:cs="宋体"/>
          <w:b/>
          <w:bCs/>
          <w:kern w:val="2"/>
          <w:sz w:val="24"/>
          <w:szCs w:val="24"/>
        </w:rPr>
        <w:t>.服务要求</w:t>
      </w:r>
    </w:p>
    <w:p w14:paraId="4778505B">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2.1机房设备维保服务要求</w:t>
      </w:r>
    </w:p>
    <w:p w14:paraId="51706FA7">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2.1.1总体服务要求</w:t>
      </w:r>
    </w:p>
    <w:p w14:paraId="70E4454F">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对连云港市公安局九岭中心机房及相关附属机房相关过保硬件设备提供服务，包含318台服务器、20台网络设备、19台存储设备（包含云存储）、9台其他设备等及项目服务期内新增硬件设备的质保及运维保障服务。（维保硬件设备清单请投标供应商在报名后携带数据安全保密承诺书到招标人处拷取）</w:t>
      </w:r>
    </w:p>
    <w:p w14:paraId="44F323F6">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kern w:val="2"/>
          <w:sz w:val="24"/>
          <w:szCs w:val="24"/>
        </w:rPr>
        <w:t>2.1.2</w:t>
      </w:r>
      <w:r>
        <w:rPr>
          <w:rFonts w:hint="eastAsia" w:ascii="宋体" w:hAnsi="宋体" w:eastAsia="宋体" w:cs="宋体"/>
          <w:b/>
          <w:kern w:val="2"/>
          <w:sz w:val="24"/>
          <w:szCs w:val="24"/>
          <w:lang w:val="en-US" w:eastAsia="zh-CN"/>
        </w:rPr>
        <w:t xml:space="preserve"> </w:t>
      </w:r>
      <w:r>
        <w:rPr>
          <w:rFonts w:hint="eastAsia" w:ascii="宋体" w:hAnsi="宋体" w:eastAsia="宋体" w:cs="宋体"/>
          <w:b/>
          <w:bCs/>
          <w:kern w:val="2"/>
          <w:sz w:val="24"/>
          <w:szCs w:val="24"/>
        </w:rPr>
        <w:t>PC服务器</w:t>
      </w:r>
    </w:p>
    <w:p w14:paraId="1A576B08">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每天对PC服务器运行情况进行日常巡检，故障排查与修复。主要内容：操作系统安装以及部署基础环境；系统补丁更新，杀毒软件病毒库的更新；基础环境系统故障发现与修复。检查服务器是否正常运行，是否有指示硬件故障报警，及时处理各类故障告警；检查CPU、内存、磁盘、网络等的使用情况，记录异常信息；在不影响设备及系统正常运行的前提下，清理磁盘的系统垃圾文件；分析判断服务器可能存在的故障隐患及原因，第一时间提出修复、改善建议；微码升级。PC服务器的巡检、故障排查与修复情况须每天进行记录，每周对巡检情况进行汇总，并形成巡检周报。</w:t>
      </w:r>
    </w:p>
    <w:p w14:paraId="2FBCDE10">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kern w:val="2"/>
          <w:sz w:val="24"/>
          <w:szCs w:val="24"/>
        </w:rPr>
        <w:t>2.1.3</w:t>
      </w:r>
      <w:r>
        <w:rPr>
          <w:rFonts w:hint="eastAsia" w:ascii="宋体" w:hAnsi="宋体" w:eastAsia="宋体" w:cs="宋体"/>
          <w:b/>
          <w:bCs/>
          <w:kern w:val="2"/>
          <w:sz w:val="24"/>
          <w:szCs w:val="24"/>
        </w:rPr>
        <w:t>网络安全设备</w:t>
      </w:r>
    </w:p>
    <w:p w14:paraId="6108972F">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每天对网络安全设备运行情况进行巡查、故障排查与修复。主要巡检内容：检查网络设备是否正常运行，是否有指示硬件故障报警，</w:t>
      </w:r>
      <w:r>
        <w:rPr>
          <w:rFonts w:hint="eastAsia" w:ascii="宋体" w:hAnsi="宋体" w:eastAsia="宋体" w:cs="宋体"/>
          <w:bCs/>
          <w:kern w:val="2"/>
          <w:sz w:val="24"/>
          <w:szCs w:val="24"/>
        </w:rPr>
        <w:t>及时处理各类故障告警</w:t>
      </w:r>
      <w:r>
        <w:rPr>
          <w:rFonts w:hint="eastAsia" w:ascii="宋体" w:hAnsi="宋体" w:eastAsia="宋体" w:cs="宋体"/>
          <w:kern w:val="2"/>
          <w:sz w:val="24"/>
          <w:szCs w:val="24"/>
        </w:rPr>
        <w:t>；定期检查网络安全设备负载情况，对达到临界值的设备提出预警；检查IOS等操作系统，通过查看系统日志等方式分析判断系统的运行状况；检查CPU、内存、存储卡等的使用情况，记录异常信息；检查内存交换区、I/O吞吐情况；检查业务板卡工作状况，有无异常情况（如风扇异常声音，电源故障灯亮起等）；检查设备工作状态是否正常（查看设备端口及模块工作状态）；定期备份网络设备配置信息并下载备份；定期更改网络设备登录密码，以保证系统安全稳定运行；对重要事件提供现场支持服务（例如割接、设备搬迁、现网测试、组网方案等）；协助用户进行网络系统性能调整和优化；定期进行软件补丁升级服务；提供技术咨询服务。对网络故障需及时响应，对日常管理中经常出现的故障进行登记造册，总结归类，并形成规范的网络管理文档。网络安全设备的巡检情况须每天记录，</w:t>
      </w:r>
      <w:r>
        <w:rPr>
          <w:rFonts w:hint="eastAsia" w:ascii="宋体" w:hAnsi="宋体" w:eastAsia="宋体" w:cs="宋体"/>
          <w:bCs/>
          <w:kern w:val="2"/>
          <w:sz w:val="24"/>
          <w:szCs w:val="24"/>
        </w:rPr>
        <w:t>每周对巡检情况进行汇总，并形成巡检周报。</w:t>
      </w:r>
      <w:r>
        <w:rPr>
          <w:rFonts w:hint="eastAsia" w:ascii="宋体" w:hAnsi="宋体" w:eastAsia="宋体" w:cs="宋体"/>
          <w:kern w:val="2"/>
          <w:sz w:val="24"/>
          <w:szCs w:val="24"/>
        </w:rPr>
        <w:t>每季度须提供信息系统评估。</w:t>
      </w:r>
    </w:p>
    <w:p w14:paraId="1FB7BF5A">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kern w:val="2"/>
          <w:sz w:val="24"/>
          <w:szCs w:val="24"/>
        </w:rPr>
        <w:t>2.1.4</w:t>
      </w:r>
      <w:r>
        <w:rPr>
          <w:rFonts w:hint="eastAsia" w:ascii="宋体" w:hAnsi="宋体" w:eastAsia="宋体" w:cs="宋体"/>
          <w:b/>
          <w:bCs/>
          <w:kern w:val="2"/>
          <w:sz w:val="24"/>
          <w:szCs w:val="24"/>
        </w:rPr>
        <w:t>存储设备</w:t>
      </w:r>
    </w:p>
    <w:p w14:paraId="6F005641">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每天对存储系统运行情况进行巡查、故障排除与修复。主要巡检内容：检查设备是否正常运行，是否有硬件故障报警；检查存储系统内部是否有故障预警；检查磁盘及虚拟带库的剩余空间；微码升级；分析判断存储系统可能存在的故障隐患及原因，对整个信息系统提供有建设性的优化存储方案和措施。对涉及存储系统的应用系统提供相关解决方案，保证应用系统安全有效运行。对相关故障做好相对应的预案，发生故障时及时有效解决，及时做好故障硬件更换工作，支撑整个业务系统运行。存储系统的巡检情况须每天记录，</w:t>
      </w:r>
      <w:r>
        <w:rPr>
          <w:rFonts w:hint="eastAsia" w:ascii="宋体" w:hAnsi="宋体" w:eastAsia="宋体" w:cs="宋体"/>
          <w:bCs/>
          <w:kern w:val="2"/>
          <w:sz w:val="24"/>
          <w:szCs w:val="24"/>
        </w:rPr>
        <w:t>每周对巡检情况进行汇总，并形成巡检周报。</w:t>
      </w:r>
    </w:p>
    <w:p w14:paraId="3B04352B">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kern w:val="2"/>
          <w:sz w:val="24"/>
          <w:szCs w:val="24"/>
        </w:rPr>
        <w:t>2.1.5</w:t>
      </w:r>
      <w:r>
        <w:rPr>
          <w:rFonts w:hint="eastAsia" w:ascii="宋体" w:hAnsi="宋体" w:eastAsia="宋体" w:cs="宋体"/>
          <w:b/>
          <w:bCs/>
          <w:kern w:val="2"/>
          <w:sz w:val="24"/>
          <w:szCs w:val="24"/>
        </w:rPr>
        <w:t>操作系统服务</w:t>
      </w:r>
    </w:p>
    <w:p w14:paraId="1828CFF0">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对连云港市公安局九岭中心机房所有的操作系统提供服务。</w:t>
      </w:r>
    </w:p>
    <w:p w14:paraId="2A35CEC2">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服务设计：</w:t>
      </w:r>
    </w:p>
    <w:p w14:paraId="127399B4">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（1）安装服务：提供在服务器上按照要求安装操作系统，并安装或升级驱动、杀毒等必要软件。</w:t>
      </w:r>
    </w:p>
    <w:p w14:paraId="711ABC64">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（2）运维服务：定期检查操作系统，通过查看系统日志等方式分析判断系统的运行状况，对风险、故障情况进行运维，使其恢复正常。</w:t>
      </w:r>
    </w:p>
    <w:p w14:paraId="2FF1D68F">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（3）安全服务：在经许可的情况下，扫描系统漏洞，更新操作系统补丁，进行漏洞修复。</w:t>
      </w:r>
    </w:p>
    <w:p w14:paraId="7BD90CB5">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kern w:val="2"/>
          <w:sz w:val="24"/>
          <w:szCs w:val="24"/>
        </w:rPr>
        <w:t>（4）备份服务：在经许可的情况下，提供备份软件，按照采购人要求对操作系统及其上文件进行数据备份、恢复。</w:t>
      </w:r>
    </w:p>
    <w:p w14:paraId="1F492500">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2.1.6应用系统服务</w:t>
      </w:r>
    </w:p>
    <w:p w14:paraId="7530CAAB">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对连云港市公安局九岭中心机房及相关附属机房所有的应用软件</w:t>
      </w:r>
      <w:r>
        <w:rPr>
          <w:rFonts w:hint="eastAsia" w:ascii="宋体" w:hAnsi="宋体" w:eastAsia="宋体" w:cs="宋体"/>
          <w:kern w:val="2"/>
          <w:sz w:val="24"/>
          <w:szCs w:val="24"/>
          <w:lang w:eastAsia="zh-CN"/>
        </w:rPr>
        <w:t>、中间件等</w:t>
      </w:r>
      <w:r>
        <w:rPr>
          <w:rFonts w:hint="eastAsia" w:ascii="宋体" w:hAnsi="宋体" w:eastAsia="宋体" w:cs="宋体"/>
          <w:kern w:val="2"/>
          <w:sz w:val="24"/>
          <w:szCs w:val="24"/>
        </w:rPr>
        <w:t>提供服务。</w:t>
      </w:r>
    </w:p>
    <w:p w14:paraId="619FA191">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服务设计：</w:t>
      </w:r>
    </w:p>
    <w:p w14:paraId="6FC031B1">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（1）安装服务：按照甲方要求在系统上按照甲方要求安装指定应用软件，并进行配置优化。</w:t>
      </w:r>
    </w:p>
    <w:p w14:paraId="4312D005">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（2）运维服务：定期检查应用软件，通过查看日志等方式分析判断运行状况，对风险、故障情况进行处理，使其恢复正常。</w:t>
      </w:r>
    </w:p>
    <w:p w14:paraId="60C74D4B">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（3）安全服务：扫描应用软件漏洞，在经许可的情况下，更新补丁，进行漏洞</w:t>
      </w:r>
      <w:r>
        <w:rPr>
          <w:rFonts w:hint="eastAsia" w:ascii="宋体" w:hAnsi="宋体" w:eastAsia="宋体" w:cs="宋体"/>
          <w:kern w:val="2"/>
          <w:sz w:val="24"/>
          <w:szCs w:val="24"/>
          <w:lang w:eastAsia="zh-CN"/>
        </w:rPr>
        <w:t>和弱口令</w:t>
      </w:r>
      <w:r>
        <w:rPr>
          <w:rFonts w:hint="eastAsia" w:ascii="宋体" w:hAnsi="宋体" w:eastAsia="宋体" w:cs="宋体"/>
          <w:kern w:val="2"/>
          <w:sz w:val="24"/>
          <w:szCs w:val="24"/>
        </w:rPr>
        <w:t>修复。</w:t>
      </w:r>
    </w:p>
    <w:p w14:paraId="6DBC89B9">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（4）备份服务：提供备份软件，在经许可的情况下，按照甲方要求对所有应用进行备份、恢复。</w:t>
      </w:r>
    </w:p>
    <w:p w14:paraId="6CA35E62">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kern w:val="2"/>
          <w:sz w:val="24"/>
          <w:szCs w:val="24"/>
        </w:rPr>
        <w:t>2.1.7</w:t>
      </w:r>
      <w:r>
        <w:rPr>
          <w:rFonts w:hint="eastAsia" w:ascii="宋体" w:hAnsi="宋体" w:eastAsia="宋体" w:cs="宋体"/>
          <w:b/>
          <w:bCs/>
          <w:kern w:val="2"/>
          <w:sz w:val="24"/>
          <w:szCs w:val="24"/>
        </w:rPr>
        <w:t>数据库服务</w:t>
      </w:r>
    </w:p>
    <w:p w14:paraId="10D4E292">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对连云港市公安局九岭中心机房及相关附属机房所有的数据库提供服务。</w:t>
      </w:r>
    </w:p>
    <w:p w14:paraId="4095BA51">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服务设计：</w:t>
      </w:r>
    </w:p>
    <w:p w14:paraId="2F78CC4E">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（1）安装服务：提供在系统上按照甲方要求安装指定数据库软件，并进行配置优化。</w:t>
      </w:r>
    </w:p>
    <w:p w14:paraId="31E92128">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（2）数据库日常维护：对负责保障的数据库进行日常巡检、维护和性能监控，及时发现问题隐患并快速处置，及时完成日志清理、参数调整、扩充表空间、新增磁盘（含ASM扩盘）等工作；</w:t>
      </w:r>
    </w:p>
    <w:p w14:paraId="24C5DE72">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3）数据库备份：使用数据备份软件或编写脚本，对已有或新上线的数据库进行备份，备份方式及备份策略能够有效应对主机、存储损坏以及数据误删除等运行事故，保障数据安全，并符合省厅运行考核对数据备份的要求；</w:t>
      </w:r>
    </w:p>
    <w:p w14:paraId="3F5E2049">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（4）数据库灾难恢复：对突发的数据灾难事故，使用相关备份数据进行数据恢复；</w:t>
      </w:r>
    </w:p>
    <w:p w14:paraId="45EF3433">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（5）数据库迁移：当采购人有新旧设备置换时，使用合适的技术手段完成数据库迁移工作；</w:t>
      </w:r>
    </w:p>
    <w:p w14:paraId="7A246350">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lang w:eastAsia="zh-CN"/>
        </w:rPr>
      </w:pPr>
      <w:r>
        <w:rPr>
          <w:rFonts w:hint="eastAsia" w:ascii="宋体" w:hAnsi="宋体" w:eastAsia="宋体" w:cs="宋体"/>
          <w:bCs/>
          <w:kern w:val="2"/>
          <w:sz w:val="24"/>
          <w:szCs w:val="24"/>
        </w:rPr>
        <w:t>（6）数据库日常监控：对数据库运行状态及各项指标进行监控，根据监控结果进行问题预警及数据库优化配置工作</w:t>
      </w:r>
      <w:r>
        <w:rPr>
          <w:rFonts w:hint="eastAsia" w:ascii="宋体" w:hAnsi="宋体" w:eastAsia="宋体" w:cs="宋体"/>
          <w:bCs/>
          <w:kern w:val="2"/>
          <w:sz w:val="24"/>
          <w:szCs w:val="24"/>
          <w:lang w:eastAsia="zh-CN"/>
        </w:rPr>
        <w:t>；</w:t>
      </w:r>
    </w:p>
    <w:p w14:paraId="4ABCA5E7">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（7）数据库故障处理：数据库出现重大故障，影响业务运行时，须立即赶到采购人现场对数据库进行故障排除，业务恢复；</w:t>
      </w:r>
    </w:p>
    <w:p w14:paraId="45FD1685">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（8）数据系统软件升级：按照采购人要求完成数据库系统软件升级工作。</w:t>
      </w:r>
    </w:p>
    <w:p w14:paraId="251842E9">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9）数据库产品系统健康检查：定期对数据库集群运行状况进行全面健康度检查；降低系统潜在的风险，包括数据丢失、安全漏洞、系统崩溃、性能降低及资源紧张；检查并分析系统日志及跟踪文件，发现并排除数据库系统错误隐患；检查数据库系统是否需要应用最新的补丁集；检查数据库空间的使用情况；协助进行数据库空间的规划管理；检查数据库备份的完整性：监控数据库性能：确认采购人应用系统对数据库的资源需求：查找采购人数据库性能问题，并进行性能优化；通过改善系统环境的稳定性来降低潜在的系统宕机时间；</w:t>
      </w:r>
    </w:p>
    <w:p w14:paraId="32464A7A">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10）数据库产品性能调优：分析采购人的应用类型和采购人行为：评价并修改ORACLE数据库的参数设置；评价并调整ORACLE数据库的数据分布：评价应用对硬件和系统的使用情况，并提出建议；利用性能调整工具实施数据库的性能调整。</w:t>
      </w:r>
    </w:p>
    <w:p w14:paraId="322CCFE7">
      <w:pPr>
        <w:pageBreakBefore w:val="0"/>
        <w:kinsoku/>
        <w:wordWrap w:val="0"/>
        <w:overflowPunct/>
        <w:topLinePunct w:val="0"/>
        <w:autoSpaceDE w:val="0"/>
        <w:autoSpaceDN w:val="0"/>
        <w:bidi w:val="0"/>
        <w:adjustRightInd w:val="0"/>
        <w:snapToGrid w:val="0"/>
        <w:spacing w:line="360" w:lineRule="auto"/>
        <w:ind w:firstLine="480" w:firstLineChars="200"/>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（11）其他工作：其他交办的数据库维护管理工作。</w:t>
      </w:r>
    </w:p>
    <w:p w14:paraId="7938629F">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kern w:val="2"/>
          <w:sz w:val="24"/>
          <w:szCs w:val="24"/>
        </w:rPr>
        <w:t>2.1.8</w:t>
      </w:r>
      <w:r>
        <w:rPr>
          <w:rFonts w:hint="eastAsia" w:ascii="宋体" w:hAnsi="宋体" w:eastAsia="宋体" w:cs="宋体"/>
          <w:b/>
          <w:bCs/>
          <w:kern w:val="2"/>
          <w:sz w:val="24"/>
          <w:szCs w:val="24"/>
        </w:rPr>
        <w:t>虚拟化平台服务</w:t>
      </w:r>
    </w:p>
    <w:p w14:paraId="744C4AC3">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
          <w:kern w:val="2"/>
          <w:sz w:val="24"/>
          <w:szCs w:val="24"/>
        </w:rPr>
      </w:pPr>
      <w:r>
        <w:rPr>
          <w:rFonts w:hint="eastAsia" w:ascii="宋体" w:hAnsi="宋体" w:eastAsia="宋体" w:cs="宋体"/>
          <w:bCs/>
          <w:kern w:val="2"/>
          <w:sz w:val="24"/>
          <w:szCs w:val="24"/>
        </w:rPr>
        <w:t>对连云港市公安局九岭中心机房VMware虚拟化平台进行运行维护。精通VMware虚拟化平台的安装、日常使用、运行维护，按照甲方要求，对虚拟化平台进行安装、扩容、性能分析及预警、故障风险排除。在虚拟化平台上安装部署虚拟机、安装操作系统、配置网络，进行虚拟机迁移等。</w:t>
      </w:r>
    </w:p>
    <w:p w14:paraId="208419C5">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2.1.9警务云大数据平台续保运维</w:t>
      </w:r>
    </w:p>
    <w:p w14:paraId="3C45C6DF">
      <w:pPr>
        <w:pageBreakBefore w:val="0"/>
        <w:kinsoku/>
        <w:wordWrap w:val="0"/>
        <w:overflowPunct/>
        <w:topLinePunct w:val="0"/>
        <w:bidi w:val="0"/>
        <w:adjustRightInd w:val="0"/>
        <w:snapToGrid w:val="0"/>
        <w:spacing w:line="360" w:lineRule="auto"/>
        <w:ind w:firstLine="480" w:firstLineChars="200"/>
        <w:jc w:val="left"/>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硬件方面：针对警务云位于移动机房内的3台OceanStore5310V5与9台fusioncube1000设备进行续保；</w:t>
      </w:r>
    </w:p>
    <w:p w14:paraId="49AD716A">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软件方面：针对警务云平台、大数据集群、mppdb集群进行续保。</w:t>
      </w:r>
    </w:p>
    <w:p w14:paraId="08012A15">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2.1.10网络服务</w:t>
      </w:r>
    </w:p>
    <w:p w14:paraId="73C0443F">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网络安全维护，物理网络设计、管理与维护。网络故障排查，修复。</w:t>
      </w:r>
    </w:p>
    <w:p w14:paraId="56C2210A">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（1）巡检：服务期内须每月对机房内部网络及网络交换机配置进行一次全面巡检，发现问题及时上报和处置；</w:t>
      </w:r>
    </w:p>
    <w:p w14:paraId="5FA9F0BF">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rPr>
        <w:t>（2）故障处置：当机房内部网络出现故障时，及时对网络故障进行解决</w:t>
      </w:r>
      <w:r>
        <w:rPr>
          <w:rFonts w:hint="eastAsia" w:ascii="宋体" w:hAnsi="宋体" w:eastAsia="宋体" w:cs="宋体"/>
          <w:kern w:val="2"/>
          <w:sz w:val="24"/>
          <w:szCs w:val="24"/>
          <w:lang w:eastAsia="zh-CN"/>
        </w:rPr>
        <w:t>；</w:t>
      </w:r>
    </w:p>
    <w:p w14:paraId="65B6864C">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网络配置：根据业务需求，对机房内部网络设备进行配置，根据现场设备情况，对线缆打标签，并快速查找并定位线路故障。在网络资源（IP地址）合理利用的基础上，能够最大程度上有效规划。在现有机房的规划上，对于新增加的设备设定及线路配置，能给出合理化方案及建议。</w:t>
      </w:r>
    </w:p>
    <w:p w14:paraId="314B75C9">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（4）台账维护：根据要求，建立健全机房内部网络台账、拓扑图等基础信息，并定期更新与维护按季度提供信息系统评估。</w:t>
      </w:r>
    </w:p>
    <w:p w14:paraId="3891061D">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2.2机房系统保障服务要求</w:t>
      </w:r>
    </w:p>
    <w:p w14:paraId="61F6E1BE">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bCs/>
          <w:kern w:val="2"/>
          <w:sz w:val="24"/>
          <w:szCs w:val="24"/>
        </w:rPr>
        <w:t>按照机房环境要求及供电、UPS、精密空调、动环等设备现场运行情况制定运维服务方案。运维内容如下：</w:t>
      </w:r>
    </w:p>
    <w:p w14:paraId="1ECCAE5C">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kern w:val="2"/>
          <w:sz w:val="24"/>
          <w:szCs w:val="24"/>
        </w:rPr>
        <w:t>2.2.1</w:t>
      </w:r>
      <w:r>
        <w:rPr>
          <w:rFonts w:hint="eastAsia" w:ascii="宋体" w:hAnsi="宋体" w:eastAsia="宋体" w:cs="宋体"/>
          <w:b/>
          <w:bCs/>
          <w:kern w:val="2"/>
          <w:sz w:val="24"/>
          <w:szCs w:val="24"/>
        </w:rPr>
        <w:t>供配电监测系统</w:t>
      </w:r>
    </w:p>
    <w:p w14:paraId="15CF514E">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定期联系原厂开展巡检，协助做好检查结果记录。记录内容包括：输入输出配电柜及线缆，测量输入输出开关、线缆载流量的实际值和UPS显示值的区别。线缆外观有无破损，线缆交叉的情况，连接点的温度是否正常。线缆是否存在局部过热，通风是否良好。</w:t>
      </w:r>
    </w:p>
    <w:p w14:paraId="0D76A8D2">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2.2.2机房动环监控设备维护管理</w:t>
      </w:r>
    </w:p>
    <w:p w14:paraId="2216F0B2">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对动环监控系统及设备的运行情况进行监控，发现故障时及时通知相应维护人员并进行事件记录。</w:t>
      </w:r>
    </w:p>
    <w:p w14:paraId="7A492077">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2.2.3UPS及电池维护管理</w:t>
      </w:r>
    </w:p>
    <w:p w14:paraId="7715952E">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（1）UPS主机外观检查：面板显示、案件、指示灯、风扇运行是否正常；</w:t>
      </w:r>
    </w:p>
    <w:p w14:paraId="454DB567">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（2）电池外观检查：外观是否变形、渗漏，安全阀周围有无液体；</w:t>
      </w:r>
    </w:p>
    <w:p w14:paraId="1D446B7E">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发现异常时及时通知相应维护人员并进行事件记录。</w:t>
      </w:r>
    </w:p>
    <w:p w14:paraId="27AF9D4B">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2.2.4机房空调维护管理</w:t>
      </w:r>
    </w:p>
    <w:p w14:paraId="01EC390A">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lang w:eastAsia="zh-CN"/>
        </w:rPr>
      </w:pPr>
      <w:r>
        <w:rPr>
          <w:rFonts w:hint="eastAsia" w:ascii="宋体" w:hAnsi="宋体" w:eastAsia="宋体" w:cs="宋体"/>
          <w:bCs/>
          <w:kern w:val="2"/>
          <w:sz w:val="24"/>
          <w:szCs w:val="24"/>
        </w:rPr>
        <w:t>对机房空调的工作状态进行监控，发现异常时及时通知相应维护人员并进行事件记录</w:t>
      </w:r>
      <w:r>
        <w:rPr>
          <w:rFonts w:hint="eastAsia" w:ascii="宋体" w:hAnsi="宋体" w:eastAsia="宋体" w:cs="宋体"/>
          <w:bCs/>
          <w:kern w:val="2"/>
          <w:sz w:val="24"/>
          <w:szCs w:val="24"/>
          <w:lang w:eastAsia="zh-CN"/>
        </w:rPr>
        <w:t>；</w:t>
      </w:r>
    </w:p>
    <w:p w14:paraId="1C6FB4FE">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2.2.5机房消防设备维护管理</w:t>
      </w:r>
    </w:p>
    <w:p w14:paraId="65A9AFE3">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对机房消防设备的工作状态进行监控，发现异常时及时通知相应原厂维护人员并进行事件记录，协助原厂维护人员对各种探测器、手动报警按钮和报警控制器，灭火剂的控制装置进行检查结果记录。</w:t>
      </w:r>
    </w:p>
    <w:p w14:paraId="529F5BD4">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2.2.6机房基础维护管理</w:t>
      </w:r>
    </w:p>
    <w:p w14:paraId="0D637165">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机柜线路的整理、标签检查更换、机房除尘清洁、地板、墙面、吊顶、门窗及有关配套的维护管理。</w:t>
      </w:r>
    </w:p>
    <w:p w14:paraId="225B0B4C">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（1）吊顶表面清洁，板材松动、翘起修复，变形、损坏更换，龙骨调平等；</w:t>
      </w:r>
    </w:p>
    <w:p w14:paraId="03090151">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（2）墙面污迹清理，裂缝修补；</w:t>
      </w:r>
    </w:p>
    <w:p w14:paraId="51FBE1C2">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（3）玻璃清洗，不锈钢清洗，玻璃胶修整，地弹簧校正，拉手螺丝加固；</w:t>
      </w:r>
    </w:p>
    <w:p w14:paraId="6AC5D22E">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（4）静电地板清洗清洁，包括但不限于地板底座空间、地面除尘，缝隙调整，平整度调整，损坏更换；</w:t>
      </w:r>
    </w:p>
    <w:p w14:paraId="255FD131">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（5）接地电阻测试；主接地点除锈、土壤降阻、接头紧固，防雷器检测，接地线触点防氧化加固；</w:t>
      </w:r>
    </w:p>
    <w:p w14:paraId="384C1A7F">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（6）线路测试，模块、光纤配线检查，标签检查，整理凌乱线缆，对机房所发生的故障及时排除，编写更新文档、表格和对应表来显示其物理链路；</w:t>
      </w:r>
    </w:p>
    <w:p w14:paraId="3B7E1797">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（7）机柜除尘、清洁，机柜及网络设备整理，包括交换机、配线架和网线的重新整理、排序，并重新标上统一的编号。</w:t>
      </w:r>
    </w:p>
    <w:p w14:paraId="33C7938D">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2.2.7人员驻场服务</w:t>
      </w:r>
    </w:p>
    <w:p w14:paraId="15213CAB">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val="0"/>
          <w:i/>
          <w:iCs/>
          <w:kern w:val="2"/>
          <w:sz w:val="24"/>
          <w:szCs w:val="24"/>
          <w:u w:val="single"/>
          <w:lang w:eastAsia="zh-CN"/>
        </w:rPr>
      </w:pPr>
      <w:r>
        <w:rPr>
          <w:rFonts w:hint="eastAsia" w:ascii="宋体" w:hAnsi="宋体" w:eastAsia="宋体" w:cs="宋体"/>
          <w:b/>
          <w:bCs w:val="0"/>
          <w:i/>
          <w:iCs/>
          <w:kern w:val="2"/>
          <w:sz w:val="24"/>
          <w:szCs w:val="24"/>
          <w:u w:val="single"/>
        </w:rPr>
        <w:t>（1）要求在合同期内安排至少2名</w:t>
      </w:r>
      <w:r>
        <w:rPr>
          <w:rFonts w:hint="eastAsia" w:ascii="宋体" w:hAnsi="宋体" w:eastAsia="宋体" w:cs="宋体"/>
          <w:b/>
          <w:bCs w:val="0"/>
          <w:i/>
          <w:iCs/>
          <w:kern w:val="2"/>
          <w:sz w:val="24"/>
          <w:szCs w:val="24"/>
          <w:u w:val="single"/>
          <w:lang w:eastAsia="zh-CN"/>
        </w:rPr>
        <w:t>机房运维</w:t>
      </w:r>
      <w:r>
        <w:rPr>
          <w:rFonts w:hint="eastAsia" w:ascii="宋体" w:hAnsi="宋体" w:eastAsia="宋体" w:cs="宋体"/>
          <w:b/>
          <w:bCs w:val="0"/>
          <w:i/>
          <w:iCs/>
          <w:kern w:val="2"/>
          <w:sz w:val="24"/>
          <w:szCs w:val="24"/>
          <w:u w:val="single"/>
        </w:rPr>
        <w:t>驻场，驻场人员要求至少</w:t>
      </w:r>
      <w:r>
        <w:rPr>
          <w:rFonts w:hint="eastAsia" w:ascii="宋体" w:hAnsi="宋体" w:eastAsia="宋体" w:cs="宋体"/>
          <w:b/>
          <w:bCs w:val="0"/>
          <w:i/>
          <w:iCs/>
          <w:kern w:val="2"/>
          <w:sz w:val="24"/>
          <w:szCs w:val="24"/>
          <w:u w:val="single"/>
          <w:lang w:val="en-US" w:eastAsia="zh-CN"/>
        </w:rPr>
        <w:t>3年以上信息化项目运维工作经验</w:t>
      </w:r>
      <w:r>
        <w:rPr>
          <w:rFonts w:hint="eastAsia" w:ascii="宋体" w:hAnsi="宋体" w:eastAsia="宋体" w:cs="宋体"/>
          <w:b/>
          <w:bCs w:val="0"/>
          <w:i/>
          <w:iCs/>
          <w:kern w:val="2"/>
          <w:sz w:val="24"/>
          <w:szCs w:val="24"/>
          <w:u w:val="single"/>
        </w:rPr>
        <w:t>。</w:t>
      </w:r>
      <w:r>
        <w:rPr>
          <w:rFonts w:hint="eastAsia" w:ascii="宋体" w:hAnsi="宋体" w:eastAsia="宋体" w:cs="宋体"/>
          <w:b/>
          <w:bCs w:val="0"/>
          <w:i/>
          <w:iCs/>
          <w:kern w:val="2"/>
          <w:sz w:val="24"/>
          <w:szCs w:val="24"/>
          <w:u w:val="single"/>
          <w:lang w:eastAsia="zh-CN"/>
        </w:rPr>
        <w:t>（</w:t>
      </w:r>
      <w:r>
        <w:rPr>
          <w:rFonts w:hint="eastAsia" w:ascii="宋体" w:hAnsi="宋体" w:eastAsia="宋体" w:cs="宋体"/>
          <w:b/>
          <w:bCs w:val="0"/>
          <w:i/>
          <w:iCs/>
          <w:kern w:val="2"/>
          <w:sz w:val="24"/>
          <w:szCs w:val="24"/>
          <w:u w:val="single"/>
          <w:lang w:val="en-US" w:eastAsia="zh-CN"/>
        </w:rPr>
        <w:t>提供工作履历加盖公章</w:t>
      </w:r>
      <w:r>
        <w:rPr>
          <w:rFonts w:hint="eastAsia" w:ascii="宋体" w:hAnsi="宋体" w:eastAsia="宋体" w:cs="宋体"/>
          <w:b/>
          <w:bCs w:val="0"/>
          <w:i/>
          <w:iCs/>
          <w:kern w:val="2"/>
          <w:sz w:val="24"/>
          <w:szCs w:val="24"/>
          <w:u w:val="single"/>
          <w:lang w:eastAsia="zh-CN"/>
        </w:rPr>
        <w:t>）</w:t>
      </w:r>
    </w:p>
    <w:p w14:paraId="5D94B2E5">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（2）要求有运维支撑团队，能够支撑空调、UPS、机柜、网络、安全、服务器等硬件设备、操作系统、数据库等软件运维服务。</w:t>
      </w:r>
    </w:p>
    <w:p w14:paraId="6CD1F0AA">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val="0"/>
          <w:i/>
          <w:iCs/>
          <w:kern w:val="2"/>
          <w:sz w:val="24"/>
          <w:szCs w:val="24"/>
          <w:u w:val="single"/>
        </w:rPr>
      </w:pPr>
      <w:r>
        <w:rPr>
          <w:rFonts w:hint="eastAsia" w:ascii="宋体" w:hAnsi="宋体" w:eastAsia="宋体" w:cs="宋体"/>
          <w:b/>
          <w:bCs w:val="0"/>
          <w:i/>
          <w:iCs/>
          <w:kern w:val="2"/>
          <w:sz w:val="24"/>
          <w:szCs w:val="24"/>
          <w:u w:val="single"/>
        </w:rPr>
        <w:t>（3）驻场人员需开展7*24小时值班服务（包括节假日），开展日常巡检服务、人员进出管理、设备进出管理、运维平台值守维护、故障处理等机房日常事务。</w:t>
      </w:r>
    </w:p>
    <w:p w14:paraId="0682CD50">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2.2.8应急响应时间要求</w:t>
      </w:r>
    </w:p>
    <w:p w14:paraId="7602D9ED">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eastAsia="zh-CN"/>
        </w:rPr>
        <w:t>对机房各类故障及需求</w:t>
      </w:r>
      <w:r>
        <w:rPr>
          <w:rFonts w:hint="eastAsia" w:ascii="宋体" w:hAnsi="宋体" w:eastAsia="宋体" w:cs="宋体"/>
          <w:kern w:val="2"/>
          <w:sz w:val="24"/>
          <w:szCs w:val="24"/>
        </w:rPr>
        <w:t>提供7*24小时的技术支持和服务。</w:t>
      </w:r>
    </w:p>
    <w:p w14:paraId="7BA94858">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系统故障分为：业务不中断的故障为一般故障</w:t>
      </w: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rPr>
        <w:t>I级</w:t>
      </w: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rPr>
        <w:t>；业务中断的故障为严重故障</w:t>
      </w: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rPr>
        <w:t>Ⅱ级</w:t>
      </w:r>
      <w:r>
        <w:rPr>
          <w:rFonts w:hint="eastAsia" w:ascii="宋体" w:hAnsi="宋体" w:eastAsia="宋体" w:cs="宋体"/>
          <w:bCs/>
          <w:kern w:val="2"/>
          <w:sz w:val="24"/>
          <w:szCs w:val="24"/>
          <w:lang w:eastAsia="zh-CN"/>
        </w:rPr>
        <w:t>）</w:t>
      </w:r>
      <w:r>
        <w:rPr>
          <w:rFonts w:hint="eastAsia" w:ascii="宋体" w:hAnsi="宋体" w:eastAsia="宋体" w:cs="宋体"/>
          <w:bCs/>
          <w:kern w:val="2"/>
          <w:sz w:val="24"/>
          <w:szCs w:val="24"/>
        </w:rPr>
        <w:t>。对于故障抢修涉及</w:t>
      </w:r>
      <w:bookmarkStart w:id="4" w:name="_Toc22709_WPSOffice_Level2"/>
      <w:r>
        <w:rPr>
          <w:rFonts w:hint="eastAsia" w:ascii="宋体" w:hAnsi="宋体" w:eastAsia="宋体" w:cs="宋体"/>
          <w:bCs/>
          <w:kern w:val="2"/>
          <w:sz w:val="24"/>
          <w:szCs w:val="24"/>
        </w:rPr>
        <w:t>的响应时间和故障</w:t>
      </w:r>
      <w:bookmarkEnd w:id="4"/>
      <w:r>
        <w:rPr>
          <w:rFonts w:hint="eastAsia" w:ascii="宋体" w:hAnsi="宋体" w:eastAsia="宋体" w:cs="宋体"/>
          <w:bCs/>
          <w:kern w:val="2"/>
          <w:sz w:val="24"/>
          <w:szCs w:val="24"/>
        </w:rPr>
        <w:t>处置时间的要求如下：</w:t>
      </w:r>
    </w:p>
    <w:p w14:paraId="4B20AA61">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（1）故障响应时间</w:t>
      </w:r>
    </w:p>
    <w:p w14:paraId="2D58BF20">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I.一般故障响应时间：一般故障在接到采购人抢修通知后，具有处理故障能力的维修人员到达故障服务现场的时间应不大于2小时。</w:t>
      </w:r>
    </w:p>
    <w:p w14:paraId="3151B4CE">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Ⅱ、严重故障响应时间：业务中断故障或采购人要求的其他紧</w:t>
      </w:r>
      <w:bookmarkStart w:id="5" w:name="_Toc26429_WPSOffice_Level2"/>
      <w:r>
        <w:rPr>
          <w:rFonts w:hint="eastAsia" w:ascii="宋体" w:hAnsi="宋体" w:eastAsia="宋体" w:cs="宋体"/>
          <w:bCs/>
          <w:kern w:val="2"/>
          <w:sz w:val="24"/>
          <w:szCs w:val="24"/>
        </w:rPr>
        <w:t>急事件，应在5</w:t>
      </w:r>
      <w:bookmarkEnd w:id="5"/>
      <w:r>
        <w:rPr>
          <w:rFonts w:hint="eastAsia" w:ascii="宋体" w:hAnsi="宋体" w:eastAsia="宋体" w:cs="宋体"/>
          <w:bCs/>
          <w:kern w:val="2"/>
          <w:sz w:val="24"/>
          <w:szCs w:val="24"/>
        </w:rPr>
        <w:t>分钟内人员响应，0.5小时内到达故障服务现场。</w:t>
      </w:r>
    </w:p>
    <w:p w14:paraId="06EC48C0">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（2）故障恢复时间</w:t>
      </w:r>
    </w:p>
    <w:p w14:paraId="74947343">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I.严重故障恢复时间：严重故障导致核心业务系统不可用或将导致业务数据缺失的，恢复时间不超过1小时；</w:t>
      </w:r>
    </w:p>
    <w:p w14:paraId="3C1D64D8">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Ⅱ、一般故障恢复时间：一般故障涉及核心系统、数据备份等方面的，</w:t>
      </w:r>
      <w:bookmarkStart w:id="6" w:name="_Toc5476_WPSOffice_Level1"/>
      <w:r>
        <w:rPr>
          <w:rFonts w:hint="eastAsia" w:ascii="宋体" w:hAnsi="宋体" w:eastAsia="宋体" w:cs="宋体"/>
          <w:bCs/>
          <w:kern w:val="2"/>
          <w:sz w:val="24"/>
          <w:szCs w:val="24"/>
        </w:rPr>
        <w:t>恢复时间不超过12小时；</w:t>
      </w:r>
      <w:bookmarkEnd w:id="6"/>
      <w:r>
        <w:rPr>
          <w:rFonts w:hint="eastAsia" w:ascii="宋体" w:hAnsi="宋体" w:eastAsia="宋体" w:cs="宋体"/>
          <w:bCs/>
          <w:kern w:val="2"/>
          <w:sz w:val="24"/>
          <w:szCs w:val="24"/>
        </w:rPr>
        <w:t>其他隐患类故障，恢复时间由供应商与责任人协商决定，原则上不超过72小时。</w:t>
      </w:r>
    </w:p>
    <w:p w14:paraId="75BB9F6A">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bookmarkStart w:id="7" w:name="_Toc31398_WPSOffice_Level1"/>
      <w:r>
        <w:rPr>
          <w:rFonts w:hint="eastAsia" w:ascii="宋体" w:hAnsi="宋体" w:eastAsia="宋体" w:cs="宋体"/>
          <w:bCs/>
          <w:kern w:val="2"/>
          <w:sz w:val="24"/>
          <w:szCs w:val="24"/>
        </w:rPr>
        <w:t>严重故障发生或</w:t>
      </w:r>
      <w:bookmarkEnd w:id="7"/>
      <w:r>
        <w:rPr>
          <w:rFonts w:hint="eastAsia" w:ascii="宋体" w:hAnsi="宋体" w:eastAsia="宋体" w:cs="宋体"/>
          <w:bCs/>
          <w:kern w:val="2"/>
          <w:sz w:val="24"/>
          <w:szCs w:val="24"/>
        </w:rPr>
        <w:t>一般故障连续发生两次以上的，除提交故障处置报告以外还应</w:t>
      </w:r>
      <w:bookmarkStart w:id="8" w:name="_Toc12652_WPSOffice_Level1"/>
      <w:r>
        <w:rPr>
          <w:rFonts w:hint="eastAsia" w:ascii="宋体" w:hAnsi="宋体" w:eastAsia="宋体" w:cs="宋体"/>
          <w:bCs/>
          <w:kern w:val="2"/>
          <w:sz w:val="24"/>
          <w:szCs w:val="24"/>
        </w:rPr>
        <w:t>提交问题分析报告，深度分析</w:t>
      </w:r>
      <w:bookmarkEnd w:id="8"/>
      <w:r>
        <w:rPr>
          <w:rFonts w:hint="eastAsia" w:ascii="宋体" w:hAnsi="宋体" w:eastAsia="宋体" w:cs="宋体"/>
          <w:bCs/>
          <w:kern w:val="2"/>
          <w:sz w:val="24"/>
          <w:szCs w:val="24"/>
        </w:rPr>
        <w:t>故障产生的原因，并提出预防性改善建议。</w:t>
      </w:r>
    </w:p>
    <w:p w14:paraId="3DAC0923">
      <w:pPr>
        <w:keepNext/>
        <w:keepLines/>
        <w:pageBreakBefore w:val="0"/>
        <w:kinsoku/>
        <w:wordWrap w:val="0"/>
        <w:overflowPunct/>
        <w:topLinePunct w:val="0"/>
        <w:bidi w:val="0"/>
        <w:adjustRightInd w:val="0"/>
        <w:snapToGrid w:val="0"/>
        <w:spacing w:line="360" w:lineRule="auto"/>
        <w:ind w:firstLine="482" w:firstLineChars="200"/>
        <w:outlineLvl w:val="2"/>
        <w:rPr>
          <w:rFonts w:hint="eastAsia" w:ascii="宋体" w:hAnsi="宋体" w:eastAsia="宋体" w:cs="宋体"/>
          <w:b/>
          <w:kern w:val="2"/>
          <w:sz w:val="24"/>
          <w:szCs w:val="24"/>
        </w:rPr>
      </w:pPr>
      <w:bookmarkStart w:id="9" w:name="_Toc21593_WPSOffice_Level3"/>
      <w:r>
        <w:rPr>
          <w:rFonts w:hint="eastAsia" w:ascii="宋体" w:hAnsi="宋体" w:eastAsia="宋体" w:cs="宋体"/>
          <w:b/>
          <w:kern w:val="2"/>
          <w:sz w:val="24"/>
          <w:szCs w:val="24"/>
        </w:rPr>
        <w:t>2.2.9机房保障服务主要指标</w:t>
      </w:r>
      <w:bookmarkEnd w:id="9"/>
    </w:p>
    <w:tbl>
      <w:tblPr>
        <w:tblStyle w:val="36"/>
        <w:tblW w:w="8733"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4815"/>
        <w:gridCol w:w="3918"/>
      </w:tblGrid>
      <w:tr w14:paraId="609BCF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shd w:val="clear" w:color="auto" w:fill="C0C0C0"/>
            <w:vAlign w:val="center"/>
          </w:tcPr>
          <w:p w14:paraId="47C9A867">
            <w:pPr>
              <w:pageBreakBefore w:val="0"/>
              <w:kinsoku/>
              <w:wordWrap w:val="0"/>
              <w:overflowPunct/>
              <w:topLinePunct w:val="0"/>
              <w:bidi w:val="0"/>
              <w:adjustRightInd w:val="0"/>
              <w:snapToGrid w:val="0"/>
              <w:spacing w:line="360" w:lineRule="auto"/>
              <w:rPr>
                <w:rFonts w:hint="eastAsia" w:ascii="宋体" w:hAnsi="宋体" w:eastAsia="宋体" w:cs="宋体"/>
                <w:b/>
                <w:kern w:val="2"/>
                <w:sz w:val="24"/>
                <w:szCs w:val="24"/>
              </w:rPr>
            </w:pPr>
            <w:r>
              <w:rPr>
                <w:rFonts w:hint="eastAsia" w:ascii="宋体" w:hAnsi="宋体" w:eastAsia="宋体" w:cs="宋体"/>
                <w:b/>
                <w:kern w:val="2"/>
                <w:sz w:val="24"/>
                <w:szCs w:val="24"/>
              </w:rPr>
              <w:t>保密</w:t>
            </w:r>
          </w:p>
        </w:tc>
        <w:tc>
          <w:tcPr>
            <w:tcW w:w="3918" w:type="dxa"/>
            <w:shd w:val="clear" w:color="auto" w:fill="C0C0C0"/>
            <w:vAlign w:val="center"/>
          </w:tcPr>
          <w:p w14:paraId="2B0EC38F">
            <w:pPr>
              <w:pageBreakBefore w:val="0"/>
              <w:kinsoku/>
              <w:wordWrap w:val="0"/>
              <w:overflowPunct/>
              <w:topLinePunct w:val="0"/>
              <w:bidi w:val="0"/>
              <w:adjustRightInd w:val="0"/>
              <w:snapToGrid w:val="0"/>
              <w:spacing w:line="360" w:lineRule="auto"/>
              <w:rPr>
                <w:rFonts w:hint="eastAsia" w:ascii="宋体" w:hAnsi="宋体" w:eastAsia="宋体" w:cs="宋体"/>
                <w:b/>
                <w:kern w:val="2"/>
                <w:sz w:val="24"/>
                <w:szCs w:val="24"/>
                <w:u w:val="single"/>
              </w:rPr>
            </w:pPr>
            <w:r>
              <w:rPr>
                <w:rFonts w:hint="eastAsia" w:ascii="宋体" w:hAnsi="宋体" w:eastAsia="宋体" w:cs="宋体"/>
                <w:b/>
                <w:kern w:val="2"/>
                <w:sz w:val="24"/>
                <w:szCs w:val="24"/>
              </w:rPr>
              <w:t>保</w:t>
            </w:r>
            <w:bookmarkStart w:id="10" w:name="_Toc7377_WPSOffice_Level2"/>
            <w:r>
              <w:rPr>
                <w:rFonts w:hint="eastAsia" w:ascii="宋体" w:hAnsi="宋体" w:eastAsia="宋体" w:cs="宋体"/>
                <w:b/>
                <w:kern w:val="2"/>
                <w:sz w:val="24"/>
                <w:szCs w:val="24"/>
              </w:rPr>
              <w:t>证</w:t>
            </w:r>
          </w:p>
        </w:tc>
      </w:tr>
      <w:tr w14:paraId="5FB1A7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shd w:val="clear" w:color="auto" w:fill="C0C0C0"/>
            <w:vAlign w:val="center"/>
          </w:tcPr>
          <w:p w14:paraId="2DFBBB42">
            <w:pPr>
              <w:pageBreakBefore w:val="0"/>
              <w:kinsoku/>
              <w:wordWrap w:val="0"/>
              <w:overflowPunct/>
              <w:topLinePunct w:val="0"/>
              <w:bidi w:val="0"/>
              <w:adjustRightInd w:val="0"/>
              <w:snapToGrid w:val="0"/>
              <w:spacing w:line="360" w:lineRule="auto"/>
              <w:rPr>
                <w:rFonts w:hint="eastAsia" w:ascii="宋体" w:hAnsi="宋体" w:eastAsia="宋体" w:cs="宋体"/>
                <w:b/>
                <w:kern w:val="2"/>
                <w:sz w:val="24"/>
                <w:szCs w:val="24"/>
              </w:rPr>
            </w:pPr>
            <w:r>
              <w:rPr>
                <w:rFonts w:hint="eastAsia" w:ascii="宋体" w:hAnsi="宋体" w:eastAsia="宋体" w:cs="宋体"/>
                <w:b/>
                <w:kern w:val="2"/>
                <w:sz w:val="24"/>
                <w:szCs w:val="24"/>
              </w:rPr>
              <w:t>服务覆盖</w:t>
            </w:r>
            <w:bookmarkEnd w:id="10"/>
            <w:r>
              <w:rPr>
                <w:rFonts w:hint="eastAsia" w:ascii="宋体" w:hAnsi="宋体" w:eastAsia="宋体" w:cs="宋体"/>
                <w:b/>
                <w:kern w:val="2"/>
                <w:sz w:val="24"/>
                <w:szCs w:val="24"/>
              </w:rPr>
              <w:t>范围</w:t>
            </w:r>
          </w:p>
        </w:tc>
        <w:tc>
          <w:tcPr>
            <w:tcW w:w="3918" w:type="dxa"/>
            <w:shd w:val="clear" w:color="auto" w:fill="C0C0C0"/>
            <w:vAlign w:val="center"/>
          </w:tcPr>
          <w:p w14:paraId="4BEFBCDF">
            <w:pPr>
              <w:pageBreakBefore w:val="0"/>
              <w:kinsoku/>
              <w:wordWrap w:val="0"/>
              <w:overflowPunct/>
              <w:topLinePunct w:val="0"/>
              <w:bidi w:val="0"/>
              <w:adjustRightInd w:val="0"/>
              <w:snapToGrid w:val="0"/>
              <w:spacing w:line="360" w:lineRule="auto"/>
              <w:rPr>
                <w:rFonts w:hint="eastAsia" w:ascii="宋体" w:hAnsi="宋体" w:eastAsia="宋体" w:cs="宋体"/>
                <w:b/>
                <w:kern w:val="2"/>
                <w:sz w:val="24"/>
                <w:szCs w:val="24"/>
                <w:u w:val="single"/>
              </w:rPr>
            </w:pPr>
          </w:p>
        </w:tc>
      </w:tr>
      <w:tr w14:paraId="25C8AD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4815" w:type="dxa"/>
            <w:vAlign w:val="center"/>
          </w:tcPr>
          <w:p w14:paraId="73780347">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硬件可用</w:t>
            </w:r>
          </w:p>
        </w:tc>
        <w:tc>
          <w:tcPr>
            <w:tcW w:w="3918" w:type="dxa"/>
            <w:vAlign w:val="center"/>
          </w:tcPr>
          <w:p w14:paraId="6A4DFC67">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保证</w:t>
            </w:r>
          </w:p>
        </w:tc>
      </w:tr>
      <w:tr w14:paraId="423317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tcBorders>
              <w:bottom w:val="single" w:color="auto" w:sz="6" w:space="0"/>
            </w:tcBorders>
            <w:vAlign w:val="center"/>
          </w:tcPr>
          <w:p w14:paraId="56C3A084">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操作系统可用</w:t>
            </w:r>
          </w:p>
        </w:tc>
        <w:tc>
          <w:tcPr>
            <w:tcW w:w="3918" w:type="dxa"/>
            <w:tcBorders>
              <w:bottom w:val="single" w:color="auto" w:sz="6" w:space="0"/>
            </w:tcBorders>
            <w:vAlign w:val="center"/>
          </w:tcPr>
          <w:p w14:paraId="537232C5">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保证</w:t>
            </w:r>
          </w:p>
        </w:tc>
      </w:tr>
      <w:tr w14:paraId="0A17D3B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tcBorders>
              <w:bottom w:val="single" w:color="auto" w:sz="6" w:space="0"/>
            </w:tcBorders>
            <w:vAlign w:val="center"/>
          </w:tcPr>
          <w:p w14:paraId="6D738755">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数据库可用</w:t>
            </w:r>
          </w:p>
        </w:tc>
        <w:tc>
          <w:tcPr>
            <w:tcW w:w="3918" w:type="dxa"/>
            <w:tcBorders>
              <w:bottom w:val="single" w:color="auto" w:sz="6" w:space="0"/>
            </w:tcBorders>
            <w:vAlign w:val="center"/>
          </w:tcPr>
          <w:p w14:paraId="71FB97FA">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保证</w:t>
            </w:r>
          </w:p>
        </w:tc>
      </w:tr>
      <w:tr w14:paraId="57B363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tcBorders>
              <w:bottom w:val="single" w:color="auto" w:sz="6" w:space="0"/>
            </w:tcBorders>
            <w:vAlign w:val="center"/>
          </w:tcPr>
          <w:p w14:paraId="5D017D7C">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已有备份软件可用</w:t>
            </w:r>
          </w:p>
        </w:tc>
        <w:tc>
          <w:tcPr>
            <w:tcW w:w="3918" w:type="dxa"/>
            <w:tcBorders>
              <w:bottom w:val="single" w:color="auto" w:sz="6" w:space="0"/>
            </w:tcBorders>
            <w:vAlign w:val="center"/>
          </w:tcPr>
          <w:p w14:paraId="2FF6CD65">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保证</w:t>
            </w:r>
          </w:p>
        </w:tc>
      </w:tr>
      <w:tr w14:paraId="000E20D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tcBorders>
              <w:top w:val="single" w:color="auto" w:sz="6" w:space="0"/>
            </w:tcBorders>
            <w:shd w:val="clear" w:color="auto" w:fill="C0C0C0"/>
            <w:vAlign w:val="center"/>
          </w:tcPr>
          <w:p w14:paraId="710ADB71">
            <w:pPr>
              <w:pageBreakBefore w:val="0"/>
              <w:kinsoku/>
              <w:wordWrap w:val="0"/>
              <w:overflowPunct/>
              <w:topLinePunct w:val="0"/>
              <w:bidi w:val="0"/>
              <w:adjustRightInd w:val="0"/>
              <w:snapToGrid w:val="0"/>
              <w:spacing w:line="360" w:lineRule="auto"/>
              <w:rPr>
                <w:rFonts w:hint="eastAsia" w:ascii="宋体" w:hAnsi="宋体" w:eastAsia="宋体" w:cs="宋体"/>
                <w:b/>
                <w:kern w:val="2"/>
                <w:sz w:val="24"/>
                <w:szCs w:val="24"/>
              </w:rPr>
            </w:pPr>
            <w:r>
              <w:rPr>
                <w:rFonts w:hint="eastAsia" w:ascii="宋体" w:hAnsi="宋体" w:eastAsia="宋体" w:cs="宋体"/>
                <w:b/>
                <w:kern w:val="2"/>
                <w:sz w:val="24"/>
                <w:szCs w:val="24"/>
              </w:rPr>
              <w:t>人员保障</w:t>
            </w:r>
          </w:p>
        </w:tc>
        <w:tc>
          <w:tcPr>
            <w:tcW w:w="3918" w:type="dxa"/>
            <w:tcBorders>
              <w:top w:val="single" w:color="auto" w:sz="6" w:space="0"/>
            </w:tcBorders>
            <w:shd w:val="clear" w:color="auto" w:fill="C0C0C0"/>
            <w:vAlign w:val="center"/>
          </w:tcPr>
          <w:p w14:paraId="28499323">
            <w:pPr>
              <w:pageBreakBefore w:val="0"/>
              <w:kinsoku/>
              <w:wordWrap w:val="0"/>
              <w:overflowPunct/>
              <w:topLinePunct w:val="0"/>
              <w:bidi w:val="0"/>
              <w:adjustRightInd w:val="0"/>
              <w:snapToGrid w:val="0"/>
              <w:spacing w:line="360" w:lineRule="auto"/>
              <w:rPr>
                <w:rFonts w:hint="eastAsia" w:ascii="宋体" w:hAnsi="宋体" w:eastAsia="宋体" w:cs="宋体"/>
                <w:b/>
                <w:kern w:val="2"/>
                <w:sz w:val="24"/>
                <w:szCs w:val="24"/>
                <w:u w:val="single"/>
              </w:rPr>
            </w:pPr>
          </w:p>
        </w:tc>
      </w:tr>
      <w:tr w14:paraId="2D06A4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vAlign w:val="center"/>
          </w:tcPr>
          <w:p w14:paraId="394CA9E6">
            <w:pPr>
              <w:pageBreakBefore w:val="0"/>
              <w:kinsoku/>
              <w:wordWrap w:val="0"/>
              <w:overflowPunct/>
              <w:topLinePunct w:val="0"/>
              <w:bidi w:val="0"/>
              <w:adjustRightInd w:val="0"/>
              <w:snapToGrid w:val="0"/>
              <w:spacing w:line="360" w:lineRule="auto"/>
              <w:rPr>
                <w:rFonts w:hint="eastAsia" w:ascii="宋体" w:hAnsi="宋体" w:eastAsia="宋体" w:cs="宋体"/>
                <w:b/>
                <w:bCs/>
                <w:i/>
                <w:iCs/>
                <w:kern w:val="2"/>
                <w:sz w:val="24"/>
                <w:szCs w:val="24"/>
              </w:rPr>
            </w:pPr>
            <w:r>
              <w:rPr>
                <w:rFonts w:hint="eastAsia" w:ascii="宋体" w:hAnsi="宋体" w:eastAsia="宋体" w:cs="宋体"/>
                <w:b/>
                <w:bCs/>
                <w:kern w:val="2"/>
                <w:sz w:val="24"/>
                <w:szCs w:val="24"/>
              </w:rPr>
              <w:t>驻场人员</w:t>
            </w:r>
          </w:p>
        </w:tc>
        <w:tc>
          <w:tcPr>
            <w:tcW w:w="3918" w:type="dxa"/>
            <w:vAlign w:val="center"/>
          </w:tcPr>
          <w:p w14:paraId="5044A71D">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w:t>
            </w:r>
            <w:r>
              <w:rPr>
                <w:rFonts w:hint="eastAsia" w:ascii="宋体" w:hAnsi="宋体" w:eastAsia="宋体" w:cs="宋体"/>
                <w:bCs/>
                <w:kern w:val="2"/>
                <w:sz w:val="24"/>
                <w:szCs w:val="24"/>
                <w:lang w:val="en-US" w:eastAsia="zh-CN"/>
              </w:rPr>
              <w:t>2</w:t>
            </w:r>
            <w:r>
              <w:rPr>
                <w:rFonts w:hint="eastAsia" w:ascii="宋体" w:hAnsi="宋体" w:eastAsia="宋体" w:cs="宋体"/>
                <w:bCs/>
                <w:kern w:val="2"/>
                <w:sz w:val="24"/>
                <w:szCs w:val="24"/>
              </w:rPr>
              <w:t>名</w:t>
            </w:r>
          </w:p>
        </w:tc>
      </w:tr>
      <w:tr w14:paraId="4FFB3C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tcBorders>
              <w:top w:val="single" w:color="auto" w:sz="6" w:space="0"/>
            </w:tcBorders>
            <w:shd w:val="clear" w:color="auto" w:fill="C0C0C0"/>
            <w:vAlign w:val="center"/>
          </w:tcPr>
          <w:p w14:paraId="1610E936">
            <w:pPr>
              <w:pageBreakBefore w:val="0"/>
              <w:kinsoku/>
              <w:wordWrap w:val="0"/>
              <w:overflowPunct/>
              <w:topLinePunct w:val="0"/>
              <w:bidi w:val="0"/>
              <w:adjustRightInd w:val="0"/>
              <w:snapToGrid w:val="0"/>
              <w:spacing w:line="360" w:lineRule="auto"/>
              <w:rPr>
                <w:rFonts w:hint="eastAsia" w:ascii="宋体" w:hAnsi="宋体" w:eastAsia="宋体" w:cs="宋体"/>
                <w:b/>
                <w:kern w:val="2"/>
                <w:sz w:val="24"/>
                <w:szCs w:val="24"/>
              </w:rPr>
            </w:pPr>
            <w:r>
              <w:rPr>
                <w:rFonts w:hint="eastAsia" w:ascii="宋体" w:hAnsi="宋体" w:eastAsia="宋体" w:cs="宋体"/>
                <w:b/>
                <w:kern w:val="2"/>
                <w:sz w:val="24"/>
                <w:szCs w:val="24"/>
              </w:rPr>
              <w:t>服务响应</w:t>
            </w:r>
          </w:p>
        </w:tc>
        <w:tc>
          <w:tcPr>
            <w:tcW w:w="3918" w:type="dxa"/>
            <w:tcBorders>
              <w:top w:val="single" w:color="auto" w:sz="6" w:space="0"/>
            </w:tcBorders>
            <w:shd w:val="clear" w:color="auto" w:fill="C0C0C0"/>
            <w:vAlign w:val="center"/>
          </w:tcPr>
          <w:p w14:paraId="3564CD8E">
            <w:pPr>
              <w:pageBreakBefore w:val="0"/>
              <w:kinsoku/>
              <w:wordWrap w:val="0"/>
              <w:overflowPunct/>
              <w:topLinePunct w:val="0"/>
              <w:bidi w:val="0"/>
              <w:adjustRightInd w:val="0"/>
              <w:snapToGrid w:val="0"/>
              <w:spacing w:line="360" w:lineRule="auto"/>
              <w:rPr>
                <w:rFonts w:hint="eastAsia" w:ascii="宋体" w:hAnsi="宋体" w:eastAsia="宋体" w:cs="宋体"/>
                <w:b/>
                <w:kern w:val="2"/>
                <w:sz w:val="24"/>
                <w:szCs w:val="24"/>
                <w:u w:val="single"/>
              </w:rPr>
            </w:pPr>
          </w:p>
        </w:tc>
      </w:tr>
      <w:tr w14:paraId="6E8C27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vAlign w:val="center"/>
          </w:tcPr>
          <w:p w14:paraId="0A002F39">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电话响</w:t>
            </w:r>
            <w:bookmarkStart w:id="11" w:name="_Toc21756_WPSOffice_Level2"/>
            <w:r>
              <w:rPr>
                <w:rFonts w:hint="eastAsia" w:ascii="宋体" w:hAnsi="宋体" w:eastAsia="宋体" w:cs="宋体"/>
                <w:bCs/>
                <w:kern w:val="2"/>
                <w:sz w:val="24"/>
                <w:szCs w:val="24"/>
              </w:rPr>
              <w:t>应时间</w:t>
            </w:r>
          </w:p>
        </w:tc>
        <w:tc>
          <w:tcPr>
            <w:tcW w:w="3918" w:type="dxa"/>
            <w:vAlign w:val="center"/>
          </w:tcPr>
          <w:p w14:paraId="61DFCE41">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7*24</w:t>
            </w:r>
            <w:bookmarkEnd w:id="11"/>
            <w:r>
              <w:rPr>
                <w:rFonts w:hint="eastAsia" w:ascii="宋体" w:hAnsi="宋体" w:eastAsia="宋体" w:cs="宋体"/>
                <w:bCs/>
                <w:kern w:val="2"/>
                <w:sz w:val="24"/>
                <w:szCs w:val="24"/>
              </w:rPr>
              <w:t>小时立即响应</w:t>
            </w:r>
          </w:p>
        </w:tc>
      </w:tr>
      <w:tr w14:paraId="33ECC3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vAlign w:val="center"/>
          </w:tcPr>
          <w:p w14:paraId="628FAF8D">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能够到达现场的时间</w:t>
            </w:r>
          </w:p>
        </w:tc>
        <w:tc>
          <w:tcPr>
            <w:tcW w:w="3918" w:type="dxa"/>
            <w:vAlign w:val="center"/>
          </w:tcPr>
          <w:p w14:paraId="5EE2DDB3">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lang w:eastAsia="zh-CN"/>
              </w:rPr>
            </w:pPr>
            <w:r>
              <w:rPr>
                <w:rFonts w:hint="eastAsia" w:ascii="宋体" w:hAnsi="宋体" w:eastAsia="宋体" w:cs="宋体"/>
                <w:bCs/>
                <w:kern w:val="2"/>
                <w:sz w:val="24"/>
                <w:szCs w:val="24"/>
              </w:rPr>
              <w:t>0.5小时</w:t>
            </w:r>
            <w:r>
              <w:rPr>
                <w:rFonts w:hint="eastAsia" w:ascii="宋体" w:hAnsi="宋体" w:eastAsia="宋体" w:cs="宋体"/>
                <w:bCs/>
                <w:kern w:val="2"/>
                <w:sz w:val="24"/>
                <w:szCs w:val="24"/>
                <w:lang w:eastAsia="zh-CN"/>
              </w:rPr>
              <w:t>（严重故障）</w:t>
            </w:r>
          </w:p>
          <w:p w14:paraId="6E2E6BC5">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2小时（一般故障）</w:t>
            </w:r>
          </w:p>
        </w:tc>
      </w:tr>
      <w:tr w14:paraId="7A3F7C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815" w:type="dxa"/>
            <w:vAlign w:val="center"/>
          </w:tcPr>
          <w:p w14:paraId="29338623">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服务报告提交</w:t>
            </w:r>
          </w:p>
        </w:tc>
        <w:tc>
          <w:tcPr>
            <w:tcW w:w="3918" w:type="dxa"/>
            <w:vAlign w:val="center"/>
          </w:tcPr>
          <w:p w14:paraId="5B118297">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每月1日提供上月报告</w:t>
            </w:r>
          </w:p>
        </w:tc>
      </w:tr>
      <w:tr w14:paraId="251D0B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815" w:type="dxa"/>
            <w:vAlign w:val="center"/>
          </w:tcPr>
          <w:p w14:paraId="0835564C">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解决故障问题</w:t>
            </w:r>
          </w:p>
        </w:tc>
        <w:tc>
          <w:tcPr>
            <w:tcW w:w="3918" w:type="dxa"/>
            <w:vAlign w:val="center"/>
          </w:tcPr>
          <w:p w14:paraId="4FDA74AD">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lang w:eastAsia="zh-CN"/>
              </w:rPr>
            </w:pPr>
            <w:bookmarkStart w:id="12" w:name="_Toc2597_WPSOffice_Level2"/>
            <w:r>
              <w:rPr>
                <w:rFonts w:hint="eastAsia" w:ascii="宋体" w:hAnsi="宋体" w:eastAsia="宋体" w:cs="宋体"/>
                <w:bCs/>
                <w:kern w:val="2"/>
                <w:sz w:val="24"/>
                <w:szCs w:val="24"/>
                <w:lang w:val="en-US" w:eastAsia="zh-CN"/>
              </w:rPr>
              <w:t>1</w:t>
            </w:r>
            <w:r>
              <w:rPr>
                <w:rFonts w:hint="eastAsia" w:ascii="宋体" w:hAnsi="宋体" w:eastAsia="宋体" w:cs="宋体"/>
                <w:bCs/>
                <w:kern w:val="2"/>
                <w:sz w:val="24"/>
                <w:szCs w:val="24"/>
              </w:rPr>
              <w:t>小时</w:t>
            </w:r>
            <w:r>
              <w:rPr>
                <w:rFonts w:hint="eastAsia" w:ascii="宋体" w:hAnsi="宋体" w:eastAsia="宋体" w:cs="宋体"/>
                <w:bCs/>
                <w:kern w:val="2"/>
                <w:sz w:val="24"/>
                <w:szCs w:val="24"/>
                <w:lang w:eastAsia="zh-CN"/>
              </w:rPr>
              <w:t>（严重故障）</w:t>
            </w:r>
          </w:p>
          <w:p w14:paraId="01E43C00">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2112小时（一般故障）</w:t>
            </w:r>
          </w:p>
        </w:tc>
      </w:tr>
      <w:bookmarkEnd w:id="12"/>
      <w:tr w14:paraId="670888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4815" w:type="dxa"/>
            <w:vAlign w:val="center"/>
          </w:tcPr>
          <w:p w14:paraId="4679CCC7">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故障处理报告</w:t>
            </w:r>
          </w:p>
        </w:tc>
        <w:tc>
          <w:tcPr>
            <w:tcW w:w="3918" w:type="dxa"/>
            <w:vAlign w:val="center"/>
          </w:tcPr>
          <w:p w14:paraId="183D92AA">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提供</w:t>
            </w:r>
          </w:p>
        </w:tc>
      </w:tr>
      <w:tr w14:paraId="7B5FC0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shd w:val="clear" w:color="auto" w:fill="C0C0C0"/>
            <w:vAlign w:val="center"/>
          </w:tcPr>
          <w:p w14:paraId="21F8912E">
            <w:pPr>
              <w:pageBreakBefore w:val="0"/>
              <w:kinsoku/>
              <w:wordWrap w:val="0"/>
              <w:overflowPunct/>
              <w:topLinePunct w:val="0"/>
              <w:bidi w:val="0"/>
              <w:adjustRightInd w:val="0"/>
              <w:snapToGrid w:val="0"/>
              <w:spacing w:line="360" w:lineRule="auto"/>
              <w:rPr>
                <w:rFonts w:hint="eastAsia" w:ascii="宋体" w:hAnsi="宋体" w:eastAsia="宋体" w:cs="宋体"/>
                <w:b/>
                <w:kern w:val="2"/>
                <w:sz w:val="24"/>
                <w:szCs w:val="24"/>
              </w:rPr>
            </w:pPr>
            <w:r>
              <w:rPr>
                <w:rFonts w:hint="eastAsia" w:ascii="宋体" w:hAnsi="宋体" w:eastAsia="宋体" w:cs="宋体"/>
                <w:b/>
                <w:kern w:val="2"/>
                <w:sz w:val="24"/>
                <w:szCs w:val="24"/>
              </w:rPr>
              <w:t>定期巡检与维护</w:t>
            </w:r>
          </w:p>
        </w:tc>
        <w:tc>
          <w:tcPr>
            <w:tcW w:w="3918" w:type="dxa"/>
            <w:shd w:val="clear" w:color="auto" w:fill="C0C0C0"/>
            <w:vAlign w:val="center"/>
          </w:tcPr>
          <w:p w14:paraId="3EAAA79B">
            <w:pPr>
              <w:pageBreakBefore w:val="0"/>
              <w:kinsoku/>
              <w:wordWrap w:val="0"/>
              <w:overflowPunct/>
              <w:topLinePunct w:val="0"/>
              <w:bidi w:val="0"/>
              <w:adjustRightInd w:val="0"/>
              <w:snapToGrid w:val="0"/>
              <w:spacing w:line="360" w:lineRule="auto"/>
              <w:rPr>
                <w:rFonts w:hint="eastAsia" w:ascii="宋体" w:hAnsi="宋体" w:eastAsia="宋体" w:cs="宋体"/>
                <w:b/>
                <w:kern w:val="2"/>
                <w:sz w:val="24"/>
                <w:szCs w:val="24"/>
                <w:u w:val="single"/>
              </w:rPr>
            </w:pPr>
          </w:p>
        </w:tc>
      </w:tr>
      <w:tr w14:paraId="2AC225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vAlign w:val="center"/>
          </w:tcPr>
          <w:p w14:paraId="5E596387">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设备定期巡检并对发现问题进行处理</w:t>
            </w:r>
          </w:p>
        </w:tc>
        <w:tc>
          <w:tcPr>
            <w:tcW w:w="3918" w:type="dxa"/>
            <w:vAlign w:val="center"/>
          </w:tcPr>
          <w:p w14:paraId="18CDC69B">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每天一次</w:t>
            </w:r>
          </w:p>
        </w:tc>
      </w:tr>
      <w:tr w14:paraId="149197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vAlign w:val="center"/>
          </w:tcPr>
          <w:p w14:paraId="116D749B">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详细巡检报告提供</w:t>
            </w:r>
          </w:p>
        </w:tc>
        <w:tc>
          <w:tcPr>
            <w:tcW w:w="3918" w:type="dxa"/>
            <w:vAlign w:val="center"/>
          </w:tcPr>
          <w:p w14:paraId="70E355ED">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每月一次</w:t>
            </w:r>
          </w:p>
        </w:tc>
      </w:tr>
      <w:tr w14:paraId="5F381D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vAlign w:val="center"/>
          </w:tcPr>
          <w:p w14:paraId="52AE34FE">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重大节假日及重大安保前巡检</w:t>
            </w:r>
          </w:p>
        </w:tc>
        <w:tc>
          <w:tcPr>
            <w:tcW w:w="3918" w:type="dxa"/>
            <w:vAlign w:val="center"/>
          </w:tcPr>
          <w:p w14:paraId="18AEEA46">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提供保障</w:t>
            </w:r>
          </w:p>
        </w:tc>
      </w:tr>
      <w:tr w14:paraId="459BA0D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shd w:val="clear" w:color="auto" w:fill="C0C0C0"/>
            <w:vAlign w:val="center"/>
          </w:tcPr>
          <w:p w14:paraId="52760B74">
            <w:pPr>
              <w:pageBreakBefore w:val="0"/>
              <w:kinsoku/>
              <w:wordWrap w:val="0"/>
              <w:overflowPunct/>
              <w:topLinePunct w:val="0"/>
              <w:bidi w:val="0"/>
              <w:adjustRightInd w:val="0"/>
              <w:snapToGrid w:val="0"/>
              <w:spacing w:line="360" w:lineRule="auto"/>
              <w:rPr>
                <w:rFonts w:hint="eastAsia" w:ascii="宋体" w:hAnsi="宋体" w:eastAsia="宋体" w:cs="宋体"/>
                <w:b/>
                <w:kern w:val="2"/>
                <w:sz w:val="24"/>
                <w:szCs w:val="24"/>
              </w:rPr>
            </w:pPr>
            <w:r>
              <w:rPr>
                <w:rFonts w:hint="eastAsia" w:ascii="宋体" w:hAnsi="宋体" w:eastAsia="宋体" w:cs="宋体"/>
                <w:b/>
                <w:kern w:val="2"/>
                <w:sz w:val="24"/>
                <w:szCs w:val="24"/>
              </w:rPr>
              <w:t>备件保证</w:t>
            </w:r>
          </w:p>
        </w:tc>
        <w:tc>
          <w:tcPr>
            <w:tcW w:w="3918" w:type="dxa"/>
            <w:shd w:val="clear" w:color="auto" w:fill="C0C0C0"/>
            <w:vAlign w:val="center"/>
          </w:tcPr>
          <w:p w14:paraId="15728058">
            <w:pPr>
              <w:pageBreakBefore w:val="0"/>
              <w:kinsoku/>
              <w:wordWrap w:val="0"/>
              <w:overflowPunct/>
              <w:topLinePunct w:val="0"/>
              <w:bidi w:val="0"/>
              <w:adjustRightInd w:val="0"/>
              <w:snapToGrid w:val="0"/>
              <w:spacing w:line="360" w:lineRule="auto"/>
              <w:rPr>
                <w:rFonts w:hint="eastAsia" w:ascii="宋体" w:hAnsi="宋体" w:eastAsia="宋体" w:cs="宋体"/>
                <w:b/>
                <w:kern w:val="2"/>
                <w:sz w:val="24"/>
                <w:szCs w:val="24"/>
                <w:u w:val="single"/>
              </w:rPr>
            </w:pPr>
          </w:p>
        </w:tc>
      </w:tr>
      <w:tr w14:paraId="27F85F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vAlign w:val="center"/>
          </w:tcPr>
          <w:p w14:paraId="4FE3F9BE">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备件库</w:t>
            </w:r>
          </w:p>
        </w:tc>
        <w:tc>
          <w:tcPr>
            <w:tcW w:w="3918" w:type="dxa"/>
            <w:vAlign w:val="center"/>
          </w:tcPr>
          <w:p w14:paraId="06B601E7">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保障</w:t>
            </w:r>
          </w:p>
        </w:tc>
      </w:tr>
      <w:tr w14:paraId="759077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vAlign w:val="center"/>
          </w:tcPr>
          <w:p w14:paraId="718FFACF">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现场备件</w:t>
            </w:r>
          </w:p>
        </w:tc>
        <w:tc>
          <w:tcPr>
            <w:tcW w:w="3918" w:type="dxa"/>
            <w:vAlign w:val="center"/>
          </w:tcPr>
          <w:p w14:paraId="3484C237">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保障</w:t>
            </w:r>
          </w:p>
        </w:tc>
      </w:tr>
      <w:tr w14:paraId="454438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vAlign w:val="center"/>
          </w:tcPr>
          <w:p w14:paraId="797D8062">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备件库备件不足时备件调配时间（非紧急）</w:t>
            </w:r>
          </w:p>
        </w:tc>
        <w:tc>
          <w:tcPr>
            <w:tcW w:w="3918" w:type="dxa"/>
            <w:vAlign w:val="center"/>
          </w:tcPr>
          <w:p w14:paraId="37C070B1">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2天</w:t>
            </w:r>
          </w:p>
        </w:tc>
      </w:tr>
      <w:tr w14:paraId="3D57A32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vAlign w:val="center"/>
          </w:tcPr>
          <w:p w14:paraId="3CFF9CE3">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备件库备件不足时备件调配时间（紧急）</w:t>
            </w:r>
          </w:p>
        </w:tc>
        <w:tc>
          <w:tcPr>
            <w:tcW w:w="3918" w:type="dxa"/>
            <w:vAlign w:val="center"/>
          </w:tcPr>
          <w:p w14:paraId="4976C105">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1天</w:t>
            </w:r>
          </w:p>
        </w:tc>
      </w:tr>
      <w:tr w14:paraId="5DD57E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vAlign w:val="center"/>
          </w:tcPr>
          <w:p w14:paraId="4FD1CC97">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所有硬盘不返还</w:t>
            </w:r>
          </w:p>
        </w:tc>
        <w:tc>
          <w:tcPr>
            <w:tcW w:w="3918" w:type="dxa"/>
            <w:vAlign w:val="center"/>
          </w:tcPr>
          <w:p w14:paraId="4F4843EC">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保证</w:t>
            </w:r>
          </w:p>
        </w:tc>
      </w:tr>
      <w:tr w14:paraId="536DB9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shd w:val="clear" w:color="auto" w:fill="C0C0C0"/>
            <w:vAlign w:val="center"/>
          </w:tcPr>
          <w:p w14:paraId="00BDE0C8">
            <w:pPr>
              <w:pageBreakBefore w:val="0"/>
              <w:kinsoku/>
              <w:wordWrap w:val="0"/>
              <w:overflowPunct/>
              <w:topLinePunct w:val="0"/>
              <w:bidi w:val="0"/>
              <w:adjustRightInd w:val="0"/>
              <w:snapToGrid w:val="0"/>
              <w:spacing w:line="360" w:lineRule="auto"/>
              <w:rPr>
                <w:rFonts w:hint="eastAsia" w:ascii="宋体" w:hAnsi="宋体" w:eastAsia="宋体" w:cs="宋体"/>
                <w:b/>
                <w:kern w:val="2"/>
                <w:sz w:val="24"/>
                <w:szCs w:val="24"/>
              </w:rPr>
            </w:pPr>
            <w:r>
              <w:rPr>
                <w:rFonts w:hint="eastAsia" w:ascii="宋体" w:hAnsi="宋体" w:eastAsia="宋体" w:cs="宋体"/>
                <w:b/>
                <w:kern w:val="2"/>
                <w:sz w:val="24"/>
                <w:szCs w:val="24"/>
              </w:rPr>
              <w:t>技术服务</w:t>
            </w:r>
          </w:p>
        </w:tc>
        <w:tc>
          <w:tcPr>
            <w:tcW w:w="3918" w:type="dxa"/>
            <w:shd w:val="clear" w:color="auto" w:fill="C0C0C0"/>
            <w:vAlign w:val="center"/>
          </w:tcPr>
          <w:p w14:paraId="3E6047E3">
            <w:pPr>
              <w:pageBreakBefore w:val="0"/>
              <w:kinsoku/>
              <w:wordWrap w:val="0"/>
              <w:overflowPunct/>
              <w:topLinePunct w:val="0"/>
              <w:bidi w:val="0"/>
              <w:adjustRightInd w:val="0"/>
              <w:snapToGrid w:val="0"/>
              <w:spacing w:line="360" w:lineRule="auto"/>
              <w:rPr>
                <w:rFonts w:hint="eastAsia" w:ascii="宋体" w:hAnsi="宋体" w:eastAsia="宋体" w:cs="宋体"/>
                <w:b/>
                <w:kern w:val="2"/>
                <w:sz w:val="24"/>
                <w:szCs w:val="24"/>
                <w:u w:val="single"/>
              </w:rPr>
            </w:pPr>
          </w:p>
        </w:tc>
      </w:tr>
      <w:tr w14:paraId="266C94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vAlign w:val="center"/>
          </w:tcPr>
          <w:p w14:paraId="0378DFE1">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数据库服务支持</w:t>
            </w:r>
          </w:p>
        </w:tc>
        <w:tc>
          <w:tcPr>
            <w:tcW w:w="3918" w:type="dxa"/>
            <w:vAlign w:val="center"/>
          </w:tcPr>
          <w:p w14:paraId="321717E3">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提供维护保障</w:t>
            </w:r>
          </w:p>
        </w:tc>
      </w:tr>
      <w:tr w14:paraId="6B0255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vAlign w:val="center"/>
          </w:tcPr>
          <w:p w14:paraId="7D5A70F8">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数据备份支持</w:t>
            </w:r>
          </w:p>
        </w:tc>
        <w:tc>
          <w:tcPr>
            <w:tcW w:w="3918" w:type="dxa"/>
            <w:vAlign w:val="center"/>
          </w:tcPr>
          <w:p w14:paraId="380FA429">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提供维护保障</w:t>
            </w:r>
          </w:p>
        </w:tc>
      </w:tr>
      <w:tr w14:paraId="0DB995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vAlign w:val="center"/>
          </w:tcPr>
          <w:p w14:paraId="369E0E9E">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操作系统维护</w:t>
            </w:r>
          </w:p>
        </w:tc>
        <w:tc>
          <w:tcPr>
            <w:tcW w:w="3918" w:type="dxa"/>
            <w:vAlign w:val="center"/>
          </w:tcPr>
          <w:p w14:paraId="7B28D5CA">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提供维护保障</w:t>
            </w:r>
          </w:p>
        </w:tc>
      </w:tr>
      <w:tr w14:paraId="5F85DC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vAlign w:val="center"/>
          </w:tcPr>
          <w:p w14:paraId="05E9B759">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kern w:val="2"/>
                <w:sz w:val="24"/>
                <w:szCs w:val="24"/>
              </w:rPr>
              <w:t>虚拟化系统维护</w:t>
            </w:r>
          </w:p>
        </w:tc>
        <w:tc>
          <w:tcPr>
            <w:tcW w:w="3918" w:type="dxa"/>
          </w:tcPr>
          <w:p w14:paraId="2D09DC2B">
            <w:pPr>
              <w:pageBreakBefore w:val="0"/>
              <w:kinsoku/>
              <w:wordWrap w:val="0"/>
              <w:overflowPunct/>
              <w:topLinePunct w:val="0"/>
              <w:bidi w:val="0"/>
              <w:adjustRightInd w:val="0"/>
              <w:snapToGrid w:val="0"/>
              <w:spacing w:line="360" w:lineRule="auto"/>
              <w:rPr>
                <w:rFonts w:hint="eastAsia" w:ascii="宋体" w:hAnsi="宋体" w:eastAsia="宋体" w:cs="宋体"/>
                <w:kern w:val="2"/>
                <w:sz w:val="24"/>
                <w:szCs w:val="24"/>
              </w:rPr>
            </w:pPr>
            <w:r>
              <w:rPr>
                <w:rFonts w:hint="eastAsia" w:ascii="宋体" w:hAnsi="宋体" w:eastAsia="宋体" w:cs="宋体"/>
                <w:bCs/>
                <w:kern w:val="2"/>
                <w:sz w:val="24"/>
                <w:szCs w:val="24"/>
              </w:rPr>
              <w:t>提供维护保障</w:t>
            </w:r>
          </w:p>
        </w:tc>
      </w:tr>
      <w:tr w14:paraId="569F88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vAlign w:val="center"/>
          </w:tcPr>
          <w:p w14:paraId="23705E12">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kern w:val="2"/>
                <w:sz w:val="24"/>
                <w:szCs w:val="24"/>
              </w:rPr>
              <w:t>警务云平台</w:t>
            </w:r>
          </w:p>
        </w:tc>
        <w:tc>
          <w:tcPr>
            <w:tcW w:w="3918" w:type="dxa"/>
          </w:tcPr>
          <w:p w14:paraId="185C84C5">
            <w:pPr>
              <w:pageBreakBefore w:val="0"/>
              <w:kinsoku/>
              <w:wordWrap w:val="0"/>
              <w:overflowPunct/>
              <w:topLinePunct w:val="0"/>
              <w:bidi w:val="0"/>
              <w:adjustRightInd w:val="0"/>
              <w:snapToGrid w:val="0"/>
              <w:spacing w:line="360" w:lineRule="auto"/>
              <w:rPr>
                <w:rFonts w:hint="eastAsia" w:ascii="宋体" w:hAnsi="宋体" w:eastAsia="宋体" w:cs="宋体"/>
                <w:kern w:val="2"/>
                <w:sz w:val="24"/>
                <w:szCs w:val="24"/>
              </w:rPr>
            </w:pPr>
            <w:r>
              <w:rPr>
                <w:rFonts w:hint="eastAsia" w:ascii="宋体" w:hAnsi="宋体" w:eastAsia="宋体" w:cs="宋体"/>
                <w:bCs/>
                <w:kern w:val="2"/>
                <w:sz w:val="24"/>
                <w:szCs w:val="24"/>
              </w:rPr>
              <w:t>提供维护保障</w:t>
            </w:r>
          </w:p>
        </w:tc>
      </w:tr>
      <w:tr w14:paraId="6699AA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vAlign w:val="center"/>
          </w:tcPr>
          <w:p w14:paraId="3CF5C505">
            <w:pPr>
              <w:pageBreakBefore w:val="0"/>
              <w:kinsoku/>
              <w:wordWrap w:val="0"/>
              <w:overflowPunct/>
              <w:topLinePunct w:val="0"/>
              <w:bidi w:val="0"/>
              <w:adjustRightInd w:val="0"/>
              <w:snapToGrid w:val="0"/>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云存储平台</w:t>
            </w:r>
          </w:p>
        </w:tc>
        <w:tc>
          <w:tcPr>
            <w:tcW w:w="3918" w:type="dxa"/>
          </w:tcPr>
          <w:p w14:paraId="661E68E7">
            <w:pPr>
              <w:pageBreakBefore w:val="0"/>
              <w:kinsoku/>
              <w:wordWrap w:val="0"/>
              <w:overflowPunct/>
              <w:topLinePunct w:val="0"/>
              <w:bidi w:val="0"/>
              <w:adjustRightInd w:val="0"/>
              <w:snapToGrid w:val="0"/>
              <w:spacing w:line="360" w:lineRule="auto"/>
              <w:rPr>
                <w:rFonts w:hint="eastAsia" w:ascii="宋体" w:hAnsi="宋体" w:eastAsia="宋体" w:cs="宋体"/>
                <w:kern w:val="2"/>
                <w:sz w:val="24"/>
                <w:szCs w:val="24"/>
              </w:rPr>
            </w:pPr>
            <w:r>
              <w:rPr>
                <w:rFonts w:hint="eastAsia" w:ascii="宋体" w:hAnsi="宋体" w:eastAsia="宋体" w:cs="宋体"/>
                <w:bCs/>
                <w:kern w:val="2"/>
                <w:sz w:val="24"/>
                <w:szCs w:val="24"/>
              </w:rPr>
              <w:t>提供维护保障</w:t>
            </w:r>
          </w:p>
        </w:tc>
      </w:tr>
      <w:tr w14:paraId="296DDD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vAlign w:val="center"/>
          </w:tcPr>
          <w:p w14:paraId="71708AC2">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负载均衡维护</w:t>
            </w:r>
          </w:p>
        </w:tc>
        <w:tc>
          <w:tcPr>
            <w:tcW w:w="3918" w:type="dxa"/>
            <w:vAlign w:val="center"/>
          </w:tcPr>
          <w:p w14:paraId="77E64A6D">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提供维护保障</w:t>
            </w:r>
          </w:p>
        </w:tc>
      </w:tr>
      <w:tr w14:paraId="2A35FB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vAlign w:val="center"/>
          </w:tcPr>
          <w:p w14:paraId="53A4171E">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防火墙维护</w:t>
            </w:r>
          </w:p>
        </w:tc>
        <w:tc>
          <w:tcPr>
            <w:tcW w:w="3918" w:type="dxa"/>
            <w:vAlign w:val="center"/>
          </w:tcPr>
          <w:p w14:paraId="5DD571F2">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提供维护保障</w:t>
            </w:r>
          </w:p>
        </w:tc>
      </w:tr>
      <w:tr w14:paraId="7C9560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5" w:type="dxa"/>
            <w:vAlign w:val="center"/>
          </w:tcPr>
          <w:p w14:paraId="04037D99">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其他非业务类基础软件维护</w:t>
            </w:r>
          </w:p>
        </w:tc>
        <w:tc>
          <w:tcPr>
            <w:tcW w:w="3918" w:type="dxa"/>
            <w:vAlign w:val="center"/>
          </w:tcPr>
          <w:p w14:paraId="58A61D04">
            <w:pPr>
              <w:pageBreakBefore w:val="0"/>
              <w:kinsoku/>
              <w:wordWrap w:val="0"/>
              <w:overflowPunct/>
              <w:topLinePunct w:val="0"/>
              <w:bidi w:val="0"/>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提供维护保障</w:t>
            </w:r>
          </w:p>
        </w:tc>
      </w:tr>
    </w:tbl>
    <w:p w14:paraId="7747D1FB">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2.2.10备件支持服务</w:t>
      </w:r>
    </w:p>
    <w:p w14:paraId="62A41B3B">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kern w:val="2"/>
          <w:sz w:val="24"/>
          <w:szCs w:val="24"/>
        </w:rPr>
        <w:t>（1）建立备件</w:t>
      </w:r>
      <w:r>
        <w:rPr>
          <w:rFonts w:hint="eastAsia" w:ascii="宋体" w:hAnsi="宋体" w:eastAsia="宋体" w:cs="宋体"/>
          <w:bCs/>
          <w:kern w:val="2"/>
          <w:sz w:val="24"/>
          <w:szCs w:val="24"/>
        </w:rPr>
        <w:t>库，对维保范围涉及设备提供硬件更换服务。</w:t>
      </w:r>
    </w:p>
    <w:p w14:paraId="627A57EE">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（2）核心设备需要在连云港市公安局处存放备件。</w:t>
      </w:r>
    </w:p>
    <w:p w14:paraId="21BAE08A">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（3）所有更换的备件必须为原厂生产，可在原厂官方查询，需更换全新产品，不得使用任何拆机件或旧件；故障硬盘设备不返还</w:t>
      </w:r>
      <w:r>
        <w:rPr>
          <w:rFonts w:hint="eastAsia" w:ascii="宋体" w:hAnsi="宋体" w:eastAsia="宋体" w:cs="宋体"/>
          <w:bCs/>
          <w:kern w:val="2"/>
          <w:sz w:val="24"/>
          <w:szCs w:val="24"/>
          <w:lang w:eastAsia="zh-CN"/>
        </w:rPr>
        <w:t>并不得带离现场须交业主封存</w:t>
      </w:r>
      <w:r>
        <w:rPr>
          <w:rFonts w:hint="eastAsia" w:ascii="宋体" w:hAnsi="宋体" w:eastAsia="宋体" w:cs="宋体"/>
          <w:bCs/>
          <w:kern w:val="2"/>
          <w:sz w:val="24"/>
          <w:szCs w:val="24"/>
        </w:rPr>
        <w:t>，以保证用户系统的安全、可靠、稳定运行。</w:t>
      </w:r>
    </w:p>
    <w:p w14:paraId="7C80AF85">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（4）成交供应商需保证涉及维保设备的硬件都能够得到及时、准确</w:t>
      </w:r>
      <w:r>
        <w:rPr>
          <w:rFonts w:hint="eastAsia" w:ascii="宋体" w:hAnsi="宋体" w:eastAsia="宋体" w:cs="宋体"/>
          <w:bCs/>
          <w:kern w:val="2"/>
          <w:sz w:val="24"/>
          <w:szCs w:val="24"/>
          <w:lang w:eastAsia="zh-CN"/>
        </w:rPr>
        <w:t>地</w:t>
      </w:r>
      <w:r>
        <w:rPr>
          <w:rFonts w:hint="eastAsia" w:ascii="宋体" w:hAnsi="宋体" w:eastAsia="宋体" w:cs="宋体"/>
          <w:bCs/>
          <w:kern w:val="2"/>
          <w:sz w:val="24"/>
          <w:szCs w:val="24"/>
        </w:rPr>
        <w:t>维修。</w:t>
      </w:r>
    </w:p>
    <w:p w14:paraId="768FB6DA">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（5）如遇配件供给时间或故障问题复杂导致解决时间超过48小时，必要时需提供备机以保证业务系统正常运转。</w:t>
      </w:r>
    </w:p>
    <w:p w14:paraId="45C58DAA">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2.2.11现已损坏设备首保维修要求</w:t>
      </w:r>
    </w:p>
    <w:p w14:paraId="259C6666">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首保应对九岭中心机房及市局附属机房包含但不仅限设备清单内已出现部件损坏，需维保但无法正常使用的设备故障进行维修，确保设备底层系统运转正常，无硬件及系统告警，</w:t>
      </w:r>
      <w:r>
        <w:rPr>
          <w:rFonts w:hint="eastAsia" w:ascii="宋体" w:hAnsi="宋体" w:eastAsia="宋体" w:cs="宋体"/>
          <w:kern w:val="2"/>
          <w:sz w:val="24"/>
          <w:szCs w:val="24"/>
        </w:rPr>
        <w:t>成交供应商在签订合同</w:t>
      </w:r>
      <w:r>
        <w:rPr>
          <w:rFonts w:hint="eastAsia" w:ascii="宋体" w:hAnsi="宋体" w:eastAsia="宋体" w:cs="宋体"/>
          <w:bCs/>
          <w:kern w:val="2"/>
          <w:sz w:val="24"/>
          <w:szCs w:val="24"/>
        </w:rPr>
        <w:t>后20工作日内完成上述首保工作。如未能在约定时间内完成维修工作</w:t>
      </w:r>
      <w:r>
        <w:rPr>
          <w:rFonts w:hint="eastAsia" w:ascii="宋体" w:hAnsi="宋体" w:eastAsia="宋体" w:cs="宋体"/>
          <w:sz w:val="24"/>
          <w:szCs w:val="24"/>
        </w:rPr>
        <w:t>，乙方应按逾期交付总额每日</w:t>
      </w:r>
      <w:r>
        <w:rPr>
          <w:rFonts w:hint="eastAsia" w:ascii="宋体" w:hAnsi="宋体" w:eastAsia="宋体" w:cs="宋体"/>
          <w:sz w:val="24"/>
          <w:szCs w:val="24"/>
          <w:u w:val="none"/>
          <w:lang w:eastAsia="zh-CN"/>
        </w:rPr>
        <w:t>千分之一</w:t>
      </w:r>
      <w:r>
        <w:rPr>
          <w:rFonts w:hint="eastAsia" w:ascii="宋体" w:hAnsi="宋体" w:eastAsia="宋体" w:cs="宋体"/>
          <w:sz w:val="24"/>
          <w:szCs w:val="24"/>
          <w:u w:val="none"/>
        </w:rPr>
        <w:t>向甲方支付违约金，由甲方从待付合同款中扣除，最高限额为本合同总额的</w:t>
      </w:r>
      <w:r>
        <w:rPr>
          <w:rFonts w:hint="eastAsia" w:ascii="宋体" w:hAnsi="宋体" w:eastAsia="宋体" w:cs="宋体"/>
          <w:sz w:val="24"/>
          <w:szCs w:val="24"/>
          <w:u w:val="none"/>
          <w:lang w:eastAsia="zh-CN"/>
        </w:rPr>
        <w:t>百分之十</w:t>
      </w:r>
      <w:r>
        <w:rPr>
          <w:rFonts w:hint="eastAsia" w:ascii="宋体" w:hAnsi="宋体" w:eastAsia="宋体" w:cs="宋体"/>
          <w:sz w:val="24"/>
          <w:szCs w:val="24"/>
        </w:rPr>
        <w:t>。逾期超过约定</w:t>
      </w:r>
      <w:r>
        <w:rPr>
          <w:rFonts w:hint="eastAsia" w:ascii="宋体" w:hAnsi="宋体" w:eastAsia="宋体" w:cs="宋体"/>
          <w:sz w:val="24"/>
          <w:szCs w:val="24"/>
          <w:lang w:eastAsia="zh-CN"/>
        </w:rPr>
        <w:t>日期</w:t>
      </w:r>
      <w:r>
        <w:rPr>
          <w:rFonts w:hint="eastAsia" w:ascii="宋体" w:hAnsi="宋体" w:eastAsia="宋体" w:cs="宋体"/>
          <w:sz w:val="24"/>
          <w:szCs w:val="24"/>
          <w:lang w:val="en-US" w:eastAsia="zh-CN"/>
        </w:rPr>
        <w:t>30日后</w:t>
      </w:r>
      <w:r>
        <w:rPr>
          <w:rFonts w:hint="eastAsia" w:ascii="宋体" w:hAnsi="宋体" w:eastAsia="宋体" w:cs="宋体"/>
          <w:sz w:val="24"/>
          <w:szCs w:val="24"/>
        </w:rPr>
        <w:t>不能交付的，甲方可解除本合同</w:t>
      </w:r>
      <w:r>
        <w:rPr>
          <w:rFonts w:hint="eastAsia" w:ascii="宋体" w:hAnsi="宋体" w:eastAsia="宋体" w:cs="宋体"/>
          <w:sz w:val="24"/>
          <w:szCs w:val="24"/>
          <w:lang w:eastAsia="zh-CN"/>
        </w:rPr>
        <w:t>。</w:t>
      </w:r>
      <w:r>
        <w:rPr>
          <w:rFonts w:hint="eastAsia" w:ascii="宋体" w:hAnsi="宋体" w:eastAsia="宋体" w:cs="宋体"/>
          <w:bCs/>
          <w:kern w:val="2"/>
          <w:sz w:val="24"/>
          <w:szCs w:val="24"/>
        </w:rPr>
        <w:t>具体故障设备的型号及故障原因，请供应商在参加磋商采购之前到现场实际勘查、统计，估算维修费用。此项费用计入维保价格中，不另行报价。</w:t>
      </w:r>
    </w:p>
    <w:p w14:paraId="0B014EA6">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2.3警务基础平台运维</w:t>
      </w:r>
    </w:p>
    <w:p w14:paraId="07D74790">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2.3.1驻场运维</w:t>
      </w:r>
    </w:p>
    <w:p w14:paraId="60DB3D8E">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kern w:val="2"/>
          <w:sz w:val="24"/>
          <w:szCs w:val="24"/>
        </w:rPr>
        <w:t>提供两名运维工程师常驻市局开展日常运维工作，要求熟悉公安业务、熟练掌握平台各</w:t>
      </w:r>
      <w:r>
        <w:rPr>
          <w:rFonts w:hint="eastAsia" w:ascii="宋体" w:hAnsi="宋体" w:eastAsia="宋体" w:cs="宋体"/>
          <w:bCs/>
          <w:kern w:val="2"/>
          <w:sz w:val="24"/>
          <w:szCs w:val="24"/>
        </w:rPr>
        <w:t>系统功能操作、能够对平台运行环境进行日常巡检及性能调优，并具备系统调研、方案编写、设计开发、集成部署、培训推广能力。</w:t>
      </w:r>
    </w:p>
    <w:p w14:paraId="52CF3BD1">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（1）电话客</w:t>
      </w:r>
      <w:bookmarkStart w:id="13" w:name="_Toc8754_WPSOffice_Level1"/>
      <w:r>
        <w:rPr>
          <w:rFonts w:hint="eastAsia" w:ascii="宋体" w:hAnsi="宋体" w:eastAsia="宋体" w:cs="宋体"/>
          <w:bCs/>
          <w:kern w:val="2"/>
          <w:sz w:val="24"/>
          <w:szCs w:val="24"/>
        </w:rPr>
        <w:t>服</w:t>
      </w:r>
    </w:p>
    <w:p w14:paraId="7FE103D1">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提供7*24小时</w:t>
      </w:r>
      <w:bookmarkEnd w:id="13"/>
      <w:r>
        <w:rPr>
          <w:rFonts w:hint="eastAsia" w:ascii="宋体" w:hAnsi="宋体" w:eastAsia="宋体" w:cs="宋体"/>
          <w:bCs/>
          <w:kern w:val="2"/>
          <w:sz w:val="24"/>
          <w:szCs w:val="24"/>
        </w:rPr>
        <w:t>日常应用操作答疑、业务咨询和技术层问题记录（平台运行故障、应用报错、功能缺陷等），并按照统一要求使用客服工单管理系统进行记录、跟踪、回访。</w:t>
      </w:r>
    </w:p>
    <w:p w14:paraId="12B9167D">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（2）日常巡检</w:t>
      </w:r>
    </w:p>
    <w:p w14:paraId="2CF7C2D5">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每日1次按照巡检手册（结合我市数据应用情况制定参考值、警戒值）对所有涉及警务平台运行的服务器和相关硬件（主要包括数据库服务器、应用服务器、中间库服务器、基础服务工具服务器、数据交换服务器及网络设备）开展网络连接情况、操作系统CPU使用率、内存使用率、访问量巡检，形成巡检记录。</w:t>
      </w:r>
    </w:p>
    <w:p w14:paraId="76578B18">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（3）应用指导</w:t>
      </w:r>
    </w:p>
    <w:p w14:paraId="64AE8E5F">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配合市局专班开展平台日常电话、现场应用指导；按照省厅、市局有关系统上线应用推广要求配合专班开展应用培训、试点推广。</w:t>
      </w:r>
    </w:p>
    <w:p w14:paraId="017B408C">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（4）基础工作</w:t>
      </w:r>
    </w:p>
    <w:p w14:paraId="18E5D70E">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配合市局专班开展日常客户端运行保障；平台使用数据统计；用户权限调整，包括用户权限、用户个人信息、用户单位信息、用户角色等本地调整工作；平台应用优化意见收集；各类基础文档、联系单、确认单编写整理工作。</w:t>
      </w:r>
    </w:p>
    <w:p w14:paraId="6829024B">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（5）需求反馈</w:t>
      </w:r>
    </w:p>
    <w:p w14:paraId="38E0B053">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对平台系统功能模块缺陷涉及应用程序修改完善的内容进行需求汇总、问题再现，负责反馈省厅项目办并参与协调跟进。</w:t>
      </w:r>
    </w:p>
    <w:p w14:paraId="033F733C">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kern w:val="2"/>
          <w:sz w:val="24"/>
          <w:szCs w:val="24"/>
        </w:rPr>
      </w:pPr>
      <w:bookmarkStart w:id="14" w:name="_Toc3543_WPSOffice_Level3"/>
      <w:r>
        <w:rPr>
          <w:rFonts w:hint="eastAsia" w:ascii="宋体" w:hAnsi="宋体" w:eastAsia="宋体" w:cs="宋体"/>
          <w:b/>
          <w:bCs/>
          <w:kern w:val="2"/>
          <w:sz w:val="24"/>
          <w:szCs w:val="24"/>
        </w:rPr>
        <w:t>2.3.2远程运维</w:t>
      </w:r>
      <w:bookmarkEnd w:id="14"/>
    </w:p>
    <w:p w14:paraId="2DD1F46C">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投标方要组建一支专业运维团队可通过公安网实现远程运维。具体要求如下：</w:t>
      </w:r>
    </w:p>
    <w:p w14:paraId="40DC0620">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（1）电话客服</w:t>
      </w:r>
    </w:p>
    <w:p w14:paraId="71BCB2DD">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提供7*24小时日常应用操作答疑、业务咨询及平台报错、建设意见解答反馈；逐步实现网上在线客服交流渠道；通过建设专业管理系统对各类问题及解决办法进行记录管理。</w:t>
      </w:r>
    </w:p>
    <w:p w14:paraId="41C62929">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（2）运行监测</w:t>
      </w:r>
    </w:p>
    <w:p w14:paraId="12FEB1B9">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对警务平台应用服务器、数据库服务器、中间件、数据库、110对接服务、负载均衡进行监测，从应用角度对以上内容进行调试优化提供建议；并对应用服务器节点增删、集群配置进行维护；在运行环境出现瘫痪等问题时，积极配合我市大数据管理部门、相关产品厂商联合分析问题原因，配合进行联调联测及相关数据信息恢复工作，并给出合理化建议。</w:t>
      </w:r>
    </w:p>
    <w:p w14:paraId="51EA6D9B">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（3）系统更新</w:t>
      </w:r>
    </w:p>
    <w:p w14:paraId="48CA15AD">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全省统一新建、升级、对接的系统功能模块由省厅统一发布调试。全省集中运维团队负责在更新上线发布维护前24小时内，以省厅正式通知或电话通知我市系统管理员，并告知准备更新时间，以方便我市系统管理员做好相关准备；对于任何数据库结构与接口改动都需形成技术文档（包括改动原因，改动时间，改动内容等）正式通知我市管理员；在平台建设专栏发布更新文档、授权文档、操作手册，对新开发上线和有重大修改内容的应用功能模块提供视频录像教程；在平台中发布系统更新上线提示。</w:t>
      </w:r>
    </w:p>
    <w:p w14:paraId="725673EF">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（4）系统对接</w:t>
      </w:r>
    </w:p>
    <w:p w14:paraId="47A6EF9D">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按照当年省厅运维管理工作通知中有关数据外接应用报备制度明确要求执行。</w:t>
      </w:r>
    </w:p>
    <w:p w14:paraId="1C5CB0AC">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（5）应用培训</w:t>
      </w:r>
    </w:p>
    <w:p w14:paraId="091D4730">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按采购方要求提供向各平台管理员的集中培训，包括新发布系统建设内容、解决问题、应用操作、二次开发等方面、提供培训所需PPT、操作手册、操作录屏等资料。</w:t>
      </w:r>
    </w:p>
    <w:p w14:paraId="04F252F7">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（6）数据备份</w:t>
      </w:r>
    </w:p>
    <w:p w14:paraId="4D937979">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每周对警务平台窗体文件、系统级数据（包括用户信息、角色信息、字典信息等）进行备份。</w:t>
      </w:r>
    </w:p>
    <w:p w14:paraId="5CA6F1FB">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（7）数据通报</w:t>
      </w:r>
    </w:p>
    <w:p w14:paraId="77FB8407">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提供省厅全月（年）平台数据相关通报表格统计办法及实时数据报表，以便本地及时整改。</w:t>
      </w:r>
    </w:p>
    <w:p w14:paraId="04D6D899">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kern w:val="2"/>
          <w:sz w:val="24"/>
          <w:szCs w:val="24"/>
        </w:rPr>
      </w:pPr>
      <w:bookmarkStart w:id="15" w:name="_Toc22634_WPSOffice_Level3"/>
      <w:r>
        <w:rPr>
          <w:rFonts w:hint="eastAsia" w:ascii="宋体" w:hAnsi="宋体" w:eastAsia="宋体" w:cs="宋体"/>
          <w:b/>
          <w:bCs/>
          <w:kern w:val="2"/>
          <w:sz w:val="24"/>
          <w:szCs w:val="24"/>
        </w:rPr>
        <w:t>2.3.3运维保障工作方案：</w:t>
      </w:r>
      <w:bookmarkEnd w:id="15"/>
    </w:p>
    <w:p w14:paraId="72C4DF0E">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kern w:val="2"/>
          <w:sz w:val="24"/>
          <w:szCs w:val="24"/>
        </w:rPr>
        <w:t>（1）服务响</w:t>
      </w:r>
      <w:r>
        <w:rPr>
          <w:rFonts w:hint="eastAsia" w:ascii="宋体" w:hAnsi="宋体" w:eastAsia="宋体" w:cs="宋体"/>
          <w:bCs/>
          <w:kern w:val="2"/>
          <w:sz w:val="24"/>
          <w:szCs w:val="24"/>
        </w:rPr>
        <w:t>应时间：成交供应商应建立值班备勤制度，保证联系电话畅通，在接到现场服务要求后1小时内响应，2小时内解决。</w:t>
      </w:r>
    </w:p>
    <w:p w14:paraId="0B8B3F09">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（2）文档提交时间：巡检记录当天提交；故障处理记录在故障后2天内提交；系统维护与故障处置知识库，每周汇总周五提交；月度服务报告在每月第5个工作日提交；年度服务报告在每年结束后1个月内提交。</w:t>
      </w:r>
    </w:p>
    <w:p w14:paraId="487AA2AD">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（3）故障恢复时限：一般故障不超过4小时；严重故障不超过12小时。</w:t>
      </w:r>
    </w:p>
    <w:p w14:paraId="400E138E">
      <w:pPr>
        <w:pageBreakBefore w:val="0"/>
        <w:kinsoku/>
        <w:wordWrap w:val="0"/>
        <w:overflowPunct/>
        <w:topLinePunct w:val="0"/>
        <w:autoSpaceDE w:val="0"/>
        <w:autoSpaceDN w:val="0"/>
        <w:bidi w:val="0"/>
        <w:adjustRightInd w:val="0"/>
        <w:snapToGrid w:val="0"/>
        <w:spacing w:line="360" w:lineRule="auto"/>
        <w:ind w:firstLine="480" w:firstLineChars="200"/>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2.4警务云大数据平台续保运维</w:t>
      </w:r>
    </w:p>
    <w:p w14:paraId="68FB9644">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三、人员配备</w:t>
      </w:r>
    </w:p>
    <w:p w14:paraId="37B8CAA3">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i/>
          <w:iCs/>
          <w:kern w:val="2"/>
          <w:sz w:val="24"/>
          <w:szCs w:val="24"/>
          <w:u w:val="single"/>
        </w:rPr>
      </w:pPr>
      <w:r>
        <w:rPr>
          <w:rFonts w:hint="eastAsia" w:ascii="宋体" w:hAnsi="宋体" w:eastAsia="宋体" w:cs="宋体"/>
          <w:b/>
          <w:bCs/>
          <w:i/>
          <w:iCs/>
          <w:kern w:val="2"/>
          <w:sz w:val="24"/>
          <w:szCs w:val="24"/>
          <w:u w:val="single"/>
        </w:rPr>
        <w:t>1、</w:t>
      </w:r>
      <w:r>
        <w:rPr>
          <w:rFonts w:hint="eastAsia" w:ascii="宋体" w:hAnsi="宋体" w:eastAsia="宋体" w:cs="宋体"/>
          <w:b/>
          <w:i/>
          <w:iCs/>
          <w:kern w:val="2"/>
          <w:sz w:val="24"/>
          <w:szCs w:val="24"/>
          <w:u w:val="single"/>
        </w:rPr>
        <w:t>项目实施期间提供不低于4人驻场服务，其中机房系统维护保障不低于2人，警务基础平台运维不低于2人。</w:t>
      </w:r>
    </w:p>
    <w:p w14:paraId="54DFCF7F">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2.机房系统保障服务驻场人员要求至少具有计算机、通信、电子信息类中级及以上工程师职称证书。</w:t>
      </w:r>
    </w:p>
    <w:p w14:paraId="6D84F0F5">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3.警务基础平台运维驻场人员要求熟悉公安业务、熟练掌握平台各系统功能操作、能够对平台运行环境进行日常巡检及性能调优，并具备系统调研、方案编写、设计开发、集成部署、培训推广能力。</w:t>
      </w:r>
    </w:p>
    <w:p w14:paraId="51CCB68F">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四、项目综合要求</w:t>
      </w:r>
    </w:p>
    <w:p w14:paraId="26B816E9">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1.为保证维保服务质量和相关业务的安全保密要求，</w:t>
      </w:r>
      <w:r>
        <w:rPr>
          <w:rFonts w:hint="eastAsia" w:ascii="宋体" w:hAnsi="宋体" w:eastAsia="宋体" w:cs="宋体"/>
          <w:bCs/>
          <w:kern w:val="2"/>
          <w:sz w:val="24"/>
          <w:szCs w:val="24"/>
          <w:lang w:eastAsia="zh-CN"/>
        </w:rPr>
        <w:t>供应商及项目</w:t>
      </w:r>
      <w:r>
        <w:rPr>
          <w:rFonts w:hint="eastAsia" w:ascii="宋体" w:hAnsi="宋体" w:eastAsia="宋体" w:cs="宋体"/>
          <w:bCs/>
          <w:kern w:val="2"/>
          <w:sz w:val="24"/>
          <w:szCs w:val="24"/>
        </w:rPr>
        <w:t>人员需签订保密协议并严格执行。</w:t>
      </w:r>
    </w:p>
    <w:p w14:paraId="3FECD1DE">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2.成交供应商在维护完成后提供年度维护报告，在报告中需要提供本年度的主要故障次数统计、系统性能评估报告、系统维护建议及日常故障处理的报告单。年度报告作为年度付款依据。</w:t>
      </w:r>
    </w:p>
    <w:p w14:paraId="12927BBB">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3.成交供应商必须提供完整的维保服务方案，包括服务内容、维护管理、巡检保等内容。</w:t>
      </w:r>
    </w:p>
    <w:p w14:paraId="191ED444">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4.项目实施过程中所需的投标文件中未列出的相关费用等应由供应商在报价时一并考虑。项目开始实施后产生的所有费用由成交供应商负责。</w:t>
      </w:r>
    </w:p>
    <w:p w14:paraId="6CE67D0E">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5.合同履约期间，要求成交供应商提供项目实施运维调试</w:t>
      </w:r>
      <w:r>
        <w:rPr>
          <w:rFonts w:hint="eastAsia" w:ascii="宋体" w:hAnsi="宋体" w:eastAsia="宋体" w:cs="宋体"/>
          <w:bCs/>
          <w:kern w:val="2"/>
          <w:sz w:val="24"/>
          <w:szCs w:val="24"/>
          <w:lang w:eastAsia="zh-CN"/>
        </w:rPr>
        <w:t>移动</w:t>
      </w:r>
      <w:r>
        <w:rPr>
          <w:rFonts w:hint="eastAsia" w:ascii="宋体" w:hAnsi="宋体" w:eastAsia="宋体" w:cs="宋体"/>
          <w:bCs/>
          <w:kern w:val="2"/>
          <w:sz w:val="24"/>
          <w:szCs w:val="24"/>
        </w:rPr>
        <w:t>工作站2台（CUP≧</w:t>
      </w:r>
      <w:r>
        <w:rPr>
          <w:rFonts w:hint="eastAsia" w:ascii="宋体" w:hAnsi="宋体" w:eastAsia="宋体" w:cs="宋体"/>
          <w:bCs/>
          <w:kern w:val="2"/>
          <w:sz w:val="24"/>
          <w:szCs w:val="24"/>
          <w:lang w:val="en-US" w:eastAsia="zh-CN"/>
        </w:rPr>
        <w:t>14</w:t>
      </w:r>
      <w:r>
        <w:rPr>
          <w:rFonts w:hint="eastAsia" w:ascii="宋体" w:hAnsi="宋体" w:eastAsia="宋体" w:cs="宋体"/>
          <w:bCs/>
          <w:kern w:val="2"/>
          <w:sz w:val="24"/>
          <w:szCs w:val="24"/>
        </w:rPr>
        <w:t>核/内存≧32G/硬盘≧1T</w:t>
      </w:r>
      <w:r>
        <w:rPr>
          <w:rFonts w:hint="eastAsia" w:ascii="宋体" w:hAnsi="宋体" w:eastAsia="宋体" w:cs="宋体"/>
          <w:bCs/>
          <w:kern w:val="2"/>
          <w:sz w:val="24"/>
          <w:szCs w:val="24"/>
          <w:lang w:val="en-US" w:eastAsia="zh-CN"/>
        </w:rPr>
        <w:t>/独立显卡</w:t>
      </w:r>
      <w:r>
        <w:rPr>
          <w:rFonts w:hint="eastAsia" w:ascii="宋体" w:hAnsi="宋体" w:eastAsia="宋体" w:cs="宋体"/>
          <w:bCs/>
          <w:kern w:val="2"/>
          <w:sz w:val="24"/>
          <w:szCs w:val="24"/>
        </w:rPr>
        <w:t>），使用期间设备不得带离现场，服务期结束后，设备返还（存储介质不返还）。</w:t>
      </w:r>
    </w:p>
    <w:p w14:paraId="45C7EA78">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6.本磋商整体建设清单中仅列举完成本项目建设所需的硬件设备及软件平台建设项，供应商需根据第四部分采购需求考虑完成全部软硬件系统搭建及部署所需的各类线缆、跳纤、接头、五金配件等辅材，辅材报价不单独体现。</w:t>
      </w:r>
    </w:p>
    <w:p w14:paraId="1B960892">
      <w:pPr>
        <w:pageBreakBefore w:val="0"/>
        <w:kinsoku/>
        <w:wordWrap w:val="0"/>
        <w:overflowPunct/>
        <w:topLinePunct w:val="0"/>
        <w:bidi w:val="0"/>
        <w:adjustRightInd w:val="0"/>
        <w:snapToGrid w:val="0"/>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bCs/>
          <w:kern w:val="2"/>
          <w:sz w:val="24"/>
          <w:szCs w:val="24"/>
        </w:rPr>
        <w:t>7.供应商</w:t>
      </w:r>
      <w:r>
        <w:rPr>
          <w:rFonts w:hint="eastAsia" w:ascii="宋体" w:hAnsi="宋体" w:eastAsia="宋体" w:cs="宋体"/>
          <w:kern w:val="2"/>
          <w:sz w:val="24"/>
          <w:szCs w:val="24"/>
        </w:rPr>
        <w:t>需严格遵守采购、响应文件及合同相关约定并</w:t>
      </w:r>
      <w:r>
        <w:rPr>
          <w:rFonts w:hint="eastAsia" w:ascii="宋体" w:hAnsi="宋体" w:eastAsia="宋体" w:cs="宋体"/>
          <w:kern w:val="2"/>
          <w:sz w:val="24"/>
          <w:szCs w:val="24"/>
          <w:lang w:eastAsia="zh-CN"/>
        </w:rPr>
        <w:t>运维服务</w:t>
      </w:r>
      <w:r>
        <w:rPr>
          <w:rFonts w:hint="eastAsia" w:ascii="宋体" w:hAnsi="宋体" w:eastAsia="宋体" w:cs="宋体"/>
          <w:kern w:val="2"/>
          <w:sz w:val="24"/>
          <w:szCs w:val="24"/>
        </w:rPr>
        <w:t>期接受采购人、审计单位、监理单位监督及对相关违约行为的处罚。</w:t>
      </w:r>
    </w:p>
    <w:p w14:paraId="6DB0A680">
      <w:pPr>
        <w:pageBreakBefore w:val="0"/>
        <w:kinsoku/>
        <w:wordWrap w:val="0"/>
        <w:overflowPunct/>
        <w:topLinePunct w:val="0"/>
        <w:bidi w:val="0"/>
        <w:adjustRightInd w:val="0"/>
        <w:snapToGrid w:val="0"/>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bCs/>
          <w:kern w:val="2"/>
          <w:sz w:val="24"/>
          <w:szCs w:val="24"/>
        </w:rPr>
        <w:t>8.供应商</w:t>
      </w:r>
      <w:r>
        <w:rPr>
          <w:rFonts w:hint="eastAsia" w:ascii="宋体" w:hAnsi="宋体" w:eastAsia="宋体" w:cs="宋体"/>
          <w:kern w:val="2"/>
          <w:sz w:val="24"/>
          <w:szCs w:val="24"/>
        </w:rPr>
        <w:t>必须保证响应的全部产品、设备材料、软件技术性能完全符合磋商文件所要求的基本配置要求，保证在磋商文件中说明的其他技术指标、产品资料、按照磋商文件要求提供的服务承诺、实施方案等是真实的，一旦由专家、使用单位或者设备到货后或者实施使用中发现技术指标、产品资料、服务承诺、实施方案等与标书中说明不符或安装调试中达不到采购人集成要求，影响采购人正常应用的，供应商应无条件整改直至满足要求，并赔偿采购人由此而产生的损失。</w:t>
      </w:r>
    </w:p>
    <w:p w14:paraId="16652C7F">
      <w:pPr>
        <w:pageBreakBefore w:val="0"/>
        <w:kinsoku/>
        <w:wordWrap w:val="0"/>
        <w:overflowPunct/>
        <w:topLinePunct w:val="0"/>
        <w:bidi w:val="0"/>
        <w:adjustRightInd w:val="0"/>
        <w:snapToGrid w:val="0"/>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9.采购人向成交供应商提供办公用房一间，</w:t>
      </w:r>
      <w:r>
        <w:rPr>
          <w:rFonts w:hint="eastAsia" w:ascii="宋体" w:hAnsi="宋体" w:eastAsia="宋体" w:cs="宋体"/>
          <w:kern w:val="2"/>
          <w:sz w:val="24"/>
          <w:szCs w:val="24"/>
          <w:lang w:eastAsia="zh-CN"/>
        </w:rPr>
        <w:t>成交供应商根据需要配置相应的办公用品</w:t>
      </w:r>
      <w:r>
        <w:rPr>
          <w:rFonts w:hint="eastAsia" w:ascii="宋体" w:hAnsi="宋体" w:eastAsia="宋体" w:cs="宋体"/>
          <w:kern w:val="2"/>
          <w:sz w:val="24"/>
          <w:szCs w:val="24"/>
        </w:rPr>
        <w:t>。在项目完成或中止后的10个工作日内，成交供应商应向采购人交还借用（如有）的所有办公设施、设备和用具，如有损坏应予以等价赔偿。</w:t>
      </w:r>
    </w:p>
    <w:p w14:paraId="4EF5CC56">
      <w:pPr>
        <w:pageBreakBefore w:val="0"/>
        <w:kinsoku/>
        <w:wordWrap w:val="0"/>
        <w:overflowPunct/>
        <w:topLinePunct w:val="0"/>
        <w:bidi w:val="0"/>
        <w:adjustRightInd w:val="0"/>
        <w:snapToGrid w:val="0"/>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10.中标人须免费提供公安九岭机房已有机柜的挪移整合工作，保证本期项目设备顺利部署。</w:t>
      </w:r>
    </w:p>
    <w:p w14:paraId="7E144FF0">
      <w:pPr>
        <w:pageBreakBefore w:val="0"/>
        <w:kinsoku/>
        <w:wordWrap w:val="0"/>
        <w:overflowPunct/>
        <w:topLinePunct w:val="0"/>
        <w:bidi w:val="0"/>
        <w:adjustRightInd w:val="0"/>
        <w:snapToGrid w:val="0"/>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11.中标人须与提供驻场服务的厂商签订建设期及质保期人员驻场协议，驻场协议经采购人确认后，须将协议副本提交采购人。</w:t>
      </w:r>
    </w:p>
    <w:p w14:paraId="66B42020">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五、信息安全要求</w:t>
      </w:r>
    </w:p>
    <w:p w14:paraId="470FFCB6">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kern w:val="2"/>
          <w:sz w:val="24"/>
          <w:szCs w:val="24"/>
        </w:rPr>
        <w:t>（1）为确保数据</w:t>
      </w:r>
      <w:r>
        <w:rPr>
          <w:rFonts w:hint="eastAsia" w:ascii="宋体" w:hAnsi="宋体" w:eastAsia="宋体" w:cs="宋体"/>
          <w:bCs/>
          <w:kern w:val="2"/>
          <w:sz w:val="24"/>
          <w:szCs w:val="24"/>
        </w:rPr>
        <w:t>及系统安全，成交供应商需要按连云港市公安局要求签署保密协议，对参加项目的人员进行保密教育，项目中的实施人员均做好记录，交由我方人员审核。</w:t>
      </w:r>
    </w:p>
    <w:p w14:paraId="6A814483">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（2）参与项目维保人员必须做到以下要求：</w:t>
      </w:r>
    </w:p>
    <w:p w14:paraId="6163FD19">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bCs/>
          <w:kern w:val="2"/>
          <w:sz w:val="24"/>
          <w:szCs w:val="24"/>
        </w:rPr>
        <w:t>只在规定的区域实行规定的工作，不得进入与之无关的工作区域；不得在机房设备上建立与工作无关的网站、网页和服务；不得在设备中传输、粘贴有害信息或与工作无关的信息；不得擅自对设备进行扫描、探测和入侵信息系统；不得对工作信息和资源越权访问、违规使用；不得私自允许他人接触和使用机房设备；严禁将工作用设备和文件带离机房；未经机房管理部门同意，严禁以任何方式和介质拷贝服务器上的任何信息及项目中涉及的信息；对工作中接触到的信息做到保密；不准擅自摘抄、下载、复制、拍摄、提供、销毁或私自留存相关文件、资料（含电子文档）；严禁违反“一机两用”规定；不准在私人交往中谈论相关工作；不得有其他任何危害公安信息安全的行为。</w:t>
      </w:r>
    </w:p>
    <w:p w14:paraId="22047A56">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六、服务期限</w:t>
      </w:r>
    </w:p>
    <w:p w14:paraId="24748C62">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i/>
          <w:iCs/>
          <w:kern w:val="2"/>
          <w:sz w:val="24"/>
          <w:szCs w:val="24"/>
          <w:u w:val="single"/>
        </w:rPr>
      </w:pPr>
      <w:r>
        <w:rPr>
          <w:rFonts w:hint="eastAsia" w:ascii="宋体" w:hAnsi="宋体" w:eastAsia="宋体" w:cs="宋体"/>
          <w:b/>
          <w:i/>
          <w:iCs/>
          <w:kern w:val="2"/>
          <w:sz w:val="24"/>
          <w:szCs w:val="24"/>
          <w:u w:val="single"/>
        </w:rPr>
        <w:t>自合同签订之日起1年。</w:t>
      </w:r>
    </w:p>
    <w:p w14:paraId="44907548">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七、付款方式与履约保证金</w:t>
      </w:r>
    </w:p>
    <w:p w14:paraId="632A6BC0">
      <w:pPr>
        <w:pageBreakBefore w:val="0"/>
        <w:kinsoku/>
        <w:wordWrap w:val="0"/>
        <w:overflowPunct/>
        <w:topLinePunct w:val="0"/>
        <w:bidi w:val="0"/>
        <w:adjustRightInd w:val="0"/>
        <w:snapToGrid w:val="0"/>
        <w:spacing w:line="360" w:lineRule="auto"/>
        <w:ind w:firstLine="482" w:firstLineChars="200"/>
        <w:jc w:val="left"/>
        <w:rPr>
          <w:rFonts w:hint="eastAsia" w:ascii="宋体" w:hAnsi="宋体" w:eastAsia="宋体" w:cs="宋体"/>
          <w:b/>
          <w:bCs/>
          <w:i/>
          <w:iCs/>
          <w:kern w:val="2"/>
          <w:sz w:val="24"/>
          <w:szCs w:val="24"/>
          <w:u w:val="single"/>
        </w:rPr>
      </w:pPr>
      <w:r>
        <w:rPr>
          <w:rFonts w:hint="eastAsia" w:ascii="宋体" w:hAnsi="宋体" w:eastAsia="宋体" w:cs="宋体"/>
          <w:b/>
          <w:bCs/>
          <w:i/>
          <w:iCs/>
          <w:kern w:val="2"/>
          <w:sz w:val="24"/>
          <w:szCs w:val="24"/>
          <w:u w:val="single"/>
        </w:rPr>
        <w:t>1、付款方式：合同签订后20日内完成首次设备维护，首次维护设备完好度达到100%，中标人可以提出初验申请，初验合格后支付合同总金额的40%；服务期结束项目终验合格后，终验合格并完成项目审计后，支付至审计结算金额的100%（每次支付时须扣除考核扣减的相关费用）。</w:t>
      </w:r>
    </w:p>
    <w:p w14:paraId="32F4260B">
      <w:pPr>
        <w:pageBreakBefore w:val="0"/>
        <w:kinsoku/>
        <w:wordWrap w:val="0"/>
        <w:overflowPunct/>
        <w:topLinePunct w:val="0"/>
        <w:bidi w:val="0"/>
        <w:adjustRightInd w:val="0"/>
        <w:snapToGrid w:val="0"/>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2.履约保证金</w:t>
      </w:r>
    </w:p>
    <w:p w14:paraId="75FA557A">
      <w:pPr>
        <w:pageBreakBefore w:val="0"/>
        <w:kinsoku/>
        <w:wordWrap w:val="0"/>
        <w:overflowPunct/>
        <w:topLinePunct w:val="0"/>
        <w:bidi w:val="0"/>
        <w:adjustRightInd w:val="0"/>
        <w:snapToGrid w:val="0"/>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本项目不收取履约保证金。</w:t>
      </w:r>
    </w:p>
    <w:p w14:paraId="4ECBB004">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八、考核办法</w:t>
      </w:r>
    </w:p>
    <w:p w14:paraId="4D7F253B">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维保服务质量实行月度+年度</w:t>
      </w:r>
      <w:r>
        <w:rPr>
          <w:rFonts w:hint="eastAsia" w:ascii="宋体" w:hAnsi="宋体" w:eastAsia="宋体" w:cs="宋体"/>
          <w:bCs/>
          <w:kern w:val="2"/>
          <w:sz w:val="24"/>
          <w:szCs w:val="24"/>
        </w:rPr>
        <w:t>定量考核制度，考核总分值为100分。</w:t>
      </w:r>
    </w:p>
    <w:p w14:paraId="68446D58">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1.月度考核计算方式为总分100分减每月扣分，月考核分值低于60分</w:t>
      </w:r>
      <w:r>
        <w:rPr>
          <w:rFonts w:hint="eastAsia" w:ascii="宋体" w:hAnsi="宋体" w:eastAsia="宋体" w:cs="宋体"/>
          <w:bCs/>
          <w:color w:val="FFFF00"/>
          <w:kern w:val="2"/>
          <w:sz w:val="24"/>
          <w:szCs w:val="24"/>
        </w:rPr>
        <w:t>，</w:t>
      </w:r>
      <w:r>
        <w:rPr>
          <w:rFonts w:hint="eastAsia" w:ascii="宋体" w:hAnsi="宋体" w:eastAsia="宋体" w:cs="宋体"/>
          <w:bCs/>
          <w:kern w:val="2"/>
          <w:sz w:val="24"/>
          <w:szCs w:val="24"/>
        </w:rPr>
        <w:t>则判定本月考核不合格：</w:t>
      </w:r>
    </w:p>
    <w:p w14:paraId="23873F85">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（1）故障响应时间。（20分）</w:t>
      </w:r>
    </w:p>
    <w:p w14:paraId="0B1525BC">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发生故障应在应急响应时间要求内到达现场。（每迟10分钟扣1分，直到本月得0分）</w:t>
      </w:r>
    </w:p>
    <w:p w14:paraId="53A58AC0">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（2）提交日常巡检、故障维修相关文档。（10分）</w:t>
      </w:r>
    </w:p>
    <w:p w14:paraId="58DA13AD">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每次巡检记录报告。（每次巡检当天提交，每迟1天扣0.5分，直到本月得0分）</w:t>
      </w:r>
    </w:p>
    <w:p w14:paraId="7D123FBE">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故障维修报告。（每次故障后2天内提交，每迟1天扣0.5分，直到本月得0分）</w:t>
      </w:r>
    </w:p>
    <w:p w14:paraId="363579BF">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健康检查报告。（每次检查后2天内提交，每迟1天扣0.5分，直到本月得0分）</w:t>
      </w:r>
    </w:p>
    <w:p w14:paraId="62F6219C">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月度服务报告。（每月3日前提交，每迟1天扣0.5分，直到本月得0分）</w:t>
      </w:r>
    </w:p>
    <w:p w14:paraId="379B32C5">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（3）故障恢复时间（30分）</w:t>
      </w:r>
    </w:p>
    <w:p w14:paraId="302410F1">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按照故障恢复要求，严重故障恢复时间，每超过20分钟扣10分；一般故障恢复时间，每超过12小时扣10分直至本月得分为0分。</w:t>
      </w:r>
    </w:p>
    <w:p w14:paraId="59ACC1C5">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（4）健康检查服务（10分）</w:t>
      </w:r>
    </w:p>
    <w:p w14:paraId="1C6C65AA">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采购人发现中标供应商在健康检查中未发现的故障，未及时进行补丁分析及安装，得0分。</w:t>
      </w:r>
    </w:p>
    <w:p w14:paraId="216A2158">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（5）机房日常管理（10分）</w:t>
      </w:r>
    </w:p>
    <w:p w14:paraId="1A648893">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采购人发现机柜线路凌乱、设备标签错漏、机房环境不整洁的，每发现一次扣5分。</w:t>
      </w:r>
    </w:p>
    <w:p w14:paraId="271807E0">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（6）驻场人员值班备勤（20分）</w:t>
      </w:r>
    </w:p>
    <w:p w14:paraId="794A6865">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采购人发现驻场人员未按规定值班备勤，擅离职守的，每发现一次扣10分。</w:t>
      </w:r>
    </w:p>
    <w:p w14:paraId="1D4C8813">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（7）一票否决项（扣100分）</w:t>
      </w:r>
    </w:p>
    <w:p w14:paraId="65CBB1C4">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触犯保密条款，违规操作任何一次，采购人认定的其他影响业务系统运行的严重违规行为等。</w:t>
      </w:r>
    </w:p>
    <w:p w14:paraId="074FAC5D">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（8）月得分计算</w:t>
      </w:r>
    </w:p>
    <w:p w14:paraId="491EA5E6">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每月扣分=故障响应时间+故障恢复时间+业务不可用时限+健康检查服务+文档提交及时性+一票否决项。</w:t>
      </w:r>
    </w:p>
    <w:p w14:paraId="44568298">
      <w:pPr>
        <w:pageBreakBefore w:val="0"/>
        <w:numPr>
          <w:ilvl w:val="0"/>
          <w:numId w:val="2"/>
        </w:numPr>
        <w:kinsoku/>
        <w:wordWrap w:val="0"/>
        <w:overflowPunct/>
        <w:topLinePunct w:val="0"/>
        <w:autoSpaceDE w:val="0"/>
        <w:autoSpaceDN w:val="0"/>
        <w:bidi w:val="0"/>
        <w:adjustRightInd w:val="0"/>
        <w:snapToGrid w:val="0"/>
        <w:spacing w:line="360" w:lineRule="auto"/>
        <w:ind w:firstLine="480" w:firstLineChars="200"/>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年度考核得分=月度考核得分之和/12。</w:t>
      </w:r>
    </w:p>
    <w:p w14:paraId="5EB7E7E7">
      <w:pPr>
        <w:pageBreakBefore w:val="0"/>
        <w:kinsoku/>
        <w:wordWrap w:val="0"/>
        <w:overflowPunct/>
        <w:topLinePunct w:val="0"/>
        <w:bidi w:val="0"/>
        <w:adjustRightInd w:val="0"/>
        <w:snapToGrid w:val="0"/>
        <w:spacing w:line="360" w:lineRule="auto"/>
        <w:ind w:firstLine="482" w:firstLineChars="200"/>
        <w:jc w:val="left"/>
        <w:rPr>
          <w:rFonts w:hint="eastAsia" w:ascii="宋体" w:hAnsi="宋体" w:eastAsia="宋体" w:cs="宋体"/>
          <w:b/>
          <w:bCs/>
          <w:i/>
          <w:iCs/>
          <w:kern w:val="2"/>
          <w:sz w:val="24"/>
          <w:szCs w:val="24"/>
          <w:u w:val="single"/>
        </w:rPr>
      </w:pPr>
      <w:r>
        <w:rPr>
          <w:rFonts w:hint="eastAsia" w:ascii="宋体" w:hAnsi="宋体" w:eastAsia="宋体" w:cs="宋体"/>
          <w:b/>
          <w:bCs/>
          <w:i/>
          <w:iCs/>
          <w:kern w:val="2"/>
          <w:sz w:val="24"/>
          <w:szCs w:val="24"/>
          <w:u w:val="single"/>
        </w:rPr>
        <w:t>3、考核处罚每付款周期统计一次，从当期应付款项中扣除。成交供应商需严格遵守磋商文件及合同相关约定，服从本考核办法，年度考核扣款不超过审计结算金额的30%，考核办法如下：</w:t>
      </w:r>
    </w:p>
    <w:p w14:paraId="46A5EEC5">
      <w:pPr>
        <w:pageBreakBefore w:val="0"/>
        <w:kinsoku/>
        <w:wordWrap w:val="0"/>
        <w:overflowPunct/>
        <w:topLinePunct w:val="0"/>
        <w:bidi w:val="0"/>
        <w:adjustRightInd w:val="0"/>
        <w:snapToGrid w:val="0"/>
        <w:spacing w:line="360" w:lineRule="auto"/>
        <w:ind w:firstLine="482" w:firstLineChars="200"/>
        <w:jc w:val="left"/>
        <w:rPr>
          <w:rFonts w:hint="eastAsia" w:ascii="宋体" w:hAnsi="宋体" w:eastAsia="宋体" w:cs="宋体"/>
          <w:b/>
          <w:bCs/>
          <w:i/>
          <w:iCs/>
          <w:kern w:val="2"/>
          <w:sz w:val="24"/>
          <w:szCs w:val="24"/>
          <w:u w:val="single"/>
        </w:rPr>
      </w:pPr>
      <w:r>
        <w:rPr>
          <w:rFonts w:hint="eastAsia" w:ascii="宋体" w:hAnsi="宋体" w:eastAsia="宋体" w:cs="宋体"/>
          <w:b/>
          <w:bCs/>
          <w:i/>
          <w:iCs/>
          <w:kern w:val="2"/>
          <w:sz w:val="24"/>
          <w:szCs w:val="24"/>
          <w:u w:val="single"/>
        </w:rPr>
        <w:t>（1）成交供应商应加强网络安全及保密事项的培训和管理，项目有关人员必须遵守安全保密规定，严禁发生“一机两用”“双网互通”等网络安全违规事件。一旦发生上述违规事件，每人每次处罚50000元。</w:t>
      </w:r>
    </w:p>
    <w:p w14:paraId="339800C6">
      <w:pPr>
        <w:pageBreakBefore w:val="0"/>
        <w:kinsoku/>
        <w:wordWrap w:val="0"/>
        <w:overflowPunct/>
        <w:topLinePunct w:val="0"/>
        <w:bidi w:val="0"/>
        <w:adjustRightInd w:val="0"/>
        <w:snapToGrid w:val="0"/>
        <w:spacing w:line="360" w:lineRule="auto"/>
        <w:ind w:firstLine="482" w:firstLineChars="200"/>
        <w:jc w:val="left"/>
        <w:rPr>
          <w:rFonts w:hint="eastAsia" w:ascii="宋体" w:hAnsi="宋体" w:eastAsia="宋体" w:cs="宋体"/>
          <w:b/>
          <w:bCs/>
          <w:i/>
          <w:iCs/>
          <w:kern w:val="2"/>
          <w:sz w:val="24"/>
          <w:szCs w:val="24"/>
          <w:u w:val="single"/>
        </w:rPr>
      </w:pPr>
      <w:r>
        <w:rPr>
          <w:rFonts w:hint="eastAsia" w:ascii="宋体" w:hAnsi="宋体" w:eastAsia="宋体" w:cs="宋体"/>
          <w:b/>
          <w:bCs/>
          <w:i/>
          <w:iCs/>
          <w:kern w:val="2"/>
          <w:sz w:val="24"/>
          <w:szCs w:val="24"/>
          <w:u w:val="single"/>
        </w:rPr>
        <w:t>（2）采购人或监理单位发现问题以书面方式通知成交供应商，如在规定期限内无故不整改或未完成整改，每次处罚3000元。</w:t>
      </w:r>
    </w:p>
    <w:p w14:paraId="21707DF9">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i/>
          <w:iCs/>
          <w:kern w:val="2"/>
          <w:sz w:val="24"/>
          <w:szCs w:val="24"/>
          <w:u w:val="single"/>
        </w:rPr>
      </w:pPr>
      <w:r>
        <w:rPr>
          <w:rFonts w:hint="eastAsia" w:ascii="宋体" w:hAnsi="宋体" w:eastAsia="宋体" w:cs="宋体"/>
          <w:b/>
          <w:bCs/>
          <w:i/>
          <w:iCs/>
          <w:kern w:val="2"/>
          <w:sz w:val="24"/>
          <w:szCs w:val="24"/>
          <w:u w:val="single"/>
        </w:rPr>
        <w:t>（3）项目驻场人员应当保持7*24小时值班，发现驻场人员未按规定值班备勤或擅离职守的，每人每次处罚3000元；供应商派驻的工程师得不到采购人认可或中途变更驻场工程师（未得到采购人确认），扣除合同审计结算金额的10%。</w:t>
      </w:r>
    </w:p>
    <w:p w14:paraId="29FB7104">
      <w:pPr>
        <w:pageBreakBefore w:val="0"/>
        <w:kinsoku/>
        <w:wordWrap w:val="0"/>
        <w:overflowPunct/>
        <w:topLinePunct w:val="0"/>
        <w:bidi w:val="0"/>
        <w:adjustRightInd w:val="0"/>
        <w:snapToGrid w:val="0"/>
        <w:spacing w:line="360" w:lineRule="auto"/>
        <w:ind w:firstLine="482" w:firstLineChars="200"/>
        <w:jc w:val="left"/>
        <w:rPr>
          <w:rFonts w:hint="eastAsia" w:ascii="宋体" w:hAnsi="宋体" w:eastAsia="宋体" w:cs="宋体"/>
          <w:b/>
          <w:bCs/>
          <w:i/>
          <w:iCs/>
          <w:kern w:val="2"/>
          <w:sz w:val="24"/>
          <w:szCs w:val="24"/>
          <w:u w:val="single"/>
        </w:rPr>
      </w:pPr>
      <w:r>
        <w:rPr>
          <w:rFonts w:hint="eastAsia" w:ascii="宋体" w:hAnsi="宋体" w:eastAsia="宋体" w:cs="宋体"/>
          <w:b/>
          <w:bCs/>
          <w:i/>
          <w:iCs/>
          <w:kern w:val="2"/>
          <w:sz w:val="24"/>
          <w:szCs w:val="24"/>
          <w:u w:val="single"/>
        </w:rPr>
        <w:t>（4）每年一次对本项目系统、机房进行全面检修、维护保养（电力供应、UPS、布线、地板底座空间、设备除尘等），并提供书面报告，否则每次扣5000元。</w:t>
      </w:r>
    </w:p>
    <w:p w14:paraId="4DA7258E">
      <w:pPr>
        <w:pageBreakBefore w:val="0"/>
        <w:kinsoku/>
        <w:wordWrap w:val="0"/>
        <w:overflowPunct/>
        <w:topLinePunct w:val="0"/>
        <w:bidi w:val="0"/>
        <w:adjustRightInd w:val="0"/>
        <w:snapToGrid w:val="0"/>
        <w:spacing w:line="360" w:lineRule="auto"/>
        <w:ind w:firstLine="482" w:firstLineChars="200"/>
        <w:jc w:val="left"/>
        <w:rPr>
          <w:rFonts w:hint="eastAsia" w:ascii="宋体" w:hAnsi="宋体" w:eastAsia="宋体" w:cs="宋体"/>
          <w:b/>
          <w:bCs/>
          <w:i/>
          <w:iCs/>
          <w:kern w:val="2"/>
          <w:sz w:val="24"/>
          <w:szCs w:val="24"/>
          <w:u w:val="single"/>
        </w:rPr>
      </w:pPr>
      <w:r>
        <w:rPr>
          <w:rFonts w:hint="eastAsia" w:ascii="宋体" w:hAnsi="宋体" w:eastAsia="宋体" w:cs="宋体"/>
          <w:b/>
          <w:bCs/>
          <w:i/>
          <w:iCs/>
          <w:kern w:val="2"/>
          <w:sz w:val="24"/>
          <w:szCs w:val="24"/>
          <w:u w:val="single"/>
        </w:rPr>
        <w:t>（5）遇到重大活动、重要保障任务及重要警情任务时，接到采购人通知须无条件执行采购人保障要求及人员安排，如无故不执行保障要求的，每人次扣款5000元。</w:t>
      </w:r>
    </w:p>
    <w:p w14:paraId="0C053071">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i/>
          <w:iCs/>
          <w:kern w:val="2"/>
          <w:sz w:val="24"/>
          <w:szCs w:val="24"/>
          <w:u w:val="single"/>
        </w:rPr>
      </w:pPr>
      <w:r>
        <w:rPr>
          <w:rFonts w:hint="eastAsia" w:ascii="宋体" w:hAnsi="宋体" w:eastAsia="宋体" w:cs="宋体"/>
          <w:b/>
          <w:bCs/>
          <w:i/>
          <w:iCs/>
          <w:kern w:val="2"/>
          <w:sz w:val="24"/>
          <w:szCs w:val="24"/>
          <w:highlight w:val="yellow"/>
          <w:u w:val="single"/>
        </w:rPr>
        <w:t>（6）</w:t>
      </w:r>
      <w:r>
        <w:rPr>
          <w:rFonts w:hint="eastAsia" w:ascii="宋体" w:hAnsi="宋体" w:eastAsia="宋体" w:cs="宋体"/>
          <w:b/>
          <w:bCs/>
          <w:i/>
          <w:iCs/>
          <w:kern w:val="2"/>
          <w:sz w:val="24"/>
          <w:szCs w:val="24"/>
          <w:u w:val="single"/>
        </w:rPr>
        <w:t>年度考核得分低于80分的，扣除合同审计结算金额的30%。</w:t>
      </w:r>
    </w:p>
    <w:p w14:paraId="0387A797">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i/>
          <w:iCs/>
          <w:kern w:val="2"/>
          <w:sz w:val="24"/>
          <w:szCs w:val="24"/>
          <w:u w:val="single"/>
        </w:rPr>
      </w:pPr>
      <w:r>
        <w:rPr>
          <w:rFonts w:hint="eastAsia" w:ascii="宋体" w:hAnsi="宋体" w:eastAsia="宋体" w:cs="宋体"/>
          <w:b/>
          <w:bCs/>
          <w:i/>
          <w:iCs/>
          <w:kern w:val="2"/>
          <w:sz w:val="24"/>
          <w:szCs w:val="24"/>
          <w:u w:val="single"/>
        </w:rPr>
        <w:t>（</w:t>
      </w:r>
      <w:r>
        <w:rPr>
          <w:rFonts w:hint="eastAsia" w:ascii="宋体" w:hAnsi="宋体" w:eastAsia="宋体" w:cs="宋体"/>
          <w:b/>
          <w:bCs/>
          <w:i/>
          <w:iCs/>
          <w:kern w:val="2"/>
          <w:sz w:val="24"/>
          <w:szCs w:val="24"/>
          <w:u w:val="single"/>
          <w:lang w:val="en-US" w:eastAsia="zh-CN"/>
        </w:rPr>
        <w:t>7</w:t>
      </w:r>
      <w:r>
        <w:rPr>
          <w:rFonts w:hint="eastAsia" w:ascii="宋体" w:hAnsi="宋体" w:eastAsia="宋体" w:cs="宋体"/>
          <w:b/>
          <w:bCs/>
          <w:i/>
          <w:iCs/>
          <w:kern w:val="2"/>
          <w:sz w:val="24"/>
          <w:szCs w:val="24"/>
          <w:u w:val="single"/>
        </w:rPr>
        <w:t>）月度考核得分连续两个月低于60分的，甲方有权终止维保服务合同</w:t>
      </w:r>
      <w:bookmarkStart w:id="31" w:name="_GoBack"/>
      <w:bookmarkEnd w:id="31"/>
      <w:r>
        <w:rPr>
          <w:rFonts w:hint="eastAsia" w:ascii="宋体" w:hAnsi="宋体" w:eastAsia="宋体" w:cs="宋体"/>
          <w:b/>
          <w:bCs/>
          <w:i/>
          <w:iCs/>
          <w:kern w:val="2"/>
          <w:sz w:val="24"/>
          <w:szCs w:val="24"/>
          <w:u w:val="single"/>
        </w:rPr>
        <w:t>。</w:t>
      </w:r>
    </w:p>
    <w:p w14:paraId="778CBFC2">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i/>
          <w:iCs/>
          <w:kern w:val="2"/>
          <w:sz w:val="24"/>
          <w:szCs w:val="24"/>
          <w:u w:val="single"/>
        </w:rPr>
      </w:pPr>
      <w:r>
        <w:rPr>
          <w:rFonts w:hint="eastAsia" w:ascii="宋体" w:hAnsi="宋体" w:eastAsia="宋体" w:cs="宋体"/>
          <w:b/>
          <w:bCs/>
          <w:i/>
          <w:iCs/>
          <w:kern w:val="2"/>
          <w:sz w:val="24"/>
          <w:szCs w:val="24"/>
          <w:u w:val="single"/>
        </w:rPr>
        <w:t>（</w:t>
      </w:r>
      <w:r>
        <w:rPr>
          <w:rFonts w:hint="eastAsia" w:ascii="宋体" w:hAnsi="宋体" w:eastAsia="宋体" w:cs="宋体"/>
          <w:b/>
          <w:bCs/>
          <w:i/>
          <w:iCs/>
          <w:kern w:val="2"/>
          <w:sz w:val="24"/>
          <w:szCs w:val="24"/>
          <w:u w:val="single"/>
          <w:lang w:val="en-US" w:eastAsia="zh-CN"/>
        </w:rPr>
        <w:t>8</w:t>
      </w:r>
      <w:r>
        <w:rPr>
          <w:rFonts w:hint="eastAsia" w:ascii="宋体" w:hAnsi="宋体" w:eastAsia="宋体" w:cs="宋体"/>
          <w:b/>
          <w:bCs/>
          <w:i/>
          <w:iCs/>
          <w:kern w:val="2"/>
          <w:sz w:val="24"/>
          <w:szCs w:val="24"/>
          <w:u w:val="single"/>
        </w:rPr>
        <w:t>）在维保存储设备出现磁盘损坏，存储空间需要优化调整时，成交供应商需及时提供服务，必要时需协调存储设备原厂商提供现场服务，确保存储设备安全正常运行并满足业务应用需要。如发生服务不及时影响业务应用需要的情况（8小时内无法响应用户需求，恢复设备和系统正常运行），出现1次扣除合同审计结算金额的10%，出现2次扣除合同审计结算金额的20%，出现第3次自动中止合同执行，并由中标供应商承担相应的经济及法律责任；发生数据丢失并导致数据资源不能恢复的严重情况自动中止合同执行，并由成交供应商承担相应的经济及法律责任。</w:t>
      </w:r>
    </w:p>
    <w:p w14:paraId="05DF403B">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i/>
          <w:iCs/>
          <w:kern w:val="2"/>
          <w:sz w:val="24"/>
          <w:szCs w:val="24"/>
          <w:u w:val="single"/>
        </w:rPr>
      </w:pPr>
      <w:r>
        <w:rPr>
          <w:rFonts w:hint="eastAsia" w:ascii="宋体" w:hAnsi="宋体" w:eastAsia="宋体" w:cs="宋体"/>
          <w:b/>
          <w:bCs/>
          <w:i/>
          <w:iCs/>
          <w:kern w:val="2"/>
          <w:sz w:val="24"/>
          <w:szCs w:val="24"/>
          <w:u w:val="single"/>
        </w:rPr>
        <w:t>（1</w:t>
      </w:r>
      <w:r>
        <w:rPr>
          <w:rFonts w:hint="eastAsia" w:ascii="宋体" w:hAnsi="宋体" w:eastAsia="宋体" w:cs="宋体"/>
          <w:b/>
          <w:bCs/>
          <w:i/>
          <w:iCs/>
          <w:kern w:val="2"/>
          <w:sz w:val="24"/>
          <w:szCs w:val="24"/>
          <w:u w:val="single"/>
          <w:lang w:val="en-US" w:eastAsia="zh-CN"/>
        </w:rPr>
        <w:t>9</w:t>
      </w:r>
      <w:r>
        <w:rPr>
          <w:rFonts w:hint="eastAsia" w:ascii="宋体" w:hAnsi="宋体" w:eastAsia="宋体" w:cs="宋体"/>
          <w:b/>
          <w:bCs/>
          <w:i/>
          <w:iCs/>
          <w:kern w:val="2"/>
          <w:sz w:val="24"/>
          <w:szCs w:val="24"/>
          <w:u w:val="single"/>
        </w:rPr>
        <w:t>）系统设备发生故障后，在规定时间内无法解决技术问题和更新故障软硬件，直接影响用户正常开展业务工作的，采购人有权选择第三方公司提供服务，所需费用由供应商承担，从合同总金额中无条件扣除，并每天/次扣除合同审计结算金额0.5%的违约金。</w:t>
      </w:r>
    </w:p>
    <w:p w14:paraId="20DAB419">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i/>
          <w:iCs/>
          <w:kern w:val="2"/>
          <w:sz w:val="24"/>
          <w:szCs w:val="24"/>
          <w:u w:val="single"/>
        </w:rPr>
        <w:t>（1</w:t>
      </w:r>
      <w:r>
        <w:rPr>
          <w:rFonts w:hint="eastAsia" w:ascii="宋体" w:hAnsi="宋体" w:eastAsia="宋体" w:cs="宋体"/>
          <w:b/>
          <w:bCs/>
          <w:i/>
          <w:iCs/>
          <w:kern w:val="2"/>
          <w:sz w:val="24"/>
          <w:szCs w:val="24"/>
          <w:u w:val="single"/>
          <w:lang w:val="en-US" w:eastAsia="zh-CN"/>
        </w:rPr>
        <w:t>0</w:t>
      </w:r>
      <w:r>
        <w:rPr>
          <w:rFonts w:hint="eastAsia" w:ascii="宋体" w:hAnsi="宋体" w:eastAsia="宋体" w:cs="宋体"/>
          <w:b/>
          <w:bCs/>
          <w:i/>
          <w:iCs/>
          <w:kern w:val="2"/>
          <w:sz w:val="24"/>
          <w:szCs w:val="24"/>
          <w:u w:val="single"/>
        </w:rPr>
        <w:t>）被使用一次一票否决项，扣除合同审计结算金额的15%。</w:t>
      </w:r>
    </w:p>
    <w:p w14:paraId="12E7BAB1">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九、履约验收要求</w:t>
      </w:r>
    </w:p>
    <w:p w14:paraId="53D34222">
      <w:pPr>
        <w:pageBreakBefore w:val="0"/>
        <w:numPr>
          <w:ilvl w:val="1"/>
          <w:numId w:val="0"/>
        </w:numPr>
        <w:kinsoku/>
        <w:wordWrap w:val="0"/>
        <w:overflowPunct/>
        <w:topLinePunct w:val="0"/>
        <w:bidi w:val="0"/>
        <w:adjustRightInd w:val="0"/>
        <w:snapToGrid w:val="0"/>
        <w:spacing w:line="360" w:lineRule="auto"/>
        <w:ind w:firstLine="480" w:firstLineChars="200"/>
        <w:jc w:val="left"/>
        <w:textAlignment w:val="baseline"/>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履约验收包括初步验收（初验）和正式验收（终验）两个阶段。</w:t>
      </w:r>
    </w:p>
    <w:p w14:paraId="61438916">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1.初步验收</w:t>
      </w:r>
      <w:r>
        <w:rPr>
          <w:rFonts w:hint="eastAsia" w:ascii="宋体" w:hAnsi="宋体" w:eastAsia="宋体" w:cs="宋体"/>
          <w:kern w:val="2"/>
          <w:sz w:val="24"/>
          <w:szCs w:val="24"/>
        </w:rPr>
        <w:t>：</w:t>
      </w:r>
      <w:r>
        <w:rPr>
          <w:rFonts w:hint="eastAsia" w:ascii="宋体" w:hAnsi="宋体" w:eastAsia="宋体" w:cs="宋体"/>
          <w:color w:val="000000"/>
          <w:kern w:val="2"/>
          <w:sz w:val="24"/>
          <w:szCs w:val="24"/>
        </w:rPr>
        <w:t>合同签订后20日内完成首次设备维护，首次维护设备完好度达到100%（九岭中心机房及市局附属机房包含但不仅限设备清单内需维保设备硬件及底层系统运转正常，30个日历日无硬件及系统告警，使用单位签字确认），中标人可以提出初验申请，采购人按《连云港市公安机关科技信息化建设项目内控管理实施细则》要求先行开展初验。</w:t>
      </w:r>
    </w:p>
    <w:p w14:paraId="68C271E5">
      <w:pPr>
        <w:pageBreakBefore w:val="0"/>
        <w:numPr>
          <w:ilvl w:val="1"/>
          <w:numId w:val="0"/>
        </w:numPr>
        <w:kinsoku/>
        <w:wordWrap w:val="0"/>
        <w:overflowPunct/>
        <w:topLinePunct w:val="0"/>
        <w:bidi w:val="0"/>
        <w:adjustRightInd w:val="0"/>
        <w:snapToGrid w:val="0"/>
        <w:spacing w:line="360" w:lineRule="auto"/>
        <w:ind w:firstLine="480" w:firstLineChars="200"/>
        <w:jc w:val="left"/>
        <w:textAlignment w:val="baseline"/>
        <w:rPr>
          <w:ins w:id="1" w:author="Administrator" w:date="2024-04-24T18:14:00Z"/>
          <w:rFonts w:hint="eastAsia" w:ascii="宋体" w:hAnsi="宋体" w:eastAsia="宋体" w:cs="宋体"/>
          <w:sz w:val="24"/>
          <w:szCs w:val="24"/>
        </w:rPr>
      </w:pPr>
      <w:r>
        <w:rPr>
          <w:rFonts w:hint="eastAsia" w:ascii="宋体" w:hAnsi="宋体" w:eastAsia="宋体" w:cs="宋体"/>
          <w:color w:val="000000"/>
          <w:sz w:val="24"/>
          <w:szCs w:val="24"/>
        </w:rPr>
        <w:t>2.正式</w:t>
      </w:r>
      <w:r>
        <w:rPr>
          <w:rFonts w:hint="eastAsia" w:ascii="宋体" w:hAnsi="宋体" w:eastAsia="宋体" w:cs="宋体"/>
          <w:color w:val="000000"/>
          <w:kern w:val="2"/>
          <w:sz w:val="24"/>
          <w:szCs w:val="24"/>
        </w:rPr>
        <w:t>验收</w:t>
      </w:r>
      <w:r>
        <w:rPr>
          <w:rFonts w:hint="eastAsia" w:ascii="宋体" w:hAnsi="宋体" w:eastAsia="宋体" w:cs="宋体"/>
          <w:color w:val="000000"/>
          <w:sz w:val="24"/>
          <w:szCs w:val="24"/>
        </w:rPr>
        <w:t>：</w:t>
      </w:r>
      <w:r>
        <w:rPr>
          <w:rFonts w:hint="eastAsia" w:ascii="宋体" w:hAnsi="宋体" w:eastAsia="宋体" w:cs="宋体"/>
          <w:color w:val="000000"/>
          <w:kern w:val="2"/>
          <w:sz w:val="24"/>
          <w:szCs w:val="24"/>
        </w:rPr>
        <w:t>经初验合格、</w:t>
      </w:r>
      <w:r>
        <w:rPr>
          <w:rFonts w:hint="eastAsia" w:ascii="宋体" w:hAnsi="宋体" w:eastAsia="宋体" w:cs="宋体"/>
          <w:color w:val="000000"/>
          <w:sz w:val="24"/>
          <w:szCs w:val="24"/>
        </w:rPr>
        <w:t>服务期满后，中标人提交全部有关技术文件、日常巡检文档等资料文档等，</w:t>
      </w:r>
      <w:r>
        <w:rPr>
          <w:rFonts w:hint="eastAsia" w:ascii="宋体" w:hAnsi="宋体" w:eastAsia="宋体" w:cs="宋体"/>
          <w:color w:val="000000"/>
          <w:kern w:val="2"/>
          <w:sz w:val="24"/>
          <w:szCs w:val="24"/>
        </w:rPr>
        <w:t>向连云港市公安局提出终验申请。</w:t>
      </w:r>
      <w:r>
        <w:rPr>
          <w:rFonts w:hint="eastAsia" w:ascii="宋体" w:hAnsi="宋体" w:eastAsia="宋体" w:cs="宋体"/>
          <w:sz w:val="24"/>
          <w:szCs w:val="24"/>
        </w:rPr>
        <w:t>采购人组织相关专家等进行</w:t>
      </w:r>
      <w:r>
        <w:rPr>
          <w:rFonts w:hint="eastAsia" w:ascii="宋体" w:hAnsi="宋体" w:eastAsia="宋体" w:cs="宋体"/>
          <w:color w:val="000000"/>
          <w:kern w:val="2"/>
          <w:sz w:val="24"/>
          <w:szCs w:val="24"/>
        </w:rPr>
        <w:t>终验。</w:t>
      </w:r>
    </w:p>
    <w:p w14:paraId="0195E818">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（1）验收标准：符合相关国家标准和行业标准的规定；符合本合同及政府采购招标文件中规定的各项标准和要求。</w:t>
      </w:r>
    </w:p>
    <w:p w14:paraId="37DFA1B2">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本合同内容任何一项验收不合格的，中标人应负责在采购人限定的期限内完成整改，因整改而导致的费用和损失由中标人自行承担，若导致项目逾期的，由中标人承担逾期违约责任。中标人未按采购人要求进行整改或经三次整改仍不合格的，视为中标人违约，采购人有权解除本合同，给采购人造成损失的，中标人应赔偿一切直接、间接损失。</w:t>
      </w:r>
    </w:p>
    <w:p w14:paraId="1E7AF0B6">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采购人所有验收意见将以书面形式做出并加盖采购人公章，因此除非采购人书面明示通过验收，否则任何其他行为（包括但不限于采购人对单个、多个服务内容或整个服务的接收、发布、上线、使用、测试、付款等行为）均不代表采购人已验收合格。</w:t>
      </w:r>
    </w:p>
    <w:p w14:paraId="1A428110">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（4）项目验收过程中产生的所有费用由中标人承担。</w:t>
      </w:r>
    </w:p>
    <w:p w14:paraId="4ACFE5E6">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具体验收要求包括但不限于如下：</w:t>
      </w:r>
    </w:p>
    <w:p w14:paraId="4B95DF2F">
      <w:pPr>
        <w:pageBreakBefore w:val="0"/>
        <w:kinsoku/>
        <w:wordWrap w:val="0"/>
        <w:overflowPunct/>
        <w:topLinePunct w:val="0"/>
        <w:autoSpaceDE w:val="0"/>
        <w:autoSpaceDN w:val="0"/>
        <w:bidi w:val="0"/>
        <w:adjustRightInd w:val="0"/>
        <w:snapToGrid w:val="0"/>
        <w:spacing w:line="360" w:lineRule="auto"/>
        <w:ind w:firstLine="480" w:firstLineChars="200"/>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1.进行验收测试前，中标人完成以下准备工作：</w:t>
      </w:r>
    </w:p>
    <w:p w14:paraId="4F523CC0">
      <w:pPr>
        <w:pageBreakBefore w:val="0"/>
        <w:kinsoku/>
        <w:wordWrap w:val="0"/>
        <w:overflowPunct/>
        <w:topLinePunct w:val="0"/>
        <w:autoSpaceDE w:val="0"/>
        <w:autoSpaceDN w:val="0"/>
        <w:bidi w:val="0"/>
        <w:adjustRightInd w:val="0"/>
        <w:snapToGrid w:val="0"/>
        <w:spacing w:line="360" w:lineRule="auto"/>
        <w:ind w:firstLine="480" w:firstLineChars="200"/>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（1）项目应交付的所有过程性文档（包括但不限于软件开发类文档、维护类文档、项目验收类文档等）；</w:t>
      </w:r>
    </w:p>
    <w:p w14:paraId="23643416">
      <w:pPr>
        <w:pageBreakBefore w:val="0"/>
        <w:numPr>
          <w:ilvl w:val="1"/>
          <w:numId w:val="0"/>
        </w:numPr>
        <w:kinsoku/>
        <w:wordWrap w:val="0"/>
        <w:overflowPunct/>
        <w:topLinePunct w:val="0"/>
        <w:autoSpaceDE w:val="0"/>
        <w:autoSpaceDN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zh-CN"/>
        </w:rPr>
        <w:t>（2）所有项目全过程文件材料及验收材料需按照相关要求进行档案收集、整理和归档工作。</w:t>
      </w:r>
    </w:p>
    <w:p w14:paraId="2176C51D">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十、报价要求</w:t>
      </w:r>
    </w:p>
    <w:p w14:paraId="76B4AECB">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1.报价币种为人民币，项目报价不得超过预算价。</w:t>
      </w:r>
    </w:p>
    <w:p w14:paraId="5748BE2D">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b/>
          <w:kern w:val="2"/>
          <w:sz w:val="24"/>
          <w:szCs w:val="24"/>
        </w:rPr>
      </w:pPr>
      <w:r>
        <w:rPr>
          <w:rFonts w:hint="eastAsia" w:ascii="宋体" w:hAnsi="宋体" w:eastAsia="宋体" w:cs="宋体"/>
          <w:kern w:val="2"/>
          <w:sz w:val="24"/>
          <w:szCs w:val="24"/>
        </w:rPr>
        <w:t>2.报价除标的物的价款外还应包括开发、测试、验收、培训、保险、人工费用、管理、质保、税费、利润、完成合同所需的一切本身和不可或缺的所有工作开支，政策性文件规定及合同包含的所有风险、责任和管理等各项全部费用。</w:t>
      </w:r>
    </w:p>
    <w:p w14:paraId="5E830174">
      <w:pPr>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kern w:val="2"/>
          <w:sz w:val="24"/>
          <w:szCs w:val="24"/>
        </w:rPr>
      </w:pPr>
      <w:r>
        <w:rPr>
          <w:rFonts w:hint="eastAsia" w:ascii="宋体" w:hAnsi="宋体" w:eastAsia="宋体" w:cs="宋体"/>
          <w:b/>
          <w:kern w:val="2"/>
          <w:sz w:val="24"/>
          <w:szCs w:val="24"/>
        </w:rPr>
        <w:t>十一、其他</w:t>
      </w:r>
    </w:p>
    <w:p w14:paraId="15CE0A32">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本项目报价不得超过预算价（最高限价）。</w:t>
      </w:r>
    </w:p>
    <w:p w14:paraId="23F01E3F">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特别提醒供应商：应根据国家收费标准并结合市场实际进行报价，总价包干。</w:t>
      </w:r>
    </w:p>
    <w:p w14:paraId="5EF5FDC7">
      <w:pPr>
        <w:pageBreakBefore w:val="0"/>
        <w:kinsoku/>
        <w:wordWrap w:val="0"/>
        <w:overflowPunct/>
        <w:topLinePunct w:val="0"/>
        <w:bidi w:val="0"/>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工作中涉及的敏感资料、电子数据等相关信息，成交供应商应严格执行保密的相关规定，不得以任何方式向任何第三人披露、泄露或许可第三人使用，否则追究其相应法律责任。</w:t>
      </w:r>
    </w:p>
    <w:p w14:paraId="3419669C">
      <w:pPr>
        <w:pageBreakBefore w:val="0"/>
        <w:widowControl/>
        <w:kinsoku/>
        <w:wordWrap w:val="0"/>
        <w:overflowPunct/>
        <w:topLinePunct w:val="0"/>
        <w:bidi w:val="0"/>
        <w:adjustRightInd w:val="0"/>
        <w:snapToGrid w:val="0"/>
        <w:spacing w:line="360" w:lineRule="auto"/>
        <w:jc w:val="left"/>
        <w:rPr>
          <w:rFonts w:hint="eastAsia" w:ascii="宋体" w:hAnsi="宋体" w:eastAsia="宋体" w:cs="宋体"/>
          <w:bCs/>
          <w:sz w:val="24"/>
          <w:szCs w:val="24"/>
        </w:rPr>
      </w:pPr>
      <w:r>
        <w:rPr>
          <w:rFonts w:hint="eastAsia" w:ascii="宋体" w:hAnsi="宋体" w:eastAsia="宋体" w:cs="宋体"/>
          <w:b/>
          <w:sz w:val="24"/>
          <w:szCs w:val="24"/>
        </w:rPr>
        <w:br w:type="page" w:clear="all"/>
      </w:r>
    </w:p>
    <w:p w14:paraId="3C71FBD3">
      <w:pPr>
        <w:pStyle w:val="3"/>
        <w:pageBreakBefore w:val="0"/>
        <w:kinsoku/>
        <w:wordWrap w:val="0"/>
        <w:overflowPunct/>
        <w:topLinePunct w:val="0"/>
        <w:bidi w:val="0"/>
        <w:adjustRightInd w:val="0"/>
        <w:snapToGrid w:val="0"/>
        <w:spacing w:before="0" w:after="0" w:line="360" w:lineRule="auto"/>
        <w:jc w:val="center"/>
        <w:rPr>
          <w:rFonts w:hint="eastAsia" w:ascii="宋体" w:hAnsi="宋体" w:eastAsia="宋体" w:cs="宋体"/>
          <w:b w:val="0"/>
        </w:rPr>
      </w:pPr>
      <w:bookmarkStart w:id="16" w:name="_Toc161932695"/>
      <w:r>
        <w:rPr>
          <w:rFonts w:hint="eastAsia" w:ascii="宋体" w:hAnsi="宋体" w:eastAsia="宋体" w:cs="宋体"/>
          <w:b w:val="0"/>
        </w:rPr>
        <w:t>第五章  评审方法与评审标准</w:t>
      </w:r>
      <w:bookmarkEnd w:id="16"/>
    </w:p>
    <w:p w14:paraId="0C76327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一、评审方法</w:t>
      </w:r>
    </w:p>
    <w:p w14:paraId="45299EF2">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w:t>
      </w:r>
    </w:p>
    <w:p w14:paraId="3CB3717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综合评分法，是指响应文件满足磋商文件全部实质性要求且按评审因素的量化指标评审得分最高的供应商为成交候选供应商的评审方法。</w:t>
      </w:r>
    </w:p>
    <w:p w14:paraId="63E5272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二、评审标准</w:t>
      </w:r>
    </w:p>
    <w:p w14:paraId="7E89B7A9">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（1）评审时，磋商小组以磋商文件为评审依据，磋商小组各成员独立对每个供应商的响应文件进行评价，并汇总每个供应商的得分。项目评审过程中，不得去掉最后报价中的最高报价和最低报价。</w:t>
      </w:r>
    </w:p>
    <w:p w14:paraId="476157A8">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（2）本项目评分总分为100分，按四舍五入取至小数点后两位。</w:t>
      </w:r>
    </w:p>
    <w:p w14:paraId="18EF090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（3）总得分=价格分+商务技术分。</w:t>
      </w:r>
    </w:p>
    <w:p w14:paraId="0E9CE7D0">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综合评分法</w:t>
      </w:r>
    </w:p>
    <w:p w14:paraId="4E8080B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（1）价格分（10分）</w:t>
      </w:r>
    </w:p>
    <w:p w14:paraId="4C3ABC2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采用低价优先法计算，即满足磋商文件要求且最后报价最低的供应商的价格为磋商基准价，其价格分为满分。其他供应商的价格分统一按照下列公式计算：</w:t>
      </w:r>
    </w:p>
    <w:p w14:paraId="66D106D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磋商报价得分=（磋商基准价／最后磋商报价）×10分</w:t>
      </w:r>
    </w:p>
    <w:p w14:paraId="4EC93F7E">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（2）商务技术分（90分）</w:t>
      </w:r>
    </w:p>
    <w:tbl>
      <w:tblPr>
        <w:tblStyle w:val="36"/>
        <w:tblW w:w="9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0"/>
        <w:gridCol w:w="7360"/>
      </w:tblGrid>
      <w:tr w14:paraId="10071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660" w:type="dxa"/>
            <w:vAlign w:val="center"/>
          </w:tcPr>
          <w:p w14:paraId="76FDC248">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评审因素</w:t>
            </w:r>
          </w:p>
        </w:tc>
        <w:tc>
          <w:tcPr>
            <w:tcW w:w="7360" w:type="dxa"/>
            <w:vAlign w:val="center"/>
          </w:tcPr>
          <w:p w14:paraId="6E6888A3">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评审标准</w:t>
            </w:r>
          </w:p>
        </w:tc>
      </w:tr>
      <w:tr w14:paraId="16338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660" w:type="dxa"/>
            <w:vAlign w:val="center"/>
          </w:tcPr>
          <w:p w14:paraId="7E594359">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履约能力</w:t>
            </w:r>
          </w:p>
          <w:p w14:paraId="0AD3A10B">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（10分）</w:t>
            </w:r>
          </w:p>
        </w:tc>
        <w:tc>
          <w:tcPr>
            <w:tcW w:w="7360" w:type="dxa"/>
            <w:vAlign w:val="center"/>
          </w:tcPr>
          <w:p w14:paraId="632B4E49">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1.供应商具有信息安全管理体系认证证书的</w:t>
            </w:r>
            <w:r>
              <w:rPr>
                <w:rFonts w:hint="eastAsia" w:ascii="宋体" w:hAnsi="宋体" w:eastAsia="宋体" w:cs="宋体"/>
                <w:b/>
                <w:bCs/>
                <w:sz w:val="24"/>
                <w:szCs w:val="24"/>
              </w:rPr>
              <w:t>得2分</w:t>
            </w:r>
            <w:r>
              <w:rPr>
                <w:rFonts w:hint="eastAsia" w:ascii="宋体" w:hAnsi="宋体" w:eastAsia="宋体" w:cs="宋体"/>
                <w:sz w:val="24"/>
                <w:szCs w:val="24"/>
              </w:rPr>
              <w:t>；</w:t>
            </w:r>
          </w:p>
          <w:p w14:paraId="384F2221">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2.供应商具有信息技术服务管理体系认证证书的</w:t>
            </w:r>
            <w:r>
              <w:rPr>
                <w:rFonts w:hint="eastAsia" w:ascii="宋体" w:hAnsi="宋体" w:eastAsia="宋体" w:cs="宋体"/>
                <w:b/>
                <w:bCs/>
                <w:sz w:val="24"/>
                <w:szCs w:val="24"/>
              </w:rPr>
              <w:t>得2分</w:t>
            </w:r>
            <w:r>
              <w:rPr>
                <w:rFonts w:hint="eastAsia" w:ascii="宋体" w:hAnsi="宋体" w:eastAsia="宋体" w:cs="宋体"/>
                <w:sz w:val="24"/>
                <w:szCs w:val="24"/>
              </w:rPr>
              <w:t>；</w:t>
            </w:r>
          </w:p>
          <w:p w14:paraId="3A0A352E">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3.供应商具有质量管理体系认证证书的</w:t>
            </w:r>
            <w:r>
              <w:rPr>
                <w:rFonts w:hint="eastAsia" w:ascii="宋体" w:hAnsi="宋体" w:eastAsia="宋体" w:cs="宋体"/>
                <w:b/>
                <w:bCs/>
                <w:sz w:val="24"/>
                <w:szCs w:val="24"/>
              </w:rPr>
              <w:t>得2分</w:t>
            </w:r>
            <w:r>
              <w:rPr>
                <w:rFonts w:hint="eastAsia" w:ascii="宋体" w:hAnsi="宋体" w:eastAsia="宋体" w:cs="宋体"/>
                <w:sz w:val="24"/>
                <w:szCs w:val="24"/>
              </w:rPr>
              <w:t>；</w:t>
            </w:r>
          </w:p>
          <w:p w14:paraId="70F6B103">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4.供应商具有职业健康安全管理体系认证证书的</w:t>
            </w:r>
            <w:r>
              <w:rPr>
                <w:rFonts w:hint="eastAsia" w:ascii="宋体" w:hAnsi="宋体" w:eastAsia="宋体" w:cs="宋体"/>
                <w:b/>
                <w:bCs/>
                <w:sz w:val="24"/>
                <w:szCs w:val="24"/>
              </w:rPr>
              <w:t>得2分</w:t>
            </w:r>
            <w:r>
              <w:rPr>
                <w:rFonts w:hint="eastAsia" w:ascii="宋体" w:hAnsi="宋体" w:eastAsia="宋体" w:cs="宋体"/>
                <w:sz w:val="24"/>
                <w:szCs w:val="24"/>
              </w:rPr>
              <w:t>；</w:t>
            </w:r>
          </w:p>
          <w:p w14:paraId="4FE5998E">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5.供应商具有环境管理体系认证证书的</w:t>
            </w:r>
            <w:r>
              <w:rPr>
                <w:rFonts w:hint="eastAsia" w:ascii="宋体" w:hAnsi="宋体" w:eastAsia="宋体" w:cs="宋体"/>
                <w:b/>
                <w:bCs/>
                <w:sz w:val="24"/>
                <w:szCs w:val="24"/>
              </w:rPr>
              <w:t>得2分</w:t>
            </w:r>
            <w:r>
              <w:rPr>
                <w:rFonts w:hint="eastAsia" w:ascii="宋体" w:hAnsi="宋体" w:eastAsia="宋体" w:cs="宋体"/>
                <w:sz w:val="24"/>
                <w:szCs w:val="24"/>
              </w:rPr>
              <w:t>；</w:t>
            </w:r>
          </w:p>
          <w:p w14:paraId="0947C677">
            <w:pPr>
              <w:pageBreakBefore w:val="0"/>
              <w:kinsoku/>
              <w:wordWrap w:val="0"/>
              <w:overflowPunct/>
              <w:topLinePunct w:val="0"/>
              <w:bidi w:val="0"/>
              <w:adjustRightInd w:val="0"/>
              <w:snapToGrid w:val="0"/>
              <w:spacing w:line="360" w:lineRule="auto"/>
              <w:jc w:val="left"/>
              <w:rPr>
                <w:rFonts w:hint="eastAsia" w:ascii="宋体" w:hAnsi="宋体" w:eastAsia="宋体" w:cs="宋体"/>
                <w:b/>
                <w:sz w:val="24"/>
                <w:szCs w:val="24"/>
              </w:rPr>
            </w:pPr>
            <w:r>
              <w:rPr>
                <w:rFonts w:hint="eastAsia" w:ascii="宋体" w:hAnsi="宋体" w:eastAsia="宋体" w:cs="宋体"/>
                <w:b/>
                <w:bCs/>
                <w:sz w:val="24"/>
                <w:szCs w:val="24"/>
              </w:rPr>
              <w:t>（上述1-5项响应文件中</w:t>
            </w:r>
            <w:r>
              <w:rPr>
                <w:rFonts w:hint="eastAsia" w:ascii="宋体" w:hAnsi="宋体" w:eastAsia="宋体" w:cs="宋体"/>
                <w:b/>
                <w:bCs/>
                <w:sz w:val="24"/>
                <w:szCs w:val="24"/>
                <w:lang w:val="en-US" w:eastAsia="zh-CN"/>
              </w:rPr>
              <w:t>须</w:t>
            </w:r>
            <w:r>
              <w:rPr>
                <w:rFonts w:hint="eastAsia" w:ascii="宋体" w:hAnsi="宋体" w:eastAsia="宋体" w:cs="宋体"/>
                <w:b/>
                <w:bCs/>
                <w:sz w:val="24"/>
                <w:szCs w:val="24"/>
              </w:rPr>
              <w:t>提供有效证书扫描件并加盖供应商公章，否则不得分）</w:t>
            </w:r>
          </w:p>
        </w:tc>
      </w:tr>
      <w:tr w14:paraId="44FAC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660" w:type="dxa"/>
            <w:vAlign w:val="center"/>
          </w:tcPr>
          <w:p w14:paraId="10019416">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团队成员</w:t>
            </w:r>
          </w:p>
          <w:p w14:paraId="259036E4">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360" w:type="dxa"/>
            <w:vAlign w:val="center"/>
          </w:tcPr>
          <w:p w14:paraId="76CAC3EE">
            <w:pPr>
              <w:pageBreakBefore w:val="0"/>
              <w:widowControl/>
              <w:numPr>
                <w:ilvl w:val="0"/>
                <w:numId w:val="0"/>
              </w:numPr>
              <w:kinsoku/>
              <w:wordWrap w:val="0"/>
              <w:overflowPunct/>
              <w:topLinePunct w:val="0"/>
              <w:bidi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lang w:val="en-US" w:eastAsia="zh-CN" w:bidi="ar-SA"/>
              </w:rPr>
              <w:t>1.</w:t>
            </w:r>
            <w:r>
              <w:rPr>
                <w:rFonts w:hint="eastAsia" w:ascii="宋体" w:hAnsi="宋体" w:eastAsia="宋体" w:cs="宋体"/>
                <w:sz w:val="24"/>
                <w:szCs w:val="24"/>
                <w:highlight w:val="none"/>
              </w:rPr>
              <w:t>拟派项目负责人具有高级容灾备份管理师、</w:t>
            </w:r>
            <w:r>
              <w:rPr>
                <w:rFonts w:hint="eastAsia" w:ascii="宋体" w:hAnsi="宋体" w:eastAsia="宋体" w:cs="宋体"/>
                <w:sz w:val="24"/>
                <w:szCs w:val="24"/>
                <w:highlight w:val="none"/>
                <w:lang w:eastAsia="zh-CN"/>
              </w:rPr>
              <w:t>信息安全保障人员认证证书（风险管理）</w:t>
            </w:r>
            <w:r>
              <w:rPr>
                <w:rFonts w:hint="eastAsia" w:ascii="宋体" w:hAnsi="宋体" w:eastAsia="宋体" w:cs="宋体"/>
                <w:sz w:val="24"/>
                <w:szCs w:val="24"/>
                <w:highlight w:val="none"/>
              </w:rPr>
              <w:t>、HCIE证书的，每提供1个证书得2分，</w:t>
            </w:r>
            <w:r>
              <w:rPr>
                <w:rFonts w:hint="eastAsia" w:ascii="宋体" w:hAnsi="宋体" w:eastAsia="宋体" w:cs="宋体"/>
                <w:b/>
                <w:bCs/>
                <w:sz w:val="24"/>
                <w:szCs w:val="24"/>
                <w:highlight w:val="none"/>
              </w:rPr>
              <w:t>本项最高得6分。</w:t>
            </w:r>
          </w:p>
          <w:p w14:paraId="1492791D">
            <w:pPr>
              <w:pageBreakBefore w:val="0"/>
              <w:widowControl/>
              <w:numPr>
                <w:ilvl w:val="0"/>
                <w:numId w:val="0"/>
              </w:numPr>
              <w:kinsoku/>
              <w:wordWrap w:val="0"/>
              <w:overflowPunct/>
              <w:topLinePunct w:val="0"/>
              <w:bidi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2.拟派本项目团队成员（不包含项目负责人）具有</w:t>
            </w:r>
            <w:r>
              <w:rPr>
                <w:rFonts w:hint="eastAsia" w:ascii="宋体" w:hAnsi="宋体" w:eastAsia="宋体" w:cs="宋体"/>
                <w:sz w:val="24"/>
                <w:szCs w:val="24"/>
                <w:highlight w:val="none"/>
                <w:lang w:val="en-US" w:eastAsia="zh-CN"/>
              </w:rPr>
              <w:t>高级数据库管理工程师</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高级</w:t>
            </w:r>
            <w:r>
              <w:rPr>
                <w:rFonts w:hint="eastAsia" w:ascii="宋体" w:hAnsi="宋体" w:eastAsia="宋体" w:cs="宋体"/>
                <w:sz w:val="24"/>
                <w:szCs w:val="24"/>
                <w:highlight w:val="none"/>
              </w:rPr>
              <w:t>软件工程师、</w:t>
            </w:r>
            <w:r>
              <w:rPr>
                <w:rFonts w:hint="eastAsia" w:ascii="宋体" w:hAnsi="宋体" w:eastAsia="宋体" w:cs="宋体"/>
                <w:sz w:val="24"/>
                <w:szCs w:val="24"/>
                <w:highlight w:val="none"/>
                <w:lang w:val="en-US" w:eastAsia="zh-CN"/>
              </w:rPr>
              <w:t>高级</w:t>
            </w:r>
            <w:r>
              <w:rPr>
                <w:rFonts w:hint="eastAsia" w:ascii="宋体" w:hAnsi="宋体" w:eastAsia="宋体" w:cs="宋体"/>
                <w:sz w:val="24"/>
                <w:szCs w:val="24"/>
                <w:highlight w:val="none"/>
              </w:rPr>
              <w:t>网络工程师证书的每提供一个得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b/>
                <w:bCs/>
                <w:sz w:val="24"/>
                <w:szCs w:val="24"/>
                <w:highlight w:val="none"/>
              </w:rPr>
              <w:t>本项最高得</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分。（相同证书或一人多证，不重复得分）</w:t>
            </w:r>
          </w:p>
          <w:p w14:paraId="658F487E">
            <w:pPr>
              <w:pageBreakBefore w:val="0"/>
              <w:kinsoku/>
              <w:wordWrap w:val="0"/>
              <w:overflowPunct/>
              <w:topLinePunct w:val="0"/>
              <w:bidi w:val="0"/>
              <w:adjustRightInd w:val="0"/>
              <w:snapToGrid w:val="0"/>
              <w:spacing w:line="360" w:lineRule="auto"/>
              <w:jc w:val="left"/>
              <w:rPr>
                <w:rFonts w:hint="eastAsia"/>
              </w:rPr>
            </w:pPr>
            <w:r>
              <w:rPr>
                <w:rFonts w:hint="eastAsia" w:ascii="宋体" w:hAnsi="宋体" w:eastAsia="宋体" w:cs="宋体"/>
                <w:sz w:val="24"/>
                <w:szCs w:val="24"/>
              </w:rPr>
              <w:t>3.在项目需求提供</w:t>
            </w:r>
            <w:r>
              <w:rPr>
                <w:rFonts w:hint="eastAsia" w:ascii="宋体" w:hAnsi="宋体" w:eastAsia="宋体" w:cs="宋体"/>
                <w:sz w:val="24"/>
                <w:szCs w:val="24"/>
                <w:lang w:val="en-US" w:eastAsia="zh-CN"/>
              </w:rPr>
              <w:t>4</w:t>
            </w:r>
            <w:r>
              <w:rPr>
                <w:rFonts w:hint="eastAsia" w:ascii="宋体" w:hAnsi="宋体" w:eastAsia="宋体" w:cs="宋体"/>
                <w:sz w:val="24"/>
                <w:szCs w:val="24"/>
              </w:rPr>
              <w:t>名驻场人员的基础上，每增加1名驻场人员得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b/>
                <w:bCs/>
                <w:sz w:val="24"/>
                <w:szCs w:val="24"/>
              </w:rPr>
              <w:t>本项最高得6分。</w:t>
            </w:r>
          </w:p>
          <w:p w14:paraId="50476AF6">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
                <w:bCs/>
                <w:sz w:val="24"/>
                <w:szCs w:val="24"/>
              </w:rPr>
              <w:t>（上述1-2项响应文件中同时提供证书和2025年6月以来任意一个月供应商为其缴纳的社保证明材料扫描件并加盖供应商公章；）</w:t>
            </w:r>
          </w:p>
        </w:tc>
      </w:tr>
      <w:tr w14:paraId="51291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660" w:type="dxa"/>
            <w:vAlign w:val="center"/>
          </w:tcPr>
          <w:p w14:paraId="624AC6A1">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专业技术能力</w:t>
            </w:r>
          </w:p>
          <w:p w14:paraId="776DD749">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（8分）</w:t>
            </w:r>
          </w:p>
        </w:tc>
        <w:tc>
          <w:tcPr>
            <w:tcW w:w="7360" w:type="dxa"/>
            <w:vAlign w:val="center"/>
          </w:tcPr>
          <w:p w14:paraId="1932F63B">
            <w:pPr>
              <w:pageBreakBefore w:val="0"/>
              <w:kinsoku/>
              <w:wordWrap w:val="0"/>
              <w:overflowPunct/>
              <w:topLinePunct w:val="0"/>
              <w:bidi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供应商具有数据运维系统、综合管理信息系统运维管理平台、运维分析系统、云计算集群数据库管理软件相关的软件著作权证书，每提供一个证书得2分，</w:t>
            </w:r>
            <w:r>
              <w:rPr>
                <w:rFonts w:hint="eastAsia" w:ascii="宋体" w:hAnsi="宋体" w:eastAsia="宋体" w:cs="宋体"/>
                <w:b/>
                <w:bCs/>
                <w:sz w:val="24"/>
                <w:szCs w:val="24"/>
                <w:highlight w:val="none"/>
              </w:rPr>
              <w:t>本项最高得8分。</w:t>
            </w:r>
          </w:p>
          <w:p w14:paraId="01620F25">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（响应文件中提供软件著作权证书扫描件并加盖供应商公章，否则不得分。）</w:t>
            </w:r>
          </w:p>
        </w:tc>
      </w:tr>
      <w:tr w14:paraId="463BF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1660" w:type="dxa"/>
            <w:vAlign w:val="center"/>
          </w:tcPr>
          <w:p w14:paraId="74BED387">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类似业绩</w:t>
            </w:r>
          </w:p>
          <w:p w14:paraId="3EE699C8">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（8分）</w:t>
            </w:r>
          </w:p>
        </w:tc>
        <w:tc>
          <w:tcPr>
            <w:tcW w:w="7360" w:type="dxa"/>
            <w:vAlign w:val="center"/>
          </w:tcPr>
          <w:p w14:paraId="2CD90656">
            <w:pPr>
              <w:pageBreakBefore w:val="0"/>
              <w:kinsoku/>
              <w:wordWrap w:val="0"/>
              <w:overflowPunct/>
              <w:topLinePunct w:val="0"/>
              <w:bidi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自2022年1月1日以来，供应商承担过类似</w:t>
            </w:r>
            <w:r>
              <w:rPr>
                <w:rFonts w:hint="eastAsia" w:ascii="宋体" w:hAnsi="宋体" w:eastAsia="宋体" w:cs="宋体"/>
                <w:sz w:val="24"/>
                <w:szCs w:val="24"/>
                <w:highlight w:val="none"/>
                <w:lang w:val="en-US" w:eastAsia="zh-CN"/>
              </w:rPr>
              <w:t>机房设备</w:t>
            </w:r>
            <w:r>
              <w:rPr>
                <w:rFonts w:hint="eastAsia" w:ascii="宋体" w:hAnsi="宋体" w:eastAsia="宋体" w:cs="宋体"/>
                <w:sz w:val="24"/>
                <w:szCs w:val="24"/>
                <w:highlight w:val="none"/>
              </w:rPr>
              <w:t>运维项目的，每提供一个得2分，</w:t>
            </w:r>
            <w:r>
              <w:rPr>
                <w:rFonts w:hint="eastAsia" w:ascii="宋体" w:hAnsi="宋体" w:eastAsia="宋体" w:cs="宋体"/>
                <w:b/>
                <w:bCs/>
                <w:sz w:val="24"/>
                <w:szCs w:val="24"/>
                <w:highlight w:val="none"/>
              </w:rPr>
              <w:t>本项最高得8分。</w:t>
            </w:r>
          </w:p>
          <w:p w14:paraId="4C442BA8">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（响应文件中提供合同扫描件并加盖供应商公章，否则不得分。时间、服务内容以合同为准）</w:t>
            </w:r>
          </w:p>
        </w:tc>
      </w:tr>
      <w:tr w14:paraId="1A88B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660" w:type="dxa"/>
            <w:vAlign w:val="center"/>
          </w:tcPr>
          <w:p w14:paraId="19CE8900">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服务承诺</w:t>
            </w:r>
          </w:p>
          <w:p w14:paraId="71CB7304">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（15分）</w:t>
            </w:r>
          </w:p>
        </w:tc>
        <w:tc>
          <w:tcPr>
            <w:tcW w:w="7360" w:type="dxa"/>
            <w:vAlign w:val="center"/>
          </w:tcPr>
          <w:p w14:paraId="2E2453E0">
            <w:pPr>
              <w:pageBreakBefore w:val="0"/>
              <w:widowControl/>
              <w:numPr>
                <w:ilvl w:val="255"/>
                <w:numId w:val="0"/>
              </w:numPr>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sz w:val="24"/>
                <w:szCs w:val="24"/>
              </w:rPr>
              <w:t>供应商承诺服务期限内如遇到严重故障或其他紧急突发事件，故障响应时间在5分钟内的，</w:t>
            </w:r>
            <w:r>
              <w:rPr>
                <w:rFonts w:hint="eastAsia" w:ascii="宋体" w:hAnsi="宋体" w:eastAsia="宋体" w:cs="宋体"/>
                <w:b/>
                <w:bCs/>
                <w:sz w:val="24"/>
                <w:szCs w:val="24"/>
              </w:rPr>
              <w:t>得3分。</w:t>
            </w:r>
          </w:p>
          <w:p w14:paraId="3E518387">
            <w:pPr>
              <w:pageBreakBefore w:val="0"/>
              <w:widowControl/>
              <w:numPr>
                <w:ilvl w:val="255"/>
                <w:numId w:val="0"/>
              </w:numPr>
              <w:kinsoku/>
              <w:wordWrap w:val="0"/>
              <w:overflowPunct/>
              <w:topLinePunct w:val="0"/>
              <w:bidi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sz w:val="24"/>
                <w:szCs w:val="24"/>
              </w:rPr>
              <w:t>.供应商承诺服务期限内如遇到严重故障或其他紧急突发事件，</w:t>
            </w:r>
            <w:r>
              <w:rPr>
                <w:rFonts w:hint="eastAsia" w:ascii="宋体" w:hAnsi="宋体" w:eastAsia="宋体" w:cs="宋体"/>
                <w:bCs/>
                <w:sz w:val="24"/>
                <w:szCs w:val="24"/>
              </w:rPr>
              <w:t>具有处理故障能力的维修人员到达故障服务现场的时间不大于0.5小时的，</w:t>
            </w:r>
            <w:r>
              <w:rPr>
                <w:rFonts w:hint="eastAsia" w:ascii="宋体" w:hAnsi="宋体" w:eastAsia="宋体" w:cs="宋体"/>
                <w:b/>
                <w:sz w:val="24"/>
                <w:szCs w:val="24"/>
              </w:rPr>
              <w:t>得3分。</w:t>
            </w:r>
            <w:r>
              <w:rPr>
                <w:rFonts w:hint="eastAsia" w:ascii="宋体" w:hAnsi="宋体" w:eastAsia="宋体" w:cs="宋体"/>
                <w:sz w:val="24"/>
                <w:szCs w:val="24"/>
              </w:rPr>
              <w:br w:type="textWrapping"/>
            </w:r>
            <w:r>
              <w:rPr>
                <w:rFonts w:hint="eastAsia" w:ascii="宋体" w:hAnsi="宋体" w:eastAsia="宋体" w:cs="宋体"/>
                <w:b/>
                <w:bCs/>
                <w:sz w:val="24"/>
                <w:szCs w:val="24"/>
              </w:rPr>
              <w:t>3</w:t>
            </w:r>
            <w:r>
              <w:rPr>
                <w:rFonts w:hint="eastAsia" w:ascii="宋体" w:hAnsi="宋体" w:eastAsia="宋体" w:cs="宋体"/>
                <w:sz w:val="24"/>
                <w:szCs w:val="24"/>
              </w:rPr>
              <w:t>.供应商承诺服务期限内严重故障恢复时间不超过1小时的，</w:t>
            </w:r>
            <w:r>
              <w:rPr>
                <w:rFonts w:hint="eastAsia" w:ascii="宋体" w:hAnsi="宋体" w:eastAsia="宋体" w:cs="宋体"/>
                <w:b/>
                <w:bCs/>
                <w:sz w:val="24"/>
                <w:szCs w:val="24"/>
              </w:rPr>
              <w:t>得3分。</w:t>
            </w:r>
            <w:r>
              <w:rPr>
                <w:rFonts w:hint="eastAsia" w:ascii="宋体" w:hAnsi="宋体" w:eastAsia="宋体" w:cs="宋体"/>
                <w:b/>
                <w:bCs/>
                <w:sz w:val="24"/>
                <w:szCs w:val="24"/>
              </w:rPr>
              <w:br w:type="textWrapping"/>
            </w:r>
            <w:r>
              <w:rPr>
                <w:rFonts w:hint="eastAsia" w:ascii="宋体" w:hAnsi="宋体" w:eastAsia="宋体" w:cs="宋体"/>
                <w:b/>
                <w:bCs/>
                <w:sz w:val="24"/>
                <w:szCs w:val="24"/>
              </w:rPr>
              <w:t>4</w:t>
            </w:r>
            <w:r>
              <w:rPr>
                <w:rFonts w:hint="eastAsia" w:ascii="宋体" w:hAnsi="宋体" w:eastAsia="宋体" w:cs="宋体"/>
                <w:sz w:val="24"/>
                <w:szCs w:val="24"/>
              </w:rPr>
              <w:t>.供应商承诺服务期限内出现故障时，备机备件能够在4小时以内送达机房，保证采购人机房正常运行的，</w:t>
            </w:r>
            <w:r>
              <w:rPr>
                <w:rFonts w:hint="eastAsia" w:ascii="宋体" w:hAnsi="宋体" w:eastAsia="宋体" w:cs="宋体"/>
                <w:b/>
                <w:bCs/>
                <w:sz w:val="24"/>
                <w:szCs w:val="24"/>
              </w:rPr>
              <w:t>得3分。</w:t>
            </w:r>
          </w:p>
          <w:p w14:paraId="6790FA5D">
            <w:pPr>
              <w:pStyle w:val="2"/>
              <w:pageBreakBefore w:val="0"/>
              <w:kinsoku/>
              <w:wordWrap w:val="0"/>
              <w:overflowPunct/>
              <w:topLinePunct w:val="0"/>
              <w:bidi w:val="0"/>
              <w:adjustRightInd w:val="0"/>
              <w:snapToGrid w:val="0"/>
              <w:spacing w:line="360" w:lineRule="auto"/>
              <w:rPr>
                <w:rFonts w:hint="eastAsia" w:ascii="宋体" w:hAnsi="宋体" w:eastAsia="宋体" w:cs="宋体"/>
                <w:color w:val="auto"/>
                <w:sz w:val="24"/>
                <w:szCs w:val="24"/>
                <w:highlight w:val="yellow"/>
              </w:rPr>
            </w:pPr>
            <w:r>
              <w:rPr>
                <w:rFonts w:hint="eastAsia" w:ascii="宋体" w:hAnsi="宋体" w:eastAsia="宋体" w:cs="宋体"/>
                <w:b/>
                <w:bCs/>
                <w:color w:val="auto"/>
                <w:sz w:val="24"/>
                <w:szCs w:val="24"/>
              </w:rPr>
              <w:t>5.</w:t>
            </w:r>
            <w:r>
              <w:rPr>
                <w:rFonts w:hint="eastAsia" w:ascii="宋体" w:hAnsi="宋体" w:eastAsia="宋体" w:cs="宋体"/>
                <w:color w:val="auto"/>
                <w:sz w:val="24"/>
                <w:szCs w:val="24"/>
              </w:rPr>
              <w:t>为保证机房通信稳定，供应商承诺在服务期内提供连云港市内点对点裸光纤五条，并包含两端光纤收发器设备（提供自有服务能力证明或与有服务能力服务单位签订的覆盖服务期的合作意向书），</w:t>
            </w:r>
            <w:r>
              <w:rPr>
                <w:rFonts w:hint="eastAsia" w:ascii="宋体" w:hAnsi="宋体" w:eastAsia="宋体" w:cs="宋体"/>
                <w:b/>
                <w:bCs/>
                <w:color w:val="auto"/>
                <w:sz w:val="24"/>
                <w:szCs w:val="24"/>
              </w:rPr>
              <w:t>得3分。</w:t>
            </w:r>
          </w:p>
          <w:p w14:paraId="176AA565">
            <w:pPr>
              <w:pageBreakBefore w:val="0"/>
              <w:widowControl/>
              <w:numPr>
                <w:ilvl w:val="255"/>
                <w:numId w:val="0"/>
              </w:numPr>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（上述1-5项响应文件中提供加盖供应商公章的承诺函扫描件，格式自拟，否则不得分）</w:t>
            </w:r>
          </w:p>
        </w:tc>
      </w:tr>
      <w:tr w14:paraId="66EB4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660" w:type="dxa"/>
            <w:vAlign w:val="center"/>
          </w:tcPr>
          <w:p w14:paraId="673535A5">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维保服务方案</w:t>
            </w:r>
          </w:p>
          <w:p w14:paraId="3A758AFE">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（7分）</w:t>
            </w:r>
          </w:p>
        </w:tc>
        <w:tc>
          <w:tcPr>
            <w:tcW w:w="7360" w:type="dxa"/>
            <w:vAlign w:val="center"/>
          </w:tcPr>
          <w:p w14:paraId="31F9C5D9">
            <w:pPr>
              <w:pageBreakBefore w:val="0"/>
              <w:kinsoku/>
              <w:wordWrap w:val="0"/>
              <w:overflowPunct/>
              <w:topLinePunct w:val="0"/>
              <w:bidi w:val="0"/>
              <w:adjustRightInd w:val="0"/>
              <w:snapToGrid w:val="0"/>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评委根据</w:t>
            </w:r>
            <w:r>
              <w:rPr>
                <w:rFonts w:hint="eastAsia" w:ascii="宋体" w:hAnsi="宋体" w:eastAsia="宋体" w:cs="宋体"/>
                <w:sz w:val="24"/>
                <w:szCs w:val="24"/>
              </w:rPr>
              <w:t>供应商提供维保服务方案</w:t>
            </w:r>
            <w:r>
              <w:rPr>
                <w:rFonts w:hint="eastAsia" w:ascii="宋体" w:hAnsi="宋体" w:eastAsia="宋体" w:cs="宋体"/>
                <w:sz w:val="24"/>
                <w:szCs w:val="24"/>
                <w:lang w:eastAsia="zh-CN"/>
              </w:rPr>
              <w:t>（</w:t>
            </w:r>
            <w:r>
              <w:rPr>
                <w:rFonts w:hint="eastAsia" w:ascii="宋体" w:hAnsi="宋体" w:eastAsia="宋体" w:cs="宋体"/>
                <w:sz w:val="24"/>
                <w:szCs w:val="24"/>
              </w:rPr>
              <w:t>包括服务内容、维护管理、巡检保障、安全防护等内容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评分：</w:t>
            </w:r>
          </w:p>
          <w:p w14:paraId="2B72920D">
            <w:pPr>
              <w:pageBreakBefore w:val="0"/>
              <w:kinsoku/>
              <w:wordWrap w:val="0"/>
              <w:overflowPunct/>
              <w:topLinePunct w:val="0"/>
              <w:bidi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sz w:val="24"/>
                <w:szCs w:val="24"/>
                <w:lang w:val="en-US" w:eastAsia="zh-CN"/>
              </w:rPr>
              <w:t>供应商提供的</w:t>
            </w:r>
            <w:r>
              <w:rPr>
                <w:rFonts w:hint="eastAsia" w:ascii="宋体" w:hAnsi="宋体" w:eastAsia="宋体" w:cs="宋体"/>
                <w:sz w:val="24"/>
                <w:szCs w:val="24"/>
              </w:rPr>
              <w:t>方案阐述科学详细，服务内容完整合理，维护管理可操作强的</w:t>
            </w:r>
            <w:r>
              <w:rPr>
                <w:rFonts w:hint="eastAsia" w:ascii="宋体" w:hAnsi="宋体" w:eastAsia="宋体" w:cs="宋体"/>
                <w:b/>
                <w:bCs/>
                <w:sz w:val="24"/>
                <w:szCs w:val="24"/>
              </w:rPr>
              <w:t>得7分；</w:t>
            </w:r>
          </w:p>
          <w:p w14:paraId="37D45063">
            <w:pPr>
              <w:pageBreakBefore w:val="0"/>
              <w:kinsoku/>
              <w:wordWrap w:val="0"/>
              <w:overflowPunct/>
              <w:topLinePunct w:val="0"/>
              <w:bidi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sz w:val="24"/>
                <w:szCs w:val="24"/>
              </w:rPr>
              <w:t>方案阐述较科学详细，服务内容较完整合理，维护管理可操作较强的</w:t>
            </w:r>
            <w:r>
              <w:rPr>
                <w:rFonts w:hint="eastAsia" w:ascii="宋体" w:hAnsi="宋体" w:eastAsia="宋体" w:cs="宋体"/>
                <w:b/>
                <w:bCs/>
                <w:sz w:val="24"/>
                <w:szCs w:val="24"/>
              </w:rPr>
              <w:t>得5分；</w:t>
            </w:r>
          </w:p>
          <w:p w14:paraId="2394F80D">
            <w:pPr>
              <w:pageBreakBefore w:val="0"/>
              <w:kinsoku/>
              <w:wordWrap w:val="0"/>
              <w:overflowPunct/>
              <w:topLinePunct w:val="0"/>
              <w:bidi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sz w:val="24"/>
                <w:szCs w:val="24"/>
              </w:rPr>
              <w:t>方案阐述不完整，可操作性一般的</w:t>
            </w:r>
            <w:r>
              <w:rPr>
                <w:rFonts w:hint="eastAsia" w:ascii="宋体" w:hAnsi="宋体" w:eastAsia="宋体" w:cs="宋体"/>
                <w:b/>
                <w:bCs/>
                <w:sz w:val="24"/>
                <w:szCs w:val="24"/>
              </w:rPr>
              <w:t>得3分；</w:t>
            </w:r>
          </w:p>
          <w:p w14:paraId="7865FA7B">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highlight w:val="yellow"/>
              </w:rPr>
            </w:pPr>
            <w:r>
              <w:rPr>
                <w:rFonts w:hint="eastAsia" w:ascii="宋体" w:hAnsi="宋体" w:eastAsia="宋体" w:cs="宋体"/>
                <w:b/>
                <w:bCs/>
                <w:sz w:val="24"/>
                <w:szCs w:val="24"/>
              </w:rPr>
              <w:t>该项未见阐述不得分。</w:t>
            </w:r>
          </w:p>
        </w:tc>
      </w:tr>
      <w:tr w14:paraId="59ECF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660" w:type="dxa"/>
            <w:vAlign w:val="center"/>
          </w:tcPr>
          <w:p w14:paraId="61E6252F">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项目管理方案</w:t>
            </w:r>
            <w:r>
              <w:rPr>
                <w:rFonts w:hint="eastAsia" w:ascii="宋体" w:hAnsi="宋体" w:eastAsia="宋体" w:cs="宋体"/>
                <w:sz w:val="24"/>
                <w:szCs w:val="24"/>
              </w:rPr>
              <w:br w:type="textWrapping"/>
            </w:r>
            <w:r>
              <w:rPr>
                <w:rFonts w:hint="eastAsia" w:ascii="宋体" w:hAnsi="宋体" w:eastAsia="宋体" w:cs="宋体"/>
                <w:sz w:val="24"/>
                <w:szCs w:val="24"/>
              </w:rPr>
              <w:t>（7分）</w:t>
            </w:r>
          </w:p>
        </w:tc>
        <w:tc>
          <w:tcPr>
            <w:tcW w:w="7360" w:type="dxa"/>
            <w:vAlign w:val="center"/>
          </w:tcPr>
          <w:p w14:paraId="1990D435">
            <w:pPr>
              <w:pageBreakBefore w:val="0"/>
              <w:widowControl/>
              <w:kinsoku/>
              <w:wordWrap w:val="0"/>
              <w:overflowPunct/>
              <w:topLinePunct w:val="0"/>
              <w:bidi w:val="0"/>
              <w:adjustRightInd w:val="0"/>
              <w:snapToGrid w:val="0"/>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评委根据</w:t>
            </w:r>
            <w:r>
              <w:rPr>
                <w:rFonts w:hint="eastAsia" w:ascii="宋体" w:hAnsi="宋体" w:eastAsia="宋体" w:cs="宋体"/>
                <w:sz w:val="24"/>
                <w:szCs w:val="24"/>
              </w:rPr>
              <w:t>供应商提供项目管理方案</w:t>
            </w:r>
            <w:r>
              <w:rPr>
                <w:rFonts w:hint="eastAsia" w:ascii="宋体" w:hAnsi="宋体" w:eastAsia="宋体" w:cs="宋体"/>
                <w:sz w:val="24"/>
                <w:szCs w:val="24"/>
                <w:lang w:eastAsia="zh-CN"/>
              </w:rPr>
              <w:t>（</w:t>
            </w:r>
            <w:r>
              <w:rPr>
                <w:rFonts w:hint="eastAsia" w:ascii="宋体" w:hAnsi="宋体" w:eastAsia="宋体" w:cs="宋体"/>
                <w:sz w:val="24"/>
                <w:szCs w:val="24"/>
              </w:rPr>
              <w:t>包括质量管理、安全管理、风险管理、文档管理等内容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评分：</w:t>
            </w:r>
          </w:p>
          <w:p w14:paraId="49B35A31">
            <w:pPr>
              <w:pageBreakBefore w:val="0"/>
              <w:widowControl/>
              <w:kinsoku/>
              <w:wordWrap w:val="0"/>
              <w:overflowPunct/>
              <w:topLinePunct w:val="0"/>
              <w:bidi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sz w:val="24"/>
                <w:szCs w:val="24"/>
                <w:lang w:val="en-US" w:eastAsia="zh-CN"/>
              </w:rPr>
              <w:t>供应商对</w:t>
            </w:r>
            <w:r>
              <w:rPr>
                <w:rFonts w:hint="eastAsia" w:ascii="宋体" w:hAnsi="宋体" w:eastAsia="宋体" w:cs="宋体"/>
                <w:sz w:val="24"/>
                <w:szCs w:val="24"/>
              </w:rPr>
              <w:t>工作计划安排科学合理，有完善的文档管理细则，详细可行的</w:t>
            </w:r>
            <w:r>
              <w:rPr>
                <w:rFonts w:hint="eastAsia" w:ascii="宋体" w:hAnsi="宋体" w:eastAsia="宋体" w:cs="宋体"/>
                <w:b/>
                <w:bCs/>
                <w:sz w:val="24"/>
                <w:szCs w:val="24"/>
              </w:rPr>
              <w:t>得7分；</w:t>
            </w:r>
          </w:p>
          <w:p w14:paraId="1CE2BA45">
            <w:pPr>
              <w:pageBreakBefore w:val="0"/>
              <w:widowControl/>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对</w:t>
            </w:r>
            <w:r>
              <w:rPr>
                <w:rFonts w:hint="eastAsia" w:ascii="宋体" w:hAnsi="宋体" w:eastAsia="宋体" w:cs="宋体"/>
                <w:sz w:val="24"/>
                <w:szCs w:val="24"/>
              </w:rPr>
              <w:t>工作计划安排较科学合理，有较完善的文档管理细则，较详细可行的</w:t>
            </w:r>
            <w:r>
              <w:rPr>
                <w:rFonts w:hint="eastAsia" w:ascii="宋体" w:hAnsi="宋体" w:eastAsia="宋体" w:cs="宋体"/>
                <w:b/>
                <w:bCs/>
                <w:sz w:val="24"/>
                <w:szCs w:val="24"/>
              </w:rPr>
              <w:t>得5分</w:t>
            </w:r>
            <w:r>
              <w:rPr>
                <w:rFonts w:hint="eastAsia" w:ascii="宋体" w:hAnsi="宋体" w:eastAsia="宋体" w:cs="宋体"/>
                <w:sz w:val="24"/>
                <w:szCs w:val="24"/>
              </w:rPr>
              <w:t>；</w:t>
            </w:r>
          </w:p>
          <w:p w14:paraId="3CACFED1">
            <w:pPr>
              <w:pageBreakBefore w:val="0"/>
              <w:widowControl/>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对</w:t>
            </w:r>
            <w:r>
              <w:rPr>
                <w:rFonts w:hint="eastAsia" w:ascii="宋体" w:hAnsi="宋体" w:eastAsia="宋体" w:cs="宋体"/>
                <w:sz w:val="24"/>
                <w:szCs w:val="24"/>
              </w:rPr>
              <w:t>工作计划安排合理性一般，可行性差的</w:t>
            </w:r>
            <w:r>
              <w:rPr>
                <w:rFonts w:hint="eastAsia" w:ascii="宋体" w:hAnsi="宋体" w:eastAsia="宋体" w:cs="宋体"/>
                <w:b/>
                <w:bCs/>
                <w:sz w:val="24"/>
                <w:szCs w:val="24"/>
              </w:rPr>
              <w:t>得3分</w:t>
            </w:r>
            <w:r>
              <w:rPr>
                <w:rFonts w:hint="eastAsia" w:ascii="宋体" w:hAnsi="宋体" w:eastAsia="宋体" w:cs="宋体"/>
                <w:sz w:val="24"/>
                <w:szCs w:val="24"/>
              </w:rPr>
              <w:t>；</w:t>
            </w:r>
          </w:p>
          <w:p w14:paraId="27F256BB">
            <w:pPr>
              <w:pageBreakBefore w:val="0"/>
              <w:widowControl/>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
                <w:bCs/>
                <w:sz w:val="24"/>
                <w:szCs w:val="24"/>
              </w:rPr>
              <w:t>该项未见阐述不得分。</w:t>
            </w:r>
          </w:p>
        </w:tc>
      </w:tr>
      <w:tr w14:paraId="51AD6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660" w:type="dxa"/>
            <w:vAlign w:val="center"/>
          </w:tcPr>
          <w:p w14:paraId="7E42A7FC">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备机备件方案</w:t>
            </w:r>
            <w:r>
              <w:rPr>
                <w:rFonts w:hint="eastAsia" w:ascii="宋体" w:hAnsi="宋体" w:eastAsia="宋体" w:cs="宋体"/>
                <w:sz w:val="24"/>
                <w:szCs w:val="24"/>
              </w:rPr>
              <w:br w:type="textWrapping"/>
            </w:r>
            <w:r>
              <w:rPr>
                <w:rFonts w:hint="eastAsia" w:ascii="宋体" w:hAnsi="宋体" w:eastAsia="宋体" w:cs="宋体"/>
                <w:sz w:val="24"/>
                <w:szCs w:val="24"/>
              </w:rPr>
              <w:t>（7分）</w:t>
            </w:r>
          </w:p>
        </w:tc>
        <w:tc>
          <w:tcPr>
            <w:tcW w:w="7360" w:type="dxa"/>
            <w:vAlign w:val="center"/>
          </w:tcPr>
          <w:p w14:paraId="7D9A5861">
            <w:pPr>
              <w:pageBreakBefore w:val="0"/>
              <w:kinsoku/>
              <w:wordWrap w:val="0"/>
              <w:overflowPunct/>
              <w:topLinePunct w:val="0"/>
              <w:bidi w:val="0"/>
              <w:adjustRightInd w:val="0"/>
              <w:snapToGrid w:val="0"/>
              <w:spacing w:line="360" w:lineRule="auto"/>
              <w:jc w:val="left"/>
              <w:rPr>
                <w:rFonts w:hint="default" w:ascii="宋体" w:hAnsi="宋体" w:eastAsia="宋体" w:cs="宋体"/>
                <w:sz w:val="24"/>
                <w:szCs w:val="24"/>
                <w:lang w:val="en-US"/>
              </w:rPr>
            </w:pPr>
            <w:r>
              <w:rPr>
                <w:rFonts w:hint="eastAsia" w:ascii="宋体" w:hAnsi="宋体" w:eastAsia="宋体" w:cs="宋体"/>
                <w:sz w:val="24"/>
                <w:szCs w:val="24"/>
                <w:lang w:val="en-US" w:eastAsia="zh-CN"/>
              </w:rPr>
              <w:t>评委根据</w:t>
            </w:r>
            <w:r>
              <w:rPr>
                <w:rFonts w:hint="eastAsia" w:ascii="宋体" w:hAnsi="宋体" w:eastAsia="宋体" w:cs="宋体"/>
                <w:sz w:val="24"/>
                <w:szCs w:val="24"/>
              </w:rPr>
              <w:t>供应商提供备机备件方案</w:t>
            </w:r>
            <w:r>
              <w:rPr>
                <w:rFonts w:hint="eastAsia" w:ascii="宋体" w:hAnsi="宋体" w:eastAsia="宋体" w:cs="宋体"/>
                <w:sz w:val="24"/>
                <w:szCs w:val="24"/>
                <w:lang w:eastAsia="zh-CN"/>
              </w:rPr>
              <w:t>（</w:t>
            </w:r>
            <w:r>
              <w:rPr>
                <w:rFonts w:hint="eastAsia" w:ascii="宋体" w:hAnsi="宋体" w:eastAsia="宋体" w:cs="宋体"/>
                <w:sz w:val="24"/>
                <w:szCs w:val="24"/>
              </w:rPr>
              <w:t>包括备机备件库的建立、备件明细、日常管理等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评分：</w:t>
            </w:r>
          </w:p>
          <w:p w14:paraId="6FEE5985">
            <w:pPr>
              <w:pageBreakBefore w:val="0"/>
              <w:kinsoku/>
              <w:wordWrap w:val="0"/>
              <w:overflowPunct/>
              <w:topLinePunct w:val="0"/>
              <w:bidi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sz w:val="24"/>
                <w:szCs w:val="24"/>
                <w:lang w:val="en-US" w:eastAsia="zh-CN"/>
              </w:rPr>
              <w:t>供应商建立的</w:t>
            </w:r>
            <w:r>
              <w:rPr>
                <w:rFonts w:hint="eastAsia" w:ascii="宋体" w:hAnsi="宋体" w:eastAsia="宋体" w:cs="宋体"/>
                <w:sz w:val="24"/>
                <w:szCs w:val="24"/>
              </w:rPr>
              <w:t>备机备件库完善、备件明细、日常管理科学合理的</w:t>
            </w:r>
            <w:r>
              <w:rPr>
                <w:rFonts w:hint="eastAsia" w:ascii="宋体" w:hAnsi="宋体" w:eastAsia="宋体" w:cs="宋体"/>
                <w:b/>
                <w:bCs/>
                <w:sz w:val="24"/>
                <w:szCs w:val="24"/>
              </w:rPr>
              <w:t>得7分；</w:t>
            </w:r>
          </w:p>
          <w:p w14:paraId="5FDFC2E6">
            <w:pPr>
              <w:pageBreakBefore w:val="0"/>
              <w:kinsoku/>
              <w:wordWrap w:val="0"/>
              <w:overflowPunct/>
              <w:topLinePunct w:val="0"/>
              <w:bidi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sz w:val="24"/>
                <w:szCs w:val="24"/>
                <w:lang w:val="en-US" w:eastAsia="zh-CN"/>
              </w:rPr>
              <w:t>供应商建立的</w:t>
            </w:r>
            <w:r>
              <w:rPr>
                <w:rFonts w:hint="eastAsia" w:ascii="宋体" w:hAnsi="宋体" w:eastAsia="宋体" w:cs="宋体"/>
                <w:sz w:val="24"/>
                <w:szCs w:val="24"/>
              </w:rPr>
              <w:t>备机备件库较完善、备件明细、日常管理较科学合理的</w:t>
            </w:r>
            <w:r>
              <w:rPr>
                <w:rFonts w:hint="eastAsia" w:ascii="宋体" w:hAnsi="宋体" w:eastAsia="宋体" w:cs="宋体"/>
                <w:b/>
                <w:bCs/>
                <w:sz w:val="24"/>
                <w:szCs w:val="24"/>
              </w:rPr>
              <w:t>得5分；</w:t>
            </w:r>
          </w:p>
          <w:p w14:paraId="442320E4">
            <w:pPr>
              <w:pageBreakBefore w:val="0"/>
              <w:kinsoku/>
              <w:wordWrap w:val="0"/>
              <w:overflowPunct/>
              <w:topLinePunct w:val="0"/>
              <w:bidi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sz w:val="24"/>
                <w:szCs w:val="24"/>
                <w:lang w:val="en-US" w:eastAsia="zh-CN"/>
              </w:rPr>
              <w:t>供应商建立的</w:t>
            </w:r>
            <w:r>
              <w:rPr>
                <w:rFonts w:hint="eastAsia" w:ascii="宋体" w:hAnsi="宋体" w:eastAsia="宋体" w:cs="宋体"/>
                <w:sz w:val="24"/>
                <w:szCs w:val="24"/>
              </w:rPr>
              <w:t>备机备件库</w:t>
            </w:r>
            <w:r>
              <w:rPr>
                <w:rFonts w:hint="eastAsia" w:ascii="宋体" w:hAnsi="宋体" w:eastAsia="宋体" w:cs="宋体"/>
                <w:sz w:val="24"/>
                <w:szCs w:val="24"/>
                <w:lang w:val="en-US" w:eastAsia="zh-CN"/>
              </w:rPr>
              <w:t>完善性</w:t>
            </w:r>
            <w:r>
              <w:rPr>
                <w:rFonts w:hint="eastAsia" w:ascii="宋体" w:hAnsi="宋体" w:eastAsia="宋体" w:cs="宋体"/>
                <w:sz w:val="24"/>
                <w:szCs w:val="24"/>
              </w:rPr>
              <w:t>、备件明细、日常管理</w:t>
            </w:r>
            <w:r>
              <w:rPr>
                <w:rFonts w:hint="eastAsia" w:ascii="宋体" w:hAnsi="宋体" w:eastAsia="宋体" w:cs="宋体"/>
                <w:sz w:val="24"/>
                <w:szCs w:val="24"/>
                <w:lang w:val="en-US" w:eastAsia="zh-CN"/>
              </w:rPr>
              <w:t>一般</w:t>
            </w:r>
            <w:r>
              <w:rPr>
                <w:rFonts w:hint="eastAsia" w:ascii="宋体" w:hAnsi="宋体" w:eastAsia="宋体" w:cs="宋体"/>
                <w:sz w:val="24"/>
                <w:szCs w:val="24"/>
              </w:rPr>
              <w:t>的</w:t>
            </w:r>
            <w:r>
              <w:rPr>
                <w:rFonts w:hint="eastAsia" w:ascii="宋体" w:hAnsi="宋体" w:eastAsia="宋体" w:cs="宋体"/>
                <w:b/>
                <w:bCs/>
                <w:sz w:val="24"/>
                <w:szCs w:val="24"/>
              </w:rPr>
              <w:t>得3分；</w:t>
            </w:r>
          </w:p>
          <w:p w14:paraId="31A5B95B">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highlight w:val="yellow"/>
              </w:rPr>
            </w:pPr>
            <w:r>
              <w:rPr>
                <w:rFonts w:hint="eastAsia" w:ascii="宋体" w:hAnsi="宋体" w:eastAsia="宋体" w:cs="宋体"/>
                <w:b/>
                <w:bCs/>
                <w:sz w:val="24"/>
                <w:szCs w:val="24"/>
              </w:rPr>
              <w:t>该项未见阐述不得分。</w:t>
            </w:r>
          </w:p>
        </w:tc>
      </w:tr>
      <w:tr w14:paraId="0F771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660" w:type="dxa"/>
            <w:vAlign w:val="center"/>
          </w:tcPr>
          <w:p w14:paraId="4D6CFFF7">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信息安全控制方案（</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7360" w:type="dxa"/>
            <w:vAlign w:val="center"/>
          </w:tcPr>
          <w:p w14:paraId="4DBF125E">
            <w:pPr>
              <w:pageBreakBefore w:val="0"/>
              <w:kinsoku/>
              <w:wordWrap w:val="0"/>
              <w:overflowPunct/>
              <w:topLinePunct w:val="0"/>
              <w:bidi w:val="0"/>
              <w:adjustRightInd w:val="0"/>
              <w:snapToGrid w:val="0"/>
              <w:spacing w:line="360" w:lineRule="auto"/>
              <w:jc w:val="left"/>
              <w:rPr>
                <w:rFonts w:hint="default" w:ascii="宋体" w:hAnsi="宋体" w:eastAsia="宋体" w:cs="宋体"/>
                <w:sz w:val="24"/>
                <w:szCs w:val="24"/>
                <w:lang w:val="en-US"/>
              </w:rPr>
            </w:pPr>
            <w:r>
              <w:rPr>
                <w:rFonts w:hint="eastAsia" w:ascii="宋体" w:hAnsi="宋体" w:eastAsia="宋体" w:cs="宋体"/>
                <w:sz w:val="24"/>
                <w:szCs w:val="24"/>
                <w:lang w:val="en-US" w:eastAsia="zh-CN"/>
              </w:rPr>
              <w:t>评委根据</w:t>
            </w:r>
            <w:r>
              <w:rPr>
                <w:rFonts w:hint="eastAsia" w:ascii="宋体" w:hAnsi="宋体" w:eastAsia="宋体" w:cs="宋体"/>
                <w:sz w:val="24"/>
                <w:szCs w:val="24"/>
              </w:rPr>
              <w:t>供应商提供</w:t>
            </w:r>
            <w:r>
              <w:rPr>
                <w:rFonts w:hint="eastAsia" w:ascii="宋体" w:hAnsi="宋体" w:eastAsia="宋体" w:cs="宋体"/>
                <w:sz w:val="24"/>
                <w:szCs w:val="24"/>
                <w:lang w:val="en-US" w:eastAsia="zh-CN"/>
              </w:rPr>
              <w:t>的</w:t>
            </w:r>
            <w:r>
              <w:rPr>
                <w:rFonts w:hint="eastAsia" w:ascii="宋体" w:hAnsi="宋体" w:eastAsia="宋体" w:cs="宋体"/>
                <w:sz w:val="24"/>
                <w:szCs w:val="24"/>
              </w:rPr>
              <w:t>信息安全控制方案</w:t>
            </w:r>
            <w:r>
              <w:rPr>
                <w:rFonts w:hint="eastAsia" w:ascii="宋体" w:hAnsi="宋体" w:eastAsia="宋体" w:cs="宋体"/>
                <w:sz w:val="24"/>
                <w:szCs w:val="24"/>
                <w:lang w:eastAsia="zh-CN"/>
              </w:rPr>
              <w:t>（</w:t>
            </w:r>
            <w:r>
              <w:rPr>
                <w:rFonts w:hint="eastAsia" w:ascii="宋体" w:hAnsi="宋体" w:eastAsia="宋体" w:cs="宋体"/>
                <w:sz w:val="24"/>
                <w:szCs w:val="24"/>
              </w:rPr>
              <w:t>包括对服务期限内信息安全的保障措施、漏洞扫描、病毒控制、准入策略</w:t>
            </w:r>
            <w:r>
              <w:rPr>
                <w:rFonts w:hint="eastAsia" w:ascii="宋体" w:hAnsi="宋体" w:eastAsia="宋体" w:cs="宋体"/>
                <w:sz w:val="24"/>
                <w:szCs w:val="24"/>
                <w:lang w:val="en-US" w:eastAsia="zh-CN"/>
              </w:rPr>
              <w:t>等内容）评分：</w:t>
            </w:r>
          </w:p>
          <w:p w14:paraId="523C1764">
            <w:pPr>
              <w:pStyle w:val="2"/>
              <w:pageBreakBefore w:val="0"/>
              <w:kinsoku/>
              <w:wordWrap w:val="0"/>
              <w:overflowPunct/>
              <w:topLinePunct w:val="0"/>
              <w:bidi w:val="0"/>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sz w:val="24"/>
                <w:szCs w:val="24"/>
              </w:rPr>
              <w:t>信息安全控制</w:t>
            </w:r>
            <w:r>
              <w:rPr>
                <w:rFonts w:hint="eastAsia" w:ascii="宋体" w:hAnsi="宋体" w:eastAsia="宋体" w:cs="宋体"/>
                <w:color w:val="auto"/>
                <w:sz w:val="24"/>
                <w:szCs w:val="24"/>
              </w:rPr>
              <w:t>方案内容详细，信息安全控制可行性强，保障措施完善的</w:t>
            </w:r>
            <w:r>
              <w:rPr>
                <w:rFonts w:hint="eastAsia" w:ascii="宋体" w:hAnsi="宋体" w:eastAsia="宋体" w:cs="宋体"/>
                <w:b/>
                <w:bCs/>
                <w:color w:val="auto"/>
                <w:sz w:val="24"/>
                <w:szCs w:val="24"/>
              </w:rPr>
              <w:t>得</w:t>
            </w: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rPr>
              <w:t>分；</w:t>
            </w:r>
          </w:p>
          <w:p w14:paraId="3CCE02EB">
            <w:pPr>
              <w:pStyle w:val="2"/>
              <w:pageBreakBefore w:val="0"/>
              <w:kinsoku/>
              <w:wordWrap w:val="0"/>
              <w:overflowPunct/>
              <w:topLinePunct w:val="0"/>
              <w:bidi w:val="0"/>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sz w:val="24"/>
                <w:szCs w:val="24"/>
              </w:rPr>
              <w:t>信息安全控制</w:t>
            </w:r>
            <w:r>
              <w:rPr>
                <w:rFonts w:hint="eastAsia" w:ascii="宋体" w:hAnsi="宋体" w:eastAsia="宋体" w:cs="宋体"/>
                <w:color w:val="auto"/>
                <w:sz w:val="24"/>
                <w:szCs w:val="24"/>
              </w:rPr>
              <w:t>方案内容较详细，信息安全控制可行性较强，保障措施较完善的</w:t>
            </w:r>
            <w:r>
              <w:rPr>
                <w:rFonts w:hint="eastAsia" w:ascii="宋体" w:hAnsi="宋体" w:eastAsia="宋体" w:cs="宋体"/>
                <w:b/>
                <w:bCs/>
                <w:color w:val="auto"/>
                <w:sz w:val="24"/>
                <w:szCs w:val="24"/>
              </w:rPr>
              <w:t>得4分；</w:t>
            </w:r>
          </w:p>
          <w:p w14:paraId="5E810EA4">
            <w:pPr>
              <w:pStyle w:val="2"/>
              <w:pageBreakBefore w:val="0"/>
              <w:kinsoku/>
              <w:wordWrap w:val="0"/>
              <w:overflowPunct/>
              <w:topLinePunct w:val="0"/>
              <w:bidi w:val="0"/>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sz w:val="24"/>
                <w:szCs w:val="24"/>
              </w:rPr>
              <w:t>信息安全控制</w:t>
            </w:r>
            <w:r>
              <w:rPr>
                <w:rFonts w:hint="eastAsia" w:ascii="宋体" w:hAnsi="宋体" w:eastAsia="宋体" w:cs="宋体"/>
                <w:color w:val="auto"/>
                <w:sz w:val="24"/>
                <w:szCs w:val="24"/>
              </w:rPr>
              <w:t>方案内容合理性一般，可行性不强的</w:t>
            </w:r>
            <w:r>
              <w:rPr>
                <w:rFonts w:hint="eastAsia" w:ascii="宋体" w:hAnsi="宋体" w:eastAsia="宋体" w:cs="宋体"/>
                <w:b/>
                <w:bCs/>
                <w:color w:val="auto"/>
                <w:sz w:val="24"/>
                <w:szCs w:val="24"/>
              </w:rPr>
              <w:t>得2分；</w:t>
            </w:r>
          </w:p>
          <w:p w14:paraId="66FA4B12">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b/>
                <w:bCs/>
                <w:sz w:val="24"/>
                <w:szCs w:val="24"/>
              </w:rPr>
              <w:t>该项未见阐述不得分。</w:t>
            </w:r>
          </w:p>
        </w:tc>
      </w:tr>
      <w:tr w14:paraId="6EE55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660" w:type="dxa"/>
            <w:shd w:val="clear" w:color="auto" w:fill="auto"/>
            <w:vAlign w:val="center"/>
          </w:tcPr>
          <w:p w14:paraId="65CF5893">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lang w:val="en-US" w:eastAsia="zh-CN" w:bidi="ar-SA"/>
              </w:rPr>
            </w:pPr>
            <w:r>
              <w:rPr>
                <w:rFonts w:hint="eastAsia" w:ascii="宋体" w:hAnsi="宋体" w:eastAsia="宋体" w:cs="宋体"/>
                <w:sz w:val="24"/>
                <w:szCs w:val="24"/>
              </w:rPr>
              <w:t>应急故障方案</w:t>
            </w:r>
            <w:r>
              <w:rPr>
                <w:rFonts w:hint="eastAsia" w:ascii="宋体" w:hAnsi="宋体" w:eastAsia="宋体" w:cs="宋体"/>
                <w:sz w:val="24"/>
                <w:szCs w:val="24"/>
              </w:rPr>
              <w:br w:type="textWrapping"/>
            </w:r>
            <w:r>
              <w:rPr>
                <w:rFonts w:hint="eastAsia" w:ascii="宋体" w:hAnsi="宋体" w:eastAsia="宋体" w:cs="宋体"/>
                <w:sz w:val="24"/>
                <w:szCs w:val="24"/>
              </w:rPr>
              <w:t>（7分）</w:t>
            </w:r>
          </w:p>
        </w:tc>
        <w:tc>
          <w:tcPr>
            <w:tcW w:w="7360" w:type="dxa"/>
            <w:shd w:val="clear" w:color="auto" w:fill="auto"/>
            <w:vAlign w:val="center"/>
          </w:tcPr>
          <w:p w14:paraId="385F9E72">
            <w:pPr>
              <w:pageBreakBefore w:val="0"/>
              <w:kinsoku/>
              <w:wordWrap w:val="0"/>
              <w:overflowPunct/>
              <w:topLinePunct w:val="0"/>
              <w:bidi w:val="0"/>
              <w:adjustRightInd w:val="0"/>
              <w:snapToGrid w:val="0"/>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评委根据</w:t>
            </w:r>
            <w:r>
              <w:rPr>
                <w:rFonts w:hint="eastAsia" w:ascii="宋体" w:hAnsi="宋体" w:eastAsia="宋体" w:cs="宋体"/>
                <w:sz w:val="24"/>
                <w:szCs w:val="24"/>
              </w:rPr>
              <w:t>供应商提供</w:t>
            </w:r>
            <w:r>
              <w:rPr>
                <w:rFonts w:hint="eastAsia" w:ascii="宋体" w:hAnsi="宋体" w:eastAsia="宋体" w:cs="宋体"/>
                <w:sz w:val="24"/>
                <w:szCs w:val="24"/>
                <w:lang w:val="en-US" w:eastAsia="zh-CN"/>
              </w:rPr>
              <w:t>的</w:t>
            </w:r>
            <w:r>
              <w:rPr>
                <w:rFonts w:hint="eastAsia" w:ascii="宋体" w:hAnsi="宋体" w:eastAsia="宋体" w:cs="宋体"/>
                <w:sz w:val="24"/>
                <w:szCs w:val="24"/>
              </w:rPr>
              <w:t>突发应急故障</w:t>
            </w:r>
            <w:r>
              <w:rPr>
                <w:rFonts w:hint="eastAsia" w:ascii="宋体" w:hAnsi="宋体" w:eastAsia="宋体" w:cs="宋体"/>
                <w:sz w:val="24"/>
                <w:szCs w:val="24"/>
                <w:lang w:eastAsia="zh-CN"/>
              </w:rPr>
              <w:t>、</w:t>
            </w:r>
            <w:r>
              <w:rPr>
                <w:rFonts w:hint="eastAsia" w:ascii="宋体" w:hAnsi="宋体" w:eastAsia="宋体" w:cs="宋体"/>
                <w:sz w:val="24"/>
                <w:szCs w:val="24"/>
              </w:rPr>
              <w:t>故障解决、处置措施</w:t>
            </w:r>
            <w:r>
              <w:rPr>
                <w:rFonts w:hint="eastAsia" w:ascii="宋体" w:hAnsi="宋体" w:eastAsia="宋体" w:cs="宋体"/>
                <w:sz w:val="24"/>
                <w:szCs w:val="24"/>
                <w:lang w:val="en-US" w:eastAsia="zh-CN"/>
              </w:rPr>
              <w:t>方案评分：</w:t>
            </w:r>
          </w:p>
          <w:p w14:paraId="0E98ED10">
            <w:pPr>
              <w:pageBreakBefore w:val="0"/>
              <w:kinsoku/>
              <w:wordWrap w:val="0"/>
              <w:overflowPunct/>
              <w:topLinePunct w:val="0"/>
              <w:bidi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sz w:val="24"/>
                <w:szCs w:val="24"/>
              </w:rPr>
              <w:t>供应商提供</w:t>
            </w:r>
            <w:r>
              <w:rPr>
                <w:rFonts w:hint="eastAsia" w:ascii="宋体" w:hAnsi="宋体" w:eastAsia="宋体" w:cs="宋体"/>
                <w:sz w:val="24"/>
                <w:szCs w:val="24"/>
                <w:lang w:val="en-US" w:eastAsia="zh-CN"/>
              </w:rPr>
              <w:t>的</w:t>
            </w:r>
            <w:r>
              <w:rPr>
                <w:rFonts w:hint="eastAsia" w:ascii="宋体" w:hAnsi="宋体" w:eastAsia="宋体" w:cs="宋体"/>
                <w:sz w:val="24"/>
                <w:szCs w:val="24"/>
              </w:rPr>
              <w:t>突发应急故障</w:t>
            </w:r>
            <w:r>
              <w:rPr>
                <w:rFonts w:hint="eastAsia" w:ascii="宋体" w:hAnsi="宋体" w:eastAsia="宋体" w:cs="宋体"/>
                <w:sz w:val="24"/>
                <w:szCs w:val="24"/>
                <w:lang w:eastAsia="zh-CN"/>
              </w:rPr>
              <w:t>、</w:t>
            </w:r>
            <w:r>
              <w:rPr>
                <w:rFonts w:hint="eastAsia" w:ascii="宋体" w:hAnsi="宋体" w:eastAsia="宋体" w:cs="宋体"/>
                <w:sz w:val="24"/>
                <w:szCs w:val="24"/>
              </w:rPr>
              <w:t>故障解决、处置措施</w:t>
            </w:r>
            <w:r>
              <w:rPr>
                <w:rFonts w:hint="eastAsia" w:ascii="宋体" w:hAnsi="宋体" w:eastAsia="宋体" w:cs="宋体"/>
                <w:sz w:val="24"/>
                <w:szCs w:val="24"/>
                <w:lang w:val="en-US" w:eastAsia="zh-CN"/>
              </w:rPr>
              <w:t>方案</w:t>
            </w:r>
            <w:r>
              <w:rPr>
                <w:rFonts w:hint="eastAsia" w:ascii="宋体" w:hAnsi="宋体" w:eastAsia="宋体" w:cs="宋体"/>
                <w:sz w:val="24"/>
                <w:szCs w:val="24"/>
              </w:rPr>
              <w:t>框架清晰，应急响应时间合理，可实施性强的</w:t>
            </w:r>
            <w:r>
              <w:rPr>
                <w:rFonts w:hint="eastAsia" w:ascii="宋体" w:hAnsi="宋体" w:eastAsia="宋体" w:cs="宋体"/>
                <w:b/>
                <w:bCs/>
                <w:sz w:val="24"/>
                <w:szCs w:val="24"/>
              </w:rPr>
              <w:t>得7分；</w:t>
            </w:r>
          </w:p>
          <w:p w14:paraId="0189892E">
            <w:pPr>
              <w:pageBreakBefore w:val="0"/>
              <w:kinsoku/>
              <w:wordWrap w:val="0"/>
              <w:overflowPunct/>
              <w:topLinePunct w:val="0"/>
              <w:bidi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sz w:val="24"/>
                <w:szCs w:val="24"/>
              </w:rPr>
              <w:t>应急故障方案内容较详细，框架较清晰，应急响应时间较合理，可实施性较强的</w:t>
            </w:r>
            <w:r>
              <w:rPr>
                <w:rFonts w:hint="eastAsia" w:ascii="宋体" w:hAnsi="宋体" w:eastAsia="宋体" w:cs="宋体"/>
                <w:b/>
                <w:bCs/>
                <w:sz w:val="24"/>
                <w:szCs w:val="24"/>
              </w:rPr>
              <w:t>得5分；</w:t>
            </w:r>
          </w:p>
          <w:p w14:paraId="10A9BBCE">
            <w:pPr>
              <w:pageBreakBefore w:val="0"/>
              <w:kinsoku/>
              <w:wordWrap w:val="0"/>
              <w:overflowPunct/>
              <w:topLinePunct w:val="0"/>
              <w:bidi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sz w:val="24"/>
                <w:szCs w:val="24"/>
              </w:rPr>
              <w:t>应急故障方案科学合理性一般、可实施性不强的</w:t>
            </w:r>
            <w:r>
              <w:rPr>
                <w:rFonts w:hint="eastAsia" w:ascii="宋体" w:hAnsi="宋体" w:eastAsia="宋体" w:cs="宋体"/>
                <w:b/>
                <w:bCs/>
                <w:sz w:val="24"/>
                <w:szCs w:val="24"/>
              </w:rPr>
              <w:t>得3分；</w:t>
            </w:r>
          </w:p>
          <w:p w14:paraId="29FE547C">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highlight w:val="yellow"/>
                <w:lang w:val="en-US" w:eastAsia="zh-CN" w:bidi="ar-SA"/>
              </w:rPr>
            </w:pPr>
            <w:r>
              <w:rPr>
                <w:rFonts w:hint="eastAsia" w:ascii="宋体" w:hAnsi="宋体" w:eastAsia="宋体" w:cs="宋体"/>
                <w:b/>
                <w:bCs/>
                <w:sz w:val="24"/>
                <w:szCs w:val="24"/>
              </w:rPr>
              <w:t>该项未见阐述不得分。</w:t>
            </w:r>
          </w:p>
        </w:tc>
      </w:tr>
    </w:tbl>
    <w:p w14:paraId="07546D36">
      <w:pPr>
        <w:pageBreakBefore w:val="0"/>
        <w:kinsoku/>
        <w:wordWrap w:val="0"/>
        <w:overflowPunct/>
        <w:topLinePunct w:val="0"/>
        <w:bidi w:val="0"/>
        <w:adjustRightInd w:val="0"/>
        <w:snapToGrid w:val="0"/>
        <w:spacing w:line="360" w:lineRule="auto"/>
        <w:rPr>
          <w:rFonts w:hint="eastAsia" w:ascii="宋体" w:hAnsi="宋体" w:eastAsia="宋体" w:cs="宋体"/>
          <w:sz w:val="24"/>
          <w:szCs w:val="24"/>
        </w:rPr>
      </w:pPr>
      <w:bookmarkStart w:id="17" w:name="_Toc161932696"/>
      <w:r>
        <w:rPr>
          <w:rFonts w:hint="eastAsia" w:ascii="宋体" w:hAnsi="宋体" w:eastAsia="宋体" w:cs="宋体"/>
          <w:sz w:val="24"/>
          <w:szCs w:val="24"/>
        </w:rPr>
        <w:br w:type="page" w:clear="all"/>
      </w:r>
    </w:p>
    <w:p w14:paraId="04107469">
      <w:pPr>
        <w:pStyle w:val="3"/>
        <w:pageBreakBefore w:val="0"/>
        <w:kinsoku/>
        <w:wordWrap w:val="0"/>
        <w:overflowPunct/>
        <w:topLinePunct w:val="0"/>
        <w:bidi w:val="0"/>
        <w:adjustRightInd w:val="0"/>
        <w:snapToGrid w:val="0"/>
        <w:spacing w:before="0" w:after="0" w:line="360" w:lineRule="auto"/>
        <w:jc w:val="center"/>
        <w:rPr>
          <w:rFonts w:hint="eastAsia" w:ascii="宋体" w:hAnsi="宋体" w:eastAsia="宋体" w:cs="宋体"/>
          <w:b w:val="0"/>
        </w:rPr>
      </w:pPr>
      <w:r>
        <w:rPr>
          <w:rFonts w:hint="eastAsia" w:ascii="宋体" w:hAnsi="宋体" w:eastAsia="宋体" w:cs="宋体"/>
          <w:b w:val="0"/>
        </w:rPr>
        <w:t>第六章  响应文件格式</w:t>
      </w:r>
      <w:bookmarkEnd w:id="17"/>
    </w:p>
    <w:p w14:paraId="4EF03405">
      <w:pPr>
        <w:pageBreakBefore w:val="0"/>
        <w:kinsoku/>
        <w:wordWrap w:val="0"/>
        <w:overflowPunct/>
        <w:topLinePunct w:val="0"/>
        <w:bidi w:val="0"/>
        <w:adjustRightInd w:val="0"/>
        <w:snapToGrid w:val="0"/>
        <w:spacing w:line="360" w:lineRule="auto"/>
        <w:jc w:val="left"/>
        <w:rPr>
          <w:rFonts w:hint="eastAsia" w:ascii="宋体" w:hAnsi="宋体" w:eastAsia="宋体" w:cs="宋体"/>
          <w:sz w:val="24"/>
          <w:szCs w:val="24"/>
        </w:rPr>
      </w:pPr>
    </w:p>
    <w:p w14:paraId="627ACDB7">
      <w:pPr>
        <w:pageBreakBefore w:val="0"/>
        <w:kinsoku/>
        <w:wordWrap w:val="0"/>
        <w:overflowPunct/>
        <w:topLinePunct w:val="0"/>
        <w:bidi w:val="0"/>
        <w:adjustRightInd w:val="0"/>
        <w:snapToGrid w:val="0"/>
        <w:spacing w:line="360" w:lineRule="auto"/>
        <w:jc w:val="center"/>
        <w:rPr>
          <w:rFonts w:hint="eastAsia" w:ascii="宋体" w:hAnsi="宋体" w:eastAsia="宋体" w:cs="宋体"/>
          <w:b/>
          <w:sz w:val="72"/>
          <w:szCs w:val="21"/>
        </w:rPr>
      </w:pPr>
    </w:p>
    <w:p w14:paraId="44C85795">
      <w:pPr>
        <w:pageBreakBefore w:val="0"/>
        <w:kinsoku/>
        <w:wordWrap w:val="0"/>
        <w:overflowPunct/>
        <w:topLinePunct w:val="0"/>
        <w:bidi w:val="0"/>
        <w:adjustRightInd w:val="0"/>
        <w:snapToGrid w:val="0"/>
        <w:spacing w:line="360" w:lineRule="auto"/>
        <w:jc w:val="center"/>
        <w:rPr>
          <w:rFonts w:hint="eastAsia" w:ascii="宋体" w:hAnsi="宋体" w:eastAsia="宋体" w:cs="宋体"/>
          <w:b/>
          <w:sz w:val="72"/>
          <w:szCs w:val="21"/>
        </w:rPr>
      </w:pPr>
      <w:r>
        <w:rPr>
          <w:rFonts w:hint="eastAsia" w:ascii="宋体" w:hAnsi="宋体" w:eastAsia="宋体" w:cs="宋体"/>
          <w:b/>
          <w:sz w:val="72"/>
          <w:szCs w:val="21"/>
        </w:rPr>
        <w:t>响  应  文  件</w:t>
      </w:r>
    </w:p>
    <w:p w14:paraId="76C3BF83">
      <w:pPr>
        <w:pageBreakBefore w:val="0"/>
        <w:kinsoku/>
        <w:wordWrap w:val="0"/>
        <w:overflowPunct/>
        <w:topLinePunct w:val="0"/>
        <w:bidi w:val="0"/>
        <w:adjustRightInd w:val="0"/>
        <w:snapToGrid w:val="0"/>
        <w:spacing w:line="360" w:lineRule="auto"/>
        <w:jc w:val="center"/>
        <w:rPr>
          <w:rFonts w:hint="eastAsia" w:ascii="宋体" w:hAnsi="宋体" w:eastAsia="宋体" w:cs="宋体"/>
          <w:b/>
          <w:sz w:val="72"/>
          <w:szCs w:val="21"/>
        </w:rPr>
      </w:pPr>
    </w:p>
    <w:p w14:paraId="43B75EBE">
      <w:pPr>
        <w:pageBreakBefore w:val="0"/>
        <w:kinsoku/>
        <w:wordWrap w:val="0"/>
        <w:overflowPunct/>
        <w:topLinePunct w:val="0"/>
        <w:bidi w:val="0"/>
        <w:adjustRightInd w:val="0"/>
        <w:snapToGrid w:val="0"/>
        <w:spacing w:line="360" w:lineRule="auto"/>
        <w:jc w:val="center"/>
        <w:rPr>
          <w:rFonts w:hint="eastAsia" w:ascii="宋体" w:hAnsi="宋体" w:eastAsia="宋体" w:cs="宋体"/>
          <w:b/>
          <w:sz w:val="72"/>
          <w:szCs w:val="21"/>
        </w:rPr>
      </w:pPr>
    </w:p>
    <w:p w14:paraId="41EAB74B">
      <w:pPr>
        <w:pageBreakBefore w:val="0"/>
        <w:kinsoku/>
        <w:wordWrap w:val="0"/>
        <w:overflowPunct/>
        <w:topLinePunct w:val="0"/>
        <w:bidi w:val="0"/>
        <w:adjustRightInd w:val="0"/>
        <w:snapToGrid w:val="0"/>
        <w:spacing w:line="360" w:lineRule="auto"/>
        <w:jc w:val="center"/>
        <w:rPr>
          <w:rFonts w:hint="eastAsia" w:ascii="宋体" w:hAnsi="宋体" w:eastAsia="宋体" w:cs="宋体"/>
          <w:b/>
          <w:sz w:val="36"/>
          <w:szCs w:val="21"/>
        </w:rPr>
      </w:pPr>
    </w:p>
    <w:p w14:paraId="1570AFB6">
      <w:pPr>
        <w:pageBreakBefore w:val="0"/>
        <w:kinsoku/>
        <w:wordWrap w:val="0"/>
        <w:overflowPunct/>
        <w:topLinePunct w:val="0"/>
        <w:bidi w:val="0"/>
        <w:adjustRightInd w:val="0"/>
        <w:snapToGrid w:val="0"/>
        <w:spacing w:line="360" w:lineRule="auto"/>
        <w:jc w:val="center"/>
        <w:rPr>
          <w:rFonts w:hint="eastAsia" w:ascii="宋体" w:hAnsi="宋体" w:eastAsia="宋体" w:cs="宋体"/>
          <w:b/>
          <w:sz w:val="36"/>
          <w:szCs w:val="21"/>
        </w:rPr>
      </w:pPr>
    </w:p>
    <w:p w14:paraId="5A23A08C">
      <w:pPr>
        <w:pageBreakBefore w:val="0"/>
        <w:kinsoku/>
        <w:wordWrap w:val="0"/>
        <w:overflowPunct/>
        <w:topLinePunct w:val="0"/>
        <w:bidi w:val="0"/>
        <w:adjustRightInd w:val="0"/>
        <w:snapToGrid w:val="0"/>
        <w:spacing w:line="360" w:lineRule="auto"/>
        <w:jc w:val="center"/>
        <w:rPr>
          <w:rFonts w:hint="eastAsia" w:ascii="宋体" w:hAnsi="宋体" w:eastAsia="宋体" w:cs="宋体"/>
          <w:b/>
          <w:sz w:val="36"/>
          <w:szCs w:val="21"/>
        </w:rPr>
      </w:pPr>
    </w:p>
    <w:p w14:paraId="5AB1D472">
      <w:pPr>
        <w:pageBreakBefore w:val="0"/>
        <w:kinsoku/>
        <w:wordWrap w:val="0"/>
        <w:overflowPunct/>
        <w:topLinePunct w:val="0"/>
        <w:bidi w:val="0"/>
        <w:adjustRightInd w:val="0"/>
        <w:snapToGrid w:val="0"/>
        <w:spacing w:line="360" w:lineRule="auto"/>
        <w:ind w:firstLine="1084"/>
        <w:rPr>
          <w:rFonts w:hint="eastAsia" w:ascii="宋体" w:hAnsi="宋体" w:eastAsia="宋体" w:cs="宋体"/>
          <w:b/>
          <w:sz w:val="36"/>
          <w:szCs w:val="21"/>
        </w:rPr>
      </w:pPr>
      <w:r>
        <w:rPr>
          <w:rFonts w:hint="eastAsia" w:ascii="宋体" w:hAnsi="宋体" w:eastAsia="宋体" w:cs="宋体"/>
          <w:b/>
          <w:sz w:val="36"/>
          <w:szCs w:val="21"/>
        </w:rPr>
        <w:t>项 目 名 称：</w:t>
      </w:r>
      <w:r>
        <w:rPr>
          <w:rFonts w:hint="eastAsia" w:ascii="宋体" w:hAnsi="宋体" w:eastAsia="宋体" w:cs="宋体"/>
          <w:b/>
          <w:sz w:val="36"/>
          <w:szCs w:val="21"/>
          <w:u w:val="single"/>
        </w:rPr>
        <w:t xml:space="preserve">                   </w:t>
      </w:r>
    </w:p>
    <w:p w14:paraId="3BA23F72">
      <w:pPr>
        <w:pageBreakBefore w:val="0"/>
        <w:kinsoku/>
        <w:wordWrap w:val="0"/>
        <w:overflowPunct/>
        <w:topLinePunct w:val="0"/>
        <w:bidi w:val="0"/>
        <w:adjustRightInd w:val="0"/>
        <w:snapToGrid w:val="0"/>
        <w:spacing w:line="360" w:lineRule="auto"/>
        <w:ind w:firstLine="1084"/>
        <w:rPr>
          <w:rFonts w:hint="eastAsia" w:ascii="宋体" w:hAnsi="宋体" w:eastAsia="宋体" w:cs="宋体"/>
          <w:b/>
          <w:sz w:val="36"/>
          <w:szCs w:val="21"/>
          <w:u w:val="single"/>
        </w:rPr>
      </w:pPr>
      <w:r>
        <w:rPr>
          <w:rFonts w:hint="eastAsia" w:ascii="宋体" w:hAnsi="宋体" w:eastAsia="宋体" w:cs="宋体"/>
          <w:b/>
          <w:sz w:val="36"/>
          <w:szCs w:val="21"/>
        </w:rPr>
        <w:t>项 目 编 号：</w:t>
      </w:r>
      <w:r>
        <w:rPr>
          <w:rFonts w:hint="eastAsia" w:ascii="宋体" w:hAnsi="宋体" w:eastAsia="宋体" w:cs="宋体"/>
          <w:b/>
          <w:sz w:val="36"/>
          <w:szCs w:val="21"/>
          <w:u w:val="single"/>
        </w:rPr>
        <w:t xml:space="preserve">                   </w:t>
      </w:r>
    </w:p>
    <w:p w14:paraId="4D6DEC62">
      <w:pPr>
        <w:pageBreakBefore w:val="0"/>
        <w:kinsoku/>
        <w:wordWrap w:val="0"/>
        <w:overflowPunct/>
        <w:topLinePunct w:val="0"/>
        <w:bidi w:val="0"/>
        <w:adjustRightInd w:val="0"/>
        <w:snapToGrid w:val="0"/>
        <w:spacing w:line="360" w:lineRule="auto"/>
        <w:ind w:firstLine="1084" w:firstLineChars="300"/>
        <w:rPr>
          <w:rFonts w:hint="eastAsia" w:ascii="宋体" w:hAnsi="宋体" w:eastAsia="宋体" w:cs="宋体"/>
          <w:b/>
          <w:sz w:val="36"/>
          <w:szCs w:val="21"/>
          <w:u w:val="single"/>
        </w:rPr>
      </w:pPr>
      <w:r>
        <w:rPr>
          <w:rFonts w:hint="eastAsia" w:ascii="宋体" w:hAnsi="宋体" w:eastAsia="宋体" w:cs="宋体"/>
          <w:b/>
          <w:sz w:val="36"/>
          <w:szCs w:val="21"/>
        </w:rPr>
        <w:t>供应商名称 ：</w:t>
      </w:r>
      <w:r>
        <w:rPr>
          <w:rFonts w:hint="eastAsia" w:ascii="宋体" w:hAnsi="宋体" w:eastAsia="宋体" w:cs="宋体"/>
          <w:b/>
          <w:sz w:val="36"/>
          <w:szCs w:val="21"/>
          <w:u w:val="single"/>
        </w:rPr>
        <w:t>（加盖CA电子公章）</w:t>
      </w:r>
    </w:p>
    <w:p w14:paraId="52B0B86A">
      <w:pPr>
        <w:pageBreakBefore w:val="0"/>
        <w:kinsoku/>
        <w:wordWrap w:val="0"/>
        <w:overflowPunct/>
        <w:topLinePunct w:val="0"/>
        <w:bidi w:val="0"/>
        <w:adjustRightInd w:val="0"/>
        <w:snapToGrid w:val="0"/>
        <w:spacing w:line="360" w:lineRule="auto"/>
        <w:ind w:firstLine="1084" w:firstLineChars="300"/>
        <w:rPr>
          <w:rFonts w:hint="eastAsia" w:ascii="宋体" w:hAnsi="宋体" w:eastAsia="宋体" w:cs="宋体"/>
          <w:b/>
          <w:sz w:val="36"/>
          <w:szCs w:val="21"/>
          <w:u w:val="single"/>
        </w:rPr>
      </w:pPr>
      <w:r>
        <w:rPr>
          <w:rFonts w:hint="eastAsia" w:ascii="宋体" w:hAnsi="宋体" w:eastAsia="宋体" w:cs="宋体"/>
          <w:b/>
          <w:sz w:val="36"/>
          <w:szCs w:val="21"/>
        </w:rPr>
        <w:t>日      期 ：</w:t>
      </w:r>
      <w:r>
        <w:rPr>
          <w:rFonts w:hint="eastAsia" w:ascii="宋体" w:hAnsi="宋体" w:eastAsia="宋体" w:cs="宋体"/>
          <w:b/>
          <w:sz w:val="36"/>
          <w:szCs w:val="21"/>
          <w:u w:val="single"/>
        </w:rPr>
        <w:t xml:space="preserve">                   </w:t>
      </w:r>
    </w:p>
    <w:p w14:paraId="45BB8EB3">
      <w:pPr>
        <w:pageBreakBefore w:val="0"/>
        <w:kinsoku/>
        <w:wordWrap w:val="0"/>
        <w:overflowPunct/>
        <w:topLinePunct w:val="0"/>
        <w:bidi w:val="0"/>
        <w:adjustRightInd w:val="0"/>
        <w:snapToGrid w:val="0"/>
        <w:spacing w:line="360" w:lineRule="auto"/>
        <w:jc w:val="center"/>
        <w:rPr>
          <w:rFonts w:hint="eastAsia" w:ascii="宋体" w:hAnsi="宋体" w:eastAsia="宋体" w:cs="宋体"/>
          <w:b/>
          <w:bCs/>
          <w:sz w:val="32"/>
          <w:szCs w:val="32"/>
        </w:rPr>
      </w:pPr>
    </w:p>
    <w:p w14:paraId="1F1F76F5">
      <w:pPr>
        <w:pageBreakBefore w:val="0"/>
        <w:widowControl/>
        <w:kinsoku/>
        <w:wordWrap w:val="0"/>
        <w:overflowPunct/>
        <w:topLinePunct w:val="0"/>
        <w:bidi w:val="0"/>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clear="all"/>
      </w:r>
    </w:p>
    <w:p w14:paraId="747E2954">
      <w:pPr>
        <w:keepNext/>
        <w:keepLines/>
        <w:pageBreakBefore w:val="0"/>
        <w:kinsoku/>
        <w:wordWrap w:val="0"/>
        <w:overflowPunct/>
        <w:topLinePunct w:val="0"/>
        <w:bidi w:val="0"/>
        <w:adjustRightInd w:val="0"/>
        <w:snapToGrid w:val="0"/>
        <w:spacing w:line="360" w:lineRule="auto"/>
        <w:jc w:val="left"/>
        <w:outlineLvl w:val="1"/>
        <w:rPr>
          <w:rFonts w:hint="eastAsia" w:ascii="宋体" w:hAnsi="宋体" w:eastAsia="宋体" w:cs="宋体"/>
          <w:iCs/>
          <w:sz w:val="36"/>
          <w:szCs w:val="36"/>
          <w:u w:val="single"/>
        </w:rPr>
      </w:pPr>
      <w:r>
        <w:rPr>
          <w:rFonts w:hint="eastAsia" w:ascii="宋体" w:hAnsi="宋体" w:eastAsia="宋体" w:cs="宋体"/>
          <w:iCs/>
          <w:sz w:val="36"/>
          <w:szCs w:val="36"/>
          <w:u w:val="single"/>
        </w:rPr>
        <w:t>一、法人或者其他组织的营业执照等证明文件，自然人的身份证明</w:t>
      </w:r>
    </w:p>
    <w:p w14:paraId="79D7B54C">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58C5578D">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0CF3BD2F">
      <w:pPr>
        <w:keepNext/>
        <w:keepLines/>
        <w:pageBreakBefore w:val="0"/>
        <w:kinsoku/>
        <w:wordWrap w:val="0"/>
        <w:overflowPunct/>
        <w:topLinePunct w:val="0"/>
        <w:bidi w:val="0"/>
        <w:adjustRightInd w:val="0"/>
        <w:snapToGrid w:val="0"/>
        <w:spacing w:line="360" w:lineRule="auto"/>
        <w:jc w:val="left"/>
        <w:outlineLvl w:val="1"/>
        <w:rPr>
          <w:rFonts w:hint="eastAsia" w:ascii="宋体" w:hAnsi="宋体" w:eastAsia="宋体" w:cs="宋体"/>
          <w:iCs/>
          <w:sz w:val="36"/>
          <w:u w:val="single"/>
        </w:rPr>
      </w:pPr>
      <w:r>
        <w:rPr>
          <w:rFonts w:hint="eastAsia" w:ascii="宋体" w:hAnsi="宋体" w:eastAsia="宋体" w:cs="宋体"/>
          <w:iCs/>
          <w:sz w:val="36"/>
          <w:u w:val="single"/>
        </w:rPr>
        <w:t>二、上一年度的财务状况报告</w:t>
      </w:r>
    </w:p>
    <w:p w14:paraId="514B989F">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（成立不满一年无需提供）</w:t>
      </w:r>
    </w:p>
    <w:p w14:paraId="64EE57B4">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3D1A52F7">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21D9215A">
      <w:pPr>
        <w:pageBreakBefore w:val="0"/>
        <w:kinsoku/>
        <w:wordWrap w:val="0"/>
        <w:overflowPunct/>
        <w:topLinePunct w:val="0"/>
        <w:bidi w:val="0"/>
        <w:adjustRightInd w:val="0"/>
        <w:snapToGrid w:val="0"/>
        <w:spacing w:line="360" w:lineRule="auto"/>
        <w:rPr>
          <w:rFonts w:hint="eastAsia" w:ascii="宋体" w:hAnsi="宋体" w:eastAsia="宋体" w:cs="宋体"/>
          <w:iCs/>
          <w:sz w:val="36"/>
          <w:u w:val="single"/>
        </w:rPr>
      </w:pPr>
      <w:r>
        <w:rPr>
          <w:rFonts w:hint="eastAsia" w:ascii="宋体" w:hAnsi="宋体" w:eastAsia="宋体" w:cs="宋体"/>
          <w:iCs/>
          <w:sz w:val="36"/>
          <w:u w:val="single"/>
        </w:rPr>
        <w:br w:type="page"/>
      </w:r>
    </w:p>
    <w:p w14:paraId="6801D357">
      <w:pPr>
        <w:keepNext/>
        <w:keepLines/>
        <w:pageBreakBefore w:val="0"/>
        <w:kinsoku/>
        <w:wordWrap w:val="0"/>
        <w:overflowPunct/>
        <w:topLinePunct w:val="0"/>
        <w:bidi w:val="0"/>
        <w:adjustRightInd w:val="0"/>
        <w:snapToGrid w:val="0"/>
        <w:spacing w:line="360" w:lineRule="auto"/>
        <w:jc w:val="left"/>
        <w:outlineLvl w:val="1"/>
        <w:rPr>
          <w:rFonts w:hint="eastAsia" w:ascii="宋体" w:hAnsi="宋体" w:eastAsia="宋体" w:cs="宋体"/>
          <w:iCs/>
          <w:sz w:val="36"/>
          <w:u w:val="single"/>
        </w:rPr>
      </w:pPr>
      <w:r>
        <w:rPr>
          <w:rFonts w:hint="eastAsia" w:ascii="宋体" w:hAnsi="宋体" w:eastAsia="宋体" w:cs="宋体"/>
          <w:iCs/>
          <w:sz w:val="36"/>
          <w:u w:val="single"/>
        </w:rPr>
        <w:t>三、依法缴纳税收和社会保障资金的相关材料</w:t>
      </w:r>
    </w:p>
    <w:p w14:paraId="61975E5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（提供提交响应文件截止时间前一年内至少一个月依法缴纳税收及缴纳社会保障资金的证明材料，供应商依法享受缓缴、免缴税收、社会保障资金的提供证明材料）</w:t>
      </w:r>
    </w:p>
    <w:p w14:paraId="47B878EC">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747F0F44">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0D25B028">
      <w:pPr>
        <w:pageBreakBefore w:val="0"/>
        <w:kinsoku/>
        <w:wordWrap w:val="0"/>
        <w:overflowPunct/>
        <w:topLinePunct w:val="0"/>
        <w:bidi w:val="0"/>
        <w:adjustRightInd w:val="0"/>
        <w:snapToGrid w:val="0"/>
        <w:spacing w:line="360" w:lineRule="auto"/>
        <w:jc w:val="center"/>
        <w:rPr>
          <w:rFonts w:hint="eastAsia" w:ascii="宋体" w:hAnsi="宋体" w:eastAsia="宋体" w:cs="宋体"/>
          <w:bCs/>
          <w:iCs/>
          <w:sz w:val="36"/>
          <w:szCs w:val="28"/>
        </w:rPr>
      </w:pPr>
      <w:r>
        <w:rPr>
          <w:rFonts w:hint="eastAsia" w:ascii="宋体" w:hAnsi="宋体" w:eastAsia="宋体" w:cs="宋体"/>
          <w:bCs/>
          <w:iCs/>
          <w:sz w:val="36"/>
          <w:szCs w:val="28"/>
        </w:rPr>
        <w:t>财务状况报告及税收、社会保障资金缴纳情况承诺函</w:t>
      </w:r>
    </w:p>
    <w:p w14:paraId="3E3F0C25">
      <w:pPr>
        <w:pageBreakBefore w:val="0"/>
        <w:kinsoku/>
        <w:wordWrap w:val="0"/>
        <w:overflowPunct/>
        <w:topLinePunct w:val="0"/>
        <w:bidi w:val="0"/>
        <w:adjustRightInd w:val="0"/>
        <w:snapToGrid w:val="0"/>
        <w:spacing w:line="360" w:lineRule="auto"/>
        <w:jc w:val="left"/>
        <w:rPr>
          <w:rFonts w:hint="eastAsia" w:ascii="宋体" w:hAnsi="宋体" w:eastAsia="宋体" w:cs="宋体"/>
          <w:iCs/>
          <w:szCs w:val="24"/>
        </w:rPr>
      </w:pPr>
    </w:p>
    <w:p w14:paraId="0DC08147">
      <w:pPr>
        <w:pageBreakBefore w:val="0"/>
        <w:kinsoku/>
        <w:wordWrap w:val="0"/>
        <w:overflowPunct/>
        <w:topLinePunct w:val="0"/>
        <w:bidi w:val="0"/>
        <w:adjustRightInd w:val="0"/>
        <w:snapToGrid w:val="0"/>
        <w:spacing w:line="360" w:lineRule="auto"/>
        <w:jc w:val="left"/>
        <w:rPr>
          <w:rFonts w:hint="eastAsia" w:ascii="宋体" w:hAnsi="宋体" w:eastAsia="宋体" w:cs="宋体"/>
          <w:iCs/>
          <w:sz w:val="24"/>
          <w:szCs w:val="24"/>
        </w:rPr>
      </w:pPr>
      <w:r>
        <w:rPr>
          <w:rFonts w:hint="eastAsia" w:ascii="宋体" w:hAnsi="宋体" w:eastAsia="宋体" w:cs="宋体"/>
          <w:iCs/>
          <w:sz w:val="24"/>
          <w:szCs w:val="24"/>
        </w:rPr>
        <w:t>致：</w:t>
      </w:r>
      <w:r>
        <w:rPr>
          <w:rFonts w:hint="eastAsia" w:ascii="宋体" w:hAnsi="宋体" w:eastAsia="宋体" w:cs="宋体"/>
          <w:iCs/>
          <w:sz w:val="24"/>
          <w:szCs w:val="24"/>
          <w:u w:val="single"/>
        </w:rPr>
        <w:t>采购人名称</w:t>
      </w:r>
    </w:p>
    <w:p w14:paraId="6EE6BCB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我方</w:t>
      </w:r>
      <w:r>
        <w:rPr>
          <w:rFonts w:hint="eastAsia" w:ascii="宋体" w:hAnsi="宋体" w:eastAsia="宋体" w:cs="宋体"/>
          <w:iCs/>
          <w:sz w:val="24"/>
          <w:szCs w:val="24"/>
          <w:u w:val="single"/>
        </w:rPr>
        <w:t>供应商名称</w:t>
      </w:r>
      <w:r>
        <w:rPr>
          <w:rFonts w:hint="eastAsia" w:ascii="宋体" w:hAnsi="宋体" w:eastAsia="宋体" w:cs="宋体"/>
          <w:iCs/>
          <w:sz w:val="24"/>
          <w:szCs w:val="24"/>
        </w:rPr>
        <w:t>参加</w:t>
      </w:r>
      <w:r>
        <w:rPr>
          <w:rFonts w:hint="eastAsia" w:ascii="宋体" w:hAnsi="宋体" w:eastAsia="宋体" w:cs="宋体"/>
          <w:iCs/>
          <w:sz w:val="24"/>
          <w:szCs w:val="24"/>
          <w:u w:val="single"/>
        </w:rPr>
        <w:t>项目名称</w:t>
      </w:r>
      <w:r>
        <w:rPr>
          <w:rFonts w:hint="eastAsia" w:ascii="宋体" w:hAnsi="宋体" w:eastAsia="宋体" w:cs="宋体"/>
          <w:iCs/>
          <w:sz w:val="24"/>
          <w:szCs w:val="24"/>
        </w:rPr>
        <w:t>（项目编号：</w:t>
      </w:r>
      <w:r>
        <w:rPr>
          <w:rFonts w:hint="eastAsia" w:ascii="宋体" w:hAnsi="宋体" w:eastAsia="宋体" w:cs="宋体"/>
          <w:iCs/>
          <w:sz w:val="24"/>
          <w:szCs w:val="24"/>
          <w:u w:val="single"/>
        </w:rPr>
        <w:t>项目编号</w:t>
      </w:r>
      <w:r>
        <w:rPr>
          <w:rFonts w:hint="eastAsia" w:ascii="宋体" w:hAnsi="宋体" w:eastAsia="宋体" w:cs="宋体"/>
          <w:iCs/>
          <w:sz w:val="24"/>
          <w:szCs w:val="24"/>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58611DE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（1）具有良好的商业信誉和健全的财务会计制度（财务状况报告）；</w:t>
      </w:r>
    </w:p>
    <w:p w14:paraId="3778253D">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（2）有依法缴纳税收和社会保障资金的良好记录。</w:t>
      </w:r>
    </w:p>
    <w:p w14:paraId="27A8F287">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我方对上述承诺的真实性负责，如有虚假，将依法承担提供虚假材料谋取中标、成交责任，同时同意有关主管部门将相关失信信息记入公共信用信息系统并在相关政府门户网站公开。</w:t>
      </w:r>
    </w:p>
    <w:p w14:paraId="15929E24">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特此承诺</w:t>
      </w:r>
    </w:p>
    <w:p w14:paraId="7C58587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p>
    <w:p w14:paraId="1FEA222E">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供应商（公章）：</w:t>
      </w:r>
    </w:p>
    <w:p w14:paraId="28911119">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法定代表人（单位负责人）或委托代理人（签名或签章）：</w:t>
      </w:r>
    </w:p>
    <w:p w14:paraId="2EC2996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日期：    年     月     日</w:t>
      </w:r>
    </w:p>
    <w:p w14:paraId="6621D111">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20C699E0">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0B47161B">
      <w:pPr>
        <w:pageBreakBefore w:val="0"/>
        <w:kinsoku/>
        <w:wordWrap w:val="0"/>
        <w:overflowPunct/>
        <w:topLinePunct w:val="0"/>
        <w:bidi w:val="0"/>
        <w:adjustRightInd w:val="0"/>
        <w:snapToGrid w:val="0"/>
        <w:spacing w:line="360" w:lineRule="auto"/>
        <w:rPr>
          <w:rFonts w:hint="eastAsia" w:ascii="宋体" w:hAnsi="宋体" w:eastAsia="宋体" w:cs="宋体"/>
          <w:iCs/>
          <w:sz w:val="36"/>
          <w:u w:val="single"/>
        </w:rPr>
      </w:pPr>
      <w:r>
        <w:rPr>
          <w:rFonts w:hint="eastAsia" w:ascii="宋体" w:hAnsi="宋体" w:eastAsia="宋体" w:cs="宋体"/>
          <w:iCs/>
          <w:sz w:val="36"/>
          <w:u w:val="single"/>
        </w:rPr>
        <w:br w:type="page"/>
      </w:r>
    </w:p>
    <w:p w14:paraId="6A58150B">
      <w:pPr>
        <w:keepNext/>
        <w:keepLines/>
        <w:pageBreakBefore w:val="0"/>
        <w:kinsoku/>
        <w:wordWrap w:val="0"/>
        <w:overflowPunct/>
        <w:topLinePunct w:val="0"/>
        <w:bidi w:val="0"/>
        <w:adjustRightInd w:val="0"/>
        <w:snapToGrid w:val="0"/>
        <w:spacing w:line="360" w:lineRule="auto"/>
        <w:jc w:val="left"/>
        <w:outlineLvl w:val="1"/>
        <w:rPr>
          <w:rFonts w:hint="eastAsia" w:ascii="宋体" w:hAnsi="宋体" w:eastAsia="宋体" w:cs="宋体"/>
          <w:iCs/>
          <w:sz w:val="36"/>
          <w:u w:val="single"/>
        </w:rPr>
      </w:pPr>
      <w:r>
        <w:rPr>
          <w:rFonts w:hint="eastAsia" w:ascii="宋体" w:hAnsi="宋体" w:eastAsia="宋体" w:cs="宋体"/>
          <w:iCs/>
          <w:sz w:val="36"/>
          <w:u w:val="single"/>
        </w:rPr>
        <w:t>四、具备履行合同所必需的设备和专业技术能力的声明及证明材料</w:t>
      </w:r>
    </w:p>
    <w:p w14:paraId="23A38B31">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r>
        <w:rPr>
          <w:rFonts w:hint="eastAsia" w:ascii="宋体" w:hAnsi="宋体" w:eastAsia="宋体" w:cs="宋体"/>
          <w:bCs/>
          <w:iCs/>
          <w:sz w:val="36"/>
          <w:szCs w:val="28"/>
        </w:rPr>
        <w:t>具备履行合同所必需的设备和专业技术能力的声明及证明材料</w:t>
      </w:r>
    </w:p>
    <w:p w14:paraId="161A51B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我单位郑重声明：我单位具备履行本项采购合同所必需的设备和专业技术能力，为履行本项采购合同我公司具备如下主要设备和主要专业技术能力：</w:t>
      </w:r>
    </w:p>
    <w:p w14:paraId="506E81E7">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r>
        <w:rPr>
          <w:rFonts w:hint="eastAsia" w:ascii="宋体" w:hAnsi="宋体" w:eastAsia="宋体" w:cs="宋体"/>
          <w:iCs/>
          <w:sz w:val="24"/>
          <w:szCs w:val="24"/>
        </w:rPr>
        <w:t>主要设备有：</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。（须附证明材料）</w:t>
      </w:r>
    </w:p>
    <w:p w14:paraId="28F216E4">
      <w:pPr>
        <w:pageBreakBefore w:val="0"/>
        <w:kinsoku/>
        <w:wordWrap w:val="0"/>
        <w:overflowPunct/>
        <w:topLinePunct w:val="0"/>
        <w:bidi w:val="0"/>
        <w:adjustRightInd w:val="0"/>
        <w:snapToGrid w:val="0"/>
        <w:spacing w:line="360" w:lineRule="auto"/>
        <w:jc w:val="left"/>
        <w:rPr>
          <w:rFonts w:hint="eastAsia" w:ascii="宋体" w:hAnsi="宋体" w:eastAsia="宋体" w:cs="宋体"/>
          <w:iCs/>
          <w:sz w:val="24"/>
          <w:szCs w:val="24"/>
        </w:rPr>
      </w:pPr>
    </w:p>
    <w:p w14:paraId="2075444E">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r>
        <w:rPr>
          <w:rFonts w:hint="eastAsia" w:ascii="宋体" w:hAnsi="宋体" w:eastAsia="宋体" w:cs="宋体"/>
          <w:iCs/>
          <w:sz w:val="24"/>
          <w:szCs w:val="24"/>
        </w:rPr>
        <w:t>主要专业技术能力有：</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。（须附证明材料）</w:t>
      </w:r>
    </w:p>
    <w:p w14:paraId="6BB139CA">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p>
    <w:p w14:paraId="3D07013A">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p>
    <w:p w14:paraId="2987F314">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r>
        <w:rPr>
          <w:rFonts w:hint="eastAsia" w:ascii="宋体" w:hAnsi="宋体" w:eastAsia="宋体" w:cs="宋体"/>
          <w:iCs/>
          <w:sz w:val="24"/>
          <w:szCs w:val="24"/>
        </w:rPr>
        <w:t>供应商（盖章）：</w:t>
      </w:r>
    </w:p>
    <w:p w14:paraId="4260E96F">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r>
        <w:rPr>
          <w:rFonts w:hint="eastAsia" w:ascii="宋体" w:hAnsi="宋体" w:eastAsia="宋体" w:cs="宋体"/>
          <w:iCs/>
          <w:sz w:val="24"/>
          <w:szCs w:val="24"/>
        </w:rPr>
        <w:t>法定代表人（单位负责人）或委托代理人（签字或盖章）：</w:t>
      </w:r>
    </w:p>
    <w:p w14:paraId="37257FDA">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r>
        <w:rPr>
          <w:rFonts w:hint="eastAsia" w:ascii="宋体" w:hAnsi="宋体" w:eastAsia="宋体" w:cs="宋体"/>
          <w:iCs/>
          <w:sz w:val="24"/>
          <w:szCs w:val="24"/>
        </w:rPr>
        <w:t>日期：    年     月     日</w:t>
      </w:r>
    </w:p>
    <w:p w14:paraId="056C03BA">
      <w:pPr>
        <w:pageBreakBefore w:val="0"/>
        <w:kinsoku/>
        <w:wordWrap w:val="0"/>
        <w:overflowPunct/>
        <w:topLinePunct w:val="0"/>
        <w:bidi w:val="0"/>
        <w:adjustRightInd w:val="0"/>
        <w:snapToGrid w:val="0"/>
        <w:spacing w:line="360" w:lineRule="auto"/>
        <w:jc w:val="left"/>
        <w:rPr>
          <w:rFonts w:hint="eastAsia" w:ascii="宋体" w:hAnsi="宋体" w:eastAsia="宋体" w:cs="宋体"/>
          <w:iCs/>
          <w:szCs w:val="24"/>
        </w:rPr>
      </w:pPr>
    </w:p>
    <w:p w14:paraId="1466DED6">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r>
        <w:rPr>
          <w:rFonts w:hint="eastAsia" w:ascii="宋体" w:hAnsi="宋体" w:eastAsia="宋体" w:cs="宋体"/>
          <w:iCs/>
          <w:sz w:val="24"/>
          <w:szCs w:val="24"/>
        </w:rPr>
        <w:t>附主要设备和主要专业技术能力的证明材料如下：</w:t>
      </w:r>
    </w:p>
    <w:p w14:paraId="794886E3">
      <w:pPr>
        <w:pageBreakBefore w:val="0"/>
        <w:kinsoku/>
        <w:wordWrap w:val="0"/>
        <w:overflowPunct/>
        <w:topLinePunct w:val="0"/>
        <w:bidi w:val="0"/>
        <w:adjustRightInd w:val="0"/>
        <w:snapToGrid w:val="0"/>
        <w:spacing w:line="360" w:lineRule="auto"/>
        <w:jc w:val="left"/>
        <w:rPr>
          <w:rFonts w:hint="eastAsia" w:ascii="宋体" w:hAnsi="宋体" w:eastAsia="宋体" w:cs="宋体"/>
          <w:iCs/>
          <w:sz w:val="24"/>
          <w:szCs w:val="24"/>
        </w:rPr>
      </w:pPr>
    </w:p>
    <w:p w14:paraId="262688DA">
      <w:pPr>
        <w:pageBreakBefore w:val="0"/>
        <w:kinsoku/>
        <w:wordWrap w:val="0"/>
        <w:overflowPunct/>
        <w:topLinePunct w:val="0"/>
        <w:bidi w:val="0"/>
        <w:adjustRightInd w:val="0"/>
        <w:snapToGrid w:val="0"/>
        <w:spacing w:line="360" w:lineRule="auto"/>
        <w:jc w:val="left"/>
        <w:rPr>
          <w:rFonts w:hint="eastAsia" w:ascii="宋体" w:hAnsi="宋体" w:eastAsia="宋体" w:cs="宋体"/>
          <w:iCs/>
          <w:sz w:val="24"/>
          <w:szCs w:val="24"/>
        </w:rPr>
      </w:pPr>
    </w:p>
    <w:p w14:paraId="6361C040">
      <w:pPr>
        <w:pageBreakBefore w:val="0"/>
        <w:kinsoku/>
        <w:wordWrap w:val="0"/>
        <w:overflowPunct/>
        <w:topLinePunct w:val="0"/>
        <w:bidi w:val="0"/>
        <w:adjustRightInd w:val="0"/>
        <w:snapToGrid w:val="0"/>
        <w:spacing w:line="360" w:lineRule="auto"/>
        <w:rPr>
          <w:rFonts w:hint="eastAsia" w:ascii="宋体" w:hAnsi="宋体" w:eastAsia="宋体" w:cs="宋体"/>
          <w:iCs/>
          <w:sz w:val="36"/>
          <w:u w:val="single"/>
        </w:rPr>
      </w:pPr>
      <w:r>
        <w:rPr>
          <w:rFonts w:hint="eastAsia" w:ascii="宋体" w:hAnsi="宋体" w:eastAsia="宋体" w:cs="宋体"/>
          <w:iCs/>
          <w:sz w:val="36"/>
          <w:u w:val="single"/>
        </w:rPr>
        <w:br w:type="page"/>
      </w:r>
    </w:p>
    <w:p w14:paraId="2C276CB7">
      <w:pPr>
        <w:keepNext/>
        <w:keepLines/>
        <w:pageBreakBefore w:val="0"/>
        <w:kinsoku/>
        <w:wordWrap w:val="0"/>
        <w:overflowPunct/>
        <w:topLinePunct w:val="0"/>
        <w:bidi w:val="0"/>
        <w:adjustRightInd w:val="0"/>
        <w:snapToGrid w:val="0"/>
        <w:spacing w:line="360" w:lineRule="auto"/>
        <w:jc w:val="left"/>
        <w:outlineLvl w:val="1"/>
        <w:rPr>
          <w:rFonts w:hint="eastAsia" w:ascii="宋体" w:hAnsi="宋体" w:eastAsia="宋体" w:cs="宋体"/>
          <w:iCs/>
          <w:sz w:val="36"/>
          <w:u w:val="single"/>
        </w:rPr>
      </w:pPr>
      <w:r>
        <w:rPr>
          <w:rFonts w:hint="eastAsia" w:ascii="宋体" w:hAnsi="宋体" w:eastAsia="宋体" w:cs="宋体"/>
          <w:iCs/>
          <w:sz w:val="36"/>
          <w:u w:val="single"/>
        </w:rPr>
        <w:t>五、参加政府采购活动前3年内在经营活动中没有重大违法记录的书面声明</w:t>
      </w:r>
    </w:p>
    <w:p w14:paraId="013337C2">
      <w:pPr>
        <w:pageBreakBefore w:val="0"/>
        <w:kinsoku/>
        <w:wordWrap w:val="0"/>
        <w:overflowPunct/>
        <w:topLinePunct w:val="0"/>
        <w:bidi w:val="0"/>
        <w:adjustRightInd w:val="0"/>
        <w:snapToGrid w:val="0"/>
        <w:spacing w:line="360" w:lineRule="auto"/>
        <w:jc w:val="center"/>
        <w:rPr>
          <w:rFonts w:hint="eastAsia" w:ascii="宋体" w:hAnsi="宋体" w:eastAsia="宋体" w:cs="宋体"/>
          <w:b/>
          <w:bCs/>
          <w:iCs/>
          <w:sz w:val="44"/>
          <w:szCs w:val="44"/>
        </w:rPr>
      </w:pPr>
      <w:r>
        <w:rPr>
          <w:rFonts w:hint="eastAsia" w:ascii="宋体" w:hAnsi="宋体" w:eastAsia="宋体" w:cs="宋体"/>
          <w:bCs/>
          <w:iCs/>
          <w:sz w:val="36"/>
          <w:szCs w:val="28"/>
        </w:rPr>
        <w:t>声  明</w:t>
      </w:r>
    </w:p>
    <w:p w14:paraId="27884C87">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我单位郑重声明：参加本次政府采购活动前 3 年内，我单位在经营活动中没有因违法经营受到刑事处罚或者责令停产停业、吊销许可证或者执照、较大数额罚款等行政处罚。</w:t>
      </w:r>
    </w:p>
    <w:p w14:paraId="3979D35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p>
    <w:p w14:paraId="39FCF4D9">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供应商（盖章）：</w:t>
      </w:r>
    </w:p>
    <w:p w14:paraId="54E11529">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法定代表人（单位负责人）或委托代理人（签字或盖章）：</w:t>
      </w:r>
    </w:p>
    <w:p w14:paraId="090D3E2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日期：    年     月     日</w:t>
      </w:r>
    </w:p>
    <w:p w14:paraId="6C053292">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16827175">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19716A6E">
      <w:pPr>
        <w:keepNext/>
        <w:keepLines/>
        <w:pageBreakBefore w:val="0"/>
        <w:kinsoku/>
        <w:wordWrap w:val="0"/>
        <w:overflowPunct/>
        <w:topLinePunct w:val="0"/>
        <w:bidi w:val="0"/>
        <w:adjustRightInd w:val="0"/>
        <w:snapToGrid w:val="0"/>
        <w:spacing w:line="360" w:lineRule="auto"/>
        <w:jc w:val="left"/>
        <w:outlineLvl w:val="1"/>
        <w:rPr>
          <w:rFonts w:hint="eastAsia" w:ascii="宋体" w:hAnsi="宋体" w:eastAsia="宋体" w:cs="宋体"/>
          <w:iCs/>
          <w:sz w:val="36"/>
          <w:u w:val="single"/>
        </w:rPr>
      </w:pPr>
      <w:r>
        <w:rPr>
          <w:rFonts w:hint="eastAsia" w:ascii="宋体" w:hAnsi="宋体" w:eastAsia="宋体" w:cs="宋体"/>
          <w:iCs/>
          <w:sz w:val="36"/>
          <w:u w:val="single"/>
        </w:rPr>
        <w:t>六、法律、行政法规规定的其他条件的证明文件</w:t>
      </w:r>
    </w:p>
    <w:p w14:paraId="3D5CE39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（如有，请按要求提供）</w:t>
      </w:r>
    </w:p>
    <w:p w14:paraId="733B1A68">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0FC40E33">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31A4FD2D">
      <w:pPr>
        <w:keepNext/>
        <w:keepLines/>
        <w:pageBreakBefore w:val="0"/>
        <w:kinsoku/>
        <w:wordWrap w:val="0"/>
        <w:overflowPunct/>
        <w:topLinePunct w:val="0"/>
        <w:bidi w:val="0"/>
        <w:adjustRightInd w:val="0"/>
        <w:snapToGrid w:val="0"/>
        <w:spacing w:line="360" w:lineRule="auto"/>
        <w:jc w:val="left"/>
        <w:outlineLvl w:val="1"/>
        <w:rPr>
          <w:rFonts w:hint="eastAsia" w:ascii="宋体" w:hAnsi="宋体" w:eastAsia="宋体" w:cs="宋体"/>
          <w:iCs/>
          <w:sz w:val="36"/>
          <w:u w:val="single"/>
        </w:rPr>
      </w:pPr>
      <w:r>
        <w:rPr>
          <w:rFonts w:hint="eastAsia" w:ascii="宋体" w:hAnsi="宋体" w:eastAsia="宋体" w:cs="宋体"/>
          <w:iCs/>
          <w:sz w:val="36"/>
          <w:u w:val="single"/>
        </w:rPr>
        <w:t>七 、落实政府采购政策需满足的资格要求的证明文件</w:t>
      </w:r>
    </w:p>
    <w:p w14:paraId="446EE8C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（如有，请按要求提供）</w:t>
      </w:r>
    </w:p>
    <w:p w14:paraId="1126DF56">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2F0257A8">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31A2AD80">
      <w:pPr>
        <w:keepNext/>
        <w:keepLines/>
        <w:pageBreakBefore w:val="0"/>
        <w:kinsoku/>
        <w:wordWrap w:val="0"/>
        <w:overflowPunct/>
        <w:topLinePunct w:val="0"/>
        <w:bidi w:val="0"/>
        <w:adjustRightInd w:val="0"/>
        <w:snapToGrid w:val="0"/>
        <w:spacing w:line="360" w:lineRule="auto"/>
        <w:jc w:val="left"/>
        <w:outlineLvl w:val="1"/>
        <w:rPr>
          <w:rFonts w:hint="eastAsia" w:ascii="宋体" w:hAnsi="宋体" w:eastAsia="宋体" w:cs="宋体"/>
          <w:iCs/>
          <w:sz w:val="36"/>
          <w:u w:val="single"/>
        </w:rPr>
      </w:pPr>
      <w:r>
        <w:rPr>
          <w:rFonts w:hint="eastAsia" w:ascii="宋体" w:hAnsi="宋体" w:eastAsia="宋体" w:cs="宋体"/>
          <w:iCs/>
          <w:sz w:val="36"/>
          <w:u w:val="single"/>
        </w:rPr>
        <w:t>八、特定资格要求的证明文件</w:t>
      </w:r>
    </w:p>
    <w:p w14:paraId="39DEDCD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（如有，请按要求提供）</w:t>
      </w:r>
    </w:p>
    <w:p w14:paraId="21C99855">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339C18E7">
      <w:pPr>
        <w:pageBreakBefore w:val="0"/>
        <w:kinsoku/>
        <w:wordWrap w:val="0"/>
        <w:overflowPunct/>
        <w:topLinePunct w:val="0"/>
        <w:bidi w:val="0"/>
        <w:adjustRightInd w:val="0"/>
        <w:snapToGrid w:val="0"/>
        <w:spacing w:line="360" w:lineRule="auto"/>
        <w:rPr>
          <w:rFonts w:hint="eastAsia" w:ascii="宋体" w:hAnsi="宋体" w:eastAsia="宋体" w:cs="宋体"/>
          <w:iCs/>
          <w:sz w:val="36"/>
          <w:u w:val="single"/>
        </w:rPr>
      </w:pPr>
      <w:r>
        <w:rPr>
          <w:rFonts w:hint="eastAsia" w:ascii="宋体" w:hAnsi="宋体" w:eastAsia="宋体" w:cs="宋体"/>
          <w:iCs/>
          <w:sz w:val="36"/>
          <w:u w:val="single"/>
        </w:rPr>
        <w:br w:type="page"/>
      </w:r>
    </w:p>
    <w:p w14:paraId="36431F93">
      <w:pPr>
        <w:keepNext/>
        <w:keepLines/>
        <w:pageBreakBefore w:val="0"/>
        <w:kinsoku/>
        <w:wordWrap w:val="0"/>
        <w:overflowPunct/>
        <w:topLinePunct w:val="0"/>
        <w:bidi w:val="0"/>
        <w:adjustRightInd w:val="0"/>
        <w:snapToGrid w:val="0"/>
        <w:spacing w:line="360" w:lineRule="auto"/>
        <w:jc w:val="left"/>
        <w:outlineLvl w:val="1"/>
        <w:rPr>
          <w:rFonts w:hint="eastAsia" w:ascii="宋体" w:hAnsi="宋体" w:eastAsia="宋体" w:cs="宋体"/>
          <w:iCs/>
          <w:sz w:val="36"/>
          <w:u w:val="single"/>
        </w:rPr>
      </w:pPr>
      <w:r>
        <w:rPr>
          <w:rFonts w:hint="eastAsia" w:ascii="宋体" w:hAnsi="宋体" w:eastAsia="宋体" w:cs="宋体"/>
          <w:iCs/>
          <w:sz w:val="36"/>
          <w:u w:val="single"/>
        </w:rPr>
        <w:t>九、授权委托书与法定代表人（单位负责人）身份证明</w:t>
      </w:r>
    </w:p>
    <w:p w14:paraId="01C363FE">
      <w:pPr>
        <w:pageBreakBefore w:val="0"/>
        <w:kinsoku/>
        <w:wordWrap w:val="0"/>
        <w:overflowPunct/>
        <w:topLinePunct w:val="0"/>
        <w:bidi w:val="0"/>
        <w:adjustRightInd w:val="0"/>
        <w:snapToGrid w:val="0"/>
        <w:spacing w:line="360" w:lineRule="auto"/>
        <w:jc w:val="center"/>
        <w:rPr>
          <w:rFonts w:hint="eastAsia" w:ascii="宋体" w:hAnsi="宋体" w:eastAsia="宋体" w:cs="宋体"/>
          <w:b/>
          <w:iCs/>
          <w:sz w:val="36"/>
          <w:szCs w:val="36"/>
        </w:rPr>
      </w:pPr>
      <w:r>
        <w:rPr>
          <w:rFonts w:hint="eastAsia" w:ascii="宋体" w:hAnsi="宋体" w:eastAsia="宋体" w:cs="宋体"/>
          <w:b/>
          <w:iCs/>
          <w:sz w:val="36"/>
          <w:szCs w:val="36"/>
        </w:rPr>
        <w:t>授权委托书</w:t>
      </w:r>
    </w:p>
    <w:p w14:paraId="3C10BE1D">
      <w:pPr>
        <w:pageBreakBefore w:val="0"/>
        <w:kinsoku/>
        <w:wordWrap w:val="0"/>
        <w:overflowPunct/>
        <w:topLinePunct w:val="0"/>
        <w:bidi w:val="0"/>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致：</w:t>
      </w:r>
      <w:r>
        <w:rPr>
          <w:rFonts w:hint="eastAsia" w:ascii="宋体" w:hAnsi="宋体" w:eastAsia="宋体" w:cs="宋体"/>
          <w:iCs/>
          <w:sz w:val="24"/>
          <w:szCs w:val="24"/>
          <w:u w:val="single"/>
        </w:rPr>
        <w:t>采购单位</w:t>
      </w:r>
    </w:p>
    <w:p w14:paraId="3AC5E964">
      <w:pPr>
        <w:pageBreakBefore w:val="0"/>
        <w:kinsoku/>
        <w:wordWrap w:val="0"/>
        <w:overflowPunct/>
        <w:topLinePunct w:val="0"/>
        <w:bidi w:val="0"/>
        <w:adjustRightInd w:val="0"/>
        <w:snapToGrid w:val="0"/>
        <w:spacing w:line="360" w:lineRule="auto"/>
        <w:ind w:firstLine="420"/>
        <w:jc w:val="left"/>
        <w:rPr>
          <w:rFonts w:hint="eastAsia" w:ascii="宋体" w:hAnsi="宋体" w:eastAsia="宋体" w:cs="宋体"/>
          <w:iCs/>
          <w:sz w:val="24"/>
          <w:szCs w:val="24"/>
        </w:rPr>
      </w:pPr>
      <w:r>
        <w:rPr>
          <w:rFonts w:hint="eastAsia" w:ascii="宋体" w:hAnsi="宋体" w:eastAsia="宋体" w:cs="宋体"/>
          <w:iCs/>
          <w:sz w:val="24"/>
          <w:szCs w:val="24"/>
        </w:rPr>
        <w:t>本人</w:t>
      </w:r>
      <w:r>
        <w:rPr>
          <w:rFonts w:hint="eastAsia" w:ascii="宋体" w:hAnsi="宋体" w:eastAsia="宋体" w:cs="宋体"/>
          <w:iCs/>
          <w:sz w:val="24"/>
          <w:szCs w:val="24"/>
          <w:u w:val="single"/>
        </w:rPr>
        <w:t xml:space="preserve"> （姓名） </w:t>
      </w:r>
      <w:r>
        <w:rPr>
          <w:rFonts w:hint="eastAsia" w:ascii="宋体" w:hAnsi="宋体" w:eastAsia="宋体" w:cs="宋体"/>
          <w:iCs/>
          <w:sz w:val="24"/>
          <w:szCs w:val="24"/>
        </w:rPr>
        <w:t>系</w:t>
      </w:r>
      <w:r>
        <w:rPr>
          <w:rFonts w:hint="eastAsia" w:ascii="宋体" w:hAnsi="宋体" w:eastAsia="宋体" w:cs="宋体"/>
          <w:iCs/>
          <w:sz w:val="24"/>
          <w:szCs w:val="24"/>
          <w:u w:val="single"/>
        </w:rPr>
        <w:t xml:space="preserve"> （供应商名称） </w:t>
      </w:r>
      <w:r>
        <w:rPr>
          <w:rFonts w:hint="eastAsia" w:ascii="宋体" w:hAnsi="宋体" w:eastAsia="宋体" w:cs="宋体"/>
          <w:iCs/>
          <w:sz w:val="24"/>
          <w:szCs w:val="24"/>
        </w:rPr>
        <w:t>的法定代表人（单位负责人），现委托</w:t>
      </w:r>
      <w:r>
        <w:rPr>
          <w:rFonts w:hint="eastAsia" w:ascii="宋体" w:hAnsi="宋体" w:eastAsia="宋体" w:cs="宋体"/>
          <w:iCs/>
          <w:sz w:val="24"/>
          <w:szCs w:val="24"/>
          <w:u w:val="single"/>
        </w:rPr>
        <w:t xml:space="preserve"> （姓名） </w:t>
      </w:r>
      <w:r>
        <w:rPr>
          <w:rFonts w:hint="eastAsia" w:ascii="宋体" w:hAnsi="宋体" w:eastAsia="宋体" w:cs="宋体"/>
          <w:iCs/>
          <w:sz w:val="24"/>
          <w:szCs w:val="24"/>
        </w:rPr>
        <w:t>为我方代理人。代理人根据授权，以我方名义签署、澄清确认、提交、撤回、修改</w:t>
      </w:r>
      <w:r>
        <w:rPr>
          <w:rFonts w:hint="eastAsia" w:ascii="宋体" w:hAnsi="宋体" w:eastAsia="宋体" w:cs="宋体"/>
          <w:iCs/>
          <w:sz w:val="24"/>
          <w:szCs w:val="24"/>
          <w:u w:val="single"/>
        </w:rPr>
        <w:t xml:space="preserve"> （项目名称） </w:t>
      </w:r>
      <w:r>
        <w:rPr>
          <w:rFonts w:hint="eastAsia" w:ascii="宋体" w:hAnsi="宋体" w:eastAsia="宋体" w:cs="宋体"/>
          <w:iCs/>
          <w:sz w:val="24"/>
          <w:szCs w:val="24"/>
        </w:rPr>
        <w:t>项目（项目编号：</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）响应文件和处理有关事宜，其法律后果由我方承担。</w:t>
      </w:r>
    </w:p>
    <w:p w14:paraId="59C15DCC">
      <w:pPr>
        <w:pageBreakBefore w:val="0"/>
        <w:kinsoku/>
        <w:wordWrap w:val="0"/>
        <w:overflowPunct/>
        <w:topLinePunct w:val="0"/>
        <w:bidi w:val="0"/>
        <w:adjustRightInd w:val="0"/>
        <w:snapToGrid w:val="0"/>
        <w:spacing w:line="360" w:lineRule="auto"/>
        <w:ind w:firstLine="420"/>
        <w:jc w:val="left"/>
        <w:rPr>
          <w:rFonts w:hint="eastAsia" w:ascii="宋体" w:hAnsi="宋体" w:eastAsia="宋体" w:cs="宋体"/>
          <w:iCs/>
          <w:sz w:val="24"/>
          <w:szCs w:val="24"/>
        </w:rPr>
      </w:pPr>
      <w:r>
        <w:rPr>
          <w:rFonts w:hint="eastAsia" w:ascii="宋体" w:hAnsi="宋体" w:eastAsia="宋体" w:cs="宋体"/>
          <w:iCs/>
          <w:sz w:val="24"/>
          <w:szCs w:val="24"/>
        </w:rPr>
        <w:t>委托期限：自本授权委托书签署之日起至响应有效期届满之日止。</w:t>
      </w:r>
    </w:p>
    <w:p w14:paraId="4058C22E">
      <w:pPr>
        <w:pageBreakBefore w:val="0"/>
        <w:kinsoku/>
        <w:wordWrap w:val="0"/>
        <w:overflowPunct/>
        <w:topLinePunct w:val="0"/>
        <w:bidi w:val="0"/>
        <w:adjustRightInd w:val="0"/>
        <w:snapToGrid w:val="0"/>
        <w:spacing w:line="360" w:lineRule="auto"/>
        <w:ind w:firstLine="420"/>
        <w:jc w:val="left"/>
        <w:rPr>
          <w:rFonts w:hint="eastAsia" w:ascii="宋体" w:hAnsi="宋体" w:eastAsia="宋体" w:cs="宋体"/>
          <w:iCs/>
          <w:sz w:val="24"/>
          <w:szCs w:val="24"/>
        </w:rPr>
      </w:pPr>
      <w:r>
        <w:rPr>
          <w:rFonts w:hint="eastAsia" w:ascii="宋体" w:hAnsi="宋体" w:eastAsia="宋体" w:cs="宋体"/>
          <w:iCs/>
          <w:sz w:val="24"/>
          <w:szCs w:val="24"/>
        </w:rPr>
        <w:t>代理人无转委托权。</w:t>
      </w:r>
      <w:r>
        <w:rPr>
          <w:rFonts w:hint="eastAsia" w:ascii="宋体" w:hAnsi="宋体" w:eastAsia="宋体" w:cs="宋体"/>
          <w:iCs/>
          <w:sz w:val="24"/>
          <w:szCs w:val="24"/>
        </w:rPr>
        <w:br w:type="textWrapping"/>
      </w:r>
    </w:p>
    <w:p w14:paraId="615A1074">
      <w:pPr>
        <w:pageBreakBefore w:val="0"/>
        <w:kinsoku/>
        <w:wordWrap w:val="0"/>
        <w:overflowPunct/>
        <w:topLinePunct w:val="0"/>
        <w:bidi w:val="0"/>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供应商名称（加盖公章）：</w:t>
      </w:r>
      <w:r>
        <w:rPr>
          <w:rFonts w:hint="eastAsia" w:ascii="宋体" w:hAnsi="宋体" w:eastAsia="宋体" w:cs="宋体"/>
          <w:iCs/>
          <w:sz w:val="24"/>
          <w:szCs w:val="24"/>
          <w:u w:val="single"/>
        </w:rPr>
        <w:t xml:space="preserve">             </w:t>
      </w:r>
    </w:p>
    <w:p w14:paraId="39C65503">
      <w:pPr>
        <w:pageBreakBefore w:val="0"/>
        <w:kinsoku/>
        <w:wordWrap w:val="0"/>
        <w:overflowPunct/>
        <w:topLinePunct w:val="0"/>
        <w:bidi w:val="0"/>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法定代表人（单位负责人）（签字、签章或印鉴）：</w:t>
      </w:r>
      <w:r>
        <w:rPr>
          <w:rFonts w:hint="eastAsia" w:ascii="宋体" w:hAnsi="宋体" w:eastAsia="宋体" w:cs="宋体"/>
          <w:iCs/>
          <w:sz w:val="24"/>
          <w:szCs w:val="24"/>
          <w:u w:val="single"/>
        </w:rPr>
        <w:t xml:space="preserve">             </w:t>
      </w:r>
    </w:p>
    <w:p w14:paraId="3EC659C3">
      <w:pPr>
        <w:pageBreakBefore w:val="0"/>
        <w:kinsoku/>
        <w:wordWrap w:val="0"/>
        <w:overflowPunct/>
        <w:topLinePunct w:val="0"/>
        <w:bidi w:val="0"/>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委托代理人（签字/签章）：</w:t>
      </w:r>
      <w:r>
        <w:rPr>
          <w:rFonts w:hint="eastAsia" w:ascii="宋体" w:hAnsi="宋体" w:eastAsia="宋体" w:cs="宋体"/>
          <w:iCs/>
          <w:sz w:val="24"/>
          <w:szCs w:val="24"/>
          <w:u w:val="single"/>
        </w:rPr>
        <w:t xml:space="preserve">             </w:t>
      </w:r>
    </w:p>
    <w:p w14:paraId="2F9908B7">
      <w:pPr>
        <w:pageBreakBefore w:val="0"/>
        <w:kinsoku/>
        <w:wordWrap w:val="0"/>
        <w:overflowPunct/>
        <w:topLinePunct w:val="0"/>
        <w:bidi w:val="0"/>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日期：    年     月     日</w:t>
      </w:r>
    </w:p>
    <w:p w14:paraId="5E7C67C4">
      <w:pPr>
        <w:pageBreakBefore w:val="0"/>
        <w:tabs>
          <w:tab w:val="left" w:pos="5580"/>
        </w:tabs>
        <w:kinsoku/>
        <w:wordWrap w:val="0"/>
        <w:overflowPunct/>
        <w:topLinePunct w:val="0"/>
        <w:bidi w:val="0"/>
        <w:adjustRightInd w:val="0"/>
        <w:snapToGrid w:val="0"/>
        <w:spacing w:line="360" w:lineRule="auto"/>
        <w:ind w:firstLine="480"/>
        <w:rPr>
          <w:rFonts w:hint="eastAsia" w:ascii="宋体" w:hAnsi="宋体" w:eastAsia="宋体" w:cs="宋体"/>
          <w:iCs/>
          <w:sz w:val="24"/>
          <w:szCs w:val="20"/>
        </w:rPr>
      </w:pPr>
    </w:p>
    <w:p w14:paraId="759C5183">
      <w:pPr>
        <w:pageBreakBefore w:val="0"/>
        <w:tabs>
          <w:tab w:val="left" w:pos="5580"/>
        </w:tabs>
        <w:kinsoku/>
        <w:wordWrap w:val="0"/>
        <w:overflowPunct/>
        <w:topLinePunct w:val="0"/>
        <w:bidi w:val="0"/>
        <w:adjustRightInd w:val="0"/>
        <w:snapToGrid w:val="0"/>
        <w:spacing w:line="360" w:lineRule="auto"/>
        <w:jc w:val="left"/>
        <w:rPr>
          <w:rFonts w:hint="eastAsia" w:ascii="宋体" w:hAnsi="宋体" w:eastAsia="宋体" w:cs="宋体"/>
          <w:iCs/>
          <w:sz w:val="24"/>
          <w:szCs w:val="20"/>
        </w:rPr>
      </w:pPr>
      <w:r>
        <w:rPr>
          <w:rFonts w:hint="eastAsia" w:ascii="宋体" w:hAnsi="宋体" w:eastAsia="宋体" w:cs="宋体"/>
          <w:iCs/>
          <w:sz w:val="24"/>
          <w:szCs w:val="20"/>
        </w:rPr>
        <w:t>法定代表人（单位负责人）有效期内的身份证</w:t>
      </w:r>
      <w:r>
        <w:rPr>
          <w:rFonts w:hint="eastAsia" w:ascii="宋体" w:hAnsi="宋体" w:eastAsia="宋体" w:cs="宋体"/>
          <w:b/>
          <w:iCs/>
          <w:sz w:val="24"/>
          <w:szCs w:val="20"/>
        </w:rPr>
        <w:t>正反面</w:t>
      </w:r>
      <w:r>
        <w:rPr>
          <w:rFonts w:hint="eastAsia" w:ascii="宋体" w:hAnsi="宋体" w:eastAsia="宋体" w:cs="宋体"/>
          <w:iCs/>
          <w:sz w:val="24"/>
          <w:szCs w:val="20"/>
        </w:rPr>
        <w:t>电子件：</w:t>
      </w:r>
    </w:p>
    <w:tbl>
      <w:tblPr>
        <w:tblStyle w:val="3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FA61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76C8B5F">
            <w:pPr>
              <w:pageBreakBefore w:val="0"/>
              <w:tabs>
                <w:tab w:val="left" w:pos="5580"/>
              </w:tabs>
              <w:kinsoku/>
              <w:wordWrap w:val="0"/>
              <w:overflowPunct/>
              <w:topLinePunct w:val="0"/>
              <w:bidi w:val="0"/>
              <w:adjustRightInd w:val="0"/>
              <w:snapToGrid w:val="0"/>
              <w:spacing w:line="360" w:lineRule="auto"/>
              <w:jc w:val="left"/>
              <w:rPr>
                <w:rFonts w:hint="eastAsia" w:ascii="宋体" w:hAnsi="宋体" w:eastAsia="宋体" w:cs="宋体"/>
                <w:iCs/>
                <w:sz w:val="24"/>
                <w:szCs w:val="20"/>
              </w:rPr>
            </w:pPr>
          </w:p>
          <w:p w14:paraId="446C6789">
            <w:pPr>
              <w:pageBreakBefore w:val="0"/>
              <w:tabs>
                <w:tab w:val="left" w:pos="5580"/>
              </w:tabs>
              <w:kinsoku/>
              <w:wordWrap w:val="0"/>
              <w:overflowPunct/>
              <w:topLinePunct w:val="0"/>
              <w:bidi w:val="0"/>
              <w:adjustRightInd w:val="0"/>
              <w:snapToGrid w:val="0"/>
              <w:spacing w:line="360" w:lineRule="auto"/>
              <w:jc w:val="left"/>
              <w:rPr>
                <w:rFonts w:hint="eastAsia" w:ascii="宋体" w:hAnsi="宋体" w:eastAsia="宋体" w:cs="宋体"/>
                <w:iCs/>
                <w:sz w:val="24"/>
                <w:szCs w:val="20"/>
              </w:rPr>
            </w:pPr>
          </w:p>
          <w:p w14:paraId="232F4E02">
            <w:pPr>
              <w:pageBreakBefore w:val="0"/>
              <w:tabs>
                <w:tab w:val="left" w:pos="5580"/>
              </w:tabs>
              <w:kinsoku/>
              <w:wordWrap w:val="0"/>
              <w:overflowPunct/>
              <w:topLinePunct w:val="0"/>
              <w:bidi w:val="0"/>
              <w:adjustRightInd w:val="0"/>
              <w:snapToGrid w:val="0"/>
              <w:spacing w:line="360" w:lineRule="auto"/>
              <w:jc w:val="left"/>
              <w:rPr>
                <w:rFonts w:hint="eastAsia" w:ascii="宋体" w:hAnsi="宋体" w:eastAsia="宋体" w:cs="宋体"/>
                <w:iCs/>
                <w:sz w:val="24"/>
                <w:szCs w:val="20"/>
              </w:rPr>
            </w:pPr>
          </w:p>
        </w:tc>
        <w:tc>
          <w:tcPr>
            <w:tcW w:w="4536" w:type="dxa"/>
          </w:tcPr>
          <w:p w14:paraId="486A2332">
            <w:pPr>
              <w:pageBreakBefore w:val="0"/>
              <w:tabs>
                <w:tab w:val="left" w:pos="5580"/>
              </w:tabs>
              <w:kinsoku/>
              <w:wordWrap w:val="0"/>
              <w:overflowPunct/>
              <w:topLinePunct w:val="0"/>
              <w:bidi w:val="0"/>
              <w:adjustRightInd w:val="0"/>
              <w:snapToGrid w:val="0"/>
              <w:spacing w:line="360" w:lineRule="auto"/>
              <w:jc w:val="left"/>
              <w:rPr>
                <w:rFonts w:hint="eastAsia" w:ascii="宋体" w:hAnsi="宋体" w:eastAsia="宋体" w:cs="宋体"/>
                <w:iCs/>
                <w:sz w:val="24"/>
                <w:szCs w:val="20"/>
              </w:rPr>
            </w:pPr>
          </w:p>
          <w:p w14:paraId="5F822002">
            <w:pPr>
              <w:pageBreakBefore w:val="0"/>
              <w:tabs>
                <w:tab w:val="left" w:pos="5580"/>
              </w:tabs>
              <w:kinsoku/>
              <w:wordWrap w:val="0"/>
              <w:overflowPunct/>
              <w:topLinePunct w:val="0"/>
              <w:bidi w:val="0"/>
              <w:adjustRightInd w:val="0"/>
              <w:snapToGrid w:val="0"/>
              <w:spacing w:line="360" w:lineRule="auto"/>
              <w:jc w:val="left"/>
              <w:rPr>
                <w:rFonts w:hint="eastAsia" w:ascii="宋体" w:hAnsi="宋体" w:eastAsia="宋体" w:cs="宋体"/>
                <w:iCs/>
                <w:sz w:val="24"/>
                <w:szCs w:val="20"/>
              </w:rPr>
            </w:pPr>
          </w:p>
          <w:p w14:paraId="142EE84A">
            <w:pPr>
              <w:pageBreakBefore w:val="0"/>
              <w:tabs>
                <w:tab w:val="left" w:pos="5580"/>
              </w:tabs>
              <w:kinsoku/>
              <w:wordWrap w:val="0"/>
              <w:overflowPunct/>
              <w:topLinePunct w:val="0"/>
              <w:bidi w:val="0"/>
              <w:adjustRightInd w:val="0"/>
              <w:snapToGrid w:val="0"/>
              <w:spacing w:line="360" w:lineRule="auto"/>
              <w:jc w:val="left"/>
              <w:rPr>
                <w:rFonts w:hint="eastAsia" w:ascii="宋体" w:hAnsi="宋体" w:eastAsia="宋体" w:cs="宋体"/>
                <w:iCs/>
                <w:sz w:val="24"/>
                <w:szCs w:val="20"/>
              </w:rPr>
            </w:pPr>
          </w:p>
        </w:tc>
      </w:tr>
    </w:tbl>
    <w:p w14:paraId="782181B3">
      <w:pPr>
        <w:pageBreakBefore w:val="0"/>
        <w:tabs>
          <w:tab w:val="left" w:pos="5580"/>
        </w:tabs>
        <w:kinsoku/>
        <w:wordWrap w:val="0"/>
        <w:overflowPunct/>
        <w:topLinePunct w:val="0"/>
        <w:bidi w:val="0"/>
        <w:adjustRightInd w:val="0"/>
        <w:snapToGrid w:val="0"/>
        <w:spacing w:line="360" w:lineRule="auto"/>
        <w:jc w:val="left"/>
        <w:rPr>
          <w:rFonts w:hint="eastAsia" w:ascii="宋体" w:hAnsi="宋体" w:eastAsia="宋体" w:cs="宋体"/>
          <w:iCs/>
          <w:sz w:val="24"/>
          <w:szCs w:val="20"/>
        </w:rPr>
      </w:pPr>
      <w:r>
        <w:rPr>
          <w:rFonts w:hint="eastAsia" w:ascii="宋体" w:hAnsi="宋体" w:eastAsia="宋体" w:cs="宋体"/>
          <w:iCs/>
          <w:sz w:val="24"/>
          <w:szCs w:val="20"/>
        </w:rPr>
        <w:t>委托代理人有效期内的身份证</w:t>
      </w:r>
      <w:r>
        <w:rPr>
          <w:rFonts w:hint="eastAsia" w:ascii="宋体" w:hAnsi="宋体" w:eastAsia="宋体" w:cs="宋体"/>
          <w:b/>
          <w:iCs/>
          <w:sz w:val="24"/>
          <w:szCs w:val="20"/>
        </w:rPr>
        <w:t>正反面</w:t>
      </w:r>
      <w:r>
        <w:rPr>
          <w:rFonts w:hint="eastAsia" w:ascii="宋体" w:hAnsi="宋体" w:eastAsia="宋体" w:cs="宋体"/>
          <w:iCs/>
          <w:sz w:val="24"/>
          <w:szCs w:val="20"/>
        </w:rPr>
        <w:t>电子件：</w:t>
      </w:r>
    </w:p>
    <w:tbl>
      <w:tblPr>
        <w:tblStyle w:val="3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486A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25FACF0">
            <w:pPr>
              <w:pageBreakBefore w:val="0"/>
              <w:tabs>
                <w:tab w:val="left" w:pos="5580"/>
              </w:tabs>
              <w:kinsoku/>
              <w:wordWrap w:val="0"/>
              <w:overflowPunct/>
              <w:topLinePunct w:val="0"/>
              <w:bidi w:val="0"/>
              <w:adjustRightInd w:val="0"/>
              <w:snapToGrid w:val="0"/>
              <w:spacing w:line="360" w:lineRule="auto"/>
              <w:jc w:val="left"/>
              <w:rPr>
                <w:rFonts w:hint="eastAsia" w:ascii="宋体" w:hAnsi="宋体" w:eastAsia="宋体" w:cs="宋体"/>
                <w:iCs/>
                <w:sz w:val="24"/>
                <w:szCs w:val="20"/>
              </w:rPr>
            </w:pPr>
          </w:p>
          <w:p w14:paraId="79430909">
            <w:pPr>
              <w:pageBreakBefore w:val="0"/>
              <w:tabs>
                <w:tab w:val="left" w:pos="5580"/>
              </w:tabs>
              <w:kinsoku/>
              <w:wordWrap w:val="0"/>
              <w:overflowPunct/>
              <w:topLinePunct w:val="0"/>
              <w:bidi w:val="0"/>
              <w:adjustRightInd w:val="0"/>
              <w:snapToGrid w:val="0"/>
              <w:spacing w:line="360" w:lineRule="auto"/>
              <w:jc w:val="left"/>
              <w:rPr>
                <w:rFonts w:hint="eastAsia" w:ascii="宋体" w:hAnsi="宋体" w:eastAsia="宋体" w:cs="宋体"/>
                <w:iCs/>
                <w:sz w:val="24"/>
                <w:szCs w:val="20"/>
              </w:rPr>
            </w:pPr>
          </w:p>
          <w:p w14:paraId="5B09FF66">
            <w:pPr>
              <w:pageBreakBefore w:val="0"/>
              <w:tabs>
                <w:tab w:val="left" w:pos="5580"/>
              </w:tabs>
              <w:kinsoku/>
              <w:wordWrap w:val="0"/>
              <w:overflowPunct/>
              <w:topLinePunct w:val="0"/>
              <w:bidi w:val="0"/>
              <w:adjustRightInd w:val="0"/>
              <w:snapToGrid w:val="0"/>
              <w:spacing w:line="360" w:lineRule="auto"/>
              <w:jc w:val="left"/>
              <w:rPr>
                <w:rFonts w:hint="eastAsia" w:ascii="宋体" w:hAnsi="宋体" w:eastAsia="宋体" w:cs="宋体"/>
                <w:iCs/>
                <w:sz w:val="24"/>
                <w:szCs w:val="20"/>
              </w:rPr>
            </w:pPr>
          </w:p>
        </w:tc>
        <w:tc>
          <w:tcPr>
            <w:tcW w:w="4536" w:type="dxa"/>
          </w:tcPr>
          <w:p w14:paraId="0E0D180A">
            <w:pPr>
              <w:pageBreakBefore w:val="0"/>
              <w:tabs>
                <w:tab w:val="left" w:pos="5580"/>
              </w:tabs>
              <w:kinsoku/>
              <w:wordWrap w:val="0"/>
              <w:overflowPunct/>
              <w:topLinePunct w:val="0"/>
              <w:bidi w:val="0"/>
              <w:adjustRightInd w:val="0"/>
              <w:snapToGrid w:val="0"/>
              <w:spacing w:line="360" w:lineRule="auto"/>
              <w:jc w:val="left"/>
              <w:rPr>
                <w:rFonts w:hint="eastAsia" w:ascii="宋体" w:hAnsi="宋体" w:eastAsia="宋体" w:cs="宋体"/>
                <w:iCs/>
                <w:sz w:val="24"/>
                <w:szCs w:val="20"/>
              </w:rPr>
            </w:pPr>
          </w:p>
          <w:p w14:paraId="3BA71B59">
            <w:pPr>
              <w:pageBreakBefore w:val="0"/>
              <w:tabs>
                <w:tab w:val="left" w:pos="5580"/>
              </w:tabs>
              <w:kinsoku/>
              <w:wordWrap w:val="0"/>
              <w:overflowPunct/>
              <w:topLinePunct w:val="0"/>
              <w:bidi w:val="0"/>
              <w:adjustRightInd w:val="0"/>
              <w:snapToGrid w:val="0"/>
              <w:spacing w:line="360" w:lineRule="auto"/>
              <w:jc w:val="left"/>
              <w:rPr>
                <w:rFonts w:hint="eastAsia" w:ascii="宋体" w:hAnsi="宋体" w:eastAsia="宋体" w:cs="宋体"/>
                <w:iCs/>
                <w:sz w:val="24"/>
                <w:szCs w:val="20"/>
              </w:rPr>
            </w:pPr>
          </w:p>
          <w:p w14:paraId="1C769BFF">
            <w:pPr>
              <w:pageBreakBefore w:val="0"/>
              <w:tabs>
                <w:tab w:val="left" w:pos="5580"/>
              </w:tabs>
              <w:kinsoku/>
              <w:wordWrap w:val="0"/>
              <w:overflowPunct/>
              <w:topLinePunct w:val="0"/>
              <w:bidi w:val="0"/>
              <w:adjustRightInd w:val="0"/>
              <w:snapToGrid w:val="0"/>
              <w:spacing w:line="360" w:lineRule="auto"/>
              <w:jc w:val="left"/>
              <w:rPr>
                <w:rFonts w:hint="eastAsia" w:ascii="宋体" w:hAnsi="宋体" w:eastAsia="宋体" w:cs="宋体"/>
                <w:iCs/>
                <w:sz w:val="24"/>
                <w:szCs w:val="20"/>
              </w:rPr>
            </w:pPr>
          </w:p>
        </w:tc>
      </w:tr>
    </w:tbl>
    <w:p w14:paraId="256DA8CF">
      <w:pPr>
        <w:pageBreakBefore w:val="0"/>
        <w:tabs>
          <w:tab w:val="left" w:pos="5580"/>
        </w:tabs>
        <w:kinsoku/>
        <w:wordWrap w:val="0"/>
        <w:overflowPunct/>
        <w:topLinePunct w:val="0"/>
        <w:bidi w:val="0"/>
        <w:adjustRightInd w:val="0"/>
        <w:snapToGrid w:val="0"/>
        <w:spacing w:line="360" w:lineRule="auto"/>
        <w:jc w:val="left"/>
        <w:rPr>
          <w:rFonts w:hint="eastAsia" w:ascii="宋体" w:hAnsi="宋体" w:eastAsia="宋体" w:cs="宋体"/>
          <w:iCs/>
          <w:sz w:val="24"/>
          <w:szCs w:val="24"/>
        </w:rPr>
      </w:pPr>
      <w:r>
        <w:rPr>
          <w:rFonts w:hint="eastAsia" w:ascii="宋体" w:hAnsi="宋体" w:eastAsia="宋体" w:cs="宋体"/>
          <w:iCs/>
          <w:sz w:val="24"/>
          <w:szCs w:val="24"/>
        </w:rPr>
        <w:t>填报说明：</w:t>
      </w:r>
    </w:p>
    <w:p w14:paraId="392654A7">
      <w:pPr>
        <w:pageBreakBefore w:val="0"/>
        <w:tabs>
          <w:tab w:val="left" w:pos="5580"/>
        </w:tabs>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1.若供应商为事业单位或其他组织或分支机构（仅当磋商文件注明允许分支机构参与磋商的），则法定代表人（单位负责人）处的签署人可为单位负责人。</w:t>
      </w:r>
    </w:p>
    <w:p w14:paraId="33A5FC9B">
      <w:pPr>
        <w:pageBreakBefore w:val="0"/>
        <w:tabs>
          <w:tab w:val="left" w:pos="5580"/>
        </w:tabs>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2.若响应文件中全部签字之处均为法定代表人（单位负责人）本人签署，则可不提供本《授权委托书》，但须提供《法定代表人（单位负责人）身份证明》。</w:t>
      </w:r>
    </w:p>
    <w:p w14:paraId="4466420A">
      <w:pPr>
        <w:pageBreakBefore w:val="0"/>
        <w:tabs>
          <w:tab w:val="left" w:pos="5580"/>
        </w:tabs>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3.供应商为自然人的情形，可不提供本《授权委托书》。</w:t>
      </w:r>
    </w:p>
    <w:p w14:paraId="59BE280C">
      <w:pPr>
        <w:pageBreakBefore w:val="0"/>
        <w:kinsoku/>
        <w:wordWrap w:val="0"/>
        <w:overflowPunct/>
        <w:topLinePunct w:val="0"/>
        <w:bidi w:val="0"/>
        <w:adjustRightInd w:val="0"/>
        <w:snapToGrid w:val="0"/>
        <w:spacing w:line="360" w:lineRule="auto"/>
        <w:rPr>
          <w:rFonts w:hint="eastAsia" w:ascii="宋体" w:hAnsi="宋体" w:eastAsia="宋体" w:cs="宋体"/>
          <w:b/>
          <w:iCs/>
          <w:sz w:val="36"/>
          <w:szCs w:val="36"/>
        </w:rPr>
      </w:pPr>
      <w:r>
        <w:rPr>
          <w:rFonts w:hint="eastAsia" w:ascii="宋体" w:hAnsi="宋体" w:eastAsia="宋体" w:cs="宋体"/>
          <w:b/>
          <w:iCs/>
          <w:sz w:val="36"/>
          <w:szCs w:val="36"/>
        </w:rPr>
        <w:br w:type="page"/>
      </w:r>
    </w:p>
    <w:p w14:paraId="6690551A">
      <w:pPr>
        <w:pageBreakBefore w:val="0"/>
        <w:kinsoku/>
        <w:wordWrap w:val="0"/>
        <w:overflowPunct/>
        <w:topLinePunct w:val="0"/>
        <w:bidi w:val="0"/>
        <w:adjustRightInd w:val="0"/>
        <w:snapToGrid w:val="0"/>
        <w:spacing w:line="360" w:lineRule="auto"/>
        <w:jc w:val="center"/>
        <w:rPr>
          <w:rFonts w:hint="eastAsia" w:ascii="宋体" w:hAnsi="宋体" w:eastAsia="宋体" w:cs="宋体"/>
          <w:b/>
          <w:iCs/>
          <w:sz w:val="36"/>
          <w:szCs w:val="36"/>
        </w:rPr>
      </w:pPr>
      <w:r>
        <w:rPr>
          <w:rFonts w:hint="eastAsia" w:ascii="宋体" w:hAnsi="宋体" w:eastAsia="宋体" w:cs="宋体"/>
          <w:b/>
          <w:iCs/>
          <w:sz w:val="36"/>
          <w:szCs w:val="36"/>
        </w:rPr>
        <w:t>法定代表人（单位负责人）身份证明</w:t>
      </w:r>
    </w:p>
    <w:p w14:paraId="491FD46F">
      <w:pPr>
        <w:pageBreakBefore w:val="0"/>
        <w:kinsoku/>
        <w:wordWrap w:val="0"/>
        <w:overflowPunct/>
        <w:topLinePunct w:val="0"/>
        <w:bidi w:val="0"/>
        <w:adjustRightInd w:val="0"/>
        <w:snapToGrid w:val="0"/>
        <w:spacing w:line="360" w:lineRule="auto"/>
        <w:rPr>
          <w:rFonts w:hint="eastAsia" w:ascii="宋体" w:hAnsi="宋体" w:eastAsia="宋体" w:cs="宋体"/>
          <w:iCs/>
          <w:sz w:val="20"/>
          <w:szCs w:val="20"/>
        </w:rPr>
      </w:pPr>
    </w:p>
    <w:p w14:paraId="5B2E1104">
      <w:pPr>
        <w:pageBreakBefore w:val="0"/>
        <w:tabs>
          <w:tab w:val="left" w:pos="5580"/>
        </w:tabs>
        <w:kinsoku/>
        <w:wordWrap w:val="0"/>
        <w:overflowPunct/>
        <w:topLinePunct w:val="0"/>
        <w:bidi w:val="0"/>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致：</w:t>
      </w:r>
      <w:r>
        <w:rPr>
          <w:rFonts w:hint="eastAsia" w:ascii="宋体" w:hAnsi="宋体" w:eastAsia="宋体" w:cs="宋体"/>
          <w:iCs/>
          <w:sz w:val="24"/>
          <w:szCs w:val="24"/>
          <w:u w:val="single"/>
        </w:rPr>
        <w:t xml:space="preserve"> 采购单位 </w:t>
      </w:r>
    </w:p>
    <w:p w14:paraId="073FE79B">
      <w:pPr>
        <w:pageBreakBefore w:val="0"/>
        <w:tabs>
          <w:tab w:val="left" w:pos="567"/>
          <w:tab w:val="left" w:pos="2412"/>
          <w:tab w:val="left" w:pos="3883"/>
          <w:tab w:val="left" w:pos="5352"/>
          <w:tab w:val="left" w:pos="6821"/>
        </w:tabs>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r>
        <w:rPr>
          <w:rFonts w:hint="eastAsia" w:ascii="宋体" w:hAnsi="宋体" w:eastAsia="宋体" w:cs="宋体"/>
          <w:iCs/>
          <w:sz w:val="24"/>
          <w:szCs w:val="24"/>
        </w:rPr>
        <w:t>兹证明，</w:t>
      </w:r>
    </w:p>
    <w:p w14:paraId="0D348EF2">
      <w:pPr>
        <w:pageBreakBefore w:val="0"/>
        <w:tabs>
          <w:tab w:val="left" w:pos="567"/>
          <w:tab w:val="left" w:pos="1690"/>
          <w:tab w:val="left" w:pos="3400"/>
          <w:tab w:val="left" w:pos="5110"/>
          <w:tab w:val="left" w:pos="6821"/>
        </w:tabs>
        <w:kinsoku/>
        <w:wordWrap w:val="0"/>
        <w:overflowPunct/>
        <w:topLinePunct w:val="0"/>
        <w:bidi w:val="0"/>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姓名：</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性别：</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年龄：</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职务：</w:t>
      </w:r>
      <w:r>
        <w:rPr>
          <w:rFonts w:hint="eastAsia" w:ascii="宋体" w:hAnsi="宋体" w:eastAsia="宋体" w:cs="宋体"/>
          <w:iCs/>
          <w:sz w:val="24"/>
          <w:szCs w:val="24"/>
          <w:u w:val="single"/>
        </w:rPr>
        <w:t xml:space="preserve">        </w:t>
      </w:r>
    </w:p>
    <w:p w14:paraId="2D4B7DD5">
      <w:pPr>
        <w:pageBreakBefore w:val="0"/>
        <w:tabs>
          <w:tab w:val="left" w:pos="567"/>
          <w:tab w:val="left" w:pos="2412"/>
          <w:tab w:val="left" w:pos="3883"/>
          <w:tab w:val="left" w:pos="5352"/>
          <w:tab w:val="left" w:pos="6821"/>
        </w:tabs>
        <w:kinsoku/>
        <w:wordWrap w:val="0"/>
        <w:overflowPunct/>
        <w:topLinePunct w:val="0"/>
        <w:bidi w:val="0"/>
        <w:adjustRightInd w:val="0"/>
        <w:snapToGrid w:val="0"/>
        <w:spacing w:line="360" w:lineRule="auto"/>
        <w:rPr>
          <w:rFonts w:hint="eastAsia" w:ascii="宋体" w:hAnsi="宋体" w:eastAsia="宋体" w:cs="宋体"/>
          <w:iCs/>
          <w:sz w:val="24"/>
          <w:szCs w:val="24"/>
        </w:rPr>
      </w:pPr>
    </w:p>
    <w:p w14:paraId="6AD6989B">
      <w:pPr>
        <w:pageBreakBefore w:val="0"/>
        <w:tabs>
          <w:tab w:val="left" w:pos="2250"/>
          <w:tab w:val="left" w:pos="2412"/>
          <w:tab w:val="left" w:pos="3883"/>
          <w:tab w:val="left" w:pos="5352"/>
          <w:tab w:val="left" w:pos="6821"/>
        </w:tabs>
        <w:kinsoku/>
        <w:wordWrap w:val="0"/>
        <w:overflowPunct/>
        <w:topLinePunct w:val="0"/>
        <w:bidi w:val="0"/>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系</w:t>
      </w:r>
      <w:r>
        <w:rPr>
          <w:rFonts w:hint="eastAsia" w:ascii="宋体" w:hAnsi="宋体" w:eastAsia="宋体" w:cs="宋体"/>
          <w:iCs/>
          <w:sz w:val="24"/>
          <w:szCs w:val="24"/>
          <w:u w:val="single"/>
        </w:rPr>
        <w:t xml:space="preserve"> （供应商名称） </w:t>
      </w:r>
      <w:r>
        <w:rPr>
          <w:rFonts w:hint="eastAsia" w:ascii="宋体" w:hAnsi="宋体" w:eastAsia="宋体" w:cs="宋体"/>
          <w:iCs/>
          <w:sz w:val="24"/>
          <w:szCs w:val="24"/>
        </w:rPr>
        <w:t>的法定代表人（单位负责人）。</w:t>
      </w:r>
    </w:p>
    <w:p w14:paraId="50A37F85">
      <w:pPr>
        <w:pageBreakBefore w:val="0"/>
        <w:tabs>
          <w:tab w:val="left" w:pos="567"/>
          <w:tab w:val="left" w:pos="2412"/>
          <w:tab w:val="left" w:pos="3883"/>
          <w:tab w:val="left" w:pos="5352"/>
          <w:tab w:val="left" w:pos="6821"/>
        </w:tabs>
        <w:kinsoku/>
        <w:wordWrap w:val="0"/>
        <w:overflowPunct/>
        <w:topLinePunct w:val="0"/>
        <w:bidi w:val="0"/>
        <w:adjustRightInd w:val="0"/>
        <w:snapToGrid w:val="0"/>
        <w:spacing w:line="360" w:lineRule="auto"/>
        <w:rPr>
          <w:rFonts w:hint="eastAsia" w:ascii="宋体" w:hAnsi="宋体" w:eastAsia="宋体" w:cs="宋体"/>
          <w:iCs/>
          <w:sz w:val="24"/>
          <w:szCs w:val="24"/>
        </w:rPr>
      </w:pPr>
    </w:p>
    <w:p w14:paraId="1D385621">
      <w:pPr>
        <w:pageBreakBefore w:val="0"/>
        <w:tabs>
          <w:tab w:val="left" w:pos="567"/>
          <w:tab w:val="left" w:pos="2412"/>
          <w:tab w:val="left" w:pos="3883"/>
          <w:tab w:val="left" w:pos="5352"/>
          <w:tab w:val="left" w:pos="6821"/>
        </w:tabs>
        <w:kinsoku/>
        <w:wordWrap w:val="0"/>
        <w:overflowPunct/>
        <w:topLinePunct w:val="0"/>
        <w:bidi w:val="0"/>
        <w:adjustRightInd w:val="0"/>
        <w:snapToGrid w:val="0"/>
        <w:spacing w:line="360" w:lineRule="auto"/>
        <w:rPr>
          <w:rFonts w:hint="eastAsia" w:ascii="宋体" w:hAnsi="宋体" w:eastAsia="宋体" w:cs="宋体"/>
          <w:iCs/>
          <w:sz w:val="24"/>
          <w:szCs w:val="24"/>
        </w:rPr>
      </w:pPr>
    </w:p>
    <w:p w14:paraId="0C071E0F">
      <w:pPr>
        <w:pageBreakBefore w:val="0"/>
        <w:tabs>
          <w:tab w:val="left" w:pos="567"/>
        </w:tabs>
        <w:kinsoku/>
        <w:wordWrap w:val="0"/>
        <w:overflowPunct/>
        <w:topLinePunct w:val="0"/>
        <w:bidi w:val="0"/>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附：法定代表人（单位负责人）有效期内的身份证正反面电子件。</w:t>
      </w:r>
    </w:p>
    <w:tbl>
      <w:tblPr>
        <w:tblStyle w:val="3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7D4C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ACBBDA5">
            <w:pPr>
              <w:pageBreakBefore w:val="0"/>
              <w:tabs>
                <w:tab w:val="left" w:pos="5580"/>
              </w:tabs>
              <w:kinsoku/>
              <w:wordWrap w:val="0"/>
              <w:overflowPunct/>
              <w:topLinePunct w:val="0"/>
              <w:bidi w:val="0"/>
              <w:adjustRightInd w:val="0"/>
              <w:snapToGrid w:val="0"/>
              <w:spacing w:line="360" w:lineRule="auto"/>
              <w:jc w:val="left"/>
              <w:rPr>
                <w:rFonts w:hint="eastAsia" w:ascii="宋体" w:hAnsi="宋体" w:eastAsia="宋体" w:cs="宋体"/>
                <w:iCs/>
                <w:sz w:val="24"/>
                <w:szCs w:val="20"/>
              </w:rPr>
            </w:pPr>
          </w:p>
          <w:p w14:paraId="4CB583B4">
            <w:pPr>
              <w:pageBreakBefore w:val="0"/>
              <w:tabs>
                <w:tab w:val="left" w:pos="5580"/>
              </w:tabs>
              <w:kinsoku/>
              <w:wordWrap w:val="0"/>
              <w:overflowPunct/>
              <w:topLinePunct w:val="0"/>
              <w:bidi w:val="0"/>
              <w:adjustRightInd w:val="0"/>
              <w:snapToGrid w:val="0"/>
              <w:spacing w:line="360" w:lineRule="auto"/>
              <w:jc w:val="left"/>
              <w:rPr>
                <w:rFonts w:hint="eastAsia" w:ascii="宋体" w:hAnsi="宋体" w:eastAsia="宋体" w:cs="宋体"/>
                <w:iCs/>
                <w:sz w:val="24"/>
                <w:szCs w:val="20"/>
              </w:rPr>
            </w:pPr>
          </w:p>
          <w:p w14:paraId="4432EF2B">
            <w:pPr>
              <w:pageBreakBefore w:val="0"/>
              <w:tabs>
                <w:tab w:val="left" w:pos="5580"/>
              </w:tabs>
              <w:kinsoku/>
              <w:wordWrap w:val="0"/>
              <w:overflowPunct/>
              <w:topLinePunct w:val="0"/>
              <w:bidi w:val="0"/>
              <w:adjustRightInd w:val="0"/>
              <w:snapToGrid w:val="0"/>
              <w:spacing w:line="360" w:lineRule="auto"/>
              <w:jc w:val="left"/>
              <w:rPr>
                <w:rFonts w:hint="eastAsia" w:ascii="宋体" w:hAnsi="宋体" w:eastAsia="宋体" w:cs="宋体"/>
                <w:iCs/>
                <w:sz w:val="24"/>
                <w:szCs w:val="20"/>
              </w:rPr>
            </w:pPr>
          </w:p>
        </w:tc>
        <w:tc>
          <w:tcPr>
            <w:tcW w:w="4536" w:type="dxa"/>
          </w:tcPr>
          <w:p w14:paraId="1C089CDE">
            <w:pPr>
              <w:pageBreakBefore w:val="0"/>
              <w:tabs>
                <w:tab w:val="left" w:pos="5580"/>
              </w:tabs>
              <w:kinsoku/>
              <w:wordWrap w:val="0"/>
              <w:overflowPunct/>
              <w:topLinePunct w:val="0"/>
              <w:bidi w:val="0"/>
              <w:adjustRightInd w:val="0"/>
              <w:snapToGrid w:val="0"/>
              <w:spacing w:line="360" w:lineRule="auto"/>
              <w:jc w:val="left"/>
              <w:rPr>
                <w:rFonts w:hint="eastAsia" w:ascii="宋体" w:hAnsi="宋体" w:eastAsia="宋体" w:cs="宋体"/>
                <w:iCs/>
                <w:sz w:val="24"/>
                <w:szCs w:val="20"/>
              </w:rPr>
            </w:pPr>
          </w:p>
          <w:p w14:paraId="734312F6">
            <w:pPr>
              <w:pageBreakBefore w:val="0"/>
              <w:tabs>
                <w:tab w:val="left" w:pos="5580"/>
              </w:tabs>
              <w:kinsoku/>
              <w:wordWrap w:val="0"/>
              <w:overflowPunct/>
              <w:topLinePunct w:val="0"/>
              <w:bidi w:val="0"/>
              <w:adjustRightInd w:val="0"/>
              <w:snapToGrid w:val="0"/>
              <w:spacing w:line="360" w:lineRule="auto"/>
              <w:jc w:val="left"/>
              <w:rPr>
                <w:rFonts w:hint="eastAsia" w:ascii="宋体" w:hAnsi="宋体" w:eastAsia="宋体" w:cs="宋体"/>
                <w:iCs/>
                <w:sz w:val="24"/>
                <w:szCs w:val="20"/>
              </w:rPr>
            </w:pPr>
          </w:p>
          <w:p w14:paraId="02DAB9FD">
            <w:pPr>
              <w:pageBreakBefore w:val="0"/>
              <w:tabs>
                <w:tab w:val="left" w:pos="5580"/>
              </w:tabs>
              <w:kinsoku/>
              <w:wordWrap w:val="0"/>
              <w:overflowPunct/>
              <w:topLinePunct w:val="0"/>
              <w:bidi w:val="0"/>
              <w:adjustRightInd w:val="0"/>
              <w:snapToGrid w:val="0"/>
              <w:spacing w:line="360" w:lineRule="auto"/>
              <w:jc w:val="left"/>
              <w:rPr>
                <w:rFonts w:hint="eastAsia" w:ascii="宋体" w:hAnsi="宋体" w:eastAsia="宋体" w:cs="宋体"/>
                <w:iCs/>
                <w:sz w:val="24"/>
                <w:szCs w:val="20"/>
              </w:rPr>
            </w:pPr>
          </w:p>
        </w:tc>
      </w:tr>
    </w:tbl>
    <w:p w14:paraId="5E235468">
      <w:pPr>
        <w:pageBreakBefore w:val="0"/>
        <w:tabs>
          <w:tab w:val="left" w:pos="567"/>
        </w:tabs>
        <w:kinsoku/>
        <w:wordWrap w:val="0"/>
        <w:overflowPunct/>
        <w:topLinePunct w:val="0"/>
        <w:bidi w:val="0"/>
        <w:adjustRightInd w:val="0"/>
        <w:snapToGrid w:val="0"/>
        <w:spacing w:line="360" w:lineRule="auto"/>
        <w:rPr>
          <w:rFonts w:hint="eastAsia" w:ascii="宋体" w:hAnsi="宋体" w:eastAsia="宋体" w:cs="宋体"/>
          <w:iCs/>
          <w:sz w:val="24"/>
          <w:szCs w:val="24"/>
        </w:rPr>
      </w:pPr>
    </w:p>
    <w:p w14:paraId="785EABE4">
      <w:pPr>
        <w:pageBreakBefore w:val="0"/>
        <w:kinsoku/>
        <w:wordWrap w:val="0"/>
        <w:overflowPunct/>
        <w:topLinePunct w:val="0"/>
        <w:bidi w:val="0"/>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供应商名称（加盖公章）</w:t>
      </w:r>
      <w:r>
        <w:rPr>
          <w:rFonts w:hint="eastAsia" w:ascii="宋体" w:hAnsi="宋体" w:eastAsia="宋体" w:cs="宋体"/>
          <w:iCs/>
          <w:sz w:val="24"/>
          <w:szCs w:val="24"/>
          <w:lang w:val="zh-CN"/>
        </w:rPr>
        <w:t>：</w:t>
      </w:r>
      <w:r>
        <w:rPr>
          <w:rFonts w:hint="eastAsia" w:ascii="宋体" w:hAnsi="宋体" w:eastAsia="宋体" w:cs="宋体"/>
          <w:iCs/>
          <w:sz w:val="24"/>
          <w:szCs w:val="24"/>
          <w:u w:val="single"/>
        </w:rPr>
        <w:t xml:space="preserve">             </w:t>
      </w:r>
    </w:p>
    <w:p w14:paraId="3F3F4D7B">
      <w:pPr>
        <w:pageBreakBefore w:val="0"/>
        <w:kinsoku/>
        <w:wordWrap w:val="0"/>
        <w:overflowPunct/>
        <w:topLinePunct w:val="0"/>
        <w:bidi w:val="0"/>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法定代表人（单位负责人）（签字、签章或印鉴）：</w:t>
      </w:r>
      <w:r>
        <w:rPr>
          <w:rFonts w:hint="eastAsia" w:ascii="宋体" w:hAnsi="宋体" w:eastAsia="宋体" w:cs="宋体"/>
          <w:iCs/>
          <w:sz w:val="24"/>
          <w:szCs w:val="24"/>
          <w:u w:val="single"/>
        </w:rPr>
        <w:t xml:space="preserve">             </w:t>
      </w:r>
    </w:p>
    <w:p w14:paraId="6F53030D">
      <w:pPr>
        <w:pageBreakBefore w:val="0"/>
        <w:kinsoku/>
        <w:wordWrap w:val="0"/>
        <w:overflowPunct/>
        <w:topLinePunct w:val="0"/>
        <w:bidi w:val="0"/>
        <w:adjustRightInd w:val="0"/>
        <w:snapToGrid w:val="0"/>
        <w:spacing w:line="360" w:lineRule="auto"/>
        <w:rPr>
          <w:rFonts w:hint="eastAsia" w:ascii="宋体" w:hAnsi="宋体" w:eastAsia="宋体" w:cs="宋体"/>
          <w:iCs/>
          <w:sz w:val="24"/>
          <w:szCs w:val="24"/>
        </w:rPr>
      </w:pPr>
    </w:p>
    <w:p w14:paraId="273B4FCD">
      <w:pPr>
        <w:pageBreakBefore w:val="0"/>
        <w:kinsoku/>
        <w:wordWrap w:val="0"/>
        <w:overflowPunct/>
        <w:topLinePunct w:val="0"/>
        <w:bidi w:val="0"/>
        <w:adjustRightInd w:val="0"/>
        <w:snapToGrid w:val="0"/>
        <w:spacing w:line="360" w:lineRule="auto"/>
        <w:rPr>
          <w:rFonts w:hint="eastAsia" w:ascii="宋体" w:hAnsi="宋体" w:eastAsia="宋体" w:cs="宋体"/>
          <w:iCs/>
          <w:sz w:val="24"/>
          <w:szCs w:val="24"/>
        </w:rPr>
      </w:pPr>
      <w:r>
        <w:rPr>
          <w:rFonts w:hint="eastAsia" w:ascii="宋体" w:hAnsi="宋体" w:eastAsia="宋体" w:cs="宋体"/>
          <w:iCs/>
          <w:sz w:val="24"/>
          <w:szCs w:val="24"/>
        </w:rPr>
        <w:t>日期：    年     月     日</w:t>
      </w:r>
    </w:p>
    <w:p w14:paraId="590FE89C">
      <w:pPr>
        <w:pageBreakBefore w:val="0"/>
        <w:kinsoku/>
        <w:wordWrap w:val="0"/>
        <w:overflowPunct/>
        <w:topLinePunct w:val="0"/>
        <w:bidi w:val="0"/>
        <w:adjustRightInd w:val="0"/>
        <w:snapToGrid w:val="0"/>
        <w:spacing w:line="360" w:lineRule="auto"/>
        <w:rPr>
          <w:rFonts w:hint="eastAsia" w:ascii="宋体" w:hAnsi="宋体" w:eastAsia="宋体" w:cs="宋体"/>
          <w:iCs/>
          <w:sz w:val="24"/>
          <w:szCs w:val="24"/>
        </w:rPr>
      </w:pPr>
    </w:p>
    <w:p w14:paraId="429F40BB">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64FF35FF">
      <w:pPr>
        <w:pageBreakBefore w:val="0"/>
        <w:kinsoku/>
        <w:wordWrap w:val="0"/>
        <w:overflowPunct/>
        <w:topLinePunct w:val="0"/>
        <w:bidi w:val="0"/>
        <w:adjustRightInd w:val="0"/>
        <w:snapToGrid w:val="0"/>
        <w:spacing w:line="360" w:lineRule="auto"/>
        <w:rPr>
          <w:rFonts w:hint="eastAsia" w:ascii="宋体" w:hAnsi="宋体" w:eastAsia="宋体" w:cs="宋体"/>
          <w:iCs/>
          <w:sz w:val="36"/>
          <w:u w:val="single"/>
        </w:rPr>
      </w:pPr>
      <w:r>
        <w:rPr>
          <w:rFonts w:hint="eastAsia" w:ascii="宋体" w:hAnsi="宋体" w:eastAsia="宋体" w:cs="宋体"/>
          <w:iCs/>
          <w:sz w:val="36"/>
          <w:u w:val="single"/>
        </w:rPr>
        <w:br w:type="page"/>
      </w:r>
    </w:p>
    <w:p w14:paraId="0D341333">
      <w:pPr>
        <w:keepNext/>
        <w:keepLines/>
        <w:pageBreakBefore w:val="0"/>
        <w:kinsoku/>
        <w:wordWrap w:val="0"/>
        <w:overflowPunct/>
        <w:topLinePunct w:val="0"/>
        <w:bidi w:val="0"/>
        <w:adjustRightInd w:val="0"/>
        <w:snapToGrid w:val="0"/>
        <w:spacing w:line="360" w:lineRule="auto"/>
        <w:jc w:val="left"/>
        <w:outlineLvl w:val="1"/>
        <w:rPr>
          <w:rFonts w:hint="eastAsia" w:ascii="宋体" w:hAnsi="宋体" w:eastAsia="宋体" w:cs="宋体"/>
          <w:b/>
          <w:iCs/>
          <w:sz w:val="32"/>
          <w:szCs w:val="32"/>
          <w:u w:val="single"/>
        </w:rPr>
      </w:pPr>
      <w:r>
        <w:rPr>
          <w:rFonts w:hint="eastAsia" w:ascii="宋体" w:hAnsi="宋体" w:eastAsia="宋体" w:cs="宋体"/>
          <w:iCs/>
          <w:sz w:val="36"/>
          <w:u w:val="single"/>
        </w:rPr>
        <w:t>十、磋商响应函</w:t>
      </w:r>
    </w:p>
    <w:p w14:paraId="55F67C3F">
      <w:pPr>
        <w:pageBreakBefore w:val="0"/>
        <w:tabs>
          <w:tab w:val="left" w:pos="360"/>
        </w:tabs>
        <w:kinsoku/>
        <w:wordWrap w:val="0"/>
        <w:overflowPunct/>
        <w:topLinePunct w:val="0"/>
        <w:bidi w:val="0"/>
        <w:adjustRightInd w:val="0"/>
        <w:snapToGrid w:val="0"/>
        <w:spacing w:line="360" w:lineRule="auto"/>
        <w:jc w:val="center"/>
        <w:rPr>
          <w:rFonts w:hint="eastAsia" w:ascii="宋体" w:hAnsi="宋体" w:eastAsia="宋体" w:cs="宋体"/>
          <w:iCs/>
          <w:sz w:val="24"/>
          <w:szCs w:val="24"/>
        </w:rPr>
      </w:pPr>
      <w:r>
        <w:rPr>
          <w:rFonts w:hint="eastAsia" w:ascii="宋体" w:hAnsi="宋体" w:eastAsia="宋体" w:cs="宋体"/>
          <w:bCs/>
          <w:iCs/>
          <w:sz w:val="36"/>
          <w:szCs w:val="28"/>
        </w:rPr>
        <w:t>磋商响应函</w:t>
      </w:r>
    </w:p>
    <w:p w14:paraId="149D1D9F">
      <w:pPr>
        <w:pageBreakBefore w:val="0"/>
        <w:kinsoku/>
        <w:wordWrap w:val="0"/>
        <w:overflowPunct/>
        <w:topLinePunct w:val="0"/>
        <w:bidi w:val="0"/>
        <w:adjustRightInd w:val="0"/>
        <w:snapToGrid w:val="0"/>
        <w:spacing w:line="360" w:lineRule="auto"/>
        <w:jc w:val="left"/>
        <w:rPr>
          <w:rFonts w:hint="eastAsia" w:ascii="宋体" w:hAnsi="宋体" w:eastAsia="宋体" w:cs="宋体"/>
          <w:iCs/>
          <w:sz w:val="24"/>
          <w:szCs w:val="21"/>
        </w:rPr>
      </w:pPr>
      <w:r>
        <w:rPr>
          <w:rFonts w:hint="eastAsia" w:ascii="宋体" w:hAnsi="宋体" w:eastAsia="宋体" w:cs="宋体"/>
          <w:iCs/>
          <w:sz w:val="24"/>
          <w:szCs w:val="21"/>
        </w:rPr>
        <w:t>致：江苏国兴建设项目管理有限公司</w:t>
      </w:r>
    </w:p>
    <w:p w14:paraId="0610206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1"/>
        </w:rPr>
      </w:pPr>
      <w:r>
        <w:rPr>
          <w:rFonts w:hint="eastAsia" w:ascii="宋体" w:hAnsi="宋体" w:eastAsia="宋体" w:cs="宋体"/>
          <w:iCs/>
          <w:sz w:val="24"/>
          <w:szCs w:val="21"/>
        </w:rPr>
        <w:t>根据贵方的JSZC-_________________号磋商文件，正式授权下述签字人_________________（姓名）代表我方______________（供应商的名称），全权处理本次项目磋商采购的有关事宜。</w:t>
      </w:r>
    </w:p>
    <w:p w14:paraId="21E500AA">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1"/>
        </w:rPr>
      </w:pPr>
      <w:r>
        <w:rPr>
          <w:rFonts w:hint="eastAsia" w:ascii="宋体" w:hAnsi="宋体" w:eastAsia="宋体" w:cs="宋体"/>
          <w:iCs/>
          <w:sz w:val="24"/>
          <w:szCs w:val="21"/>
        </w:rPr>
        <w:t>据此函，__________签字人兹宣布同意如下：</w:t>
      </w:r>
    </w:p>
    <w:p w14:paraId="67D22FD3">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1"/>
        </w:rPr>
      </w:pPr>
      <w:r>
        <w:rPr>
          <w:rFonts w:hint="eastAsia" w:ascii="宋体" w:hAnsi="宋体" w:eastAsia="宋体" w:cs="宋体"/>
          <w:iCs/>
          <w:sz w:val="24"/>
          <w:szCs w:val="21"/>
        </w:rPr>
        <w:t>1.按磋商文件规定的各项要求，向买方提供所需服务（包含与服务相关的货物、工程）。</w:t>
      </w:r>
    </w:p>
    <w:p w14:paraId="06A45D8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1"/>
        </w:rPr>
      </w:pPr>
      <w:r>
        <w:rPr>
          <w:rFonts w:hint="eastAsia" w:ascii="宋体" w:hAnsi="宋体" w:eastAsia="宋体" w:cs="宋体"/>
          <w:iCs/>
          <w:sz w:val="24"/>
          <w:szCs w:val="21"/>
        </w:rPr>
        <w:t>2.我们完全理解贵方不一定将合同授予最低报价的供应商。</w:t>
      </w:r>
    </w:p>
    <w:p w14:paraId="3C1F98E9">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1"/>
        </w:rPr>
      </w:pPr>
      <w:r>
        <w:rPr>
          <w:rFonts w:hint="eastAsia" w:ascii="宋体" w:hAnsi="宋体" w:eastAsia="宋体" w:cs="宋体"/>
          <w:iCs/>
          <w:sz w:val="24"/>
          <w:szCs w:val="21"/>
        </w:rPr>
        <w:t>3.我们已详细审核全部磋商文件及其有效补充文件，我们知道必须放弃提出含糊不清或误解问题的权利。</w:t>
      </w:r>
    </w:p>
    <w:p w14:paraId="2E892D37">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1"/>
        </w:rPr>
      </w:pPr>
      <w:r>
        <w:rPr>
          <w:rFonts w:hint="eastAsia" w:ascii="宋体" w:hAnsi="宋体" w:eastAsia="宋体" w:cs="宋体"/>
          <w:iCs/>
          <w:sz w:val="24"/>
          <w:szCs w:val="21"/>
        </w:rPr>
        <w:t>4.我们同意从规定的开启日期起遵循本响应文件，并在规定的磋商有效期期满之前均具有约束力。</w:t>
      </w:r>
    </w:p>
    <w:p w14:paraId="16B66C51">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1"/>
        </w:rPr>
      </w:pPr>
      <w:r>
        <w:rPr>
          <w:rFonts w:hint="eastAsia" w:ascii="宋体" w:hAnsi="宋体" w:eastAsia="宋体" w:cs="宋体"/>
          <w:iCs/>
          <w:sz w:val="24"/>
          <w:szCs w:val="21"/>
        </w:rPr>
        <w:t>5.同意向贵方提供贵方可能另外要求的与磋商采购有关的任何证据或资料，并保证我方已提供和将要提供的文件是真实的、准确的。</w:t>
      </w:r>
    </w:p>
    <w:p w14:paraId="31180EB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1"/>
        </w:rPr>
      </w:pPr>
      <w:r>
        <w:rPr>
          <w:rFonts w:hint="eastAsia" w:ascii="宋体" w:hAnsi="宋体" w:eastAsia="宋体" w:cs="宋体"/>
          <w:iCs/>
          <w:sz w:val="24"/>
          <w:szCs w:val="21"/>
        </w:rPr>
        <w:t>6.一旦我方成交，我方将根据磋商文件的规定，严格履行合同的责任和义务，并保证在磋商文件规定的时间内完成项目，交付买方验收、使用。</w:t>
      </w:r>
    </w:p>
    <w:p w14:paraId="7FABF441">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1"/>
        </w:rPr>
      </w:pPr>
      <w:r>
        <w:rPr>
          <w:rFonts w:hint="eastAsia" w:ascii="宋体" w:hAnsi="宋体" w:eastAsia="宋体" w:cs="宋体"/>
          <w:iCs/>
          <w:sz w:val="24"/>
          <w:szCs w:val="21"/>
        </w:rPr>
        <w:t>7.与本磋商有关的正式通讯地址为：</w:t>
      </w:r>
    </w:p>
    <w:p w14:paraId="29395146">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1"/>
        </w:rPr>
      </w:pPr>
      <w:r>
        <w:rPr>
          <w:rFonts w:hint="eastAsia" w:ascii="宋体" w:hAnsi="宋体" w:eastAsia="宋体" w:cs="宋体"/>
          <w:iCs/>
          <w:sz w:val="24"/>
          <w:szCs w:val="21"/>
        </w:rPr>
        <w:t>地        址：</w:t>
      </w:r>
    </w:p>
    <w:p w14:paraId="0F53691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1"/>
        </w:rPr>
      </w:pPr>
      <w:r>
        <w:rPr>
          <w:rFonts w:hint="eastAsia" w:ascii="宋体" w:hAnsi="宋体" w:eastAsia="宋体" w:cs="宋体"/>
          <w:iCs/>
          <w:sz w:val="24"/>
          <w:szCs w:val="21"/>
        </w:rPr>
        <w:t>邮        编：</w:t>
      </w:r>
    </w:p>
    <w:p w14:paraId="27699B6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1"/>
        </w:rPr>
      </w:pPr>
      <w:r>
        <w:rPr>
          <w:rFonts w:hint="eastAsia" w:ascii="宋体" w:hAnsi="宋体" w:eastAsia="宋体" w:cs="宋体"/>
          <w:iCs/>
          <w:sz w:val="24"/>
          <w:szCs w:val="21"/>
        </w:rPr>
        <w:t>电        话：</w:t>
      </w:r>
    </w:p>
    <w:p w14:paraId="3504B9FC">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1"/>
        </w:rPr>
      </w:pPr>
      <w:r>
        <w:rPr>
          <w:rFonts w:hint="eastAsia" w:ascii="宋体" w:hAnsi="宋体" w:eastAsia="宋体" w:cs="宋体"/>
          <w:iCs/>
          <w:sz w:val="24"/>
          <w:szCs w:val="21"/>
        </w:rPr>
        <w:t>传        真：</w:t>
      </w:r>
    </w:p>
    <w:p w14:paraId="67770994">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1"/>
        </w:rPr>
      </w:pPr>
      <w:r>
        <w:rPr>
          <w:rFonts w:hint="eastAsia" w:ascii="宋体" w:hAnsi="宋体" w:eastAsia="宋体" w:cs="宋体"/>
          <w:iCs/>
          <w:sz w:val="24"/>
          <w:szCs w:val="21"/>
        </w:rPr>
        <w:t>供应商开户行：</w:t>
      </w:r>
    </w:p>
    <w:p w14:paraId="7307549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1"/>
        </w:rPr>
      </w:pPr>
      <w:r>
        <w:rPr>
          <w:rFonts w:hint="eastAsia" w:ascii="宋体" w:hAnsi="宋体" w:eastAsia="宋体" w:cs="宋体"/>
          <w:iCs/>
          <w:sz w:val="24"/>
          <w:szCs w:val="21"/>
        </w:rPr>
        <w:t xml:space="preserve">账        号： </w:t>
      </w:r>
    </w:p>
    <w:p w14:paraId="7AA4E69B">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p>
    <w:p w14:paraId="6941AA47">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p>
    <w:p w14:paraId="04A37709">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r>
        <w:rPr>
          <w:rFonts w:hint="eastAsia" w:ascii="宋体" w:hAnsi="宋体" w:eastAsia="宋体" w:cs="宋体"/>
          <w:iCs/>
          <w:sz w:val="24"/>
          <w:szCs w:val="24"/>
        </w:rPr>
        <w:t>供应商（盖章）：</w:t>
      </w:r>
    </w:p>
    <w:p w14:paraId="4FD83863">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r>
        <w:rPr>
          <w:rFonts w:hint="eastAsia" w:ascii="宋体" w:hAnsi="宋体" w:eastAsia="宋体" w:cs="宋体"/>
          <w:iCs/>
          <w:sz w:val="24"/>
          <w:szCs w:val="24"/>
        </w:rPr>
        <w:t>法定代表人（单位负责人）或委托代理人（签字或盖章）：</w:t>
      </w:r>
    </w:p>
    <w:p w14:paraId="501DE5FC">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r>
        <w:rPr>
          <w:rFonts w:hint="eastAsia" w:ascii="宋体" w:hAnsi="宋体" w:eastAsia="宋体" w:cs="宋体"/>
          <w:iCs/>
          <w:sz w:val="24"/>
          <w:szCs w:val="24"/>
        </w:rPr>
        <w:t>日期：    年     月     日</w:t>
      </w:r>
    </w:p>
    <w:p w14:paraId="2FB568A8">
      <w:pPr>
        <w:pageBreakBefore w:val="0"/>
        <w:kinsoku/>
        <w:wordWrap w:val="0"/>
        <w:overflowPunct/>
        <w:topLinePunct w:val="0"/>
        <w:bidi w:val="0"/>
        <w:adjustRightInd w:val="0"/>
        <w:snapToGrid w:val="0"/>
        <w:spacing w:line="360" w:lineRule="auto"/>
        <w:rPr>
          <w:rFonts w:hint="eastAsia" w:ascii="宋体" w:hAnsi="宋体" w:eastAsia="宋体" w:cs="宋体"/>
          <w:iCs/>
          <w:sz w:val="36"/>
        </w:rPr>
      </w:pPr>
      <w:r>
        <w:rPr>
          <w:rFonts w:hint="eastAsia" w:ascii="宋体" w:hAnsi="宋体" w:eastAsia="宋体" w:cs="宋体"/>
          <w:iCs/>
          <w:sz w:val="36"/>
        </w:rPr>
        <w:br w:type="page"/>
      </w:r>
    </w:p>
    <w:p w14:paraId="0EA70F11">
      <w:pPr>
        <w:keepNext/>
        <w:keepLines/>
        <w:pageBreakBefore w:val="0"/>
        <w:kinsoku/>
        <w:wordWrap w:val="0"/>
        <w:overflowPunct/>
        <w:topLinePunct w:val="0"/>
        <w:bidi w:val="0"/>
        <w:adjustRightInd w:val="0"/>
        <w:snapToGrid w:val="0"/>
        <w:spacing w:line="360" w:lineRule="auto"/>
        <w:jc w:val="left"/>
        <w:outlineLvl w:val="1"/>
        <w:rPr>
          <w:rFonts w:hint="eastAsia" w:ascii="宋体" w:hAnsi="宋体" w:eastAsia="宋体" w:cs="宋体"/>
          <w:iCs/>
          <w:sz w:val="36"/>
          <w:u w:val="single"/>
        </w:rPr>
      </w:pPr>
      <w:r>
        <w:rPr>
          <w:rFonts w:hint="eastAsia" w:ascii="宋体" w:hAnsi="宋体" w:eastAsia="宋体" w:cs="宋体"/>
          <w:iCs/>
          <w:sz w:val="36"/>
          <w:u w:val="single"/>
        </w:rPr>
        <w:t>十一、中小企业声明函（服务）（分包号：**）</w:t>
      </w:r>
    </w:p>
    <w:p w14:paraId="61E3D2C4">
      <w:pPr>
        <w:pageBreakBefore w:val="0"/>
        <w:tabs>
          <w:tab w:val="left" w:pos="360"/>
        </w:tabs>
        <w:kinsoku/>
        <w:wordWrap w:val="0"/>
        <w:overflowPunct/>
        <w:topLinePunct w:val="0"/>
        <w:bidi w:val="0"/>
        <w:adjustRightInd w:val="0"/>
        <w:snapToGrid w:val="0"/>
        <w:spacing w:line="360" w:lineRule="auto"/>
        <w:jc w:val="center"/>
        <w:rPr>
          <w:rFonts w:hint="eastAsia" w:ascii="宋体" w:hAnsi="宋体" w:eastAsia="宋体" w:cs="宋体"/>
          <w:iCs/>
          <w:sz w:val="24"/>
          <w:szCs w:val="24"/>
        </w:rPr>
      </w:pPr>
      <w:r>
        <w:rPr>
          <w:rFonts w:hint="eastAsia" w:ascii="宋体" w:hAnsi="宋体" w:eastAsia="宋体" w:cs="宋体"/>
          <w:bCs/>
          <w:iCs/>
          <w:sz w:val="36"/>
          <w:szCs w:val="28"/>
        </w:rPr>
        <w:t>中小企业声明函</w:t>
      </w:r>
    </w:p>
    <w:p w14:paraId="1DE52FF6">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rPr>
      </w:pPr>
      <w:r>
        <w:rPr>
          <w:rFonts w:hint="eastAsia" w:ascii="宋体" w:hAnsi="宋体" w:eastAsia="宋体" w:cs="宋体"/>
          <w:iCs/>
          <w:sz w:val="24"/>
          <w:szCs w:val="24"/>
        </w:rPr>
        <w:t>本公司（联合体）郑重声明，根据《政府采购促进中小企业发展管理办法》（财库〔2020〕46号）的规定，本公司（联合体）参加</w:t>
      </w:r>
      <w:r>
        <w:rPr>
          <w:rFonts w:hint="eastAsia" w:ascii="宋体" w:hAnsi="宋体" w:eastAsia="宋体" w:cs="宋体"/>
          <w:iCs/>
          <w:sz w:val="24"/>
          <w:szCs w:val="24"/>
          <w:u w:val="single"/>
        </w:rPr>
        <w:t>（单位名称）</w:t>
      </w:r>
      <w:r>
        <w:rPr>
          <w:rFonts w:hint="eastAsia" w:ascii="宋体" w:hAnsi="宋体" w:eastAsia="宋体" w:cs="宋体"/>
          <w:iCs/>
          <w:sz w:val="24"/>
          <w:szCs w:val="24"/>
        </w:rPr>
        <w:t>的</w:t>
      </w:r>
      <w:r>
        <w:rPr>
          <w:rFonts w:hint="eastAsia" w:ascii="宋体" w:hAnsi="宋体" w:eastAsia="宋体" w:cs="宋体"/>
          <w:iCs/>
          <w:sz w:val="24"/>
          <w:szCs w:val="24"/>
          <w:u w:val="single"/>
        </w:rPr>
        <w:t>（项目名称）</w:t>
      </w:r>
      <w:r>
        <w:rPr>
          <w:rFonts w:hint="eastAsia" w:ascii="宋体" w:hAnsi="宋体" w:eastAsia="宋体" w:cs="宋体"/>
          <w:iCs/>
          <w:sz w:val="24"/>
          <w:szCs w:val="24"/>
        </w:rPr>
        <w:t>（项目编号：</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，分包号：</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）采购活动，提供的</w:t>
      </w:r>
      <w:r>
        <w:rPr>
          <w:rFonts w:hint="eastAsia" w:ascii="宋体" w:hAnsi="宋体" w:eastAsia="宋体" w:cs="宋体"/>
          <w:iCs/>
          <w:sz w:val="24"/>
        </w:rPr>
        <w:t>服务全部由符合政策要求的中小企业承接。</w:t>
      </w:r>
    </w:p>
    <w:p w14:paraId="14B3635F">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u w:val="single"/>
        </w:rPr>
      </w:pPr>
      <w:r>
        <w:rPr>
          <w:rFonts w:hint="eastAsia" w:ascii="宋体" w:hAnsi="宋体" w:eastAsia="宋体" w:cs="宋体"/>
          <w:iCs/>
          <w:sz w:val="24"/>
          <w:szCs w:val="24"/>
          <w:u w:val="single"/>
        </w:rPr>
        <w:t>（标的名称）</w:t>
      </w:r>
      <w:r>
        <w:rPr>
          <w:rFonts w:hint="eastAsia" w:ascii="宋体" w:hAnsi="宋体" w:eastAsia="宋体" w:cs="宋体"/>
          <w:iCs/>
          <w:sz w:val="24"/>
          <w:szCs w:val="24"/>
        </w:rPr>
        <w:t>，属于</w:t>
      </w:r>
      <w:r>
        <w:rPr>
          <w:rFonts w:hint="eastAsia" w:ascii="宋体" w:hAnsi="宋体" w:eastAsia="宋体" w:cs="宋体"/>
          <w:iCs/>
          <w:sz w:val="24"/>
          <w:szCs w:val="24"/>
          <w:u w:val="single"/>
        </w:rPr>
        <w:t>（采购文件中明确的所属行业）</w:t>
      </w:r>
      <w:r>
        <w:rPr>
          <w:rFonts w:hint="eastAsia" w:ascii="宋体" w:hAnsi="宋体" w:eastAsia="宋体" w:cs="宋体"/>
          <w:iCs/>
          <w:sz w:val="24"/>
          <w:szCs w:val="24"/>
        </w:rPr>
        <w:t>行业；承接企业为</w:t>
      </w:r>
      <w:r>
        <w:rPr>
          <w:rFonts w:hint="eastAsia" w:ascii="宋体" w:hAnsi="宋体" w:eastAsia="宋体" w:cs="宋体"/>
          <w:iCs/>
          <w:sz w:val="24"/>
          <w:szCs w:val="24"/>
          <w:u w:val="single"/>
        </w:rPr>
        <w:t>（企业名称）</w:t>
      </w:r>
      <w:r>
        <w:rPr>
          <w:rFonts w:hint="eastAsia" w:ascii="宋体" w:hAnsi="宋体" w:eastAsia="宋体" w:cs="宋体"/>
          <w:iCs/>
          <w:sz w:val="24"/>
          <w:szCs w:val="24"/>
        </w:rPr>
        <w:t>，从业人员</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人，营业收入为</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万元，资产总额为</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万元，属于</w:t>
      </w:r>
      <w:r>
        <w:rPr>
          <w:rFonts w:hint="eastAsia" w:ascii="宋体" w:hAnsi="宋体" w:eastAsia="宋体" w:cs="宋体"/>
          <w:iCs/>
          <w:sz w:val="24"/>
          <w:szCs w:val="24"/>
          <w:u w:val="single"/>
        </w:rPr>
        <w:t>（中型企业、小型企业、微型企业）</w:t>
      </w:r>
      <w:r>
        <w:rPr>
          <w:rFonts w:hint="eastAsia" w:ascii="宋体" w:hAnsi="宋体" w:eastAsia="宋体" w:cs="宋体"/>
          <w:iCs/>
          <w:sz w:val="24"/>
          <w:szCs w:val="24"/>
        </w:rPr>
        <w:t>；</w:t>
      </w:r>
    </w:p>
    <w:p w14:paraId="4232CF79">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r>
        <w:rPr>
          <w:rFonts w:hint="eastAsia" w:ascii="宋体" w:hAnsi="宋体" w:eastAsia="宋体" w:cs="宋体"/>
          <w:iCs/>
          <w:sz w:val="24"/>
          <w:szCs w:val="24"/>
        </w:rPr>
        <w:t>以上企业，不属于大企业的分支机构，不存在控股股东为大企业的情形，也不存在与大企业的负责人为同一人的情形。</w:t>
      </w:r>
    </w:p>
    <w:p w14:paraId="476A147A">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r>
        <w:rPr>
          <w:rFonts w:hint="eastAsia" w:ascii="宋体" w:hAnsi="宋体" w:eastAsia="宋体" w:cs="宋体"/>
          <w:iCs/>
          <w:sz w:val="24"/>
          <w:szCs w:val="24"/>
        </w:rPr>
        <w:t>本企业对上述声明内容的真实性负责。如有虚假，将依法承担相应责任。</w:t>
      </w:r>
    </w:p>
    <w:p w14:paraId="791CBFC9">
      <w:pPr>
        <w:pageBreakBefore w:val="0"/>
        <w:kinsoku/>
        <w:wordWrap w:val="0"/>
        <w:overflowPunct/>
        <w:topLinePunct w:val="0"/>
        <w:bidi w:val="0"/>
        <w:adjustRightInd w:val="0"/>
        <w:snapToGrid w:val="0"/>
        <w:spacing w:line="360" w:lineRule="auto"/>
        <w:rPr>
          <w:rFonts w:hint="eastAsia" w:ascii="宋体" w:hAnsi="宋体" w:eastAsia="宋体" w:cs="宋体"/>
          <w:iCs/>
          <w:sz w:val="24"/>
          <w:szCs w:val="24"/>
        </w:rPr>
      </w:pPr>
    </w:p>
    <w:p w14:paraId="73BF4B2B">
      <w:pPr>
        <w:pageBreakBefore w:val="0"/>
        <w:kinsoku/>
        <w:wordWrap w:val="0"/>
        <w:overflowPunct/>
        <w:topLinePunct w:val="0"/>
        <w:bidi w:val="0"/>
        <w:adjustRightInd w:val="0"/>
        <w:snapToGrid w:val="0"/>
        <w:spacing w:line="360" w:lineRule="auto"/>
        <w:ind w:firstLine="2880"/>
        <w:rPr>
          <w:rFonts w:hint="eastAsia" w:ascii="宋体" w:hAnsi="宋体" w:eastAsia="宋体" w:cs="宋体"/>
          <w:iCs/>
          <w:sz w:val="24"/>
          <w:szCs w:val="24"/>
        </w:rPr>
      </w:pPr>
      <w:r>
        <w:rPr>
          <w:rFonts w:hint="eastAsia" w:ascii="宋体" w:hAnsi="宋体" w:eastAsia="宋体" w:cs="宋体"/>
          <w:iCs/>
          <w:sz w:val="24"/>
          <w:szCs w:val="24"/>
        </w:rPr>
        <w:t>企业名称（盖章）：</w:t>
      </w:r>
    </w:p>
    <w:p w14:paraId="648F3DA6">
      <w:pPr>
        <w:pageBreakBefore w:val="0"/>
        <w:kinsoku/>
        <w:wordWrap w:val="0"/>
        <w:overflowPunct/>
        <w:topLinePunct w:val="0"/>
        <w:bidi w:val="0"/>
        <w:adjustRightInd w:val="0"/>
        <w:snapToGrid w:val="0"/>
        <w:spacing w:line="360" w:lineRule="auto"/>
        <w:ind w:firstLine="2880"/>
        <w:rPr>
          <w:rFonts w:hint="eastAsia" w:ascii="宋体" w:hAnsi="宋体" w:eastAsia="宋体" w:cs="宋体"/>
          <w:iCs/>
          <w:sz w:val="24"/>
          <w:szCs w:val="24"/>
        </w:rPr>
      </w:pPr>
      <w:r>
        <w:rPr>
          <w:rFonts w:hint="eastAsia" w:ascii="宋体" w:hAnsi="宋体" w:eastAsia="宋体" w:cs="宋体"/>
          <w:iCs/>
          <w:sz w:val="24"/>
          <w:szCs w:val="24"/>
        </w:rPr>
        <w:t>日   期：</w:t>
      </w:r>
    </w:p>
    <w:p w14:paraId="637B9D26">
      <w:pPr>
        <w:pageBreakBefore w:val="0"/>
        <w:kinsoku/>
        <w:wordWrap w:val="0"/>
        <w:overflowPunct/>
        <w:topLinePunct w:val="0"/>
        <w:bidi w:val="0"/>
        <w:adjustRightInd w:val="0"/>
        <w:snapToGrid w:val="0"/>
        <w:spacing w:line="360" w:lineRule="auto"/>
        <w:jc w:val="left"/>
        <w:rPr>
          <w:rFonts w:hint="eastAsia" w:ascii="宋体" w:hAnsi="宋体" w:eastAsia="宋体" w:cs="宋体"/>
          <w:iCs/>
          <w:sz w:val="24"/>
          <w:szCs w:val="24"/>
        </w:rPr>
      </w:pPr>
    </w:p>
    <w:p w14:paraId="2E577D85">
      <w:pPr>
        <w:pageBreakBefore w:val="0"/>
        <w:kinsoku/>
        <w:wordWrap w:val="0"/>
        <w:overflowPunct/>
        <w:topLinePunct w:val="0"/>
        <w:bidi w:val="0"/>
        <w:adjustRightInd w:val="0"/>
        <w:snapToGrid w:val="0"/>
        <w:spacing w:line="360" w:lineRule="auto"/>
        <w:jc w:val="left"/>
        <w:rPr>
          <w:rFonts w:hint="eastAsia" w:ascii="宋体" w:hAnsi="宋体" w:eastAsia="宋体" w:cs="宋体"/>
          <w:iCs/>
          <w:sz w:val="24"/>
          <w:szCs w:val="24"/>
        </w:rPr>
      </w:pPr>
    </w:p>
    <w:p w14:paraId="03FD0F0A">
      <w:pPr>
        <w:pageBreakBefore w:val="0"/>
        <w:kinsoku/>
        <w:wordWrap w:val="0"/>
        <w:overflowPunct/>
        <w:topLinePunct w:val="0"/>
        <w:bidi w:val="0"/>
        <w:adjustRightInd w:val="0"/>
        <w:snapToGrid w:val="0"/>
        <w:spacing w:line="360" w:lineRule="auto"/>
        <w:jc w:val="left"/>
        <w:rPr>
          <w:rFonts w:hint="eastAsia" w:ascii="宋体" w:hAnsi="宋体" w:eastAsia="宋体" w:cs="宋体"/>
          <w:iCs/>
          <w:sz w:val="24"/>
          <w:szCs w:val="24"/>
        </w:rPr>
      </w:pPr>
      <w:r>
        <w:rPr>
          <w:rFonts w:hint="eastAsia" w:ascii="宋体" w:hAnsi="宋体" w:eastAsia="宋体" w:cs="宋体"/>
          <w:iCs/>
          <w:sz w:val="24"/>
          <w:szCs w:val="24"/>
        </w:rPr>
        <w:t>填报说明：</w:t>
      </w:r>
    </w:p>
    <w:p w14:paraId="71B5366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1.从业人员、营业收入、资产总额填报上一年度数据，无上一年度数据的新成立企业可不填报。</w:t>
      </w:r>
    </w:p>
    <w:p w14:paraId="645C68CF">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2.请供应商如实填写，</w:t>
      </w:r>
      <w:r>
        <w:rPr>
          <w:rFonts w:hint="eastAsia" w:ascii="宋体" w:hAnsi="宋体" w:eastAsia="宋体" w:cs="宋体"/>
          <w:iCs/>
          <w:sz w:val="24"/>
        </w:rPr>
        <w:t>所填内容将作为评审的依据</w:t>
      </w:r>
      <w:r>
        <w:rPr>
          <w:rFonts w:hint="eastAsia" w:ascii="宋体" w:hAnsi="宋体" w:eastAsia="宋体" w:cs="宋体"/>
          <w:iCs/>
          <w:sz w:val="24"/>
          <w:szCs w:val="24"/>
        </w:rPr>
        <w:t>，如填写不完整或不一致或填写有误，将不享受扶持政策。</w:t>
      </w:r>
    </w:p>
    <w:p w14:paraId="0BAD57F1">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iCs/>
          <w:sz w:val="24"/>
          <w:szCs w:val="24"/>
        </w:rPr>
        <w:t>3.成交供应商的《中小企业声明函》随成交结果公开，接受社会监督。</w:t>
      </w:r>
    </w:p>
    <w:p w14:paraId="55D1E635">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229355D2">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795D4E8F">
      <w:pPr>
        <w:pageBreakBefore w:val="0"/>
        <w:kinsoku/>
        <w:wordWrap w:val="0"/>
        <w:overflowPunct/>
        <w:topLinePunct w:val="0"/>
        <w:bidi w:val="0"/>
        <w:adjustRightInd w:val="0"/>
        <w:snapToGrid w:val="0"/>
        <w:spacing w:line="360" w:lineRule="auto"/>
        <w:rPr>
          <w:rFonts w:hint="eastAsia" w:ascii="宋体" w:hAnsi="宋体" w:eastAsia="宋体" w:cs="宋体"/>
          <w:iCs/>
          <w:sz w:val="36"/>
        </w:rPr>
      </w:pPr>
      <w:r>
        <w:rPr>
          <w:rFonts w:hint="eastAsia" w:ascii="宋体" w:hAnsi="宋体" w:eastAsia="宋体" w:cs="宋体"/>
          <w:iCs/>
          <w:sz w:val="36"/>
        </w:rPr>
        <w:br w:type="page"/>
      </w:r>
    </w:p>
    <w:p w14:paraId="6CDA5538">
      <w:pPr>
        <w:keepNext/>
        <w:keepLines/>
        <w:pageBreakBefore w:val="0"/>
        <w:kinsoku/>
        <w:wordWrap w:val="0"/>
        <w:overflowPunct/>
        <w:topLinePunct w:val="0"/>
        <w:bidi w:val="0"/>
        <w:adjustRightInd w:val="0"/>
        <w:snapToGrid w:val="0"/>
        <w:spacing w:line="360" w:lineRule="auto"/>
        <w:jc w:val="left"/>
        <w:outlineLvl w:val="1"/>
        <w:rPr>
          <w:rFonts w:hint="eastAsia" w:ascii="宋体" w:hAnsi="宋体" w:eastAsia="宋体" w:cs="宋体"/>
          <w:iCs/>
          <w:sz w:val="36"/>
          <w:u w:val="single"/>
        </w:rPr>
      </w:pPr>
      <w:r>
        <w:rPr>
          <w:rFonts w:hint="eastAsia" w:ascii="宋体" w:hAnsi="宋体" w:eastAsia="宋体" w:cs="宋体"/>
          <w:iCs/>
          <w:sz w:val="36"/>
          <w:u w:val="single"/>
        </w:rPr>
        <w:t>十二、残疾人福利性单位声明函（分包号：**）</w:t>
      </w:r>
    </w:p>
    <w:p w14:paraId="4EDB3248">
      <w:pPr>
        <w:pageBreakBefore w:val="0"/>
        <w:tabs>
          <w:tab w:val="left" w:pos="360"/>
        </w:tabs>
        <w:kinsoku/>
        <w:wordWrap w:val="0"/>
        <w:overflowPunct/>
        <w:topLinePunct w:val="0"/>
        <w:bidi w:val="0"/>
        <w:adjustRightInd w:val="0"/>
        <w:snapToGrid w:val="0"/>
        <w:spacing w:line="360" w:lineRule="auto"/>
        <w:jc w:val="center"/>
        <w:rPr>
          <w:rFonts w:hint="eastAsia" w:ascii="宋体" w:hAnsi="宋体" w:eastAsia="宋体" w:cs="宋体"/>
          <w:iCs/>
          <w:sz w:val="24"/>
          <w:szCs w:val="21"/>
        </w:rPr>
      </w:pPr>
      <w:r>
        <w:rPr>
          <w:rFonts w:hint="eastAsia" w:ascii="宋体" w:hAnsi="宋体" w:eastAsia="宋体" w:cs="宋体"/>
          <w:bCs/>
          <w:iCs/>
          <w:sz w:val="36"/>
          <w:szCs w:val="28"/>
        </w:rPr>
        <w:t>残疾人福利性单位声明函</w:t>
      </w:r>
    </w:p>
    <w:p w14:paraId="7C9C1930">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1"/>
        </w:rPr>
      </w:pPr>
      <w:r>
        <w:rPr>
          <w:rFonts w:hint="eastAsia" w:ascii="宋体" w:hAnsi="宋体" w:eastAsia="宋体" w:cs="宋体"/>
          <w:iCs/>
          <w:sz w:val="24"/>
          <w:szCs w:val="21"/>
        </w:rPr>
        <w:t>本单位郑重声明，根据《财政部 民政部 中国残疾人联合会关于促进残疾人就业政府采购政策的通知》（财库</w:t>
      </w:r>
      <w:r>
        <w:rPr>
          <w:rFonts w:hint="eastAsia" w:ascii="宋体" w:hAnsi="宋体" w:eastAsia="宋体" w:cs="宋体"/>
          <w:iCs/>
          <w:sz w:val="24"/>
          <w:szCs w:val="24"/>
        </w:rPr>
        <w:t>〔2017〕</w:t>
      </w:r>
      <w:r>
        <w:rPr>
          <w:rFonts w:hint="eastAsia" w:ascii="宋体" w:hAnsi="宋体" w:eastAsia="宋体" w:cs="宋体"/>
          <w:iCs/>
          <w:sz w:val="24"/>
          <w:szCs w:val="21"/>
        </w:rPr>
        <w:t>141号）的规定，本单位为符合条件的残疾人福利性单位，且本单位参加</w:t>
      </w:r>
      <w:r>
        <w:rPr>
          <w:rFonts w:hint="eastAsia" w:ascii="宋体" w:hAnsi="宋体" w:eastAsia="宋体" w:cs="宋体"/>
          <w:iCs/>
          <w:sz w:val="24"/>
          <w:szCs w:val="21"/>
          <w:u w:val="single"/>
        </w:rPr>
        <w:t xml:space="preserve">           </w:t>
      </w:r>
      <w:r>
        <w:rPr>
          <w:rFonts w:hint="eastAsia" w:ascii="宋体" w:hAnsi="宋体" w:eastAsia="宋体" w:cs="宋体"/>
          <w:iCs/>
          <w:sz w:val="24"/>
          <w:szCs w:val="21"/>
        </w:rPr>
        <w:t>单位的</w:t>
      </w:r>
      <w:r>
        <w:rPr>
          <w:rFonts w:hint="eastAsia" w:ascii="宋体" w:hAnsi="宋体" w:eastAsia="宋体" w:cs="宋体"/>
          <w:iCs/>
          <w:sz w:val="24"/>
          <w:szCs w:val="21"/>
          <w:u w:val="single"/>
        </w:rPr>
        <w:t xml:space="preserve">           </w:t>
      </w:r>
      <w:r>
        <w:rPr>
          <w:rFonts w:hint="eastAsia" w:ascii="宋体" w:hAnsi="宋体" w:eastAsia="宋体" w:cs="宋体"/>
          <w:iCs/>
          <w:sz w:val="24"/>
          <w:szCs w:val="21"/>
        </w:rPr>
        <w:t>项目（</w:t>
      </w:r>
      <w:r>
        <w:rPr>
          <w:rFonts w:hint="eastAsia" w:ascii="宋体" w:hAnsi="宋体" w:eastAsia="宋体" w:cs="宋体"/>
          <w:iCs/>
          <w:sz w:val="24"/>
          <w:szCs w:val="24"/>
        </w:rPr>
        <w:t>项目编号：</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，分包号：</w:t>
      </w:r>
      <w:r>
        <w:rPr>
          <w:rFonts w:hint="eastAsia" w:ascii="宋体" w:hAnsi="宋体" w:eastAsia="宋体" w:cs="宋体"/>
          <w:iCs/>
          <w:sz w:val="24"/>
          <w:szCs w:val="24"/>
          <w:u w:val="single"/>
        </w:rPr>
        <w:t xml:space="preserve">      </w:t>
      </w:r>
      <w:r>
        <w:rPr>
          <w:rFonts w:hint="eastAsia" w:ascii="宋体" w:hAnsi="宋体" w:eastAsia="宋体" w:cs="宋体"/>
          <w:iCs/>
          <w:sz w:val="24"/>
          <w:szCs w:val="21"/>
        </w:rPr>
        <w:t>）采购活动由本单位提供全部服务。</w:t>
      </w:r>
    </w:p>
    <w:p w14:paraId="4023E053">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1"/>
        </w:rPr>
      </w:pPr>
      <w:r>
        <w:rPr>
          <w:rFonts w:hint="eastAsia" w:ascii="宋体" w:hAnsi="宋体" w:eastAsia="宋体" w:cs="宋体"/>
          <w:iCs/>
          <w:sz w:val="24"/>
          <w:szCs w:val="21"/>
        </w:rPr>
        <w:t>本单位对上述声明的真实性负责。如有虚假，将依法承担相应责任。</w:t>
      </w:r>
    </w:p>
    <w:p w14:paraId="3B46C1F7">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1"/>
        </w:rPr>
      </w:pPr>
    </w:p>
    <w:p w14:paraId="0E28689B">
      <w:pPr>
        <w:pageBreakBefore w:val="0"/>
        <w:kinsoku/>
        <w:wordWrap w:val="0"/>
        <w:overflowPunct/>
        <w:topLinePunct w:val="0"/>
        <w:bidi w:val="0"/>
        <w:adjustRightInd w:val="0"/>
        <w:snapToGrid w:val="0"/>
        <w:spacing w:line="360" w:lineRule="auto"/>
        <w:ind w:firstLine="2880"/>
        <w:rPr>
          <w:rFonts w:hint="eastAsia" w:ascii="宋体" w:hAnsi="宋体" w:eastAsia="宋体" w:cs="宋体"/>
          <w:iCs/>
          <w:sz w:val="24"/>
          <w:szCs w:val="24"/>
        </w:rPr>
      </w:pPr>
      <w:r>
        <w:rPr>
          <w:rFonts w:hint="eastAsia" w:ascii="宋体" w:hAnsi="宋体" w:eastAsia="宋体" w:cs="宋体"/>
          <w:iCs/>
          <w:sz w:val="24"/>
          <w:szCs w:val="24"/>
        </w:rPr>
        <w:t>单位名称（盖章）：</w:t>
      </w:r>
    </w:p>
    <w:p w14:paraId="12BBE645">
      <w:pPr>
        <w:pageBreakBefore w:val="0"/>
        <w:kinsoku/>
        <w:wordWrap w:val="0"/>
        <w:overflowPunct/>
        <w:topLinePunct w:val="0"/>
        <w:bidi w:val="0"/>
        <w:adjustRightInd w:val="0"/>
        <w:snapToGrid w:val="0"/>
        <w:spacing w:line="360" w:lineRule="auto"/>
        <w:ind w:firstLine="2880"/>
        <w:rPr>
          <w:rFonts w:hint="eastAsia" w:ascii="宋体" w:hAnsi="宋体" w:eastAsia="宋体" w:cs="宋体"/>
          <w:iCs/>
          <w:sz w:val="24"/>
          <w:szCs w:val="24"/>
        </w:rPr>
      </w:pPr>
      <w:r>
        <w:rPr>
          <w:rFonts w:hint="eastAsia" w:ascii="宋体" w:hAnsi="宋体" w:eastAsia="宋体" w:cs="宋体"/>
          <w:iCs/>
          <w:sz w:val="24"/>
          <w:szCs w:val="24"/>
        </w:rPr>
        <w:t>日   期：</w:t>
      </w:r>
    </w:p>
    <w:p w14:paraId="66D2E4EA">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71252015">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1C68BAA2">
      <w:pPr>
        <w:pageBreakBefore w:val="0"/>
        <w:kinsoku/>
        <w:wordWrap w:val="0"/>
        <w:overflowPunct/>
        <w:topLinePunct w:val="0"/>
        <w:bidi w:val="0"/>
        <w:adjustRightInd w:val="0"/>
        <w:snapToGrid w:val="0"/>
        <w:spacing w:line="360" w:lineRule="auto"/>
        <w:rPr>
          <w:rFonts w:hint="eastAsia" w:ascii="宋体" w:hAnsi="宋体" w:eastAsia="宋体" w:cs="宋体"/>
          <w:bCs/>
          <w:iCs/>
          <w:sz w:val="24"/>
          <w:szCs w:val="24"/>
        </w:rPr>
      </w:pPr>
      <w:r>
        <w:rPr>
          <w:rFonts w:hint="eastAsia" w:ascii="宋体" w:hAnsi="宋体" w:eastAsia="宋体" w:cs="宋体"/>
          <w:bCs/>
          <w:iCs/>
          <w:sz w:val="24"/>
          <w:szCs w:val="24"/>
        </w:rPr>
        <w:t>填报说明：</w:t>
      </w:r>
    </w:p>
    <w:p w14:paraId="419107B5">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bCs/>
          <w:iCs/>
          <w:sz w:val="24"/>
          <w:szCs w:val="24"/>
        </w:rPr>
      </w:pPr>
      <w:r>
        <w:rPr>
          <w:rFonts w:hint="eastAsia" w:ascii="宋体" w:hAnsi="宋体" w:eastAsia="宋体" w:cs="宋体"/>
          <w:bCs/>
          <w:iCs/>
          <w:sz w:val="24"/>
          <w:szCs w:val="24"/>
        </w:rPr>
        <w:t>1.</w:t>
      </w:r>
      <w:r>
        <w:rPr>
          <w:rFonts w:hint="eastAsia" w:ascii="宋体" w:hAnsi="宋体" w:eastAsia="宋体" w:cs="宋体"/>
          <w:iCs/>
          <w:sz w:val="24"/>
          <w:szCs w:val="24"/>
        </w:rPr>
        <w:t>请供应商如实填写，</w:t>
      </w:r>
      <w:r>
        <w:rPr>
          <w:rFonts w:hint="eastAsia" w:ascii="宋体" w:hAnsi="宋体" w:eastAsia="宋体" w:cs="宋体"/>
          <w:bCs/>
          <w:iCs/>
          <w:sz w:val="24"/>
        </w:rPr>
        <w:t>所填内容将作为评审的依据</w:t>
      </w:r>
      <w:r>
        <w:rPr>
          <w:rFonts w:hint="eastAsia" w:ascii="宋体" w:hAnsi="宋体" w:eastAsia="宋体" w:cs="宋体"/>
          <w:iCs/>
          <w:sz w:val="24"/>
          <w:szCs w:val="24"/>
        </w:rPr>
        <w:t>，如填写不完整或不一致或填写有误，将不享受扶持政策。</w:t>
      </w:r>
    </w:p>
    <w:p w14:paraId="1F411AEB">
      <w:pPr>
        <w:pageBreakBefore w:val="0"/>
        <w:kinsoku/>
        <w:wordWrap w:val="0"/>
        <w:overflowPunct/>
        <w:topLinePunct w:val="0"/>
        <w:bidi w:val="0"/>
        <w:adjustRightInd w:val="0"/>
        <w:snapToGrid w:val="0"/>
        <w:spacing w:line="360" w:lineRule="auto"/>
        <w:ind w:firstLine="480"/>
        <w:jc w:val="left"/>
        <w:rPr>
          <w:rFonts w:hint="eastAsia" w:ascii="宋体" w:hAnsi="宋体" w:eastAsia="宋体" w:cs="宋体"/>
          <w:iCs/>
          <w:sz w:val="24"/>
          <w:szCs w:val="24"/>
        </w:rPr>
      </w:pPr>
      <w:r>
        <w:rPr>
          <w:rFonts w:hint="eastAsia" w:ascii="宋体" w:hAnsi="宋体" w:eastAsia="宋体" w:cs="宋体"/>
          <w:bCs/>
          <w:iCs/>
          <w:sz w:val="24"/>
          <w:szCs w:val="24"/>
        </w:rPr>
        <w:t>2.成交供应商的《残疾人福利性单位声明函》随成交结果公开</w:t>
      </w:r>
      <w:r>
        <w:rPr>
          <w:rFonts w:hint="eastAsia" w:ascii="宋体" w:hAnsi="宋体" w:eastAsia="宋体" w:cs="宋体"/>
          <w:iCs/>
          <w:sz w:val="24"/>
          <w:szCs w:val="24"/>
        </w:rPr>
        <w:t>，接受社会监督</w:t>
      </w:r>
      <w:r>
        <w:rPr>
          <w:rFonts w:hint="eastAsia" w:ascii="宋体" w:hAnsi="宋体" w:eastAsia="宋体" w:cs="宋体"/>
          <w:bCs/>
          <w:iCs/>
          <w:sz w:val="24"/>
          <w:szCs w:val="24"/>
        </w:rPr>
        <w:t>。</w:t>
      </w:r>
    </w:p>
    <w:p w14:paraId="1DEFBD6B">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67C77DB8">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78B0C54C">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1A281E55">
      <w:pPr>
        <w:pageBreakBefore w:val="0"/>
        <w:kinsoku/>
        <w:wordWrap w:val="0"/>
        <w:overflowPunct/>
        <w:topLinePunct w:val="0"/>
        <w:bidi w:val="0"/>
        <w:adjustRightInd w:val="0"/>
        <w:snapToGrid w:val="0"/>
        <w:spacing w:line="360" w:lineRule="auto"/>
        <w:rPr>
          <w:rFonts w:hint="eastAsia" w:ascii="宋体" w:hAnsi="宋体" w:eastAsia="宋体" w:cs="宋体"/>
          <w:iCs/>
          <w:sz w:val="36"/>
        </w:rPr>
      </w:pPr>
      <w:r>
        <w:rPr>
          <w:rFonts w:hint="eastAsia" w:ascii="宋体" w:hAnsi="宋体" w:eastAsia="宋体" w:cs="宋体"/>
          <w:iCs/>
          <w:sz w:val="36"/>
        </w:rPr>
        <w:br w:type="page"/>
      </w:r>
    </w:p>
    <w:p w14:paraId="78E36A08">
      <w:pPr>
        <w:keepNext/>
        <w:keepLines/>
        <w:pageBreakBefore w:val="0"/>
        <w:kinsoku/>
        <w:wordWrap w:val="0"/>
        <w:overflowPunct/>
        <w:topLinePunct w:val="0"/>
        <w:bidi w:val="0"/>
        <w:adjustRightInd w:val="0"/>
        <w:snapToGrid w:val="0"/>
        <w:spacing w:line="360" w:lineRule="auto"/>
        <w:jc w:val="left"/>
        <w:outlineLvl w:val="1"/>
        <w:rPr>
          <w:rFonts w:hint="eastAsia" w:ascii="宋体" w:hAnsi="宋体" w:eastAsia="宋体" w:cs="宋体"/>
          <w:iCs/>
          <w:sz w:val="36"/>
          <w:u w:val="single"/>
        </w:rPr>
      </w:pPr>
      <w:r>
        <w:rPr>
          <w:rFonts w:hint="eastAsia" w:ascii="宋体" w:hAnsi="宋体" w:eastAsia="宋体" w:cs="宋体"/>
          <w:iCs/>
          <w:sz w:val="36"/>
          <w:u w:val="single"/>
        </w:rPr>
        <w:t>十三、联合体协议（参考格式）（分包号：**）</w:t>
      </w:r>
    </w:p>
    <w:p w14:paraId="23554C62">
      <w:pPr>
        <w:pageBreakBefore w:val="0"/>
        <w:tabs>
          <w:tab w:val="left" w:pos="360"/>
        </w:tabs>
        <w:kinsoku/>
        <w:wordWrap w:val="0"/>
        <w:overflowPunct/>
        <w:topLinePunct w:val="0"/>
        <w:bidi w:val="0"/>
        <w:adjustRightInd w:val="0"/>
        <w:snapToGrid w:val="0"/>
        <w:spacing w:line="360" w:lineRule="auto"/>
        <w:jc w:val="center"/>
        <w:rPr>
          <w:rFonts w:hint="eastAsia" w:ascii="宋体" w:hAnsi="宋体" w:eastAsia="宋体" w:cs="宋体"/>
          <w:iCs/>
          <w:sz w:val="24"/>
          <w:szCs w:val="21"/>
          <w:u w:val="single"/>
        </w:rPr>
      </w:pPr>
      <w:r>
        <w:rPr>
          <w:rFonts w:hint="eastAsia" w:ascii="宋体" w:hAnsi="宋体" w:eastAsia="宋体" w:cs="宋体"/>
          <w:bCs/>
          <w:iCs/>
          <w:sz w:val="36"/>
          <w:szCs w:val="28"/>
        </w:rPr>
        <w:t>联合体协议</w:t>
      </w:r>
    </w:p>
    <w:p w14:paraId="67A39882">
      <w:pPr>
        <w:pageBreakBefore w:val="0"/>
        <w:kinsoku/>
        <w:wordWrap w:val="0"/>
        <w:overflowPunct/>
        <w:topLinePunct w:val="0"/>
        <w:bidi w:val="0"/>
        <w:adjustRightInd w:val="0"/>
        <w:snapToGrid w:val="0"/>
        <w:spacing w:line="360" w:lineRule="auto"/>
        <w:rPr>
          <w:rFonts w:hint="eastAsia" w:ascii="宋体" w:hAnsi="宋体" w:eastAsia="宋体" w:cs="宋体"/>
          <w:iCs/>
          <w:sz w:val="24"/>
          <w:szCs w:val="21"/>
        </w:rPr>
      </w:pPr>
      <w:r>
        <w:rPr>
          <w:rFonts w:hint="eastAsia" w:ascii="宋体" w:hAnsi="宋体" w:eastAsia="宋体" w:cs="宋体"/>
          <w:iCs/>
          <w:sz w:val="24"/>
          <w:szCs w:val="21"/>
          <w:u w:val="single"/>
        </w:rPr>
        <w:t>（联合体中各供应商全称）</w:t>
      </w:r>
      <w:r>
        <w:rPr>
          <w:rFonts w:hint="eastAsia" w:ascii="宋体" w:hAnsi="宋体" w:eastAsia="宋体" w:cs="宋体"/>
          <w:iCs/>
          <w:sz w:val="24"/>
          <w:szCs w:val="21"/>
        </w:rPr>
        <w:t>在此达成以下协议：</w:t>
      </w:r>
    </w:p>
    <w:p w14:paraId="0171EF20">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1"/>
        </w:rPr>
      </w:pPr>
      <w:r>
        <w:rPr>
          <w:rFonts w:hint="eastAsia" w:ascii="宋体" w:hAnsi="宋体" w:eastAsia="宋体" w:cs="宋体"/>
          <w:iCs/>
          <w:sz w:val="24"/>
          <w:szCs w:val="21"/>
        </w:rPr>
        <w:t>1.我们</w:t>
      </w:r>
      <w:r>
        <w:rPr>
          <w:rFonts w:hint="eastAsia" w:ascii="宋体" w:hAnsi="宋体" w:eastAsia="宋体" w:cs="宋体"/>
          <w:iCs/>
          <w:sz w:val="24"/>
          <w:szCs w:val="21"/>
          <w:u w:val="single"/>
        </w:rPr>
        <w:t xml:space="preserve"> （供应商1），（供应商2） ，……</w:t>
      </w:r>
      <w:r>
        <w:rPr>
          <w:rFonts w:hint="eastAsia" w:ascii="宋体" w:hAnsi="宋体" w:eastAsia="宋体" w:cs="宋体"/>
          <w:iCs/>
          <w:sz w:val="24"/>
          <w:szCs w:val="21"/>
        </w:rPr>
        <w:t>自愿组成联合体，参加</w:t>
      </w:r>
      <w:r>
        <w:rPr>
          <w:rFonts w:hint="eastAsia" w:ascii="宋体" w:hAnsi="宋体" w:eastAsia="宋体" w:cs="宋体"/>
          <w:iCs/>
          <w:sz w:val="24"/>
          <w:szCs w:val="24"/>
        </w:rPr>
        <w:t>江苏国兴建设项目管理有限公司</w:t>
      </w:r>
      <w:r>
        <w:rPr>
          <w:rFonts w:hint="eastAsia" w:ascii="宋体" w:hAnsi="宋体" w:eastAsia="宋体" w:cs="宋体"/>
          <w:iCs/>
          <w:sz w:val="24"/>
          <w:szCs w:val="21"/>
        </w:rPr>
        <w:t>组织的</w:t>
      </w:r>
      <w:r>
        <w:rPr>
          <w:rFonts w:hint="eastAsia" w:ascii="宋体" w:hAnsi="宋体" w:eastAsia="宋体" w:cs="宋体"/>
          <w:iCs/>
          <w:sz w:val="24"/>
          <w:szCs w:val="24"/>
          <w:u w:val="single"/>
        </w:rPr>
        <w:t>（项目名称）</w:t>
      </w:r>
      <w:r>
        <w:rPr>
          <w:rFonts w:hint="eastAsia" w:ascii="宋体" w:hAnsi="宋体" w:eastAsia="宋体" w:cs="宋体"/>
          <w:iCs/>
          <w:sz w:val="24"/>
          <w:szCs w:val="24"/>
        </w:rPr>
        <w:t>（项目编号：</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，分包号：</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w:t>
      </w:r>
      <w:r>
        <w:rPr>
          <w:rFonts w:hint="eastAsia" w:ascii="宋体" w:hAnsi="宋体" w:eastAsia="宋体" w:cs="宋体"/>
          <w:iCs/>
          <w:sz w:val="24"/>
          <w:szCs w:val="21"/>
        </w:rPr>
        <w:t>的政府采购活动，我联合体指定</w:t>
      </w:r>
      <w:r>
        <w:rPr>
          <w:rFonts w:hint="eastAsia" w:ascii="宋体" w:hAnsi="宋体" w:eastAsia="宋体" w:cs="宋体"/>
          <w:iCs/>
          <w:sz w:val="24"/>
          <w:szCs w:val="21"/>
          <w:u w:val="single"/>
        </w:rPr>
        <w:t>（供应商*）</w:t>
      </w:r>
      <w:r>
        <w:rPr>
          <w:rFonts w:hint="eastAsia" w:ascii="宋体" w:hAnsi="宋体" w:eastAsia="宋体" w:cs="宋体"/>
          <w:iCs/>
          <w:sz w:val="24"/>
          <w:szCs w:val="21"/>
        </w:rPr>
        <w:t>为牵头单位（牵头单位必须为联合体成员）。</w:t>
      </w:r>
    </w:p>
    <w:p w14:paraId="44EB24B2">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1"/>
        </w:rPr>
      </w:pPr>
      <w:r>
        <w:rPr>
          <w:rFonts w:hint="eastAsia" w:ascii="宋体" w:hAnsi="宋体" w:eastAsia="宋体" w:cs="宋体"/>
          <w:iCs/>
          <w:sz w:val="24"/>
          <w:szCs w:val="21"/>
        </w:rPr>
        <w:t>2.若我们联合中标、成交，</w:t>
      </w:r>
      <w:r>
        <w:rPr>
          <w:rFonts w:hint="eastAsia" w:ascii="宋体" w:hAnsi="宋体" w:eastAsia="宋体" w:cs="宋体"/>
          <w:iCs/>
          <w:sz w:val="24"/>
          <w:szCs w:val="21"/>
          <w:u w:val="single"/>
        </w:rPr>
        <w:t>（供应商单位1全称）</w:t>
      </w:r>
      <w:r>
        <w:rPr>
          <w:rFonts w:hint="eastAsia" w:ascii="宋体" w:hAnsi="宋体" w:eastAsia="宋体" w:cs="宋体"/>
          <w:iCs/>
          <w:sz w:val="24"/>
          <w:szCs w:val="21"/>
        </w:rPr>
        <w:t>实施项目中</w:t>
      </w:r>
      <w:r>
        <w:rPr>
          <w:rFonts w:hint="eastAsia" w:ascii="宋体" w:hAnsi="宋体" w:eastAsia="宋体" w:cs="宋体"/>
          <w:iCs/>
          <w:sz w:val="24"/>
          <w:szCs w:val="21"/>
          <w:u w:val="single"/>
        </w:rPr>
        <w:t>（工作内容）</w:t>
      </w:r>
      <w:r>
        <w:rPr>
          <w:rFonts w:hint="eastAsia" w:ascii="宋体" w:hAnsi="宋体" w:eastAsia="宋体" w:cs="宋体"/>
          <w:iCs/>
          <w:sz w:val="24"/>
          <w:szCs w:val="21"/>
        </w:rPr>
        <w:t>部分工作，并承担相应的责任。</w:t>
      </w:r>
      <w:r>
        <w:rPr>
          <w:rFonts w:hint="eastAsia" w:ascii="宋体" w:hAnsi="宋体" w:eastAsia="宋体" w:cs="宋体"/>
          <w:iCs/>
          <w:sz w:val="24"/>
          <w:szCs w:val="21"/>
          <w:u w:val="single"/>
        </w:rPr>
        <w:t>（供应商单位2全称）</w:t>
      </w:r>
      <w:r>
        <w:rPr>
          <w:rFonts w:hint="eastAsia" w:ascii="宋体" w:hAnsi="宋体" w:eastAsia="宋体" w:cs="宋体"/>
          <w:iCs/>
          <w:sz w:val="24"/>
          <w:szCs w:val="21"/>
        </w:rPr>
        <w:t>实施项目中</w:t>
      </w:r>
      <w:r>
        <w:rPr>
          <w:rFonts w:hint="eastAsia" w:ascii="宋体" w:hAnsi="宋体" w:eastAsia="宋体" w:cs="宋体"/>
          <w:iCs/>
          <w:sz w:val="24"/>
          <w:szCs w:val="21"/>
          <w:u w:val="single"/>
        </w:rPr>
        <w:t>（工作内容）</w:t>
      </w:r>
      <w:r>
        <w:rPr>
          <w:rFonts w:hint="eastAsia" w:ascii="宋体" w:hAnsi="宋体" w:eastAsia="宋体" w:cs="宋体"/>
          <w:iCs/>
          <w:sz w:val="24"/>
          <w:szCs w:val="21"/>
        </w:rPr>
        <w:t>部分工作，并承担相应的责任……。（注：联合体中各供应商都应明示所承担的工作和相应的责任）。</w:t>
      </w:r>
    </w:p>
    <w:p w14:paraId="38D54DEE">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1"/>
        </w:rPr>
      </w:pPr>
      <w:r>
        <w:rPr>
          <w:rFonts w:hint="eastAsia" w:ascii="宋体" w:hAnsi="宋体" w:eastAsia="宋体" w:cs="宋体"/>
          <w:iCs/>
          <w:sz w:val="24"/>
          <w:szCs w:val="21"/>
        </w:rPr>
        <w:t>3.其中</w:t>
      </w:r>
      <w:r>
        <w:rPr>
          <w:rFonts w:hint="eastAsia" w:ascii="宋体" w:hAnsi="宋体" w:eastAsia="宋体" w:cs="宋体"/>
          <w:iCs/>
          <w:sz w:val="24"/>
          <w:szCs w:val="21"/>
          <w:u w:val="single"/>
        </w:rPr>
        <w:t xml:space="preserve">      </w:t>
      </w:r>
      <w:r>
        <w:rPr>
          <w:rFonts w:hint="eastAsia" w:ascii="宋体" w:hAnsi="宋体" w:eastAsia="宋体" w:cs="宋体"/>
          <w:iCs/>
          <w:sz w:val="24"/>
          <w:szCs w:val="21"/>
        </w:rPr>
        <w:t>（小型、微型企业/残疾人福利性单位/监狱企业全称）为</w:t>
      </w:r>
      <w:r>
        <w:rPr>
          <w:rFonts w:hint="eastAsia" w:ascii="宋体" w:hAnsi="宋体" w:eastAsia="宋体" w:cs="宋体"/>
          <w:iCs/>
          <w:sz w:val="24"/>
          <w:szCs w:val="21"/>
          <w:u w:val="single"/>
        </w:rPr>
        <w:t xml:space="preserve">    </w:t>
      </w:r>
      <w:r>
        <w:rPr>
          <w:rFonts w:hint="eastAsia" w:ascii="宋体" w:hAnsi="宋体" w:eastAsia="宋体" w:cs="宋体"/>
          <w:iCs/>
          <w:sz w:val="24"/>
          <w:szCs w:val="21"/>
        </w:rPr>
        <w:t>（小型、微型企业/残疾人福利性单位/监狱企业）企业，且我们约定该公司/单位所承担的合同金额将占本项目合同总金额的</w:t>
      </w:r>
      <w:r>
        <w:rPr>
          <w:rFonts w:hint="eastAsia" w:ascii="宋体" w:hAnsi="宋体" w:eastAsia="宋体" w:cs="宋体"/>
          <w:iCs/>
          <w:sz w:val="24"/>
          <w:szCs w:val="21"/>
          <w:u w:val="single"/>
        </w:rPr>
        <w:t xml:space="preserve">    </w:t>
      </w:r>
      <w:r>
        <w:rPr>
          <w:rFonts w:hint="eastAsia" w:ascii="宋体" w:hAnsi="宋体" w:eastAsia="宋体" w:cs="宋体"/>
          <w:iCs/>
          <w:sz w:val="24"/>
          <w:szCs w:val="21"/>
        </w:rPr>
        <w:t>%。（可选）</w:t>
      </w:r>
    </w:p>
    <w:p w14:paraId="2AE3F683">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1"/>
        </w:rPr>
      </w:pPr>
    </w:p>
    <w:p w14:paraId="33895618">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1"/>
        </w:rPr>
      </w:pPr>
      <w:r>
        <w:rPr>
          <w:rFonts w:hint="eastAsia" w:ascii="宋体" w:hAnsi="宋体" w:eastAsia="宋体" w:cs="宋体"/>
          <w:iCs/>
          <w:sz w:val="24"/>
          <w:szCs w:val="21"/>
        </w:rPr>
        <w:t xml:space="preserve">                                          </w:t>
      </w:r>
    </w:p>
    <w:p w14:paraId="3F3FF58B">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1"/>
        </w:rPr>
      </w:pPr>
      <w:r>
        <w:rPr>
          <w:rFonts w:hint="eastAsia" w:ascii="宋体" w:hAnsi="宋体" w:eastAsia="宋体" w:cs="宋体"/>
          <w:iCs/>
          <w:sz w:val="24"/>
          <w:szCs w:val="21"/>
        </w:rPr>
        <w:t xml:space="preserve">供应商1全称（公章）：     </w:t>
      </w:r>
    </w:p>
    <w:p w14:paraId="765A0F63">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1"/>
        </w:rPr>
      </w:pPr>
      <w:r>
        <w:rPr>
          <w:rFonts w:hint="eastAsia" w:ascii="宋体" w:hAnsi="宋体" w:eastAsia="宋体" w:cs="宋体"/>
          <w:iCs/>
          <w:sz w:val="24"/>
          <w:szCs w:val="21"/>
        </w:rPr>
        <w:t xml:space="preserve">法定代表人（单位负责人）或委托代理人（签字或盖章）：  </w:t>
      </w:r>
    </w:p>
    <w:p w14:paraId="6E609F40">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1"/>
        </w:rPr>
      </w:pPr>
      <w:r>
        <w:rPr>
          <w:rFonts w:hint="eastAsia" w:ascii="宋体" w:hAnsi="宋体" w:eastAsia="宋体" w:cs="宋体"/>
          <w:iCs/>
          <w:sz w:val="24"/>
          <w:szCs w:val="21"/>
        </w:rPr>
        <w:t>日期：     年   月   日</w:t>
      </w:r>
    </w:p>
    <w:p w14:paraId="474CE352">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p>
    <w:p w14:paraId="25F1BCC8">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1"/>
        </w:rPr>
      </w:pPr>
      <w:r>
        <w:rPr>
          <w:rFonts w:hint="eastAsia" w:ascii="宋体" w:hAnsi="宋体" w:eastAsia="宋体" w:cs="宋体"/>
          <w:iCs/>
          <w:sz w:val="24"/>
          <w:szCs w:val="21"/>
        </w:rPr>
        <w:t xml:space="preserve">供应商2全称（公章）：     </w:t>
      </w:r>
    </w:p>
    <w:p w14:paraId="543AF0C1">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1"/>
        </w:rPr>
      </w:pPr>
      <w:r>
        <w:rPr>
          <w:rFonts w:hint="eastAsia" w:ascii="宋体" w:hAnsi="宋体" w:eastAsia="宋体" w:cs="宋体"/>
          <w:iCs/>
          <w:sz w:val="24"/>
          <w:szCs w:val="21"/>
        </w:rPr>
        <w:t xml:space="preserve">法定代表人（单位负责人）或委托代理人（签字或盖章）：  </w:t>
      </w:r>
    </w:p>
    <w:p w14:paraId="54EDCFBF">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1"/>
        </w:rPr>
      </w:pPr>
      <w:r>
        <w:rPr>
          <w:rFonts w:hint="eastAsia" w:ascii="宋体" w:hAnsi="宋体" w:eastAsia="宋体" w:cs="宋体"/>
          <w:iCs/>
          <w:sz w:val="24"/>
          <w:szCs w:val="21"/>
        </w:rPr>
        <w:t>日期：     年   月   日</w:t>
      </w:r>
    </w:p>
    <w:p w14:paraId="6293BD9B">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p>
    <w:p w14:paraId="3BC53285">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r>
        <w:rPr>
          <w:rFonts w:hint="eastAsia" w:ascii="宋体" w:hAnsi="宋体" w:eastAsia="宋体" w:cs="宋体"/>
          <w:iCs/>
          <w:sz w:val="24"/>
          <w:szCs w:val="24"/>
        </w:rPr>
        <w:t>……</w:t>
      </w:r>
    </w:p>
    <w:p w14:paraId="73F2CAC4">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p>
    <w:p w14:paraId="79BF55AD">
      <w:pPr>
        <w:pageBreakBefore w:val="0"/>
        <w:kinsoku/>
        <w:wordWrap w:val="0"/>
        <w:overflowPunct/>
        <w:topLinePunct w:val="0"/>
        <w:bidi w:val="0"/>
        <w:adjustRightInd w:val="0"/>
        <w:snapToGrid w:val="0"/>
        <w:spacing w:line="360" w:lineRule="auto"/>
        <w:ind w:firstLine="480"/>
        <w:rPr>
          <w:rFonts w:hint="eastAsia" w:ascii="宋体" w:hAnsi="宋体" w:eastAsia="宋体" w:cs="宋体"/>
          <w:iCs/>
        </w:rPr>
      </w:pPr>
      <w:r>
        <w:rPr>
          <w:rFonts w:hint="eastAsia" w:ascii="宋体" w:hAnsi="宋体" w:eastAsia="宋体" w:cs="宋体"/>
          <w:iCs/>
          <w:sz w:val="24"/>
          <w:szCs w:val="21"/>
        </w:rPr>
        <w:t>备注：本磋商文件中要求加盖公章的内容，仅需加盖牵头单位的公章。</w:t>
      </w:r>
    </w:p>
    <w:p w14:paraId="6B18C341">
      <w:pPr>
        <w:pageBreakBefore w:val="0"/>
        <w:kinsoku/>
        <w:wordWrap w:val="0"/>
        <w:overflowPunct/>
        <w:topLinePunct w:val="0"/>
        <w:bidi w:val="0"/>
        <w:adjustRightInd w:val="0"/>
        <w:snapToGrid w:val="0"/>
        <w:spacing w:line="360" w:lineRule="auto"/>
        <w:rPr>
          <w:rFonts w:hint="eastAsia" w:ascii="宋体" w:hAnsi="宋体" w:eastAsia="宋体" w:cs="宋体"/>
          <w:iCs/>
          <w:sz w:val="36"/>
          <w:u w:val="single"/>
        </w:rPr>
      </w:pPr>
      <w:r>
        <w:rPr>
          <w:rFonts w:hint="eastAsia" w:ascii="宋体" w:hAnsi="宋体" w:eastAsia="宋体" w:cs="宋体"/>
          <w:iCs/>
          <w:sz w:val="36"/>
          <w:u w:val="single"/>
        </w:rPr>
        <w:br w:type="page"/>
      </w:r>
    </w:p>
    <w:p w14:paraId="2BA34E92">
      <w:pPr>
        <w:keepNext/>
        <w:keepLines/>
        <w:pageBreakBefore w:val="0"/>
        <w:kinsoku/>
        <w:wordWrap w:val="0"/>
        <w:overflowPunct/>
        <w:topLinePunct w:val="0"/>
        <w:bidi w:val="0"/>
        <w:adjustRightInd w:val="0"/>
        <w:snapToGrid w:val="0"/>
        <w:spacing w:line="360" w:lineRule="auto"/>
        <w:jc w:val="left"/>
        <w:outlineLvl w:val="1"/>
        <w:rPr>
          <w:rFonts w:hint="eastAsia" w:ascii="宋体" w:hAnsi="宋体" w:eastAsia="宋体" w:cs="宋体"/>
          <w:iCs/>
          <w:sz w:val="36"/>
          <w:u w:val="single"/>
        </w:rPr>
      </w:pPr>
      <w:r>
        <w:rPr>
          <w:rFonts w:hint="eastAsia" w:ascii="宋体" w:hAnsi="宋体" w:eastAsia="宋体" w:cs="宋体"/>
          <w:iCs/>
          <w:sz w:val="36"/>
          <w:u w:val="single"/>
        </w:rPr>
        <w:t>十四、分项报价表（分包号：**）</w:t>
      </w:r>
    </w:p>
    <w:p w14:paraId="0CBE2A9D">
      <w:pPr>
        <w:pageBreakBefore w:val="0"/>
        <w:tabs>
          <w:tab w:val="left" w:pos="360"/>
        </w:tabs>
        <w:kinsoku/>
        <w:wordWrap w:val="0"/>
        <w:overflowPunct/>
        <w:topLinePunct w:val="0"/>
        <w:bidi w:val="0"/>
        <w:adjustRightInd w:val="0"/>
        <w:snapToGrid w:val="0"/>
        <w:spacing w:line="360" w:lineRule="auto"/>
        <w:jc w:val="center"/>
        <w:rPr>
          <w:rFonts w:hint="eastAsia" w:ascii="宋体" w:hAnsi="宋体" w:eastAsia="宋体" w:cs="宋体"/>
          <w:bCs/>
          <w:iCs/>
          <w:sz w:val="36"/>
          <w:szCs w:val="28"/>
        </w:rPr>
      </w:pPr>
      <w:r>
        <w:rPr>
          <w:rFonts w:hint="eastAsia" w:ascii="宋体" w:hAnsi="宋体" w:eastAsia="宋体" w:cs="宋体"/>
          <w:bCs/>
          <w:iCs/>
          <w:sz w:val="36"/>
          <w:szCs w:val="28"/>
        </w:rPr>
        <w:t>分项报价表</w:t>
      </w:r>
    </w:p>
    <w:p w14:paraId="25A93181">
      <w:pPr>
        <w:pageBreakBefore w:val="0"/>
        <w:kinsoku/>
        <w:wordWrap w:val="0"/>
        <w:overflowPunct/>
        <w:topLinePunct w:val="0"/>
        <w:bidi w:val="0"/>
        <w:adjustRightInd w:val="0"/>
        <w:snapToGrid w:val="0"/>
        <w:spacing w:line="360" w:lineRule="auto"/>
        <w:jc w:val="left"/>
        <w:rPr>
          <w:rFonts w:hint="eastAsia" w:ascii="宋体" w:hAnsi="宋体" w:eastAsia="宋体" w:cs="宋体"/>
          <w:bCs/>
          <w:iCs/>
          <w:sz w:val="24"/>
          <w:szCs w:val="24"/>
        </w:rPr>
      </w:pPr>
      <w:r>
        <w:rPr>
          <w:rFonts w:hint="eastAsia" w:ascii="宋体" w:hAnsi="宋体" w:eastAsia="宋体" w:cs="宋体"/>
          <w:iCs/>
          <w:sz w:val="24"/>
          <w:szCs w:val="24"/>
        </w:rPr>
        <w:t>项目名称：      项目编号：      分包号：</w:t>
      </w:r>
      <w:r>
        <w:rPr>
          <w:rFonts w:hint="eastAsia" w:ascii="宋体" w:hAnsi="宋体" w:eastAsia="宋体" w:cs="宋体"/>
          <w:bCs/>
          <w:iCs/>
          <w:sz w:val="24"/>
          <w:szCs w:val="24"/>
        </w:rPr>
        <w:t xml:space="preserve"> </w:t>
      </w:r>
    </w:p>
    <w:p w14:paraId="27A36F2C">
      <w:pPr>
        <w:pageBreakBefore w:val="0"/>
        <w:kinsoku/>
        <w:wordWrap w:val="0"/>
        <w:overflowPunct/>
        <w:topLinePunct w:val="0"/>
        <w:bidi w:val="0"/>
        <w:adjustRightInd w:val="0"/>
        <w:snapToGrid w:val="0"/>
        <w:spacing w:line="360" w:lineRule="auto"/>
        <w:jc w:val="right"/>
        <w:rPr>
          <w:rFonts w:hint="eastAsia" w:ascii="宋体" w:hAnsi="宋体" w:eastAsia="宋体" w:cs="宋体"/>
          <w:iCs/>
          <w:szCs w:val="24"/>
        </w:rPr>
      </w:pPr>
      <w:r>
        <w:rPr>
          <w:rFonts w:hint="eastAsia" w:ascii="宋体" w:hAnsi="宋体" w:eastAsia="宋体" w:cs="宋体"/>
          <w:iCs/>
          <w:szCs w:val="24"/>
        </w:rPr>
        <w:t>单位：元</w:t>
      </w:r>
    </w:p>
    <w:tbl>
      <w:tblPr>
        <w:tblStyle w:val="3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756"/>
        <w:gridCol w:w="1417"/>
        <w:gridCol w:w="993"/>
        <w:gridCol w:w="1093"/>
        <w:gridCol w:w="2350"/>
      </w:tblGrid>
      <w:tr w14:paraId="6AA8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896" w:type="dxa"/>
            <w:vAlign w:val="center"/>
          </w:tcPr>
          <w:p w14:paraId="06997B30">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r>
              <w:rPr>
                <w:rFonts w:hint="eastAsia" w:ascii="宋体" w:hAnsi="宋体" w:eastAsia="宋体" w:cs="宋体"/>
                <w:iCs/>
                <w:sz w:val="24"/>
              </w:rPr>
              <w:t>序号</w:t>
            </w:r>
          </w:p>
        </w:tc>
        <w:tc>
          <w:tcPr>
            <w:tcW w:w="1756" w:type="dxa"/>
            <w:vAlign w:val="center"/>
          </w:tcPr>
          <w:p w14:paraId="49A9412E">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r>
              <w:rPr>
                <w:rFonts w:hint="eastAsia" w:ascii="宋体" w:hAnsi="宋体" w:eastAsia="宋体" w:cs="宋体"/>
                <w:iCs/>
                <w:sz w:val="24"/>
              </w:rPr>
              <w:t>产品、服务（标的）名称</w:t>
            </w:r>
          </w:p>
        </w:tc>
        <w:tc>
          <w:tcPr>
            <w:tcW w:w="1417" w:type="dxa"/>
            <w:vAlign w:val="center"/>
          </w:tcPr>
          <w:p w14:paraId="0D03FBD1">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r>
              <w:rPr>
                <w:rFonts w:hint="eastAsia" w:ascii="宋体" w:hAnsi="宋体" w:eastAsia="宋体" w:cs="宋体"/>
                <w:iCs/>
                <w:sz w:val="24"/>
              </w:rPr>
              <w:t>分项单位</w:t>
            </w:r>
          </w:p>
        </w:tc>
        <w:tc>
          <w:tcPr>
            <w:tcW w:w="993" w:type="dxa"/>
            <w:vAlign w:val="center"/>
          </w:tcPr>
          <w:p w14:paraId="39D309A4">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r>
              <w:rPr>
                <w:rFonts w:hint="eastAsia" w:ascii="宋体" w:hAnsi="宋体" w:eastAsia="宋体" w:cs="宋体"/>
                <w:iCs/>
                <w:sz w:val="24"/>
              </w:rPr>
              <w:t>数量</w:t>
            </w:r>
          </w:p>
        </w:tc>
        <w:tc>
          <w:tcPr>
            <w:tcW w:w="1093" w:type="dxa"/>
            <w:vAlign w:val="center"/>
          </w:tcPr>
          <w:p w14:paraId="014B3068">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r>
              <w:rPr>
                <w:rFonts w:hint="eastAsia" w:ascii="宋体" w:hAnsi="宋体" w:eastAsia="宋体" w:cs="宋体"/>
                <w:iCs/>
                <w:sz w:val="24"/>
              </w:rPr>
              <w:t>单价</w:t>
            </w:r>
          </w:p>
        </w:tc>
        <w:tc>
          <w:tcPr>
            <w:tcW w:w="2350" w:type="dxa"/>
            <w:vAlign w:val="center"/>
          </w:tcPr>
          <w:p w14:paraId="076E4157">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r>
              <w:rPr>
                <w:rFonts w:hint="eastAsia" w:ascii="宋体" w:hAnsi="宋体" w:eastAsia="宋体" w:cs="宋体"/>
                <w:iCs/>
                <w:sz w:val="24"/>
              </w:rPr>
              <w:t>单项</w:t>
            </w:r>
          </w:p>
          <w:p w14:paraId="59361E73">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r>
              <w:rPr>
                <w:rFonts w:hint="eastAsia" w:ascii="宋体" w:hAnsi="宋体" w:eastAsia="宋体" w:cs="宋体"/>
                <w:iCs/>
                <w:sz w:val="24"/>
              </w:rPr>
              <w:t>合计价</w:t>
            </w:r>
          </w:p>
        </w:tc>
      </w:tr>
      <w:tr w14:paraId="04B5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96" w:type="dxa"/>
            <w:vAlign w:val="center"/>
          </w:tcPr>
          <w:p w14:paraId="0EAD00F3">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p>
        </w:tc>
        <w:tc>
          <w:tcPr>
            <w:tcW w:w="1756" w:type="dxa"/>
            <w:vAlign w:val="center"/>
          </w:tcPr>
          <w:p w14:paraId="525CE9BC">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p>
        </w:tc>
        <w:tc>
          <w:tcPr>
            <w:tcW w:w="1417" w:type="dxa"/>
            <w:vAlign w:val="center"/>
          </w:tcPr>
          <w:p w14:paraId="2B64A93A">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p>
        </w:tc>
        <w:tc>
          <w:tcPr>
            <w:tcW w:w="993" w:type="dxa"/>
            <w:vAlign w:val="center"/>
          </w:tcPr>
          <w:p w14:paraId="39824557">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p>
        </w:tc>
        <w:tc>
          <w:tcPr>
            <w:tcW w:w="1093" w:type="dxa"/>
            <w:vAlign w:val="center"/>
          </w:tcPr>
          <w:p w14:paraId="728A32BD">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p>
        </w:tc>
        <w:tc>
          <w:tcPr>
            <w:tcW w:w="2350" w:type="dxa"/>
            <w:vAlign w:val="center"/>
          </w:tcPr>
          <w:p w14:paraId="1C758175">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p>
        </w:tc>
      </w:tr>
      <w:tr w14:paraId="28B1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96" w:type="dxa"/>
            <w:vAlign w:val="center"/>
          </w:tcPr>
          <w:p w14:paraId="304959CD">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p>
        </w:tc>
        <w:tc>
          <w:tcPr>
            <w:tcW w:w="1756" w:type="dxa"/>
            <w:vAlign w:val="center"/>
          </w:tcPr>
          <w:p w14:paraId="1FE8402B">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p>
        </w:tc>
        <w:tc>
          <w:tcPr>
            <w:tcW w:w="1417" w:type="dxa"/>
            <w:vAlign w:val="center"/>
          </w:tcPr>
          <w:p w14:paraId="5C44DA97">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p>
        </w:tc>
        <w:tc>
          <w:tcPr>
            <w:tcW w:w="993" w:type="dxa"/>
            <w:vAlign w:val="center"/>
          </w:tcPr>
          <w:p w14:paraId="53737B7A">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p>
        </w:tc>
        <w:tc>
          <w:tcPr>
            <w:tcW w:w="1093" w:type="dxa"/>
            <w:vAlign w:val="center"/>
          </w:tcPr>
          <w:p w14:paraId="20802D9B">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p>
        </w:tc>
        <w:tc>
          <w:tcPr>
            <w:tcW w:w="2350" w:type="dxa"/>
            <w:vAlign w:val="center"/>
          </w:tcPr>
          <w:p w14:paraId="2FC796BF">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p>
        </w:tc>
      </w:tr>
      <w:tr w14:paraId="7FD0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96" w:type="dxa"/>
            <w:vAlign w:val="center"/>
          </w:tcPr>
          <w:p w14:paraId="03359E7A">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p>
        </w:tc>
        <w:tc>
          <w:tcPr>
            <w:tcW w:w="1756" w:type="dxa"/>
            <w:vAlign w:val="center"/>
          </w:tcPr>
          <w:p w14:paraId="2E6F8C2A">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p>
        </w:tc>
        <w:tc>
          <w:tcPr>
            <w:tcW w:w="1417" w:type="dxa"/>
            <w:vAlign w:val="center"/>
          </w:tcPr>
          <w:p w14:paraId="6DC83A79">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p>
        </w:tc>
        <w:tc>
          <w:tcPr>
            <w:tcW w:w="993" w:type="dxa"/>
            <w:vAlign w:val="center"/>
          </w:tcPr>
          <w:p w14:paraId="766BAB83">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p>
        </w:tc>
        <w:tc>
          <w:tcPr>
            <w:tcW w:w="1093" w:type="dxa"/>
            <w:vAlign w:val="center"/>
          </w:tcPr>
          <w:p w14:paraId="00ADE7E9">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p>
        </w:tc>
        <w:tc>
          <w:tcPr>
            <w:tcW w:w="2350" w:type="dxa"/>
            <w:vAlign w:val="center"/>
          </w:tcPr>
          <w:p w14:paraId="079066B5">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p>
        </w:tc>
      </w:tr>
      <w:tr w14:paraId="0C4D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6155" w:type="dxa"/>
            <w:gridSpan w:val="5"/>
            <w:vAlign w:val="center"/>
          </w:tcPr>
          <w:p w14:paraId="0E03AF91">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r>
              <w:rPr>
                <w:rFonts w:hint="eastAsia" w:ascii="宋体" w:hAnsi="宋体" w:eastAsia="宋体" w:cs="宋体"/>
                <w:iCs/>
                <w:sz w:val="24"/>
              </w:rPr>
              <w:t>总计（元）</w:t>
            </w:r>
          </w:p>
        </w:tc>
        <w:tc>
          <w:tcPr>
            <w:tcW w:w="2350" w:type="dxa"/>
            <w:vAlign w:val="center"/>
          </w:tcPr>
          <w:p w14:paraId="48D27810">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rPr>
            </w:pPr>
          </w:p>
        </w:tc>
      </w:tr>
    </w:tbl>
    <w:p w14:paraId="1E21254E">
      <w:pPr>
        <w:pageBreakBefore w:val="0"/>
        <w:kinsoku/>
        <w:wordWrap w:val="0"/>
        <w:overflowPunct/>
        <w:topLinePunct w:val="0"/>
        <w:bidi w:val="0"/>
        <w:adjustRightInd w:val="0"/>
        <w:snapToGrid w:val="0"/>
        <w:spacing w:line="360" w:lineRule="auto"/>
        <w:ind w:firstLine="420"/>
        <w:rPr>
          <w:rFonts w:hint="eastAsia" w:ascii="宋体" w:hAnsi="宋体" w:eastAsia="宋体" w:cs="宋体"/>
          <w:iCs/>
          <w:szCs w:val="24"/>
        </w:rPr>
      </w:pPr>
    </w:p>
    <w:p w14:paraId="61E7070B">
      <w:pPr>
        <w:pageBreakBefore w:val="0"/>
        <w:kinsoku/>
        <w:wordWrap w:val="0"/>
        <w:overflowPunct/>
        <w:topLinePunct w:val="0"/>
        <w:bidi w:val="0"/>
        <w:adjustRightInd w:val="0"/>
        <w:snapToGrid w:val="0"/>
        <w:spacing w:line="360" w:lineRule="auto"/>
        <w:ind w:firstLine="420"/>
        <w:rPr>
          <w:rFonts w:hint="eastAsia" w:ascii="宋体" w:hAnsi="宋体" w:eastAsia="宋体" w:cs="宋体"/>
          <w:iCs/>
          <w:szCs w:val="24"/>
        </w:rPr>
      </w:pPr>
      <w:r>
        <w:rPr>
          <w:rFonts w:hint="eastAsia" w:ascii="宋体" w:hAnsi="宋体" w:eastAsia="宋体" w:cs="宋体"/>
          <w:iCs/>
          <w:szCs w:val="24"/>
        </w:rPr>
        <w:t>供应商（盖章）：</w:t>
      </w:r>
    </w:p>
    <w:p w14:paraId="74C51638">
      <w:pPr>
        <w:pageBreakBefore w:val="0"/>
        <w:kinsoku/>
        <w:wordWrap w:val="0"/>
        <w:overflowPunct/>
        <w:topLinePunct w:val="0"/>
        <w:bidi w:val="0"/>
        <w:adjustRightInd w:val="0"/>
        <w:snapToGrid w:val="0"/>
        <w:spacing w:line="360" w:lineRule="auto"/>
        <w:ind w:firstLine="420"/>
        <w:rPr>
          <w:rFonts w:hint="eastAsia" w:ascii="宋体" w:hAnsi="宋体" w:eastAsia="宋体" w:cs="宋体"/>
          <w:iCs/>
          <w:szCs w:val="24"/>
        </w:rPr>
      </w:pPr>
      <w:r>
        <w:rPr>
          <w:rFonts w:hint="eastAsia" w:ascii="宋体" w:hAnsi="宋体" w:eastAsia="宋体" w:cs="宋体"/>
          <w:iCs/>
          <w:szCs w:val="24"/>
        </w:rPr>
        <w:t>法定代表人（单位负责人）或委托代理人（签字或盖章）：</w:t>
      </w:r>
    </w:p>
    <w:p w14:paraId="27F509A2">
      <w:pPr>
        <w:pageBreakBefore w:val="0"/>
        <w:kinsoku/>
        <w:wordWrap w:val="0"/>
        <w:overflowPunct/>
        <w:topLinePunct w:val="0"/>
        <w:bidi w:val="0"/>
        <w:adjustRightInd w:val="0"/>
        <w:snapToGrid w:val="0"/>
        <w:spacing w:line="360" w:lineRule="auto"/>
        <w:ind w:firstLine="420"/>
        <w:rPr>
          <w:rFonts w:hint="eastAsia" w:ascii="宋体" w:hAnsi="宋体" w:eastAsia="宋体" w:cs="宋体"/>
          <w:iCs/>
          <w:szCs w:val="24"/>
        </w:rPr>
      </w:pPr>
      <w:r>
        <w:rPr>
          <w:rFonts w:hint="eastAsia" w:ascii="宋体" w:hAnsi="宋体" w:eastAsia="宋体" w:cs="宋体"/>
          <w:iCs/>
          <w:szCs w:val="24"/>
        </w:rPr>
        <w:t>日期：    年     月     日</w:t>
      </w:r>
    </w:p>
    <w:p w14:paraId="0A478491">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highlight w:val="yellow"/>
        </w:rPr>
      </w:pPr>
    </w:p>
    <w:p w14:paraId="0ECB73CD">
      <w:pPr>
        <w:pageBreakBefore w:val="0"/>
        <w:kinsoku/>
        <w:wordWrap w:val="0"/>
        <w:overflowPunct/>
        <w:topLinePunct w:val="0"/>
        <w:bidi w:val="0"/>
        <w:adjustRightInd w:val="0"/>
        <w:snapToGrid w:val="0"/>
        <w:spacing w:line="360" w:lineRule="auto"/>
        <w:ind w:firstLine="480"/>
        <w:rPr>
          <w:rFonts w:hint="eastAsia" w:ascii="宋体" w:hAnsi="宋体" w:eastAsia="宋体" w:cs="宋体"/>
          <w:iCs/>
        </w:rPr>
      </w:pPr>
      <w:r>
        <w:rPr>
          <w:rFonts w:hint="eastAsia" w:ascii="宋体" w:hAnsi="宋体" w:eastAsia="宋体" w:cs="宋体"/>
          <w:iCs/>
          <w:sz w:val="24"/>
          <w:szCs w:val="24"/>
        </w:rPr>
        <w:t>（备注：该表仅适用于项目采用货币报价的情形。项目采用折扣率报价的，如需要填写分项报价表，请项目经办人自行设计表格。磋商文件定稿后该备注删除。）</w:t>
      </w:r>
    </w:p>
    <w:p w14:paraId="2DBCBBC4">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6BA6175D">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290C7B02">
      <w:pPr>
        <w:pageBreakBefore w:val="0"/>
        <w:kinsoku/>
        <w:wordWrap w:val="0"/>
        <w:overflowPunct/>
        <w:topLinePunct w:val="0"/>
        <w:bidi w:val="0"/>
        <w:adjustRightInd w:val="0"/>
        <w:snapToGrid w:val="0"/>
        <w:spacing w:line="360" w:lineRule="auto"/>
        <w:rPr>
          <w:rFonts w:hint="eastAsia" w:ascii="宋体" w:hAnsi="宋体" w:eastAsia="宋体" w:cs="宋体"/>
          <w:iCs/>
          <w:sz w:val="36"/>
          <w:u w:val="single"/>
        </w:rPr>
      </w:pPr>
      <w:r>
        <w:rPr>
          <w:rFonts w:hint="eastAsia" w:ascii="宋体" w:hAnsi="宋体" w:eastAsia="宋体" w:cs="宋体"/>
          <w:iCs/>
          <w:sz w:val="36"/>
          <w:u w:val="single"/>
        </w:rPr>
        <w:br w:type="page"/>
      </w:r>
    </w:p>
    <w:p w14:paraId="026B584E">
      <w:pPr>
        <w:keepNext/>
        <w:keepLines/>
        <w:pageBreakBefore w:val="0"/>
        <w:kinsoku/>
        <w:wordWrap w:val="0"/>
        <w:overflowPunct/>
        <w:topLinePunct w:val="0"/>
        <w:bidi w:val="0"/>
        <w:adjustRightInd w:val="0"/>
        <w:snapToGrid w:val="0"/>
        <w:spacing w:line="360" w:lineRule="auto"/>
        <w:jc w:val="left"/>
        <w:outlineLvl w:val="1"/>
        <w:rPr>
          <w:rFonts w:hint="eastAsia" w:ascii="宋体" w:hAnsi="宋体" w:eastAsia="宋体" w:cs="宋体"/>
          <w:iCs/>
          <w:sz w:val="36"/>
          <w:u w:val="single"/>
        </w:rPr>
      </w:pPr>
      <w:r>
        <w:rPr>
          <w:rFonts w:hint="eastAsia" w:ascii="宋体" w:hAnsi="宋体" w:eastAsia="宋体" w:cs="宋体"/>
          <w:iCs/>
          <w:sz w:val="36"/>
          <w:u w:val="single"/>
        </w:rPr>
        <w:t>十五、技术要求响应及偏离表（分包号：**）</w:t>
      </w:r>
    </w:p>
    <w:p w14:paraId="3EB7310A">
      <w:pPr>
        <w:pageBreakBefore w:val="0"/>
        <w:tabs>
          <w:tab w:val="left" w:pos="360"/>
        </w:tabs>
        <w:kinsoku/>
        <w:wordWrap w:val="0"/>
        <w:overflowPunct/>
        <w:topLinePunct w:val="0"/>
        <w:bidi w:val="0"/>
        <w:adjustRightInd w:val="0"/>
        <w:snapToGrid w:val="0"/>
        <w:spacing w:line="360" w:lineRule="auto"/>
        <w:jc w:val="center"/>
        <w:rPr>
          <w:rFonts w:hint="eastAsia" w:ascii="宋体" w:hAnsi="宋体" w:eastAsia="宋体" w:cs="宋体"/>
          <w:bCs/>
          <w:iCs/>
          <w:sz w:val="36"/>
          <w:szCs w:val="28"/>
        </w:rPr>
      </w:pPr>
      <w:r>
        <w:rPr>
          <w:rFonts w:hint="eastAsia" w:ascii="宋体" w:hAnsi="宋体" w:eastAsia="宋体" w:cs="宋体"/>
          <w:bCs/>
          <w:iCs/>
          <w:sz w:val="36"/>
          <w:szCs w:val="28"/>
        </w:rPr>
        <w:t>技术要求响应及偏离表</w:t>
      </w:r>
    </w:p>
    <w:p w14:paraId="101795F7">
      <w:pPr>
        <w:pageBreakBefore w:val="0"/>
        <w:kinsoku/>
        <w:wordWrap w:val="0"/>
        <w:overflowPunct/>
        <w:topLinePunct w:val="0"/>
        <w:bidi w:val="0"/>
        <w:adjustRightInd w:val="0"/>
        <w:snapToGrid w:val="0"/>
        <w:spacing w:line="360" w:lineRule="auto"/>
        <w:jc w:val="left"/>
        <w:rPr>
          <w:rFonts w:hint="eastAsia" w:ascii="宋体" w:hAnsi="宋体" w:eastAsia="宋体" w:cs="宋体"/>
          <w:iCs/>
          <w:sz w:val="36"/>
        </w:rPr>
      </w:pPr>
      <w:r>
        <w:rPr>
          <w:rFonts w:hint="eastAsia" w:ascii="宋体" w:hAnsi="宋体" w:eastAsia="宋体" w:cs="宋体"/>
          <w:iCs/>
          <w:sz w:val="24"/>
          <w:szCs w:val="24"/>
        </w:rPr>
        <w:t>项目名称：      项目编号：      分包号：</w:t>
      </w:r>
      <w:r>
        <w:rPr>
          <w:rFonts w:hint="eastAsia" w:ascii="宋体" w:hAnsi="宋体" w:eastAsia="宋体" w:cs="宋体"/>
          <w:bCs/>
          <w:iCs/>
          <w:sz w:val="24"/>
          <w:szCs w:val="24"/>
        </w:rPr>
        <w:t xml:space="preserve"> </w:t>
      </w:r>
    </w:p>
    <w:tbl>
      <w:tblPr>
        <w:tblStyle w:val="36"/>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9"/>
        <w:gridCol w:w="3273"/>
        <w:gridCol w:w="3024"/>
        <w:gridCol w:w="1399"/>
      </w:tblGrid>
      <w:tr w14:paraId="16F6C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09" w:type="dxa"/>
            <w:vAlign w:val="center"/>
          </w:tcPr>
          <w:p w14:paraId="258F681D">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r>
              <w:rPr>
                <w:rFonts w:hint="eastAsia" w:ascii="宋体" w:hAnsi="宋体" w:eastAsia="宋体" w:cs="宋体"/>
                <w:iCs/>
                <w:sz w:val="24"/>
                <w:szCs w:val="24"/>
              </w:rPr>
              <w:t>序号</w:t>
            </w:r>
          </w:p>
        </w:tc>
        <w:tc>
          <w:tcPr>
            <w:tcW w:w="3273" w:type="dxa"/>
            <w:vAlign w:val="center"/>
          </w:tcPr>
          <w:p w14:paraId="04A6FEC0">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r>
              <w:rPr>
                <w:rFonts w:hint="eastAsia" w:ascii="宋体" w:hAnsi="宋体" w:eastAsia="宋体" w:cs="宋体"/>
                <w:iCs/>
                <w:sz w:val="24"/>
                <w:szCs w:val="24"/>
              </w:rPr>
              <w:t>磋商文件要求</w:t>
            </w:r>
          </w:p>
        </w:tc>
        <w:tc>
          <w:tcPr>
            <w:tcW w:w="3024" w:type="dxa"/>
            <w:vAlign w:val="center"/>
          </w:tcPr>
          <w:p w14:paraId="0209664C">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r>
              <w:rPr>
                <w:rFonts w:hint="eastAsia" w:ascii="宋体" w:hAnsi="宋体" w:eastAsia="宋体" w:cs="宋体"/>
                <w:iCs/>
                <w:sz w:val="24"/>
                <w:szCs w:val="24"/>
              </w:rPr>
              <w:t>响应情况</w:t>
            </w:r>
          </w:p>
        </w:tc>
        <w:tc>
          <w:tcPr>
            <w:tcW w:w="1399" w:type="dxa"/>
            <w:vAlign w:val="center"/>
          </w:tcPr>
          <w:p w14:paraId="1201A5AF">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r>
              <w:rPr>
                <w:rFonts w:hint="eastAsia" w:ascii="宋体" w:hAnsi="宋体" w:eastAsia="宋体" w:cs="宋体"/>
                <w:iCs/>
                <w:sz w:val="24"/>
                <w:szCs w:val="24"/>
              </w:rPr>
              <w:t>超出、符合或偏离</w:t>
            </w:r>
          </w:p>
        </w:tc>
      </w:tr>
      <w:tr w14:paraId="2BD7A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7B7941AC">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r>
              <w:rPr>
                <w:rFonts w:hint="eastAsia" w:ascii="宋体" w:hAnsi="宋体" w:eastAsia="宋体" w:cs="宋体"/>
                <w:iCs/>
                <w:sz w:val="24"/>
                <w:szCs w:val="24"/>
              </w:rPr>
              <w:t>1</w:t>
            </w:r>
          </w:p>
        </w:tc>
        <w:tc>
          <w:tcPr>
            <w:tcW w:w="3273" w:type="dxa"/>
            <w:vAlign w:val="center"/>
          </w:tcPr>
          <w:p w14:paraId="7D79CCA6">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c>
          <w:tcPr>
            <w:tcW w:w="3024" w:type="dxa"/>
            <w:vAlign w:val="center"/>
          </w:tcPr>
          <w:p w14:paraId="08FF9C11">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c>
          <w:tcPr>
            <w:tcW w:w="1399" w:type="dxa"/>
            <w:vAlign w:val="center"/>
          </w:tcPr>
          <w:p w14:paraId="3D116EAA">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r>
      <w:tr w14:paraId="598B2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7BF79F07">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r>
              <w:rPr>
                <w:rFonts w:hint="eastAsia" w:ascii="宋体" w:hAnsi="宋体" w:eastAsia="宋体" w:cs="宋体"/>
                <w:iCs/>
                <w:sz w:val="24"/>
                <w:szCs w:val="24"/>
              </w:rPr>
              <w:t>2</w:t>
            </w:r>
          </w:p>
        </w:tc>
        <w:tc>
          <w:tcPr>
            <w:tcW w:w="3273" w:type="dxa"/>
            <w:vAlign w:val="center"/>
          </w:tcPr>
          <w:p w14:paraId="29A1EC61">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c>
          <w:tcPr>
            <w:tcW w:w="3024" w:type="dxa"/>
            <w:vAlign w:val="center"/>
          </w:tcPr>
          <w:p w14:paraId="48ACE2F1">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c>
          <w:tcPr>
            <w:tcW w:w="1399" w:type="dxa"/>
            <w:vAlign w:val="center"/>
          </w:tcPr>
          <w:p w14:paraId="203FD3E3">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r>
      <w:tr w14:paraId="677D4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4E2CD25D">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r>
              <w:rPr>
                <w:rFonts w:hint="eastAsia" w:ascii="宋体" w:hAnsi="宋体" w:eastAsia="宋体" w:cs="宋体"/>
                <w:iCs/>
                <w:sz w:val="24"/>
                <w:szCs w:val="24"/>
              </w:rPr>
              <w:t>3</w:t>
            </w:r>
          </w:p>
        </w:tc>
        <w:tc>
          <w:tcPr>
            <w:tcW w:w="3273" w:type="dxa"/>
            <w:vAlign w:val="center"/>
          </w:tcPr>
          <w:p w14:paraId="6BFD9F84">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c>
          <w:tcPr>
            <w:tcW w:w="3024" w:type="dxa"/>
            <w:vAlign w:val="center"/>
          </w:tcPr>
          <w:p w14:paraId="4F75263E">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c>
          <w:tcPr>
            <w:tcW w:w="1399" w:type="dxa"/>
            <w:vAlign w:val="center"/>
          </w:tcPr>
          <w:p w14:paraId="5CDB6FD3">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r>
      <w:tr w14:paraId="7494E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09D9F0DD">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r>
              <w:rPr>
                <w:rFonts w:hint="eastAsia" w:ascii="宋体" w:hAnsi="宋体" w:eastAsia="宋体" w:cs="宋体"/>
                <w:iCs/>
                <w:sz w:val="24"/>
                <w:szCs w:val="24"/>
              </w:rPr>
              <w:t>…</w:t>
            </w:r>
          </w:p>
        </w:tc>
        <w:tc>
          <w:tcPr>
            <w:tcW w:w="3273" w:type="dxa"/>
            <w:vAlign w:val="center"/>
          </w:tcPr>
          <w:p w14:paraId="2E8BEE22">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c>
          <w:tcPr>
            <w:tcW w:w="3024" w:type="dxa"/>
            <w:vAlign w:val="center"/>
          </w:tcPr>
          <w:p w14:paraId="47A3C404">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c>
          <w:tcPr>
            <w:tcW w:w="1399" w:type="dxa"/>
            <w:vAlign w:val="center"/>
          </w:tcPr>
          <w:p w14:paraId="68720C87">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r>
    </w:tbl>
    <w:p w14:paraId="76A84D79">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p>
    <w:p w14:paraId="221041C2">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p>
    <w:p w14:paraId="747938B1">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r>
        <w:rPr>
          <w:rFonts w:hint="eastAsia" w:ascii="宋体" w:hAnsi="宋体" w:eastAsia="宋体" w:cs="宋体"/>
          <w:iCs/>
          <w:sz w:val="24"/>
          <w:szCs w:val="24"/>
        </w:rPr>
        <w:t>供应商（盖章）：</w:t>
      </w:r>
    </w:p>
    <w:p w14:paraId="362FC3C4">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r>
        <w:rPr>
          <w:rFonts w:hint="eastAsia" w:ascii="宋体" w:hAnsi="宋体" w:eastAsia="宋体" w:cs="宋体"/>
          <w:iCs/>
          <w:sz w:val="24"/>
          <w:szCs w:val="24"/>
        </w:rPr>
        <w:t>法定代表人（单位负责人）或委托代理人（签字或盖章）：</w:t>
      </w:r>
    </w:p>
    <w:p w14:paraId="6A68F89F">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r>
        <w:rPr>
          <w:rFonts w:hint="eastAsia" w:ascii="宋体" w:hAnsi="宋体" w:eastAsia="宋体" w:cs="宋体"/>
          <w:iCs/>
          <w:sz w:val="24"/>
          <w:szCs w:val="24"/>
        </w:rPr>
        <w:t>日期：    年     月     日</w:t>
      </w:r>
    </w:p>
    <w:p w14:paraId="0258D278">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7539FBBF">
      <w:pPr>
        <w:pageBreakBefore w:val="0"/>
        <w:kinsoku/>
        <w:wordWrap w:val="0"/>
        <w:overflowPunct/>
        <w:topLinePunct w:val="0"/>
        <w:bidi w:val="0"/>
        <w:adjustRightInd w:val="0"/>
        <w:snapToGrid w:val="0"/>
        <w:spacing w:line="360" w:lineRule="auto"/>
        <w:rPr>
          <w:rFonts w:hint="eastAsia" w:ascii="宋体" w:hAnsi="宋体" w:eastAsia="宋体" w:cs="宋体"/>
          <w:iCs/>
        </w:rPr>
      </w:pPr>
    </w:p>
    <w:p w14:paraId="76492E2A">
      <w:pPr>
        <w:pageBreakBefore w:val="0"/>
        <w:kinsoku/>
        <w:wordWrap w:val="0"/>
        <w:overflowPunct/>
        <w:topLinePunct w:val="0"/>
        <w:bidi w:val="0"/>
        <w:adjustRightInd w:val="0"/>
        <w:snapToGrid w:val="0"/>
        <w:spacing w:line="360" w:lineRule="auto"/>
        <w:rPr>
          <w:rFonts w:hint="eastAsia" w:ascii="宋体" w:hAnsi="宋体" w:eastAsia="宋体" w:cs="宋体"/>
          <w:iCs/>
          <w:sz w:val="36"/>
          <w:u w:val="single"/>
        </w:rPr>
      </w:pPr>
      <w:bookmarkStart w:id="18" w:name="_Hlt26955054"/>
      <w:bookmarkEnd w:id="18"/>
      <w:r>
        <w:rPr>
          <w:rFonts w:hint="eastAsia" w:ascii="宋体" w:hAnsi="宋体" w:eastAsia="宋体" w:cs="宋体"/>
          <w:iCs/>
          <w:sz w:val="36"/>
          <w:u w:val="single"/>
        </w:rPr>
        <w:br w:type="page"/>
      </w:r>
    </w:p>
    <w:p w14:paraId="6DBB0068">
      <w:pPr>
        <w:keepNext/>
        <w:keepLines/>
        <w:pageBreakBefore w:val="0"/>
        <w:kinsoku/>
        <w:wordWrap w:val="0"/>
        <w:overflowPunct/>
        <w:topLinePunct w:val="0"/>
        <w:bidi w:val="0"/>
        <w:adjustRightInd w:val="0"/>
        <w:snapToGrid w:val="0"/>
        <w:spacing w:line="360" w:lineRule="auto"/>
        <w:jc w:val="left"/>
        <w:outlineLvl w:val="1"/>
        <w:rPr>
          <w:rFonts w:hint="eastAsia" w:ascii="宋体" w:hAnsi="宋体" w:eastAsia="宋体" w:cs="宋体"/>
          <w:iCs/>
          <w:sz w:val="36"/>
          <w:u w:val="single"/>
        </w:rPr>
      </w:pPr>
      <w:r>
        <w:rPr>
          <w:rFonts w:hint="eastAsia" w:ascii="宋体" w:hAnsi="宋体" w:eastAsia="宋体" w:cs="宋体"/>
          <w:iCs/>
          <w:sz w:val="36"/>
          <w:u w:val="single"/>
        </w:rPr>
        <w:t>十六、商务要求响应及偏离表（分包号：**）</w:t>
      </w:r>
    </w:p>
    <w:p w14:paraId="091C67E3">
      <w:pPr>
        <w:pageBreakBefore w:val="0"/>
        <w:tabs>
          <w:tab w:val="left" w:pos="360"/>
        </w:tabs>
        <w:kinsoku/>
        <w:wordWrap w:val="0"/>
        <w:overflowPunct/>
        <w:topLinePunct w:val="0"/>
        <w:bidi w:val="0"/>
        <w:adjustRightInd w:val="0"/>
        <w:snapToGrid w:val="0"/>
        <w:spacing w:line="360" w:lineRule="auto"/>
        <w:jc w:val="center"/>
        <w:rPr>
          <w:rFonts w:hint="eastAsia" w:ascii="宋体" w:hAnsi="宋体" w:eastAsia="宋体" w:cs="宋体"/>
          <w:bCs/>
          <w:iCs/>
          <w:sz w:val="36"/>
          <w:szCs w:val="28"/>
        </w:rPr>
      </w:pPr>
      <w:r>
        <w:rPr>
          <w:rFonts w:hint="eastAsia" w:ascii="宋体" w:hAnsi="宋体" w:eastAsia="宋体" w:cs="宋体"/>
          <w:bCs/>
          <w:iCs/>
          <w:sz w:val="36"/>
          <w:szCs w:val="28"/>
        </w:rPr>
        <w:t>商务要求响应及偏离表</w:t>
      </w:r>
    </w:p>
    <w:p w14:paraId="35394AF2">
      <w:pPr>
        <w:pageBreakBefore w:val="0"/>
        <w:kinsoku/>
        <w:wordWrap w:val="0"/>
        <w:overflowPunct/>
        <w:topLinePunct w:val="0"/>
        <w:bidi w:val="0"/>
        <w:adjustRightInd w:val="0"/>
        <w:snapToGrid w:val="0"/>
        <w:spacing w:line="360" w:lineRule="auto"/>
        <w:jc w:val="left"/>
        <w:rPr>
          <w:rFonts w:hint="eastAsia" w:ascii="宋体" w:hAnsi="宋体" w:eastAsia="宋体" w:cs="宋体"/>
          <w:iCs/>
        </w:rPr>
      </w:pPr>
      <w:r>
        <w:rPr>
          <w:rFonts w:hint="eastAsia" w:ascii="宋体" w:hAnsi="宋体" w:eastAsia="宋体" w:cs="宋体"/>
          <w:iCs/>
          <w:sz w:val="24"/>
          <w:szCs w:val="24"/>
        </w:rPr>
        <w:t>项目名称：      项目编号：      分包号：</w:t>
      </w:r>
      <w:r>
        <w:rPr>
          <w:rFonts w:hint="eastAsia" w:ascii="宋体" w:hAnsi="宋体" w:eastAsia="宋体" w:cs="宋体"/>
          <w:bCs/>
          <w:iCs/>
          <w:sz w:val="24"/>
          <w:szCs w:val="24"/>
        </w:rPr>
        <w:t xml:space="preserve"> </w:t>
      </w:r>
    </w:p>
    <w:tbl>
      <w:tblPr>
        <w:tblStyle w:val="36"/>
        <w:tblW w:w="85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3"/>
        <w:gridCol w:w="3034"/>
        <w:gridCol w:w="1391"/>
      </w:tblGrid>
      <w:tr w14:paraId="3EEAF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17" w:type="dxa"/>
            <w:vAlign w:val="center"/>
          </w:tcPr>
          <w:p w14:paraId="1E2EE939">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bookmarkStart w:id="19" w:name="_Hlt26671343"/>
            <w:bookmarkEnd w:id="19"/>
            <w:bookmarkStart w:id="20" w:name="_Hlt26580838"/>
            <w:bookmarkEnd w:id="20"/>
            <w:bookmarkStart w:id="21" w:name="_Hlt26955056"/>
            <w:bookmarkEnd w:id="21"/>
            <w:bookmarkStart w:id="22" w:name="_Hlt26955064"/>
            <w:bookmarkEnd w:id="22"/>
            <w:bookmarkStart w:id="23" w:name="_Hlt24879081"/>
            <w:bookmarkEnd w:id="23"/>
            <w:bookmarkStart w:id="24" w:name="_Hlt26671372"/>
            <w:bookmarkEnd w:id="24"/>
            <w:bookmarkStart w:id="25" w:name="_Hlt26782999"/>
            <w:bookmarkEnd w:id="25"/>
            <w:bookmarkStart w:id="26" w:name="_Hlt26609391"/>
            <w:bookmarkEnd w:id="26"/>
            <w:r>
              <w:rPr>
                <w:rFonts w:hint="eastAsia" w:ascii="宋体" w:hAnsi="宋体" w:eastAsia="宋体" w:cs="宋体"/>
                <w:iCs/>
                <w:sz w:val="24"/>
                <w:szCs w:val="24"/>
              </w:rPr>
              <w:t>序号</w:t>
            </w:r>
          </w:p>
        </w:tc>
        <w:tc>
          <w:tcPr>
            <w:tcW w:w="3263" w:type="dxa"/>
            <w:vAlign w:val="center"/>
          </w:tcPr>
          <w:p w14:paraId="42AEF493">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r>
              <w:rPr>
                <w:rFonts w:hint="eastAsia" w:ascii="宋体" w:hAnsi="宋体" w:eastAsia="宋体" w:cs="宋体"/>
                <w:iCs/>
                <w:sz w:val="24"/>
                <w:szCs w:val="24"/>
              </w:rPr>
              <w:t>磋商文件要求</w:t>
            </w:r>
          </w:p>
        </w:tc>
        <w:tc>
          <w:tcPr>
            <w:tcW w:w="3034" w:type="dxa"/>
            <w:vAlign w:val="center"/>
          </w:tcPr>
          <w:p w14:paraId="0249360A">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r>
              <w:rPr>
                <w:rFonts w:hint="eastAsia" w:ascii="宋体" w:hAnsi="宋体" w:eastAsia="宋体" w:cs="宋体"/>
                <w:iCs/>
                <w:sz w:val="24"/>
                <w:szCs w:val="24"/>
              </w:rPr>
              <w:t>响应情况</w:t>
            </w:r>
          </w:p>
        </w:tc>
        <w:tc>
          <w:tcPr>
            <w:tcW w:w="1391" w:type="dxa"/>
            <w:vAlign w:val="center"/>
          </w:tcPr>
          <w:p w14:paraId="7E130F91">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r>
              <w:rPr>
                <w:rFonts w:hint="eastAsia" w:ascii="宋体" w:hAnsi="宋体" w:eastAsia="宋体" w:cs="宋体"/>
                <w:iCs/>
                <w:sz w:val="24"/>
                <w:szCs w:val="24"/>
              </w:rPr>
              <w:t>超出、符合或偏离</w:t>
            </w:r>
          </w:p>
        </w:tc>
      </w:tr>
      <w:tr w14:paraId="09DD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391A1DC7">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r>
              <w:rPr>
                <w:rFonts w:hint="eastAsia" w:ascii="宋体" w:hAnsi="宋体" w:eastAsia="宋体" w:cs="宋体"/>
                <w:iCs/>
                <w:sz w:val="24"/>
                <w:szCs w:val="24"/>
              </w:rPr>
              <w:t>1</w:t>
            </w:r>
          </w:p>
        </w:tc>
        <w:tc>
          <w:tcPr>
            <w:tcW w:w="3263" w:type="dxa"/>
            <w:vAlign w:val="center"/>
          </w:tcPr>
          <w:p w14:paraId="49D187CB">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c>
          <w:tcPr>
            <w:tcW w:w="3034" w:type="dxa"/>
            <w:vAlign w:val="center"/>
          </w:tcPr>
          <w:p w14:paraId="6637FD37">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c>
          <w:tcPr>
            <w:tcW w:w="1391" w:type="dxa"/>
            <w:vAlign w:val="center"/>
          </w:tcPr>
          <w:p w14:paraId="4B2F1587">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r>
      <w:tr w14:paraId="098E0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61B37787">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r>
              <w:rPr>
                <w:rFonts w:hint="eastAsia" w:ascii="宋体" w:hAnsi="宋体" w:eastAsia="宋体" w:cs="宋体"/>
                <w:iCs/>
                <w:sz w:val="24"/>
                <w:szCs w:val="24"/>
              </w:rPr>
              <w:t>2</w:t>
            </w:r>
          </w:p>
        </w:tc>
        <w:tc>
          <w:tcPr>
            <w:tcW w:w="3263" w:type="dxa"/>
            <w:vAlign w:val="center"/>
          </w:tcPr>
          <w:p w14:paraId="433A56A0">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c>
          <w:tcPr>
            <w:tcW w:w="3034" w:type="dxa"/>
            <w:vAlign w:val="center"/>
          </w:tcPr>
          <w:p w14:paraId="784F33F6">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c>
          <w:tcPr>
            <w:tcW w:w="1391" w:type="dxa"/>
            <w:vAlign w:val="center"/>
          </w:tcPr>
          <w:p w14:paraId="207581BC">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r>
      <w:tr w14:paraId="68221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542E96A0">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r>
              <w:rPr>
                <w:rFonts w:hint="eastAsia" w:ascii="宋体" w:hAnsi="宋体" w:eastAsia="宋体" w:cs="宋体"/>
                <w:iCs/>
                <w:sz w:val="24"/>
                <w:szCs w:val="24"/>
              </w:rPr>
              <w:t>3</w:t>
            </w:r>
          </w:p>
        </w:tc>
        <w:tc>
          <w:tcPr>
            <w:tcW w:w="3263" w:type="dxa"/>
            <w:vAlign w:val="center"/>
          </w:tcPr>
          <w:p w14:paraId="49C512CC">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c>
          <w:tcPr>
            <w:tcW w:w="3034" w:type="dxa"/>
            <w:vAlign w:val="center"/>
          </w:tcPr>
          <w:p w14:paraId="69440A56">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c>
          <w:tcPr>
            <w:tcW w:w="1391" w:type="dxa"/>
            <w:vAlign w:val="center"/>
          </w:tcPr>
          <w:p w14:paraId="19FB4099">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r>
      <w:tr w14:paraId="2FA5E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504DFEF2">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r>
              <w:rPr>
                <w:rFonts w:hint="eastAsia" w:ascii="宋体" w:hAnsi="宋体" w:eastAsia="宋体" w:cs="宋体"/>
                <w:iCs/>
                <w:sz w:val="24"/>
                <w:szCs w:val="24"/>
              </w:rPr>
              <w:t>…</w:t>
            </w:r>
          </w:p>
        </w:tc>
        <w:tc>
          <w:tcPr>
            <w:tcW w:w="3263" w:type="dxa"/>
            <w:vAlign w:val="center"/>
          </w:tcPr>
          <w:p w14:paraId="4FE41D96">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c>
          <w:tcPr>
            <w:tcW w:w="3034" w:type="dxa"/>
            <w:vAlign w:val="center"/>
          </w:tcPr>
          <w:p w14:paraId="046D7B3B">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c>
          <w:tcPr>
            <w:tcW w:w="1391" w:type="dxa"/>
            <w:vAlign w:val="center"/>
          </w:tcPr>
          <w:p w14:paraId="44F359BF">
            <w:pPr>
              <w:pageBreakBefore w:val="0"/>
              <w:kinsoku/>
              <w:wordWrap w:val="0"/>
              <w:overflowPunct/>
              <w:topLinePunct w:val="0"/>
              <w:bidi w:val="0"/>
              <w:adjustRightInd w:val="0"/>
              <w:snapToGrid w:val="0"/>
              <w:spacing w:line="360" w:lineRule="auto"/>
              <w:jc w:val="center"/>
              <w:rPr>
                <w:rFonts w:hint="eastAsia" w:ascii="宋体" w:hAnsi="宋体" w:eastAsia="宋体" w:cs="宋体"/>
                <w:iCs/>
                <w:sz w:val="24"/>
                <w:szCs w:val="24"/>
              </w:rPr>
            </w:pPr>
          </w:p>
        </w:tc>
      </w:tr>
    </w:tbl>
    <w:p w14:paraId="01A7C627">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p>
    <w:p w14:paraId="16648481">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p>
    <w:p w14:paraId="4885C275">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r>
        <w:rPr>
          <w:rFonts w:hint="eastAsia" w:ascii="宋体" w:hAnsi="宋体" w:eastAsia="宋体" w:cs="宋体"/>
          <w:iCs/>
          <w:sz w:val="24"/>
          <w:szCs w:val="24"/>
        </w:rPr>
        <w:t>供应商（盖章）：</w:t>
      </w:r>
    </w:p>
    <w:p w14:paraId="32C7AD2C">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r>
        <w:rPr>
          <w:rFonts w:hint="eastAsia" w:ascii="宋体" w:hAnsi="宋体" w:eastAsia="宋体" w:cs="宋体"/>
          <w:iCs/>
          <w:sz w:val="24"/>
          <w:szCs w:val="24"/>
        </w:rPr>
        <w:t>法定代表人（单位负责人）或委托代理人（签字或盖章）：</w:t>
      </w:r>
    </w:p>
    <w:p w14:paraId="4FBD222F">
      <w:pPr>
        <w:pageBreakBefore w:val="0"/>
        <w:kinsoku/>
        <w:wordWrap w:val="0"/>
        <w:overflowPunct/>
        <w:topLinePunct w:val="0"/>
        <w:bidi w:val="0"/>
        <w:adjustRightInd w:val="0"/>
        <w:snapToGrid w:val="0"/>
        <w:spacing w:line="360" w:lineRule="auto"/>
        <w:ind w:firstLine="480"/>
        <w:rPr>
          <w:rFonts w:hint="eastAsia" w:ascii="宋体" w:hAnsi="宋体" w:eastAsia="宋体" w:cs="宋体"/>
          <w:iCs/>
          <w:sz w:val="24"/>
          <w:szCs w:val="24"/>
        </w:rPr>
      </w:pPr>
      <w:r>
        <w:rPr>
          <w:rFonts w:hint="eastAsia" w:ascii="宋体" w:hAnsi="宋体" w:eastAsia="宋体" w:cs="宋体"/>
          <w:iCs/>
          <w:sz w:val="24"/>
          <w:szCs w:val="24"/>
        </w:rPr>
        <w:t>日期：    年     月     日</w:t>
      </w:r>
    </w:p>
    <w:p w14:paraId="5BBEDEE6">
      <w:pPr>
        <w:pageBreakBefore w:val="0"/>
        <w:widowControl/>
        <w:kinsoku/>
        <w:wordWrap w:val="0"/>
        <w:overflowPunct/>
        <w:topLinePunct w:val="0"/>
        <w:bidi w:val="0"/>
        <w:adjustRightInd w:val="0"/>
        <w:snapToGrid w:val="0"/>
        <w:spacing w:line="360" w:lineRule="auto"/>
        <w:jc w:val="left"/>
        <w:rPr>
          <w:rFonts w:hint="eastAsia" w:ascii="宋体" w:hAnsi="宋体" w:eastAsia="宋体" w:cs="宋体"/>
          <w:bCs/>
          <w:iCs/>
          <w:sz w:val="40"/>
          <w:szCs w:val="32"/>
        </w:rPr>
      </w:pPr>
      <w:bookmarkStart w:id="27" w:name="_Hlt26609389"/>
      <w:bookmarkEnd w:id="27"/>
      <w:bookmarkStart w:id="28" w:name="_Hlt26671374"/>
      <w:bookmarkEnd w:id="28"/>
      <w:bookmarkStart w:id="29" w:name="_Hlt26955066"/>
      <w:bookmarkEnd w:id="29"/>
      <w:bookmarkStart w:id="30" w:name="_格式2__法定代表人授权书"/>
      <w:bookmarkEnd w:id="30"/>
      <w:r>
        <w:rPr>
          <w:rFonts w:hint="eastAsia" w:ascii="宋体" w:hAnsi="宋体" w:eastAsia="宋体" w:cs="宋体"/>
          <w:bCs/>
          <w:iCs/>
          <w:sz w:val="40"/>
          <w:szCs w:val="32"/>
        </w:rPr>
        <w:br w:type="page" w:clear="all"/>
      </w:r>
    </w:p>
    <w:p w14:paraId="583136FB">
      <w:pPr>
        <w:keepNext/>
        <w:keepLines/>
        <w:pageBreakBefore w:val="0"/>
        <w:kinsoku/>
        <w:wordWrap w:val="0"/>
        <w:overflowPunct/>
        <w:topLinePunct w:val="0"/>
        <w:bidi w:val="0"/>
        <w:adjustRightInd w:val="0"/>
        <w:snapToGrid w:val="0"/>
        <w:spacing w:line="360" w:lineRule="auto"/>
        <w:jc w:val="left"/>
        <w:outlineLvl w:val="1"/>
        <w:rPr>
          <w:rFonts w:hint="eastAsia" w:ascii="宋体" w:hAnsi="宋体" w:eastAsia="宋体" w:cs="宋体"/>
          <w:iCs/>
          <w:sz w:val="36"/>
          <w:u w:val="single"/>
        </w:rPr>
      </w:pPr>
      <w:r>
        <w:rPr>
          <w:rFonts w:hint="eastAsia" w:ascii="宋体" w:hAnsi="宋体" w:eastAsia="宋体" w:cs="宋体"/>
          <w:iCs/>
          <w:sz w:val="36"/>
          <w:u w:val="single"/>
        </w:rPr>
        <w:t>十七、类似项目业绩一览表（分包号：**）</w:t>
      </w:r>
    </w:p>
    <w:p w14:paraId="707D6434">
      <w:pPr>
        <w:pageBreakBefore w:val="0"/>
        <w:tabs>
          <w:tab w:val="left" w:pos="360"/>
        </w:tabs>
        <w:kinsoku/>
        <w:wordWrap w:val="0"/>
        <w:overflowPunct/>
        <w:topLinePunct w:val="0"/>
        <w:bidi w:val="0"/>
        <w:adjustRightInd w:val="0"/>
        <w:snapToGrid w:val="0"/>
        <w:spacing w:line="360" w:lineRule="auto"/>
        <w:jc w:val="center"/>
        <w:rPr>
          <w:rFonts w:hint="eastAsia" w:ascii="宋体" w:hAnsi="宋体" w:eastAsia="宋体" w:cs="宋体"/>
          <w:bCs/>
          <w:sz w:val="36"/>
          <w:szCs w:val="28"/>
        </w:rPr>
      </w:pPr>
      <w:r>
        <w:rPr>
          <w:rFonts w:hint="eastAsia" w:ascii="宋体" w:hAnsi="宋体" w:eastAsia="宋体" w:cs="宋体"/>
          <w:bCs/>
          <w:sz w:val="36"/>
          <w:szCs w:val="28"/>
        </w:rPr>
        <w:t>类似项目业绩一览表</w:t>
      </w:r>
    </w:p>
    <w:p w14:paraId="600B4577">
      <w:pPr>
        <w:pageBreakBefore w:val="0"/>
        <w:kinsoku/>
        <w:wordWrap w:val="0"/>
        <w:overflowPunct/>
        <w:topLinePunct w:val="0"/>
        <w:bidi w:val="0"/>
        <w:adjustRightInd w:val="0"/>
        <w:snapToGrid w:val="0"/>
        <w:spacing w:line="360" w:lineRule="auto"/>
        <w:ind w:firstLine="720" w:firstLineChars="300"/>
        <w:jc w:val="left"/>
        <w:rPr>
          <w:rFonts w:hint="eastAsia" w:ascii="宋体" w:hAnsi="宋体" w:eastAsia="宋体" w:cs="宋体"/>
        </w:rPr>
      </w:pPr>
      <w:r>
        <w:rPr>
          <w:rFonts w:hint="eastAsia" w:ascii="宋体" w:hAnsi="宋体" w:eastAsia="宋体" w:cs="宋体"/>
          <w:sz w:val="24"/>
          <w:szCs w:val="24"/>
        </w:rPr>
        <w:t xml:space="preserve">项目名称：      项目编号：     </w:t>
      </w:r>
      <w:r>
        <w:rPr>
          <w:rFonts w:hint="eastAsia" w:ascii="宋体" w:hAnsi="宋体" w:eastAsia="宋体" w:cs="宋体"/>
          <w:bCs/>
          <w:sz w:val="24"/>
          <w:szCs w:val="24"/>
        </w:rPr>
        <w:t xml:space="preserve"> </w:t>
      </w:r>
      <w:r>
        <w:rPr>
          <w:rFonts w:hint="eastAsia" w:ascii="宋体" w:hAnsi="宋体" w:eastAsia="宋体" w:cs="宋体"/>
          <w:iCs/>
          <w:sz w:val="24"/>
          <w:szCs w:val="24"/>
        </w:rPr>
        <w:t>分包号：</w:t>
      </w:r>
      <w:r>
        <w:rPr>
          <w:rFonts w:hint="eastAsia" w:ascii="宋体" w:hAnsi="宋体" w:eastAsia="宋体" w:cs="宋体"/>
          <w:bCs/>
          <w:iCs/>
          <w:sz w:val="24"/>
          <w:szCs w:val="24"/>
        </w:rPr>
        <w:t xml:space="preserve"> </w:t>
      </w:r>
    </w:p>
    <w:tbl>
      <w:tblPr>
        <w:tblStyle w:val="36"/>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86"/>
        <w:gridCol w:w="1850"/>
        <w:gridCol w:w="1985"/>
        <w:gridCol w:w="1309"/>
      </w:tblGrid>
      <w:tr w14:paraId="1280A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675" w:type="dxa"/>
            <w:vAlign w:val="center"/>
          </w:tcPr>
          <w:p w14:paraId="455F1444">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686" w:type="dxa"/>
            <w:vAlign w:val="center"/>
          </w:tcPr>
          <w:p w14:paraId="2B4B9418">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850" w:type="dxa"/>
            <w:vAlign w:val="center"/>
          </w:tcPr>
          <w:p w14:paraId="68BF11FC">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签订时间</w:t>
            </w:r>
          </w:p>
        </w:tc>
        <w:tc>
          <w:tcPr>
            <w:tcW w:w="1985" w:type="dxa"/>
            <w:vAlign w:val="center"/>
          </w:tcPr>
          <w:p w14:paraId="38D9887B">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采购单位</w:t>
            </w:r>
          </w:p>
        </w:tc>
        <w:tc>
          <w:tcPr>
            <w:tcW w:w="1309" w:type="dxa"/>
            <w:vAlign w:val="center"/>
          </w:tcPr>
          <w:p w14:paraId="5A404AB6">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主要标的</w:t>
            </w:r>
          </w:p>
        </w:tc>
      </w:tr>
      <w:tr w14:paraId="7C0DF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vAlign w:val="center"/>
          </w:tcPr>
          <w:p w14:paraId="5D4AF4EF">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2686" w:type="dxa"/>
            <w:vAlign w:val="center"/>
          </w:tcPr>
          <w:p w14:paraId="5064EC8D">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1850" w:type="dxa"/>
          </w:tcPr>
          <w:p w14:paraId="6A59C159">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1985" w:type="dxa"/>
            <w:vAlign w:val="center"/>
          </w:tcPr>
          <w:p w14:paraId="46E3330F">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1309" w:type="dxa"/>
            <w:vAlign w:val="center"/>
          </w:tcPr>
          <w:p w14:paraId="71DF0AC4">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r>
      <w:tr w14:paraId="11AF6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vAlign w:val="center"/>
          </w:tcPr>
          <w:p w14:paraId="499689D4">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2686" w:type="dxa"/>
            <w:vAlign w:val="center"/>
          </w:tcPr>
          <w:p w14:paraId="62F197FB">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1850" w:type="dxa"/>
          </w:tcPr>
          <w:p w14:paraId="40B4163D">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1985" w:type="dxa"/>
            <w:vAlign w:val="center"/>
          </w:tcPr>
          <w:p w14:paraId="3A37A7EF">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1309" w:type="dxa"/>
            <w:vAlign w:val="center"/>
          </w:tcPr>
          <w:p w14:paraId="0BDDC665">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r>
      <w:tr w14:paraId="29324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vAlign w:val="center"/>
          </w:tcPr>
          <w:p w14:paraId="335F7AE0">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2686" w:type="dxa"/>
            <w:vAlign w:val="center"/>
          </w:tcPr>
          <w:p w14:paraId="07479F01">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1850" w:type="dxa"/>
          </w:tcPr>
          <w:p w14:paraId="0FE594A4">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1985" w:type="dxa"/>
            <w:vAlign w:val="center"/>
          </w:tcPr>
          <w:p w14:paraId="7EE22730">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1309" w:type="dxa"/>
            <w:vAlign w:val="center"/>
          </w:tcPr>
          <w:p w14:paraId="0BA1E287">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r>
    </w:tbl>
    <w:p w14:paraId="07B22399">
      <w:pPr>
        <w:pageBreakBefore w:val="0"/>
        <w:kinsoku/>
        <w:wordWrap w:val="0"/>
        <w:overflowPunct/>
        <w:topLinePunct w:val="0"/>
        <w:bidi w:val="0"/>
        <w:adjustRightInd w:val="0"/>
        <w:snapToGrid w:val="0"/>
        <w:spacing w:line="360" w:lineRule="auto"/>
        <w:ind w:firstLine="480"/>
        <w:rPr>
          <w:rFonts w:hint="eastAsia" w:ascii="宋体" w:hAnsi="宋体" w:eastAsia="宋体" w:cs="宋体"/>
          <w:sz w:val="24"/>
          <w:szCs w:val="24"/>
        </w:rPr>
      </w:pPr>
    </w:p>
    <w:p w14:paraId="02204609">
      <w:pPr>
        <w:pageBreakBefore w:val="0"/>
        <w:kinsoku/>
        <w:wordWrap w:val="0"/>
        <w:overflowPunct/>
        <w:topLinePunct w:val="0"/>
        <w:bidi w:val="0"/>
        <w:adjustRightInd w:val="0"/>
        <w:snapToGrid w:val="0"/>
        <w:spacing w:line="360" w:lineRule="auto"/>
        <w:ind w:firstLine="480"/>
        <w:rPr>
          <w:rFonts w:hint="eastAsia" w:ascii="宋体" w:hAnsi="宋体" w:eastAsia="宋体" w:cs="宋体"/>
          <w:sz w:val="24"/>
          <w:szCs w:val="24"/>
        </w:rPr>
      </w:pPr>
    </w:p>
    <w:p w14:paraId="5F5AB825">
      <w:pPr>
        <w:pageBreakBefore w:val="0"/>
        <w:kinsoku/>
        <w:wordWrap w:val="0"/>
        <w:overflowPunct/>
        <w:topLinePunct w:val="0"/>
        <w:bidi w:val="0"/>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供应商（盖章）：</w:t>
      </w:r>
    </w:p>
    <w:p w14:paraId="1E2455B7">
      <w:pPr>
        <w:pageBreakBefore w:val="0"/>
        <w:kinsoku/>
        <w:wordWrap w:val="0"/>
        <w:overflowPunct/>
        <w:topLinePunct w:val="0"/>
        <w:bidi w:val="0"/>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法定代表人（单位负责人）或委托代理人（签字或盖章）：</w:t>
      </w:r>
    </w:p>
    <w:p w14:paraId="547C687B">
      <w:pPr>
        <w:pageBreakBefore w:val="0"/>
        <w:kinsoku/>
        <w:wordWrap w:val="0"/>
        <w:overflowPunct/>
        <w:topLinePunct w:val="0"/>
        <w:bidi w:val="0"/>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日期：    年     月     日</w:t>
      </w:r>
    </w:p>
    <w:p w14:paraId="20809AB2">
      <w:pPr>
        <w:pageBreakBefore w:val="0"/>
        <w:kinsoku/>
        <w:wordWrap w:val="0"/>
        <w:overflowPunct/>
        <w:topLinePunct w:val="0"/>
        <w:bidi w:val="0"/>
        <w:adjustRightInd w:val="0"/>
        <w:snapToGrid w:val="0"/>
        <w:spacing w:line="360" w:lineRule="auto"/>
        <w:rPr>
          <w:rFonts w:hint="eastAsia" w:ascii="宋体" w:hAnsi="宋体" w:eastAsia="宋体" w:cs="宋体"/>
          <w:bCs/>
          <w:sz w:val="40"/>
          <w:szCs w:val="32"/>
        </w:rPr>
      </w:pPr>
    </w:p>
    <w:p w14:paraId="609C74F9">
      <w:pPr>
        <w:pageBreakBefore w:val="0"/>
        <w:kinsoku/>
        <w:wordWrap w:val="0"/>
        <w:overflowPunct/>
        <w:topLinePunct w:val="0"/>
        <w:bidi w:val="0"/>
        <w:adjustRightInd w:val="0"/>
        <w:snapToGrid w:val="0"/>
        <w:spacing w:line="360" w:lineRule="auto"/>
        <w:rPr>
          <w:rFonts w:hint="eastAsia" w:ascii="宋体" w:hAnsi="宋体" w:eastAsia="宋体" w:cs="宋体"/>
          <w:bCs/>
          <w:sz w:val="40"/>
          <w:szCs w:val="32"/>
        </w:rPr>
      </w:pPr>
      <w:r>
        <w:rPr>
          <w:rFonts w:hint="eastAsia" w:ascii="宋体" w:hAnsi="宋体" w:eastAsia="宋体" w:cs="宋体"/>
          <w:bCs/>
          <w:sz w:val="40"/>
          <w:szCs w:val="32"/>
        </w:rPr>
        <w:br w:type="page"/>
      </w:r>
    </w:p>
    <w:p w14:paraId="29E94627">
      <w:pPr>
        <w:keepNext/>
        <w:keepLines/>
        <w:pageBreakBefore w:val="0"/>
        <w:kinsoku/>
        <w:wordWrap w:val="0"/>
        <w:overflowPunct/>
        <w:topLinePunct w:val="0"/>
        <w:bidi w:val="0"/>
        <w:adjustRightInd w:val="0"/>
        <w:snapToGrid w:val="0"/>
        <w:spacing w:line="360" w:lineRule="auto"/>
        <w:jc w:val="left"/>
        <w:outlineLvl w:val="1"/>
        <w:rPr>
          <w:rFonts w:hint="eastAsia" w:ascii="宋体" w:hAnsi="宋体" w:eastAsia="宋体" w:cs="宋体"/>
          <w:iCs/>
          <w:sz w:val="36"/>
          <w:u w:val="single"/>
        </w:rPr>
      </w:pPr>
      <w:r>
        <w:rPr>
          <w:rFonts w:hint="eastAsia" w:ascii="宋体" w:hAnsi="宋体" w:eastAsia="宋体" w:cs="宋体"/>
          <w:iCs/>
          <w:sz w:val="36"/>
          <w:u w:val="single"/>
        </w:rPr>
        <w:t>十八、项目团队人员一览表（分包号：**）</w:t>
      </w:r>
    </w:p>
    <w:p w14:paraId="5B1F500A">
      <w:pPr>
        <w:pageBreakBefore w:val="0"/>
        <w:tabs>
          <w:tab w:val="left" w:pos="360"/>
        </w:tabs>
        <w:kinsoku/>
        <w:wordWrap w:val="0"/>
        <w:overflowPunct/>
        <w:topLinePunct w:val="0"/>
        <w:bidi w:val="0"/>
        <w:adjustRightInd w:val="0"/>
        <w:snapToGrid w:val="0"/>
        <w:spacing w:line="360" w:lineRule="auto"/>
        <w:jc w:val="center"/>
        <w:rPr>
          <w:rFonts w:hint="eastAsia" w:ascii="宋体" w:hAnsi="宋体" w:eastAsia="宋体" w:cs="宋体"/>
          <w:bCs/>
          <w:sz w:val="36"/>
          <w:szCs w:val="28"/>
        </w:rPr>
      </w:pPr>
      <w:r>
        <w:rPr>
          <w:rFonts w:hint="eastAsia" w:ascii="宋体" w:hAnsi="宋体" w:eastAsia="宋体" w:cs="宋体"/>
          <w:bCs/>
          <w:sz w:val="36"/>
          <w:szCs w:val="28"/>
        </w:rPr>
        <w:t>项目团队人员一览表</w:t>
      </w:r>
    </w:p>
    <w:p w14:paraId="184F0EC0">
      <w:pPr>
        <w:pageBreakBefore w:val="0"/>
        <w:kinsoku/>
        <w:wordWrap w:val="0"/>
        <w:overflowPunct/>
        <w:topLinePunct w:val="0"/>
        <w:bidi w:val="0"/>
        <w:adjustRightInd w:val="0"/>
        <w:snapToGrid w:val="0"/>
        <w:spacing w:line="360" w:lineRule="auto"/>
        <w:ind w:firstLine="720" w:firstLineChars="300"/>
        <w:jc w:val="left"/>
        <w:rPr>
          <w:rFonts w:hint="eastAsia" w:ascii="宋体" w:hAnsi="宋体" w:eastAsia="宋体" w:cs="宋体"/>
        </w:rPr>
      </w:pPr>
      <w:r>
        <w:rPr>
          <w:rFonts w:hint="eastAsia" w:ascii="宋体" w:hAnsi="宋体" w:eastAsia="宋体" w:cs="宋体"/>
          <w:sz w:val="24"/>
          <w:szCs w:val="24"/>
        </w:rPr>
        <w:t xml:space="preserve">项目名称：      项目编号：      </w:t>
      </w:r>
      <w:r>
        <w:rPr>
          <w:rFonts w:hint="eastAsia" w:ascii="宋体" w:hAnsi="宋体" w:eastAsia="宋体" w:cs="宋体"/>
          <w:bCs/>
          <w:sz w:val="24"/>
          <w:szCs w:val="24"/>
        </w:rPr>
        <w:t xml:space="preserve"> 分包号：</w:t>
      </w:r>
    </w:p>
    <w:tbl>
      <w:tblPr>
        <w:tblStyle w:val="36"/>
        <w:tblW w:w="8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1"/>
        <w:gridCol w:w="1446"/>
        <w:gridCol w:w="2239"/>
        <w:gridCol w:w="1134"/>
        <w:gridCol w:w="2727"/>
      </w:tblGrid>
      <w:tr w14:paraId="3A1BC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51" w:type="dxa"/>
            <w:vAlign w:val="center"/>
          </w:tcPr>
          <w:p w14:paraId="387B527B">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1446" w:type="dxa"/>
            <w:vAlign w:val="center"/>
          </w:tcPr>
          <w:p w14:paraId="3576AA77">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本项目拟担任职务</w:t>
            </w:r>
          </w:p>
        </w:tc>
        <w:tc>
          <w:tcPr>
            <w:tcW w:w="2239" w:type="dxa"/>
            <w:vAlign w:val="center"/>
          </w:tcPr>
          <w:p w14:paraId="636C12A2">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技术职称、专业资质</w:t>
            </w:r>
          </w:p>
        </w:tc>
        <w:tc>
          <w:tcPr>
            <w:tcW w:w="1134" w:type="dxa"/>
            <w:vAlign w:val="center"/>
          </w:tcPr>
          <w:p w14:paraId="7217FFB5">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学历</w:t>
            </w:r>
          </w:p>
        </w:tc>
        <w:tc>
          <w:tcPr>
            <w:tcW w:w="2727" w:type="dxa"/>
            <w:vAlign w:val="center"/>
          </w:tcPr>
          <w:p w14:paraId="539F76E9">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主要资历及担任过的职务</w:t>
            </w:r>
          </w:p>
        </w:tc>
      </w:tr>
      <w:tr w14:paraId="63783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vAlign w:val="center"/>
          </w:tcPr>
          <w:p w14:paraId="4E592978">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1446" w:type="dxa"/>
            <w:vAlign w:val="center"/>
          </w:tcPr>
          <w:p w14:paraId="02CC62AE">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2239" w:type="dxa"/>
          </w:tcPr>
          <w:p w14:paraId="02EFD691">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1134" w:type="dxa"/>
          </w:tcPr>
          <w:p w14:paraId="60F6F8FF">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2727" w:type="dxa"/>
            <w:vAlign w:val="center"/>
          </w:tcPr>
          <w:p w14:paraId="69F697B4">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r>
      <w:tr w14:paraId="401DF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vAlign w:val="center"/>
          </w:tcPr>
          <w:p w14:paraId="11B17C9B">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1446" w:type="dxa"/>
            <w:vAlign w:val="center"/>
          </w:tcPr>
          <w:p w14:paraId="7C455591">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2239" w:type="dxa"/>
          </w:tcPr>
          <w:p w14:paraId="3DFCAC47">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1134" w:type="dxa"/>
          </w:tcPr>
          <w:p w14:paraId="53DD521C">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2727" w:type="dxa"/>
            <w:vAlign w:val="center"/>
          </w:tcPr>
          <w:p w14:paraId="712FCBD0">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r>
      <w:tr w14:paraId="0EEF7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vAlign w:val="center"/>
          </w:tcPr>
          <w:p w14:paraId="71533E69">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1446" w:type="dxa"/>
            <w:vAlign w:val="center"/>
          </w:tcPr>
          <w:p w14:paraId="0E991CBD">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2239" w:type="dxa"/>
          </w:tcPr>
          <w:p w14:paraId="48818E0C">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1134" w:type="dxa"/>
          </w:tcPr>
          <w:p w14:paraId="5FBB0668">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c>
          <w:tcPr>
            <w:tcW w:w="2727" w:type="dxa"/>
            <w:vAlign w:val="center"/>
          </w:tcPr>
          <w:p w14:paraId="720ABEDC">
            <w:pPr>
              <w:pageBreakBefore w:val="0"/>
              <w:kinsoku/>
              <w:wordWrap w:val="0"/>
              <w:overflowPunct/>
              <w:topLinePunct w:val="0"/>
              <w:bidi w:val="0"/>
              <w:adjustRightInd w:val="0"/>
              <w:snapToGrid w:val="0"/>
              <w:spacing w:line="360" w:lineRule="auto"/>
              <w:jc w:val="center"/>
              <w:rPr>
                <w:rFonts w:hint="eastAsia" w:ascii="宋体" w:hAnsi="宋体" w:eastAsia="宋体" w:cs="宋体"/>
                <w:sz w:val="24"/>
                <w:szCs w:val="24"/>
              </w:rPr>
            </w:pPr>
          </w:p>
        </w:tc>
      </w:tr>
    </w:tbl>
    <w:p w14:paraId="44C3708B">
      <w:pPr>
        <w:pageBreakBefore w:val="0"/>
        <w:kinsoku/>
        <w:wordWrap w:val="0"/>
        <w:overflowPunct/>
        <w:topLinePunct w:val="0"/>
        <w:bidi w:val="0"/>
        <w:adjustRightInd w:val="0"/>
        <w:snapToGrid w:val="0"/>
        <w:spacing w:line="360" w:lineRule="auto"/>
        <w:ind w:firstLine="480"/>
        <w:rPr>
          <w:rFonts w:hint="eastAsia" w:ascii="宋体" w:hAnsi="宋体" w:eastAsia="宋体" w:cs="宋体"/>
          <w:sz w:val="24"/>
          <w:szCs w:val="24"/>
        </w:rPr>
      </w:pPr>
    </w:p>
    <w:p w14:paraId="3E057EB4">
      <w:pPr>
        <w:pageBreakBefore w:val="0"/>
        <w:kinsoku/>
        <w:wordWrap w:val="0"/>
        <w:overflowPunct/>
        <w:topLinePunct w:val="0"/>
        <w:bidi w:val="0"/>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供应商（盖章）：</w:t>
      </w:r>
    </w:p>
    <w:p w14:paraId="4059AB4E">
      <w:pPr>
        <w:pageBreakBefore w:val="0"/>
        <w:kinsoku/>
        <w:wordWrap w:val="0"/>
        <w:overflowPunct/>
        <w:topLinePunct w:val="0"/>
        <w:bidi w:val="0"/>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法定代表人（单位负责人）或委托代理人（签字或盖章）：</w:t>
      </w:r>
    </w:p>
    <w:p w14:paraId="0890D6BE">
      <w:pPr>
        <w:pageBreakBefore w:val="0"/>
        <w:kinsoku/>
        <w:wordWrap w:val="0"/>
        <w:overflowPunct/>
        <w:topLinePunct w:val="0"/>
        <w:bidi w:val="0"/>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日期：    年     月     日</w:t>
      </w:r>
    </w:p>
    <w:p w14:paraId="0BF38CBA">
      <w:pPr>
        <w:pageBreakBefore w:val="0"/>
        <w:kinsoku/>
        <w:wordWrap w:val="0"/>
        <w:overflowPunct/>
        <w:topLinePunct w:val="0"/>
        <w:bidi w:val="0"/>
        <w:adjustRightInd w:val="0"/>
        <w:snapToGrid w:val="0"/>
        <w:spacing w:line="360" w:lineRule="auto"/>
        <w:rPr>
          <w:rFonts w:hint="eastAsia" w:ascii="宋体" w:hAnsi="宋体" w:eastAsia="宋体" w:cs="宋体"/>
          <w:bCs/>
          <w:sz w:val="40"/>
          <w:szCs w:val="32"/>
        </w:rPr>
      </w:pPr>
    </w:p>
    <w:p w14:paraId="0FCD218D">
      <w:pPr>
        <w:pageBreakBefore w:val="0"/>
        <w:kinsoku/>
        <w:wordWrap w:val="0"/>
        <w:overflowPunct/>
        <w:topLinePunct w:val="0"/>
        <w:bidi w:val="0"/>
        <w:adjustRightInd w:val="0"/>
        <w:snapToGrid w:val="0"/>
        <w:spacing w:line="360" w:lineRule="auto"/>
        <w:rPr>
          <w:rFonts w:hint="eastAsia" w:ascii="宋体" w:hAnsi="宋体" w:eastAsia="宋体" w:cs="宋体"/>
          <w:bCs/>
          <w:sz w:val="40"/>
          <w:szCs w:val="32"/>
        </w:rPr>
      </w:pPr>
      <w:r>
        <w:rPr>
          <w:rFonts w:hint="eastAsia" w:ascii="宋体" w:hAnsi="宋体" w:eastAsia="宋体" w:cs="宋体"/>
          <w:bCs/>
          <w:sz w:val="40"/>
          <w:szCs w:val="32"/>
        </w:rPr>
        <w:br w:type="page"/>
      </w:r>
    </w:p>
    <w:p w14:paraId="50B27105">
      <w:pPr>
        <w:pageBreakBefore w:val="0"/>
        <w:kinsoku/>
        <w:wordWrap w:val="0"/>
        <w:overflowPunct/>
        <w:topLinePunct w:val="0"/>
        <w:bidi w:val="0"/>
        <w:adjustRightInd w:val="0"/>
        <w:snapToGrid w:val="0"/>
        <w:spacing w:line="360" w:lineRule="auto"/>
        <w:jc w:val="center"/>
        <w:rPr>
          <w:rFonts w:hint="eastAsia" w:ascii="宋体" w:hAnsi="宋体" w:eastAsia="宋体" w:cs="宋体"/>
          <w:bCs/>
          <w:sz w:val="40"/>
          <w:szCs w:val="32"/>
        </w:rPr>
      </w:pPr>
      <w:r>
        <w:rPr>
          <w:rFonts w:hint="eastAsia" w:ascii="宋体" w:hAnsi="宋体" w:eastAsia="宋体" w:cs="宋体"/>
          <w:bCs/>
          <w:sz w:val="40"/>
          <w:szCs w:val="32"/>
        </w:rPr>
        <w:t>质疑函范本</w:t>
      </w:r>
    </w:p>
    <w:p w14:paraId="23280A0D">
      <w:pPr>
        <w:pageBreakBefore w:val="0"/>
        <w:kinsoku/>
        <w:wordWrap w:val="0"/>
        <w:overflowPunct/>
        <w:topLinePunct w:val="0"/>
        <w:bidi w:val="0"/>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致：</w:t>
      </w:r>
      <w:r>
        <w:rPr>
          <w:rFonts w:hint="eastAsia" w:ascii="宋体" w:hAnsi="宋体" w:eastAsia="宋体" w:cs="宋体"/>
          <w:sz w:val="24"/>
          <w:szCs w:val="24"/>
          <w:u w:val="single"/>
        </w:rPr>
        <w:t xml:space="preserve">                                                                 </w:t>
      </w:r>
    </w:p>
    <w:p w14:paraId="1DA0D57F">
      <w:pPr>
        <w:pageBreakBefore w:val="0"/>
        <w:kinsoku/>
        <w:wordWrap w:val="0"/>
        <w:overflowPunct/>
        <w:topLinePunct w:val="0"/>
        <w:bidi w:val="0"/>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一、质疑供应商基本信息</w:t>
      </w:r>
    </w:p>
    <w:p w14:paraId="6F59D4C0">
      <w:pPr>
        <w:pageBreakBefore w:val="0"/>
        <w:kinsoku/>
        <w:wordWrap w:val="0"/>
        <w:overflowPunct/>
        <w:topLinePunct w:val="0"/>
        <w:bidi w:val="0"/>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质疑供应商：</w:t>
      </w:r>
      <w:r>
        <w:rPr>
          <w:rFonts w:hint="eastAsia" w:ascii="宋体" w:hAnsi="宋体" w:eastAsia="宋体" w:cs="宋体"/>
          <w:sz w:val="24"/>
          <w:szCs w:val="24"/>
          <w:u w:val="single"/>
        </w:rPr>
        <w:t xml:space="preserve">                                                         </w:t>
      </w:r>
    </w:p>
    <w:p w14:paraId="09478DE8">
      <w:pPr>
        <w:pageBreakBefore w:val="0"/>
        <w:kinsoku/>
        <w:wordWrap w:val="0"/>
        <w:overflowPunct/>
        <w:topLinePunct w:val="0"/>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邮编：</w:t>
      </w:r>
      <w:r>
        <w:rPr>
          <w:rFonts w:hint="eastAsia" w:ascii="宋体" w:hAnsi="宋体" w:eastAsia="宋体" w:cs="宋体"/>
          <w:sz w:val="24"/>
          <w:szCs w:val="24"/>
          <w:u w:val="single"/>
        </w:rPr>
        <w:t xml:space="preserve">                            </w:t>
      </w:r>
    </w:p>
    <w:p w14:paraId="071162E3">
      <w:pPr>
        <w:pageBreakBefore w:val="0"/>
        <w:kinsoku/>
        <w:wordWrap w:val="0"/>
        <w:overflowPunct/>
        <w:topLinePunct w:val="0"/>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14:paraId="3243578E">
      <w:pPr>
        <w:pageBreakBefore w:val="0"/>
        <w:kinsoku/>
        <w:wordWrap w:val="0"/>
        <w:overflowPunct/>
        <w:topLinePunct w:val="0"/>
        <w:bidi w:val="0"/>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授权代表：</w:t>
      </w:r>
      <w:r>
        <w:rPr>
          <w:rFonts w:hint="eastAsia" w:ascii="宋体" w:hAnsi="宋体" w:eastAsia="宋体" w:cs="宋体"/>
          <w:sz w:val="24"/>
          <w:szCs w:val="24"/>
          <w:u w:val="single"/>
        </w:rPr>
        <w:t xml:space="preserve">                                                           </w:t>
      </w:r>
    </w:p>
    <w:p w14:paraId="6DDA12E3">
      <w:pPr>
        <w:pageBreakBefore w:val="0"/>
        <w:kinsoku/>
        <w:wordWrap w:val="0"/>
        <w:overflowPunct/>
        <w:topLinePunct w:val="0"/>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14:paraId="12783AFC">
      <w:pPr>
        <w:pageBreakBefore w:val="0"/>
        <w:kinsoku/>
        <w:wordWrap w:val="0"/>
        <w:overflowPunct/>
        <w:topLinePunct w:val="0"/>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u w:val="single"/>
        </w:rPr>
        <w:t xml:space="preserve">                        </w:t>
      </w:r>
      <w:r>
        <w:rPr>
          <w:rFonts w:hint="eastAsia" w:ascii="宋体" w:hAnsi="宋体" w:eastAsia="宋体" w:cs="宋体"/>
          <w:sz w:val="24"/>
          <w:szCs w:val="24"/>
        </w:rPr>
        <w:t>邮编：</w:t>
      </w:r>
      <w:r>
        <w:rPr>
          <w:rFonts w:hint="eastAsia" w:ascii="宋体" w:hAnsi="宋体" w:eastAsia="宋体" w:cs="宋体"/>
          <w:sz w:val="24"/>
          <w:szCs w:val="24"/>
          <w:u w:val="single"/>
        </w:rPr>
        <w:t xml:space="preserve">                                </w:t>
      </w:r>
    </w:p>
    <w:p w14:paraId="2A4CF212">
      <w:pPr>
        <w:pageBreakBefore w:val="0"/>
        <w:kinsoku/>
        <w:wordWrap w:val="0"/>
        <w:overflowPunct/>
        <w:topLinePunct w:val="0"/>
        <w:bidi w:val="0"/>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二、质疑项目基本情况</w:t>
      </w:r>
    </w:p>
    <w:p w14:paraId="367650DD">
      <w:pPr>
        <w:pageBreakBefore w:val="0"/>
        <w:kinsoku/>
        <w:wordWrap w:val="0"/>
        <w:overflowPunct/>
        <w:topLinePunct w:val="0"/>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质疑项目的名称：</w:t>
      </w:r>
      <w:r>
        <w:rPr>
          <w:rFonts w:hint="eastAsia" w:ascii="宋体" w:hAnsi="宋体" w:eastAsia="宋体" w:cs="宋体"/>
          <w:sz w:val="24"/>
          <w:szCs w:val="24"/>
          <w:u w:val="single"/>
        </w:rPr>
        <w:t xml:space="preserve">                                                     </w:t>
      </w:r>
    </w:p>
    <w:p w14:paraId="47B9851A">
      <w:pPr>
        <w:pageBreakBefore w:val="0"/>
        <w:kinsoku/>
        <w:wordWrap w:val="0"/>
        <w:overflowPunct/>
        <w:topLinePunct w:val="0"/>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质疑项目的编号：</w:t>
      </w:r>
      <w:r>
        <w:rPr>
          <w:rFonts w:hint="eastAsia" w:ascii="宋体" w:hAnsi="宋体" w:eastAsia="宋体" w:cs="宋体"/>
          <w:sz w:val="24"/>
          <w:szCs w:val="24"/>
          <w:u w:val="single"/>
        </w:rPr>
        <w:t xml:space="preserve">                         </w:t>
      </w:r>
      <w:r>
        <w:rPr>
          <w:rFonts w:hint="eastAsia" w:ascii="宋体" w:hAnsi="宋体" w:eastAsia="宋体" w:cs="宋体"/>
          <w:sz w:val="24"/>
          <w:szCs w:val="24"/>
        </w:rPr>
        <w:t>包号：</w:t>
      </w:r>
      <w:r>
        <w:rPr>
          <w:rFonts w:hint="eastAsia" w:ascii="宋体" w:hAnsi="宋体" w:eastAsia="宋体" w:cs="宋体"/>
          <w:sz w:val="24"/>
          <w:szCs w:val="24"/>
          <w:u w:val="single"/>
        </w:rPr>
        <w:t xml:space="preserve">                      </w:t>
      </w:r>
    </w:p>
    <w:p w14:paraId="04266138">
      <w:pPr>
        <w:pageBreakBefore w:val="0"/>
        <w:kinsoku/>
        <w:wordWrap w:val="0"/>
        <w:overflowPunct/>
        <w:topLinePunct w:val="0"/>
        <w:bidi w:val="0"/>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采购人名称：</w:t>
      </w:r>
      <w:r>
        <w:rPr>
          <w:rFonts w:hint="eastAsia" w:ascii="宋体" w:hAnsi="宋体" w:eastAsia="宋体" w:cs="宋体"/>
          <w:sz w:val="24"/>
          <w:szCs w:val="24"/>
          <w:u w:val="single"/>
        </w:rPr>
        <w:t xml:space="preserve">                                                         </w:t>
      </w:r>
    </w:p>
    <w:p w14:paraId="1F94474D">
      <w:pPr>
        <w:pageBreakBefore w:val="0"/>
        <w:kinsoku/>
        <w:wordWrap w:val="0"/>
        <w:overflowPunct/>
        <w:topLinePunct w:val="0"/>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采购文件获取日期：</w:t>
      </w:r>
      <w:r>
        <w:rPr>
          <w:rFonts w:hint="eastAsia" w:ascii="宋体" w:hAnsi="宋体" w:eastAsia="宋体" w:cs="宋体"/>
          <w:sz w:val="24"/>
          <w:szCs w:val="24"/>
          <w:u w:val="single"/>
        </w:rPr>
        <w:t xml:space="preserve">                                                   </w:t>
      </w:r>
    </w:p>
    <w:p w14:paraId="339DE4C9">
      <w:pPr>
        <w:pageBreakBefore w:val="0"/>
        <w:kinsoku/>
        <w:wordWrap w:val="0"/>
        <w:overflowPunct/>
        <w:topLinePunct w:val="0"/>
        <w:bidi w:val="0"/>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三、质疑事项具体内容</w:t>
      </w:r>
    </w:p>
    <w:p w14:paraId="57DC87F5">
      <w:pPr>
        <w:pageBreakBefore w:val="0"/>
        <w:kinsoku/>
        <w:wordWrap w:val="0"/>
        <w:overflowPunct/>
        <w:topLinePunct w:val="0"/>
        <w:bidi w:val="0"/>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质疑事项1：</w:t>
      </w:r>
      <w:r>
        <w:rPr>
          <w:rFonts w:hint="eastAsia" w:ascii="宋体" w:hAnsi="宋体" w:eastAsia="宋体" w:cs="宋体"/>
          <w:sz w:val="24"/>
          <w:szCs w:val="24"/>
          <w:u w:val="single"/>
        </w:rPr>
        <w:t xml:space="preserve">                                                          </w:t>
      </w:r>
    </w:p>
    <w:p w14:paraId="77200551">
      <w:pPr>
        <w:pageBreakBefore w:val="0"/>
        <w:kinsoku/>
        <w:wordWrap w:val="0"/>
        <w:overflowPunct/>
        <w:topLinePunct w:val="0"/>
        <w:bidi w:val="0"/>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事实依据：</w:t>
      </w:r>
      <w:r>
        <w:rPr>
          <w:rFonts w:hint="eastAsia" w:ascii="宋体" w:hAnsi="宋体" w:eastAsia="宋体" w:cs="宋体"/>
          <w:sz w:val="24"/>
          <w:szCs w:val="24"/>
          <w:u w:val="single"/>
        </w:rPr>
        <w:t xml:space="preserve">                                                            </w:t>
      </w:r>
    </w:p>
    <w:p w14:paraId="5E3FCA46">
      <w:pPr>
        <w:pageBreakBefore w:val="0"/>
        <w:kinsoku/>
        <w:wordWrap w:val="0"/>
        <w:overflowPunct/>
        <w:topLinePunct w:val="0"/>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p>
    <w:p w14:paraId="167A84F4">
      <w:pPr>
        <w:pageBreakBefore w:val="0"/>
        <w:kinsoku/>
        <w:wordWrap w:val="0"/>
        <w:overflowPunct/>
        <w:topLinePunct w:val="0"/>
        <w:bidi w:val="0"/>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法律依据：</w:t>
      </w:r>
      <w:r>
        <w:rPr>
          <w:rFonts w:hint="eastAsia" w:ascii="宋体" w:hAnsi="宋体" w:eastAsia="宋体" w:cs="宋体"/>
          <w:sz w:val="24"/>
          <w:szCs w:val="24"/>
          <w:u w:val="single"/>
        </w:rPr>
        <w:t xml:space="preserve">                                                            </w:t>
      </w:r>
    </w:p>
    <w:p w14:paraId="5CA3F307">
      <w:pPr>
        <w:pageBreakBefore w:val="0"/>
        <w:kinsoku/>
        <w:wordWrap w:val="0"/>
        <w:overflowPunct/>
        <w:topLinePunct w:val="0"/>
        <w:bidi w:val="0"/>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6898C209">
      <w:pPr>
        <w:pageBreakBefore w:val="0"/>
        <w:kinsoku/>
        <w:wordWrap w:val="0"/>
        <w:overflowPunct/>
        <w:topLinePunct w:val="0"/>
        <w:bidi w:val="0"/>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质疑事项2</w:t>
      </w:r>
    </w:p>
    <w:p w14:paraId="7BF0E70F">
      <w:pPr>
        <w:pageBreakBefore w:val="0"/>
        <w:kinsoku/>
        <w:wordWrap w:val="0"/>
        <w:overflowPunct/>
        <w:topLinePunct w:val="0"/>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w:t>
      </w:r>
    </w:p>
    <w:p w14:paraId="2A198C3C">
      <w:pPr>
        <w:pageBreakBefore w:val="0"/>
        <w:kinsoku/>
        <w:wordWrap w:val="0"/>
        <w:overflowPunct/>
        <w:topLinePunct w:val="0"/>
        <w:bidi w:val="0"/>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四、与质疑事项相关的质疑请求</w:t>
      </w:r>
    </w:p>
    <w:p w14:paraId="30A59E71">
      <w:pPr>
        <w:pageBreakBefore w:val="0"/>
        <w:kinsoku/>
        <w:wordWrap w:val="0"/>
        <w:overflowPunct/>
        <w:topLinePunct w:val="0"/>
        <w:bidi w:val="0"/>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请求：</w:t>
      </w:r>
      <w:r>
        <w:rPr>
          <w:rFonts w:hint="eastAsia" w:ascii="宋体" w:hAnsi="宋体" w:eastAsia="宋体" w:cs="宋体"/>
          <w:sz w:val="24"/>
          <w:szCs w:val="24"/>
          <w:u w:val="single"/>
        </w:rPr>
        <w:t xml:space="preserve">                                                                </w:t>
      </w:r>
    </w:p>
    <w:p w14:paraId="00CE3A2C">
      <w:pPr>
        <w:pageBreakBefore w:val="0"/>
        <w:kinsoku/>
        <w:wordWrap w:val="0"/>
        <w:overflowPunct/>
        <w:topLinePunct w:val="0"/>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签字（签章）：                   公章：                      </w:t>
      </w:r>
    </w:p>
    <w:p w14:paraId="5833D235">
      <w:pPr>
        <w:pageBreakBefore w:val="0"/>
        <w:kinsoku/>
        <w:wordWrap w:val="0"/>
        <w:overflowPunct/>
        <w:topLinePunct w:val="0"/>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日期：    </w:t>
      </w:r>
    </w:p>
    <w:p w14:paraId="6D04AC75">
      <w:pPr>
        <w:pageBreakBefore w:val="0"/>
        <w:kinsoku/>
        <w:wordWrap w:val="0"/>
        <w:overflowPunct/>
        <w:topLinePunct w:val="0"/>
        <w:bidi w:val="0"/>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质疑函制作说明：</w:t>
      </w:r>
    </w:p>
    <w:p w14:paraId="42A4E5DB">
      <w:pPr>
        <w:pageBreakBefore w:val="0"/>
        <w:widowControl/>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14:paraId="59F69AFA">
      <w:pPr>
        <w:pageBreakBefore w:val="0"/>
        <w:widowControl/>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供应商为自然人的，应当由本人签字；供应商为法人或者其他组织的，应当由法定代表人、主要负责人签字或者盖章，并加盖公章。</w:t>
      </w:r>
    </w:p>
    <w:p w14:paraId="3427BB04">
      <w:pPr>
        <w:pageBreakBefore w:val="0"/>
        <w:widowControl/>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3.质疑供应商若对项目的某一分包进行质疑，质疑函中应列明具体分包号。</w:t>
      </w:r>
    </w:p>
    <w:p w14:paraId="18B39183">
      <w:pPr>
        <w:pageBreakBefore w:val="0"/>
        <w:widowControl/>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14:paraId="7BB414DD">
      <w:pPr>
        <w:pageBreakBefore w:val="0"/>
        <w:widowControl/>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5.质疑函的质疑请求应与质疑事项相关。</w:t>
      </w:r>
    </w:p>
    <w:p w14:paraId="005158CB">
      <w:pPr>
        <w:pageBreakBefore w:val="0"/>
        <w:widowControl/>
        <w:kinsoku/>
        <w:wordWrap w:val="0"/>
        <w:overflowPunct/>
        <w:topLinePunct w:val="0"/>
        <w:bidi w:val="0"/>
        <w:adjustRightInd w:val="0"/>
        <w:snapToGrid w:val="0"/>
        <w:spacing w:line="360" w:lineRule="auto"/>
        <w:ind w:firstLine="480"/>
        <w:jc w:val="left"/>
        <w:rPr>
          <w:rFonts w:hint="eastAsia" w:ascii="宋体" w:hAnsi="宋体" w:eastAsia="宋体" w:cs="宋体"/>
          <w:sz w:val="24"/>
          <w:szCs w:val="24"/>
        </w:rPr>
      </w:pPr>
      <w:r>
        <w:rPr>
          <w:rFonts w:hint="eastAsia" w:ascii="宋体" w:hAnsi="宋体" w:eastAsia="宋体" w:cs="宋体"/>
          <w:b/>
          <w:sz w:val="24"/>
          <w:szCs w:val="24"/>
        </w:rPr>
        <w:t>6.质疑供应商为自然人的，质疑函应附自然人身份证明复印件并由本人签字；质疑供应商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sectPr>
      <w:footerReference r:id="rId3" w:type="default"/>
      <w:pgSz w:w="11906" w:h="16838"/>
      <w:pgMar w:top="1134" w:right="1134" w:bottom="1134" w:left="1134" w:header="851" w:footer="680" w:gutter="0"/>
      <w:pgNumType w:start="1"/>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仓耳渔阳体 W05"/>
    <w:panose1 w:val="02020609040205080304"/>
    <w:charset w:val="80"/>
    <w:family w:val="roman"/>
    <w:pitch w:val="default"/>
    <w:sig w:usb0="00000000" w:usb1="00000000" w:usb2="00000012" w:usb3="00000000" w:csb0="4002009F" w:csb1="DFD70000"/>
  </w:font>
  <w:font w:name="仓耳渔阳体 W05">
    <w:panose1 w:val="02020400000000000000"/>
    <w:charset w:val="80"/>
    <w:family w:val="auto"/>
    <w:pitch w:val="default"/>
    <w:sig w:usb0="80000023" w:usb1="08C10458" w:usb2="00000012" w:usb3="00000000" w:csb0="0002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270858"/>
    </w:sdtPr>
    <w:sdtContent>
      <w:p w14:paraId="076C9D01">
        <w:pPr>
          <w:pStyle w:val="23"/>
          <w:jc w:val="center"/>
        </w:pPr>
        <w:r>
          <w:fldChar w:fldCharType="begin"/>
        </w:r>
        <w:r>
          <w:instrText xml:space="preserve"> PAGE   \* MERGEFORMAT </w:instrText>
        </w:r>
        <w:r>
          <w:fldChar w:fldCharType="separate"/>
        </w:r>
        <w:r>
          <w:rPr>
            <w:rFonts w:hint="eastAsia"/>
            <w:lang w:val="zh-CN"/>
          </w:rPr>
          <w:t>4</w:t>
        </w:r>
        <w:r>
          <w:rPr>
            <w:lang w:val="zh-CN"/>
          </w:rPr>
          <w:fldChar w:fldCharType="end"/>
        </w:r>
      </w:p>
    </w:sdtContent>
  </w:sdt>
  <w:p w14:paraId="296D7B92">
    <w:pPr>
      <w:pStyle w:val="2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EF37E"/>
    <w:multiLevelType w:val="singleLevel"/>
    <w:tmpl w:val="86DEF37E"/>
    <w:lvl w:ilvl="0" w:tentative="0">
      <w:start w:val="2"/>
      <w:numFmt w:val="decimal"/>
      <w:suff w:val="nothing"/>
      <w:lvlText w:val="%1、"/>
      <w:lvlJc w:val="left"/>
    </w:lvl>
  </w:abstractNum>
  <w:abstractNum w:abstractNumId="1">
    <w:nsid w:val="0053208E"/>
    <w:multiLevelType w:val="multilevel"/>
    <w:tmpl w:val="0053208E"/>
    <w:lvl w:ilvl="0" w:tentative="0">
      <w:start w:val="1"/>
      <w:numFmt w:val="decimal"/>
      <w:suff w:val="space"/>
      <w:lvlText w:val="%1"/>
      <w:lvlJc w:val="left"/>
      <w:pPr>
        <w:ind w:left="0" w:firstLine="0"/>
      </w:pPr>
      <w:rPr>
        <w:rFonts w:hint="eastAsia" w:eastAsia="仿宋"/>
        <w:b/>
        <w:i w:val="0"/>
        <w:sz w:val="30"/>
      </w:rPr>
    </w:lvl>
    <w:lvl w:ilvl="1" w:tentative="0">
      <w:start w:val="1"/>
      <w:numFmt w:val="decimal"/>
      <w:pStyle w:val="209"/>
      <w:suff w:val="space"/>
      <w:lvlText w:val="%1.%2"/>
      <w:lvlJc w:val="left"/>
      <w:pPr>
        <w:ind w:left="0" w:firstLine="0"/>
      </w:pPr>
      <w:rPr>
        <w:rFonts w:hint="eastAsia" w:eastAsia="仿宋"/>
        <w:b/>
        <w:i w:val="0"/>
        <w:sz w:val="28"/>
      </w:rPr>
    </w:lvl>
    <w:lvl w:ilvl="2" w:tentative="0">
      <w:start w:val="1"/>
      <w:numFmt w:val="decimal"/>
      <w:suff w:val="space"/>
      <w:lvlText w:val="%1.%2.%3"/>
      <w:lvlJc w:val="left"/>
      <w:pPr>
        <w:ind w:left="0" w:firstLine="0"/>
      </w:pPr>
      <w:rPr>
        <w:rFonts w:hint="eastAsia" w:eastAsia="仿宋"/>
        <w:b/>
        <w:i w:val="0"/>
        <w:sz w:val="24"/>
      </w:rPr>
    </w:lvl>
    <w:lvl w:ilvl="3" w:tentative="0">
      <w:start w:val="1"/>
      <w:numFmt w:val="decimal"/>
      <w:suff w:val="space"/>
      <w:lvlText w:val="%1.%2.%3.%4"/>
      <w:lvlJc w:val="left"/>
      <w:pPr>
        <w:ind w:left="0" w:firstLine="0"/>
      </w:pPr>
      <w:rPr>
        <w:rFonts w:hint="eastAsia" w:eastAsia="仿宋"/>
        <w:b/>
        <w:i w:val="0"/>
        <w:sz w:val="24"/>
      </w:rPr>
    </w:lvl>
    <w:lvl w:ilvl="4" w:tentative="0">
      <w:start w:val="1"/>
      <w:numFmt w:val="decimal"/>
      <w:suff w:val="space"/>
      <w:lvlText w:val="%1.%2.%3.%4.%5"/>
      <w:lvlJc w:val="left"/>
      <w:pPr>
        <w:ind w:left="0" w:firstLine="0"/>
      </w:pPr>
      <w:rPr>
        <w:rFonts w:hint="eastAsia" w:eastAsia="仿宋"/>
        <w:b/>
        <w:i w:val="0"/>
        <w:sz w:val="24"/>
      </w:rPr>
    </w:lvl>
    <w:lvl w:ilvl="5" w:tentative="0">
      <w:start w:val="1"/>
      <w:numFmt w:val="decimal"/>
      <w:suff w:val="space"/>
      <w:lvlText w:val="%1.%2.%3.%4.%5.%6"/>
      <w:lvlJc w:val="left"/>
      <w:pPr>
        <w:ind w:left="0" w:firstLine="0"/>
      </w:pPr>
      <w:rPr>
        <w:rFonts w:hint="eastAsia" w:eastAsia="仿宋"/>
        <w:b/>
        <w:i w:val="0"/>
        <w:sz w:val="24"/>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荣剑">
    <w15:presenceInfo w15:providerId="None" w15:userId="荣剑"/>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5F"/>
    <w:rsid w:val="000E735F"/>
    <w:rsid w:val="001216F5"/>
    <w:rsid w:val="003D4185"/>
    <w:rsid w:val="00C61529"/>
    <w:rsid w:val="034B6022"/>
    <w:rsid w:val="08743D3A"/>
    <w:rsid w:val="0C486E05"/>
    <w:rsid w:val="0D5A43A4"/>
    <w:rsid w:val="0DD8076D"/>
    <w:rsid w:val="0E2D5888"/>
    <w:rsid w:val="10811751"/>
    <w:rsid w:val="10B410C0"/>
    <w:rsid w:val="10E103BC"/>
    <w:rsid w:val="118A0A44"/>
    <w:rsid w:val="13E70BEC"/>
    <w:rsid w:val="15985630"/>
    <w:rsid w:val="19E6167C"/>
    <w:rsid w:val="1CCB04E6"/>
    <w:rsid w:val="1CFD7158"/>
    <w:rsid w:val="1EE2244B"/>
    <w:rsid w:val="20F856D2"/>
    <w:rsid w:val="224B0125"/>
    <w:rsid w:val="25F656D8"/>
    <w:rsid w:val="265F4AB8"/>
    <w:rsid w:val="276770FF"/>
    <w:rsid w:val="2A1F00A4"/>
    <w:rsid w:val="2D6C4204"/>
    <w:rsid w:val="2D885093"/>
    <w:rsid w:val="31B020DE"/>
    <w:rsid w:val="33E377E5"/>
    <w:rsid w:val="38EC3A16"/>
    <w:rsid w:val="394438B3"/>
    <w:rsid w:val="3B5E5F7E"/>
    <w:rsid w:val="3B9D7F79"/>
    <w:rsid w:val="3BE2293E"/>
    <w:rsid w:val="3CCA46B8"/>
    <w:rsid w:val="3E2F525E"/>
    <w:rsid w:val="400E447D"/>
    <w:rsid w:val="432821B9"/>
    <w:rsid w:val="432C2C4B"/>
    <w:rsid w:val="442E7337"/>
    <w:rsid w:val="468D5AFE"/>
    <w:rsid w:val="48574ADC"/>
    <w:rsid w:val="49DF2D39"/>
    <w:rsid w:val="4AE24744"/>
    <w:rsid w:val="4BE046A3"/>
    <w:rsid w:val="4D965D9A"/>
    <w:rsid w:val="4E3C6E59"/>
    <w:rsid w:val="4F4A6930"/>
    <w:rsid w:val="54CC5B6B"/>
    <w:rsid w:val="54EF0596"/>
    <w:rsid w:val="55E71567"/>
    <w:rsid w:val="57217205"/>
    <w:rsid w:val="573F4826"/>
    <w:rsid w:val="573F507D"/>
    <w:rsid w:val="58887856"/>
    <w:rsid w:val="58AE3D5A"/>
    <w:rsid w:val="58CE7D45"/>
    <w:rsid w:val="5A012957"/>
    <w:rsid w:val="5ADB4533"/>
    <w:rsid w:val="5CCA1414"/>
    <w:rsid w:val="5CD84304"/>
    <w:rsid w:val="5ECC7350"/>
    <w:rsid w:val="657144C6"/>
    <w:rsid w:val="67222588"/>
    <w:rsid w:val="684D5658"/>
    <w:rsid w:val="6987284A"/>
    <w:rsid w:val="6A435DE7"/>
    <w:rsid w:val="6AE06E3D"/>
    <w:rsid w:val="6F7D4626"/>
    <w:rsid w:val="6FE5601D"/>
    <w:rsid w:val="725464C4"/>
    <w:rsid w:val="748F0226"/>
    <w:rsid w:val="76410E73"/>
    <w:rsid w:val="77953FD6"/>
    <w:rsid w:val="7AE22F10"/>
    <w:rsid w:val="7DEE3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3">
    <w:name w:val="heading 1"/>
    <w:basedOn w:val="1"/>
    <w:next w:val="1"/>
    <w:link w:val="194"/>
    <w:qFormat/>
    <w:uiPriority w:val="9"/>
    <w:pPr>
      <w:keepNext/>
      <w:keepLines/>
      <w:spacing w:before="340" w:after="330" w:line="578" w:lineRule="auto"/>
      <w:outlineLvl w:val="0"/>
    </w:pPr>
    <w:rPr>
      <w:b/>
      <w:bCs/>
      <w:sz w:val="44"/>
      <w:szCs w:val="44"/>
    </w:rPr>
  </w:style>
  <w:style w:type="paragraph" w:styleId="4">
    <w:name w:val="heading 2"/>
    <w:basedOn w:val="1"/>
    <w:next w:val="1"/>
    <w:link w:val="19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97"/>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7"/>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8"/>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9"/>
    <w:unhideWhenUsed/>
    <w:qFormat/>
    <w:uiPriority w:val="9"/>
    <w:pPr>
      <w:keepNext/>
      <w:keepLines/>
      <w:spacing w:before="320" w:after="200"/>
      <w:outlineLvl w:val="5"/>
    </w:pPr>
    <w:rPr>
      <w:rFonts w:ascii="Arial" w:hAnsi="Arial" w:eastAsia="Arial" w:cs="Arial"/>
      <w:b/>
      <w:bCs/>
      <w:sz w:val="22"/>
    </w:rPr>
  </w:style>
  <w:style w:type="paragraph" w:styleId="9">
    <w:name w:val="heading 7"/>
    <w:basedOn w:val="1"/>
    <w:next w:val="1"/>
    <w:link w:val="50"/>
    <w:unhideWhenUsed/>
    <w:qFormat/>
    <w:uiPriority w:val="9"/>
    <w:pPr>
      <w:keepNext/>
      <w:keepLines/>
      <w:spacing w:before="320" w:after="200"/>
      <w:outlineLvl w:val="6"/>
    </w:pPr>
    <w:rPr>
      <w:rFonts w:ascii="Arial" w:hAnsi="Arial" w:eastAsia="Arial" w:cs="Arial"/>
      <w:b/>
      <w:bCs/>
      <w:i/>
      <w:iCs/>
      <w:sz w:val="22"/>
    </w:rPr>
  </w:style>
  <w:style w:type="paragraph" w:styleId="10">
    <w:name w:val="heading 8"/>
    <w:basedOn w:val="1"/>
    <w:next w:val="1"/>
    <w:link w:val="51"/>
    <w:unhideWhenUsed/>
    <w:qFormat/>
    <w:uiPriority w:val="9"/>
    <w:pPr>
      <w:keepNext/>
      <w:keepLines/>
      <w:spacing w:before="320" w:after="200"/>
      <w:outlineLvl w:val="7"/>
    </w:pPr>
    <w:rPr>
      <w:rFonts w:ascii="Arial" w:hAnsi="Arial" w:eastAsia="Arial" w:cs="Arial"/>
      <w:i/>
      <w:iCs/>
      <w:sz w:val="22"/>
    </w:rPr>
  </w:style>
  <w:style w:type="paragraph" w:styleId="11">
    <w:name w:val="heading 9"/>
    <w:basedOn w:val="1"/>
    <w:next w:val="1"/>
    <w:link w:val="52"/>
    <w:unhideWhenUsed/>
    <w:qFormat/>
    <w:uiPriority w:val="9"/>
    <w:pPr>
      <w:keepNext/>
      <w:keepLines/>
      <w:spacing w:before="320" w:after="200"/>
      <w:outlineLvl w:val="8"/>
    </w:pPr>
    <w:rPr>
      <w:rFonts w:ascii="Arial" w:hAnsi="Arial" w:eastAsia="Arial" w:cs="Arial"/>
      <w:i/>
      <w:iCs/>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Default"/>
    <w:link w:val="201"/>
    <w:qFormat/>
    <w:uiPriority w:val="99"/>
    <w:pPr>
      <w:widowControl w:val="0"/>
    </w:pPr>
    <w:rPr>
      <w:rFonts w:ascii="MS Mincho" w:hAnsi="Calibri" w:eastAsia="宋体" w:cs="Times New Roman"/>
      <w:color w:val="000000"/>
      <w:sz w:val="21"/>
      <w:szCs w:val="24"/>
      <w:lang w:val="en-US" w:eastAsia="zh-CN" w:bidi="ar-SA"/>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Document Map"/>
    <w:basedOn w:val="1"/>
    <w:link w:val="195"/>
    <w:semiHidden/>
    <w:unhideWhenUsed/>
    <w:qFormat/>
    <w:uiPriority w:val="99"/>
    <w:rPr>
      <w:rFonts w:ascii="宋体" w:eastAsia="宋体"/>
      <w:sz w:val="18"/>
      <w:szCs w:val="18"/>
    </w:rPr>
  </w:style>
  <w:style w:type="paragraph" w:styleId="15">
    <w:name w:val="annotation text"/>
    <w:basedOn w:val="1"/>
    <w:link w:val="199"/>
    <w:qFormat/>
    <w:uiPriority w:val="0"/>
    <w:pPr>
      <w:spacing w:line="360" w:lineRule="auto"/>
      <w:ind w:firstLine="922"/>
      <w:jc w:val="left"/>
    </w:pPr>
    <w:rPr>
      <w:rFonts w:ascii="Times New Roman" w:hAnsi="Times New Roman" w:eastAsia="宋体" w:cs="Times New Roman"/>
      <w:szCs w:val="24"/>
    </w:rPr>
  </w:style>
  <w:style w:type="paragraph" w:styleId="16">
    <w:name w:val="toc 5"/>
    <w:basedOn w:val="1"/>
    <w:next w:val="1"/>
    <w:unhideWhenUsed/>
    <w:qFormat/>
    <w:uiPriority w:val="39"/>
    <w:pPr>
      <w:spacing w:after="57"/>
      <w:ind w:left="1134"/>
    </w:pPr>
  </w:style>
  <w:style w:type="paragraph" w:styleId="17">
    <w:name w:val="toc 3"/>
    <w:basedOn w:val="1"/>
    <w:next w:val="1"/>
    <w:unhideWhenUsed/>
    <w:qFormat/>
    <w:uiPriority w:val="39"/>
    <w:pPr>
      <w:spacing w:after="57"/>
      <w:ind w:left="567"/>
    </w:pPr>
  </w:style>
  <w:style w:type="paragraph" w:styleId="18">
    <w:name w:val="Plain Text"/>
    <w:basedOn w:val="1"/>
    <w:link w:val="202"/>
    <w:qFormat/>
    <w:uiPriority w:val="0"/>
    <w:rPr>
      <w:rFonts w:ascii="宋体" w:hAnsi="Courier New" w:eastAsia="宋体" w:cs="Times New Roman"/>
      <w:szCs w:val="20"/>
    </w:rPr>
  </w:style>
  <w:style w:type="paragraph" w:styleId="19">
    <w:name w:val="toc 8"/>
    <w:basedOn w:val="1"/>
    <w:next w:val="1"/>
    <w:unhideWhenUsed/>
    <w:qFormat/>
    <w:uiPriority w:val="39"/>
    <w:pPr>
      <w:spacing w:after="57"/>
      <w:ind w:left="1984"/>
    </w:pPr>
  </w:style>
  <w:style w:type="paragraph" w:styleId="20">
    <w:name w:val="Date"/>
    <w:basedOn w:val="1"/>
    <w:next w:val="1"/>
    <w:link w:val="198"/>
    <w:semiHidden/>
    <w:unhideWhenUsed/>
    <w:qFormat/>
    <w:uiPriority w:val="99"/>
    <w:pPr>
      <w:ind w:left="100"/>
    </w:pPr>
  </w:style>
  <w:style w:type="paragraph" w:styleId="21">
    <w:name w:val="endnote text"/>
    <w:basedOn w:val="1"/>
    <w:link w:val="190"/>
    <w:semiHidden/>
    <w:unhideWhenUsed/>
    <w:qFormat/>
    <w:uiPriority w:val="99"/>
    <w:rPr>
      <w:sz w:val="20"/>
    </w:rPr>
  </w:style>
  <w:style w:type="paragraph" w:styleId="22">
    <w:name w:val="Balloon Text"/>
    <w:basedOn w:val="1"/>
    <w:link w:val="200"/>
    <w:semiHidden/>
    <w:unhideWhenUsed/>
    <w:qFormat/>
    <w:uiPriority w:val="99"/>
    <w:rPr>
      <w:sz w:val="18"/>
      <w:szCs w:val="18"/>
    </w:rPr>
  </w:style>
  <w:style w:type="paragraph" w:styleId="23">
    <w:name w:val="footer"/>
    <w:basedOn w:val="1"/>
    <w:link w:val="193"/>
    <w:unhideWhenUsed/>
    <w:qFormat/>
    <w:uiPriority w:val="99"/>
    <w:pPr>
      <w:tabs>
        <w:tab w:val="center" w:pos="4153"/>
        <w:tab w:val="right" w:pos="8306"/>
      </w:tabs>
      <w:jc w:val="left"/>
    </w:pPr>
    <w:rPr>
      <w:sz w:val="18"/>
      <w:szCs w:val="18"/>
    </w:rPr>
  </w:style>
  <w:style w:type="paragraph" w:styleId="24">
    <w:name w:val="header"/>
    <w:basedOn w:val="1"/>
    <w:link w:val="192"/>
    <w:semiHidden/>
    <w:unhideWhenUsed/>
    <w:qFormat/>
    <w:uiPriority w:val="99"/>
    <w:pPr>
      <w:pBdr>
        <w:bottom w:val="single" w:color="auto" w:sz="6" w:space="1"/>
      </w:pBdr>
      <w:tabs>
        <w:tab w:val="center" w:pos="4153"/>
        <w:tab w:val="right" w:pos="8306"/>
      </w:tabs>
      <w:jc w:val="center"/>
    </w:pPr>
    <w:rPr>
      <w:sz w:val="18"/>
      <w:szCs w:val="18"/>
    </w:rPr>
  </w:style>
  <w:style w:type="paragraph" w:styleId="25">
    <w:name w:val="toc 1"/>
    <w:basedOn w:val="1"/>
    <w:next w:val="1"/>
    <w:unhideWhenUsed/>
    <w:qFormat/>
    <w:uiPriority w:val="39"/>
    <w:pPr>
      <w:tabs>
        <w:tab w:val="right" w:leader="dot" w:pos="8296"/>
      </w:tabs>
      <w:jc w:val="center"/>
    </w:pPr>
    <w:rPr>
      <w:rFonts w:ascii="黑体" w:hAnsi="黑体" w:eastAsia="黑体"/>
      <w:sz w:val="36"/>
      <w:szCs w:val="32"/>
    </w:rPr>
  </w:style>
  <w:style w:type="paragraph" w:styleId="26">
    <w:name w:val="toc 4"/>
    <w:basedOn w:val="1"/>
    <w:next w:val="1"/>
    <w:unhideWhenUsed/>
    <w:qFormat/>
    <w:uiPriority w:val="39"/>
    <w:pPr>
      <w:spacing w:after="57"/>
      <w:ind w:left="850"/>
    </w:pPr>
  </w:style>
  <w:style w:type="paragraph" w:styleId="27">
    <w:name w:val="Subtitle"/>
    <w:basedOn w:val="1"/>
    <w:next w:val="1"/>
    <w:link w:val="56"/>
    <w:qFormat/>
    <w:uiPriority w:val="11"/>
    <w:pPr>
      <w:spacing w:before="200" w:after="200"/>
    </w:pPr>
    <w:rPr>
      <w:sz w:val="24"/>
      <w:szCs w:val="24"/>
    </w:rPr>
  </w:style>
  <w:style w:type="paragraph" w:styleId="28">
    <w:name w:val="footnote text"/>
    <w:basedOn w:val="1"/>
    <w:link w:val="189"/>
    <w:semiHidden/>
    <w:unhideWhenUsed/>
    <w:qFormat/>
    <w:uiPriority w:val="99"/>
    <w:pPr>
      <w:spacing w:after="40"/>
    </w:pPr>
    <w:rPr>
      <w:sz w:val="18"/>
    </w:rPr>
  </w:style>
  <w:style w:type="paragraph" w:styleId="29">
    <w:name w:val="toc 6"/>
    <w:basedOn w:val="1"/>
    <w:next w:val="1"/>
    <w:unhideWhenUsed/>
    <w:qFormat/>
    <w:uiPriority w:val="39"/>
    <w:pPr>
      <w:spacing w:after="57"/>
      <w:ind w:left="1417"/>
    </w:pPr>
  </w:style>
  <w:style w:type="paragraph" w:styleId="30">
    <w:name w:val="table of figures"/>
    <w:basedOn w:val="1"/>
    <w:next w:val="1"/>
    <w:unhideWhenUsed/>
    <w:qFormat/>
    <w:uiPriority w:val="99"/>
  </w:style>
  <w:style w:type="paragraph" w:styleId="31">
    <w:name w:val="toc 2"/>
    <w:basedOn w:val="1"/>
    <w:next w:val="1"/>
    <w:unhideWhenUsed/>
    <w:qFormat/>
    <w:uiPriority w:val="39"/>
    <w:pPr>
      <w:spacing w:after="57"/>
      <w:ind w:left="283"/>
    </w:pPr>
  </w:style>
  <w:style w:type="paragraph" w:styleId="32">
    <w:name w:val="toc 9"/>
    <w:basedOn w:val="1"/>
    <w:next w:val="1"/>
    <w:unhideWhenUsed/>
    <w:qFormat/>
    <w:uiPriority w:val="39"/>
    <w:pPr>
      <w:spacing w:after="57"/>
      <w:ind w:left="2268"/>
    </w:pPr>
  </w:style>
  <w:style w:type="paragraph" w:styleId="33">
    <w:name w:val="Normal (Web)"/>
    <w:basedOn w:val="1"/>
    <w:qFormat/>
    <w:uiPriority w:val="34"/>
    <w:pPr>
      <w:widowControl/>
      <w:spacing w:before="100" w:beforeAutospacing="1" w:after="100" w:afterAutospacing="1"/>
      <w:jc w:val="left"/>
    </w:pPr>
    <w:rPr>
      <w:rFonts w:ascii="宋体" w:hAnsi="宋体"/>
      <w:sz w:val="24"/>
    </w:rPr>
  </w:style>
  <w:style w:type="paragraph" w:styleId="34">
    <w:name w:val="Title"/>
    <w:basedOn w:val="1"/>
    <w:next w:val="1"/>
    <w:link w:val="55"/>
    <w:qFormat/>
    <w:uiPriority w:val="10"/>
    <w:pPr>
      <w:spacing w:before="300" w:after="200"/>
      <w:contextualSpacing/>
    </w:pPr>
    <w:rPr>
      <w:sz w:val="48"/>
      <w:szCs w:val="48"/>
    </w:rPr>
  </w:style>
  <w:style w:type="paragraph" w:styleId="35">
    <w:name w:val="annotation subject"/>
    <w:basedOn w:val="15"/>
    <w:next w:val="15"/>
    <w:link w:val="205"/>
    <w:semiHidden/>
    <w:unhideWhenUsed/>
    <w:qFormat/>
    <w:uiPriority w:val="99"/>
    <w:pPr>
      <w:spacing w:line="240" w:lineRule="auto"/>
      <w:ind w:firstLine="0"/>
    </w:pPr>
    <w:rPr>
      <w:rFonts w:asciiTheme="minorHAnsi" w:hAnsiTheme="minorHAnsi" w:eastAsiaTheme="minorEastAsia" w:cstheme="minorBidi"/>
      <w:b/>
      <w:bCs/>
      <w:szCs w:val="22"/>
    </w:rPr>
  </w:style>
  <w:style w:type="table" w:styleId="37">
    <w:name w:val="Table Grid"/>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endnote reference"/>
    <w:basedOn w:val="38"/>
    <w:semiHidden/>
    <w:unhideWhenUsed/>
    <w:qFormat/>
    <w:uiPriority w:val="99"/>
    <w:rPr>
      <w:vertAlign w:val="superscript"/>
    </w:rPr>
  </w:style>
  <w:style w:type="character" w:styleId="40">
    <w:name w:val="page number"/>
    <w:semiHidden/>
    <w:qFormat/>
    <w:uiPriority w:val="0"/>
  </w:style>
  <w:style w:type="character" w:styleId="41">
    <w:name w:val="Hyperlink"/>
    <w:qFormat/>
    <w:uiPriority w:val="99"/>
    <w:rPr>
      <w:color w:val="0000FF"/>
      <w:u w:val="none"/>
    </w:rPr>
  </w:style>
  <w:style w:type="character" w:styleId="42">
    <w:name w:val="annotation reference"/>
    <w:qFormat/>
    <w:uiPriority w:val="0"/>
    <w:rPr>
      <w:sz w:val="21"/>
      <w:szCs w:val="21"/>
    </w:rPr>
  </w:style>
  <w:style w:type="character" w:styleId="43">
    <w:name w:val="footnote reference"/>
    <w:basedOn w:val="38"/>
    <w:unhideWhenUsed/>
    <w:qFormat/>
    <w:uiPriority w:val="99"/>
    <w:rPr>
      <w:vertAlign w:val="superscript"/>
    </w:rPr>
  </w:style>
  <w:style w:type="character" w:customStyle="1" w:styleId="44">
    <w:name w:val="Heading 1 Char"/>
    <w:basedOn w:val="38"/>
    <w:qFormat/>
    <w:uiPriority w:val="9"/>
    <w:rPr>
      <w:rFonts w:ascii="Arial" w:hAnsi="Arial" w:eastAsia="Arial" w:cs="Arial"/>
      <w:sz w:val="40"/>
      <w:szCs w:val="40"/>
    </w:rPr>
  </w:style>
  <w:style w:type="character" w:customStyle="1" w:styleId="45">
    <w:name w:val="Heading 2 Char"/>
    <w:basedOn w:val="38"/>
    <w:qFormat/>
    <w:uiPriority w:val="9"/>
    <w:rPr>
      <w:rFonts w:ascii="Arial" w:hAnsi="Arial" w:eastAsia="Arial" w:cs="Arial"/>
      <w:sz w:val="34"/>
    </w:rPr>
  </w:style>
  <w:style w:type="character" w:customStyle="1" w:styleId="46">
    <w:name w:val="Heading 3 Char"/>
    <w:basedOn w:val="38"/>
    <w:qFormat/>
    <w:uiPriority w:val="9"/>
    <w:rPr>
      <w:rFonts w:ascii="Arial" w:hAnsi="Arial" w:eastAsia="Arial" w:cs="Arial"/>
      <w:sz w:val="30"/>
      <w:szCs w:val="30"/>
    </w:rPr>
  </w:style>
  <w:style w:type="character" w:customStyle="1" w:styleId="47">
    <w:name w:val="标题 4 Char"/>
    <w:basedOn w:val="38"/>
    <w:link w:val="6"/>
    <w:qFormat/>
    <w:uiPriority w:val="9"/>
    <w:rPr>
      <w:rFonts w:ascii="Arial" w:hAnsi="Arial" w:eastAsia="Arial" w:cs="Arial"/>
      <w:b/>
      <w:bCs/>
      <w:sz w:val="26"/>
      <w:szCs w:val="26"/>
    </w:rPr>
  </w:style>
  <w:style w:type="character" w:customStyle="1" w:styleId="48">
    <w:name w:val="标题 5 Char"/>
    <w:basedOn w:val="38"/>
    <w:link w:val="7"/>
    <w:qFormat/>
    <w:uiPriority w:val="9"/>
    <w:rPr>
      <w:rFonts w:ascii="Arial" w:hAnsi="Arial" w:eastAsia="Arial" w:cs="Arial"/>
      <w:b/>
      <w:bCs/>
      <w:sz w:val="24"/>
      <w:szCs w:val="24"/>
    </w:rPr>
  </w:style>
  <w:style w:type="character" w:customStyle="1" w:styleId="49">
    <w:name w:val="标题 6 Char"/>
    <w:basedOn w:val="38"/>
    <w:link w:val="8"/>
    <w:qFormat/>
    <w:uiPriority w:val="9"/>
    <w:rPr>
      <w:rFonts w:ascii="Arial" w:hAnsi="Arial" w:eastAsia="Arial" w:cs="Arial"/>
      <w:b/>
      <w:bCs/>
      <w:sz w:val="22"/>
      <w:szCs w:val="22"/>
    </w:rPr>
  </w:style>
  <w:style w:type="character" w:customStyle="1" w:styleId="50">
    <w:name w:val="标题 7 Char"/>
    <w:basedOn w:val="38"/>
    <w:link w:val="9"/>
    <w:qFormat/>
    <w:uiPriority w:val="9"/>
    <w:rPr>
      <w:rFonts w:ascii="Arial" w:hAnsi="Arial" w:eastAsia="Arial" w:cs="Arial"/>
      <w:b/>
      <w:bCs/>
      <w:i/>
      <w:iCs/>
      <w:sz w:val="22"/>
      <w:szCs w:val="22"/>
    </w:rPr>
  </w:style>
  <w:style w:type="character" w:customStyle="1" w:styleId="51">
    <w:name w:val="标题 8 Char"/>
    <w:basedOn w:val="38"/>
    <w:link w:val="10"/>
    <w:qFormat/>
    <w:uiPriority w:val="9"/>
    <w:rPr>
      <w:rFonts w:ascii="Arial" w:hAnsi="Arial" w:eastAsia="Arial" w:cs="Arial"/>
      <w:i/>
      <w:iCs/>
      <w:sz w:val="22"/>
      <w:szCs w:val="22"/>
    </w:rPr>
  </w:style>
  <w:style w:type="character" w:customStyle="1" w:styleId="52">
    <w:name w:val="标题 9 Char"/>
    <w:basedOn w:val="38"/>
    <w:link w:val="11"/>
    <w:qFormat/>
    <w:uiPriority w:val="9"/>
    <w:rPr>
      <w:rFonts w:ascii="Arial" w:hAnsi="Arial" w:eastAsia="Arial" w:cs="Arial"/>
      <w:i/>
      <w:iCs/>
      <w:sz w:val="21"/>
      <w:szCs w:val="21"/>
    </w:rPr>
  </w:style>
  <w:style w:type="paragraph" w:styleId="53">
    <w:name w:val="List Paragraph"/>
    <w:basedOn w:val="1"/>
    <w:qFormat/>
    <w:uiPriority w:val="34"/>
    <w:pPr>
      <w:ind w:left="720"/>
      <w:contextualSpacing/>
    </w:pPr>
  </w:style>
  <w:style w:type="paragraph" w:styleId="54">
    <w:name w:val="No Spacing"/>
    <w:qFormat/>
    <w:uiPriority w:val="1"/>
    <w:rPr>
      <w:rFonts w:ascii="Times New Roman" w:hAnsi="Times New Roman" w:eastAsia="宋体" w:cs="Times New Roman"/>
      <w:lang w:val="en-US" w:eastAsia="zh-CN" w:bidi="ar-SA"/>
    </w:rPr>
  </w:style>
  <w:style w:type="character" w:customStyle="1" w:styleId="55">
    <w:name w:val="标题 Char"/>
    <w:basedOn w:val="38"/>
    <w:link w:val="34"/>
    <w:qFormat/>
    <w:uiPriority w:val="10"/>
    <w:rPr>
      <w:sz w:val="48"/>
      <w:szCs w:val="48"/>
    </w:rPr>
  </w:style>
  <w:style w:type="character" w:customStyle="1" w:styleId="56">
    <w:name w:val="副标题 Char"/>
    <w:basedOn w:val="38"/>
    <w:link w:val="27"/>
    <w:qFormat/>
    <w:uiPriority w:val="11"/>
    <w:rPr>
      <w:sz w:val="24"/>
      <w:szCs w:val="24"/>
    </w:rPr>
  </w:style>
  <w:style w:type="paragraph" w:styleId="57">
    <w:name w:val="Quote"/>
    <w:basedOn w:val="1"/>
    <w:next w:val="1"/>
    <w:link w:val="58"/>
    <w:qFormat/>
    <w:uiPriority w:val="29"/>
    <w:pPr>
      <w:ind w:left="720" w:right="720"/>
    </w:pPr>
    <w:rPr>
      <w:i/>
    </w:rPr>
  </w:style>
  <w:style w:type="character" w:customStyle="1" w:styleId="58">
    <w:name w:val="引用 Char"/>
    <w:link w:val="57"/>
    <w:qFormat/>
    <w:uiPriority w:val="29"/>
    <w:rPr>
      <w:i/>
    </w:rPr>
  </w:style>
  <w:style w:type="paragraph" w:styleId="59">
    <w:name w:val="Intense Quote"/>
    <w:basedOn w:val="1"/>
    <w:next w:val="1"/>
    <w:link w:val="6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0">
    <w:name w:val="明显引用 Char"/>
    <w:link w:val="59"/>
    <w:qFormat/>
    <w:uiPriority w:val="30"/>
    <w:rPr>
      <w:i/>
    </w:rPr>
  </w:style>
  <w:style w:type="character" w:customStyle="1" w:styleId="61">
    <w:name w:val="Header Char"/>
    <w:basedOn w:val="38"/>
    <w:qFormat/>
    <w:uiPriority w:val="99"/>
  </w:style>
  <w:style w:type="character" w:customStyle="1" w:styleId="62">
    <w:name w:val="Footer Char"/>
    <w:basedOn w:val="38"/>
    <w:qFormat/>
    <w:uiPriority w:val="99"/>
  </w:style>
  <w:style w:type="character" w:customStyle="1" w:styleId="63">
    <w:name w:val="Caption Char"/>
    <w:qFormat/>
    <w:uiPriority w:val="99"/>
  </w:style>
  <w:style w:type="table" w:customStyle="1" w:styleId="64">
    <w:name w:val="Table Grid Light"/>
    <w:basedOn w:val="36"/>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5">
    <w:name w:val="Plain Table 1"/>
    <w:basedOn w:val="36"/>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6">
    <w:name w:val="Plain Table 2"/>
    <w:basedOn w:val="36"/>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7">
    <w:name w:val="Plain Table 3"/>
    <w:basedOn w:val="36"/>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Plain Table 4"/>
    <w:basedOn w:val="36"/>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Plain Table 5"/>
    <w:basedOn w:val="36"/>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0">
    <w:name w:val="Grid Table 1 Light"/>
    <w:basedOn w:val="36"/>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1">
    <w:name w:val="Grid Table 1 Light - Accent 1"/>
    <w:basedOn w:val="36"/>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2">
    <w:name w:val="Grid Table 1 Light - Accent 2"/>
    <w:basedOn w:val="36"/>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3">
    <w:name w:val="Grid Table 1 Light - Accent 3"/>
    <w:basedOn w:val="36"/>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4">
    <w:name w:val="Grid Table 1 Light - Accent 4"/>
    <w:basedOn w:val="36"/>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5">
    <w:name w:val="Grid Table 1 Light - Accent 5"/>
    <w:basedOn w:val="36"/>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6">
    <w:name w:val="Grid Table 1 Light - Accent 6"/>
    <w:basedOn w:val="3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7">
    <w:name w:val="Grid Table 2"/>
    <w:basedOn w:val="36"/>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2 - Accent 1"/>
    <w:basedOn w:val="36"/>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2 - Accent 2"/>
    <w:basedOn w:val="36"/>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2 - Accent 3"/>
    <w:basedOn w:val="36"/>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2 - Accent 4"/>
    <w:basedOn w:val="36"/>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2 - Accent 5"/>
    <w:basedOn w:val="36"/>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2 - Accent 6"/>
    <w:basedOn w:val="3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Grid Table 3"/>
    <w:basedOn w:val="36"/>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3 - Accent 1"/>
    <w:basedOn w:val="36"/>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6">
    <w:name w:val="Grid Table 3 - Accent 2"/>
    <w:basedOn w:val="36"/>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3 - Accent 3"/>
    <w:basedOn w:val="36"/>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3 - Accent 4"/>
    <w:basedOn w:val="36"/>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3 - Accent 5"/>
    <w:basedOn w:val="36"/>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3 - Accent 6"/>
    <w:basedOn w:val="3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4"/>
    <w:basedOn w:val="36"/>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2">
    <w:name w:val="Grid Table 4 - Accent 1"/>
    <w:basedOn w:val="36"/>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3">
    <w:name w:val="Grid Table 4 - Accent 2"/>
    <w:basedOn w:val="36"/>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4">
    <w:name w:val="Grid Table 4 - Accent 3"/>
    <w:basedOn w:val="36"/>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5">
    <w:name w:val="Grid Table 4 - Accent 4"/>
    <w:basedOn w:val="36"/>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6">
    <w:name w:val="Grid Table 4 - Accent 5"/>
    <w:basedOn w:val="36"/>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7">
    <w:name w:val="Grid Table 4 - Accent 6"/>
    <w:basedOn w:val="3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8">
    <w:name w:val="Grid Table 5 Dark"/>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9">
    <w:name w:val="Grid Table 5 Dark- Accent 1"/>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0">
    <w:name w:val="Grid Table 5 Dark - Accent 2"/>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1">
    <w:name w:val="Grid Table 5 Dark - Accent 3"/>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2">
    <w:name w:val="Grid Table 5 Dark- Accent 4"/>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3">
    <w:name w:val="Grid Table 5 Dark - Accent 5"/>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4">
    <w:name w:val="Grid Table 5 Dark - Accent 6"/>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5">
    <w:name w:val="Grid Table 6 Colorful"/>
    <w:basedOn w:val="36"/>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6 Colorful - Accent 1"/>
    <w:basedOn w:val="36"/>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6 Colorful - Accent 2"/>
    <w:basedOn w:val="36"/>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6 Colorful - Accent 3"/>
    <w:basedOn w:val="36"/>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9">
    <w:name w:val="Grid Table 6 Colorful - Accent 4"/>
    <w:basedOn w:val="36"/>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6 Colorful - Accent 5"/>
    <w:basedOn w:val="36"/>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6 Colorful - Accent 6"/>
    <w:basedOn w:val="3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2">
    <w:name w:val="Grid Table 7 Colorful"/>
    <w:basedOn w:val="36"/>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3">
    <w:name w:val="Grid Table 7 Colorful - Accent 1"/>
    <w:basedOn w:val="36"/>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4">
    <w:name w:val="Grid Table 7 Colorful - Accent 2"/>
    <w:basedOn w:val="36"/>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5">
    <w:name w:val="Grid Table 7 Colorful - Accent 3"/>
    <w:basedOn w:val="36"/>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6">
    <w:name w:val="Grid Table 7 Colorful - Accent 4"/>
    <w:basedOn w:val="36"/>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7">
    <w:name w:val="Grid Table 7 Colorful - Accent 5"/>
    <w:basedOn w:val="36"/>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8">
    <w:name w:val="Grid Table 7 Colorful - Accent 6"/>
    <w:basedOn w:val="3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9">
    <w:name w:val="List Table 1 Light"/>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0">
    <w:name w:val="List Table 1 Light - Accent 1"/>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1">
    <w:name w:val="List Table 1 Light - Accent 2"/>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2">
    <w:name w:val="List Table 1 Light - Accent 3"/>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3">
    <w:name w:val="List Table 1 Light - Accent 4"/>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4">
    <w:name w:val="List Table 1 Light - Accent 5"/>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5">
    <w:name w:val="List Table 1 Light - Accent 6"/>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6">
    <w:name w:val="List Table 2"/>
    <w:basedOn w:val="36"/>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7">
    <w:name w:val="List Table 2 - Accent 1"/>
    <w:basedOn w:val="36"/>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8">
    <w:name w:val="List Table 2 - Accent 2"/>
    <w:basedOn w:val="36"/>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9">
    <w:name w:val="List Table 2 - Accent 3"/>
    <w:basedOn w:val="36"/>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0">
    <w:name w:val="List Table 2 - Accent 4"/>
    <w:basedOn w:val="36"/>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1">
    <w:name w:val="List Table 2 - Accent 5"/>
    <w:basedOn w:val="36"/>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2">
    <w:name w:val="List Table 2 - Accent 6"/>
    <w:basedOn w:val="3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3">
    <w:name w:val="List Table 3"/>
    <w:basedOn w:val="36"/>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4">
    <w:name w:val="List Table 3 - Accent 1"/>
    <w:basedOn w:val="36"/>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5">
    <w:name w:val="List Table 3 - Accent 2"/>
    <w:basedOn w:val="36"/>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6">
    <w:name w:val="List Table 3 - Accent 3"/>
    <w:basedOn w:val="36"/>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7">
    <w:name w:val="List Table 3 - Accent 4"/>
    <w:basedOn w:val="36"/>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8">
    <w:name w:val="List Table 3 - Accent 5"/>
    <w:basedOn w:val="36"/>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9">
    <w:name w:val="List Table 3 - Accent 6"/>
    <w:basedOn w:val="3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0">
    <w:name w:val="List Table 4"/>
    <w:basedOn w:val="36"/>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1">
    <w:name w:val="List Table 4 - Accent 1"/>
    <w:basedOn w:val="36"/>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2">
    <w:name w:val="List Table 4 - Accent 2"/>
    <w:basedOn w:val="36"/>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3">
    <w:name w:val="List Table 4 - Accent 3"/>
    <w:basedOn w:val="36"/>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4">
    <w:name w:val="List Table 4 - Accent 4"/>
    <w:basedOn w:val="36"/>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5">
    <w:name w:val="List Table 4 - Accent 5"/>
    <w:basedOn w:val="36"/>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6">
    <w:name w:val="List Table 4 - Accent 6"/>
    <w:basedOn w:val="3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7">
    <w:name w:val="List Table 5 Dark"/>
    <w:basedOn w:val="36"/>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8">
    <w:name w:val="List Table 5 Dark - Accent 1"/>
    <w:basedOn w:val="36"/>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9">
    <w:name w:val="List Table 5 Dark - Accent 2"/>
    <w:basedOn w:val="36"/>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0">
    <w:name w:val="List Table 5 Dark - Accent 3"/>
    <w:basedOn w:val="36"/>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1">
    <w:name w:val="List Table 5 Dark - Accent 4"/>
    <w:basedOn w:val="36"/>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2">
    <w:name w:val="List Table 5 Dark - Accent 5"/>
    <w:basedOn w:val="36"/>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3">
    <w:name w:val="List Table 5 Dark - Accent 6"/>
    <w:basedOn w:val="3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4">
    <w:name w:val="List Table 6 Colorful"/>
    <w:basedOn w:val="36"/>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5">
    <w:name w:val="List Table 6 Colorful - Accent 1"/>
    <w:basedOn w:val="36"/>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6 Colorful - Accent 2"/>
    <w:basedOn w:val="36"/>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6 Colorful - Accent 3"/>
    <w:basedOn w:val="36"/>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6 Colorful - Accent 4"/>
    <w:basedOn w:val="36"/>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6 Colorful - Accent 5"/>
    <w:basedOn w:val="36"/>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6 Colorful - Accent 6"/>
    <w:basedOn w:val="36"/>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st Table 7 Colorful"/>
    <w:basedOn w:val="36"/>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2">
    <w:name w:val="List Table 7 Colorful - Accent 1"/>
    <w:basedOn w:val="36"/>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3">
    <w:name w:val="List Table 7 Colorful - Accent 2"/>
    <w:basedOn w:val="36"/>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4">
    <w:name w:val="List Table 7 Colorful - Accent 3"/>
    <w:basedOn w:val="36"/>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5">
    <w:name w:val="List Table 7 Colorful - Accent 4"/>
    <w:basedOn w:val="36"/>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6">
    <w:name w:val="List Table 7 Colorful - Accent 5"/>
    <w:basedOn w:val="36"/>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7">
    <w:name w:val="List Table 7 Colorful - Accent 6"/>
    <w:basedOn w:val="36"/>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8">
    <w:name w:val="Lined - Accent"/>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Lined - Accent 1"/>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Lined - Accent 2"/>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Lined - Accent 3"/>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Lined - Accent 4"/>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Lined - Accent 5"/>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Lined - Accent 6"/>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amp; Lined - Accent"/>
    <w:basedOn w:val="36"/>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6">
    <w:name w:val="Bordered &amp; Lined - Accent 1"/>
    <w:basedOn w:val="36"/>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7">
    <w:name w:val="Bordered &amp; Lined - Accent 2"/>
    <w:basedOn w:val="36"/>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8">
    <w:name w:val="Bordered &amp; Lined - Accent 3"/>
    <w:basedOn w:val="36"/>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9">
    <w:name w:val="Bordered &amp; Lined - Accent 4"/>
    <w:basedOn w:val="36"/>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0">
    <w:name w:val="Bordered &amp; Lined - Accent 5"/>
    <w:basedOn w:val="36"/>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1">
    <w:name w:val="Bordered &amp; Lined - Accent 6"/>
    <w:basedOn w:val="3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2">
    <w:name w:val="Bordered"/>
    <w:basedOn w:val="36"/>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3">
    <w:name w:val="Bordered - Accent 1"/>
    <w:basedOn w:val="36"/>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4">
    <w:name w:val="Bordered - Accent 2"/>
    <w:basedOn w:val="36"/>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5">
    <w:name w:val="Bordered - Accent 3"/>
    <w:basedOn w:val="36"/>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6">
    <w:name w:val="Bordered - Accent 4"/>
    <w:basedOn w:val="36"/>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7">
    <w:name w:val="Bordered - Accent 5"/>
    <w:basedOn w:val="36"/>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8">
    <w:name w:val="Bordered - Accent 6"/>
    <w:basedOn w:val="3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9">
    <w:name w:val="脚注文本 Char"/>
    <w:link w:val="28"/>
    <w:qFormat/>
    <w:uiPriority w:val="99"/>
    <w:rPr>
      <w:sz w:val="18"/>
    </w:rPr>
  </w:style>
  <w:style w:type="character" w:customStyle="1" w:styleId="190">
    <w:name w:val="尾注文本 Char"/>
    <w:link w:val="21"/>
    <w:qFormat/>
    <w:uiPriority w:val="99"/>
    <w:rPr>
      <w:sz w:val="20"/>
    </w:rPr>
  </w:style>
  <w:style w:type="paragraph" w:customStyle="1" w:styleId="191">
    <w:name w:val="TOC 标题1"/>
    <w:unhideWhenUsed/>
    <w:qFormat/>
    <w:uiPriority w:val="39"/>
    <w:rPr>
      <w:rFonts w:ascii="Times New Roman" w:hAnsi="Times New Roman" w:eastAsia="宋体" w:cs="Times New Roman"/>
      <w:lang w:val="en-US" w:eastAsia="zh-CN" w:bidi="ar-SA"/>
    </w:rPr>
  </w:style>
  <w:style w:type="character" w:customStyle="1" w:styleId="192">
    <w:name w:val="页眉 Char"/>
    <w:basedOn w:val="38"/>
    <w:link w:val="24"/>
    <w:semiHidden/>
    <w:qFormat/>
    <w:uiPriority w:val="99"/>
    <w:rPr>
      <w:sz w:val="18"/>
      <w:szCs w:val="18"/>
    </w:rPr>
  </w:style>
  <w:style w:type="character" w:customStyle="1" w:styleId="193">
    <w:name w:val="页脚 Char"/>
    <w:basedOn w:val="38"/>
    <w:link w:val="23"/>
    <w:qFormat/>
    <w:uiPriority w:val="99"/>
    <w:rPr>
      <w:sz w:val="18"/>
      <w:szCs w:val="18"/>
    </w:rPr>
  </w:style>
  <w:style w:type="character" w:customStyle="1" w:styleId="194">
    <w:name w:val="标题 1 Char"/>
    <w:basedOn w:val="38"/>
    <w:link w:val="3"/>
    <w:qFormat/>
    <w:uiPriority w:val="9"/>
    <w:rPr>
      <w:b/>
      <w:bCs/>
      <w:sz w:val="44"/>
      <w:szCs w:val="44"/>
    </w:rPr>
  </w:style>
  <w:style w:type="character" w:customStyle="1" w:styleId="195">
    <w:name w:val="文档结构图 Char"/>
    <w:basedOn w:val="38"/>
    <w:link w:val="14"/>
    <w:semiHidden/>
    <w:qFormat/>
    <w:uiPriority w:val="99"/>
    <w:rPr>
      <w:rFonts w:ascii="宋体" w:eastAsia="宋体"/>
      <w:sz w:val="18"/>
      <w:szCs w:val="18"/>
    </w:rPr>
  </w:style>
  <w:style w:type="character" w:customStyle="1" w:styleId="196">
    <w:name w:val="标题 2 Char"/>
    <w:basedOn w:val="38"/>
    <w:link w:val="4"/>
    <w:qFormat/>
    <w:uiPriority w:val="9"/>
    <w:rPr>
      <w:rFonts w:asciiTheme="majorHAnsi" w:hAnsiTheme="majorHAnsi" w:eastAsiaTheme="majorEastAsia" w:cstheme="majorBidi"/>
      <w:b/>
      <w:bCs/>
      <w:sz w:val="32"/>
      <w:szCs w:val="32"/>
    </w:rPr>
  </w:style>
  <w:style w:type="character" w:customStyle="1" w:styleId="197">
    <w:name w:val="标题 3 Char"/>
    <w:basedOn w:val="38"/>
    <w:link w:val="5"/>
    <w:qFormat/>
    <w:uiPriority w:val="9"/>
    <w:rPr>
      <w:b/>
      <w:bCs/>
      <w:sz w:val="32"/>
      <w:szCs w:val="32"/>
    </w:rPr>
  </w:style>
  <w:style w:type="character" w:customStyle="1" w:styleId="198">
    <w:name w:val="日期 Char"/>
    <w:basedOn w:val="38"/>
    <w:link w:val="20"/>
    <w:semiHidden/>
    <w:qFormat/>
    <w:uiPriority w:val="99"/>
  </w:style>
  <w:style w:type="character" w:customStyle="1" w:styleId="199">
    <w:name w:val="批注文字 Char"/>
    <w:basedOn w:val="38"/>
    <w:link w:val="15"/>
    <w:qFormat/>
    <w:uiPriority w:val="0"/>
    <w:rPr>
      <w:rFonts w:ascii="Times New Roman" w:hAnsi="Times New Roman" w:eastAsia="宋体" w:cs="Times New Roman"/>
      <w:szCs w:val="24"/>
    </w:rPr>
  </w:style>
  <w:style w:type="character" w:customStyle="1" w:styleId="200">
    <w:name w:val="批注框文本 Char"/>
    <w:basedOn w:val="38"/>
    <w:link w:val="22"/>
    <w:semiHidden/>
    <w:qFormat/>
    <w:uiPriority w:val="99"/>
    <w:rPr>
      <w:sz w:val="18"/>
      <w:szCs w:val="18"/>
    </w:rPr>
  </w:style>
  <w:style w:type="character" w:customStyle="1" w:styleId="201">
    <w:name w:val="Default Char"/>
    <w:link w:val="2"/>
    <w:qFormat/>
    <w:uiPriority w:val="99"/>
    <w:rPr>
      <w:rFonts w:ascii="MS Mincho" w:hAnsi="Calibri" w:eastAsia="宋体" w:cs="Times New Roman"/>
      <w:color w:val="000000"/>
      <w:szCs w:val="24"/>
    </w:rPr>
  </w:style>
  <w:style w:type="character" w:customStyle="1" w:styleId="202">
    <w:name w:val="纯文本 Char"/>
    <w:basedOn w:val="38"/>
    <w:link w:val="18"/>
    <w:qFormat/>
    <w:uiPriority w:val="0"/>
    <w:rPr>
      <w:rFonts w:ascii="宋体" w:hAnsi="Courier New" w:eastAsia="宋体" w:cs="Times New Roman"/>
      <w:szCs w:val="20"/>
    </w:rPr>
  </w:style>
  <w:style w:type="paragraph" w:customStyle="1" w:styleId="203">
    <w:name w:val="引文目录1"/>
    <w:basedOn w:val="1"/>
    <w:next w:val="1"/>
    <w:qFormat/>
    <w:uiPriority w:val="0"/>
    <w:pPr>
      <w:ind w:left="420"/>
    </w:pPr>
  </w:style>
  <w:style w:type="paragraph" w:customStyle="1" w:styleId="204">
    <w:name w:val="列出段落1"/>
    <w:basedOn w:val="1"/>
    <w:qFormat/>
    <w:uiPriority w:val="34"/>
    <w:pPr>
      <w:ind w:left="720"/>
      <w:contextualSpacing/>
    </w:pPr>
  </w:style>
  <w:style w:type="character" w:customStyle="1" w:styleId="205">
    <w:name w:val="批注主题 Char"/>
    <w:basedOn w:val="199"/>
    <w:link w:val="35"/>
    <w:semiHidden/>
    <w:qFormat/>
    <w:uiPriority w:val="99"/>
    <w:rPr>
      <w:rFonts w:asciiTheme="minorHAnsi" w:hAnsiTheme="minorHAnsi" w:eastAsiaTheme="minorEastAsia" w:cstheme="minorBidi"/>
      <w:b/>
      <w:bCs/>
      <w:sz w:val="21"/>
      <w:szCs w:val="22"/>
    </w:rPr>
  </w:style>
  <w:style w:type="character" w:customStyle="1" w:styleId="206">
    <w:name w:val="font41"/>
    <w:basedOn w:val="38"/>
    <w:qFormat/>
    <w:uiPriority w:val="0"/>
    <w:rPr>
      <w:rFonts w:hint="eastAsia" w:ascii="微软雅黑" w:hAnsi="微软雅黑" w:eastAsia="微软雅黑" w:cs="微软雅黑"/>
      <w:b/>
      <w:color w:val="000000"/>
      <w:sz w:val="22"/>
      <w:szCs w:val="22"/>
      <w:u w:val="none"/>
    </w:rPr>
  </w:style>
  <w:style w:type="character" w:customStyle="1" w:styleId="207">
    <w:name w:val="font01"/>
    <w:basedOn w:val="38"/>
    <w:qFormat/>
    <w:uiPriority w:val="0"/>
    <w:rPr>
      <w:rFonts w:hint="eastAsia" w:ascii="微软雅黑" w:hAnsi="微软雅黑" w:eastAsia="微软雅黑" w:cs="微软雅黑"/>
      <w:b/>
      <w:color w:val="000000"/>
      <w:sz w:val="22"/>
      <w:szCs w:val="22"/>
      <w:u w:val="none"/>
      <w:vertAlign w:val="superscript"/>
    </w:rPr>
  </w:style>
  <w:style w:type="paragraph" w:customStyle="1" w:styleId="208">
    <w:name w:val="无间隔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209">
    <w:name w:val="样式2"/>
    <w:basedOn w:val="210"/>
    <w:qFormat/>
    <w:uiPriority w:val="0"/>
    <w:pPr>
      <w:numPr>
        <w:ilvl w:val="1"/>
        <w:numId w:val="1"/>
      </w:numPr>
      <w:tabs>
        <w:tab w:val="left" w:pos="709"/>
      </w:tabs>
      <w:jc w:val="left"/>
      <w:outlineLvl w:val="1"/>
    </w:pPr>
    <w:rPr>
      <w:sz w:val="28"/>
    </w:rPr>
  </w:style>
  <w:style w:type="paragraph" w:customStyle="1" w:styleId="210">
    <w:name w:val="样式1"/>
    <w:basedOn w:val="1"/>
    <w:qFormat/>
    <w:uiPriority w:val="0"/>
    <w:pPr>
      <w:tabs>
        <w:tab w:val="left" w:pos="709"/>
      </w:tabs>
      <w:ind w:left="709" w:hanging="709"/>
    </w:pPr>
    <w:rPr>
      <w:rFonts w:ascii="宋体" w:hAnsi="宋体"/>
      <w:szCs w:val="21"/>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ontractReview xmlns="http://schemas.wps.cn/vas-ai-hub/contract-review">
  <reviewItems>
    <reviewItem>
      <errorID>f5ea1ea9-a1de-4f38-a75e-278597af06b2</errorID>
      <errorWord>及</errorWord>
      <group>L1_AI</group>
      <groupName>深度校对</groupName>
      <ability>L2_AI_Word</ability>
      <abilityName>字词纠错</abilityName>
      <candidateList>
        <item>，</item>
      </candidateList>
      <explain/>
      <paraID>2B6176EC</paraID>
      <start>108</start>
      <end>109</end>
      <status>unmodified</status>
      <modifiedWord/>
      <trackRevisions>false</trackRevisions>
    </reviewItem>
    <reviewItem>
      <errorID>2d1e0385-7492-4849-ab9d-ca728dc8b47f</errorID>
      <errorWord>故障及时处理</errorWord>
      <group>L1_AI</group>
      <groupName>深度校对</groupName>
      <ability>L2_AI_Word</ability>
      <abilityName>字词纠错</abilityName>
      <candidateList>
        <item>及时处理故障</item>
      </candidateList>
      <explain/>
      <paraID>2B6176EC</paraID>
      <start>109</start>
      <end>115</end>
      <status>unmodified</status>
      <modifiedWord/>
      <trackRevisions>false</trackRevisions>
    </reviewItem>
    <reviewItem>
      <errorID>f1230a85-e8d0-4b2e-8920-da28d23578c6</errorID>
      <errorWord>提高</errorWord>
      <group>L1_AI</group>
      <groupName>深度校对</groupName>
      <ability>L2_AI_Word</ability>
      <abilityName>字词纠错</abilityName>
      <candidateList>
        <item>延长</item>
      </candidateList>
      <explain/>
      <paraID>2B6176EC</paraID>
      <start>116</start>
      <end>118</end>
      <status>unmodified</status>
      <modifiedWord/>
      <trackRevisions>false</trackRevisions>
    </reviewItem>
    <reviewItem>
      <errorID>3a08880f-04ad-47ca-b1d2-f3b04e57951a</errorID>
      <errorWord>要求的规定</errorWord>
      <group>L1_AI</group>
      <groupName>深度校对</groupName>
      <ability>L2_AI_Grammar</ability>
      <abilityName>语法纠错</abilityName>
      <candidateList>
        <item>要求</item>
      </candidateList>
      <explain/>
      <paraID>465EEF97</paraID>
      <start>18</start>
      <end>23</end>
      <status>unmodified</status>
      <modifiedWord/>
      <trackRevisions>false</trackRevisions>
    </reviewItem>
    <reviewItem>
      <errorID>8e145640-9e3d-446a-9f29-a1a0f4cc3065</errorID>
      <errorWord>条件的规定</errorWord>
      <group>L1_AI</group>
      <groupName>深度校对</groupName>
      <ability>L2_AI_Grammar</ability>
      <abilityName>语法纠错</abilityName>
      <candidateList>
        <item>条件</item>
      </candidateList>
      <explain/>
      <paraID>2D5AD269</paraID>
      <start>19</start>
      <end>24</end>
      <status>unmodified</status>
      <modifiedWord/>
      <trackRevisions>false</trackRevisions>
    </reviewItem>
    <reviewItem>
      <errorID>398fc7d6-9872-4fad-8e5a-44d8d2786db5</errorID>
      <errorWord>的法律法规</errorWord>
      <group>L1_AI</group>
      <groupName>深度校对</groupName>
      <ability>L2_AI_Word</ability>
      <abilityName>字词纠错</abilityName>
      <candidateList>
        <item>法律法规的</item>
      </candidateList>
      <explain/>
      <paraID>7AEEC1A8</paraID>
      <start>28</start>
      <end>33</end>
      <status>unmodified</status>
      <modifiedWord/>
      <trackRevisions>false</trackRevisions>
    </reviewItem>
    <reviewItem>
      <errorID>a4dd6990-103a-439b-bad7-cbf655dbcd5f</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33AF829C</paraID>
      <start>123</start>
      <end>125</end>
      <status>unmodified</status>
      <modifiedWord/>
      <trackRevisions>false</trackRevisions>
    </reviewItem>
    <reviewItem>
      <errorID>8b5ff1d8-880e-46da-a98c-fce64f28ecbf</errorID>
      <errorWord>，</errorWord>
      <group>L1_Word</group>
      <groupName>字词问题</groupName>
      <ability>L2_Typo</ability>
      <abilityName>字词错误</abilityName>
      <candidateList>
        <item>，将</item>
      </candidateList>
      <explain/>
      <paraID> A2D8AE6</paraID>
      <start>99</start>
      <end>100</end>
      <status>unmodified</status>
      <modifiedWord/>
      <trackRevisions>false</trackRevisions>
    </reviewItem>
    <reviewItem>
      <errorID>5ab73286-9e58-4407-91d1-b04ac86272fd</errorID>
      <errorWord>国家发改委</errorWord>
      <group>L1_Knowledge</group>
      <groupName>知识性问题</groupName>
      <ability>L2_Knowledge</ability>
      <abilityName>其他知识</abilityName>
      <candidateList>
        <item>国家发展改革委</item>
      </candidateList>
      <explain/>
      <paraID>6242E080</paraID>
      <start>19</start>
      <end>24</end>
      <status>unmodified</status>
      <modifiedWord/>
      <trackRevisions>false</trackRevisions>
    </reviewItem>
    <reviewItem>
      <errorID>1ee585fc-9794-49df-8ed8-5abc6f9b0d39</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4808E636</paraID>
      <start>9</start>
      <end>11</end>
      <status>unmodified</status>
      <modifiedWord/>
      <trackRevisions>false</trackRevisions>
    </reviewItem>
    <reviewItem>
      <errorID>5c7fe5f5-d5d3-45af-aaa3-f9a24cbad6b7</errorID>
      <errorWord>提出的</errorWord>
      <group>L1_Word</group>
      <groupName>字词问题</groupName>
      <ability>L2_Typo</ability>
      <abilityName>字词错误</abilityName>
      <candidateList>
        <item>提出</item>
      </candidateList>
      <explain/>
      <paraID>6FEE3308</paraID>
      <start>34</start>
      <end>37</end>
      <status>unmodified</status>
      <modifiedWord/>
      <trackRevisions>false</trackRevisions>
    </reviewItem>
    <reviewItem>
      <errorID>f88ca0a3-95c9-40e7-97b0-176e78bbef89</errorID>
      <errorWord>须</errorWord>
      <group>L1_Word</group>
      <groupName>字词问题</groupName>
      <ability>L2_Typo</ability>
      <abilityName>字词错误</abilityName>
      <candidateList>
        <item>需</item>
      </candidateList>
      <explain>存在发音相同字词的误用。</explain>
      <paraID> FC4DD90</paraID>
      <start>5</start>
      <end>6</end>
      <status>modified</status>
      <modifiedWord>需</modifiedWord>
      <trackRevisions>false</trackRevisions>
    </reviewItem>
    <reviewItem>
      <errorID>d1252af8-ce27-489a-a3bd-867b854de6a4</errorID>
      <errorWord>扣</errorWord>
      <group>L1_Word</group>
      <groupName>字词问题</groupName>
      <ability>L2_Typo</ability>
      <abilityName>字词错误</abilityName>
      <candidateList>
        <item>扣除</item>
      </candidateList>
      <explain/>
      <paraID>1F3DE7F4</paraID>
      <start>66</start>
      <end>67</end>
      <status>unmodified</status>
      <modifiedWord/>
      <trackRevisions>false</trackRevisions>
    </reviewItem>
    <reviewItem>
      <errorID>7340a19b-b386-4105-b762-247303e10a12</errorID>
      <errorWord>(</errorWord>
      <group>L1_Format</group>
      <groupName>格式问题</groupName>
      <ability>L2_HalfPunc</ability>
      <abilityName>全半角检查</abilityName>
      <candidateList>
        <item>（</item>
      </candidateList>
      <explain>文本全半角错误。</explain>
      <paraID>304FCD95</paraID>
      <start>95</start>
      <end>96</end>
      <status>modified</status>
      <modifiedWord>（</modifiedWord>
      <trackRevisions>false</trackRevisions>
    </reviewItem>
    <reviewItem>
      <errorID>ff8747e3-b398-4f81-ad8b-e6ec76ede4d5</errorID>
      <errorWord>至少3年以上</errorWord>
      <group>L1_Grammar</group>
      <groupName>语法问题</groupName>
      <ability>L2_Grammar</ability>
      <abilityName>语法错误</abilityName>
      <candidateList>
        <item>至少3年</item>
      </candidateList>
      <explain/>
      <paraID>15213CAB</paraID>
      <start>29</start>
      <end>35</end>
      <status>unmodified</status>
      <modifiedWord/>
      <trackRevisions>false</trackRevisions>
    </reviewItem>
    <reviewItem>
      <errorID>81045152-30a4-4a3e-baf4-d2dde58ec7bc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7C80AF85</paraID>
      <start>30</start>
      <end>31</end>
      <status>modified</status>
      <modifiedWord>地</modifiedWord>
      <trackRevisions>false</trackRevisions>
    </reviewItem>
    <reviewItem>
      <errorID>5f593f88-9518-4a3b-8f80-4d306734fda8</errorID>
      <errorWord>提供向</errorWord>
      <group>L1_Word</group>
      <groupName>字词问题</groupName>
      <ability>L2_Typo</ability>
      <abilityName>字词错误</abilityName>
      <candidateList>
        <item>提供</item>
      </candidateList>
      <explain/>
      <paraID> 91D4730</paraID>
      <start>6</start>
      <end>9</end>
      <status>unmodified</status>
      <modifiedWord/>
      <trackRevisions>false</trackRevisions>
    </reviewItem>
    <reviewItem>
      <errorID>98be6300-6201-4ab6-b9f0-829ced717e8c</errorID>
      <errorWord>并</errorWord>
      <group>L1_Word</group>
      <groupName>字词问题</groupName>
      <ability>L2_Typo</ability>
      <abilityName>字词错误</abilityName>
      <candidateList>
        <item>并在</item>
      </candidateList>
      <explain/>
      <paraID>1B960892</paraID>
      <start>24</start>
      <end>25</end>
      <status>unmodified</status>
      <modifiedWord/>
      <trackRevisions>false</trackRevisions>
    </reviewItem>
    <reviewItem>
      <errorID>7309d7e9-7a34-4075-ac45-8301188c763b</errorID>
      <errorWord>扣</errorWord>
      <group>L1_Word</group>
      <groupName>字词问题</groupName>
      <ability>L2_Typo</ability>
      <abilityName>字词错误</abilityName>
      <candidateList>
        <item>扣除</item>
      </candidateList>
      <explain/>
      <paraID>29FB7104</paraID>
      <start>66</start>
      <end>67</end>
      <status>unmodified</status>
      <modifiedWord/>
      <trackRevisions>false</trackRevisions>
    </reviewItem>
    <reviewItem>
      <errorID>a1d97e41-7888-4f7e-be5a-90011282221a</errorID>
      <errorWord>中</errorWord>
      <group>L1_Word</group>
      <groupName>字词问题</groupName>
      <ability>L2_Typo</ability>
      <abilityName>字词错误</abilityName>
      <candidateList>
        <item>须</item>
      </candidateList>
      <explain>（鬚）xū❶原来指长在下巴上的胡子，后来泛指胡须：～发｜～眉。❷须子：触～｜花～。</explain>
      <paraID> 947C677</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32F104ED-6F09-4386-A0CB-BC89494B4C11}">
  <ds:schemaRefs/>
</ds:datastoreItem>
</file>

<file path=customXml/itemProps2.xml><?xml version="1.0" encoding="utf-8"?>
<ds:datastoreItem xmlns:ds="http://schemas.openxmlformats.org/officeDocument/2006/customXml" ds:itemID="{75f8a42a-d7bc-4a0f-bd4a-01abce22f816}">
  <ds:schemaRefs/>
</ds:datastoreItem>
</file>

<file path=docProps/app.xml><?xml version="1.0" encoding="utf-8"?>
<Properties xmlns="http://schemas.openxmlformats.org/officeDocument/2006/extended-properties" xmlns:vt="http://schemas.openxmlformats.org/officeDocument/2006/docPropsVTypes">
  <Template>Normal</Template>
  <Pages>63</Pages>
  <Words>32813</Words>
  <Characters>34244</Characters>
  <Lines>294</Lines>
  <Paragraphs>82</Paragraphs>
  <TotalTime>5</TotalTime>
  <ScaleCrop>false</ScaleCrop>
  <LinksUpToDate>false</LinksUpToDate>
  <CharactersWithSpaces>34911</CharactersWithSpaces>
  <Application>WPS Office_12.1.0.24657_F1E327BC-269C-435d-A152-05C5408002CA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“苏采云”竞争性磋商服务范本</cp:category>
  <dcterms:created xsi:type="dcterms:W3CDTF">2025-12-17T07:21:00Z</dcterms:created>
  <dc:creator>连云港市公共资源交易中心</dc:creator>
  <dc:description>2024年4月3日修订</dc:description>
  <cp:lastModifiedBy>惠小</cp:lastModifiedBy>
  <dcterms:modified xsi:type="dcterms:W3CDTF">2026-01-26T02:30:32Z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09777E0C1F694F0D80CB9CF75F579BFC_13</vt:lpwstr>
  </property>
  <property fmtid="{D5CDD505-2E9C-101B-9397-08002B2CF9AE}" pid="4" name="KSOTemplateDocerSaveRecord">
    <vt:lpwstr>eyJoZGlkIjoiYWQyOTg4MzQwYjMwYmUxOGJkNjg2ZDllNWIyZjQxNzkiLCJ1c2VySWQiOiIyMDI4MzcxMjMifQ==</vt:lpwstr>
  </property>
</Properties>
</file>