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045B1">
      <w:pPr>
        <w:jc w:val="center"/>
        <w:rPr>
          <w:b/>
          <w:sz w:val="30"/>
          <w:szCs w:val="30"/>
        </w:rPr>
      </w:pPr>
      <w:r>
        <w:rPr>
          <w:rFonts w:hint="eastAsia"/>
          <w:b/>
          <w:sz w:val="30"/>
          <w:szCs w:val="30"/>
          <w:lang w:val="zh-CN"/>
        </w:rPr>
        <w:t>无锡市民政综合服务中心消防改造</w:t>
      </w:r>
    </w:p>
    <w:p w14:paraId="6F2B74A5">
      <w:pPr>
        <w:jc w:val="center"/>
        <w:rPr>
          <w:b/>
          <w:sz w:val="30"/>
          <w:szCs w:val="30"/>
        </w:rPr>
      </w:pPr>
      <w:r>
        <w:rPr>
          <w:rFonts w:hint="eastAsia"/>
          <w:b/>
          <w:sz w:val="30"/>
          <w:szCs w:val="30"/>
          <w:lang w:val="zh-CN"/>
        </w:rPr>
        <w:t>工程</w:t>
      </w:r>
      <w:r>
        <w:rPr>
          <w:rFonts w:hint="eastAsia"/>
          <w:b/>
          <w:sz w:val="30"/>
          <w:szCs w:val="30"/>
        </w:rPr>
        <w:t>量清单编制说明</w:t>
      </w:r>
    </w:p>
    <w:p w14:paraId="4A23D73D">
      <w:pPr>
        <w:spacing w:line="200" w:lineRule="exact"/>
        <w:rPr>
          <w:rFonts w:ascii="宋体" w:hAnsi="宋体"/>
          <w:color w:val="FF0000"/>
          <w:sz w:val="28"/>
          <w:szCs w:val="28"/>
        </w:rPr>
      </w:pPr>
    </w:p>
    <w:p w14:paraId="43EDC91E">
      <w:pPr>
        <w:pStyle w:val="8"/>
        <w:snapToGrid w:val="0"/>
        <w:spacing w:line="360" w:lineRule="auto"/>
        <w:ind w:firstLine="0" w:firstLineChars="0"/>
        <w:rPr>
          <w:rFonts w:ascii="宋体"/>
          <w:b/>
          <w:bCs/>
          <w:sz w:val="28"/>
          <w:szCs w:val="28"/>
        </w:rPr>
      </w:pPr>
      <w:r>
        <w:rPr>
          <w:rFonts w:hint="eastAsia" w:ascii="宋体" w:hAnsi="宋体" w:cs="宋体"/>
          <w:b/>
          <w:bCs/>
          <w:sz w:val="28"/>
          <w:szCs w:val="28"/>
        </w:rPr>
        <w:t>一、工程概况</w:t>
      </w:r>
    </w:p>
    <w:p w14:paraId="2338E676">
      <w:pPr>
        <w:spacing w:line="440" w:lineRule="exact"/>
        <w:ind w:firstLine="480" w:firstLineChars="200"/>
        <w:rPr>
          <w:rFonts w:ascii="宋体" w:hAnsi="宋体"/>
          <w:kern w:val="0"/>
          <w:sz w:val="24"/>
          <w:lang w:val="zh-CN"/>
        </w:rPr>
      </w:pPr>
      <w:r>
        <w:rPr>
          <w:rFonts w:hint="eastAsia" w:ascii="宋体" w:hAnsi="宋体" w:cs="宋体"/>
          <w:kern w:val="0"/>
          <w:sz w:val="24"/>
        </w:rPr>
        <w:t>工程名称：</w:t>
      </w:r>
      <w:r>
        <w:rPr>
          <w:rFonts w:hint="eastAsia" w:ascii="宋体" w:hAnsi="宋体"/>
          <w:kern w:val="0"/>
          <w:sz w:val="24"/>
          <w:lang w:val="zh-CN"/>
        </w:rPr>
        <w:t>无锡市民政综合服务中心消防改造</w:t>
      </w:r>
    </w:p>
    <w:p w14:paraId="2C7223A8">
      <w:pPr>
        <w:spacing w:line="440" w:lineRule="exact"/>
        <w:ind w:firstLine="480" w:firstLineChars="200"/>
        <w:rPr>
          <w:rFonts w:ascii="宋体" w:hAnsi="宋体"/>
          <w:kern w:val="0"/>
          <w:sz w:val="24"/>
        </w:rPr>
      </w:pPr>
      <w:r>
        <w:rPr>
          <w:rFonts w:hint="eastAsia" w:ascii="宋体" w:hAnsi="宋体" w:cs="宋体"/>
          <w:kern w:val="0"/>
          <w:sz w:val="24"/>
        </w:rPr>
        <w:t>招标范围：</w:t>
      </w:r>
      <w:r>
        <w:rPr>
          <w:rFonts w:hint="eastAsia" w:ascii="宋体" w:hAnsi="宋体" w:cs="宋体"/>
          <w:kern w:val="0"/>
          <w:sz w:val="24"/>
          <w:lang w:val="en-US" w:eastAsia="zh-CN"/>
        </w:rPr>
        <w:t>图纸及</w:t>
      </w:r>
      <w:r>
        <w:rPr>
          <w:rFonts w:hint="eastAsia" w:ascii="宋体" w:hAnsi="宋体"/>
          <w:kern w:val="0"/>
          <w:sz w:val="24"/>
        </w:rPr>
        <w:t>清单内标注范围</w:t>
      </w:r>
    </w:p>
    <w:p w14:paraId="3DA4719E">
      <w:pPr>
        <w:autoSpaceDE w:val="0"/>
        <w:autoSpaceDN w:val="0"/>
        <w:adjustRightInd w:val="0"/>
        <w:spacing w:line="360" w:lineRule="auto"/>
        <w:jc w:val="left"/>
        <w:rPr>
          <w:rFonts w:ascii="System" w:hAnsi="Calibri" w:eastAsia="System"/>
          <w:color w:val="FFFFFF"/>
          <w:kern w:val="0"/>
          <w:sz w:val="28"/>
          <w:szCs w:val="28"/>
        </w:rPr>
      </w:pPr>
      <w:r>
        <w:rPr>
          <w:rFonts w:hint="eastAsia" w:ascii="宋体" w:hAnsi="宋体" w:cs="宋体"/>
          <w:b/>
          <w:bCs/>
          <w:kern w:val="0"/>
          <w:sz w:val="28"/>
          <w:szCs w:val="28"/>
        </w:rPr>
        <w:t>二、工程量清单编制依据：</w:t>
      </w:r>
    </w:p>
    <w:p w14:paraId="42F65FAD">
      <w:pPr>
        <w:spacing w:line="360" w:lineRule="auto"/>
        <w:ind w:left="225" w:leftChars="107" w:firstLine="240" w:firstLineChars="100"/>
        <w:rPr>
          <w:rFonts w:ascii="宋体" w:hAnsi="宋体"/>
          <w:kern w:val="0"/>
          <w:sz w:val="24"/>
        </w:rPr>
      </w:pPr>
      <w:r>
        <w:rPr>
          <w:rFonts w:hint="eastAsia" w:ascii="宋体" w:hAnsi="宋体"/>
          <w:kern w:val="0"/>
          <w:sz w:val="24"/>
        </w:rPr>
        <w:t>1、甲方提供的施工图纸；</w:t>
      </w:r>
    </w:p>
    <w:p w14:paraId="6E3EBC58">
      <w:pPr>
        <w:spacing w:line="360" w:lineRule="auto"/>
        <w:ind w:left="225" w:leftChars="107" w:firstLine="240" w:firstLineChars="100"/>
        <w:rPr>
          <w:rFonts w:ascii="宋体" w:hAnsi="宋体"/>
          <w:kern w:val="0"/>
          <w:sz w:val="24"/>
          <w:lang w:val="zh-CN"/>
        </w:rPr>
      </w:pPr>
      <w:r>
        <w:rPr>
          <w:rFonts w:hint="eastAsia" w:ascii="宋体" w:hAnsi="宋体"/>
          <w:kern w:val="0"/>
          <w:sz w:val="24"/>
        </w:rPr>
        <w:t>2、</w:t>
      </w:r>
      <w:r>
        <w:rPr>
          <w:rFonts w:hint="eastAsia" w:ascii="宋体" w:hAnsi="宋体"/>
          <w:kern w:val="0"/>
          <w:sz w:val="24"/>
          <w:lang w:val="zh-CN"/>
        </w:rPr>
        <w:t>中华人民共和国国家标准《建设工程工程量清单计价规范》GB50500-2013及无锡市补充规范；</w:t>
      </w:r>
      <w:bookmarkStart w:id="0" w:name="_GoBack"/>
      <w:bookmarkEnd w:id="0"/>
    </w:p>
    <w:p w14:paraId="2CE05C0D">
      <w:pPr>
        <w:spacing w:line="360" w:lineRule="auto"/>
        <w:ind w:left="225" w:leftChars="107" w:firstLine="240" w:firstLineChars="100"/>
        <w:rPr>
          <w:rFonts w:ascii="宋体" w:hAnsi="宋体"/>
          <w:kern w:val="0"/>
          <w:sz w:val="24"/>
        </w:rPr>
      </w:pPr>
      <w:r>
        <w:rPr>
          <w:rFonts w:hint="eastAsia" w:ascii="宋体" w:hAnsi="宋体"/>
          <w:kern w:val="0"/>
          <w:sz w:val="24"/>
        </w:rPr>
        <w:t>3、本项目招标文件；</w:t>
      </w:r>
    </w:p>
    <w:p w14:paraId="7465A72B">
      <w:pPr>
        <w:spacing w:line="360" w:lineRule="auto"/>
        <w:ind w:left="225" w:leftChars="107" w:firstLine="240" w:firstLineChars="100"/>
        <w:rPr>
          <w:rFonts w:ascii="宋体" w:hAnsi="宋体"/>
          <w:kern w:val="0"/>
          <w:sz w:val="24"/>
        </w:rPr>
      </w:pPr>
      <w:r>
        <w:rPr>
          <w:rFonts w:hint="eastAsia" w:ascii="宋体" w:hAnsi="宋体"/>
          <w:kern w:val="0"/>
          <w:sz w:val="24"/>
        </w:rPr>
        <w:t>4、本清单应与招标文件、投标须知、工程规范、清单计价规范及相关文件等一起使用。</w:t>
      </w:r>
    </w:p>
    <w:p w14:paraId="3BCAB4AC">
      <w:pPr>
        <w:spacing w:line="440" w:lineRule="exact"/>
        <w:ind w:firstLine="480" w:firstLineChars="200"/>
        <w:rPr>
          <w:rFonts w:ascii="宋体" w:hAnsi="宋体" w:cs="宋体"/>
          <w:sz w:val="28"/>
          <w:szCs w:val="28"/>
        </w:rPr>
      </w:pPr>
      <w:r>
        <w:rPr>
          <w:rFonts w:hint="eastAsia" w:ascii="宋体" w:hAnsi="宋体"/>
          <w:kern w:val="0"/>
          <w:sz w:val="24"/>
        </w:rPr>
        <w:t>5、本工程按营改增调整后的计价依据执行(苏建价[2016]154号文、苏建函价[2019]178号文)，采用一般计税法。</w:t>
      </w:r>
    </w:p>
    <w:p w14:paraId="00BCD072">
      <w:pPr>
        <w:spacing w:line="440" w:lineRule="exact"/>
        <w:rPr>
          <w:rFonts w:ascii="宋体" w:hAnsi="宋体"/>
          <w:b/>
          <w:color w:val="000000"/>
          <w:sz w:val="28"/>
          <w:szCs w:val="28"/>
        </w:rPr>
      </w:pPr>
      <w:r>
        <w:rPr>
          <w:rFonts w:hint="eastAsia" w:ascii="宋体" w:hAnsi="宋体"/>
          <w:b/>
          <w:color w:val="000000"/>
          <w:sz w:val="28"/>
          <w:szCs w:val="28"/>
        </w:rPr>
        <w:t>三、工程质量、材料、施工等特殊要求</w:t>
      </w:r>
    </w:p>
    <w:p w14:paraId="0165BFDD">
      <w:pPr>
        <w:spacing w:line="440" w:lineRule="exact"/>
        <w:ind w:firstLine="480" w:firstLineChars="200"/>
        <w:rPr>
          <w:rFonts w:ascii="宋体" w:hAnsi="宋体"/>
          <w:color w:val="000000"/>
          <w:sz w:val="28"/>
          <w:szCs w:val="28"/>
        </w:rPr>
      </w:pPr>
      <w:r>
        <w:rPr>
          <w:rFonts w:hint="eastAsia" w:ascii="宋体" w:hAnsi="宋体"/>
          <w:color w:val="000000"/>
          <w:sz w:val="24"/>
        </w:rPr>
        <w:t>工程工期、质量参照招标文件要求。</w:t>
      </w:r>
    </w:p>
    <w:p w14:paraId="6D0D7B4D">
      <w:pPr>
        <w:spacing w:line="440" w:lineRule="exact"/>
        <w:rPr>
          <w:rFonts w:ascii="宋体" w:hAnsi="宋体"/>
          <w:b/>
          <w:color w:val="000000"/>
          <w:sz w:val="28"/>
          <w:szCs w:val="28"/>
        </w:rPr>
      </w:pPr>
      <w:r>
        <w:rPr>
          <w:rFonts w:hint="eastAsia" w:ascii="宋体" w:hAnsi="宋体"/>
          <w:b/>
          <w:color w:val="000000"/>
          <w:sz w:val="28"/>
          <w:szCs w:val="28"/>
        </w:rPr>
        <w:t>四、不可竞争费</w:t>
      </w:r>
    </w:p>
    <w:p w14:paraId="1B84949C">
      <w:pPr>
        <w:spacing w:line="440" w:lineRule="exact"/>
        <w:ind w:firstLine="480" w:firstLineChars="200"/>
        <w:rPr>
          <w:rFonts w:ascii="宋体" w:hAnsi="宋体"/>
          <w:b/>
          <w:color w:val="000000"/>
          <w:sz w:val="28"/>
          <w:szCs w:val="28"/>
        </w:rPr>
      </w:pPr>
      <w:r>
        <w:rPr>
          <w:rFonts w:hint="eastAsia" w:ascii="宋体" w:hAnsi="宋体"/>
          <w:color w:val="000000"/>
          <w:sz w:val="24"/>
        </w:rPr>
        <w:t>现场安全文明施工费、规费、税金为不可竞争费，取费标准</w:t>
      </w:r>
      <w:r>
        <w:rPr>
          <w:rFonts w:hint="eastAsia" w:ascii="宋体" w:hAnsi="宋体"/>
          <w:color w:val="000000"/>
          <w:sz w:val="24"/>
          <w:lang w:val="en-US" w:eastAsia="zh-CN"/>
        </w:rPr>
        <w:t>详见工程量清单。</w:t>
      </w:r>
    </w:p>
    <w:p w14:paraId="54AAA1B4">
      <w:pPr>
        <w:numPr>
          <w:ilvl w:val="0"/>
          <w:numId w:val="1"/>
        </w:numPr>
        <w:spacing w:line="440" w:lineRule="exact"/>
        <w:rPr>
          <w:rFonts w:ascii="宋体" w:hAnsi="宋体"/>
          <w:b/>
          <w:color w:val="000000"/>
          <w:sz w:val="28"/>
          <w:szCs w:val="28"/>
        </w:rPr>
      </w:pPr>
      <w:r>
        <w:rPr>
          <w:rFonts w:hint="eastAsia" w:ascii="宋体" w:hAnsi="宋体"/>
          <w:b/>
          <w:color w:val="000000"/>
          <w:sz w:val="28"/>
          <w:szCs w:val="28"/>
        </w:rPr>
        <w:t>相关说明</w:t>
      </w:r>
      <w:r>
        <w:rPr>
          <w:rFonts w:hint="eastAsia" w:ascii="宋体" w:hAnsi="宋体"/>
          <w:b/>
          <w:color w:val="000000"/>
          <w:sz w:val="28"/>
          <w:szCs w:val="28"/>
          <w:lang w:val="en-US" w:eastAsia="zh-CN"/>
        </w:rPr>
        <w:t xml:space="preserve"> </w:t>
      </w:r>
    </w:p>
    <w:p w14:paraId="5AF30EB0">
      <w:pPr>
        <w:autoSpaceDE w:val="0"/>
        <w:autoSpaceDN w:val="0"/>
        <w:adjustRightInd w:val="0"/>
        <w:spacing w:line="360" w:lineRule="auto"/>
        <w:ind w:firstLine="420"/>
        <w:rPr>
          <w:rFonts w:hint="default" w:ascii="宋体" w:hAnsi="宋体" w:eastAsia="宋体"/>
          <w:kern w:val="0"/>
          <w:sz w:val="24"/>
          <w:lang w:val="en-US" w:eastAsia="zh-CN"/>
        </w:rPr>
      </w:pPr>
      <w:r>
        <w:rPr>
          <w:rFonts w:hint="eastAsia" w:ascii="宋体" w:hAnsi="宋体"/>
          <w:kern w:val="0"/>
          <w:sz w:val="24"/>
        </w:rPr>
        <w:t>1、</w:t>
      </w:r>
      <w:r>
        <w:rPr>
          <w:rFonts w:hint="eastAsia" w:ascii="宋体" w:hAnsi="宋体"/>
          <w:kern w:val="0"/>
          <w:sz w:val="24"/>
          <w:lang w:val="en-US" w:eastAsia="zh-CN"/>
        </w:rPr>
        <w:t>工程简介：本工程位于</w:t>
      </w:r>
      <w:r>
        <w:rPr>
          <w:rFonts w:hint="eastAsia" w:ascii="宋体" w:hAnsi="宋体"/>
          <w:kern w:val="0"/>
          <w:sz w:val="24"/>
          <w:lang w:val="zh-CN"/>
        </w:rPr>
        <w:t>无锡市民政综合服务中心</w:t>
      </w:r>
      <w:r>
        <w:rPr>
          <w:rFonts w:hint="eastAsia" w:ascii="宋体" w:hAnsi="宋体"/>
          <w:kern w:val="0"/>
          <w:sz w:val="24"/>
          <w:lang w:val="en-US" w:eastAsia="zh-CN"/>
        </w:rPr>
        <w:t>，包含仓库消防改造、现场装饰做法破坏与恢复；新建室外泵房和水池、配套安装施工、路面破坏与恢复；及室外消防改造。</w:t>
      </w:r>
    </w:p>
    <w:p w14:paraId="66AB561D">
      <w:pPr>
        <w:autoSpaceDE w:val="0"/>
        <w:autoSpaceDN w:val="0"/>
        <w:adjustRightInd w:val="0"/>
        <w:spacing w:line="360" w:lineRule="auto"/>
        <w:ind w:firstLine="420"/>
        <w:rPr>
          <w:rFonts w:hint="default" w:ascii="宋体" w:hAnsi="宋体"/>
          <w:kern w:val="0"/>
          <w:sz w:val="24"/>
          <w:lang w:val="en-US" w:eastAsia="zh-CN"/>
        </w:rPr>
      </w:pPr>
      <w:r>
        <w:rPr>
          <w:rFonts w:hint="eastAsia" w:ascii="宋体" w:hAnsi="宋体"/>
          <w:kern w:val="0"/>
          <w:sz w:val="24"/>
          <w:lang w:val="en-US" w:eastAsia="zh-CN"/>
        </w:rPr>
        <w:t>2、消防工程</w:t>
      </w:r>
      <w:r>
        <w:rPr>
          <w:rFonts w:hint="eastAsia" w:ascii="宋体" w:hAnsi="宋体"/>
          <w:kern w:val="0"/>
          <w:sz w:val="24"/>
          <w:lang w:val="zh-CN" w:eastAsia="zh-CN"/>
        </w:rPr>
        <w:t>编制范围：</w:t>
      </w:r>
      <w:r>
        <w:rPr>
          <w:rFonts w:hint="eastAsia" w:ascii="宋体" w:hAnsi="宋体"/>
          <w:kern w:val="0"/>
          <w:sz w:val="24"/>
          <w:lang w:val="en-US" w:eastAsia="zh-CN"/>
        </w:rPr>
        <w:t>包括消防应急照明、消火栓和喷淋系统。</w:t>
      </w:r>
    </w:p>
    <w:p w14:paraId="0B32B566">
      <w:pPr>
        <w:autoSpaceDE w:val="0"/>
        <w:autoSpaceDN w:val="0"/>
        <w:adjustRightInd w:val="0"/>
        <w:spacing w:line="360" w:lineRule="auto"/>
        <w:ind w:firstLine="420"/>
        <w:rPr>
          <w:rFonts w:hint="default" w:ascii="宋体" w:hAnsi="宋体"/>
          <w:kern w:val="0"/>
          <w:sz w:val="24"/>
          <w:lang w:val="en-US" w:eastAsia="zh-CN"/>
        </w:rPr>
      </w:pPr>
      <w:r>
        <w:rPr>
          <w:rFonts w:hint="eastAsia" w:ascii="宋体" w:hAnsi="宋体"/>
          <w:kern w:val="0"/>
          <w:sz w:val="24"/>
          <w:lang w:val="en-US" w:eastAsia="zh-CN"/>
        </w:rPr>
        <w:t>3、室外安装工程</w:t>
      </w:r>
      <w:r>
        <w:rPr>
          <w:rFonts w:hint="eastAsia" w:ascii="宋体" w:hAnsi="宋体"/>
          <w:kern w:val="0"/>
          <w:sz w:val="24"/>
          <w:lang w:val="zh-CN" w:eastAsia="zh-CN"/>
        </w:rPr>
        <w:t>编制范围：</w:t>
      </w:r>
      <w:r>
        <w:rPr>
          <w:rFonts w:hint="eastAsia" w:ascii="宋体" w:hAnsi="宋体"/>
          <w:kern w:val="0"/>
          <w:sz w:val="24"/>
          <w:lang w:val="en-US" w:eastAsia="zh-CN"/>
        </w:rPr>
        <w:t>包括泵房动力配电、泵组设备、室外管道敷设及管件等。</w:t>
      </w:r>
    </w:p>
    <w:p w14:paraId="0BD2BAD8">
      <w:pPr>
        <w:autoSpaceDE w:val="0"/>
        <w:autoSpaceDN w:val="0"/>
        <w:adjustRightInd w:val="0"/>
        <w:spacing w:line="360" w:lineRule="auto"/>
        <w:ind w:firstLine="420"/>
        <w:rPr>
          <w:rFonts w:hint="default" w:ascii="宋体" w:hAnsi="宋体"/>
          <w:kern w:val="0"/>
          <w:sz w:val="24"/>
          <w:lang w:val="en-US" w:eastAsia="zh-CN"/>
        </w:rPr>
      </w:pPr>
      <w:r>
        <w:rPr>
          <w:rFonts w:hint="eastAsia" w:ascii="宋体" w:hAnsi="宋体"/>
          <w:kern w:val="0"/>
          <w:sz w:val="24"/>
          <w:lang w:val="en-US" w:eastAsia="zh-CN"/>
        </w:rPr>
        <w:t>4、土建工程</w:t>
      </w:r>
      <w:r>
        <w:rPr>
          <w:rFonts w:hint="eastAsia" w:ascii="宋体" w:hAnsi="宋体"/>
          <w:kern w:val="0"/>
          <w:sz w:val="24"/>
          <w:lang w:val="zh-CN" w:eastAsia="zh-CN"/>
        </w:rPr>
        <w:t>编制范围：</w:t>
      </w:r>
      <w:r>
        <w:rPr>
          <w:rFonts w:hint="eastAsia" w:ascii="宋体" w:hAnsi="宋体"/>
          <w:kern w:val="0"/>
          <w:sz w:val="24"/>
          <w:lang w:val="en-US" w:eastAsia="zh-CN"/>
        </w:rPr>
        <w:t>泵房和水池主体及基础的施工。</w:t>
      </w:r>
    </w:p>
    <w:p w14:paraId="50D2874C">
      <w:pPr>
        <w:autoSpaceDE w:val="0"/>
        <w:autoSpaceDN w:val="0"/>
        <w:adjustRightInd w:val="0"/>
        <w:spacing w:line="360" w:lineRule="auto"/>
        <w:ind w:firstLine="420"/>
        <w:rPr>
          <w:rFonts w:hint="eastAsia" w:ascii="宋体" w:hAnsi="宋体"/>
          <w:kern w:val="0"/>
          <w:sz w:val="24"/>
          <w:highlight w:val="none"/>
          <w:lang w:val="zh-CN"/>
        </w:rPr>
      </w:pPr>
      <w:r>
        <w:rPr>
          <w:rFonts w:hint="eastAsia" w:ascii="宋体" w:hAnsi="宋体"/>
          <w:kern w:val="0"/>
          <w:sz w:val="24"/>
          <w:lang w:val="en-US" w:eastAsia="zh-CN"/>
        </w:rPr>
        <w:t>5、市政工程</w:t>
      </w:r>
      <w:r>
        <w:rPr>
          <w:rFonts w:hint="eastAsia" w:ascii="宋体" w:hAnsi="宋体"/>
          <w:kern w:val="0"/>
          <w:sz w:val="24"/>
          <w:lang w:val="zh-CN" w:eastAsia="zh-CN"/>
        </w:rPr>
        <w:t>编制范围：</w:t>
      </w:r>
      <w:r>
        <w:rPr>
          <w:rFonts w:hint="eastAsia" w:ascii="宋体" w:hAnsi="宋体"/>
          <w:kern w:val="0"/>
          <w:sz w:val="24"/>
          <w:lang w:val="en-US" w:eastAsia="zh-CN"/>
        </w:rPr>
        <w:t>路面破</w:t>
      </w:r>
      <w:r>
        <w:rPr>
          <w:rFonts w:hint="eastAsia" w:ascii="宋体" w:hAnsi="宋体"/>
          <w:kern w:val="0"/>
          <w:sz w:val="24"/>
          <w:highlight w:val="none"/>
          <w:lang w:val="en-US" w:eastAsia="zh-CN"/>
        </w:rPr>
        <w:t>坏与恢复、基坑土方开挖与回填</w:t>
      </w:r>
      <w:r>
        <w:rPr>
          <w:rFonts w:hint="eastAsia" w:ascii="宋体" w:hAnsi="宋体"/>
          <w:kern w:val="0"/>
          <w:sz w:val="24"/>
          <w:highlight w:val="none"/>
          <w:lang w:val="zh-CN"/>
        </w:rPr>
        <w:t>。</w:t>
      </w:r>
    </w:p>
    <w:p w14:paraId="47210ECC">
      <w:pPr>
        <w:autoSpaceDE w:val="0"/>
        <w:autoSpaceDN w:val="0"/>
        <w:adjustRightInd w:val="0"/>
        <w:spacing w:line="360" w:lineRule="auto"/>
        <w:ind w:firstLine="420"/>
        <w:rPr>
          <w:rFonts w:hint="default" w:ascii="宋体" w:hAnsi="宋体" w:eastAsia="宋体"/>
          <w:kern w:val="0"/>
          <w:sz w:val="24"/>
          <w:highlight w:val="none"/>
          <w:lang w:val="en-US" w:eastAsia="zh-CN"/>
        </w:rPr>
      </w:pPr>
      <w:r>
        <w:rPr>
          <w:rFonts w:hint="eastAsia" w:ascii="宋体" w:hAnsi="宋体"/>
          <w:kern w:val="0"/>
          <w:sz w:val="24"/>
          <w:highlight w:val="none"/>
          <w:lang w:val="en-US" w:eastAsia="zh-CN"/>
        </w:rPr>
        <w:t>6、修缮土建</w:t>
      </w:r>
      <w:r>
        <w:rPr>
          <w:rFonts w:hint="eastAsia" w:ascii="宋体" w:hAnsi="宋体"/>
          <w:kern w:val="0"/>
          <w:sz w:val="24"/>
          <w:highlight w:val="none"/>
          <w:lang w:val="zh-CN"/>
        </w:rPr>
        <w:t>编制范围：</w:t>
      </w:r>
      <w:r>
        <w:rPr>
          <w:rFonts w:hint="eastAsia" w:ascii="宋体" w:hAnsi="宋体"/>
          <w:kern w:val="0"/>
          <w:sz w:val="24"/>
          <w:highlight w:val="none"/>
          <w:lang w:val="en-US" w:eastAsia="zh-CN"/>
        </w:rPr>
        <w:t>室内吊顶及原顶涂料破坏与恢复。</w:t>
      </w:r>
    </w:p>
    <w:p w14:paraId="07F12854">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7</w:t>
      </w:r>
      <w:r>
        <w:rPr>
          <w:rFonts w:hint="eastAsia" w:ascii="宋体" w:hAnsi="宋体"/>
          <w:kern w:val="0"/>
          <w:sz w:val="24"/>
        </w:rPr>
        <w:t>、清单所列工程数量作为投标的共同基础，投标单位在投标时不能做任何改动，但不作为最终结算与支付的依据。</w:t>
      </w:r>
    </w:p>
    <w:p w14:paraId="0FEC58BA">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8</w:t>
      </w:r>
      <w:r>
        <w:rPr>
          <w:rFonts w:hint="eastAsia" w:ascii="宋体" w:hAnsi="宋体"/>
          <w:kern w:val="0"/>
          <w:sz w:val="24"/>
        </w:rPr>
        <w:t>、清单中项目特征、工作内容未描述详尽的，投标人应结合图纸要求进行报价；投标人报价时应充分研究设计图纸意图，结合清单及业主提供的品牌要求，合理报价。</w:t>
      </w:r>
    </w:p>
    <w:p w14:paraId="5DB2CD65">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9</w:t>
      </w:r>
      <w:r>
        <w:rPr>
          <w:rFonts w:hint="eastAsia" w:ascii="宋体" w:hAnsi="宋体"/>
          <w:kern w:val="0"/>
          <w:sz w:val="24"/>
        </w:rPr>
        <w:t>、本工程</w:t>
      </w:r>
      <w:r>
        <w:rPr>
          <w:rFonts w:hint="eastAsia" w:ascii="宋体" w:hAnsi="宋体"/>
          <w:kern w:val="0"/>
          <w:sz w:val="24"/>
          <w:lang w:val="en-US" w:eastAsia="zh-CN"/>
        </w:rPr>
        <w:t>无</w:t>
      </w:r>
      <w:r>
        <w:rPr>
          <w:rFonts w:hint="eastAsia" w:ascii="宋体" w:hAnsi="宋体"/>
          <w:kern w:val="0"/>
          <w:sz w:val="24"/>
        </w:rPr>
        <w:t>暂列金额，无专业工程暂估价。</w:t>
      </w:r>
    </w:p>
    <w:p w14:paraId="2542FE76">
      <w:pPr>
        <w:autoSpaceDE w:val="0"/>
        <w:autoSpaceDN w:val="0"/>
        <w:adjustRightInd w:val="0"/>
        <w:spacing w:line="360" w:lineRule="auto"/>
        <w:ind w:firstLine="420"/>
        <w:rPr>
          <w:rFonts w:ascii="宋体" w:hAnsi="宋体"/>
          <w:kern w:val="0"/>
          <w:sz w:val="24"/>
        </w:rPr>
      </w:pPr>
      <w:r>
        <w:rPr>
          <w:rFonts w:hint="eastAsia" w:ascii="宋体" w:hAnsi="宋体"/>
          <w:kern w:val="0"/>
          <w:sz w:val="24"/>
          <w:lang w:val="en-US" w:eastAsia="zh-CN"/>
        </w:rPr>
        <w:t>10</w:t>
      </w:r>
      <w:r>
        <w:rPr>
          <w:rFonts w:hint="eastAsia" w:ascii="宋体" w:hAnsi="宋体"/>
          <w:kern w:val="0"/>
          <w:sz w:val="24"/>
        </w:rPr>
        <w:t>、本工程内清单按项报价的项目</w:t>
      </w:r>
      <w:r>
        <w:rPr>
          <w:rFonts w:hint="eastAsia" w:ascii="宋体" w:hAnsi="宋体"/>
          <w:kern w:val="0"/>
          <w:sz w:val="24"/>
          <w:lang w:val="en-US" w:eastAsia="zh-CN"/>
        </w:rPr>
        <w:t>包含施工全部工序</w:t>
      </w:r>
      <w:r>
        <w:rPr>
          <w:rFonts w:hint="eastAsia" w:ascii="宋体" w:hAnsi="宋体"/>
          <w:kern w:val="0"/>
          <w:sz w:val="24"/>
        </w:rPr>
        <w:t>，</w:t>
      </w:r>
      <w:r>
        <w:rPr>
          <w:rFonts w:hint="eastAsia" w:ascii="宋体" w:hAnsi="宋体"/>
          <w:kern w:val="0"/>
          <w:sz w:val="24"/>
          <w:lang w:val="en-US" w:eastAsia="zh-CN"/>
        </w:rPr>
        <w:t>且</w:t>
      </w:r>
      <w:r>
        <w:rPr>
          <w:rFonts w:hint="eastAsia" w:ascii="宋体" w:hAnsi="宋体"/>
          <w:kern w:val="0"/>
          <w:sz w:val="24"/>
        </w:rPr>
        <w:t>结算时不做调整。</w:t>
      </w:r>
    </w:p>
    <w:p w14:paraId="37D1C02E">
      <w:pPr>
        <w:autoSpaceDE w:val="0"/>
        <w:autoSpaceDN w:val="0"/>
        <w:adjustRightInd w:val="0"/>
        <w:spacing w:line="360" w:lineRule="auto"/>
        <w:ind w:firstLine="420"/>
        <w:rPr>
          <w:rFonts w:ascii="宋体" w:hAnsi="宋体" w:cs="宋体"/>
          <w:kern w:val="0"/>
          <w:sz w:val="24"/>
        </w:rPr>
      </w:pPr>
      <w:r>
        <w:rPr>
          <w:rFonts w:hint="eastAsia" w:ascii="宋体" w:hAnsi="宋体" w:cs="宋体"/>
          <w:kern w:val="0"/>
          <w:sz w:val="24"/>
          <w:lang w:val="en-US" w:eastAsia="zh-CN"/>
        </w:rPr>
        <w:t>11</w:t>
      </w:r>
      <w:r>
        <w:rPr>
          <w:rFonts w:hint="eastAsia" w:ascii="宋体" w:hAnsi="宋体" w:cs="宋体"/>
          <w:kern w:val="0"/>
          <w:sz w:val="24"/>
        </w:rPr>
        <w:t>、</w:t>
      </w:r>
      <w:r>
        <w:rPr>
          <w:rFonts w:hint="eastAsia" w:ascii="宋体" w:hAnsi="宋体" w:cs="宋体"/>
          <w:kern w:val="0"/>
          <w:sz w:val="24"/>
          <w:lang w:val="en-US" w:eastAsia="zh-CN"/>
        </w:rPr>
        <w:t>现场</w:t>
      </w:r>
      <w:r>
        <w:rPr>
          <w:rFonts w:hint="eastAsia" w:ascii="宋体" w:hAnsi="宋体"/>
          <w:kern w:val="0"/>
          <w:sz w:val="24"/>
        </w:rPr>
        <w:t>涉及围挡、现场保护性措施等由施工单位综合考虑，结算不予增加。</w:t>
      </w:r>
      <w:r>
        <w:rPr>
          <w:rFonts w:hint="eastAsia" w:ascii="宋体" w:hAnsi="宋体" w:cs="宋体"/>
          <w:kern w:val="0"/>
          <w:sz w:val="24"/>
        </w:rPr>
        <w:t>施工期间，如发生破坏损失，应由中标人</w:t>
      </w:r>
      <w:r>
        <w:rPr>
          <w:rFonts w:hint="eastAsia" w:ascii="宋体" w:hAnsi="宋体"/>
          <w:kern w:val="0"/>
          <w:sz w:val="24"/>
        </w:rPr>
        <w:t>负责原样恢复或者</w:t>
      </w:r>
      <w:r>
        <w:rPr>
          <w:rFonts w:hint="eastAsia" w:ascii="宋体" w:hAnsi="宋体" w:cs="宋体"/>
          <w:kern w:val="0"/>
          <w:sz w:val="24"/>
        </w:rPr>
        <w:t>赔偿。</w:t>
      </w:r>
    </w:p>
    <w:p w14:paraId="2EB093DC">
      <w:pPr>
        <w:autoSpaceDE w:val="0"/>
        <w:autoSpaceDN w:val="0"/>
        <w:adjustRightInd w:val="0"/>
        <w:spacing w:line="360" w:lineRule="auto"/>
        <w:ind w:firstLine="420"/>
        <w:rPr>
          <w:rFonts w:hint="eastAsia" w:ascii="宋体" w:hAnsi="宋体"/>
          <w:kern w:val="0"/>
          <w:sz w:val="24"/>
          <w:lang w:val="zh-CN"/>
        </w:rPr>
      </w:pPr>
      <w:r>
        <w:rPr>
          <w:rFonts w:hint="eastAsia" w:ascii="宋体" w:hAnsi="宋体" w:cs="宋体"/>
          <w:kern w:val="0"/>
          <w:sz w:val="24"/>
          <w:lang w:val="en-US" w:eastAsia="zh-CN"/>
        </w:rPr>
        <w:t>12</w:t>
      </w:r>
      <w:r>
        <w:rPr>
          <w:rFonts w:hint="eastAsia" w:ascii="宋体" w:hAnsi="宋体" w:cs="宋体"/>
          <w:kern w:val="0"/>
          <w:sz w:val="24"/>
        </w:rPr>
        <w:t>、</w:t>
      </w:r>
      <w:r>
        <w:rPr>
          <w:rFonts w:hint="eastAsia" w:ascii="宋体" w:hAnsi="宋体"/>
          <w:kern w:val="0"/>
          <w:sz w:val="24"/>
          <w:lang w:val="zh-CN"/>
        </w:rPr>
        <w:t>所列清单项目工作内容含描述中所列全部工序及未描述到但又必须发生的其他辅助工序，对没有报价项目视为已包含在其他项目</w:t>
      </w:r>
      <w:r>
        <w:rPr>
          <w:rFonts w:hint="eastAsia" w:ascii="宋体" w:hAnsi="宋体"/>
          <w:kern w:val="0"/>
          <w:sz w:val="24"/>
        </w:rPr>
        <w:t>中</w:t>
      </w:r>
      <w:r>
        <w:rPr>
          <w:rFonts w:hint="eastAsia" w:ascii="宋体" w:hAnsi="宋体"/>
          <w:kern w:val="0"/>
          <w:sz w:val="24"/>
          <w:lang w:val="zh-CN"/>
        </w:rPr>
        <w:t>。</w:t>
      </w:r>
    </w:p>
    <w:p w14:paraId="42B2E160">
      <w:pPr>
        <w:numPr>
          <w:ilvl w:val="0"/>
          <w:numId w:val="1"/>
        </w:numPr>
        <w:autoSpaceDE w:val="0"/>
        <w:autoSpaceDN w:val="0"/>
        <w:adjustRightInd w:val="0"/>
        <w:spacing w:line="480" w:lineRule="auto"/>
        <w:rPr>
          <w:rFonts w:ascii="宋体" w:hAnsi="宋体"/>
          <w:color w:val="000000"/>
          <w:sz w:val="28"/>
          <w:szCs w:val="28"/>
          <w:lang w:val="zh-CN"/>
        </w:rPr>
      </w:pPr>
      <w:r>
        <w:rPr>
          <w:rFonts w:hint="eastAsia" w:ascii="宋体" w:hAnsi="宋体"/>
          <w:b/>
          <w:color w:val="000000"/>
          <w:sz w:val="28"/>
          <w:szCs w:val="28"/>
        </w:rPr>
        <w:t>项目</w:t>
      </w:r>
      <w:r>
        <w:rPr>
          <w:rFonts w:hint="eastAsia" w:ascii="宋体" w:hAnsi="宋体"/>
          <w:b/>
          <w:color w:val="000000"/>
          <w:sz w:val="28"/>
          <w:szCs w:val="28"/>
          <w:lang w:val="en-US" w:eastAsia="zh-CN"/>
        </w:rPr>
        <w:t>推荐</w:t>
      </w:r>
      <w:r>
        <w:rPr>
          <w:rFonts w:hint="eastAsia" w:ascii="宋体" w:hAnsi="宋体"/>
          <w:b/>
          <w:color w:val="000000"/>
          <w:sz w:val="28"/>
          <w:szCs w:val="28"/>
        </w:rPr>
        <w:t xml:space="preserve">使用材料品牌 </w:t>
      </w:r>
    </w:p>
    <w:tbl>
      <w:tblPr>
        <w:tblStyle w:val="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087"/>
        <w:gridCol w:w="4740"/>
      </w:tblGrid>
      <w:tr w14:paraId="3B93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vAlign w:val="center"/>
          </w:tcPr>
          <w:p w14:paraId="357CD8C4">
            <w:pPr>
              <w:jc w:val="center"/>
              <w:rPr>
                <w:rFonts w:ascii="宋体" w:hAnsi="宋体"/>
                <w:b/>
                <w:bCs/>
                <w:sz w:val="24"/>
              </w:rPr>
            </w:pPr>
            <w:r>
              <w:rPr>
                <w:rFonts w:hint="eastAsia" w:ascii="宋体" w:hAnsi="宋体"/>
                <w:b/>
                <w:bCs/>
                <w:sz w:val="24"/>
              </w:rPr>
              <w:t>序号</w:t>
            </w:r>
          </w:p>
        </w:tc>
        <w:tc>
          <w:tcPr>
            <w:tcW w:w="3087" w:type="dxa"/>
            <w:vAlign w:val="center"/>
          </w:tcPr>
          <w:p w14:paraId="53A00233">
            <w:pPr>
              <w:jc w:val="center"/>
              <w:rPr>
                <w:rFonts w:ascii="宋体" w:hAnsi="宋体"/>
                <w:sz w:val="24"/>
              </w:rPr>
            </w:pPr>
            <w:r>
              <w:rPr>
                <w:rFonts w:hint="eastAsia" w:ascii="宋体" w:hAnsi="宋体"/>
                <w:b/>
                <w:bCs/>
                <w:sz w:val="24"/>
              </w:rPr>
              <w:t>材料</w:t>
            </w:r>
          </w:p>
        </w:tc>
        <w:tc>
          <w:tcPr>
            <w:tcW w:w="4740" w:type="dxa"/>
            <w:vAlign w:val="center"/>
          </w:tcPr>
          <w:p w14:paraId="3866C0C1">
            <w:pPr>
              <w:tabs>
                <w:tab w:val="left" w:pos="420"/>
                <w:tab w:val="center" w:pos="1275"/>
              </w:tabs>
              <w:jc w:val="center"/>
              <w:rPr>
                <w:rFonts w:ascii="宋体" w:hAnsi="宋体"/>
                <w:b/>
                <w:bCs/>
                <w:color w:val="000000"/>
                <w:sz w:val="24"/>
              </w:rPr>
            </w:pPr>
            <w:r>
              <w:rPr>
                <w:rFonts w:hint="eastAsia" w:ascii="宋体" w:hAnsi="宋体"/>
                <w:b/>
                <w:bCs/>
                <w:color w:val="000000"/>
                <w:sz w:val="24"/>
              </w:rPr>
              <w:t>招标品牌/厂商推荐</w:t>
            </w:r>
          </w:p>
        </w:tc>
      </w:tr>
      <w:tr w14:paraId="412D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vAlign w:val="center"/>
          </w:tcPr>
          <w:p w14:paraId="287C02C0">
            <w:pPr>
              <w:jc w:val="center"/>
              <w:rPr>
                <w:rFonts w:ascii="宋体" w:hAnsi="宋体"/>
                <w:sz w:val="22"/>
                <w:szCs w:val="22"/>
              </w:rPr>
            </w:pPr>
            <w:r>
              <w:rPr>
                <w:rFonts w:hint="eastAsia" w:ascii="宋体" w:hAnsi="宋体"/>
                <w:sz w:val="22"/>
                <w:szCs w:val="22"/>
              </w:rPr>
              <w:t>1</w:t>
            </w:r>
          </w:p>
        </w:tc>
        <w:tc>
          <w:tcPr>
            <w:tcW w:w="3087" w:type="dxa"/>
            <w:shd w:val="clear" w:color="auto" w:fill="auto"/>
            <w:vAlign w:val="center"/>
          </w:tcPr>
          <w:p w14:paraId="74CEF7D5">
            <w:pPr>
              <w:widowControl/>
              <w:jc w:val="left"/>
              <w:textAlignment w:val="center"/>
              <w:rPr>
                <w:rFonts w:hint="default" w:ascii="宋体" w:hAnsi="宋体" w:eastAsia="宋体" w:cs="Times New Roman"/>
                <w:kern w:val="2"/>
                <w:sz w:val="22"/>
                <w:szCs w:val="22"/>
                <w:lang w:val="en-US" w:eastAsia="zh-CN" w:bidi="ar-SA"/>
              </w:rPr>
            </w:pPr>
            <w:r>
              <w:rPr>
                <w:rFonts w:hint="eastAsia" w:ascii="宋体" w:hAnsi="宋体" w:cs="宋体"/>
                <w:color w:val="000000"/>
                <w:kern w:val="0"/>
                <w:sz w:val="22"/>
                <w:szCs w:val="22"/>
                <w:lang w:val="en-US" w:eastAsia="zh-CN" w:bidi="ar"/>
              </w:rPr>
              <w:t>无机涂料/外墙涂料</w:t>
            </w:r>
          </w:p>
        </w:tc>
        <w:tc>
          <w:tcPr>
            <w:tcW w:w="4740" w:type="dxa"/>
            <w:shd w:val="clear" w:color="auto" w:fill="auto"/>
            <w:vAlign w:val="center"/>
          </w:tcPr>
          <w:p w14:paraId="2FE3925A">
            <w:pPr>
              <w:widowControl/>
              <w:jc w:val="left"/>
              <w:textAlignment w:val="center"/>
              <w:rPr>
                <w:rFonts w:ascii="Times New Roman" w:hAnsi="楷体" w:eastAsia="宋体" w:cs="Times New Roman"/>
                <w:kern w:val="2"/>
                <w:sz w:val="22"/>
                <w:szCs w:val="22"/>
                <w:lang w:val="en-US" w:eastAsia="zh-CN" w:bidi="ar-SA"/>
              </w:rPr>
            </w:pPr>
            <w:r>
              <w:rPr>
                <w:rFonts w:hint="eastAsia" w:hAnsi="楷体"/>
                <w:sz w:val="22"/>
                <w:szCs w:val="22"/>
              </w:rPr>
              <w:t>立邦、多乐士、三棵树</w:t>
            </w:r>
          </w:p>
        </w:tc>
      </w:tr>
      <w:tr w14:paraId="07E6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vAlign w:val="center"/>
          </w:tcPr>
          <w:p w14:paraId="2773B4AC">
            <w:pPr>
              <w:jc w:val="center"/>
              <w:rPr>
                <w:rFonts w:ascii="宋体" w:hAnsi="宋体"/>
                <w:sz w:val="22"/>
                <w:szCs w:val="22"/>
              </w:rPr>
            </w:pPr>
            <w:r>
              <w:rPr>
                <w:rFonts w:hint="eastAsia" w:ascii="宋体" w:hAnsi="宋体"/>
                <w:sz w:val="22"/>
                <w:szCs w:val="22"/>
              </w:rPr>
              <w:t>2</w:t>
            </w:r>
          </w:p>
        </w:tc>
        <w:tc>
          <w:tcPr>
            <w:tcW w:w="3087" w:type="dxa"/>
            <w:shd w:val="clear" w:color="auto" w:fill="auto"/>
            <w:vAlign w:val="center"/>
          </w:tcPr>
          <w:p w14:paraId="307F82CE">
            <w:pPr>
              <w:widowControl/>
              <w:jc w:val="lef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轻钢龙骨</w:t>
            </w:r>
          </w:p>
        </w:tc>
        <w:tc>
          <w:tcPr>
            <w:tcW w:w="4740" w:type="dxa"/>
            <w:shd w:val="clear" w:color="auto" w:fill="auto"/>
            <w:vAlign w:val="center"/>
          </w:tcPr>
          <w:p w14:paraId="673F2383">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可耐福、龙牌、泰山</w:t>
            </w:r>
          </w:p>
        </w:tc>
      </w:tr>
      <w:tr w14:paraId="5ABA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77" w:type="dxa"/>
            <w:vAlign w:val="center"/>
          </w:tcPr>
          <w:p w14:paraId="0C218C06">
            <w:pPr>
              <w:jc w:val="center"/>
              <w:rPr>
                <w:rFonts w:ascii="宋体" w:hAnsi="宋体"/>
                <w:sz w:val="22"/>
                <w:szCs w:val="22"/>
              </w:rPr>
            </w:pPr>
            <w:r>
              <w:rPr>
                <w:rFonts w:hint="eastAsia" w:ascii="宋体" w:hAnsi="宋体"/>
                <w:sz w:val="22"/>
                <w:szCs w:val="22"/>
              </w:rPr>
              <w:t>3</w:t>
            </w:r>
          </w:p>
        </w:tc>
        <w:tc>
          <w:tcPr>
            <w:tcW w:w="3087" w:type="dxa"/>
            <w:shd w:val="clear" w:color="auto" w:fill="auto"/>
            <w:vAlign w:val="center"/>
          </w:tcPr>
          <w:p w14:paraId="70A5F644">
            <w:pPr>
              <w:widowControl/>
              <w:jc w:val="left"/>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石膏板</w:t>
            </w:r>
          </w:p>
        </w:tc>
        <w:tc>
          <w:tcPr>
            <w:tcW w:w="4740" w:type="dxa"/>
            <w:shd w:val="clear" w:color="auto" w:fill="auto"/>
            <w:vAlign w:val="center"/>
          </w:tcPr>
          <w:p w14:paraId="2EBB1678">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可耐福、龙牌、泰山</w:t>
            </w:r>
          </w:p>
        </w:tc>
      </w:tr>
      <w:tr w14:paraId="7BB8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77" w:type="dxa"/>
            <w:vAlign w:val="center"/>
          </w:tcPr>
          <w:p w14:paraId="3CFC8908">
            <w:pPr>
              <w:jc w:val="center"/>
              <w:rPr>
                <w:rFonts w:ascii="宋体" w:hAnsi="宋体"/>
                <w:sz w:val="22"/>
                <w:szCs w:val="22"/>
              </w:rPr>
            </w:pPr>
            <w:r>
              <w:rPr>
                <w:rFonts w:hint="eastAsia" w:ascii="宋体" w:hAnsi="宋体"/>
                <w:sz w:val="22"/>
                <w:szCs w:val="22"/>
              </w:rPr>
              <w:t>4</w:t>
            </w:r>
          </w:p>
        </w:tc>
        <w:tc>
          <w:tcPr>
            <w:tcW w:w="3087" w:type="dxa"/>
            <w:shd w:val="clear" w:color="auto" w:fill="auto"/>
            <w:vAlign w:val="center"/>
          </w:tcPr>
          <w:p w14:paraId="35ACFE9F">
            <w:pPr>
              <w:widowControl/>
              <w:jc w:val="left"/>
              <w:textAlignment w:val="center"/>
              <w:rPr>
                <w:rFonts w:hint="default" w:ascii="宋体" w:hAnsi="宋体" w:eastAsia="宋体" w:cs="Times New Roman"/>
                <w:kern w:val="2"/>
                <w:sz w:val="22"/>
                <w:szCs w:val="22"/>
                <w:lang w:val="en-US" w:eastAsia="zh-CN" w:bidi="ar-SA"/>
              </w:rPr>
            </w:pPr>
            <w:r>
              <w:rPr>
                <w:rFonts w:hint="eastAsia" w:ascii="宋体" w:hAnsi="宋体" w:cs="宋体"/>
                <w:color w:val="000000"/>
                <w:sz w:val="22"/>
                <w:szCs w:val="22"/>
              </w:rPr>
              <w:t>阻燃板</w:t>
            </w:r>
            <w:r>
              <w:rPr>
                <w:rFonts w:hint="eastAsia" w:ascii="宋体" w:hAnsi="宋体" w:cs="宋体"/>
                <w:color w:val="000000"/>
                <w:sz w:val="22"/>
                <w:szCs w:val="22"/>
                <w:lang w:val="en-US" w:eastAsia="zh-CN"/>
              </w:rPr>
              <w:t>/玻镁板</w:t>
            </w:r>
          </w:p>
        </w:tc>
        <w:tc>
          <w:tcPr>
            <w:tcW w:w="4740" w:type="dxa"/>
            <w:shd w:val="clear" w:color="auto" w:fill="auto"/>
            <w:vAlign w:val="center"/>
          </w:tcPr>
          <w:p w14:paraId="2EE59D3E">
            <w:pPr>
              <w:widowControl/>
              <w:jc w:val="left"/>
              <w:textAlignment w:val="center"/>
              <w:rPr>
                <w:rFonts w:hint="eastAsia" w:ascii="Times New Roman" w:hAnsi="楷体" w:eastAsia="宋体" w:cs="Times New Roman"/>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莫干山、千年舟、兔宝宝</w:t>
            </w:r>
          </w:p>
        </w:tc>
      </w:tr>
      <w:tr w14:paraId="4477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vAlign w:val="center"/>
          </w:tcPr>
          <w:p w14:paraId="6FA5B1D2">
            <w:pPr>
              <w:jc w:val="center"/>
              <w:rPr>
                <w:rFonts w:hint="eastAsia" w:ascii="宋体" w:hAnsi="宋体" w:eastAsia="宋体"/>
                <w:sz w:val="22"/>
                <w:szCs w:val="22"/>
                <w:lang w:val="en-US" w:eastAsia="zh-CN"/>
              </w:rPr>
            </w:pPr>
            <w:r>
              <w:rPr>
                <w:rFonts w:hint="eastAsia" w:ascii="宋体" w:hAnsi="宋体"/>
                <w:sz w:val="22"/>
                <w:szCs w:val="22"/>
                <w:lang w:val="en-US" w:eastAsia="zh-CN"/>
              </w:rPr>
              <w:t>5</w:t>
            </w:r>
          </w:p>
        </w:tc>
        <w:tc>
          <w:tcPr>
            <w:tcW w:w="3087" w:type="dxa"/>
            <w:shd w:val="clear" w:color="auto" w:fill="auto"/>
            <w:vAlign w:val="center"/>
          </w:tcPr>
          <w:p w14:paraId="0438AAAE">
            <w:pPr>
              <w:jc w:val="left"/>
              <w:rPr>
                <w:rFonts w:hint="default" w:ascii="宋体" w:hAnsi="宋体" w:eastAsia="宋体" w:cs="Times New Roman"/>
                <w:kern w:val="2"/>
                <w:sz w:val="22"/>
                <w:szCs w:val="22"/>
                <w:lang w:val="en-US" w:eastAsia="zh-CN" w:bidi="ar-SA"/>
              </w:rPr>
            </w:pPr>
            <w:r>
              <w:rPr>
                <w:rFonts w:hint="eastAsia" w:ascii="宋体" w:hAnsi="宋体"/>
                <w:sz w:val="22"/>
                <w:szCs w:val="22"/>
                <w:lang w:val="en-US" w:eastAsia="zh-CN"/>
              </w:rPr>
              <w:t>铝扣板</w:t>
            </w:r>
          </w:p>
        </w:tc>
        <w:tc>
          <w:tcPr>
            <w:tcW w:w="4740" w:type="dxa"/>
            <w:shd w:val="clear" w:color="auto" w:fill="auto"/>
            <w:vAlign w:val="center"/>
          </w:tcPr>
          <w:p w14:paraId="7A34241A">
            <w:pPr>
              <w:widowControl/>
              <w:jc w:val="left"/>
              <w:textAlignment w:val="center"/>
              <w:rPr>
                <w:rFonts w:hint="eastAsia" w:ascii="宋体" w:hAnsi="宋体" w:eastAsia="宋体" w:cs="宋体"/>
                <w:color w:val="000000"/>
                <w:kern w:val="2"/>
                <w:sz w:val="22"/>
                <w:szCs w:val="24"/>
                <w:lang w:val="en-US" w:eastAsia="zh-CN" w:bidi="ar-SA"/>
              </w:rPr>
            </w:pPr>
            <w:r>
              <w:rPr>
                <w:rFonts w:hint="eastAsia" w:ascii="宋体" w:hAnsi="宋体" w:cs="宋体"/>
                <w:color w:val="000000"/>
                <w:sz w:val="22"/>
                <w:lang w:val="en-US" w:eastAsia="zh-CN"/>
              </w:rPr>
              <w:t>上海吉祥、</w:t>
            </w:r>
            <w:r>
              <w:rPr>
                <w:rFonts w:hint="eastAsia" w:ascii="宋体" w:hAnsi="宋体" w:cs="宋体"/>
                <w:sz w:val="22"/>
                <w:szCs w:val="22"/>
              </w:rPr>
              <w:t>阿姆斯壮</w:t>
            </w:r>
            <w:r>
              <w:rPr>
                <w:rFonts w:hint="eastAsia" w:ascii="宋体" w:hAnsi="宋体" w:cs="宋体"/>
                <w:color w:val="000000"/>
                <w:sz w:val="22"/>
                <w:lang w:val="en-US" w:eastAsia="zh-CN"/>
              </w:rPr>
              <w:t>、乐思龙</w:t>
            </w:r>
          </w:p>
        </w:tc>
      </w:tr>
      <w:tr w14:paraId="7B83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32678782">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6</w:t>
            </w:r>
          </w:p>
        </w:tc>
        <w:tc>
          <w:tcPr>
            <w:tcW w:w="3087" w:type="dxa"/>
            <w:shd w:val="clear" w:color="auto" w:fill="auto"/>
            <w:vAlign w:val="center"/>
          </w:tcPr>
          <w:p w14:paraId="23FF5594">
            <w:pPr>
              <w:jc w:val="left"/>
              <w:rPr>
                <w:rFonts w:hint="default"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配电箱及内部元件</w:t>
            </w:r>
          </w:p>
        </w:tc>
        <w:tc>
          <w:tcPr>
            <w:tcW w:w="4740" w:type="dxa"/>
            <w:shd w:val="clear" w:color="auto" w:fill="auto"/>
            <w:vAlign w:val="center"/>
          </w:tcPr>
          <w:p w14:paraId="4A82F963">
            <w:pPr>
              <w:jc w:val="left"/>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施耐德、ABB、西门子</w:t>
            </w:r>
          </w:p>
        </w:tc>
      </w:tr>
      <w:tr w14:paraId="3865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4BDF9052">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7</w:t>
            </w:r>
          </w:p>
        </w:tc>
        <w:tc>
          <w:tcPr>
            <w:tcW w:w="3087" w:type="dxa"/>
            <w:shd w:val="clear" w:color="auto" w:fill="auto"/>
            <w:vAlign w:val="center"/>
          </w:tcPr>
          <w:p w14:paraId="5DF1D21B">
            <w:pPr>
              <w:jc w:val="left"/>
              <w:rPr>
                <w:rFonts w:hint="default"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电线、电缆</w:t>
            </w:r>
          </w:p>
        </w:tc>
        <w:tc>
          <w:tcPr>
            <w:tcW w:w="4740" w:type="dxa"/>
            <w:shd w:val="clear" w:color="auto" w:fill="auto"/>
            <w:vAlign w:val="center"/>
          </w:tcPr>
          <w:p w14:paraId="2344CEE8">
            <w:pPr>
              <w:jc w:val="left"/>
              <w:rPr>
                <w:rFonts w:hint="eastAsia"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远东、喜爱、江南</w:t>
            </w:r>
          </w:p>
        </w:tc>
      </w:tr>
      <w:tr w14:paraId="71D3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5DDC8B68">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8</w:t>
            </w:r>
          </w:p>
        </w:tc>
        <w:tc>
          <w:tcPr>
            <w:tcW w:w="3087" w:type="dxa"/>
            <w:shd w:val="clear" w:color="auto" w:fill="auto"/>
            <w:vAlign w:val="center"/>
          </w:tcPr>
          <w:p w14:paraId="317ACD9C">
            <w:pPr>
              <w:jc w:val="left"/>
              <w:rPr>
                <w:rFonts w:hint="default" w:ascii="宋体" w:hAnsi="宋体" w:eastAsia="宋体" w:cs="Times New Roman"/>
                <w:kern w:val="2"/>
                <w:sz w:val="22"/>
                <w:szCs w:val="22"/>
                <w:highlight w:val="none"/>
                <w:lang w:val="en-US" w:eastAsia="zh-CN" w:bidi="ar-SA"/>
              </w:rPr>
            </w:pPr>
            <w:r>
              <w:rPr>
                <w:rFonts w:hint="eastAsia" w:ascii="宋体" w:hAnsi="宋体" w:cs="Times New Roman"/>
                <w:kern w:val="2"/>
                <w:sz w:val="22"/>
                <w:szCs w:val="22"/>
                <w:highlight w:val="none"/>
                <w:lang w:val="en-US" w:eastAsia="zh-CN" w:bidi="ar-SA"/>
              </w:rPr>
              <w:t>应急照明灯具</w:t>
            </w:r>
          </w:p>
        </w:tc>
        <w:tc>
          <w:tcPr>
            <w:tcW w:w="4740" w:type="dxa"/>
            <w:shd w:val="clear" w:color="auto" w:fill="auto"/>
            <w:vAlign w:val="center"/>
          </w:tcPr>
          <w:p w14:paraId="47517F4C">
            <w:pPr>
              <w:jc w:val="left"/>
              <w:rPr>
                <w:rFonts w:hint="default" w:ascii="宋体" w:hAnsi="宋体" w:eastAsia="宋体" w:cs="Times New Roman"/>
                <w:kern w:val="2"/>
                <w:sz w:val="22"/>
                <w:szCs w:val="22"/>
                <w:highlight w:val="none"/>
                <w:lang w:val="en-US" w:eastAsia="zh-CN" w:bidi="ar-SA"/>
              </w:rPr>
            </w:pPr>
            <w:r>
              <w:rPr>
                <w:rFonts w:hint="eastAsia" w:ascii="宋体" w:hAnsi="宋体" w:cs="Times New Roman"/>
                <w:kern w:val="2"/>
                <w:sz w:val="22"/>
                <w:szCs w:val="22"/>
                <w:highlight w:val="none"/>
                <w:lang w:val="en-US" w:eastAsia="zh-CN" w:bidi="ar-SA"/>
              </w:rPr>
              <w:t>敏华、劳士LOS、振辉</w:t>
            </w:r>
          </w:p>
        </w:tc>
      </w:tr>
      <w:tr w14:paraId="3304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2C14E06B">
            <w:pPr>
              <w:jc w:val="center"/>
              <w:rPr>
                <w:rFonts w:hint="eastAsia" w:ascii="宋体" w:hAnsi="宋体" w:eastAsia="宋体" w:cs="Times New Roman"/>
                <w:kern w:val="2"/>
                <w:sz w:val="22"/>
                <w:szCs w:val="22"/>
                <w:lang w:val="en-US" w:eastAsia="zh-CN" w:bidi="ar-SA"/>
              </w:rPr>
            </w:pPr>
            <w:r>
              <w:rPr>
                <w:rFonts w:hint="eastAsia" w:ascii="宋体" w:hAnsi="宋体"/>
                <w:sz w:val="22"/>
                <w:szCs w:val="22"/>
                <w:lang w:val="en-US" w:eastAsia="zh-CN"/>
              </w:rPr>
              <w:t>9</w:t>
            </w:r>
          </w:p>
        </w:tc>
        <w:tc>
          <w:tcPr>
            <w:tcW w:w="3087" w:type="dxa"/>
            <w:shd w:val="clear" w:color="auto" w:fill="auto"/>
            <w:vAlign w:val="center"/>
          </w:tcPr>
          <w:p w14:paraId="7999DDD6">
            <w:pPr>
              <w:jc w:val="left"/>
              <w:rPr>
                <w:rFonts w:hint="default" w:ascii="宋体" w:hAnsi="宋体" w:eastAsia="宋体" w:cs="Times New Roman"/>
                <w:kern w:val="2"/>
                <w:sz w:val="22"/>
                <w:szCs w:val="22"/>
                <w:highlight w:val="none"/>
                <w:lang w:val="en-US" w:eastAsia="zh-CN" w:bidi="ar-SA"/>
              </w:rPr>
            </w:pPr>
            <w:r>
              <w:rPr>
                <w:rFonts w:hint="eastAsia" w:ascii="宋体" w:hAnsi="宋体"/>
                <w:sz w:val="22"/>
                <w:szCs w:val="22"/>
                <w:highlight w:val="none"/>
                <w:lang w:val="en-US" w:eastAsia="zh-CN"/>
              </w:rPr>
              <w:t>阀门</w:t>
            </w:r>
          </w:p>
        </w:tc>
        <w:tc>
          <w:tcPr>
            <w:tcW w:w="4740" w:type="dxa"/>
            <w:shd w:val="clear" w:color="auto" w:fill="auto"/>
            <w:vAlign w:val="center"/>
          </w:tcPr>
          <w:p w14:paraId="6D7FC8BA">
            <w:pPr>
              <w:jc w:val="left"/>
              <w:rPr>
                <w:rFonts w:hint="eastAsia" w:ascii="宋体" w:hAnsi="宋体" w:eastAsia="宋体" w:cs="Times New Roman"/>
                <w:kern w:val="2"/>
                <w:sz w:val="22"/>
                <w:szCs w:val="22"/>
                <w:highlight w:val="none"/>
                <w:lang w:val="en-US" w:eastAsia="zh-CN" w:bidi="ar-SA"/>
              </w:rPr>
            </w:pPr>
            <w:r>
              <w:rPr>
                <w:rFonts w:hint="eastAsia" w:ascii="宋体" w:hAnsi="宋体" w:cs="Times New Roman"/>
                <w:kern w:val="2"/>
                <w:sz w:val="22"/>
                <w:szCs w:val="22"/>
                <w:highlight w:val="none"/>
                <w:lang w:val="en-US" w:eastAsia="zh-CN" w:bidi="ar-SA"/>
              </w:rPr>
              <w:t>埃美柯</w:t>
            </w:r>
            <w:r>
              <w:rPr>
                <w:rFonts w:hint="eastAsia" w:ascii="宋体" w:hAnsi="宋体" w:eastAsia="宋体" w:cs="Times New Roman"/>
                <w:kern w:val="2"/>
                <w:sz w:val="22"/>
                <w:szCs w:val="22"/>
                <w:highlight w:val="none"/>
                <w:lang w:val="en-US" w:eastAsia="zh-CN" w:bidi="ar-SA"/>
              </w:rPr>
              <w:t>、沪工、沪航</w:t>
            </w:r>
          </w:p>
        </w:tc>
      </w:tr>
      <w:tr w14:paraId="249A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51C273AD">
            <w:pPr>
              <w:jc w:val="center"/>
              <w:rPr>
                <w:rFonts w:hint="default" w:ascii="宋体" w:hAnsi="宋体"/>
                <w:sz w:val="22"/>
                <w:szCs w:val="22"/>
                <w:lang w:val="en-US" w:eastAsia="zh-CN"/>
              </w:rPr>
            </w:pPr>
            <w:r>
              <w:rPr>
                <w:rFonts w:hint="eastAsia" w:ascii="宋体" w:hAnsi="宋体"/>
                <w:sz w:val="22"/>
                <w:szCs w:val="22"/>
                <w:lang w:val="en-US" w:eastAsia="zh-CN"/>
              </w:rPr>
              <w:t>10</w:t>
            </w:r>
          </w:p>
        </w:tc>
        <w:tc>
          <w:tcPr>
            <w:tcW w:w="3087" w:type="dxa"/>
            <w:shd w:val="clear" w:color="auto" w:fill="auto"/>
            <w:vAlign w:val="center"/>
          </w:tcPr>
          <w:p w14:paraId="6FFAEDCC">
            <w:pPr>
              <w:jc w:val="left"/>
              <w:rPr>
                <w:rFonts w:hint="default" w:ascii="宋体" w:hAnsi="宋体"/>
                <w:sz w:val="22"/>
                <w:szCs w:val="22"/>
                <w:highlight w:val="none"/>
                <w:lang w:val="en-US" w:eastAsia="zh-CN"/>
              </w:rPr>
            </w:pPr>
            <w:r>
              <w:rPr>
                <w:rFonts w:hint="eastAsia" w:ascii="宋体" w:hAnsi="宋体"/>
                <w:sz w:val="22"/>
                <w:szCs w:val="22"/>
                <w:highlight w:val="none"/>
                <w:lang w:val="en-US" w:eastAsia="zh-CN"/>
              </w:rPr>
              <w:t>镀锌钢管</w:t>
            </w:r>
          </w:p>
        </w:tc>
        <w:tc>
          <w:tcPr>
            <w:tcW w:w="4740" w:type="dxa"/>
            <w:shd w:val="clear" w:color="auto" w:fill="auto"/>
            <w:vAlign w:val="center"/>
          </w:tcPr>
          <w:p w14:paraId="5CEAF02F">
            <w:pPr>
              <w:jc w:val="left"/>
              <w:rPr>
                <w:rFonts w:hint="eastAsia" w:ascii="宋体" w:hAnsi="宋体"/>
                <w:sz w:val="22"/>
                <w:szCs w:val="22"/>
                <w:highlight w:val="none"/>
                <w:lang w:val="en-US" w:eastAsia="zh-CN"/>
              </w:rPr>
            </w:pPr>
            <w:r>
              <w:rPr>
                <w:rFonts w:hint="eastAsia" w:ascii="宋体" w:hAnsi="宋体" w:eastAsia="宋体" w:cs="Times New Roman"/>
                <w:kern w:val="2"/>
                <w:sz w:val="22"/>
                <w:szCs w:val="22"/>
                <w:highlight w:val="none"/>
                <w:lang w:val="en-US" w:eastAsia="zh-CN" w:bidi="ar-SA"/>
              </w:rPr>
              <w:t>金洲、湖光、劳动</w:t>
            </w:r>
          </w:p>
        </w:tc>
      </w:tr>
      <w:tr w14:paraId="2C8F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6A2E782E">
            <w:pPr>
              <w:jc w:val="center"/>
              <w:rPr>
                <w:rFonts w:hint="default" w:ascii="宋体" w:hAnsi="宋体"/>
                <w:sz w:val="22"/>
                <w:szCs w:val="22"/>
                <w:lang w:val="en-US" w:eastAsia="zh-CN"/>
              </w:rPr>
            </w:pPr>
            <w:r>
              <w:rPr>
                <w:rFonts w:hint="eastAsia" w:ascii="宋体" w:hAnsi="宋体"/>
                <w:sz w:val="22"/>
                <w:szCs w:val="22"/>
                <w:lang w:val="en-US" w:eastAsia="zh-CN"/>
              </w:rPr>
              <w:t>11</w:t>
            </w:r>
          </w:p>
        </w:tc>
        <w:tc>
          <w:tcPr>
            <w:tcW w:w="3087" w:type="dxa"/>
            <w:shd w:val="clear" w:color="auto" w:fill="auto"/>
            <w:vAlign w:val="center"/>
          </w:tcPr>
          <w:p w14:paraId="4BE776B9">
            <w:pPr>
              <w:jc w:val="left"/>
              <w:rPr>
                <w:rFonts w:hint="default" w:ascii="宋体" w:hAnsi="宋体"/>
                <w:sz w:val="22"/>
                <w:szCs w:val="22"/>
                <w:highlight w:val="none"/>
                <w:lang w:val="en-US" w:eastAsia="zh-CN"/>
              </w:rPr>
            </w:pPr>
            <w:r>
              <w:rPr>
                <w:rFonts w:hint="eastAsia" w:ascii="宋体" w:hAnsi="宋体"/>
                <w:sz w:val="22"/>
                <w:szCs w:val="22"/>
                <w:highlight w:val="none"/>
                <w:lang w:val="en-US" w:eastAsia="zh-CN"/>
              </w:rPr>
              <w:t>消火栓</w:t>
            </w:r>
          </w:p>
        </w:tc>
        <w:tc>
          <w:tcPr>
            <w:tcW w:w="4740" w:type="dxa"/>
            <w:shd w:val="clear" w:color="auto" w:fill="auto"/>
            <w:vAlign w:val="center"/>
          </w:tcPr>
          <w:p w14:paraId="11ECCB80">
            <w:pPr>
              <w:jc w:val="left"/>
              <w:rPr>
                <w:rFonts w:hint="eastAsia" w:ascii="宋体" w:hAnsi="宋体"/>
                <w:sz w:val="22"/>
                <w:szCs w:val="22"/>
                <w:highlight w:val="none"/>
                <w:lang w:val="en-US" w:eastAsia="zh-CN"/>
              </w:rPr>
            </w:pPr>
            <w:r>
              <w:rPr>
                <w:rFonts w:hint="eastAsia" w:ascii="宋体" w:hAnsi="宋体"/>
                <w:sz w:val="22"/>
                <w:szCs w:val="22"/>
                <w:highlight w:val="none"/>
                <w:lang w:val="en-US" w:eastAsia="zh-CN"/>
              </w:rPr>
              <w:t>川消、无锡金盾、南消</w:t>
            </w:r>
          </w:p>
        </w:tc>
      </w:tr>
      <w:tr w14:paraId="105C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7" w:type="dxa"/>
            <w:shd w:val="clear" w:color="auto" w:fill="auto"/>
            <w:vAlign w:val="center"/>
          </w:tcPr>
          <w:p w14:paraId="3A7AA2AC">
            <w:pPr>
              <w:jc w:val="center"/>
              <w:rPr>
                <w:rFonts w:hint="default" w:ascii="宋体" w:hAnsi="宋体"/>
                <w:sz w:val="22"/>
                <w:szCs w:val="22"/>
                <w:lang w:val="en-US" w:eastAsia="zh-CN"/>
              </w:rPr>
            </w:pPr>
            <w:r>
              <w:rPr>
                <w:rFonts w:hint="eastAsia" w:ascii="宋体" w:hAnsi="宋体"/>
                <w:sz w:val="22"/>
                <w:szCs w:val="22"/>
                <w:lang w:val="en-US" w:eastAsia="zh-CN"/>
              </w:rPr>
              <w:t>12</w:t>
            </w:r>
          </w:p>
        </w:tc>
        <w:tc>
          <w:tcPr>
            <w:tcW w:w="3087" w:type="dxa"/>
            <w:shd w:val="clear" w:color="auto" w:fill="auto"/>
            <w:vAlign w:val="center"/>
          </w:tcPr>
          <w:p w14:paraId="7C33B048">
            <w:pPr>
              <w:jc w:val="left"/>
              <w:rPr>
                <w:rFonts w:hint="default" w:ascii="宋体" w:hAnsi="宋体"/>
                <w:sz w:val="22"/>
                <w:szCs w:val="22"/>
                <w:highlight w:val="none"/>
                <w:lang w:val="en-US" w:eastAsia="zh-CN"/>
              </w:rPr>
            </w:pPr>
            <w:r>
              <w:rPr>
                <w:rFonts w:hint="eastAsia" w:ascii="宋体" w:hAnsi="宋体"/>
                <w:sz w:val="22"/>
                <w:szCs w:val="22"/>
                <w:highlight w:val="none"/>
                <w:lang w:val="en-US" w:eastAsia="zh-CN"/>
              </w:rPr>
              <w:t>消防泵组</w:t>
            </w:r>
          </w:p>
        </w:tc>
        <w:tc>
          <w:tcPr>
            <w:tcW w:w="4740" w:type="dxa"/>
            <w:shd w:val="clear" w:color="auto" w:fill="auto"/>
            <w:vAlign w:val="center"/>
          </w:tcPr>
          <w:p w14:paraId="77FD7209">
            <w:pPr>
              <w:jc w:val="left"/>
              <w:rPr>
                <w:rFonts w:hint="eastAsia" w:ascii="宋体" w:hAnsi="宋体"/>
                <w:sz w:val="22"/>
                <w:szCs w:val="22"/>
                <w:highlight w:val="none"/>
                <w:lang w:val="en-US" w:eastAsia="zh-CN"/>
              </w:rPr>
            </w:pPr>
            <w:r>
              <w:rPr>
                <w:rFonts w:hint="eastAsia" w:ascii="宋体" w:hAnsi="宋体"/>
                <w:sz w:val="22"/>
                <w:szCs w:val="22"/>
                <w:highlight w:val="none"/>
                <w:lang w:val="en-US" w:eastAsia="zh-CN"/>
              </w:rPr>
              <w:t>熊猫、凯泉、东方</w:t>
            </w:r>
          </w:p>
        </w:tc>
      </w:tr>
    </w:tbl>
    <w:p w14:paraId="16F51CB9">
      <w:pPr>
        <w:spacing w:line="460" w:lineRule="exact"/>
        <w:ind w:firstLine="420" w:firstLineChars="0"/>
      </w:pPr>
      <w:r>
        <w:rPr>
          <w:rFonts w:hint="eastAsia" w:ascii="宋体" w:hAnsi="宋体"/>
          <w:kern w:val="0"/>
          <w:sz w:val="24"/>
          <w:lang w:val="en-US" w:eastAsia="zh-CN"/>
        </w:rPr>
        <w:t>注</w:t>
      </w:r>
      <w:r>
        <w:rPr>
          <w:rFonts w:hint="eastAsia" w:ascii="宋体" w:hAnsi="宋体"/>
          <w:kern w:val="0"/>
          <w:sz w:val="24"/>
        </w:rPr>
        <w:t>：</w:t>
      </w:r>
      <w:r>
        <w:rPr>
          <w:rFonts w:hint="eastAsia" w:ascii="宋体" w:hAnsi="宋体" w:cs="宋体"/>
          <w:kern w:val="0"/>
          <w:sz w:val="24"/>
        </w:rPr>
        <w:t>上述品牌厂家</w:t>
      </w:r>
      <w:r>
        <w:rPr>
          <w:rFonts w:hint="eastAsia" w:ascii="宋体" w:hAnsi="宋体" w:cs="宋体"/>
          <w:kern w:val="0"/>
          <w:sz w:val="24"/>
          <w:lang w:val="en-US" w:eastAsia="zh-CN"/>
        </w:rPr>
        <w:t>推荐</w:t>
      </w:r>
      <w:r>
        <w:rPr>
          <w:rFonts w:hint="eastAsia" w:ascii="宋体" w:hAnsi="宋体" w:cs="宋体"/>
          <w:kern w:val="0"/>
          <w:sz w:val="24"/>
        </w:rPr>
        <w:t>表供投标人在合同履行过程中进行选择，无需投标人在投标时明确所选的厂家品牌产品。投标人拟增加厂家或品牌的，应在招标文件规定的澄清答疑期限结束之前提出，满足招标文件中明确的技术标准和质量要求，并由招标人同意。</w:t>
      </w:r>
    </w:p>
    <w:sectPr>
      <w:headerReference r:id="rId3" w:type="default"/>
      <w:pgSz w:w="11906" w:h="16838"/>
      <w:pgMar w:top="1418" w:right="1247" w:bottom="1089"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7A"/>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7925">
    <w:pPr>
      <w:pStyle w:val="3"/>
      <w:pBdr>
        <w:bottom w:val="none" w:color="auto" w:sz="0" w:space="0"/>
      </w:pBdr>
    </w:pPr>
  </w:p>
  <w:p w14:paraId="29C40331">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MGJmYjdmZTkwN2ZiN2ZiMDVkNjg5YWM4ZThmNzYifQ=="/>
  </w:docVars>
  <w:rsids>
    <w:rsidRoot w:val="08E05185"/>
    <w:rsid w:val="000E53AE"/>
    <w:rsid w:val="00161293"/>
    <w:rsid w:val="00560706"/>
    <w:rsid w:val="00A0245F"/>
    <w:rsid w:val="00CA0B62"/>
    <w:rsid w:val="00E34048"/>
    <w:rsid w:val="01E23011"/>
    <w:rsid w:val="01F707BE"/>
    <w:rsid w:val="03981E4E"/>
    <w:rsid w:val="08E05185"/>
    <w:rsid w:val="0A582ADA"/>
    <w:rsid w:val="0AB535E7"/>
    <w:rsid w:val="0C7C1A0D"/>
    <w:rsid w:val="0C8F3C16"/>
    <w:rsid w:val="0CC779D3"/>
    <w:rsid w:val="0D754AF2"/>
    <w:rsid w:val="0E2B6390"/>
    <w:rsid w:val="0F5F2537"/>
    <w:rsid w:val="1090222E"/>
    <w:rsid w:val="11494E5B"/>
    <w:rsid w:val="116A1FBF"/>
    <w:rsid w:val="11CB5870"/>
    <w:rsid w:val="11FC011F"/>
    <w:rsid w:val="12293277"/>
    <w:rsid w:val="12354FD8"/>
    <w:rsid w:val="128D5F68"/>
    <w:rsid w:val="13FA068E"/>
    <w:rsid w:val="15AC7766"/>
    <w:rsid w:val="18471E4C"/>
    <w:rsid w:val="1A0D4ED0"/>
    <w:rsid w:val="1A335A85"/>
    <w:rsid w:val="1AA33901"/>
    <w:rsid w:val="1C6B1A0A"/>
    <w:rsid w:val="1D317980"/>
    <w:rsid w:val="1D6036E7"/>
    <w:rsid w:val="1E2E78B2"/>
    <w:rsid w:val="1ECF5B53"/>
    <w:rsid w:val="1F0966C2"/>
    <w:rsid w:val="1F3404FA"/>
    <w:rsid w:val="1FCB7383"/>
    <w:rsid w:val="1FEA15B7"/>
    <w:rsid w:val="207D68CF"/>
    <w:rsid w:val="213B1866"/>
    <w:rsid w:val="21B54DC2"/>
    <w:rsid w:val="230774B4"/>
    <w:rsid w:val="23CD5478"/>
    <w:rsid w:val="24E862E1"/>
    <w:rsid w:val="253318EF"/>
    <w:rsid w:val="268E7399"/>
    <w:rsid w:val="276B290E"/>
    <w:rsid w:val="29992CB8"/>
    <w:rsid w:val="2AB209DF"/>
    <w:rsid w:val="2B4F3221"/>
    <w:rsid w:val="2CF61AF0"/>
    <w:rsid w:val="2F6F7DB3"/>
    <w:rsid w:val="30316D8E"/>
    <w:rsid w:val="30586CDF"/>
    <w:rsid w:val="306C3B63"/>
    <w:rsid w:val="312E36D9"/>
    <w:rsid w:val="315A070C"/>
    <w:rsid w:val="32FA1D26"/>
    <w:rsid w:val="34644747"/>
    <w:rsid w:val="34A81450"/>
    <w:rsid w:val="35921D49"/>
    <w:rsid w:val="35990303"/>
    <w:rsid w:val="35E63852"/>
    <w:rsid w:val="36B502AB"/>
    <w:rsid w:val="36BB1AA7"/>
    <w:rsid w:val="36F01751"/>
    <w:rsid w:val="3822655D"/>
    <w:rsid w:val="38CB5CE3"/>
    <w:rsid w:val="39BA1E5A"/>
    <w:rsid w:val="3B6224F2"/>
    <w:rsid w:val="3D4911B6"/>
    <w:rsid w:val="3DF363CF"/>
    <w:rsid w:val="3E9715F5"/>
    <w:rsid w:val="403976F5"/>
    <w:rsid w:val="42642FF3"/>
    <w:rsid w:val="428B1745"/>
    <w:rsid w:val="429612A3"/>
    <w:rsid w:val="433C5A94"/>
    <w:rsid w:val="459C17A1"/>
    <w:rsid w:val="460B0EA3"/>
    <w:rsid w:val="47855EE6"/>
    <w:rsid w:val="47D77DB4"/>
    <w:rsid w:val="49375FAE"/>
    <w:rsid w:val="4A125336"/>
    <w:rsid w:val="4A607445"/>
    <w:rsid w:val="4AB92B0E"/>
    <w:rsid w:val="4B1856AB"/>
    <w:rsid w:val="4EDE5DFF"/>
    <w:rsid w:val="4F622107"/>
    <w:rsid w:val="501645BE"/>
    <w:rsid w:val="533E0D5C"/>
    <w:rsid w:val="541F4ED1"/>
    <w:rsid w:val="5444625D"/>
    <w:rsid w:val="551E742C"/>
    <w:rsid w:val="56C37D59"/>
    <w:rsid w:val="597066A6"/>
    <w:rsid w:val="5D1F428F"/>
    <w:rsid w:val="5D720305"/>
    <w:rsid w:val="5D9F6796"/>
    <w:rsid w:val="5E3522E8"/>
    <w:rsid w:val="5F75325A"/>
    <w:rsid w:val="60511ABB"/>
    <w:rsid w:val="63475035"/>
    <w:rsid w:val="640B1AE9"/>
    <w:rsid w:val="644A43BA"/>
    <w:rsid w:val="64B57E6E"/>
    <w:rsid w:val="65F91B21"/>
    <w:rsid w:val="66601C37"/>
    <w:rsid w:val="67022AB0"/>
    <w:rsid w:val="6814415A"/>
    <w:rsid w:val="68825161"/>
    <w:rsid w:val="6A9C0CCD"/>
    <w:rsid w:val="6B494D52"/>
    <w:rsid w:val="6B9A4D15"/>
    <w:rsid w:val="6CFA2F04"/>
    <w:rsid w:val="6EC3650B"/>
    <w:rsid w:val="71B21735"/>
    <w:rsid w:val="71DF4C9C"/>
    <w:rsid w:val="724707A0"/>
    <w:rsid w:val="729901D8"/>
    <w:rsid w:val="758F16ED"/>
    <w:rsid w:val="76371DD9"/>
    <w:rsid w:val="76764F0B"/>
    <w:rsid w:val="76DE3833"/>
    <w:rsid w:val="771C566F"/>
    <w:rsid w:val="78727AD0"/>
    <w:rsid w:val="78A21699"/>
    <w:rsid w:val="792C0566"/>
    <w:rsid w:val="798C6DD3"/>
    <w:rsid w:val="7B4300FB"/>
    <w:rsid w:val="7B854718"/>
    <w:rsid w:val="7C476479"/>
    <w:rsid w:val="7C507BA5"/>
    <w:rsid w:val="7C6714F1"/>
    <w:rsid w:val="7FA44EE3"/>
    <w:rsid w:val="7FA5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rFonts w:ascii="Times New Roman" w:hAnsi="Times New Roman" w:eastAsia="宋体" w:cs="Times New Roman"/>
      <w:color w:val="0000FF"/>
      <w:u w:val="single"/>
    </w:rPr>
  </w:style>
  <w:style w:type="paragraph" w:styleId="8">
    <w:name w:val="List Paragraph"/>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1146</Words>
  <Characters>1183</Characters>
  <Lines>9</Lines>
  <Paragraphs>2</Paragraphs>
  <TotalTime>4</TotalTime>
  <ScaleCrop>false</ScaleCrop>
  <LinksUpToDate>false</LinksUpToDate>
  <CharactersWithSpaces>1185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2023-05-31T08:26:00Z</dcterms:created>
  <dc:creator>顾甚禹</dc:creator>
  <cp:lastModifiedBy>江鸟</cp:lastModifiedBy>
  <dcterms:modified xsi:type="dcterms:W3CDTF">2025-12-08T06:31:33Z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F06BF86B86BE4921A177F9E55C73E938_13</vt:lpwstr>
  </property>
  <property fmtid="{D5CDD505-2E9C-101B-9397-08002B2CF9AE}" pid="4" name="KSOTemplateDocerSaveRecord">
    <vt:lpwstr>eyJoZGlkIjoiYWM5YjhkMDk1NDZjMzA1OTM1NGJmOGJkOTc5MzU5NGUiLCJ1c2VySWQiOiIxMzM0NDQ5MDU0In0=</vt:lpwstr>
  </property>
</Properties>
</file>