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rPr>
          <w:color w:val="auto"/>
        </w:rPr>
      </w:r>
      <w:r/>
    </w:p>
    <w:p>
      <w:pPr>
        <w:pStyle w:val="895"/>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rPr>
          <w:color w:val="auto"/>
        </w:rPr>
      </w:r>
      <w:r/>
    </w:p>
    <w:p>
      <w:pPr>
        <w:pStyle w:val="895"/>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w:t>
      </w:r>
      <w:r>
        <w:rPr>
          <w:rFonts w:hint="eastAsia" w:ascii="黑体" w:hAnsi="华文中宋" w:eastAsia="黑体"/>
          <w:bCs/>
          <w:color w:val="auto"/>
          <w:spacing w:val="20"/>
          <w:sz w:val="72"/>
          <w:szCs w:val="72"/>
          <w:highlight w:val="none"/>
          <w:lang w:val="en-US" w:eastAsia="zh-CN"/>
        </w:rPr>
        <w:t xml:space="preserve">惠山</w:t>
      </w:r>
      <w:r>
        <w:rPr>
          <w:rFonts w:hint="eastAsia" w:ascii="黑体" w:hAnsi="华文中宋" w:eastAsia="黑体"/>
          <w:bCs/>
          <w:color w:val="auto"/>
          <w:spacing w:val="20"/>
          <w:sz w:val="72"/>
          <w:szCs w:val="72"/>
          <w:highlight w:val="none"/>
        </w:rPr>
        <w:t xml:space="preserve">区政府采购</w:t>
      </w:r>
      <w:r>
        <w:rPr>
          <w:color w:val="auto"/>
        </w:rPr>
      </w:r>
      <w:r/>
    </w:p>
    <w:p>
      <w:pPr>
        <w:pStyle w:val="895"/>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color w:val="auto"/>
        </w:rPr>
      </w:r>
      <w:r/>
    </w:p>
    <w:p>
      <w:pPr>
        <w:pStyle w:val="895"/>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color w:val="auto"/>
        </w:rPr>
      </w:r>
      <w:r/>
    </w:p>
    <w:p>
      <w:pPr>
        <w:pStyle w:val="895"/>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color w:val="auto"/>
        </w:rPr>
      </w:r>
      <w:r/>
    </w:p>
    <w:p>
      <w:pPr>
        <w:pStyle w:val="895"/>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rPr>
          <w:color w:val="auto"/>
        </w:rPr>
      </w:r>
      <w:r/>
    </w:p>
    <w:p>
      <w:pPr>
        <w:pStyle w:val="895"/>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4;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rPr>
          <w:color w:val="auto"/>
        </w:rPr>
      </w:r>
      <w:r/>
    </w:p>
    <w:p>
      <w:pPr>
        <w:pStyle w:val="895"/>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color w:val="auto"/>
        </w:rPr>
      </w:r>
      <w:r/>
    </w:p>
    <w:p>
      <w:pPr>
        <w:pStyle w:val="895"/>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rPr>
          <w:color w:val="auto"/>
        </w:rPr>
      </w:r>
      <w:r/>
    </w:p>
    <w:p>
      <w:pPr>
        <w:pStyle w:val="895"/>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rPr>
          <w:color w:val="auto"/>
        </w:rPr>
      </w:r>
      <w:r/>
    </w:p>
    <w:p>
      <w:pPr>
        <w:pStyle w:val="895"/>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rPr>
          <w:color w:val="auto"/>
        </w:rPr>
      </w:r>
      <w:r/>
    </w:p>
    <w:p>
      <w:pPr>
        <w:pStyle w:val="895"/>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采购项目编号：JSZC-320206-JSZH-G2024-0031</w:t>
      </w:r>
      <w:r>
        <w:rPr>
          <w:color w:val="auto"/>
        </w:rPr>
      </w:r>
      <w:r/>
    </w:p>
    <w:p>
      <w:pPr>
        <w:pStyle w:val="895"/>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color w:val="auto"/>
        </w:rPr>
      </w:r>
      <w:r/>
    </w:p>
    <w:p>
      <w:pPr>
        <w:pStyle w:val="895"/>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钱桥东片绿化养护项目</w:t>
      </w:r>
      <w:r>
        <w:rPr>
          <w:color w:val="auto"/>
        </w:rPr>
      </w:r>
      <w:r/>
    </w:p>
    <w:p>
      <w:pPr>
        <w:pStyle w:val="895"/>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color w:val="auto"/>
        </w:rPr>
      </w:r>
      <w:r/>
    </w:p>
    <w:p>
      <w:pPr>
        <w:pStyle w:val="895"/>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采购代理机构：江苏智汇锡建工程项目管理有限公司</w:t>
      </w:r>
      <w:r>
        <w:rPr>
          <w:color w:val="auto"/>
        </w:rPr>
      </w:r>
      <w:r/>
    </w:p>
    <w:p>
      <w:pPr>
        <w:pStyle w:val="895"/>
        <w:rPr>
          <w:rFonts w:ascii="黑体" w:hAnsi="黑体" w:eastAsia="黑体"/>
          <w:color w:val="auto"/>
          <w:highlight w:val="none"/>
        </w:rPr>
      </w:pPr>
      <w:r>
        <w:rPr>
          <w:rFonts w:ascii="黑体" w:hAnsi="黑体" w:eastAsia="黑体"/>
          <w:color w:val="auto"/>
          <w:highlight w:val="none"/>
        </w:rPr>
      </w:r>
      <w:r>
        <w:rPr>
          <w:color w:val="auto"/>
        </w:rPr>
      </w:r>
      <w:r/>
    </w:p>
    <w:p>
      <w:pPr>
        <w:pStyle w:val="895"/>
        <w:jc w:val="center"/>
        <w:rPr>
          <w:rFonts w:hint="eastAsia" w:ascii="黑体" w:hAnsi="华文中宋" w:eastAsia="黑体"/>
          <w:bCs/>
          <w:color w:val="auto"/>
          <w:sz w:val="28"/>
          <w:szCs w:val="28"/>
          <w:highlight w:val="none"/>
        </w:rPr>
      </w:pPr>
      <w:r>
        <w:rPr>
          <w:rFonts w:hint="eastAsia" w:ascii="黑体" w:hAnsi="华文中宋" w:eastAsia="黑体"/>
          <w:bCs/>
          <w:color w:val="auto"/>
          <w:sz w:val="28"/>
          <w:szCs w:val="28"/>
          <w:highlight w:val="none"/>
        </w:rPr>
      </w:r>
      <w:r>
        <w:rPr>
          <w:color w:val="auto"/>
        </w:rPr>
      </w:r>
      <w:r/>
    </w:p>
    <w:p>
      <w:pPr>
        <w:pStyle w:val="895"/>
        <w:jc w:val="center"/>
        <w:rPr>
          <w:rFonts w:ascii="黑体" w:hAnsi="华文中宋" w:eastAsia="黑体"/>
          <w:bCs/>
          <w:color w:val="auto"/>
          <w:sz w:val="36"/>
          <w:szCs w:val="36"/>
          <w:highlight w:val="none"/>
        </w:rPr>
      </w:pPr>
      <w:r>
        <w:rPr>
          <w:rFonts w:hint="eastAsia" w:ascii="黑体" w:hAnsi="华文中宋" w:eastAsia="黑体"/>
          <w:bCs/>
          <w:color w:val="auto"/>
          <w:sz w:val="36"/>
          <w:szCs w:val="36"/>
          <w:highlight w:val="none"/>
        </w:rPr>
        <w:t xml:space="preserve">二○二</w:t>
      </w:r>
      <w:r>
        <w:rPr>
          <w:rFonts w:hint="eastAsia" w:ascii="黑体" w:hAnsi="华文中宋" w:eastAsia="黑体"/>
          <w:bCs/>
          <w:color w:val="auto"/>
          <w:sz w:val="36"/>
          <w:szCs w:val="36"/>
          <w:highlight w:val="none"/>
          <w:lang w:val="en-US" w:eastAsia="zh-CN"/>
        </w:rPr>
        <w:t xml:space="preserve">四</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四</w:t>
      </w:r>
      <w:r>
        <w:rPr>
          <w:rFonts w:hint="eastAsia" w:ascii="黑体" w:hAnsi="华文中宋" w:eastAsia="黑体"/>
          <w:bCs/>
          <w:color w:val="auto"/>
          <w:sz w:val="36"/>
          <w:szCs w:val="36"/>
          <w:highlight w:val="none"/>
        </w:rPr>
        <w:t xml:space="preserve">月</w:t>
      </w:r>
      <w:r>
        <w:rPr>
          <w:color w:val="auto"/>
        </w:rPr>
      </w:r>
      <w:r/>
    </w:p>
    <w:p>
      <w:pPr>
        <w:pStyle w:val="895"/>
        <w:jc w:val="center"/>
        <w:rPr>
          <w:rStyle w:val="1001"/>
          <w:rFonts w:hint="eastAsia" w:eastAsia="黑体"/>
          <w:bCs/>
          <w:color w:val="auto"/>
          <w:sz w:val="48"/>
          <w:highlight w:val="none"/>
        </w:rPr>
      </w:pPr>
      <w:r>
        <w:rPr>
          <w:rStyle w:val="1001"/>
          <w:rFonts w:eastAsia="黑体"/>
          <w:bCs/>
          <w:color w:val="auto"/>
          <w:sz w:val="48"/>
          <w:highlight w:val="none"/>
        </w:rPr>
        <w:t xml:space="preserve"> </w:t>
      </w:r>
      <w:r>
        <w:rPr>
          <w:color w:val="auto"/>
        </w:rPr>
      </w:r>
      <w:r/>
    </w:p>
    <w:p>
      <w:pPr>
        <w:pStyle w:val="895"/>
        <w:jc w:val="center"/>
        <w:rPr>
          <w:rStyle w:val="1001"/>
          <w:rFonts w:hint="eastAsia" w:eastAsia="黑体"/>
          <w:bCs/>
          <w:color w:val="auto"/>
          <w:sz w:val="48"/>
          <w:highlight w:val="none"/>
        </w:rPr>
      </w:pPr>
      <w:r>
        <w:rPr>
          <w:rStyle w:val="1001"/>
          <w:rFonts w:hint="eastAsia" w:eastAsia="黑体"/>
          <w:bCs/>
          <w:color w:val="auto"/>
          <w:sz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bCs/>
          <w:color w:val="auto"/>
          <w:sz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color w:val="auto"/>
          <w:sz w:val="48"/>
          <w:szCs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color w:val="auto"/>
          <w:sz w:val="48"/>
          <w:szCs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color w:val="auto"/>
          <w:sz w:val="48"/>
          <w:szCs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color w:val="auto"/>
          <w:sz w:val="48"/>
          <w:szCs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color w:val="auto"/>
          <w:sz w:val="48"/>
          <w:szCs w:val="48"/>
          <w:highlight w:val="none"/>
        </w:rPr>
      </w:r>
      <w:r>
        <w:rPr>
          <w:color w:val="auto"/>
        </w:rPr>
      </w:r>
      <w:r/>
    </w:p>
    <w:p>
      <w:pPr>
        <w:pStyle w:val="895"/>
        <w:jc w:val="center"/>
        <w:rPr>
          <w:rStyle w:val="1001"/>
          <w:rFonts w:hint="eastAsia" w:eastAsia="黑体"/>
          <w:color w:val="auto"/>
          <w:sz w:val="48"/>
          <w:szCs w:val="48"/>
          <w:highlight w:val="none"/>
        </w:rPr>
      </w:pPr>
      <w:r>
        <w:rPr>
          <w:rStyle w:val="1001"/>
          <w:rFonts w:hint="eastAsia" w:eastAsia="黑体"/>
          <w:bCs/>
          <w:color w:val="auto"/>
          <w:sz w:val="48"/>
          <w:highlight w:val="none"/>
        </w:rPr>
      </w:r>
      <w:r>
        <w:rPr>
          <w:color w:val="auto"/>
        </w:rPr>
      </w:r>
      <w:r/>
    </w:p>
    <w:p>
      <w:pPr>
        <w:pStyle w:val="895"/>
        <w:jc w:val="both"/>
        <w:rPr>
          <w:rStyle w:val="1001"/>
          <w:rFonts w:hint="eastAsia" w:eastAsia="黑体"/>
          <w:bCs/>
          <w:color w:val="auto"/>
          <w:sz w:val="48"/>
          <w:highlight w:val="none"/>
        </w:rPr>
      </w:pPr>
      <w:r>
        <w:rPr>
          <w:rStyle w:val="1001"/>
          <w:rFonts w:hint="eastAsia" w:eastAsia="黑体"/>
          <w:bCs/>
          <w:color w:val="auto"/>
          <w:sz w:val="48"/>
          <w:highlight w:val="none"/>
        </w:rPr>
      </w:r>
      <w:r>
        <w:rPr>
          <w:color w:val="auto"/>
        </w:rPr>
      </w:r>
      <w:r/>
    </w:p>
    <w:p>
      <w:pPr>
        <w:jc w:val="center"/>
        <w:rPr>
          <w:rStyle w:val="1001"/>
          <w:rFonts w:eastAsia="黑体"/>
          <w:color w:val="auto"/>
          <w:sz w:val="48"/>
          <w:szCs w:val="48"/>
          <w:highlight w:val="none"/>
        </w:rPr>
      </w:pPr>
      <w:r>
        <w:rPr>
          <w:rStyle w:val="1001"/>
          <w:rFonts w:hint="eastAsia" w:eastAsia="黑体"/>
          <w:bCs/>
          <w:color w:val="auto"/>
          <w:sz w:val="48"/>
          <w:highlight w:val="none"/>
        </w:rPr>
      </w:r>
      <w:r>
        <w:rPr>
          <w:color w:val="auto"/>
        </w:rPr>
      </w:r>
      <w:r/>
    </w:p>
    <w:p>
      <w:pPr>
        <w:jc w:val="center"/>
        <w:rPr>
          <w:rStyle w:val="1001"/>
          <w:rFonts w:hint="eastAsia" w:eastAsia="黑体"/>
          <w:color w:val="auto"/>
          <w:sz w:val="48"/>
          <w:szCs w:val="48"/>
          <w:highlight w:val="none"/>
        </w:rPr>
      </w:pPr>
      <w:r>
        <w:rPr>
          <w:rStyle w:val="1001"/>
          <w:rFonts w:hint="eastAsia" w:eastAsia="黑体"/>
          <w:bCs/>
          <w:color w:val="auto"/>
          <w:sz w:val="48"/>
          <w:highlight w:val="none"/>
        </w:rPr>
      </w:r>
      <w:r>
        <w:rPr>
          <w:color w:val="auto"/>
        </w:rPr>
      </w:r>
      <w:r/>
    </w:p>
    <w:p>
      <w:pPr>
        <w:pStyle w:val="895"/>
        <w:jc w:val="center"/>
        <w:rPr>
          <w:rStyle w:val="1001"/>
          <w:rFonts w:hint="eastAsia" w:eastAsia="黑体"/>
          <w:color w:val="auto"/>
          <w:sz w:val="48"/>
          <w:szCs w:val="48"/>
          <w:highlight w:val="none"/>
        </w:rPr>
      </w:pPr>
      <w:r>
        <w:rPr>
          <w:rStyle w:val="1001"/>
          <w:rFonts w:hint="eastAsia" w:eastAsia="黑体"/>
          <w:bCs/>
          <w:color w:val="auto"/>
          <w:sz w:val="48"/>
          <w:highlight w:val="none"/>
        </w:rPr>
        <w:t xml:space="preserve">目</w:t>
      </w:r>
      <w:r>
        <w:rPr>
          <w:rStyle w:val="1001"/>
          <w:rFonts w:eastAsia="黑体"/>
          <w:bCs/>
          <w:color w:val="auto"/>
          <w:sz w:val="48"/>
          <w:highlight w:val="none"/>
        </w:rPr>
        <w:t xml:space="preserve">     </w:t>
      </w:r>
      <w:r>
        <w:rPr>
          <w:rStyle w:val="1001"/>
          <w:rFonts w:hint="eastAsia" w:eastAsia="黑体"/>
          <w:bCs/>
          <w:color w:val="auto"/>
          <w:sz w:val="48"/>
          <w:highlight w:val="none"/>
        </w:rPr>
        <w:t xml:space="preserve">录</w:t>
      </w:r>
      <w:r>
        <w:rPr>
          <w:color w:val="auto"/>
        </w:rPr>
      </w:r>
      <w:r/>
    </w:p>
    <w:p>
      <w:pPr>
        <w:pStyle w:val="895"/>
        <w:jc w:val="center"/>
        <w:rPr>
          <w:rFonts w:ascii="黑体" w:eastAsia="黑体"/>
          <w:bCs/>
          <w:color w:val="auto"/>
          <w:sz w:val="30"/>
          <w:highlight w:val="none"/>
        </w:rPr>
      </w:pPr>
      <w:r>
        <w:rPr>
          <w:rFonts w:ascii="黑体" w:eastAsia="黑体"/>
          <w:bCs/>
          <w:color w:val="auto"/>
          <w:sz w:val="30"/>
          <w:highlight w:val="none"/>
        </w:rPr>
      </w:r>
      <w:r>
        <w:rPr>
          <w:color w:val="auto"/>
        </w:rPr>
      </w:r>
      <w:r/>
    </w:p>
    <w:p>
      <w:pPr>
        <w:pStyle w:val="895"/>
        <w:ind w:firstLine="420"/>
        <w:spacing w:line="720" w:lineRule="auto"/>
        <w:rPr>
          <w:rFonts w:ascii="宋体"/>
          <w:b/>
          <w:color w:val="auto"/>
          <w:sz w:val="28"/>
          <w:szCs w:val="28"/>
          <w:highlight w:val="none"/>
        </w:rPr>
      </w:pPr>
      <w:r>
        <w:rPr>
          <w:rFonts w:hint="eastAsia" w:ascii="宋体" w:hAnsi="宋体"/>
          <w:b/>
          <w:color w:val="auto"/>
          <w:sz w:val="28"/>
          <w:szCs w:val="28"/>
          <w:highlight w:val="none"/>
        </w:rPr>
        <w:t xml:space="preserve">一．投标邀请函</w:t>
      </w:r>
      <w:r>
        <w:rPr>
          <w:rFonts w:ascii="宋体"/>
          <w:b/>
          <w:color w:val="auto"/>
          <w:sz w:val="28"/>
          <w:szCs w:val="28"/>
          <w:highlight w:val="none"/>
        </w:rPr>
        <w:t xml:space="preserve">-----------------------------------</w:t>
      </w:r>
      <w:r>
        <w:rPr>
          <w:rFonts w:hint="eastAsia" w:ascii="宋体" w:hAnsi="宋体"/>
          <w:b/>
          <w:color w:val="auto"/>
          <w:sz w:val="28"/>
          <w:szCs w:val="28"/>
          <w:highlight w:val="none"/>
        </w:rPr>
        <w:t xml:space="preserve">（3）</w:t>
      </w:r>
      <w:r>
        <w:rPr>
          <w:color w:val="auto"/>
        </w:rPr>
      </w:r>
      <w:r/>
    </w:p>
    <w:p>
      <w:pPr>
        <w:pStyle w:val="895"/>
        <w:ind w:firstLine="420"/>
        <w:spacing w:line="720" w:lineRule="auto"/>
        <w:rPr>
          <w:rFonts w:ascii="宋体"/>
          <w:b/>
          <w:color w:val="auto"/>
          <w:sz w:val="28"/>
          <w:szCs w:val="28"/>
          <w:highlight w:val="none"/>
        </w:rPr>
      </w:pPr>
      <w:r>
        <w:rPr>
          <w:rFonts w:hint="eastAsia" w:ascii="宋体" w:hAnsi="宋体"/>
          <w:b/>
          <w:color w:val="auto"/>
          <w:sz w:val="28"/>
          <w:szCs w:val="28"/>
          <w:highlight w:val="none"/>
        </w:rPr>
        <w:t xml:space="preserve">二．投标供应商须知</w:t>
      </w:r>
      <w:r>
        <w:rPr>
          <w:rFonts w:ascii="宋体"/>
          <w:b/>
          <w:color w:val="auto"/>
          <w:sz w:val="28"/>
          <w:szCs w:val="28"/>
          <w:highlight w:val="none"/>
        </w:rPr>
        <w:t xml:space="preserve">-------------------------------</w:t>
      </w:r>
      <w:r>
        <w:rPr>
          <w:rFonts w:hint="eastAsia" w:ascii="宋体" w:hAnsi="宋体"/>
          <w:b/>
          <w:color w:val="auto"/>
          <w:sz w:val="28"/>
          <w:szCs w:val="28"/>
          <w:highlight w:val="none"/>
        </w:rPr>
        <w:t xml:space="preserve">（6）</w:t>
      </w:r>
      <w:r>
        <w:rPr>
          <w:color w:val="auto"/>
        </w:rPr>
      </w:r>
      <w:r/>
    </w:p>
    <w:p>
      <w:pPr>
        <w:pStyle w:val="895"/>
        <w:ind w:firstLine="420"/>
        <w:spacing w:line="720" w:lineRule="auto"/>
        <w:rPr>
          <w:rFonts w:ascii="宋体"/>
          <w:b/>
          <w:color w:val="auto"/>
          <w:sz w:val="28"/>
          <w:szCs w:val="28"/>
          <w:highlight w:val="none"/>
        </w:rPr>
      </w:pPr>
      <w:r>
        <w:rPr>
          <w:rFonts w:hint="eastAsia" w:ascii="宋体" w:hAnsi="宋体"/>
          <w:b/>
          <w:color w:val="auto"/>
          <w:sz w:val="28"/>
          <w:szCs w:val="28"/>
          <w:highlight w:val="none"/>
        </w:rPr>
        <w:t xml:space="preserve">三．项目技术要求和有关说明</w:t>
      </w:r>
      <w:r>
        <w:rPr>
          <w:rFonts w:ascii="宋体"/>
          <w:b/>
          <w:color w:val="auto"/>
          <w:sz w:val="28"/>
          <w:szCs w:val="28"/>
          <w:highlight w:val="none"/>
        </w:rPr>
        <w:t xml:space="preserve">----------------------</w:t>
      </w:r>
      <w:r>
        <w:rPr>
          <w:rFonts w:hint="eastAsia" w:ascii="宋体" w:hAnsi="宋体"/>
          <w:b/>
          <w:color w:val="auto"/>
          <w:sz w:val="28"/>
          <w:szCs w:val="28"/>
          <w:highlight w:val="none"/>
        </w:rPr>
        <w:t xml:space="preserve">（15）</w:t>
      </w:r>
      <w:r>
        <w:rPr>
          <w:color w:val="auto"/>
        </w:rPr>
      </w:r>
      <w:r/>
    </w:p>
    <w:p>
      <w:pPr>
        <w:pStyle w:val="895"/>
        <w:ind w:firstLine="420"/>
        <w:spacing w:line="720" w:lineRule="auto"/>
        <w:rPr>
          <w:rFonts w:ascii="宋体"/>
          <w:b/>
          <w:color w:val="auto"/>
          <w:sz w:val="28"/>
          <w:szCs w:val="28"/>
          <w:highlight w:val="none"/>
        </w:rPr>
      </w:pPr>
      <w:r>
        <w:rPr>
          <w:rFonts w:hint="eastAsia" w:ascii="宋体" w:hAnsi="宋体"/>
          <w:b/>
          <w:color w:val="auto"/>
          <w:sz w:val="28"/>
          <w:szCs w:val="28"/>
          <w:highlight w:val="none"/>
        </w:rPr>
        <w:t xml:space="preserve">四</w:t>
      </w:r>
      <w:r>
        <w:rPr>
          <w:rFonts w:ascii="宋体" w:hAnsi="宋体"/>
          <w:b/>
          <w:color w:val="auto"/>
          <w:sz w:val="28"/>
          <w:szCs w:val="28"/>
          <w:highlight w:val="none"/>
        </w:rPr>
        <w:t xml:space="preserve">. </w:t>
      </w:r>
      <w:r>
        <w:rPr>
          <w:rFonts w:hint="eastAsia" w:ascii="宋体" w:hAnsi="宋体"/>
          <w:b/>
          <w:color w:val="auto"/>
          <w:sz w:val="28"/>
          <w:szCs w:val="28"/>
          <w:highlight w:val="none"/>
        </w:rPr>
        <w:t xml:space="preserve">合同书（格式文本）</w:t>
      </w:r>
      <w:r>
        <w:rPr>
          <w:rFonts w:ascii="宋体"/>
          <w:b/>
          <w:color w:val="auto"/>
          <w:sz w:val="28"/>
          <w:szCs w:val="28"/>
          <w:highlight w:val="none"/>
        </w:rPr>
        <w:t xml:space="preserve">--------------------------</w:t>
      </w:r>
      <w:r>
        <w:rPr>
          <w:rFonts w:hint="eastAsia" w:ascii="宋体" w:hAnsi="宋体"/>
          <w:b/>
          <w:color w:val="auto"/>
          <w:sz w:val="28"/>
          <w:szCs w:val="28"/>
          <w:highlight w:val="none"/>
        </w:rPr>
        <w:t xml:space="preserve">（27）</w:t>
      </w:r>
      <w:r>
        <w:rPr>
          <w:color w:val="auto"/>
        </w:rPr>
      </w:r>
      <w:r/>
    </w:p>
    <w:p>
      <w:pPr>
        <w:pStyle w:val="895"/>
        <w:ind w:firstLine="420"/>
        <w:spacing w:line="720" w:lineRule="auto"/>
        <w:rPr>
          <w:rFonts w:ascii="宋体" w:hAnsi="宋体"/>
          <w:b/>
          <w:color w:val="auto"/>
          <w:sz w:val="28"/>
          <w:szCs w:val="28"/>
          <w:highlight w:val="none"/>
        </w:rPr>
      </w:pPr>
      <w:r>
        <w:rPr>
          <w:rFonts w:hint="eastAsia" w:ascii="宋体" w:hAnsi="宋体"/>
          <w:b/>
          <w:color w:val="auto"/>
          <w:sz w:val="28"/>
          <w:szCs w:val="28"/>
          <w:highlight w:val="none"/>
        </w:rPr>
        <w:t xml:space="preserve">五</w:t>
      </w:r>
      <w:r>
        <w:rPr>
          <w:rFonts w:hint="eastAsia" w:ascii="宋体" w:hAnsi="宋体"/>
          <w:b/>
          <w:color w:val="auto"/>
          <w:sz w:val="28"/>
          <w:szCs w:val="28"/>
          <w:highlight w:val="none"/>
        </w:rPr>
        <w:t xml:space="preserve">. 附件</w:t>
      </w:r>
      <w:r>
        <w:rPr>
          <w:rFonts w:ascii="宋体"/>
          <w:b/>
          <w:color w:val="auto"/>
          <w:sz w:val="28"/>
          <w:szCs w:val="28"/>
          <w:highlight w:val="none"/>
        </w:rPr>
        <w:t xml:space="preserve">----------------------------------------</w:t>
      </w:r>
      <w:r>
        <w:rPr>
          <w:rFonts w:hint="eastAsia" w:ascii="宋体" w:hAnsi="宋体"/>
          <w:b/>
          <w:color w:val="auto"/>
          <w:sz w:val="28"/>
          <w:szCs w:val="28"/>
          <w:highlight w:val="none"/>
        </w:rPr>
        <w:t xml:space="preserve">（35）</w:t>
      </w:r>
      <w:r>
        <w:rPr>
          <w:color w:val="auto"/>
        </w:rPr>
      </w:r>
      <w:r/>
    </w:p>
    <w:p>
      <w:pPr>
        <w:pStyle w:val="895"/>
        <w:spacing w:line="720" w:lineRule="auto"/>
        <w:rPr>
          <w:rFonts w:ascii="宋体"/>
          <w:bCs/>
          <w:color w:val="auto"/>
          <w:sz w:val="28"/>
          <w:szCs w:val="28"/>
          <w:highlight w:val="none"/>
        </w:rPr>
      </w:pPr>
      <w:r>
        <w:rPr>
          <w:rFonts w:ascii="宋体"/>
          <w:bCs/>
          <w:color w:val="auto"/>
          <w:sz w:val="28"/>
          <w:szCs w:val="28"/>
          <w:highlight w:val="none"/>
        </w:rPr>
        <w:t xml:space="preserve"> </w:t>
      </w:r>
      <w:r>
        <w:rPr>
          <w:color w:val="auto"/>
        </w:rPr>
      </w:r>
      <w:r/>
    </w:p>
    <w:p>
      <w:pPr>
        <w:pStyle w:val="895"/>
        <w:spacing w:line="720" w:lineRule="auto"/>
        <w:rPr>
          <w:rFonts w:ascii="宋体"/>
          <w:bCs/>
          <w:color w:val="auto"/>
          <w:sz w:val="30"/>
          <w:highlight w:val="none"/>
        </w:rPr>
      </w:pPr>
      <w:r>
        <w:rPr>
          <w:rFonts w:ascii="宋体"/>
          <w:bCs/>
          <w:color w:val="auto"/>
          <w:sz w:val="30"/>
          <w:highlight w:val="none"/>
        </w:rPr>
      </w:r>
      <w:r>
        <w:rPr>
          <w:color w:val="auto"/>
        </w:rPr>
      </w:r>
      <w:r/>
    </w:p>
    <w:p>
      <w:pPr>
        <w:pStyle w:val="895"/>
        <w:spacing w:line="480" w:lineRule="auto"/>
        <w:rPr>
          <w:rFonts w:ascii="宋体"/>
          <w:bCs/>
          <w:color w:val="auto"/>
          <w:sz w:val="30"/>
          <w:highlight w:val="none"/>
        </w:rPr>
      </w:pPr>
      <w:r>
        <w:rPr>
          <w:rFonts w:ascii="宋体"/>
          <w:bCs/>
          <w:color w:val="auto"/>
          <w:sz w:val="30"/>
          <w:highlight w:val="none"/>
        </w:rPr>
      </w:r>
      <w:r>
        <w:rPr>
          <w:color w:val="auto"/>
        </w:rPr>
      </w:r>
      <w:r/>
    </w:p>
    <w:p>
      <w:pPr>
        <w:pStyle w:val="895"/>
        <w:rPr>
          <w:rFonts w:ascii="宋体"/>
          <w:bCs/>
          <w:color w:val="auto"/>
          <w:sz w:val="28"/>
          <w:highlight w:val="none"/>
        </w:rPr>
      </w:pPr>
      <w:r>
        <w:rPr>
          <w:rFonts w:ascii="宋体"/>
          <w:bCs/>
          <w:color w:val="auto"/>
          <w:sz w:val="28"/>
          <w:highlight w:val="none"/>
        </w:rPr>
      </w:r>
      <w:r>
        <w:rPr>
          <w:color w:val="auto"/>
        </w:rPr>
      </w:r>
      <w:r/>
    </w:p>
    <w:p>
      <w:pPr>
        <w:pStyle w:val="895"/>
        <w:rPr>
          <w:rFonts w:ascii="宋体"/>
          <w:bCs/>
          <w:color w:val="auto"/>
          <w:sz w:val="28"/>
          <w:highlight w:val="none"/>
        </w:rPr>
      </w:pPr>
      <w:r>
        <w:rPr>
          <w:rFonts w:ascii="宋体"/>
          <w:bCs/>
          <w:color w:val="auto"/>
          <w:sz w:val="28"/>
          <w:highlight w:val="none"/>
        </w:rPr>
      </w:r>
      <w:r>
        <w:rPr>
          <w:color w:val="auto"/>
        </w:rPr>
      </w:r>
      <w:r/>
    </w:p>
    <w:p>
      <w:pPr>
        <w:pStyle w:val="895"/>
        <w:rPr>
          <w:rFonts w:ascii="宋体"/>
          <w:bCs/>
          <w:color w:val="auto"/>
          <w:sz w:val="28"/>
          <w:highlight w:val="none"/>
        </w:rPr>
      </w:pPr>
      <w:r>
        <w:rPr>
          <w:rFonts w:ascii="宋体"/>
          <w:bCs/>
          <w:color w:val="auto"/>
          <w:sz w:val="28"/>
          <w:highlight w:val="none"/>
        </w:rPr>
      </w:r>
      <w:r>
        <w:rPr>
          <w:color w:val="auto"/>
        </w:rPr>
      </w:r>
      <w:r/>
    </w:p>
    <w:p>
      <w:pPr>
        <w:pStyle w:val="895"/>
        <w:rPr>
          <w:rFonts w:ascii="宋体"/>
          <w:bCs/>
          <w:color w:val="auto"/>
          <w:sz w:val="28"/>
          <w:highlight w:val="none"/>
        </w:rPr>
      </w:pPr>
      <w:r>
        <w:rPr>
          <w:rFonts w:ascii="宋体"/>
          <w:bCs/>
          <w:color w:val="auto"/>
          <w:sz w:val="28"/>
          <w:highlight w:val="none"/>
        </w:rPr>
      </w:r>
      <w:r>
        <w:rPr>
          <w:color w:val="auto"/>
        </w:rPr>
      </w:r>
      <w:r/>
    </w:p>
    <w:p>
      <w:pPr>
        <w:pStyle w:val="895"/>
        <w:rPr>
          <w:rFonts w:ascii="宋体"/>
          <w:bCs/>
          <w:color w:val="auto"/>
          <w:sz w:val="28"/>
          <w:highlight w:val="none"/>
        </w:rPr>
      </w:pPr>
      <w:r>
        <w:rPr>
          <w:rFonts w:ascii="宋体"/>
          <w:bCs/>
          <w:color w:val="auto"/>
          <w:sz w:val="28"/>
          <w:highlight w:val="none"/>
        </w:rPr>
      </w:r>
      <w:r>
        <w:rPr>
          <w:color w:val="auto"/>
        </w:rPr>
      </w:r>
      <w:r/>
    </w:p>
    <w:p>
      <w:pPr>
        <w:pStyle w:val="895"/>
        <w:rPr>
          <w:rFonts w:ascii="宋体"/>
          <w:bCs/>
          <w:color w:val="auto"/>
          <w:sz w:val="32"/>
          <w:highlight w:val="none"/>
        </w:rPr>
      </w:pPr>
      <w:r>
        <w:rPr>
          <w:rFonts w:ascii="宋体"/>
          <w:bCs/>
          <w:color w:val="auto"/>
          <w:sz w:val="32"/>
          <w:highlight w:val="none"/>
        </w:rPr>
      </w:r>
      <w:r>
        <w:rPr>
          <w:color w:val="auto"/>
        </w:rPr>
      </w:r>
      <w:r/>
    </w:p>
    <w:p>
      <w:pPr>
        <w:rPr>
          <w:rFonts w:ascii="宋体"/>
          <w:color w:val="auto"/>
          <w:sz w:val="32"/>
          <w:szCs w:val="32"/>
          <w:highlight w:val="none"/>
        </w:rPr>
      </w:pPr>
      <w:r>
        <w:rPr>
          <w:rFonts w:ascii="宋体"/>
          <w:bCs/>
          <w:color w:val="auto"/>
          <w:sz w:val="32"/>
          <w:highlight w:val="none"/>
        </w:rPr>
      </w:r>
      <w:r>
        <w:rPr>
          <w:color w:val="auto"/>
        </w:rPr>
      </w:r>
      <w:r/>
    </w:p>
    <w:p>
      <w:pPr>
        <w:rPr>
          <w:rFonts w:ascii="宋体"/>
          <w:color w:val="auto"/>
          <w:sz w:val="32"/>
          <w:szCs w:val="32"/>
          <w:highlight w:val="none"/>
        </w:rPr>
      </w:pPr>
      <w:r>
        <w:rPr>
          <w:rFonts w:ascii="宋体"/>
          <w:color w:val="auto"/>
          <w:sz w:val="32"/>
          <w:szCs w:val="32"/>
          <w:highlight w:val="none"/>
        </w:rPr>
      </w:r>
      <w:r>
        <w:rPr>
          <w:color w:val="auto"/>
        </w:rPr>
      </w:r>
      <w:r/>
    </w:p>
    <w:p>
      <w:pPr>
        <w:pStyle w:val="895"/>
        <w:rPr>
          <w:rFonts w:ascii="宋体"/>
          <w:color w:val="auto"/>
          <w:sz w:val="32"/>
          <w:szCs w:val="32"/>
          <w:highlight w:val="none"/>
        </w:rPr>
      </w:pPr>
      <w:r>
        <w:rPr>
          <w:rFonts w:ascii="宋体"/>
          <w:bCs/>
          <w:color w:val="auto"/>
          <w:sz w:val="32"/>
          <w:highlight w:val="none"/>
        </w:rPr>
      </w:r>
      <w:r>
        <w:rPr>
          <w:color w:val="auto"/>
        </w:rPr>
      </w:r>
      <w:r/>
    </w:p>
    <w:p>
      <w:pPr>
        <w:jc w:val="center"/>
        <w:spacing w:line="360" w:lineRule="auto"/>
        <w:rPr>
          <w:rFonts w:ascii="黑体" w:eastAsia="黑体"/>
          <w:color w:val="auto"/>
          <w:sz w:val="28"/>
          <w:szCs w:val="28"/>
          <w:highlight w:val="none"/>
        </w:rPr>
      </w:pPr>
      <w:r>
        <w:rPr>
          <w:rFonts w:hint="eastAsia" w:ascii="黑体" w:eastAsia="黑体"/>
          <w:bCs/>
          <w:color w:val="auto"/>
          <w:sz w:val="28"/>
          <w:szCs w:val="28"/>
          <w:highlight w:val="none"/>
        </w:rPr>
      </w:r>
      <w:r>
        <w:rPr>
          <w:color w:val="auto"/>
        </w:rPr>
      </w:r>
      <w:r/>
    </w:p>
    <w:p>
      <w:pPr>
        <w:pStyle w:val="895"/>
        <w:jc w:val="center"/>
        <w:spacing w:line="360" w:lineRule="auto"/>
        <w:rPr>
          <w:rFonts w:hint="eastAsia" w:ascii="黑体" w:eastAsia="黑体"/>
          <w:color w:val="auto"/>
          <w:sz w:val="28"/>
          <w:szCs w:val="28"/>
          <w:highlight w:val="none"/>
        </w:rPr>
      </w:pPr>
      <w:r>
        <w:rPr>
          <w:color w:val="auto"/>
        </w:rPr>
      </w:r>
      <w:bookmarkStart w:id="0" w:name="报价方须知前附表"/>
      <w:r>
        <w:rPr>
          <w:color w:val="auto"/>
        </w:rPr>
      </w:r>
      <w:bookmarkEnd w:id="0"/>
      <w:r>
        <w:rPr>
          <w:rFonts w:hint="eastAsia" w:ascii="黑体" w:eastAsia="黑体"/>
          <w:bCs/>
          <w:color w:val="auto"/>
          <w:sz w:val="28"/>
          <w:szCs w:val="28"/>
          <w:highlight w:val="none"/>
        </w:rPr>
        <w:t xml:space="preserve">一．投标邀请函</w:t>
      </w:r>
      <w:r>
        <w:rPr>
          <w:color w:val="auto"/>
        </w:rPr>
      </w:r>
      <w:r/>
    </w:p>
    <w:p>
      <w:pPr>
        <w:pStyle w:val="895"/>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钱桥东片绿化养护项目</w:t>
      </w:r>
      <w:r>
        <w:rPr>
          <w:rFonts w:hint="eastAsia" w:ascii="宋体" w:hAnsi="宋体"/>
          <w:bCs/>
          <w:color w:val="auto"/>
          <w:sz w:val="24"/>
          <w:szCs w:val="24"/>
          <w:highlight w:val="none"/>
        </w:rPr>
        <w:t xml:space="preserve">进行公开招标采购，欢迎符合相关条件的供应商参加投标并请注意下列相关事项：</w:t>
      </w:r>
      <w:r>
        <w:rPr>
          <w:color w:val="auto"/>
        </w:rPr>
      </w:r>
      <w:r/>
    </w:p>
    <w:p>
      <w:pPr>
        <w:pStyle w:val="895"/>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rPr>
          <w:color w:val="auto"/>
        </w:rPr>
      </w:r>
      <w:r/>
    </w:p>
    <w:p>
      <w:pPr>
        <w:pStyle w:val="895"/>
        <w:ind w:firstLine="480"/>
        <w:jc w:val="left"/>
        <w:spacing w:line="360" w:lineRule="auto"/>
        <w:widowControl/>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1.项目名称：</w:t>
      </w:r>
      <w:r>
        <w:rPr>
          <w:rFonts w:hint="eastAsia" w:ascii="宋体" w:hAnsi="宋体"/>
          <w:color w:val="auto"/>
          <w:sz w:val="24"/>
          <w:szCs w:val="24"/>
          <w:highlight w:val="none"/>
          <w:lang w:eastAsia="zh-CN"/>
        </w:rPr>
        <w:t xml:space="preserve">钱桥东片绿化养护项目</w:t>
      </w:r>
      <w:r>
        <w:rPr>
          <w:color w:val="auto"/>
        </w:rPr>
      </w:r>
      <w:r/>
    </w:p>
    <w:p>
      <w:pPr>
        <w:pStyle w:val="895"/>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2.项目编号：</w:t>
      </w:r>
      <w:r>
        <w:rPr>
          <w:rFonts w:hint="eastAsia" w:ascii="宋体" w:hAnsi="宋体"/>
          <w:color w:val="auto"/>
          <w:sz w:val="24"/>
          <w:szCs w:val="24"/>
          <w:highlight w:val="none"/>
          <w:lang w:eastAsia="zh-CN"/>
        </w:rPr>
        <w:t xml:space="preserve">JSZC-320206-JSZH-G2024-0031</w:t>
      </w:r>
      <w:r>
        <w:rPr>
          <w:rFonts w:hint="eastAsia" w:ascii="宋体" w:hAnsi="宋体"/>
          <w:color w:val="auto"/>
          <w:sz w:val="24"/>
          <w:szCs w:val="24"/>
          <w:highlight w:val="none"/>
        </w:rPr>
        <w:t xml:space="preserve"> </w:t>
      </w:r>
      <w:r>
        <w:rPr>
          <w:color w:val="auto"/>
        </w:rPr>
      </w:r>
      <w:r/>
    </w:p>
    <w:p>
      <w:pPr>
        <w:pStyle w:val="895"/>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养护期限</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2年（合同签定生效之日起）。合同一年一签，每个合同周期内，中标供应商必须严格遵守采购人的考核标准，如考核评价未达到采购人要求，采购人有权无条件单方面终止合同。</w:t>
      </w:r>
      <w:r>
        <w:rPr>
          <w:rFonts w:ascii="宋体" w:hAnsi="宋体"/>
          <w:color w:val="auto"/>
          <w:sz w:val="24"/>
          <w:szCs w:val="24"/>
          <w:highlight w:val="none"/>
        </w:rPr>
        <w:tab/>
      </w:r>
      <w:r>
        <w:rPr>
          <w:color w:val="auto"/>
        </w:rPr>
      </w:r>
      <w:r/>
    </w:p>
    <w:p>
      <w:pPr>
        <w:pStyle w:val="895"/>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4.项目预算：</w:t>
      </w:r>
      <w:r>
        <w:rPr>
          <w:rFonts w:hint="eastAsia" w:ascii="宋体" w:hAnsi="宋体"/>
          <w:color w:val="auto"/>
          <w:sz w:val="24"/>
          <w:szCs w:val="24"/>
          <w:highlight w:val="none"/>
          <w:lang w:val="en-US" w:eastAsia="zh-CN"/>
        </w:rPr>
        <w:t xml:space="preserve">6771800</w:t>
      </w:r>
      <w:r>
        <w:rPr>
          <w:rFonts w:hint="eastAsia" w:ascii="宋体" w:hAnsi="宋体"/>
          <w:color w:val="auto"/>
          <w:sz w:val="24"/>
          <w:szCs w:val="24"/>
          <w:highlight w:val="none"/>
        </w:rPr>
        <w:t xml:space="preserve">元</w:t>
      </w:r>
      <w:r>
        <w:rPr>
          <w:color w:val="auto"/>
        </w:rPr>
      </w:r>
      <w:r/>
    </w:p>
    <w:p>
      <w:pPr>
        <w:pStyle w:val="895"/>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5.项目最高限价：</w:t>
      </w:r>
      <w:r>
        <w:rPr>
          <w:rFonts w:hint="eastAsia" w:ascii="宋体" w:hAnsi="宋体"/>
          <w:color w:val="auto"/>
          <w:sz w:val="24"/>
          <w:szCs w:val="24"/>
          <w:highlight w:val="none"/>
          <w:lang w:eastAsia="zh-CN"/>
        </w:rPr>
        <w:t xml:space="preserve">6736700.9</w:t>
      </w:r>
      <w:r>
        <w:rPr>
          <w:rFonts w:hint="eastAsia" w:ascii="宋体" w:hAnsi="宋体"/>
          <w:color w:val="auto"/>
          <w:sz w:val="24"/>
          <w:szCs w:val="24"/>
          <w:highlight w:val="none"/>
        </w:rPr>
        <w:t xml:space="preserve">元</w:t>
      </w:r>
      <w:r>
        <w:rPr>
          <w:color w:val="auto"/>
        </w:rPr>
      </w:r>
      <w:r/>
    </w:p>
    <w:p>
      <w:pPr>
        <w:pStyle w:val="895"/>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6.采购方式：公开招标</w:t>
      </w:r>
      <w:r>
        <w:rPr>
          <w:color w:val="auto"/>
        </w:rPr>
      </w:r>
      <w:r/>
    </w:p>
    <w:p>
      <w:pPr>
        <w:pStyle w:val="895"/>
        <w:ind w:firstLine="480"/>
        <w:jc w:val="left"/>
        <w:spacing w:line="360" w:lineRule="auto"/>
        <w:widowControl/>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8.采购人：</w:t>
      </w:r>
      <w:r>
        <w:rPr>
          <w:rFonts w:hint="eastAsia" w:ascii="宋体" w:hAnsi="宋体"/>
          <w:color w:val="auto"/>
          <w:sz w:val="24"/>
          <w:szCs w:val="24"/>
          <w:highlight w:val="none"/>
          <w:lang w:eastAsia="zh-CN"/>
        </w:rPr>
        <w:t xml:space="preserve">无锡市惠山区钱桥街道办事处</w:t>
      </w:r>
      <w:r>
        <w:rPr>
          <w:color w:val="auto"/>
        </w:rPr>
      </w:r>
      <w:r/>
    </w:p>
    <w:p>
      <w:pPr>
        <w:pStyle w:val="895"/>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8.本项目标的所属行业：其他未列明行业</w:t>
      </w:r>
      <w:r>
        <w:rPr>
          <w:rFonts w:hint="eastAsia" w:ascii="宋体" w:hAnsi="宋体"/>
          <w:color w:val="auto"/>
          <w:sz w:val="24"/>
          <w:szCs w:val="24"/>
          <w:highlight w:val="none"/>
          <w:lang w:eastAsia="zh-CN"/>
        </w:rPr>
        <w:t xml:space="preserve">。</w:t>
      </w:r>
      <w:r>
        <w:rPr>
          <w:rFonts w:hint="eastAsia" w:hAnsi="宋体" w:cs="宋体"/>
          <w:bCs/>
          <w:color w:val="auto"/>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olor w:val="auto"/>
          <w:sz w:val="24"/>
          <w:szCs w:val="24"/>
          <w:highlight w:val="none"/>
        </w:rPr>
        <w:t xml:space="preserve">；</w:t>
      </w:r>
      <w:r>
        <w:rPr>
          <w:color w:val="auto"/>
        </w:rPr>
      </w:r>
      <w:r/>
    </w:p>
    <w:p>
      <w:pPr>
        <w:pStyle w:val="895"/>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9.本项目是否专门面向中小企业：是。</w:t>
      </w:r>
      <w:r>
        <w:rPr>
          <w:color w:val="auto"/>
        </w:rPr>
      </w:r>
      <w:r/>
    </w:p>
    <w:p>
      <w:pPr>
        <w:pStyle w:val="895"/>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（二）投标供应商资格要求</w:t>
      </w:r>
      <w:r>
        <w:rPr>
          <w:color w:val="auto"/>
        </w:rPr>
      </w:r>
      <w:r/>
    </w:p>
    <w:p>
      <w:pPr>
        <w:pStyle w:val="895"/>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1.具备《中华人民共和国政府采购法》第二十二条规定的条件；</w:t>
      </w:r>
      <w:r>
        <w:rPr>
          <w:color w:val="auto"/>
        </w:rPr>
      </w:r>
      <w:r/>
    </w:p>
    <w:p>
      <w:pPr>
        <w:pStyle w:val="895"/>
        <w:ind w:firstLine="480"/>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u w:val="single"/>
        </w:rPr>
        <w:t xml:space="preserve">本项目专门面向中小企业采购（残疾人福利性单位、监狱企业视同小型、微型企业）</w:t>
      </w:r>
      <w:r>
        <w:rPr>
          <w:rFonts w:hint="eastAsia" w:ascii="宋体" w:hAnsi="宋体" w:cs="宋体"/>
          <w:color w:val="auto"/>
          <w:sz w:val="24"/>
          <w:szCs w:val="24"/>
          <w:highlight w:val="none"/>
        </w:rPr>
        <w:t xml:space="preserve">；</w:t>
      </w:r>
      <w:r>
        <w:rPr>
          <w:color w:val="auto"/>
        </w:rPr>
      </w:r>
      <w:r/>
    </w:p>
    <w:p>
      <w:pPr>
        <w:pStyle w:val="895"/>
        <w:ind w:firstLine="480"/>
        <w:jc w:val="left"/>
        <w:spacing w:line="360" w:lineRule="auto"/>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3.具备采购人根据招标项目的特殊要求规定的以下特定资质：</w:t>
      </w:r>
      <w:r>
        <w:rPr>
          <w:rFonts w:hint="eastAsia" w:ascii="宋体" w:hAnsi="宋体"/>
          <w:color w:val="auto"/>
          <w:sz w:val="24"/>
          <w:szCs w:val="24"/>
          <w:highlight w:val="none"/>
          <w:u w:val="single"/>
        </w:rPr>
        <w:t xml:space="preserve">（1）未被“信用中国”网站（</w:t>
      </w:r>
      <w:r>
        <w:rPr>
          <w:rFonts w:ascii="宋体" w:hAnsi="宋体"/>
          <w:color w:val="auto"/>
          <w:sz w:val="24"/>
          <w:szCs w:val="24"/>
          <w:highlight w:val="none"/>
          <w:u w:val="single"/>
        </w:rPr>
        <w:fldChar w:fldCharType="begin"/>
      </w:r>
      <w:r>
        <w:rPr>
          <w:rFonts w:ascii="宋体" w:hAnsi="宋体"/>
          <w:color w:val="auto"/>
          <w:sz w:val="24"/>
          <w:szCs w:val="24"/>
          <w:highlight w:val="none"/>
          <w:u w:val="single"/>
        </w:rPr>
        <w:instrText xml:space="preserve"> HYPERLINK "http://www.creditchina.gov.cn" </w:instrText>
      </w:r>
      <w:r>
        <w:rPr>
          <w:rFonts w:ascii="宋体" w:hAnsi="宋体"/>
          <w:color w:val="auto"/>
          <w:sz w:val="24"/>
          <w:szCs w:val="24"/>
          <w:highlight w:val="none"/>
          <w:u w:val="single"/>
        </w:rPr>
        <w:fldChar w:fldCharType="separate"/>
      </w:r>
      <w:r>
        <w:rPr>
          <w:rFonts w:hint="eastAsia" w:ascii="宋体" w:hAnsi="宋体"/>
          <w:color w:val="auto"/>
          <w:sz w:val="24"/>
          <w:szCs w:val="24"/>
          <w:highlight w:val="none"/>
          <w:u w:val="single"/>
        </w:rPr>
        <w:t xml:space="preserve">www.creditchina.gov.cn</w:t>
      </w:r>
      <w:r>
        <w:rPr>
          <w:rFonts w:ascii="宋体" w:hAnsi="宋体"/>
          <w:color w:val="auto"/>
          <w:sz w:val="24"/>
          <w:szCs w:val="24"/>
          <w:highlight w:val="none"/>
          <w:u w:val="single"/>
        </w:rPr>
        <w:fldChar w:fldCharType="end"/>
      </w:r>
      <w:r>
        <w:rPr>
          <w:rFonts w:hint="eastAsia" w:ascii="宋体" w:hAnsi="宋体"/>
          <w:color w:val="auto"/>
          <w:sz w:val="24"/>
          <w:szCs w:val="24"/>
          <w:highlight w:val="none"/>
          <w:u w:val="single"/>
        </w:rPr>
        <w:t xml:space="preserve">）、中国政府采购网(www.ccgp.gov.cn)列入失信被执行人、重大税收违法案件当事人名单、政府采购严重违法失信行为记录名单；</w:t>
      </w:r>
      <w:r>
        <w:rPr>
          <w:rFonts w:hint="eastAsia" w:ascii="宋体" w:hAnsi="宋体" w:cs="宋体"/>
          <w:color w:val="auto"/>
          <w:sz w:val="24"/>
          <w:szCs w:val="24"/>
          <w:highlight w:val="none"/>
          <w:u w:val="single"/>
        </w:rPr>
        <w:t xml:space="preserve">（2）不接受联合体投标。</w:t>
      </w:r>
      <w:r>
        <w:rPr>
          <w:color w:val="auto"/>
        </w:rPr>
      </w:r>
      <w:r/>
    </w:p>
    <w:p>
      <w:pPr>
        <w:pStyle w:val="895"/>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rPr>
          <w:color w:val="auto"/>
        </w:rPr>
      </w:r>
      <w:r/>
    </w:p>
    <w:p>
      <w:pPr>
        <w:pStyle w:val="89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w:t>
      </w:r>
      <w:r>
        <w:rPr>
          <w:rFonts w:hint="eastAsia" w:ascii="宋体" w:hAnsi="宋体" w:eastAsia="宋体" w:cs="宋体"/>
          <w:bCs/>
          <w:color w:val="auto"/>
          <w:sz w:val="24"/>
          <w:szCs w:val="24"/>
          <w:highlight w:val="none"/>
          <w:lang w:eastAsia="zh-CN"/>
        </w:rPr>
        <w:t xml:space="preserve">JSZC-320206-JSZH-G2024-0031</w:t>
      </w:r>
      <w:r>
        <w:rPr>
          <w:rFonts w:hint="eastAsia" w:ascii="宋体" w:hAnsi="宋体" w:eastAsia="宋体" w:cs="宋体"/>
          <w:bCs/>
          <w:color w:val="auto"/>
          <w:sz w:val="24"/>
          <w:szCs w:val="24"/>
          <w:highlight w:val="none"/>
        </w:rPr>
        <w:t xml:space="preserve">/login进入注册界面。</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rPr>
          <w:color w:val="auto"/>
        </w:rPr>
      </w:r>
      <w:r/>
    </w:p>
    <w:p>
      <w:pPr>
        <w:pStyle w:val="89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Times New Roman"/>
          <w:color w:val="auto"/>
          <w:sz w:val="24"/>
          <w:szCs w:val="24"/>
          <w:highlight w:val="none"/>
        </w:rPr>
        <w:t xml:space="preserve">完成注册的供应商方可绑定CA，并使用CA登录苏采云平台，参与项目，上传投标文件，进行投标。</w:t>
      </w:r>
      <w:r>
        <w:rPr>
          <w:color w:val="auto"/>
        </w:rPr>
      </w:r>
      <w:r/>
    </w:p>
    <w:p>
      <w:pPr>
        <w:pStyle w:val="895"/>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3.如投标人未按上述要求操作，由此所产生的损失及风险由投标人自行承担。</w:t>
      </w:r>
      <w:r>
        <w:rPr>
          <w:color w:val="auto"/>
        </w:rPr>
      </w:r>
      <w:r/>
    </w:p>
    <w:p>
      <w:pPr>
        <w:pStyle w:val="895"/>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潜在投标人如确定投标，必须在苏采云平台</w:t>
      </w:r>
      <w:r>
        <w:rPr>
          <w:rFonts w:hint="eastAsia" w:ascii="宋体" w:hAnsi="宋体" w:eastAsia="宋体" w:cs="宋体"/>
          <w:bCs/>
          <w:color w:val="auto"/>
          <w:sz w:val="24"/>
          <w:szCs w:val="24"/>
          <w:highlight w:val="none"/>
        </w:rPr>
        <w:t xml:space="preserve">（http://jszfcg.jsczt.cn/</w:t>
      </w:r>
      <w:r>
        <w:rPr>
          <w:rFonts w:hint="eastAsia" w:ascii="宋体" w:hAnsi="宋体" w:eastAsia="宋体" w:cs="宋体"/>
          <w:bCs/>
          <w:color w:val="auto"/>
          <w:sz w:val="24"/>
          <w:szCs w:val="24"/>
          <w:highlight w:val="none"/>
          <w:lang w:eastAsia="zh-CN"/>
        </w:rPr>
        <w:t xml:space="preserve">JSZC-320206-JSZH-G2024-0031</w:t>
      </w:r>
      <w:r>
        <w:rPr>
          <w:rFonts w:hint="eastAsia" w:ascii="宋体" w:hAnsi="宋体" w:eastAsia="宋体" w:cs="宋体"/>
          <w:bCs/>
          <w:color w:val="auto"/>
          <w:sz w:val="24"/>
          <w:szCs w:val="24"/>
          <w:highlight w:val="none"/>
        </w:rPr>
        <w:t xml:space="preserve">/login</w:t>
      </w:r>
      <w:r>
        <w:rPr>
          <w:rFonts w:hint="eastAsia" w:ascii="宋体" w:hAnsi="宋体" w:eastAsia="宋体" w:cs="Times New Roman"/>
          <w:color w:val="auto"/>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auto"/>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color w:val="auto"/>
        </w:rPr>
      </w:r>
      <w:r/>
    </w:p>
    <w:p>
      <w:pPr>
        <w:pStyle w:val="895"/>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rPr>
          <w:color w:val="auto"/>
        </w:rPr>
      </w:r>
      <w:r/>
    </w:p>
    <w:p>
      <w:pPr>
        <w:pStyle w:val="895"/>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日10:00前，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JSZC-320206-JSZH-G2024-0031</w:t>
      </w:r>
      <w:r>
        <w:rPr>
          <w:rFonts w:hint="eastAsia" w:ascii="宋体" w:hAnsi="宋体" w:cs="宋体"/>
          <w:color w:val="auto"/>
          <w:sz w:val="24"/>
          <w:szCs w:val="24"/>
          <w:highlight w:val="none"/>
        </w:rPr>
        <w:t xml:space="preserve"> 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rPr>
          <w:color w:val="auto"/>
        </w:rPr>
      </w:r>
      <w:r/>
    </w:p>
    <w:p>
      <w:pPr>
        <w:pStyle w:val="895"/>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投标截止时间（网上投标截止时间苏采云投标客户端投标）：202</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5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24</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:30，投标截止时间后的投标文件恕不接受</w:t>
      </w:r>
      <w:r>
        <w:rPr>
          <w:rFonts w:hint="eastAsia" w:ascii="宋体" w:hAnsi="宋体" w:eastAsia="宋体" w:cs="Times New Roman"/>
          <w:color w:val="auto"/>
          <w:sz w:val="24"/>
          <w:szCs w:val="24"/>
          <w:highlight w:val="none"/>
          <w:lang w:eastAsia="zh-CN"/>
        </w:rPr>
        <w:t xml:space="preserve">。</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5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24</w:t>
      </w:r>
      <w:r>
        <w:rPr>
          <w:rFonts w:hint="eastAsia" w:ascii="宋体" w:hAnsi="宋体" w:eastAsia="宋体" w:cs="Times New Roman"/>
          <w:color w:val="auto"/>
          <w:sz w:val="24"/>
          <w:szCs w:val="24"/>
          <w:highlight w:val="none"/>
        </w:rPr>
        <w:t xml:space="preserve">日 </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:30。</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Times New Roman"/>
          <w:color w:val="auto"/>
          <w:sz w:val="24"/>
          <w:szCs w:val="24"/>
          <w:highlight w:val="none"/>
        </w:rPr>
        <w:t xml:space="preserve">。</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定标时间：评标结束</w:t>
      </w:r>
      <w:r>
        <w:rPr>
          <w:color w:val="auto"/>
        </w:rPr>
      </w:r>
      <w:r/>
    </w:p>
    <w:p>
      <w:pPr>
        <w:pStyle w:val="895"/>
        <w:ind w:firstLine="480"/>
        <w:jc w:val="left"/>
        <w:spacing w:line="360" w:lineRule="auto"/>
        <w:shd w:val="clear" w:color="auto" w:fill="ffffff"/>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定标地点：</w:t>
      </w:r>
      <w:bookmarkStart w:id="1" w:name="_Toc112006905"/>
      <w:r>
        <w:rPr>
          <w:rFonts w:hint="eastAsia" w:ascii="宋体" w:hAnsi="宋体" w:eastAsia="宋体" w:cs="Times New Roman"/>
          <w:color w:val="auto"/>
          <w:sz w:val="24"/>
          <w:szCs w:val="24"/>
          <w:highlight w:val="none"/>
          <w:lang w:val="en-US" w:eastAsia="zh-CN"/>
        </w:rPr>
        <w:t xml:space="preserve">无锡市公共资源交易中心惠山分中心评标室</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八</w:t>
      </w:r>
      <w:r>
        <w:rPr>
          <w:rFonts w:hint="eastAsia" w:ascii="宋体" w:hAnsi="宋体" w:eastAsia="宋体" w:cs="Times New Roman"/>
          <w:color w:val="auto"/>
          <w:sz w:val="24"/>
          <w:szCs w:val="24"/>
          <w:highlight w:val="none"/>
        </w:rPr>
        <w:t xml:space="preserve">）投标文件份数：</w:t>
      </w:r>
      <w:bookmarkEnd w:id="1"/>
      <w:r>
        <w:rPr>
          <w:rFonts w:hint="eastAsia" w:ascii="宋体" w:hAnsi="宋体" w:eastAsia="宋体" w:cs="Times New Roman"/>
          <w:color w:val="auto"/>
          <w:sz w:val="24"/>
          <w:szCs w:val="24"/>
          <w:highlight w:val="none"/>
        </w:rPr>
        <w:t xml:space="preserve">请按规上传电子响应文件，不接收纸质投标文件。</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九</w:t>
      </w:r>
      <w:r>
        <w:rPr>
          <w:rFonts w:hint="eastAsia" w:ascii="宋体" w:hAnsi="宋体" w:eastAsia="宋体" w:cs="Times New Roman"/>
          <w:color w:val="auto"/>
          <w:sz w:val="24"/>
          <w:szCs w:val="24"/>
          <w:highlight w:val="none"/>
        </w:rPr>
        <w:t xml:space="preserve">）投标有效期：开标之日起90天</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十</w:t>
      </w:r>
      <w:r>
        <w:rPr>
          <w:rFonts w:hint="eastAsia" w:ascii="宋体" w:hAnsi="宋体" w:eastAsia="宋体" w:cs="Times New Roman"/>
          <w:color w:val="auto"/>
          <w:sz w:val="24"/>
          <w:szCs w:val="24"/>
          <w:highlight w:val="none"/>
        </w:rPr>
        <w:t xml:space="preserve">）采购方法：</w:t>
      </w:r>
      <w:r>
        <w:rPr>
          <w:color w:val="auto"/>
        </w:rPr>
      </w:r>
      <w:r/>
    </w:p>
    <w:p>
      <w:pPr>
        <w:pStyle w:val="895"/>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Times New Roman"/>
          <w:color w:val="auto"/>
          <w:sz w:val="24"/>
          <w:szCs w:val="24"/>
          <w:highlight w:val="none"/>
        </w:rPr>
        <w:t xml:space="preserve">”进行招标投标活动，招标、投标、评标和中标结果发布全程电子化。</w:t>
      </w:r>
      <w:r>
        <w:rPr>
          <w:color w:val="auto"/>
        </w:rPr>
      </w:r>
      <w:r/>
    </w:p>
    <w:p>
      <w:pPr>
        <w:pStyle w:val="895"/>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w:t>
      </w:r>
      <w:r>
        <w:rPr>
          <w:rFonts w:hint="eastAsia" w:ascii="黑体" w:hAnsi="黑体" w:eastAsia="黑体"/>
          <w:bCs/>
          <w:color w:val="auto"/>
          <w:sz w:val="24"/>
          <w:szCs w:val="24"/>
          <w:highlight w:val="none"/>
          <w:lang w:val="en-US" w:eastAsia="zh-CN"/>
        </w:rPr>
        <w:t xml:space="preserve">七</w:t>
      </w:r>
      <w:r>
        <w:rPr>
          <w:rFonts w:hint="eastAsia" w:ascii="黑体" w:hAnsi="黑体" w:eastAsia="黑体"/>
          <w:bCs/>
          <w:color w:val="auto"/>
          <w:sz w:val="24"/>
          <w:szCs w:val="24"/>
          <w:highlight w:val="none"/>
        </w:rPr>
        <w:t xml:space="preserve">)其它</w:t>
      </w:r>
      <w:r>
        <w:rPr>
          <w:color w:val="auto"/>
        </w:rPr>
      </w:r>
      <w:r/>
    </w:p>
    <w:p>
      <w:pPr>
        <w:pStyle w:val="98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rPr>
          <w:color w:val="auto"/>
        </w:rPr>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采购人：无锡市惠山区钱桥街道办事处</w:t>
      </w:r>
      <w:r>
        <w:rPr>
          <w:color w:val="auto"/>
        </w:rPr>
      </w:r>
      <w:r/>
    </w:p>
    <w:p>
      <w:pPr>
        <w:pStyle w:val="985"/>
        <w:ind w:firstLine="480"/>
        <w:spacing w:before="0" w:beforeAutospacing="0" w:after="0" w:afterAutospacing="0" w:line="460" w:lineRule="exact"/>
        <w:tabs>
          <w:tab w:val="left" w:pos="0" w:leader="none"/>
        </w:tabs>
        <w:rPr>
          <w:rFonts w:eastAsia="宋体" w:cs="宋体"/>
          <w:color w:val="auto"/>
          <w:highlight w:val="none"/>
        </w:rPr>
      </w:pPr>
      <w:r>
        <w:rPr>
          <w:rFonts w:hint="eastAsia" w:cs="宋体"/>
          <w:color w:val="auto"/>
          <w:highlight w:val="none"/>
          <w:lang w:val="zh-CN"/>
        </w:rPr>
        <w:t xml:space="preserve">联系人：</w:t>
      </w:r>
      <w:r>
        <w:rPr>
          <w:rFonts w:hint="eastAsia" w:cs="宋体"/>
          <w:color w:val="auto"/>
          <w:highlight w:val="none"/>
          <w:lang w:val="en-US" w:eastAsia="zh-CN"/>
        </w:rPr>
        <w:t xml:space="preserve">殷工</w:t>
      </w:r>
      <w:r>
        <w:rPr>
          <w:color w:val="auto"/>
        </w:rPr>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采购代理机构：江苏智汇锡建工程项目管理有限公司</w:t>
      </w:r>
      <w:r>
        <w:rPr>
          <w:color w:val="auto"/>
        </w:rPr>
      </w:r>
      <w:r/>
    </w:p>
    <w:p>
      <w:pPr>
        <w:pStyle w:val="895"/>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代理机构统一社会信用代码：91320214727400523L</w:t>
      </w:r>
      <w:r>
        <w:rPr>
          <w:color w:val="auto"/>
        </w:rPr>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徐丽平、许居磊</w:t>
      </w:r>
      <w:r>
        <w:rPr>
          <w:color w:val="auto"/>
        </w:rPr>
      </w:r>
      <w:r/>
    </w:p>
    <w:p>
      <w:pPr>
        <w:pStyle w:val="98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w:t>
      </w:r>
      <w:r>
        <w:rPr>
          <w:rFonts w:hint="eastAsia" w:cs="宋体"/>
          <w:color w:val="auto"/>
          <w:highlight w:val="none"/>
        </w:rPr>
        <w:t xml:space="preserve">18013775326</w:t>
      </w:r>
      <w:r>
        <w:rPr>
          <w:color w:val="auto"/>
        </w:rPr>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联系地址：无锡市新吴区太湖国际科技园菱湖大道180-8号B栋9楼</w:t>
      </w:r>
      <w:r>
        <w:rPr>
          <w:color w:val="auto"/>
        </w:rPr>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邮政编码：214000</w:t>
      </w:r>
      <w:r>
        <w:rPr>
          <w:color w:val="auto"/>
        </w:rPr>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1141515048@qq.</w:t>
      </w:r>
      <w:r>
        <w:rPr>
          <w:rFonts w:hint="eastAsia" w:cs="宋体"/>
          <w:color w:val="auto"/>
          <w:highlight w:val="none"/>
          <w:lang w:val="zh-CN"/>
        </w:rPr>
        <w:t xml:space="preserve">com </w:t>
      </w:r>
      <w:r>
        <w:rPr>
          <w:color w:val="auto"/>
        </w:rPr>
      </w:r>
      <w:r/>
    </w:p>
    <w:p>
      <w:pPr>
        <w:pStyle w:val="985"/>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二．投标供应商须知</w:t>
      </w:r>
      <w:r>
        <w:rPr>
          <w:color w:val="auto"/>
        </w:rPr>
      </w:r>
      <w:r/>
    </w:p>
    <w:p>
      <w:pPr>
        <w:pStyle w:val="895"/>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rPr>
          <w:color w:val="auto"/>
        </w:rPr>
      </w:r>
      <w:r/>
    </w:p>
    <w:p>
      <w:pPr>
        <w:pStyle w:val="895"/>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rPr>
          <w:color w:val="auto"/>
        </w:rPr>
      </w:r>
      <w:r/>
    </w:p>
    <w:p>
      <w:pPr>
        <w:pStyle w:val="895"/>
        <w:numPr>
          <w:ilvl w:val="0"/>
          <w:numId w:val="4"/>
        </w:numPr>
        <w:spacing w:line="360" w:lineRule="auto"/>
        <w:tabs>
          <w:tab w:val="left" w:pos="1200"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1.招标文件包括本文件目录所列全部内容，投标人应仔细阅读，并在投标文件中充分响应招标文件的所有要求。</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Times New Roman"/>
          <w:color w:val="auto"/>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auto"/>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3.投标人一旦参加本项目投标，即表明承诺接受了本招标文件中的所有条件和规定。</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4.招标文件仅作为本次招投标使用。</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5.招标文件中的“法定代表人”是指投标人的营业执照或相关部门的登记证明文件中的“法定代表人”或“负责人”。</w:t>
      </w:r>
      <w:r>
        <w:rPr>
          <w:color w:val="auto"/>
        </w:rPr>
      </w:r>
      <w:r/>
    </w:p>
    <w:p>
      <w:pPr>
        <w:pStyle w:val="895"/>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rPr>
          <w:color w:val="auto"/>
        </w:rPr>
      </w:r>
      <w:r/>
    </w:p>
    <w:p>
      <w:pPr>
        <w:pStyle w:val="895"/>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rPr>
          <w:color w:val="auto"/>
        </w:rPr>
      </w:r>
      <w:r/>
    </w:p>
    <w:p>
      <w:pPr>
        <w:pStyle w:val="895"/>
        <w:numPr>
          <w:ilvl w:val="0"/>
          <w:numId w:val="4"/>
        </w:numPr>
        <w:spacing w:line="360" w:lineRule="auto"/>
        <w:tabs>
          <w:tab w:val="left" w:pos="945" w:leader="none"/>
          <w:tab w:val="left" w:pos="1200"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rPr>
          <w:color w:val="auto"/>
        </w:rPr>
      </w:r>
      <w:r/>
    </w:p>
    <w:p>
      <w:pPr>
        <w:pStyle w:val="895"/>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rPr>
          <w:color w:val="auto"/>
        </w:rPr>
      </w:r>
      <w:r/>
    </w:p>
    <w:p>
      <w:pPr>
        <w:pStyle w:val="895"/>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无锡政府采购网、江苏政府采购网和中国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全面地关注更正公告导致其提交的投标材料不符合要求，而造成的损失及风险（包括但不限于未中标）由投标供应商自行承担。</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auto"/>
          <w:sz w:val="24"/>
          <w:szCs w:val="24"/>
          <w:highlight w:val="none"/>
          <w:lang w:eastAsia="zh-CN"/>
        </w:rPr>
        <w:t xml:space="preserve">江苏智汇锡建工程项目管理有限公司</w:t>
      </w:r>
      <w:r>
        <w:rPr>
          <w:rFonts w:hint="eastAsia" w:ascii="宋体" w:hAnsi="宋体" w:eastAsia="宋体" w:cs="Times New Roman"/>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bCs/>
          <w:color w:val="auto"/>
          <w:sz w:val="24"/>
          <w:szCs w:val="24"/>
          <w:highlight w:val="none"/>
        </w:rPr>
        <w:t xml:space="preserve">江苏智汇锡建工程项目管理有限公司</w:t>
      </w:r>
      <w:r>
        <w:rPr>
          <w:rFonts w:hint="eastAsia" w:ascii="宋体" w:hAnsi="宋体" w:eastAsia="宋体" w:cs="Times New Roman"/>
          <w:bCs/>
          <w:color w:val="auto"/>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auto"/>
          <w:sz w:val="24"/>
          <w:szCs w:val="24"/>
          <w:highlight w:val="none"/>
          <w:lang w:eastAsia="zh-CN"/>
        </w:rPr>
        <w:t xml:space="preserve">江苏智汇锡建工程项目管理有限公司</w:t>
      </w:r>
      <w:r>
        <w:rPr>
          <w:rFonts w:hint="eastAsia" w:ascii="宋体" w:hAnsi="宋体" w:eastAsia="宋体" w:cs="Times New Roman"/>
          <w:bCs/>
          <w:color w:val="auto"/>
          <w:sz w:val="24"/>
          <w:szCs w:val="24"/>
          <w:highlight w:val="none"/>
        </w:rPr>
        <w:t xml:space="preserve">对无效质疑不予受理。</w:t>
      </w:r>
      <w:r>
        <w:rPr>
          <w:color w:val="auto"/>
        </w:rPr>
      </w:r>
      <w:r/>
    </w:p>
    <w:p>
      <w:pPr>
        <w:pStyle w:val="895"/>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（五）投标文件的组成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rPr>
          <w:color w:val="auto"/>
        </w:rPr>
      </w:r>
      <w:r/>
    </w:p>
    <w:p>
      <w:pPr>
        <w:pStyle w:val="895"/>
        <w:numPr>
          <w:ilvl w:val="0"/>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color w:val="auto"/>
        </w:rPr>
      </w:r>
      <w:r/>
    </w:p>
    <w:p>
      <w:pPr>
        <w:pStyle w:val="895"/>
        <w:numPr>
          <w:ilvl w:val="0"/>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rPr>
          <w:color w:val="auto"/>
        </w:rPr>
      </w:r>
      <w:r/>
    </w:p>
    <w:p>
      <w:pPr>
        <w:pStyle w:val="1017"/>
        <w:numPr>
          <w:ilvl w:val="1"/>
          <w:numId w:val="5"/>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color w:val="auto"/>
        </w:rPr>
      </w:r>
      <w:r/>
    </w:p>
    <w:p>
      <w:pPr>
        <w:pStyle w:val="1017"/>
        <w:numPr>
          <w:ilvl w:val="1"/>
          <w:numId w:val="5"/>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w:t>
      </w:r>
      <w:r>
        <w:rPr>
          <w:rFonts w:hint="eastAsia" w:ascii="宋体" w:hAnsi="宋体"/>
          <w:bCs/>
          <w:color w:val="auto"/>
          <w:sz w:val="24"/>
          <w:szCs w:val="24"/>
          <w:highlight w:val="none"/>
          <w:lang w:val="en-US" w:eastAsia="zh-CN"/>
        </w:rPr>
        <w:t xml:space="preserve">扫描</w:t>
      </w:r>
      <w:r>
        <w:rPr>
          <w:rFonts w:hint="eastAsia" w:ascii="宋体" w:hAnsi="宋体"/>
          <w:bCs/>
          <w:color w:val="auto"/>
          <w:sz w:val="24"/>
          <w:szCs w:val="24"/>
          <w:highlight w:val="none"/>
        </w:rPr>
        <w:t xml:space="preserve">件</w:t>
      </w:r>
      <w:r>
        <w:rPr>
          <w:rFonts w:hint="eastAsia" w:ascii="宋体" w:hAnsi="宋体"/>
          <w:bCs/>
          <w:color w:val="auto"/>
          <w:sz w:val="24"/>
          <w:szCs w:val="24"/>
          <w:highlight w:val="none"/>
          <w:lang w:val="en-US" w:eastAsia="zh-CN"/>
        </w:rPr>
        <w:t xml:space="preserve">加盖公章</w:t>
      </w:r>
      <w:r>
        <w:rPr>
          <w:rFonts w:hint="eastAsia" w:ascii="宋体" w:hAnsi="宋体"/>
          <w:bCs/>
          <w:color w:val="auto"/>
          <w:sz w:val="24"/>
          <w:szCs w:val="24"/>
          <w:highlight w:val="none"/>
        </w:rPr>
        <w:t xml:space="preserve">（投标供应商如是</w:t>
      </w:r>
      <w:r>
        <w:rPr>
          <w:rFonts w:hint="eastAsia" w:ascii="宋体" w:hAnsi="宋体" w:cs="宋体"/>
          <w:color w:val="auto"/>
          <w:sz w:val="24"/>
          <w:szCs w:val="24"/>
          <w:highlight w:val="none"/>
        </w:rPr>
        <w:t xml:space="preserve">允许以分支机构身份参加投标的，提供投标供应商分支机构的营业执照复印件</w:t>
      </w:r>
      <w:r>
        <w:rPr>
          <w:rFonts w:hint="eastAsia" w:ascii="宋体" w:hAnsi="宋体"/>
          <w:bCs/>
          <w:color w:val="auto"/>
          <w:sz w:val="24"/>
          <w:szCs w:val="24"/>
          <w:highlight w:val="none"/>
          <w:lang w:val="en-US" w:eastAsia="zh-CN"/>
        </w:rPr>
        <w:t xml:space="preserve">扫描</w:t>
      </w:r>
      <w:r>
        <w:rPr>
          <w:rFonts w:hint="eastAsia" w:ascii="宋体" w:hAnsi="宋体"/>
          <w:bCs/>
          <w:color w:val="auto"/>
          <w:sz w:val="24"/>
          <w:szCs w:val="24"/>
          <w:highlight w:val="none"/>
        </w:rPr>
        <w:t xml:space="preserve">件</w:t>
      </w:r>
      <w:r>
        <w:rPr>
          <w:rFonts w:hint="eastAsia" w:ascii="宋体" w:hAnsi="宋体"/>
          <w:bCs/>
          <w:color w:val="auto"/>
          <w:sz w:val="24"/>
          <w:szCs w:val="24"/>
          <w:highlight w:val="none"/>
        </w:rPr>
        <w:t xml:space="preserve">）；</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如是</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涉及到采购文件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投标供应商法定代表人身份证；</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rPr>
          <w:color w:val="auto"/>
        </w:rPr>
      </w:r>
      <w:r/>
    </w:p>
    <w:p>
      <w:pPr>
        <w:pStyle w:val="895"/>
        <w:numPr>
          <w:ilvl w:val="1"/>
          <w:numId w:val="5"/>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投标供应商连续三个月</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至少包含近三个月中任意一个月份</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不含投标当月</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为其法定代表人授权代表</w:t>
      </w:r>
      <w:r>
        <w:rPr>
          <w:rFonts w:hint="eastAsia" w:ascii="宋体" w:hAnsi="宋体"/>
          <w:bCs/>
          <w:color w:val="auto"/>
          <w:sz w:val="24"/>
          <w:szCs w:val="24"/>
          <w:highlight w:val="none"/>
          <w:lang w:val="en-US" w:eastAsia="zh-CN"/>
        </w:rPr>
        <w:t xml:space="preserve">及项目负责人</w:t>
      </w:r>
      <w:r>
        <w:rPr>
          <w:rFonts w:hint="eastAsia" w:ascii="宋体" w:hAnsi="宋体"/>
          <w:bCs/>
          <w:color w:val="auto"/>
          <w:sz w:val="24"/>
          <w:szCs w:val="24"/>
          <w:highlight w:val="none"/>
        </w:rPr>
        <w:t xml:space="preserve">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不含投标当月</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的财务状况报告（资产负债表和利润表）或由会计师事务所出具的近两年中任意一个年度的审计报告和所附已审财务报告；</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不含投标当月</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的依法缴纳税收的相关材料（提供相关主管部门证明或银行代扣证明）；</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不含投标当月</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rPr>
          <w:color w:val="auto"/>
        </w:rPr>
      </w:r>
      <w:r/>
    </w:p>
    <w:p>
      <w:pPr>
        <w:pStyle w:val="895"/>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color w:val="auto"/>
        </w:rPr>
      </w:r>
      <w:r/>
    </w:p>
    <w:p>
      <w:pPr>
        <w:pStyle w:val="895"/>
        <w:numPr>
          <w:ilvl w:val="1"/>
          <w:numId w:val="5"/>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rPr>
          <w:color w:val="auto"/>
        </w:rPr>
      </w:r>
      <w:r/>
    </w:p>
    <w:p>
      <w:pPr>
        <w:pStyle w:val="895"/>
        <w:numPr>
          <w:ilvl w:val="1"/>
          <w:numId w:val="5"/>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采购人要求的特定资质证明复印件（</w:t>
      </w:r>
      <w:r>
        <w:rPr>
          <w:rFonts w:hint="eastAsia" w:ascii="宋体" w:hAnsi="宋体"/>
          <w:b/>
          <w:bCs/>
          <w:color w:val="auto"/>
          <w:sz w:val="24"/>
          <w:szCs w:val="24"/>
          <w:highlight w:val="none"/>
        </w:rPr>
        <w:t xml:space="preserve">详见“投标邀请函”-“投标供应商资格要求”之3中要求）</w:t>
      </w:r>
      <w:r>
        <w:rPr>
          <w:rFonts w:hint="eastAsia" w:ascii="宋体" w:hAnsi="宋体"/>
          <w:bCs/>
          <w:color w:val="auto"/>
          <w:sz w:val="24"/>
          <w:szCs w:val="24"/>
          <w:highlight w:val="none"/>
        </w:rPr>
        <w:t xml:space="preserve">。</w:t>
      </w:r>
      <w:r>
        <w:rPr>
          <w:color w:val="auto"/>
        </w:rPr>
      </w:r>
      <w:r/>
    </w:p>
    <w:p>
      <w:pPr>
        <w:pStyle w:val="895"/>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投标偏离表</w:t>
      </w:r>
      <w:r>
        <w:rPr>
          <w:rFonts w:hint="eastAsia" w:ascii="宋体" w:hAnsi="宋体" w:cs="宋体"/>
          <w:b/>
          <w:bCs/>
          <w:color w:val="auto"/>
          <w:sz w:val="24"/>
          <w:szCs w:val="24"/>
          <w:highlight w:val="none"/>
        </w:rPr>
        <w:t xml:space="preserve">（格式见附件）</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技术文件</w:t>
      </w:r>
      <w:r>
        <w:rPr>
          <w:rFonts w:hint="eastAsia" w:ascii="宋体" w:hAnsi="宋体" w:cs="宋体"/>
          <w:b/>
          <w:bCs/>
          <w:color w:val="auto"/>
          <w:sz w:val="24"/>
          <w:szCs w:val="24"/>
          <w:highlight w:val="none"/>
        </w:rPr>
        <w:t xml:space="preserve">（格式见附件）</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评分标准中对应的其它所需证明材料（</w:t>
      </w:r>
      <w:r>
        <w:rPr>
          <w:rFonts w:hint="eastAsia" w:ascii="宋体" w:hAnsi="宋体" w:cs="宋体"/>
          <w:b/>
          <w:bCs/>
          <w:color w:val="auto"/>
          <w:sz w:val="24"/>
          <w:szCs w:val="24"/>
          <w:highlight w:val="none"/>
        </w:rPr>
        <w:t xml:space="preserve">如有自行添加</w:t>
      </w:r>
      <w:r>
        <w:rPr>
          <w:rFonts w:hint="eastAsia" w:ascii="宋体" w:hAnsi="宋体" w:cs="宋体"/>
          <w:bCs/>
          <w:color w:val="auto"/>
          <w:sz w:val="24"/>
          <w:szCs w:val="24"/>
          <w:highlight w:val="none"/>
        </w:rPr>
        <w:t xml:space="preserve">）</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rPr>
          <w:color w:val="auto"/>
        </w:rPr>
      </w:r>
      <w:r/>
    </w:p>
    <w:p>
      <w:pPr>
        <w:pStyle w:val="895"/>
        <w:numPr>
          <w:ilvl w:val="0"/>
          <w:numId w:val="5"/>
        </w:numPr>
        <w:ind w:left="1" w:firstLine="523"/>
        <w:spacing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其它（</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rPr>
          <w:color w:val="auto"/>
        </w:rPr>
      </w:r>
      <w:r/>
    </w:p>
    <w:p>
      <w:pPr>
        <w:pStyle w:val="895"/>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7项投标供应商必须按要求全部提供，否则投标文件无效。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如上述资格证明文件遇年检、换证，则必须提供法定年检、换证单位出具的有效证明复印件。如上述资格证明文件第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四项遇有国家相关政策规定可不具备的，必须提供相关政策规定或相关单位出具的有效证明复印件。</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投标供应商法定代表人或法定代表人授权代表为外籍、港、澳、台地区人士的，其身份证明须提供有效的护照或港澳同胞来往内地通行证、台湾同胞来往大陆通行证，或其它可在中国大陆有效居留的许可证明。</w:t>
      </w:r>
      <w:r>
        <w:rPr>
          <w:color w:val="auto"/>
        </w:rPr>
      </w:r>
      <w:r/>
    </w:p>
    <w:p>
      <w:pPr>
        <w:pStyle w:val="895"/>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（六）</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rPr>
          <w:color w:val="auto"/>
        </w:rPr>
      </w:r>
      <w:r/>
    </w:p>
    <w:p>
      <w:pPr>
        <w:pStyle w:val="895"/>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rPr>
          <w:color w:val="auto"/>
        </w:rPr>
      </w:r>
      <w:r/>
    </w:p>
    <w:p>
      <w:pPr>
        <w:pStyle w:val="895"/>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rPr>
          <w:color w:val="auto"/>
        </w:rPr>
      </w:r>
      <w:r/>
    </w:p>
    <w:p>
      <w:pPr>
        <w:pStyle w:val="895"/>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ascii="宋体"/>
          <w:bCs/>
          <w:color w:val="auto"/>
          <w:sz w:val="24"/>
          <w:szCs w:val="24"/>
          <w:highlight w:val="none"/>
        </w:rPr>
        <w:t xml:space="preserve">,</w:t>
      </w:r>
      <w:r>
        <w:rPr>
          <w:rFonts w:hint="eastAsia" w:ascii="宋体" w:hAnsi="宋体"/>
          <w:bCs/>
          <w:color w:val="auto"/>
          <w:sz w:val="24"/>
          <w:szCs w:val="24"/>
          <w:highlight w:val="none"/>
        </w:rPr>
        <w:t xml:space="preserve">结算单位为“元”。</w:t>
      </w:r>
      <w:r>
        <w:rPr>
          <w:color w:val="auto"/>
        </w:rPr>
      </w:r>
      <w:r/>
    </w:p>
    <w:p>
      <w:pPr>
        <w:pStyle w:val="895"/>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（七）网上投标</w:t>
      </w:r>
      <w:r>
        <w:rPr>
          <w:color w:val="auto"/>
        </w:rPr>
      </w:r>
      <w:r/>
    </w:p>
    <w:p>
      <w:pPr>
        <w:pStyle w:val="895"/>
        <w:ind w:firstLine="480"/>
        <w:spacing w:line="360" w:lineRule="auto"/>
        <w:rPr>
          <w:color w:val="auto"/>
          <w:highlight w:val="none"/>
        </w:rPr>
      </w:pPr>
      <w:r>
        <w:rPr>
          <w:rFonts w:hint="eastAsia" w:ascii="宋体" w:hAnsi="宋体" w:eastAsia="宋体" w:cs="Times New Roman"/>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2.投标人应对CA数字证书妥善保管，如被他人盗用投标，后果自负。</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3.投标人按招标文件规定的网上解密时间进行解密，如未按时解密后果自负。</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4.投标人应当对招标文件提出的要求和条件作出实质性响应，并在电子投标系统逐条应答。</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5.投标人应对要求提供的资格证明文件（如资质证书、资格证书）、技术资料（如白皮书、彩页、手册、检测报告等）扫描上传至投标系统。</w:t>
      </w:r>
      <w:r>
        <w:rPr>
          <w:color w:val="auto"/>
        </w:rPr>
      </w:r>
      <w:r/>
    </w:p>
    <w:p>
      <w:pPr>
        <w:pStyle w:val="895"/>
        <w:ind w:left="479" w:firstLine="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6.投标人进行网上投标请参照《政府采购项目电子交易管理操作指南-供应商》。</w:t>
      </w:r>
      <w:r>
        <w:rPr>
          <w:color w:val="auto"/>
        </w:rPr>
      </w:r>
      <w:r/>
    </w:p>
    <w:p>
      <w:pPr>
        <w:pStyle w:val="1007"/>
        <w:ind w:firstLine="482"/>
        <w:spacing w:line="360" w:lineRule="auto"/>
        <w:rPr>
          <w:rFonts w:hint="eastAsia"/>
          <w:color w:val="auto"/>
          <w:highlight w:val="none"/>
        </w:rPr>
      </w:pPr>
      <w:r>
        <w:rPr>
          <w:rFonts w:hint="eastAsia" w:ascii="宋体" w:hAnsi="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（八）无效投标文件的确认：</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电子投标文件未按规定期限投标的；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电子投标文件未按招标文件要求签章的；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投标人未按招标文件要求解密电子投标文件的；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投标人的法定代表人授权代表，无法定代表人授权委托书的；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投标人的法定代表人或被授权代表，未准时参加开标会议的；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被“信用中国”网站（</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HYPERLINK "http://www.creditchina.gov.cn"</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）、中国政府采购网(www.ccgp.gov.cn)列入失信被执行人、重大税收违法案件当事人名单、政府采购严重违法失信行为记录名单的；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投标文件未按招标文件规定的内容和要求填写的；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投标文件书写潦草、字迹模糊不清、无法辨认的；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投标文件中有招标文件未允许提供的选择性内容；</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不同投标人委托同一单位或者个人办理投标事宜的；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12.</w:t>
      </w:r>
      <w:r>
        <w:rPr>
          <w:rFonts w:hint="eastAsia" w:ascii="宋体" w:hAnsi="宋体" w:eastAsia="宋体" w:cs="Times New Roman"/>
          <w:bCs/>
          <w:color w:val="auto"/>
          <w:sz w:val="24"/>
          <w:szCs w:val="24"/>
          <w:highlight w:val="none"/>
        </w:rPr>
        <w:t xml:space="preserve">不同投标人的单位负责人为同一人或者存在直接控股、管理关系的；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13.</w:t>
      </w:r>
      <w:r>
        <w:rPr>
          <w:rFonts w:hint="eastAsia" w:ascii="宋体" w:hAnsi="宋体" w:eastAsia="宋体" w:cs="Times New Roman"/>
          <w:bCs/>
          <w:color w:val="auto"/>
          <w:sz w:val="24"/>
          <w:szCs w:val="24"/>
          <w:highlight w:val="none"/>
        </w:rPr>
        <w:t xml:space="preserve">不同投标人的投标文件存在明显的相似性或一致性，特征显示由同一单位或者同一个人编制的；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14.</w:t>
      </w: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15.</w:t>
      </w: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16.</w:t>
      </w:r>
      <w:r>
        <w:rPr>
          <w:rFonts w:hint="eastAsia" w:ascii="宋体" w:hAnsi="宋体" w:eastAsia="宋体" w:cs="Times New Roman"/>
          <w:bCs/>
          <w:color w:val="auto"/>
          <w:sz w:val="24"/>
          <w:szCs w:val="24"/>
          <w:highlight w:val="none"/>
        </w:rPr>
        <w:t xml:space="preserve">投标人提交两个（含）以上不同的投标报价或项目（标段）投标总价超过本项目（标段）预算或最高限价的；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17.</w:t>
      </w:r>
      <w:r>
        <w:rPr>
          <w:rFonts w:hint="eastAsia" w:ascii="宋体" w:hAnsi="宋体" w:eastAsia="宋体" w:cs="Times New Roman"/>
          <w:bCs/>
          <w:color w:val="auto"/>
          <w:sz w:val="24"/>
          <w:szCs w:val="24"/>
          <w:highlight w:val="none"/>
        </w:rPr>
        <w:t xml:space="preserve">提供虚假材料的（包括工商营业执照、财务报表、资格证明文件等）；</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18.</w:t>
      </w:r>
      <w:r>
        <w:rPr>
          <w:rFonts w:hint="eastAsia" w:ascii="宋体" w:hAnsi="宋体" w:eastAsia="宋体" w:cs="Times New Roman"/>
          <w:bCs/>
          <w:color w:val="auto"/>
          <w:sz w:val="24"/>
          <w:szCs w:val="24"/>
          <w:highlight w:val="none"/>
        </w:rPr>
        <w:t xml:space="preserve">投标文件含有采购人不能接受的附加条件的；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19.</w:t>
      </w:r>
      <w:r>
        <w:rPr>
          <w:rFonts w:hint="eastAsia" w:ascii="宋体" w:hAnsi="宋体" w:eastAsia="宋体" w:cs="Times New Roman"/>
          <w:bCs/>
          <w:color w:val="auto"/>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rPr>
        <w:t xml:space="preserve">投标文件中无技术方案或技术方案编制粗糙、缺漏项较多；</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22.</w:t>
      </w:r>
      <w:r>
        <w:rPr>
          <w:rFonts w:hint="eastAsia" w:ascii="宋体" w:hAnsi="宋体" w:eastAsia="宋体" w:cs="Times New Roman"/>
          <w:bCs/>
          <w:color w:val="auto"/>
          <w:sz w:val="24"/>
          <w:szCs w:val="24"/>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23.</w:t>
      </w:r>
      <w:r>
        <w:rPr>
          <w:rFonts w:hint="eastAsia" w:ascii="宋体" w:hAnsi="宋体" w:eastAsia="宋体" w:cs="Times New Roman"/>
          <w:bCs/>
          <w:color w:val="auto"/>
          <w:sz w:val="24"/>
          <w:szCs w:val="24"/>
          <w:highlight w:val="none"/>
        </w:rPr>
        <w:t xml:space="preserve">投标文件内容不全或不符合招标文件中规定的其它实质性要求的；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24.</w:t>
      </w:r>
      <w:r>
        <w:rPr>
          <w:rFonts w:hint="eastAsia" w:ascii="宋体" w:hAnsi="宋体" w:eastAsia="宋体" w:cs="Times New Roman"/>
          <w:bCs/>
          <w:color w:val="auto"/>
          <w:sz w:val="24"/>
          <w:szCs w:val="24"/>
          <w:highlight w:val="none"/>
        </w:rPr>
        <w:t xml:space="preserve">未按要求提供第三章项目要求和有关说明中须提供的相关证明材料的；</w:t>
      </w:r>
      <w:r>
        <w:rPr>
          <w:color w:val="auto"/>
        </w:rPr>
      </w:r>
      <w:r/>
    </w:p>
    <w:p>
      <w:pPr>
        <w:pStyle w:val="895"/>
        <w:ind w:firstLine="480"/>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.法律法规和招标文件规定的其它无效情形。</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（九）开标、评标：</w:t>
      </w:r>
      <w:r>
        <w:rPr>
          <w:color w:val="auto"/>
        </w:rPr>
      </w:r>
      <w:r/>
    </w:p>
    <w:p>
      <w:pPr>
        <w:pStyle w:val="895"/>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所有投标单位在招标文件规定的时间内解密各自投标文件；</w:t>
      </w:r>
      <w:r>
        <w:rPr>
          <w:color w:val="auto"/>
        </w:rPr>
      </w:r>
      <w:r/>
    </w:p>
    <w:p>
      <w:pPr>
        <w:pStyle w:val="895"/>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2．投标截止时间后参加投标的供应商或解密投标文件的供应商不足三家的，不开标；开标后，所有投标供应商可在线上开标大厅中看到所有投标供应商的投标报价；</w:t>
      </w:r>
      <w:r>
        <w:rPr>
          <w:color w:val="auto"/>
        </w:rPr>
      </w:r>
      <w:r/>
    </w:p>
    <w:p>
      <w:pPr>
        <w:pStyle w:val="895"/>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rPr>
          <w:color w:val="auto"/>
        </w:rPr>
      </w:r>
      <w:r/>
    </w:p>
    <w:p>
      <w:pPr>
        <w:pStyle w:val="895"/>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rPr>
          <w:color w:val="auto"/>
        </w:rPr>
      </w:r>
      <w:r/>
    </w:p>
    <w:p>
      <w:pPr>
        <w:pStyle w:val="895"/>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rPr>
          <w:color w:val="auto"/>
        </w:rPr>
      </w:r>
      <w:r/>
    </w:p>
    <w:p>
      <w:pPr>
        <w:pStyle w:val="895"/>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rPr>
          <w:color w:val="auto"/>
        </w:rPr>
      </w:r>
      <w:r/>
    </w:p>
    <w:p>
      <w:pPr>
        <w:pStyle w:val="895"/>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rPr>
          <w:color w:val="auto"/>
        </w:rPr>
      </w:r>
      <w:r/>
    </w:p>
    <w:p>
      <w:pPr>
        <w:pStyle w:val="895"/>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rPr>
          <w:color w:val="auto"/>
        </w:rPr>
      </w:r>
      <w:r/>
    </w:p>
    <w:p>
      <w:pPr>
        <w:pStyle w:val="895"/>
        <w:numPr>
          <w:ilvl w:val="1"/>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rPr>
          <w:color w:val="auto"/>
        </w:rPr>
      </w:r>
      <w:r/>
    </w:p>
    <w:p>
      <w:pPr>
        <w:pStyle w:val="895"/>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5．投标供应商未参加开标的，视同认可开标结果。</w:t>
      </w:r>
      <w:r>
        <w:rPr>
          <w:color w:val="auto"/>
        </w:rPr>
      </w:r>
      <w:r/>
    </w:p>
    <w:p>
      <w:pPr>
        <w:pStyle w:val="895"/>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rPr>
          <w:color w:val="auto"/>
        </w:rPr>
      </w:r>
      <w:r/>
    </w:p>
    <w:p>
      <w:pPr>
        <w:pStyle w:val="895"/>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rPr>
          <w:color w:val="auto"/>
        </w:rPr>
      </w:r>
      <w:r/>
    </w:p>
    <w:p>
      <w:pPr>
        <w:pStyle w:val="895"/>
        <w:numPr>
          <w:ilvl w:val="0"/>
          <w:numId w:val="7"/>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rPr>
          <w:color w:val="auto"/>
        </w:rPr>
      </w:r>
      <w:r/>
    </w:p>
    <w:p>
      <w:pPr>
        <w:pStyle w:val="895"/>
        <w:numPr>
          <w:ilvl w:val="0"/>
          <w:numId w:val="8"/>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资格性检查。采购人依据法律法规和招标文件的规定，对投标文件中的资格证明、投标（报价）承诺函等进行审查；通过“信用中国”网站（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rPr>
          <w:color w:val="auto"/>
        </w:rPr>
      </w:r>
      <w:r/>
    </w:p>
    <w:p>
      <w:pPr>
        <w:pStyle w:val="895"/>
        <w:numPr>
          <w:ilvl w:val="0"/>
          <w:numId w:val="8"/>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auto"/>
        </w:rPr>
      </w:r>
      <w:r/>
    </w:p>
    <w:p>
      <w:pPr>
        <w:pStyle w:val="895"/>
        <w:numPr>
          <w:ilvl w:val="0"/>
          <w:numId w:val="7"/>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通过政府采购交易管理一体化系统发起询标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rPr>
          <w:color w:val="auto"/>
        </w:rPr>
      </w:r>
      <w:r/>
    </w:p>
    <w:p>
      <w:pPr>
        <w:pStyle w:val="895"/>
        <w:numPr>
          <w:ilvl w:val="0"/>
          <w:numId w:val="7"/>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rPr>
          <w:color w:val="auto"/>
        </w:rPr>
      </w:r>
      <w:r/>
    </w:p>
    <w:p>
      <w:pPr>
        <w:pStyle w:val="895"/>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rPr>
          <w:color w:val="auto"/>
        </w:rPr>
      </w:r>
      <w:r/>
    </w:p>
    <w:p>
      <w:pPr>
        <w:pStyle w:val="895"/>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color w:val="auto"/>
        </w:rPr>
      </w:r>
      <w:r/>
    </w:p>
    <w:p>
      <w:pPr>
        <w:pStyle w:val="895"/>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rPr>
          <w:color w:val="auto"/>
        </w:rPr>
      </w:r>
      <w:r/>
    </w:p>
    <w:p>
      <w:pPr>
        <w:pStyle w:val="895"/>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color w:val="auto"/>
        </w:rPr>
      </w:r>
      <w:r/>
    </w:p>
    <w:p>
      <w:pPr>
        <w:pStyle w:val="895"/>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8．评分标准：详见附件。</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rPr>
          <w:color w:val="auto"/>
        </w:rPr>
      </w:r>
      <w:r/>
    </w:p>
    <w:p>
      <w:pPr>
        <w:pStyle w:val="895"/>
        <w:ind w:firstLine="480"/>
        <w:spacing w:line="470" w:lineRule="exact"/>
        <w:tabs>
          <w:tab w:val="left" w:pos="525" w:leader="none"/>
          <w:tab w:val="left" w:pos="1155" w:leader="none"/>
        </w:tabs>
        <w:rPr>
          <w:rFonts w:hint="eastAsia" w:ascii="宋体" w:hAnsi="宋体"/>
          <w:bCs/>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hint="eastAsia" w:ascii="宋体" w:hAnsi="宋体"/>
          <w:bCs/>
          <w:color w:val="auto"/>
          <w:sz w:val="24"/>
          <w:highlight w:val="none"/>
        </w:rPr>
        <w:t xml:space="preserve">评标委员会根据采购文件规定的评标方法和评标标准进行评审，最终得分最高者将推荐为中标候选人，</w:t>
      </w:r>
      <w:r>
        <w:rPr>
          <w:rFonts w:hint="eastAsia" w:ascii="宋体" w:hAnsi="宋体" w:cs="宋体"/>
          <w:color w:val="auto"/>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江苏智汇锡建工程项目管理有限公司</w:t>
      </w:r>
      <w:r>
        <w:rPr>
          <w:rFonts w:hint="eastAsia" w:ascii="宋体" w:hAnsi="宋体" w:cs="宋体"/>
          <w:color w:val="auto"/>
          <w:sz w:val="24"/>
          <w:highlight w:val="none"/>
        </w:rPr>
        <w:t xml:space="preserve">自中标供应商确定之日起2个工作日内，发出成交通知书并</w:t>
      </w:r>
      <w:r>
        <w:rPr>
          <w:rFonts w:hint="eastAsia" w:ascii="宋体" w:hAnsi="宋体"/>
          <w:bCs/>
          <w:color w:val="auto"/>
          <w:sz w:val="24"/>
          <w:highlight w:val="none"/>
        </w:rPr>
        <w:t xml:space="preserve">在财政部门指定的政府采购信息发布媒体（</w:t>
      </w:r>
      <w:r>
        <w:rPr>
          <w:rFonts w:hint="eastAsia" w:ascii="宋体" w:hAnsi="宋体"/>
          <w:color w:val="auto"/>
          <w:sz w:val="24"/>
          <w:highlight w:val="none"/>
        </w:rPr>
        <w:t xml:space="preserve">江苏政府采购网、无锡政府采购网</w:t>
      </w:r>
      <w:r>
        <w:rPr>
          <w:rFonts w:hint="eastAsia" w:ascii="宋体" w:hAnsi="宋体"/>
          <w:bCs/>
          <w:color w:val="auto"/>
          <w:sz w:val="24"/>
          <w:highlight w:val="none"/>
        </w:rPr>
        <w:t xml:space="preserve">上）发布公告中标、成交结果公告。</w:t>
      </w:r>
      <w:r>
        <w:rPr>
          <w:color w:val="auto"/>
        </w:rPr>
      </w:r>
      <w:r/>
    </w:p>
    <w:p>
      <w:pPr>
        <w:pStyle w:val="895"/>
        <w:ind w:firstLine="480"/>
        <w:spacing w:line="470" w:lineRule="exact"/>
        <w:tabs>
          <w:tab w:val="left" w:pos="525" w:leader="none"/>
          <w:tab w:val="left" w:pos="1155"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如有质疑，应在</w:t>
      </w:r>
      <w:r>
        <w:rPr>
          <w:rFonts w:ascii="宋体" w:hAnsi="宋体"/>
          <w:bCs/>
          <w:color w:val="auto"/>
          <w:sz w:val="24"/>
          <w:highlight w:val="none"/>
        </w:rPr>
        <w:t xml:space="preserve">法定质疑期限</w:t>
      </w:r>
      <w:r>
        <w:rPr>
          <w:rFonts w:hint="eastAsia" w:ascii="宋体" w:hAnsi="宋体"/>
          <w:bCs/>
          <w:color w:val="auto"/>
          <w:sz w:val="24"/>
          <w:highlight w:val="none"/>
        </w:rPr>
        <w:t xml:space="preserve">内，即中标公告期限届满之日起</w:t>
      </w:r>
      <w:r>
        <w:rPr>
          <w:rFonts w:ascii="宋体" w:hAnsi="宋体"/>
          <w:bCs/>
          <w:color w:val="auto"/>
          <w:sz w:val="24"/>
          <w:highlight w:val="none"/>
        </w:rPr>
        <w:t xml:space="preserve">7</w:t>
      </w:r>
      <w:r>
        <w:rPr>
          <w:rFonts w:hint="eastAsia" w:ascii="宋体" w:hAnsi="宋体"/>
          <w:bCs/>
          <w:color w:val="auto"/>
          <w:sz w:val="24"/>
          <w:highlight w:val="none"/>
        </w:rPr>
        <w:t xml:space="preserve">个工作日内，以书面形式送达采购人。质疑函应当列明具体的</w:t>
      </w:r>
      <w:r>
        <w:rPr>
          <w:rFonts w:ascii="宋体" w:hAnsi="宋体"/>
          <w:bCs/>
          <w:color w:val="auto"/>
          <w:sz w:val="24"/>
          <w:highlight w:val="none"/>
        </w:rPr>
        <w:t xml:space="preserve">质疑事项及事实根据</w:t>
      </w:r>
      <w:r>
        <w:rPr>
          <w:rFonts w:hint="eastAsia" w:ascii="宋体" w:hAnsi="宋体"/>
          <w:bCs/>
          <w:color w:val="auto"/>
          <w:sz w:val="24"/>
          <w:highlight w:val="none"/>
        </w:rPr>
        <w:t xml:space="preserve">，</w:t>
      </w:r>
      <w:r>
        <w:rPr>
          <w:rFonts w:ascii="宋体" w:hAnsi="宋体"/>
          <w:bCs/>
          <w:color w:val="auto"/>
          <w:sz w:val="24"/>
          <w:highlight w:val="none"/>
        </w:rPr>
        <w:t xml:space="preserve">认为自己合法权益受到损害的相关证据材料</w:t>
      </w:r>
      <w:r>
        <w:rPr>
          <w:rFonts w:hint="eastAsia" w:ascii="宋体" w:hAnsi="宋体"/>
          <w:bCs/>
          <w:color w:val="auto"/>
          <w:sz w:val="24"/>
          <w:highlight w:val="none"/>
        </w:rPr>
        <w:t xml:space="preserve">以及</w:t>
      </w:r>
      <w:r>
        <w:rPr>
          <w:rFonts w:ascii="宋体" w:hAnsi="宋体"/>
          <w:bCs/>
          <w:color w:val="auto"/>
          <w:sz w:val="24"/>
          <w:highlight w:val="none"/>
        </w:rPr>
        <w:t xml:space="preserve">质疑供应商的名称、地址、邮编、联系人、联系电话</w:t>
      </w:r>
      <w:r>
        <w:rPr>
          <w:rFonts w:hint="eastAsia" w:ascii="宋体" w:hAnsi="宋体"/>
          <w:bCs/>
          <w:color w:val="auto"/>
          <w:sz w:val="24"/>
          <w:highlight w:val="none"/>
        </w:rPr>
        <w:t xml:space="preserve">、日期，同时该质疑函应由投标供应商法定代表人签字并加盖单位公章（原件）。采购人将在收到符合上述要求的书面质疑后七个工作日内，对质疑内容做出答复。投标供应商在</w:t>
      </w:r>
      <w:r>
        <w:rPr>
          <w:rFonts w:ascii="宋体" w:hAnsi="宋体"/>
          <w:bCs/>
          <w:color w:val="auto"/>
          <w:sz w:val="24"/>
          <w:highlight w:val="none"/>
        </w:rPr>
        <w:t xml:space="preserve">法定质疑期限</w:t>
      </w:r>
      <w:r>
        <w:rPr>
          <w:rFonts w:hint="eastAsia" w:ascii="宋体" w:hAnsi="宋体"/>
          <w:bCs/>
          <w:color w:val="auto"/>
          <w:sz w:val="24"/>
          <w:highlight w:val="none"/>
        </w:rPr>
        <w:t xml:space="preserve">外送达的质疑函或</w:t>
      </w:r>
      <w:r>
        <w:rPr>
          <w:rFonts w:ascii="宋体" w:hAnsi="宋体"/>
          <w:bCs/>
          <w:color w:val="auto"/>
          <w:sz w:val="24"/>
          <w:highlight w:val="none"/>
        </w:rPr>
        <w:t xml:space="preserve">法定质疑期限</w:t>
      </w:r>
      <w:r>
        <w:rPr>
          <w:rFonts w:hint="eastAsia" w:ascii="宋体" w:hAnsi="宋体"/>
          <w:bCs/>
          <w:color w:val="auto"/>
          <w:sz w:val="24"/>
          <w:highlight w:val="none"/>
        </w:rPr>
        <w:t xml:space="preserve">内送达的</w:t>
      </w:r>
      <w:r>
        <w:rPr>
          <w:rFonts w:ascii="宋体" w:hAnsi="宋体"/>
          <w:bCs/>
          <w:color w:val="auto"/>
          <w:sz w:val="24"/>
          <w:highlight w:val="none"/>
        </w:rPr>
        <w:t xml:space="preserve">质疑函</w:t>
      </w:r>
      <w:r>
        <w:rPr>
          <w:rFonts w:hint="eastAsia" w:ascii="宋体" w:hAnsi="宋体"/>
          <w:bCs/>
          <w:color w:val="auto"/>
          <w:sz w:val="24"/>
          <w:highlight w:val="none"/>
        </w:rPr>
        <w:t xml:space="preserve">不符合上述要求</w:t>
      </w:r>
      <w:r>
        <w:rPr>
          <w:rFonts w:ascii="宋体" w:hAnsi="宋体"/>
          <w:bCs/>
          <w:color w:val="auto"/>
          <w:sz w:val="24"/>
          <w:highlight w:val="none"/>
        </w:rPr>
        <w:t xml:space="preserve">的</w:t>
      </w:r>
      <w:r>
        <w:rPr>
          <w:rFonts w:hint="eastAsia" w:ascii="宋体" w:hAnsi="宋体"/>
          <w:bCs/>
          <w:color w:val="auto"/>
          <w:sz w:val="24"/>
          <w:highlight w:val="none"/>
        </w:rPr>
        <w:t xml:space="preserve">均</w:t>
      </w:r>
      <w:r>
        <w:rPr>
          <w:rFonts w:ascii="宋体" w:hAnsi="宋体"/>
          <w:bCs/>
          <w:color w:val="auto"/>
          <w:sz w:val="24"/>
          <w:highlight w:val="none"/>
        </w:rPr>
        <w:t xml:space="preserve">为无效质疑</w:t>
      </w:r>
      <w:r>
        <w:rPr>
          <w:rFonts w:hint="eastAsia" w:ascii="宋体" w:hAnsi="宋体"/>
          <w:bCs/>
          <w:color w:val="auto"/>
          <w:sz w:val="24"/>
          <w:highlight w:val="none"/>
        </w:rPr>
        <w:t xml:space="preserve">，采购人对无效质疑不予受理。如质疑</w:t>
      </w:r>
      <w:r>
        <w:rPr>
          <w:rFonts w:ascii="宋体" w:hAnsi="宋体"/>
          <w:bCs/>
          <w:color w:val="auto"/>
          <w:sz w:val="24"/>
          <w:highlight w:val="none"/>
        </w:rPr>
        <w:t xml:space="preserve">查无实据</w:t>
      </w:r>
      <w:r>
        <w:rPr>
          <w:rFonts w:hint="eastAsia" w:ascii="宋体" w:hAnsi="宋体"/>
          <w:bCs/>
          <w:color w:val="auto"/>
          <w:sz w:val="24"/>
          <w:highlight w:val="none"/>
        </w:rPr>
        <w:t xml:space="preserve">或投标供应商</w:t>
      </w:r>
      <w:r>
        <w:rPr>
          <w:rFonts w:ascii="宋体" w:hAnsi="宋体"/>
          <w:bCs/>
          <w:color w:val="auto"/>
          <w:sz w:val="24"/>
          <w:highlight w:val="none"/>
        </w:rPr>
        <w:t xml:space="preserve">捏造事实</w:t>
      </w:r>
      <w:r>
        <w:rPr>
          <w:rFonts w:hint="eastAsia" w:ascii="宋体" w:hAnsi="宋体"/>
          <w:bCs/>
          <w:color w:val="auto"/>
          <w:sz w:val="24"/>
          <w:highlight w:val="none"/>
        </w:rPr>
        <w:t xml:space="preserve">，</w:t>
      </w:r>
      <w:r>
        <w:rPr>
          <w:rFonts w:ascii="宋体" w:hAnsi="宋体"/>
          <w:bCs/>
          <w:color w:val="auto"/>
          <w:sz w:val="24"/>
          <w:highlight w:val="none"/>
        </w:rPr>
        <w:t xml:space="preserve">提供虚假材料进行恶意举报</w:t>
      </w:r>
      <w:r>
        <w:rPr>
          <w:rFonts w:hint="eastAsia" w:ascii="宋体" w:hAnsi="宋体"/>
          <w:bCs/>
          <w:color w:val="auto"/>
          <w:sz w:val="24"/>
          <w:highlight w:val="none"/>
        </w:rPr>
        <w:t xml:space="preserve">，</w:t>
      </w:r>
      <w:r>
        <w:rPr>
          <w:rFonts w:ascii="宋体" w:hAnsi="宋体"/>
          <w:bCs/>
          <w:color w:val="auto"/>
          <w:sz w:val="24"/>
          <w:highlight w:val="none"/>
        </w:rPr>
        <w:t xml:space="preserve">不配合或采用不正当手段干扰政府采购质疑的</w:t>
      </w:r>
      <w:r>
        <w:rPr>
          <w:rFonts w:hint="eastAsia" w:ascii="宋体" w:hAnsi="宋体"/>
          <w:bCs/>
          <w:color w:val="auto"/>
          <w:sz w:val="24"/>
          <w:highlight w:val="none"/>
        </w:rPr>
        <w:t xml:space="preserve">，将记入投标供应商在江苏省和无锡市的政府采购“供应商</w:t>
      </w:r>
      <w:r>
        <w:rPr>
          <w:rFonts w:ascii="宋体" w:hAnsi="宋体"/>
          <w:bCs/>
          <w:color w:val="auto"/>
          <w:sz w:val="24"/>
          <w:highlight w:val="none"/>
        </w:rPr>
        <w:t xml:space="preserve">诚信</w:t>
      </w:r>
      <w:r>
        <w:rPr>
          <w:rFonts w:hint="eastAsia" w:ascii="宋体" w:hAnsi="宋体"/>
          <w:bCs/>
          <w:color w:val="auto"/>
          <w:sz w:val="24"/>
          <w:highlight w:val="none"/>
        </w:rPr>
        <w:t xml:space="preserve">记录”，并按相关规定处理。</w:t>
      </w:r>
      <w:r>
        <w:rPr>
          <w:color w:val="auto"/>
        </w:rPr>
      </w:r>
      <w:r/>
    </w:p>
    <w:p>
      <w:pPr>
        <w:pStyle w:val="895"/>
        <w:ind w:firstLine="480"/>
        <w:spacing w:line="470" w:lineRule="exact"/>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bCs/>
          <w:color w:val="auto"/>
          <w:sz w:val="24"/>
          <w:highlight w:val="none"/>
        </w:rPr>
        <w:t xml:space="preserve">投标、开标及定标的整个过程均接受</w:t>
      </w:r>
      <w:r>
        <w:rPr>
          <w:rFonts w:hint="eastAsia" w:ascii="宋体" w:hAnsi="宋体"/>
          <w:color w:val="auto"/>
          <w:sz w:val="24"/>
          <w:highlight w:val="none"/>
        </w:rPr>
        <w:t xml:space="preserve">政府采购监管部门</w:t>
      </w:r>
      <w:r>
        <w:rPr>
          <w:rFonts w:hint="eastAsia" w:ascii="宋体" w:hAnsi="宋体"/>
          <w:bCs/>
          <w:color w:val="auto"/>
          <w:sz w:val="24"/>
          <w:highlight w:val="none"/>
        </w:rPr>
        <w:t xml:space="preserve">的监督</w:t>
      </w:r>
      <w:r>
        <w:rPr>
          <w:rFonts w:hint="eastAsia" w:ascii="宋体" w:hAnsi="宋体" w:cs="宋体"/>
          <w:color w:val="auto"/>
          <w:sz w:val="24"/>
          <w:highlight w:val="none"/>
        </w:rPr>
        <w:t xml:space="preserve">。</w:t>
      </w:r>
      <w:r>
        <w:rPr>
          <w:color w:val="auto"/>
        </w:rPr>
      </w:r>
      <w:r/>
    </w:p>
    <w:p>
      <w:pPr>
        <w:pStyle w:val="895"/>
        <w:ind w:firstLine="480"/>
        <w:spacing w:line="470" w:lineRule="exact"/>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3、在发布中标公告的同时，</w:t>
      </w:r>
      <w:r>
        <w:rPr>
          <w:rFonts w:hint="eastAsia" w:ascii="宋体" w:hAnsi="宋体" w:cs="宋体"/>
          <w:color w:val="auto"/>
          <w:sz w:val="24"/>
          <w:highlight w:val="none"/>
          <w:lang w:eastAsia="zh-CN"/>
        </w:rPr>
        <w:t xml:space="preserve">江苏智汇锡建工程项目管理有限公司</w:t>
      </w:r>
      <w:r>
        <w:rPr>
          <w:rFonts w:hint="eastAsia" w:ascii="宋体" w:hAnsi="宋体" w:cs="宋体"/>
          <w:color w:val="auto"/>
          <w:sz w:val="24"/>
          <w:highlight w:val="none"/>
        </w:rPr>
        <w:t xml:space="preserve">将向中标供应商发出中标通知书。</w:t>
      </w:r>
      <w:r>
        <w:rPr>
          <w:color w:val="auto"/>
        </w:rPr>
      </w:r>
      <w:r/>
    </w:p>
    <w:p>
      <w:pPr>
        <w:pStyle w:val="895"/>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rPr>
          <w:color w:val="auto"/>
        </w:rPr>
      </w:r>
      <w:r/>
    </w:p>
    <w:p>
      <w:pPr>
        <w:pStyle w:val="895"/>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rPr>
          <w:color w:val="auto"/>
        </w:rPr>
      </w:r>
      <w:r/>
    </w:p>
    <w:p>
      <w:pPr>
        <w:pStyle w:val="895"/>
        <w:numPr>
          <w:ilvl w:val="0"/>
          <w:numId w:val="9"/>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rPr>
          <w:color w:val="auto"/>
        </w:rPr>
      </w:r>
      <w:r/>
    </w:p>
    <w:p>
      <w:pPr>
        <w:pStyle w:val="895"/>
        <w:numPr>
          <w:ilvl w:val="0"/>
          <w:numId w:val="9"/>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rPr>
          <w:color w:val="auto"/>
        </w:rPr>
      </w:r>
      <w:r/>
    </w:p>
    <w:p>
      <w:pPr>
        <w:pStyle w:val="895"/>
        <w:numPr>
          <w:ilvl w:val="0"/>
          <w:numId w:val="9"/>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rPr>
          <w:color w:val="auto"/>
        </w:rPr>
      </w:r>
      <w:r/>
    </w:p>
    <w:p>
      <w:pPr>
        <w:pStyle w:val="895"/>
        <w:numPr>
          <w:ilvl w:val="0"/>
          <w:numId w:val="9"/>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（十二）中标无效的确认：</w:t>
      </w:r>
      <w:r>
        <w:rPr>
          <w:color w:val="auto"/>
        </w:rPr>
      </w:r>
      <w:r/>
    </w:p>
    <w:p>
      <w:pPr>
        <w:pStyle w:val="895"/>
        <w:numPr>
          <w:ilvl w:val="0"/>
          <w:numId w:val="10"/>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rPr>
          <w:color w:val="auto"/>
        </w:rPr>
      </w:r>
      <w:r/>
    </w:p>
    <w:p>
      <w:pPr>
        <w:pStyle w:val="895"/>
        <w:numPr>
          <w:ilvl w:val="0"/>
          <w:numId w:val="10"/>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rPr>
          <w:color w:val="auto"/>
        </w:rPr>
      </w:r>
      <w:r/>
    </w:p>
    <w:p>
      <w:pPr>
        <w:pStyle w:val="895"/>
        <w:numPr>
          <w:ilvl w:val="0"/>
          <w:numId w:val="10"/>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rPr>
          <w:color w:val="auto"/>
        </w:rPr>
      </w:r>
      <w:r/>
    </w:p>
    <w:p>
      <w:pPr>
        <w:pStyle w:val="895"/>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rPr>
          <w:color w:val="auto"/>
        </w:rPr>
      </w:r>
      <w:r/>
    </w:p>
    <w:p>
      <w:pPr>
        <w:pStyle w:val="895"/>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auto"/>
        </w:rPr>
      </w:r>
      <w:r/>
    </w:p>
    <w:p>
      <w:pPr>
        <w:pStyle w:val="895"/>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rPr>
          <w:color w:val="auto"/>
        </w:rPr>
      </w:r>
      <w:r/>
    </w:p>
    <w:p>
      <w:pPr>
        <w:pStyle w:val="895"/>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rPr>
          <w:color w:val="auto"/>
        </w:rPr>
      </w:r>
      <w:r/>
    </w:p>
    <w:p>
      <w:pPr>
        <w:pStyle w:val="895"/>
        <w:numPr>
          <w:ilvl w:val="0"/>
          <w:numId w:val="3"/>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rPr>
          <w:color w:val="auto"/>
        </w:rPr>
      </w:r>
      <w:r/>
    </w:p>
    <w:p>
      <w:pPr>
        <w:pStyle w:val="895"/>
        <w:numPr>
          <w:ilvl w:val="0"/>
          <w:numId w:val="3"/>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rPr>
          <w:color w:val="auto"/>
        </w:rPr>
      </w:r>
      <w:r/>
    </w:p>
    <w:p>
      <w:pPr>
        <w:pStyle w:val="895"/>
        <w:numPr>
          <w:ilvl w:val="0"/>
          <w:numId w:val="3"/>
        </w:numPr>
        <w:ind w:left="0" w:firstLine="525"/>
        <w:spacing w:line="360" w:lineRule="auto"/>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中标供应商向采购人缴纳的履约保证金不超过政府采购合同金额的10%。</w:t>
      </w:r>
      <w:r>
        <w:rPr>
          <w:rFonts w:hint="eastAsia" w:ascii="宋体" w:hAnsi="宋体"/>
          <w:bCs/>
          <w:color w:val="auto"/>
          <w:sz w:val="24"/>
          <w:highlight w:val="none"/>
        </w:rPr>
        <w:t xml:space="preserve">收取履约保证金的，采购人应当</w:t>
      </w:r>
      <w:r>
        <w:rPr>
          <w:rFonts w:hint="eastAsia" w:ascii="宋体"/>
          <w:bCs/>
          <w:color w:val="auto"/>
          <w:sz w:val="24"/>
          <w:highlight w:val="none"/>
        </w:rPr>
        <w:t xml:space="preserve">允许</w:t>
      </w:r>
      <w:r>
        <w:rPr>
          <w:rFonts w:ascii="宋体"/>
          <w:bCs/>
          <w:color w:val="auto"/>
          <w:sz w:val="24"/>
          <w:szCs w:val="24"/>
          <w:highlight w:val="none"/>
        </w:rPr>
        <w:t xml:space="preserve">供应商自主选择以支票、 汇票、 本票、 保函等非现金形式缴纳或提交，</w:t>
      </w:r>
      <w:r>
        <w:rPr>
          <w:rFonts w:hint="eastAsia" w:ascii="宋体"/>
          <w:bCs/>
          <w:color w:val="auto"/>
          <w:sz w:val="24"/>
          <w:szCs w:val="24"/>
          <w:highlight w:val="none"/>
        </w:rPr>
        <w:t xml:space="preserve">并</w:t>
      </w:r>
      <w:r>
        <w:rPr>
          <w:rFonts w:hint="eastAsia" w:ascii="宋体" w:hAnsi="宋体"/>
          <w:bCs/>
          <w:color w:val="auto"/>
          <w:sz w:val="24"/>
          <w:highlight w:val="none"/>
        </w:rPr>
        <w:t xml:space="preserve">与中标供应商在采购合同中约定履约保证金退还的方式、时间、条件和不予退还的情形，明确逾期退还履约保证金的违约责任。</w:t>
      </w:r>
      <w:r>
        <w:rPr>
          <w:color w:val="auto"/>
        </w:rPr>
      </w:r>
      <w:r/>
    </w:p>
    <w:p>
      <w:pPr>
        <w:pStyle w:val="895"/>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（十四）注意事项：</w:t>
      </w:r>
      <w:r>
        <w:rPr>
          <w:color w:val="auto"/>
        </w:rPr>
      </w:r>
      <w:r/>
    </w:p>
    <w:p>
      <w:pPr>
        <w:pStyle w:val="895"/>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rPr>
          <w:color w:val="auto"/>
        </w:rPr>
      </w:r>
      <w:r/>
    </w:p>
    <w:p>
      <w:pPr>
        <w:pStyle w:val="895"/>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rPr>
          <w:color w:val="auto"/>
        </w:rPr>
      </w:r>
      <w:r/>
    </w:p>
    <w:p>
      <w:pPr>
        <w:pStyle w:val="895"/>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rPr>
          <w:color w:val="auto"/>
        </w:rPr>
      </w:r>
      <w:r/>
    </w:p>
    <w:p>
      <w:pPr>
        <w:pStyle w:val="895"/>
        <w:numPr>
          <w:ilvl w:val="3"/>
          <w:numId w:val="0"/>
        </w:numPr>
        <w:ind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rPr>
          <w:color w:val="auto"/>
        </w:rPr>
      </w:r>
      <w:r/>
    </w:p>
    <w:p>
      <w:pPr>
        <w:pStyle w:val="895"/>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（十五）中标服务费：</w:t>
      </w:r>
      <w:r>
        <w:rPr>
          <w:color w:val="auto"/>
        </w:rPr>
      </w:r>
      <w:r/>
    </w:p>
    <w:p>
      <w:pPr>
        <w:pStyle w:val="895"/>
        <w:ind w:firstLine="480"/>
        <w:spacing w:line="360" w:lineRule="auto"/>
        <w:tabs>
          <w:tab w:val="left" w:pos="1140" w:leader="none"/>
        </w:tabs>
        <w:rPr>
          <w:rFonts w:ascii="宋体" w:hAnsi="宋体" w:eastAsia="宋体"/>
          <w:bCs/>
          <w:color w:val="auto"/>
          <w:sz w:val="24"/>
          <w:highlight w:val="none"/>
        </w:rPr>
      </w:pPr>
      <w:r>
        <w:rPr>
          <w:rFonts w:hint="eastAsia" w:ascii="宋体" w:hAnsi="宋体"/>
          <w:color w:val="auto"/>
          <w:sz w:val="24"/>
          <w:highlight w:val="none"/>
        </w:rPr>
        <w:t xml:space="preserve">1.本项目招标代理服务费以每标段中标金额为计费基础，按差额定率累进法计算：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100－500万费率为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00－</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00万费率为</w:t>
      </w:r>
      <w:r>
        <w:rPr>
          <w:rFonts w:hint="eastAsia" w:ascii="宋体" w:hAnsi="宋体"/>
          <w:color w:val="auto"/>
          <w:sz w:val="24"/>
          <w:highlight w:val="none"/>
        </w:rPr>
        <w:t xml:space="preserve">0.</w:t>
      </w:r>
      <w:r>
        <w:rPr>
          <w:rFonts w:hint="eastAsia" w:ascii="宋体" w:hAnsi="宋体"/>
          <w:color w:val="auto"/>
          <w:sz w:val="24"/>
          <w:highlight w:val="none"/>
          <w:lang w:val="en-US" w:eastAsia="zh-CN"/>
        </w:rPr>
        <w:t xml:space="preserve">45</w:t>
      </w:r>
      <w:r>
        <w:rPr>
          <w:rFonts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bCs/>
          <w:color w:val="auto"/>
          <w:sz w:val="24"/>
          <w:highlight w:val="none"/>
        </w:rPr>
        <w:t xml:space="preserve">在此基础上打七折计取</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由采购人支付。</w:t>
      </w:r>
      <w:r>
        <w:rPr>
          <w:color w:val="auto"/>
        </w:rPr>
      </w:r>
      <w:r/>
    </w:p>
    <w:p>
      <w:pPr>
        <w:pStyle w:val="895"/>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（十六）合同融资、履约担保（本项目无履约保证金）</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1.合同融资</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合同融资，是指参与政府采购的供应商，凭借中标</w:t>
      </w:r>
      <w:r>
        <w:rPr>
          <w:rFonts w:hint="eastAsia" w:ascii="宋体" w:hAnsi="宋体" w:eastAsia="宋体" w:cs="Times New Roman"/>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中标、成交供应商可根据自身情况，自行决定是否选择采用合同融资形式，在无锡政府采购网——政采贷专栏提供的银行名录内自主选择合作银行。</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2.履约担保</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中标、成交供应商可以根据自身情况，自行决定是否选择采用履约担保形式，自主选择合作银行。</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 政府采购信用担保合作担保机构和信用融资合作银行</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color w:val="auto"/>
        </w:rPr>
      </w:r>
      <w:r/>
    </w:p>
    <w:p>
      <w:pPr>
        <w:pStyle w:val="895"/>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rPr>
          <w:color w:val="auto"/>
        </w:rPr>
      </w:r>
      <w:r/>
    </w:p>
    <w:p>
      <w:pPr>
        <w:pStyle w:val="895"/>
        <w:ind w:firstLine="723"/>
        <w:jc w:val="center"/>
        <w:spacing w:line="360" w:lineRule="auto"/>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rPr>
          <w:color w:val="auto"/>
        </w:rPr>
      </w:r>
      <w:r/>
    </w:p>
    <w:p>
      <w:pPr>
        <w:pStyle w:val="895"/>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r>
        <w:rPr>
          <w:color w:val="auto"/>
        </w:rPr>
      </w:r>
      <w:r/>
    </w:p>
    <w:p>
      <w:pPr>
        <w:pStyle w:val="895"/>
        <w:ind w:firstLine="480"/>
        <w:spacing w:line="440" w:lineRule="exact"/>
        <w:tabs>
          <w:tab w:val="left" w:pos="945" w:leader="none"/>
        </w:tabs>
        <w:rPr>
          <w:rFonts w:ascii="宋体" w:hAnsi="宋体"/>
          <w:b/>
          <w:color w:val="auto"/>
          <w:sz w:val="24"/>
          <w:szCs w:val="24"/>
        </w:rPr>
        <w:outlineLvl w:val="0"/>
      </w:pPr>
      <w:r>
        <w:rPr>
          <w:color w:val="auto"/>
        </w:rPr>
      </w:r>
      <w:bookmarkStart w:id="2" w:name="_Toc36830580"/>
      <w:r>
        <w:rPr>
          <w:color w:val="auto"/>
        </w:rPr>
      </w:r>
      <w:bookmarkStart w:id="3" w:name="_Toc98277368"/>
      <w:r>
        <w:rPr>
          <w:rFonts w:hint="eastAsia" w:ascii="宋体" w:hAnsi="宋体"/>
          <w:b/>
          <w:color w:val="auto"/>
          <w:sz w:val="24"/>
          <w:szCs w:val="24"/>
        </w:rPr>
        <w:t xml:space="preserve">一、采购标的需实现的功能或者目标，以及为落实政府采购政策需满足的要求</w:t>
      </w:r>
      <w:bookmarkEnd w:id="2"/>
      <w:r>
        <w:rPr>
          <w:color w:val="auto"/>
        </w:rPr>
      </w:r>
      <w:bookmarkEnd w:id="3"/>
      <w:r>
        <w:rPr>
          <w:color w:val="auto"/>
        </w:rPr>
      </w:r>
      <w:r/>
    </w:p>
    <w:p>
      <w:pPr>
        <w:pStyle w:val="895"/>
        <w:ind w:firstLine="480"/>
        <w:jc w:val="left"/>
        <w:spacing w:line="440" w:lineRule="exact"/>
        <w:shd w:val="clear" w:color="auto" w:fill="ffffff"/>
        <w:rPr>
          <w:rFonts w:ascii="宋体" w:hAnsi="宋体" w:cs="Arial"/>
          <w:b/>
          <w:bCs/>
          <w:color w:val="auto"/>
          <w:sz w:val="24"/>
        </w:rPr>
      </w:pPr>
      <w:r>
        <w:rPr>
          <w:color w:val="auto"/>
        </w:rPr>
      </w:r>
      <w:bookmarkStart w:id="4" w:name="_Toc36830581"/>
      <w:r>
        <w:rPr>
          <w:color w:val="auto"/>
        </w:rPr>
      </w:r>
      <w:bookmarkStart w:id="5" w:name="_Toc98277369"/>
      <w:r>
        <w:rPr>
          <w:rFonts w:hint="eastAsia" w:ascii="宋体" w:hAnsi="宋体" w:cs="Arial"/>
          <w:b/>
          <w:bCs/>
          <w:color w:val="auto"/>
          <w:sz w:val="24"/>
        </w:rPr>
        <w:t xml:space="preserve">1</w:t>
      </w:r>
      <w:r>
        <w:rPr>
          <w:rFonts w:ascii="宋体" w:hAnsi="宋体" w:cs="Arial"/>
          <w:b/>
          <w:bCs/>
          <w:color w:val="auto"/>
          <w:sz w:val="24"/>
        </w:rPr>
        <w:t xml:space="preserve">.</w:t>
      </w:r>
      <w:r>
        <w:rPr>
          <w:rFonts w:hint="eastAsia" w:ascii="宋体" w:hAnsi="宋体" w:cs="Arial"/>
          <w:b/>
          <w:bCs/>
          <w:color w:val="auto"/>
          <w:sz w:val="24"/>
        </w:rPr>
        <w:t xml:space="preserve">本项目是否专门面向中小企业（含监狱企业、残疾人福利性单位）采购：是。</w:t>
      </w:r>
      <w:r>
        <w:rPr>
          <w:color w:val="auto"/>
        </w:rPr>
      </w:r>
      <w:r/>
    </w:p>
    <w:p>
      <w:pPr>
        <w:pStyle w:val="895"/>
        <w:ind w:firstLine="480"/>
        <w:jc w:val="left"/>
        <w:spacing w:line="440" w:lineRule="exact"/>
        <w:shd w:val="clear" w:color="auto" w:fill="ffffff"/>
        <w:rPr>
          <w:rFonts w:ascii="宋体" w:hAnsi="宋体" w:cs="Arial"/>
          <w:color w:val="auto"/>
          <w:sz w:val="24"/>
        </w:rPr>
      </w:pPr>
      <w:r>
        <w:rPr>
          <w:rFonts w:ascii="宋体" w:hAnsi="宋体" w:cs="Arial"/>
          <w:b/>
          <w:bCs/>
          <w:color w:val="auto"/>
          <w:sz w:val="24"/>
        </w:rPr>
        <w:t xml:space="preserve">2.</w:t>
      </w:r>
      <w:r>
        <w:rPr>
          <w:rFonts w:hint="eastAsia" w:ascii="宋体" w:hAnsi="宋体" w:cs="Arial"/>
          <w:b/>
          <w:bCs/>
          <w:color w:val="auto"/>
          <w:sz w:val="24"/>
        </w:rPr>
        <w:t xml:space="preserve">本项目标的所属行业：</w:t>
      </w:r>
      <w:r>
        <w:rPr>
          <w:rFonts w:hint="eastAsia" w:ascii="宋体" w:hAnsi="宋体"/>
          <w:b/>
          <w:color w:val="auto"/>
          <w:sz w:val="24"/>
          <w:szCs w:val="24"/>
        </w:rPr>
        <w:t xml:space="preserve">其他未列明服务</w:t>
      </w:r>
      <w:r>
        <w:rPr>
          <w:rFonts w:hint="eastAsia" w:ascii="宋体" w:hAnsi="宋体"/>
          <w:bCs/>
          <w:color w:val="auto"/>
          <w:sz w:val="24"/>
          <w:szCs w:val="24"/>
        </w:rPr>
        <w:t xml:space="preserve">（</w:t>
      </w:r>
      <w:r>
        <w:rPr>
          <w:rFonts w:hint="eastAsia" w:ascii="宋体" w:hAnsi="宋体"/>
          <w:b/>
          <w:bCs/>
          <w:color w:val="auto"/>
          <w:sz w:val="24"/>
          <w:szCs w:val="24"/>
        </w:rPr>
        <w:t xml:space="preserve">其他未列明行业：</w:t>
      </w:r>
      <w:r>
        <w:rPr>
          <w:rFonts w:hint="eastAsia" w:ascii="宋体" w:hAnsi="宋体"/>
          <w:bCs/>
          <w:color w:val="auto"/>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r>
        <w:rPr>
          <w:color w:val="auto"/>
        </w:rPr>
      </w:r>
      <w:r/>
    </w:p>
    <w:p>
      <w:pPr>
        <w:pStyle w:val="895"/>
        <w:ind w:firstLine="480"/>
        <w:spacing w:line="440" w:lineRule="exact"/>
        <w:tabs>
          <w:tab w:val="left" w:pos="945" w:leader="none"/>
        </w:tabs>
        <w:rPr>
          <w:rFonts w:ascii="宋体" w:hAnsi="宋体"/>
          <w:b/>
          <w:color w:val="auto"/>
          <w:sz w:val="24"/>
          <w:szCs w:val="24"/>
        </w:rPr>
        <w:outlineLvl w:val="0"/>
      </w:pPr>
      <w:r>
        <w:rPr>
          <w:color w:val="auto"/>
        </w:rPr>
      </w:r>
      <w:bookmarkEnd w:id="4"/>
      <w:r>
        <w:rPr>
          <w:color w:val="auto"/>
        </w:rPr>
      </w:r>
      <w:bookmarkEnd w:id="5"/>
      <w:r>
        <w:rPr>
          <w:rFonts w:hint="eastAsia" w:ascii="宋体" w:hAnsi="宋体"/>
          <w:b/>
          <w:color w:val="auto"/>
          <w:sz w:val="24"/>
          <w:szCs w:val="24"/>
        </w:rPr>
        <w:t xml:space="preserve">二、本项目采购标的概况、养护期、质量标准及其他要求</w:t>
      </w:r>
      <w:r>
        <w:rPr>
          <w:color w:val="auto"/>
        </w:rPr>
      </w:r>
      <w:r/>
    </w:p>
    <w:p>
      <w:pPr>
        <w:pStyle w:val="895"/>
        <w:ind w:firstLine="480"/>
        <w:spacing w:line="440" w:lineRule="exact"/>
        <w:rPr>
          <w:rFonts w:hint="eastAsia" w:ascii="宋体" w:hAnsi="宋体" w:eastAsia="宋体"/>
          <w:color w:val="auto"/>
          <w:sz w:val="24"/>
          <w:szCs w:val="24"/>
        </w:rPr>
      </w:pPr>
      <w:r>
        <w:rPr>
          <w:rFonts w:hint="eastAsia" w:ascii="宋体" w:hAnsi="宋体"/>
          <w:b/>
          <w:bCs/>
          <w:color w:val="auto"/>
          <w:sz w:val="24"/>
          <w:szCs w:val="24"/>
        </w:rPr>
        <w:t xml:space="preserve">1.项目编号：</w:t>
      </w:r>
      <w:r>
        <w:rPr>
          <w:rFonts w:hint="eastAsia" w:ascii="宋体" w:hAnsi="宋体"/>
          <w:color w:val="auto"/>
          <w:sz w:val="24"/>
          <w:szCs w:val="24"/>
          <w:lang w:eastAsia="zh-CN"/>
        </w:rPr>
        <w:t xml:space="preserve">JSZC-320206-JSZH-G2024-0031</w:t>
      </w:r>
      <w:r>
        <w:rPr>
          <w:color w:val="auto"/>
        </w:rPr>
      </w:r>
      <w:r/>
    </w:p>
    <w:p>
      <w:pPr>
        <w:pStyle w:val="895"/>
        <w:ind w:firstLine="480"/>
        <w:jc w:val="left"/>
        <w:spacing w:line="440" w:lineRule="exact"/>
        <w:rPr>
          <w:rFonts w:hint="eastAsia" w:ascii="宋体" w:hAnsi="宋体" w:eastAsia="宋体"/>
          <w:color w:val="auto"/>
          <w:sz w:val="24"/>
          <w:szCs w:val="24"/>
        </w:rPr>
      </w:pPr>
      <w:r>
        <w:rPr>
          <w:color w:val="auto"/>
        </w:rPr>
      </w:r>
      <w:bookmarkStart w:id="6" w:name="_Hlk37847209"/>
      <w:r>
        <w:rPr>
          <w:rFonts w:ascii="宋体" w:hAnsi="宋体"/>
          <w:b/>
          <w:bCs/>
          <w:color w:val="auto"/>
          <w:sz w:val="24"/>
          <w:szCs w:val="24"/>
        </w:rPr>
        <w:t xml:space="preserve">2</w:t>
      </w:r>
      <w:r>
        <w:rPr>
          <w:rFonts w:hint="eastAsia" w:ascii="宋体" w:hAnsi="宋体"/>
          <w:b/>
          <w:bCs/>
          <w:color w:val="auto"/>
          <w:sz w:val="24"/>
          <w:szCs w:val="24"/>
        </w:rPr>
        <w:t xml:space="preserve">.项目名称</w:t>
      </w:r>
      <w:bookmarkEnd w:id="6"/>
      <w:r>
        <w:rPr>
          <w:rFonts w:hint="eastAsia" w:ascii="宋体" w:hAnsi="宋体"/>
          <w:b/>
          <w:bCs/>
          <w:color w:val="auto"/>
          <w:sz w:val="24"/>
          <w:szCs w:val="24"/>
        </w:rPr>
        <w:t xml:space="preserve">：</w:t>
      </w:r>
      <w:r>
        <w:rPr>
          <w:rFonts w:hint="eastAsia" w:ascii="宋体" w:hAnsi="宋体"/>
          <w:color w:val="auto"/>
          <w:sz w:val="24"/>
          <w:szCs w:val="24"/>
          <w:lang w:eastAsia="zh-CN"/>
        </w:rPr>
        <w:t xml:space="preserve">钱桥东片绿化养护项目</w:t>
      </w:r>
      <w:r>
        <w:rPr>
          <w:color w:val="auto"/>
        </w:rPr>
      </w:r>
      <w:r/>
    </w:p>
    <w:p>
      <w:pPr>
        <w:pStyle w:val="895"/>
        <w:ind w:firstLine="480"/>
        <w:jc w:val="left"/>
        <w:spacing w:line="440" w:lineRule="exact"/>
        <w:rPr>
          <w:rFonts w:ascii="宋体" w:hAnsi="宋体"/>
          <w:bCs/>
          <w:color w:val="auto"/>
          <w:sz w:val="24"/>
          <w:szCs w:val="24"/>
        </w:rPr>
      </w:pPr>
      <w:r>
        <w:rPr>
          <w:rFonts w:hint="eastAsia" w:ascii="宋体" w:hAnsi="宋体"/>
          <w:b/>
          <w:bCs/>
          <w:color w:val="auto"/>
          <w:sz w:val="24"/>
          <w:szCs w:val="24"/>
        </w:rPr>
        <w:t xml:space="preserve">3.项目概况：</w:t>
      </w:r>
      <w:bookmarkStart w:id="7" w:name="_Hlk159492151"/>
      <w:r>
        <w:rPr>
          <w:color w:val="auto"/>
        </w:rPr>
      </w:r>
      <w:bookmarkStart w:id="8" w:name="_Hlk159499769"/>
      <w:r>
        <w:rPr>
          <w:rFonts w:hint="eastAsia" w:ascii="宋体" w:hAnsi="宋体"/>
          <w:bCs/>
          <w:color w:val="auto"/>
          <w:sz w:val="24"/>
          <w:szCs w:val="24"/>
        </w:rPr>
        <w:t xml:space="preserve">钱桥街道</w:t>
      </w:r>
      <w:r>
        <w:rPr>
          <w:rFonts w:hint="eastAsia" w:ascii="宋体" w:hAnsi="宋体"/>
          <w:bCs/>
          <w:color w:val="auto"/>
          <w:sz w:val="24"/>
          <w:szCs w:val="24"/>
          <w:lang w:eastAsia="zh-CN"/>
        </w:rPr>
        <w:t xml:space="preserve">东片</w:t>
      </w:r>
      <w:r>
        <w:rPr>
          <w:rFonts w:hint="eastAsia" w:ascii="宋体" w:hAnsi="宋体"/>
          <w:bCs/>
          <w:color w:val="auto"/>
          <w:sz w:val="24"/>
          <w:szCs w:val="24"/>
        </w:rPr>
        <w:t xml:space="preserve">绿化养</w:t>
      </w:r>
      <w:r>
        <w:rPr>
          <w:rFonts w:hint="eastAsia" w:ascii="宋体" w:hAnsi="宋体"/>
          <w:bCs/>
          <w:color w:val="auto"/>
          <w:sz w:val="24"/>
          <w:szCs w:val="24"/>
        </w:rPr>
        <w:t xml:space="preserve">护项目，绿化养护总面积约为686842.27㎡，主要为乔灌木、球类、色块、花海、草坪等的养护。养护地块包括但不限于钱桥街道道路交叉口、钱桥大街、育才路、通溪路、钱桥大道、钱威路、盛岸西路、迎龙广场、老菜场内、纬三路、晴山蓝城一、二期后背、惠钱路、锡宜高速钱桥道口上下匝道、新盛路、万东路、汇嘉路、华飞路、锡洛公路、鼎盛路、轩盛路、江盛路、胜星路、晓丰路、胜丰路、口袋公园、苏嘉路、新业路、纬三路、上秦巷浜、佰乐路、华新口袋公园、钱藕路、无锡西互通绿化、钱桥第二中心幼儿园周边景观绿化、兴崎路、节点景观绿化、草花。</w:t>
      </w:r>
      <w:bookmarkEnd w:id="7"/>
      <w:r>
        <w:rPr>
          <w:color w:val="auto"/>
        </w:rPr>
      </w:r>
      <w:r/>
    </w:p>
    <w:p>
      <w:pPr>
        <w:pStyle w:val="895"/>
        <w:ind w:firstLine="480"/>
        <w:jc w:val="left"/>
        <w:spacing w:line="440" w:lineRule="exact"/>
        <w:rPr>
          <w:rFonts w:ascii="宋体" w:hAnsi="宋体"/>
          <w:bCs/>
          <w:color w:val="auto"/>
          <w:sz w:val="24"/>
          <w:szCs w:val="24"/>
        </w:rPr>
      </w:pPr>
      <w:r>
        <w:rPr>
          <w:color w:val="auto"/>
        </w:rPr>
      </w:r>
      <w:bookmarkEnd w:id="8"/>
      <w:r>
        <w:rPr>
          <w:rFonts w:ascii="宋体" w:hAnsi="宋体"/>
          <w:b/>
          <w:color w:val="auto"/>
          <w:sz w:val="24"/>
          <w:szCs w:val="24"/>
        </w:rPr>
        <w:t xml:space="preserve">4</w:t>
      </w:r>
      <w:r>
        <w:rPr>
          <w:rFonts w:hint="eastAsia" w:ascii="宋体" w:hAnsi="宋体"/>
          <w:b/>
          <w:color w:val="auto"/>
          <w:sz w:val="24"/>
          <w:szCs w:val="24"/>
        </w:rPr>
        <w:t xml:space="preserve">.养护期：</w:t>
      </w:r>
      <w:r>
        <w:rPr>
          <w:rFonts w:hint="eastAsia" w:ascii="宋体" w:hAnsi="宋体"/>
          <w:bCs/>
          <w:color w:val="auto"/>
          <w:sz w:val="24"/>
          <w:szCs w:val="24"/>
        </w:rPr>
        <w:t xml:space="preserve">2年（合同签订生效之日起）。合同一年一签，每个合同周期内，中标供应商必须严格遵守采购人的考核标准，如考核评价未达到采购人要求，采购人有权无条件单方面终止合同。</w:t>
      </w:r>
      <w:r>
        <w:rPr>
          <w:color w:val="auto"/>
        </w:rPr>
      </w:r>
      <w:r/>
    </w:p>
    <w:p>
      <w:pPr>
        <w:pStyle w:val="895"/>
        <w:ind w:firstLine="480"/>
        <w:jc w:val="left"/>
        <w:spacing w:line="440" w:lineRule="exact"/>
        <w:rPr>
          <w:rFonts w:ascii="宋体" w:hAnsi="宋体"/>
          <w:bCs/>
          <w:color w:val="auto"/>
          <w:sz w:val="24"/>
          <w:szCs w:val="24"/>
        </w:rPr>
      </w:pPr>
      <w:r>
        <w:rPr>
          <w:rFonts w:ascii="宋体" w:hAnsi="宋体"/>
          <w:b/>
          <w:color w:val="auto"/>
          <w:sz w:val="24"/>
          <w:szCs w:val="24"/>
        </w:rPr>
        <w:t xml:space="preserve">5</w:t>
      </w:r>
      <w:r>
        <w:rPr>
          <w:rFonts w:hint="eastAsia" w:ascii="宋体" w:hAnsi="宋体"/>
          <w:b/>
          <w:color w:val="auto"/>
          <w:sz w:val="24"/>
          <w:szCs w:val="24"/>
        </w:rPr>
        <w:t xml:space="preserve">.质量要求：</w:t>
      </w:r>
      <w:r>
        <w:rPr>
          <w:rFonts w:hint="eastAsia" w:ascii="宋体" w:hAnsi="宋体"/>
          <w:bCs/>
          <w:color w:val="auto"/>
          <w:sz w:val="24"/>
          <w:szCs w:val="24"/>
        </w:rPr>
        <w:t xml:space="preserve">按《江苏省植物养护技术规范》、《无锡市绿化养护标准规范》、《无锡市城市绿化养护管理质量标准》、符合钱桥街道绿地养护等级作业标准及考核办法。</w:t>
      </w:r>
      <w:r>
        <w:rPr>
          <w:color w:val="auto"/>
        </w:rPr>
      </w:r>
      <w:r/>
    </w:p>
    <w:p>
      <w:pPr>
        <w:pStyle w:val="895"/>
        <w:ind w:firstLine="480"/>
        <w:spacing w:line="440" w:lineRule="exact"/>
        <w:shd w:val="clear" w:color="auto" w:fill="ffffff"/>
        <w:rPr>
          <w:rFonts w:ascii="宋体" w:hAnsi="宋体"/>
          <w:b/>
          <w:bCs/>
          <w:color w:val="auto"/>
          <w:sz w:val="24"/>
          <w:szCs w:val="24"/>
        </w:rPr>
      </w:pPr>
      <w:r>
        <w:rPr>
          <w:rFonts w:hint="eastAsia" w:ascii="宋体" w:hAnsi="宋体"/>
          <w:b/>
          <w:bCs/>
          <w:color w:val="auto"/>
          <w:sz w:val="24"/>
          <w:szCs w:val="24"/>
        </w:rPr>
        <w:t xml:space="preserve">6.付款方式</w:t>
      </w:r>
      <w:r>
        <w:rPr>
          <w:color w:val="auto"/>
        </w:rPr>
      </w:r>
      <w:r/>
    </w:p>
    <w:p>
      <w:pPr>
        <w:pStyle w:val="895"/>
        <w:ind w:firstLine="480"/>
        <w:jc w:val="left"/>
        <w:spacing w:line="440" w:lineRule="exact"/>
        <w:rPr>
          <w:rFonts w:hint="eastAsia" w:ascii="宋体" w:hAnsi="宋体" w:eastAsia="宋体" w:cs="Times New Roman"/>
          <w:bCs/>
          <w:color w:val="auto"/>
          <w:sz w:val="24"/>
          <w:szCs w:val="24"/>
        </w:rPr>
      </w:pPr>
      <w:r>
        <w:rPr>
          <w:color w:val="auto"/>
        </w:rPr>
      </w:r>
      <w:bookmarkStart w:id="9" w:name="_Toc83622598"/>
      <w:r>
        <w:rPr>
          <w:color w:val="auto"/>
        </w:rPr>
      </w:r>
      <w:bookmarkStart w:id="10" w:name="_Toc36414917"/>
      <w:r>
        <w:rPr>
          <w:rFonts w:hint="eastAsia" w:ascii="宋体" w:hAnsi="宋体" w:eastAsia="宋体" w:cs="Times New Roman"/>
          <w:bCs/>
          <w:color w:val="auto"/>
          <w:sz w:val="24"/>
          <w:szCs w:val="24"/>
        </w:rPr>
        <w:t xml:space="preserve">（1）合同签订后预付年度合同价款的30%（在支付第一次养护服务费用时抵扣）。</w:t>
      </w:r>
      <w:r>
        <w:rPr>
          <w:color w:val="auto"/>
        </w:rPr>
      </w:r>
      <w:r/>
    </w:p>
    <w:p>
      <w:pPr>
        <w:pStyle w:val="895"/>
        <w:ind w:firstLine="480"/>
        <w:jc w:val="left"/>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（2）每</w:t>
      </w:r>
      <w:r>
        <w:rPr>
          <w:rFonts w:hint="eastAsia" w:ascii="宋体" w:hAnsi="宋体" w:eastAsia="宋体" w:cs="Times New Roman"/>
          <w:bCs/>
          <w:color w:val="auto"/>
          <w:sz w:val="24"/>
          <w:szCs w:val="24"/>
          <w:lang w:val="en-US" w:eastAsia="zh-CN"/>
        </w:rPr>
        <w:t xml:space="preserve">六</w:t>
      </w:r>
      <w:r>
        <w:rPr>
          <w:rFonts w:hint="eastAsia" w:ascii="宋体" w:hAnsi="宋体" w:eastAsia="宋体" w:cs="Times New Roman"/>
          <w:bCs/>
          <w:color w:val="auto"/>
          <w:sz w:val="24"/>
          <w:szCs w:val="24"/>
        </w:rPr>
        <w:t xml:space="preserve">个月结算一次服务费，于第</w:t>
      </w:r>
      <w:r>
        <w:rPr>
          <w:rFonts w:hint="eastAsia" w:ascii="宋体" w:hAnsi="宋体" w:eastAsia="宋体" w:cs="Times New Roman"/>
          <w:bCs/>
          <w:color w:val="auto"/>
          <w:sz w:val="24"/>
          <w:szCs w:val="24"/>
          <w:lang w:val="en-US" w:eastAsia="zh-CN"/>
        </w:rPr>
        <w:t xml:space="preserve">七</w:t>
      </w:r>
      <w:r>
        <w:rPr>
          <w:rFonts w:hint="eastAsia" w:ascii="宋体" w:hAnsi="宋体" w:eastAsia="宋体" w:cs="Times New Roman"/>
          <w:bCs/>
          <w:color w:val="auto"/>
          <w:sz w:val="24"/>
          <w:szCs w:val="24"/>
        </w:rPr>
        <w:t xml:space="preserve">个月20号前支付（如遇法定节假日顺延），以此类推。</w:t>
      </w:r>
      <w:r>
        <w:rPr>
          <w:color w:val="auto"/>
        </w:rPr>
      </w:r>
      <w:r/>
    </w:p>
    <w:p>
      <w:pPr>
        <w:pStyle w:val="895"/>
        <w:ind w:firstLine="480"/>
        <w:jc w:val="left"/>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（3）支付标准：采购人每次向中标供应商支付的养护服务费=（年度合同价款÷</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）—考核当期累计违约扣款—考核当期累计考核扣款</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具体考核扣款方式见《钱桥街道绿化管养工作考核办法》</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rPr>
        <w:t xml:space="preserve">。</w:t>
      </w:r>
      <w:r>
        <w:rPr>
          <w:color w:val="auto"/>
        </w:rPr>
      </w:r>
      <w:r/>
    </w:p>
    <w:p>
      <w:pPr>
        <w:pStyle w:val="895"/>
        <w:ind w:firstLine="480"/>
        <w:jc w:val="left"/>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注：以上价款均不计息。每次付款时，中标供应商需提供符合采购人财务要求的相应金额的税金发票（如遇法定节假日顺延）；</w:t>
      </w:r>
      <w:r>
        <w:rPr>
          <w:color w:val="auto"/>
        </w:rPr>
      </w:r>
      <w:r/>
    </w:p>
    <w:p>
      <w:pPr>
        <w:pStyle w:val="895"/>
        <w:ind w:firstLine="480"/>
        <w:jc w:val="left"/>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中标供应商报价有效期为两年，合同履行中，采购人如需追加与合同标的相同的服务，单价按中标单价计，数量按实结算，但所有追加的采购金额不得超过</w:t>
      </w:r>
      <w:r>
        <w:rPr>
          <w:rFonts w:hint="eastAsia" w:ascii="宋体" w:hAnsi="宋体" w:eastAsia="宋体" w:cs="Times New Roman"/>
          <w:bCs/>
          <w:color w:val="auto"/>
          <w:sz w:val="24"/>
          <w:szCs w:val="24"/>
          <w:lang w:val="en-US" w:eastAsia="zh-CN"/>
        </w:rPr>
        <w:t xml:space="preserve">年度</w:t>
      </w:r>
      <w:r>
        <w:rPr>
          <w:rFonts w:hint="eastAsia" w:ascii="宋体" w:hAnsi="宋体" w:eastAsia="宋体" w:cs="Times New Roman"/>
          <w:bCs/>
          <w:color w:val="auto"/>
          <w:sz w:val="24"/>
          <w:szCs w:val="24"/>
        </w:rPr>
        <w:t xml:space="preserve">合同价款的10%。</w:t>
      </w:r>
      <w:r>
        <w:rPr>
          <w:color w:val="auto"/>
        </w:rPr>
      </w:r>
      <w:r/>
    </w:p>
    <w:p>
      <w:pPr>
        <w:pStyle w:val="895"/>
        <w:ind w:firstLine="480"/>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三、服务内容及要求</w:t>
      </w:r>
      <w:r>
        <w:rPr>
          <w:color w:val="auto"/>
        </w:rPr>
      </w:r>
      <w:r/>
    </w:p>
    <w:p>
      <w:pPr>
        <w:pStyle w:val="895"/>
        <w:ind w:firstLine="480"/>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1.</w:t>
      </w:r>
      <w:bookmarkEnd w:id="9"/>
      <w:r>
        <w:rPr>
          <w:rFonts w:hint="eastAsia" w:ascii="宋体" w:hAnsi="宋体"/>
          <w:b/>
          <w:color w:val="auto"/>
          <w:sz w:val="24"/>
          <w:szCs w:val="24"/>
        </w:rPr>
        <w:t xml:space="preserve">养护清单</w:t>
      </w:r>
      <w:r>
        <w:rPr>
          <w:color w:val="auto"/>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909"/>
        <w:gridCol w:w="4541"/>
        <w:gridCol w:w="1904"/>
        <w:gridCol w:w="1127"/>
      </w:tblGrid>
      <w:tr>
        <w:trPr>
          <w:trHeight w:val="619"/>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rPr>
                <w:color w:val="auto"/>
              </w:rPr>
            </w:r>
            <w:r/>
          </w:p>
        </w:tc>
        <w:tc>
          <w:tcPr>
            <w:tcW w:w="100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rPr>
                <w:color w:val="auto"/>
              </w:rPr>
            </w:r>
            <w:r/>
          </w:p>
        </w:tc>
        <w:tc>
          <w:tcPr>
            <w:tcW w:w="2302"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项目情况</w:t>
            </w:r>
            <w:r>
              <w:rPr>
                <w:color w:val="auto"/>
              </w:rPr>
            </w:r>
            <w:r/>
          </w:p>
        </w:tc>
        <w:tc>
          <w:tcPr>
            <w:tcW w:w="685"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绿化面积（平方）</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养护等级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钱桥大街</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钱威路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新邺路</w:t>
            </w:r>
            <w:r>
              <w:rPr>
                <w:color w:val="auto"/>
              </w:rPr>
            </w:r>
            <w:r/>
          </w:p>
        </w:tc>
        <w:tc>
          <w:tcPr>
            <w:tcW w:w="685"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钱藕路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金苏公寓</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通溪路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钱桥大街</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钱桥大道</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钱胡路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江海西路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80948</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钱威路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惠钱路</w:t>
            </w:r>
            <w:r>
              <w:rPr>
                <w:rStyle w:val="1032"/>
                <w:rFonts w:hint="eastAsia" w:ascii="宋体" w:hAnsi="宋体" w:eastAsia="宋体" w:cs="宋体"/>
                <w:color w:val="auto"/>
                <w:sz w:val="21"/>
                <w:szCs w:val="21"/>
                <w:highlight w:val="none"/>
                <w:shd w:val="clear" w:color="auto" w:fill="auto"/>
                <w:lang w:val="en-US" w:eastAsia="zh-CN" w:bidi="ar"/>
              </w:rPr>
              <w:t xml:space="preserve">-342</w:t>
            </w:r>
            <w:r>
              <w:rPr>
                <w:rFonts w:hint="eastAsia" w:ascii="宋体" w:hAnsi="宋体" w:eastAsia="宋体" w:cs="宋体"/>
                <w:i w:val="0"/>
                <w:iCs w:val="0"/>
                <w:color w:val="auto"/>
                <w:sz w:val="21"/>
                <w:szCs w:val="21"/>
                <w:highlight w:val="none"/>
                <w:u w:val="none"/>
                <w:shd w:val="clear" w:color="auto" w:fill="auto"/>
                <w:lang w:val="en-US" w:eastAsia="zh-CN" w:bidi="ar"/>
              </w:rPr>
              <w:t xml:space="preserve">省道</w:t>
            </w:r>
            <w:r>
              <w:rPr>
                <w:color w:val="auto"/>
              </w:rPr>
            </w:r>
            <w:r/>
          </w:p>
        </w:tc>
        <w:tc>
          <w:tcPr>
            <w:tcW w:w="685"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19500</w:t>
            </w:r>
            <w:r>
              <w:rPr>
                <w:color w:val="auto"/>
              </w:rPr>
            </w:r>
            <w:r/>
          </w:p>
        </w:tc>
        <w:tc>
          <w:tcPr>
            <w:tcW w:w="619"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盛岸西路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钱桥大道</w:t>
            </w:r>
            <w:r>
              <w:rPr>
                <w:rStyle w:val="1032"/>
                <w:rFonts w:hint="eastAsia" w:ascii="宋体" w:hAnsi="宋体" w:eastAsia="宋体" w:cs="宋体"/>
                <w:color w:val="auto"/>
                <w:sz w:val="21"/>
                <w:szCs w:val="21"/>
                <w:highlight w:val="none"/>
                <w:shd w:val="clear" w:color="auto" w:fill="auto"/>
                <w:lang w:val="en-US" w:eastAsia="zh-CN" w:bidi="ar"/>
              </w:rPr>
              <w:t xml:space="preserve">—</w:t>
            </w:r>
            <w:r>
              <w:rPr>
                <w:rFonts w:hint="eastAsia" w:ascii="宋体" w:hAnsi="宋体" w:eastAsia="宋体" w:cs="宋体"/>
                <w:i w:val="0"/>
                <w:iCs w:val="0"/>
                <w:color w:val="auto"/>
                <w:sz w:val="21"/>
                <w:szCs w:val="21"/>
                <w:highlight w:val="none"/>
                <w:u w:val="none"/>
                <w:shd w:val="clear" w:color="auto" w:fill="auto"/>
                <w:lang w:val="en-US" w:eastAsia="zh-CN" w:bidi="ar"/>
              </w:rPr>
              <w:t xml:space="preserve">梁溪交界处</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111891</w:t>
            </w:r>
            <w:r>
              <w:rPr>
                <w:color w:val="auto"/>
              </w:rPr>
            </w:r>
            <w:r/>
          </w:p>
        </w:tc>
        <w:tc>
          <w:tcPr>
            <w:tcW w:w="619"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迎龙广场</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迎龙广场、综合执法局</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rPr>
                <w:color w:val="auto"/>
              </w:rPr>
            </w:r>
            <w:r/>
          </w:p>
        </w:tc>
        <w:tc>
          <w:tcPr>
            <w:tcW w:w="619"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老菜场内</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shd w:val="clear" w:color="auto" w:fill="auto"/>
              </w:rPr>
              <w:suppressLineNumbers w:val="0"/>
            </w:pPr>
            <w:r>
              <w:rPr>
                <w:rFonts w:hint="eastAsia" w:ascii="宋体" w:hAnsi="宋体" w:eastAsia="宋体" w:cs="宋体"/>
                <w:i w:val="0"/>
                <w:iCs w:val="0"/>
                <w:color w:val="auto"/>
                <w:sz w:val="21"/>
                <w:szCs w:val="21"/>
                <w:highlight w:val="none"/>
                <w:u w:val="none"/>
                <w:shd w:val="clear" w:color="auto" w:fill="auto"/>
                <w:lang w:val="en-US" w:eastAsia="zh-CN" w:bidi="ar"/>
              </w:rPr>
              <w:t xml:space="preserve">钱桥新村老菜场内部</w:t>
            </w:r>
            <w:r>
              <w:rPr>
                <w:color w:val="auto"/>
              </w:rPr>
            </w:r>
            <w:r/>
          </w:p>
        </w:tc>
        <w:tc>
          <w:tcPr>
            <w:tcW w:w="685"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rPr>
                <w:color w:val="auto"/>
              </w:rPr>
            </w:r>
            <w:r/>
          </w:p>
        </w:tc>
        <w:tc>
          <w:tcPr>
            <w:tcW w:w="619"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纬三路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钱桥大道</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钱中路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90"/>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晴山蓝城一、二期后背</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晴山蓝城一、二期西侧及北侧含防汛堤防景观</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惠钱路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钱皋路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钱威路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521"/>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锡宜高速钱桥道口上下匝道</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锡宜高速钱桥道口上下匝道</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83900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新盛路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惠澄大道</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新盛桥</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万东路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锡洛公路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晓陆路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汇嘉路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新盛路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锡洛公路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华飞路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万东路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汇嘉路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锡洛公路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惠澄大道</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友谊桥</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鼎盛路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盛岸西路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轩盛路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1816</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轩盛路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鼎盛路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江盛路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江盛路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江海西路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盛岸西路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胜星路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江海西路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胜丰河</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晓丰路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胜丰路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惠澄大道</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胜丰路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江海路</w:t>
            </w:r>
            <w:r>
              <w:rPr>
                <w:rStyle w:val="1032"/>
                <w:rFonts w:hint="eastAsia" w:ascii="宋体" w:hAnsi="宋体" w:eastAsia="宋体" w:cs="宋体"/>
                <w:color w:val="auto"/>
                <w:sz w:val="21"/>
                <w:szCs w:val="21"/>
                <w:highlight w:val="none"/>
                <w:lang w:val="en-US" w:eastAsia="zh-CN" w:bidi="ar"/>
              </w:rPr>
              <w:t xml:space="preserve">——342</w:t>
            </w:r>
            <w:r>
              <w:rPr>
                <w:rFonts w:hint="eastAsia" w:ascii="宋体" w:hAnsi="宋体" w:eastAsia="宋体" w:cs="宋体"/>
                <w:i w:val="0"/>
                <w:iCs w:val="0"/>
                <w:color w:val="auto"/>
                <w:sz w:val="21"/>
                <w:szCs w:val="21"/>
                <w:highlight w:val="none"/>
                <w:u w:val="none"/>
                <w:lang w:val="en-US" w:eastAsia="zh-CN" w:bidi="ar"/>
              </w:rPr>
              <w:t xml:space="preserve">省道</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6648</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口袋公园</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金龙中心广场、唐泗桥逸公园</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3544</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1145"/>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苏嘉路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江海西路与苏嘉路交叉口东西两个景观绿化节点、盛岸西路与苏嘉路交叉口东西两个景观绿化节点、苏嘉路两侧绿化及成品花池</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新业路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盛岸西路</w:t>
            </w:r>
            <w:r>
              <w:rPr>
                <w:rStyle w:val="1029"/>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纬三路（金科集美洋溪河旁）</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33070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57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纬三路、上秦巷浜</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上秦巷浜护岸、沿山河堤防、东溪、西溪、藕塘新街排涝站</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佰乐路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盛岸西路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盛德路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521"/>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华新口袋公园</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华新口袋公园（钱桥大道右转匝道旁）</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823"/>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钱藕路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锡陆路</w:t>
            </w:r>
            <w:r>
              <w:rPr>
                <w:rStyle w:val="1033"/>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夏禹桥（包含夏禹桥在内及地铁（苏庙站、钱桥站、龙梢山站）沿线和钱桥大道与钱藕路西南侧绿化）</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32648</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53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无锡西互通绿化</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无锡西互通绿化</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56328.27</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钱桥第二中心幼儿园周边景观绿化</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钱桥第二中心幼儿园周边景观绿化</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1097</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521"/>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兴崎路</w:t>
            </w:r>
            <w:r>
              <w:rPr>
                <w:color w:val="auto"/>
              </w:rPr>
            </w:r>
            <w:r/>
          </w:p>
        </w:tc>
        <w:tc>
          <w:tcPr>
            <w:tcW w:w="2302"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汇嘉路</w:t>
            </w:r>
            <w:r>
              <w:rPr>
                <w:rStyle w:val="1032"/>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万东路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rPr>
                <w:color w:val="auto"/>
              </w:rPr>
            </w:r>
            <w:r/>
          </w:p>
        </w:tc>
      </w:tr>
      <w:tr>
        <w:trPr>
          <w:trHeight w:val="437"/>
        </w:trPr>
        <w:tc>
          <w:tcPr>
            <w:tcW w:w="386" w:type="dxa"/>
            <w:vAlign w:val="center"/>
            <w:vMerge w:val="restart"/>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rPr>
                <w:color w:val="auto"/>
              </w:rPr>
            </w:r>
            <w:r/>
          </w:p>
        </w:tc>
        <w:tc>
          <w:tcPr>
            <w:tcW w:w="1005" w:type="dxa"/>
            <w:vAlign w:val="center"/>
            <w:vMerge w:val="restart"/>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节点景观绿化</w:t>
            </w:r>
            <w:r>
              <w:rPr>
                <w:color w:val="auto"/>
              </w:rPr>
            </w:r>
            <w:r/>
          </w:p>
        </w:tc>
        <w:tc>
          <w:tcPr>
            <w:tcW w:w="2302"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钱威路—钱藕路交叉口绿化（大河庄）</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7176</w:t>
            </w:r>
            <w:r>
              <w:rPr>
                <w:color w:val="auto"/>
              </w:rPr>
            </w:r>
            <w:r/>
          </w:p>
        </w:tc>
        <w:tc>
          <w:tcPr>
            <w:tcW w:w="619" w:type="dxa"/>
            <w:vAlign w:val="center"/>
            <w:vMerge w:val="restart"/>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rPr>
                <w:color w:val="auto"/>
              </w:rPr>
            </w:r>
            <w:r/>
          </w:p>
        </w:tc>
      </w:tr>
      <w:tr>
        <w:trPr>
          <w:trHeight w:val="411"/>
        </w:trPr>
        <w:tc>
          <w:tcPr>
            <w:tcW w:w="386" w:type="dxa"/>
            <w:vAlign w:val="center"/>
            <w:vMerge w:val="continue"/>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5" w:type="dxa"/>
            <w:vAlign w:val="center"/>
            <w:vMerge w:val="continue"/>
            <w:textDirection w:val="lrTb"/>
            <w:noWrap w:val="false"/>
          </w:tcPr>
          <w:p>
            <w:pPr>
              <w:pStyle w:val="895"/>
              <w:jc w:val="center"/>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302"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盛岸西路—钱桥大道交叉口节点绿化、</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17810</w:t>
            </w:r>
            <w:r>
              <w:rPr>
                <w:color w:val="auto"/>
              </w:rPr>
            </w:r>
            <w:r/>
          </w:p>
        </w:tc>
        <w:tc>
          <w:tcPr>
            <w:tcW w:w="619" w:type="dxa"/>
            <w:vAlign w:val="center"/>
            <w:vMerge w:val="continue"/>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8"/>
        </w:trPr>
        <w:tc>
          <w:tcPr>
            <w:tcW w:w="386" w:type="dxa"/>
            <w:vAlign w:val="center"/>
            <w:vMerge w:val="continue"/>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5" w:type="dxa"/>
            <w:vAlign w:val="center"/>
            <w:vMerge w:val="continue"/>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302"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钱桥大道—钱藕路交叉口绿化</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13461</w:t>
            </w:r>
            <w:r>
              <w:rPr>
                <w:color w:val="auto"/>
              </w:rPr>
            </w:r>
            <w:r/>
          </w:p>
        </w:tc>
        <w:tc>
          <w:tcPr>
            <w:tcW w:w="619" w:type="dxa"/>
            <w:vAlign w:val="center"/>
            <w:vMerge w:val="continue"/>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624"/>
        </w:trPr>
        <w:tc>
          <w:tcPr>
            <w:tcW w:w="386" w:type="dxa"/>
            <w:vAlign w:val="center"/>
            <w:textDirection w:val="lrTb"/>
            <w:noWrap/>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rPr>
                <w:color w:val="auto"/>
              </w:rPr>
            </w:r>
            <w:r/>
          </w:p>
        </w:tc>
        <w:tc>
          <w:tcPr>
            <w:tcW w:w="1005" w:type="dxa"/>
            <w:vAlign w:val="center"/>
            <w:textDirection w:val="lrTb"/>
            <w:noWrap w:val="false"/>
          </w:tcPr>
          <w:p>
            <w:pPr>
              <w:pStyle w:val="89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草花</w:t>
            </w:r>
            <w:r>
              <w:rPr>
                <w:color w:val="auto"/>
              </w:rPr>
            </w:r>
            <w:r/>
          </w:p>
        </w:tc>
        <w:tc>
          <w:tcPr>
            <w:tcW w:w="2302"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钱桥大街、苏嘉路、金龙广场、盛岸路与钱桥大道交叉口、大和庄口袋公园、盛岸路边分带、中分带、钱藕路、迎龙广场、钱桥大道、盛岸路西锡道口、惠钱路。</w:t>
            </w:r>
            <w:r>
              <w:rPr>
                <w:color w:val="auto"/>
              </w:rPr>
            </w:r>
            <w:r/>
          </w:p>
        </w:tc>
        <w:tc>
          <w:tcPr>
            <w:tcW w:w="685"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3865</w:t>
            </w:r>
            <w:r>
              <w:rPr>
                <w:color w:val="auto"/>
              </w:rPr>
            </w:r>
            <w:r/>
          </w:p>
        </w:tc>
        <w:tc>
          <w:tcPr>
            <w:tcW w:w="619" w:type="dxa"/>
            <w:vAlign w:val="center"/>
            <w:textDirection w:val="lrTb"/>
            <w:noWrap w:val="false"/>
          </w:tcPr>
          <w:p>
            <w:pPr>
              <w:pStyle w:val="895"/>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一年四季</w:t>
            </w:r>
            <w:r>
              <w:rPr>
                <w:color w:val="auto"/>
              </w:rPr>
            </w:r>
            <w:r/>
          </w:p>
        </w:tc>
      </w:tr>
    </w:tbl>
    <w:p>
      <w:pPr>
        <w:pStyle w:val="895"/>
        <w:jc w:val="left"/>
        <w:spacing w:line="440" w:lineRule="exact"/>
        <w:rPr>
          <w:rFonts w:ascii="宋体" w:hAnsi="宋体"/>
          <w:b/>
          <w:color w:val="auto"/>
          <w:sz w:val="24"/>
          <w:szCs w:val="24"/>
        </w:rPr>
      </w:pPr>
      <w:r>
        <w:rPr>
          <w:color w:val="auto"/>
        </w:rPr>
      </w:r>
      <w:bookmarkStart w:id="11" w:name="_Toc83622600"/>
      <w:r>
        <w:rPr>
          <w:rFonts w:hint="eastAsia" w:ascii="宋体" w:hAnsi="宋体"/>
          <w:b/>
          <w:color w:val="auto"/>
          <w:sz w:val="24"/>
          <w:szCs w:val="24"/>
        </w:rPr>
        <w:t xml:space="preserve">养护等级见《钱桥街道绿化管养考核标准》</w:t>
      </w:r>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color w:val="auto"/>
          <w:sz w:val="24"/>
          <w:szCs w:val="24"/>
        </w:rPr>
        <w:t xml:space="preserve">2.</w:t>
      </w:r>
      <w:bookmarkEnd w:id="11"/>
      <w:r>
        <w:rPr>
          <w:rFonts w:hint="eastAsia" w:ascii="宋体" w:hAnsi="宋体"/>
          <w:b/>
          <w:bCs/>
          <w:color w:val="auto"/>
          <w:sz w:val="24"/>
          <w:szCs w:val="32"/>
        </w:rPr>
        <w:t xml:space="preserve">养护人员配备最低配备要求</w:t>
      </w:r>
      <w:r>
        <w:rPr>
          <w:color w:val="auto"/>
        </w:rPr>
      </w:r>
      <w:r/>
    </w:p>
    <w:p>
      <w:pPr>
        <w:pStyle w:val="895"/>
        <w:ind w:firstLine="480"/>
        <w:jc w:val="left"/>
        <w:spacing w:line="440" w:lineRule="exact"/>
        <w:rPr>
          <w:rFonts w:ascii="宋体" w:hAnsi="宋体"/>
          <w:color w:val="auto"/>
          <w:sz w:val="24"/>
          <w:szCs w:val="32"/>
        </w:rPr>
      </w:pPr>
      <w:r>
        <w:rPr>
          <w:color w:val="auto"/>
        </w:rPr>
      </w:r>
      <w:bookmarkStart w:id="12" w:name="_Toc83622613"/>
      <w:r>
        <w:rPr>
          <w:rFonts w:hint="eastAsia" w:ascii="宋体" w:hAnsi="宋体"/>
          <w:color w:val="auto"/>
          <w:sz w:val="24"/>
          <w:szCs w:val="32"/>
        </w:rPr>
        <w:t xml:space="preserve">（</w:t>
      </w:r>
      <w:r>
        <w:rPr>
          <w:rFonts w:hint="eastAsia" w:ascii="宋体" w:hAnsi="宋体"/>
          <w:color w:val="auto"/>
          <w:sz w:val="24"/>
          <w:szCs w:val="32"/>
          <w:lang w:val="en-US" w:eastAsia="zh-CN"/>
        </w:rPr>
        <w:t xml:space="preserve">1</w:t>
      </w:r>
      <w:r>
        <w:rPr>
          <w:rFonts w:hint="eastAsia" w:ascii="宋体" w:hAnsi="宋体"/>
          <w:color w:val="auto"/>
          <w:sz w:val="24"/>
          <w:szCs w:val="32"/>
        </w:rPr>
        <w:t xml:space="preserve">）养护人员最低配备要求</w:t>
      </w:r>
      <w:r>
        <w:rPr>
          <w:color w:val="auto"/>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76"/>
        <w:gridCol w:w="829"/>
        <w:gridCol w:w="3531"/>
        <w:gridCol w:w="3378"/>
      </w:tblGrid>
      <w:tr>
        <w:trPr>
          <w:trHeight w:val="242"/>
        </w:trPr>
        <w:tc>
          <w:tcPr>
            <w:tcW w:w="709" w:type="dxa"/>
            <w:vAlign w:val="center"/>
            <w:textDirection w:val="lrTb"/>
            <w:noWrap w:val="false"/>
          </w:tcPr>
          <w:p>
            <w:pPr>
              <w:pStyle w:val="895"/>
              <w:jc w:val="center"/>
              <w:rPr>
                <w:rFonts w:ascii="宋体" w:hAnsi="宋体"/>
                <w:b/>
                <w:bCs/>
                <w:color w:val="auto"/>
                <w:sz w:val="24"/>
                <w:szCs w:val="24"/>
              </w:rPr>
            </w:pPr>
            <w:r>
              <w:rPr>
                <w:rFonts w:hint="eastAsia" w:ascii="宋体" w:hAnsi="宋体"/>
                <w:b/>
                <w:bCs/>
                <w:color w:val="auto"/>
                <w:sz w:val="24"/>
                <w:szCs w:val="24"/>
              </w:rPr>
              <w:t xml:space="preserve">序号</w:t>
            </w:r>
            <w:r>
              <w:rPr>
                <w:color w:val="auto"/>
              </w:rPr>
            </w:r>
            <w:r/>
          </w:p>
        </w:tc>
        <w:tc>
          <w:tcPr>
            <w:tcW w:w="1476" w:type="dxa"/>
            <w:vAlign w:val="center"/>
            <w:textDirection w:val="lrTb"/>
            <w:noWrap w:val="false"/>
          </w:tcPr>
          <w:p>
            <w:pPr>
              <w:pStyle w:val="895"/>
              <w:jc w:val="center"/>
              <w:rPr>
                <w:rFonts w:ascii="宋体" w:hAnsi="宋体"/>
                <w:b/>
                <w:bCs/>
                <w:color w:val="auto"/>
                <w:sz w:val="24"/>
                <w:szCs w:val="24"/>
              </w:rPr>
            </w:pPr>
            <w:r>
              <w:rPr>
                <w:rFonts w:hint="eastAsia" w:ascii="宋体" w:hAnsi="宋体"/>
                <w:b/>
                <w:bCs/>
                <w:color w:val="auto"/>
                <w:sz w:val="24"/>
                <w:szCs w:val="24"/>
              </w:rPr>
              <w:t xml:space="preserve">人员</w:t>
            </w:r>
            <w:r>
              <w:rPr>
                <w:color w:val="auto"/>
              </w:rPr>
            </w:r>
            <w:r/>
          </w:p>
        </w:tc>
        <w:tc>
          <w:tcPr>
            <w:tcW w:w="829" w:type="dxa"/>
            <w:vAlign w:val="center"/>
            <w:textDirection w:val="lrTb"/>
            <w:noWrap w:val="false"/>
          </w:tcPr>
          <w:p>
            <w:pPr>
              <w:pStyle w:val="895"/>
              <w:jc w:val="center"/>
              <w:rPr>
                <w:rFonts w:ascii="宋体" w:hAnsi="宋体"/>
                <w:b/>
                <w:bCs/>
                <w:color w:val="auto"/>
                <w:sz w:val="24"/>
                <w:szCs w:val="24"/>
              </w:rPr>
            </w:pPr>
            <w:r>
              <w:rPr>
                <w:rFonts w:hint="eastAsia" w:ascii="宋体" w:hAnsi="宋体"/>
                <w:b/>
                <w:bCs/>
                <w:color w:val="auto"/>
                <w:sz w:val="24"/>
                <w:szCs w:val="24"/>
              </w:rPr>
              <w:t xml:space="preserve">数量</w:t>
            </w:r>
            <w:r>
              <w:rPr>
                <w:color w:val="auto"/>
              </w:rPr>
            </w:r>
            <w:r/>
          </w:p>
        </w:tc>
        <w:tc>
          <w:tcPr>
            <w:tcW w:w="3531" w:type="dxa"/>
            <w:vAlign w:val="center"/>
            <w:textDirection w:val="lrTb"/>
            <w:noWrap w:val="false"/>
          </w:tcPr>
          <w:p>
            <w:pPr>
              <w:pStyle w:val="895"/>
              <w:jc w:val="center"/>
              <w:rPr>
                <w:rFonts w:ascii="宋体" w:hAnsi="宋体"/>
                <w:b/>
                <w:bCs/>
                <w:color w:val="auto"/>
                <w:sz w:val="24"/>
                <w:szCs w:val="24"/>
              </w:rPr>
            </w:pPr>
            <w:r>
              <w:rPr>
                <w:rFonts w:hint="eastAsia" w:ascii="宋体" w:hAnsi="宋体"/>
                <w:b/>
                <w:bCs/>
                <w:color w:val="auto"/>
                <w:sz w:val="24"/>
                <w:szCs w:val="24"/>
              </w:rPr>
              <w:t xml:space="preserve">要求</w:t>
            </w:r>
            <w:r>
              <w:rPr>
                <w:color w:val="auto"/>
              </w:rPr>
            </w:r>
            <w:r/>
          </w:p>
        </w:tc>
        <w:tc>
          <w:tcPr>
            <w:tcW w:w="3378" w:type="dxa"/>
            <w:vAlign w:val="center"/>
            <w:textDirection w:val="lrTb"/>
            <w:noWrap w:val="false"/>
          </w:tcPr>
          <w:p>
            <w:pPr>
              <w:pStyle w:val="895"/>
              <w:jc w:val="center"/>
              <w:rPr>
                <w:rFonts w:ascii="宋体" w:hAnsi="宋体"/>
                <w:b/>
                <w:bCs/>
                <w:color w:val="auto"/>
                <w:sz w:val="24"/>
                <w:szCs w:val="24"/>
              </w:rPr>
            </w:pPr>
            <w:r>
              <w:rPr>
                <w:rFonts w:hint="eastAsia" w:ascii="宋体" w:hAnsi="宋体"/>
                <w:b/>
                <w:bCs/>
                <w:color w:val="auto"/>
                <w:sz w:val="24"/>
                <w:szCs w:val="24"/>
              </w:rPr>
              <w:t xml:space="preserve">备注</w:t>
            </w:r>
            <w:r>
              <w:rPr>
                <w:color w:val="auto"/>
              </w:rPr>
            </w:r>
            <w:r/>
          </w:p>
        </w:tc>
      </w:tr>
      <w:tr>
        <w:trPr>
          <w:trHeight w:val="832"/>
        </w:trPr>
        <w:tc>
          <w:tcPr>
            <w:tcW w:w="709" w:type="dxa"/>
            <w:vAlign w:val="center"/>
            <w:textDirection w:val="lrTb"/>
            <w:noWrap w:val="false"/>
          </w:tcPr>
          <w:p>
            <w:pPr>
              <w:pStyle w:val="895"/>
              <w:jc w:val="center"/>
              <w:rPr>
                <w:rFonts w:ascii="宋体" w:hAnsi="宋体"/>
                <w:color w:val="auto"/>
                <w:sz w:val="22"/>
                <w:szCs w:val="24"/>
              </w:rPr>
            </w:pPr>
            <w:r>
              <w:rPr>
                <w:rFonts w:hint="eastAsia" w:ascii="宋体" w:hAnsi="宋体"/>
                <w:color w:val="auto"/>
                <w:sz w:val="22"/>
                <w:szCs w:val="24"/>
              </w:rPr>
              <w:t xml:space="preserve">1</w:t>
            </w:r>
            <w:r>
              <w:rPr>
                <w:color w:val="auto"/>
              </w:rPr>
            </w:r>
            <w:r/>
          </w:p>
        </w:tc>
        <w:tc>
          <w:tcPr>
            <w:tcW w:w="1476" w:type="dxa"/>
            <w:vAlign w:val="center"/>
            <w:textDirection w:val="lrTb"/>
            <w:noWrap w:val="false"/>
          </w:tcPr>
          <w:p>
            <w:pPr>
              <w:pStyle w:val="895"/>
              <w:jc w:val="center"/>
              <w:rPr>
                <w:rFonts w:ascii="宋体" w:hAnsi="宋体"/>
                <w:color w:val="auto"/>
                <w:sz w:val="22"/>
                <w:szCs w:val="24"/>
              </w:rPr>
            </w:pPr>
            <w:r>
              <w:rPr>
                <w:rFonts w:hint="eastAsia" w:ascii="宋体" w:hAnsi="宋体"/>
                <w:color w:val="auto"/>
                <w:sz w:val="22"/>
                <w:szCs w:val="24"/>
              </w:rPr>
              <w:t xml:space="preserve">项目负责人</w:t>
            </w:r>
            <w:r>
              <w:rPr>
                <w:color w:val="auto"/>
              </w:rPr>
            </w:r>
            <w:r/>
          </w:p>
        </w:tc>
        <w:tc>
          <w:tcPr>
            <w:tcW w:w="829" w:type="dxa"/>
            <w:vAlign w:val="center"/>
            <w:textDirection w:val="lrTb"/>
            <w:noWrap w:val="false"/>
          </w:tcPr>
          <w:p>
            <w:pPr>
              <w:pStyle w:val="895"/>
              <w:jc w:val="center"/>
              <w:rPr>
                <w:rFonts w:ascii="宋体" w:hAnsi="宋体"/>
                <w:color w:val="auto"/>
                <w:sz w:val="22"/>
                <w:szCs w:val="24"/>
              </w:rPr>
            </w:pPr>
            <w:r>
              <w:rPr>
                <w:rFonts w:hint="eastAsia" w:ascii="宋体" w:hAnsi="宋体"/>
                <w:color w:val="auto"/>
                <w:sz w:val="22"/>
                <w:szCs w:val="24"/>
              </w:rPr>
              <w:t xml:space="preserve"> 1名</w:t>
            </w:r>
            <w:r>
              <w:rPr>
                <w:color w:val="auto"/>
              </w:rPr>
            </w:r>
            <w:r/>
          </w:p>
        </w:tc>
        <w:tc>
          <w:tcPr>
            <w:tcW w:w="3531" w:type="dxa"/>
            <w:vAlign w:val="center"/>
            <w:textDirection w:val="lrTb"/>
            <w:noWrap w:val="false"/>
          </w:tcPr>
          <w:p>
            <w:pPr>
              <w:pStyle w:val="895"/>
              <w:jc w:val="left"/>
              <w:rPr>
                <w:rFonts w:ascii="宋体" w:hAnsi="宋体"/>
                <w:color w:val="auto"/>
                <w:sz w:val="22"/>
                <w:szCs w:val="24"/>
              </w:rPr>
            </w:pPr>
            <w:r>
              <w:rPr>
                <w:rFonts w:hint="eastAsia" w:ascii="宋体" w:hAnsi="宋体"/>
                <w:color w:val="auto"/>
                <w:sz w:val="22"/>
                <w:szCs w:val="24"/>
              </w:rPr>
              <w:t xml:space="preserve">具备一定的法律知识和善于沟通、处事应变的能力；具有相应的公关意识，能妥善处理协调各种关系；能组织协调各部门完成任务；能协调部门之间关系，调动一切积极因素，完成下达的目标和任务。</w:t>
            </w:r>
            <w:r>
              <w:rPr>
                <w:color w:val="auto"/>
              </w:rPr>
            </w:r>
            <w:r/>
          </w:p>
        </w:tc>
        <w:tc>
          <w:tcPr>
            <w:tcW w:w="3378" w:type="dxa"/>
            <w:vAlign w:val="center"/>
            <w:textDirection w:val="lrTb"/>
            <w:noWrap w:val="false"/>
          </w:tcPr>
          <w:p>
            <w:pPr>
              <w:pStyle w:val="895"/>
              <w:jc w:val="left"/>
              <w:rPr>
                <w:rFonts w:ascii="宋体" w:hAnsi="宋体"/>
                <w:color w:val="auto"/>
                <w:sz w:val="22"/>
                <w:szCs w:val="24"/>
              </w:rPr>
            </w:pPr>
            <w:r>
              <w:rPr>
                <w:rFonts w:hint="eastAsia" w:ascii="宋体" w:hAnsi="宋体"/>
                <w:color w:val="auto"/>
                <w:sz w:val="22"/>
                <w:szCs w:val="24"/>
              </w:rPr>
              <w:t xml:space="preserve">投标供应商连续三个月(至少包含近三个月中任意一个月份(不含投标当月)为其项目负责人缴纳社保的证明（由相关主管部门出具，新成立公司除外、法定代表人亲自参加投标的除外）；</w:t>
            </w:r>
            <w:r>
              <w:rPr>
                <w:color w:val="auto"/>
              </w:rPr>
            </w:r>
            <w:r/>
          </w:p>
        </w:tc>
      </w:tr>
      <w:tr>
        <w:trPr>
          <w:trHeight w:val="420"/>
        </w:trPr>
        <w:tc>
          <w:tcPr>
            <w:tcW w:w="709" w:type="dxa"/>
            <w:vAlign w:val="center"/>
            <w:textDirection w:val="lrTb"/>
            <w:noWrap w:val="false"/>
          </w:tcPr>
          <w:p>
            <w:pPr>
              <w:pStyle w:val="895"/>
              <w:jc w:val="center"/>
              <w:rPr>
                <w:rFonts w:ascii="宋体" w:hAnsi="宋体"/>
                <w:color w:val="auto"/>
                <w:sz w:val="22"/>
                <w:szCs w:val="24"/>
                <w:highlight w:val="none"/>
              </w:rPr>
            </w:pPr>
            <w:r>
              <w:rPr>
                <w:rFonts w:hint="eastAsia" w:ascii="宋体" w:hAnsi="宋体"/>
                <w:color w:val="auto"/>
                <w:sz w:val="22"/>
                <w:szCs w:val="24"/>
                <w:highlight w:val="none"/>
              </w:rPr>
              <w:t xml:space="preserve">2</w:t>
            </w:r>
            <w:r>
              <w:rPr>
                <w:color w:val="auto"/>
              </w:rPr>
            </w:r>
            <w:r/>
          </w:p>
        </w:tc>
        <w:tc>
          <w:tcPr>
            <w:tcW w:w="1476" w:type="dxa"/>
            <w:vAlign w:val="center"/>
            <w:textDirection w:val="lrTb"/>
            <w:noWrap w:val="false"/>
          </w:tcPr>
          <w:p>
            <w:pPr>
              <w:pStyle w:val="895"/>
              <w:jc w:val="center"/>
              <w:rPr>
                <w:rFonts w:ascii="宋体" w:hAnsi="宋体"/>
                <w:color w:val="auto"/>
                <w:sz w:val="22"/>
                <w:szCs w:val="24"/>
                <w:highlight w:val="none"/>
              </w:rPr>
            </w:pPr>
            <w:r>
              <w:rPr>
                <w:rFonts w:hint="eastAsia" w:ascii="宋体" w:hAnsi="宋体"/>
                <w:color w:val="auto"/>
                <w:sz w:val="22"/>
                <w:szCs w:val="24"/>
                <w:highlight w:val="none"/>
              </w:rPr>
              <w:t xml:space="preserve">★养护人员</w:t>
            </w:r>
            <w:r>
              <w:rPr>
                <w:color w:val="auto"/>
              </w:rPr>
            </w:r>
            <w:r/>
          </w:p>
        </w:tc>
        <w:tc>
          <w:tcPr>
            <w:tcW w:w="829" w:type="dxa"/>
            <w:vAlign w:val="center"/>
            <w:textDirection w:val="lrTb"/>
            <w:noWrap w:val="false"/>
          </w:tcPr>
          <w:p>
            <w:pPr>
              <w:pStyle w:val="895"/>
              <w:jc w:val="center"/>
              <w:rPr>
                <w:rFonts w:ascii="宋体" w:hAnsi="宋体"/>
                <w:color w:val="auto"/>
                <w:sz w:val="22"/>
                <w:szCs w:val="24"/>
                <w:highlight w:val="none"/>
              </w:rPr>
            </w:pPr>
            <w:r>
              <w:rPr>
                <w:rFonts w:hint="eastAsia" w:ascii="宋体" w:hAnsi="宋体"/>
                <w:color w:val="auto"/>
                <w:sz w:val="22"/>
                <w:szCs w:val="24"/>
                <w:highlight w:val="none"/>
                <w:lang w:val="en-US" w:eastAsia="zh-CN"/>
              </w:rPr>
              <w:t xml:space="preserve">25</w:t>
            </w:r>
            <w:r>
              <w:rPr>
                <w:rFonts w:hint="eastAsia" w:ascii="宋体" w:hAnsi="宋体"/>
                <w:color w:val="auto"/>
                <w:sz w:val="22"/>
                <w:szCs w:val="24"/>
                <w:highlight w:val="none"/>
              </w:rPr>
              <w:t xml:space="preserve">名</w:t>
            </w:r>
            <w:r>
              <w:rPr>
                <w:color w:val="auto"/>
              </w:rPr>
            </w:r>
            <w:r/>
          </w:p>
        </w:tc>
        <w:tc>
          <w:tcPr>
            <w:tcW w:w="3531" w:type="dxa"/>
            <w:vAlign w:val="center"/>
            <w:textDirection w:val="lrTb"/>
            <w:noWrap w:val="false"/>
          </w:tcPr>
          <w:p>
            <w:pPr>
              <w:pStyle w:val="895"/>
              <w:jc w:val="left"/>
              <w:rPr>
                <w:rFonts w:ascii="宋体" w:hAnsi="宋体"/>
                <w:color w:val="auto"/>
                <w:sz w:val="22"/>
                <w:szCs w:val="24"/>
                <w:highlight w:val="none"/>
              </w:rPr>
            </w:pPr>
            <w:r>
              <w:rPr>
                <w:rFonts w:hint="eastAsia"/>
                <w:color w:val="auto"/>
                <w:sz w:val="22"/>
                <w:szCs w:val="24"/>
                <w:highlight w:val="none"/>
              </w:rPr>
              <w:t xml:space="preserve">身心健康，能胜任岗位需要，品行良好，遵守采购人各项规章制度和行为规范。</w:t>
            </w:r>
            <w:r>
              <w:rPr>
                <w:rFonts w:hint="eastAsia" w:ascii="宋体" w:hAnsi="宋体"/>
                <w:color w:val="auto"/>
                <w:sz w:val="22"/>
                <w:szCs w:val="24"/>
                <w:highlight w:val="none"/>
              </w:rPr>
              <w:t xml:space="preserve">人员年龄结构：男性不超过60周岁，女性不超过55周岁。</w:t>
            </w:r>
            <w:r>
              <w:rPr>
                <w:color w:val="auto"/>
              </w:rPr>
            </w:r>
            <w:r/>
          </w:p>
        </w:tc>
        <w:tc>
          <w:tcPr>
            <w:tcW w:w="3378" w:type="dxa"/>
            <w:vAlign w:val="center"/>
            <w:textDirection w:val="lrTb"/>
            <w:noWrap w:val="false"/>
          </w:tcPr>
          <w:p>
            <w:pPr>
              <w:pStyle w:val="895"/>
              <w:jc w:val="left"/>
              <w:rPr>
                <w:rFonts w:ascii="宋体" w:hAnsi="宋体"/>
                <w:color w:val="auto"/>
                <w:sz w:val="22"/>
                <w:szCs w:val="24"/>
                <w:highlight w:val="none"/>
              </w:rPr>
            </w:pPr>
            <w:r>
              <w:rPr>
                <w:rFonts w:hint="eastAsia" w:ascii="宋体" w:hAnsi="宋体"/>
                <w:color w:val="auto"/>
                <w:sz w:val="22"/>
                <w:szCs w:val="24"/>
                <w:highlight w:val="none"/>
              </w:rPr>
              <w:t xml:space="preserve">中标后提供由投标供应商为其缴纳的意外伤害保险证明。</w:t>
            </w:r>
            <w:r>
              <w:rPr>
                <w:color w:val="auto"/>
              </w:rPr>
            </w:r>
            <w:r/>
          </w:p>
        </w:tc>
      </w:tr>
    </w:tbl>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其中养护人员的最低配置要求如下：</w:t>
      </w:r>
      <w:r>
        <w:rPr>
          <w:color w:val="auto"/>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09"/>
        <w:gridCol w:w="2874"/>
        <w:gridCol w:w="3960"/>
      </w:tblGrid>
      <w:tr>
        <w:trPr>
          <w:trHeight w:val="603"/>
        </w:trPr>
        <w:tc>
          <w:tcPr>
            <w:tcW w:w="3109" w:type="dxa"/>
            <w:vAlign w:val="center"/>
            <w:textDirection w:val="lrTb"/>
            <w:noWrap w:val="false"/>
          </w:tcPr>
          <w:p>
            <w:pPr>
              <w:pStyle w:val="895"/>
              <w:jc w:val="center"/>
              <w:rPr>
                <w:rFonts w:ascii="宋体" w:hAnsi="宋体"/>
                <w:b/>
                <w:bCs/>
                <w:color w:val="auto"/>
                <w:sz w:val="22"/>
                <w:szCs w:val="24"/>
              </w:rPr>
            </w:pPr>
            <w:r>
              <w:rPr>
                <w:rFonts w:hint="eastAsia" w:ascii="宋体" w:hAnsi="宋体"/>
                <w:b/>
                <w:bCs/>
                <w:color w:val="auto"/>
                <w:sz w:val="22"/>
                <w:szCs w:val="24"/>
              </w:rPr>
              <w:t xml:space="preserve">养护等级</w:t>
            </w:r>
            <w:r>
              <w:rPr>
                <w:color w:val="auto"/>
              </w:rPr>
            </w:r>
            <w:r/>
          </w:p>
        </w:tc>
        <w:tc>
          <w:tcPr>
            <w:tcW w:w="2874" w:type="dxa"/>
            <w:vAlign w:val="center"/>
            <w:textDirection w:val="lrTb"/>
            <w:noWrap w:val="false"/>
          </w:tcPr>
          <w:p>
            <w:pPr>
              <w:pStyle w:val="895"/>
              <w:jc w:val="center"/>
              <w:rPr>
                <w:rFonts w:ascii="宋体" w:hAnsi="宋体"/>
                <w:b/>
                <w:bCs/>
                <w:color w:val="auto"/>
                <w:sz w:val="22"/>
                <w:szCs w:val="24"/>
              </w:rPr>
            </w:pPr>
            <w:r>
              <w:rPr>
                <w:rFonts w:hint="eastAsia" w:ascii="宋体" w:hAnsi="宋体"/>
                <w:b/>
                <w:bCs/>
                <w:color w:val="auto"/>
                <w:sz w:val="22"/>
                <w:szCs w:val="24"/>
              </w:rPr>
              <w:t xml:space="preserve">养护面积(㎡)</w:t>
            </w:r>
            <w:r>
              <w:rPr>
                <w:color w:val="auto"/>
              </w:rPr>
            </w:r>
            <w:r/>
          </w:p>
        </w:tc>
        <w:tc>
          <w:tcPr>
            <w:tcW w:w="3960" w:type="dxa"/>
            <w:vAlign w:val="center"/>
            <w:textDirection w:val="lrTb"/>
            <w:noWrap w:val="false"/>
          </w:tcPr>
          <w:p>
            <w:pPr>
              <w:pStyle w:val="895"/>
              <w:jc w:val="center"/>
              <w:rPr>
                <w:rFonts w:ascii="宋体" w:hAnsi="宋体"/>
                <w:b/>
                <w:bCs/>
                <w:color w:val="auto"/>
                <w:sz w:val="22"/>
                <w:szCs w:val="24"/>
              </w:rPr>
            </w:pPr>
            <w:r>
              <w:rPr>
                <w:rFonts w:hint="eastAsia" w:ascii="宋体" w:hAnsi="宋体"/>
                <w:b/>
                <w:bCs/>
                <w:color w:val="auto"/>
                <w:sz w:val="22"/>
                <w:szCs w:val="24"/>
              </w:rPr>
              <w:t xml:space="preserve">养护人员配置要求</w:t>
            </w:r>
            <w:r>
              <w:rPr>
                <w:color w:val="auto"/>
              </w:rPr>
            </w:r>
            <w:r/>
          </w:p>
        </w:tc>
      </w:tr>
      <w:tr>
        <w:trPr>
          <w:trHeight w:val="300"/>
        </w:trPr>
        <w:tc>
          <w:tcPr>
            <w:tcW w:w="3109" w:type="dxa"/>
            <w:vAlign w:val="center"/>
            <w:textDirection w:val="lrTb"/>
            <w:noWrap w:val="false"/>
          </w:tcPr>
          <w:p>
            <w:pPr>
              <w:pStyle w:val="895"/>
              <w:jc w:val="center"/>
              <w:rPr>
                <w:rFonts w:ascii="宋体" w:hAnsi="宋体"/>
                <w:color w:val="auto"/>
                <w:sz w:val="22"/>
                <w:szCs w:val="24"/>
              </w:rPr>
            </w:pPr>
            <w:r>
              <w:rPr>
                <w:rFonts w:hint="eastAsia" w:ascii="宋体" w:hAnsi="宋体"/>
                <w:color w:val="auto"/>
                <w:sz w:val="22"/>
                <w:szCs w:val="24"/>
              </w:rPr>
              <w:t xml:space="preserve">精品（一级）</w:t>
            </w:r>
            <w:r>
              <w:rPr>
                <w:color w:val="auto"/>
              </w:rPr>
            </w:r>
            <w:r/>
          </w:p>
        </w:tc>
        <w:tc>
          <w:tcPr>
            <w:tcW w:w="2874" w:type="dxa"/>
            <w:vAlign w:val="center"/>
            <w:textDirection w:val="lrTb"/>
            <w:noWrap w:val="false"/>
          </w:tcPr>
          <w:p>
            <w:pPr>
              <w:pStyle w:val="895"/>
              <w:jc w:val="center"/>
              <w:rPr>
                <w:rFonts w:ascii="宋体" w:hAnsi="宋体"/>
                <w:color w:val="auto"/>
                <w:sz w:val="22"/>
                <w:szCs w:val="24"/>
                <w:highlight w:val="none"/>
              </w:rPr>
            </w:pPr>
            <w:r>
              <w:rPr>
                <w:rFonts w:hint="eastAsia" w:ascii="宋体" w:hAnsi="宋体"/>
                <w:color w:val="auto"/>
                <w:sz w:val="22"/>
                <w:szCs w:val="24"/>
                <w:highlight w:val="none"/>
              </w:rPr>
              <w:t xml:space="preserve">173659</w:t>
            </w:r>
            <w:r>
              <w:rPr>
                <w:color w:val="auto"/>
              </w:rPr>
            </w:r>
            <w:r/>
          </w:p>
        </w:tc>
        <w:tc>
          <w:tcPr>
            <w:tcW w:w="3960" w:type="dxa"/>
            <w:vAlign w:val="center"/>
            <w:textDirection w:val="lrTb"/>
            <w:noWrap w:val="false"/>
          </w:tcPr>
          <w:p>
            <w:pPr>
              <w:pStyle w:val="895"/>
              <w:jc w:val="center"/>
              <w:rPr>
                <w:rFonts w:hint="eastAsia" w:ascii="宋体" w:hAnsi="宋体" w:eastAsia="宋体"/>
                <w:color w:val="auto"/>
                <w:sz w:val="22"/>
                <w:szCs w:val="24"/>
                <w:highlight w:val="none"/>
              </w:rPr>
            </w:pPr>
            <w:r>
              <w:rPr>
                <w:rFonts w:hint="eastAsia" w:ascii="宋体" w:hAnsi="宋体"/>
                <w:color w:val="auto"/>
                <w:sz w:val="22"/>
                <w:szCs w:val="24"/>
                <w:highlight w:val="none"/>
                <w:lang w:val="en-US" w:eastAsia="zh-CN"/>
              </w:rPr>
              <w:t xml:space="preserve">9</w:t>
            </w:r>
            <w:r>
              <w:rPr>
                <w:color w:val="auto"/>
              </w:rPr>
            </w:r>
            <w:r/>
          </w:p>
        </w:tc>
      </w:tr>
      <w:tr>
        <w:trPr>
          <w:trHeight w:val="300"/>
        </w:trPr>
        <w:tc>
          <w:tcPr>
            <w:tcW w:w="3109" w:type="dxa"/>
            <w:vAlign w:val="center"/>
            <w:textDirection w:val="lrTb"/>
            <w:noWrap w:val="false"/>
          </w:tcPr>
          <w:p>
            <w:pPr>
              <w:pStyle w:val="895"/>
              <w:jc w:val="center"/>
              <w:rPr>
                <w:rFonts w:ascii="宋体" w:hAnsi="宋体"/>
                <w:color w:val="auto"/>
                <w:sz w:val="22"/>
                <w:szCs w:val="24"/>
              </w:rPr>
            </w:pPr>
            <w:r>
              <w:rPr>
                <w:rFonts w:hint="eastAsia" w:ascii="宋体" w:hAnsi="宋体"/>
                <w:color w:val="auto"/>
                <w:sz w:val="22"/>
                <w:szCs w:val="24"/>
              </w:rPr>
              <w:t xml:space="preserve">普通（二级）</w:t>
            </w:r>
            <w:r>
              <w:rPr>
                <w:color w:val="auto"/>
              </w:rPr>
            </w:r>
            <w:r/>
          </w:p>
        </w:tc>
        <w:tc>
          <w:tcPr>
            <w:tcW w:w="2874" w:type="dxa"/>
            <w:vAlign w:val="center"/>
            <w:textDirection w:val="lrTb"/>
            <w:noWrap w:val="false"/>
          </w:tcPr>
          <w:p>
            <w:pPr>
              <w:pStyle w:val="895"/>
              <w:jc w:val="center"/>
              <w:rPr>
                <w:rFonts w:ascii="宋体" w:hAnsi="宋体"/>
                <w:color w:val="auto"/>
                <w:sz w:val="22"/>
                <w:szCs w:val="24"/>
                <w:highlight w:val="none"/>
              </w:rPr>
            </w:pPr>
            <w:r>
              <w:rPr>
                <w:rFonts w:hint="eastAsia" w:ascii="宋体" w:hAnsi="宋体"/>
                <w:color w:val="auto"/>
                <w:sz w:val="22"/>
                <w:szCs w:val="24"/>
                <w:highlight w:val="none"/>
              </w:rPr>
              <w:t xml:space="preserve">478047.27</w:t>
            </w:r>
            <w:r>
              <w:rPr>
                <w:color w:val="auto"/>
              </w:rPr>
            </w:r>
            <w:r/>
          </w:p>
        </w:tc>
        <w:tc>
          <w:tcPr>
            <w:tcW w:w="3960" w:type="dxa"/>
            <w:vAlign w:val="center"/>
            <w:textDirection w:val="lrTb"/>
            <w:noWrap w:val="false"/>
          </w:tcPr>
          <w:p>
            <w:pPr>
              <w:pStyle w:val="895"/>
              <w:jc w:val="center"/>
              <w:rPr>
                <w:rFonts w:ascii="宋体" w:hAnsi="宋体" w:eastAsia="宋体"/>
                <w:color w:val="auto"/>
                <w:sz w:val="22"/>
                <w:szCs w:val="24"/>
                <w:highlight w:val="none"/>
              </w:rPr>
            </w:pPr>
            <w:r>
              <w:rPr>
                <w:rFonts w:hint="eastAsia" w:ascii="宋体" w:hAnsi="宋体"/>
                <w:color w:val="auto"/>
                <w:sz w:val="22"/>
                <w:szCs w:val="24"/>
                <w:highlight w:val="none"/>
                <w:lang w:val="en-US" w:eastAsia="zh-CN"/>
              </w:rPr>
              <w:t xml:space="preserve">16</w:t>
            </w:r>
            <w:r>
              <w:rPr>
                <w:color w:val="auto"/>
              </w:rPr>
            </w:r>
            <w:r/>
          </w:p>
        </w:tc>
      </w:tr>
    </w:tbl>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备注：</w:t>
      </w:r>
      <w:r>
        <w:rPr>
          <w:rFonts w:ascii="宋体" w:hAnsi="宋体"/>
          <w:b/>
          <w:bCs/>
          <w:color w:val="auto"/>
          <w:sz w:val="24"/>
          <w:szCs w:val="32"/>
        </w:rPr>
        <w:t xml:space="preserve">1</w:t>
      </w:r>
      <w:r>
        <w:rPr>
          <w:rFonts w:hint="eastAsia" w:ascii="宋体" w:hAnsi="宋体"/>
          <w:b/>
          <w:bCs/>
          <w:color w:val="auto"/>
          <w:sz w:val="24"/>
          <w:szCs w:val="32"/>
        </w:rPr>
        <w:t xml:space="preserve">）投标供应商的车辆、技工必须满足最低配置要求；</w:t>
      </w:r>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2）中标供应商中标后10个工作日内，必须将普通养护作业人员全部配置到位，否则采购人有权不予签订合同，并取消其中标资格；</w:t>
      </w:r>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3）中标供应商中标后，一旦被采购人发现，投入该项目的车辆、人员数量未达到规定要求的，属于投标供应商违约责任，采购人有权中止服务合同；</w:t>
      </w:r>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4）中标供应商按管理要求严格落实人员数量配备齐全，做到专岗专人；项目管理人员必须专职；作业期间作业人员或管理人员的变动必须在3个工作日内书面报告采购人；</w:t>
      </w:r>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5）根据《中华人民共和国劳动合同法》、《中华人民共和国社会保险法》，中标供应商必须依法规范用</w:t>
      </w:r>
      <w:r>
        <w:rPr>
          <w:rFonts w:hint="eastAsia" w:ascii="宋体" w:hAnsi="宋体"/>
          <w:b/>
          <w:bCs/>
          <w:color w:val="auto"/>
          <w:sz w:val="24"/>
          <w:szCs w:val="32"/>
        </w:rPr>
        <w:t xml:space="preserve">工，符合规定条件的人员须签订劳动合同，依法参加社会保险，所有人员工资应不低于最新公布的无锡市最低工资标</w:t>
      </w:r>
      <w:r>
        <w:rPr>
          <w:rFonts w:hint="eastAsia" w:ascii="宋体" w:hAnsi="宋体"/>
          <w:b/>
          <w:bCs/>
          <w:color w:val="auto"/>
          <w:sz w:val="24"/>
          <w:szCs w:val="32"/>
        </w:rPr>
        <w:t xml:space="preserve">准。</w:t>
      </w:r>
      <w:r>
        <w:rPr>
          <w:color w:val="auto"/>
        </w:rPr>
      </w:r>
      <w:r/>
    </w:p>
    <w:p>
      <w:pPr>
        <w:pStyle w:val="895"/>
        <w:ind w:firstLine="480"/>
        <w:jc w:val="left"/>
        <w:spacing w:line="440" w:lineRule="exact"/>
        <w:rPr>
          <w:rFonts w:ascii="宋体" w:hAnsi="宋体"/>
          <w:b/>
          <w:bCs/>
          <w:color w:val="auto"/>
          <w:sz w:val="24"/>
          <w:szCs w:val="32"/>
        </w:rPr>
      </w:pPr>
      <w:r>
        <w:rPr>
          <w:color w:val="auto"/>
        </w:rPr>
      </w:r>
      <w:bookmarkEnd w:id="12"/>
      <w:r>
        <w:rPr>
          <w:rFonts w:hint="eastAsia" w:ascii="宋体" w:hAnsi="宋体"/>
          <w:b/>
          <w:bCs/>
          <w:color w:val="auto"/>
          <w:sz w:val="24"/>
          <w:szCs w:val="32"/>
        </w:rPr>
        <w:t xml:space="preserve">四、</w:t>
      </w:r>
      <w:bookmarkStart w:id="13" w:name="_Hlk102643740"/>
      <w:r>
        <w:rPr>
          <w:rFonts w:hint="eastAsia" w:ascii="宋体" w:hAnsi="宋体"/>
          <w:b/>
          <w:bCs/>
          <w:color w:val="auto"/>
          <w:sz w:val="24"/>
          <w:szCs w:val="32"/>
        </w:rPr>
        <w:t xml:space="preserve">考核要求</w:t>
      </w:r>
      <w:bookmarkEnd w:id="13"/>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1.具体见《钱桥街道绿化管养工作考核办法》</w:t>
      </w:r>
      <w:r>
        <w:rPr>
          <w:color w:val="auto"/>
        </w:rPr>
      </w:r>
      <w:r/>
    </w:p>
    <w:p>
      <w:pPr>
        <w:pStyle w:val="895"/>
        <w:ind w:firstLine="480"/>
        <w:jc w:val="left"/>
        <w:spacing w:line="440" w:lineRule="exact"/>
        <w:rPr>
          <w:rFonts w:ascii="宋体" w:hAnsi="宋体"/>
          <w:b/>
          <w:bCs/>
          <w:color w:val="auto"/>
          <w:sz w:val="24"/>
          <w:szCs w:val="32"/>
        </w:rPr>
      </w:pPr>
      <w:r>
        <w:rPr>
          <w:rFonts w:hint="eastAsia" w:ascii="宋体" w:hAnsi="宋体"/>
          <w:b/>
          <w:bCs/>
          <w:color w:val="auto"/>
          <w:sz w:val="24"/>
          <w:szCs w:val="32"/>
        </w:rPr>
        <w:t xml:space="preserve">2.奖惩措施</w:t>
      </w:r>
      <w:r>
        <w:rPr>
          <w:color w:val="auto"/>
        </w:rPr>
      </w:r>
      <w:r/>
    </w:p>
    <w:p>
      <w:pPr>
        <w:pStyle w:val="895"/>
        <w:ind w:firstLine="480"/>
        <w:spacing w:line="440" w:lineRule="exact"/>
        <w:tabs>
          <w:tab w:val="left" w:pos="945" w:leader="none"/>
        </w:tabs>
        <w:rPr>
          <w:rFonts w:ascii="宋体" w:hAnsi="宋体"/>
          <w:bCs/>
          <w:color w:val="auto"/>
          <w:sz w:val="24"/>
          <w:szCs w:val="24"/>
        </w:rPr>
        <w:outlineLvl w:val="0"/>
      </w:pPr>
      <w:r>
        <w:rPr>
          <w:rFonts w:hint="eastAsia" w:ascii="宋体" w:hAnsi="宋体"/>
          <w:bCs/>
          <w:color w:val="auto"/>
          <w:sz w:val="24"/>
          <w:szCs w:val="24"/>
        </w:rPr>
        <w:t xml:space="preserve">在绿化养护期间，</w:t>
      </w:r>
      <w:r>
        <w:rPr>
          <w:rFonts w:hint="eastAsia" w:ascii="宋体" w:hAnsi="宋体"/>
          <w:bCs/>
          <w:color w:val="auto"/>
          <w:sz w:val="24"/>
          <w:szCs w:val="24"/>
          <w:highlight w:val="none"/>
        </w:rPr>
        <w:t xml:space="preserve">被考核单位连续二个月</w:t>
      </w:r>
      <w:r>
        <w:rPr>
          <w:rFonts w:hint="eastAsia" w:ascii="宋体" w:hAnsi="宋体"/>
          <w:bCs/>
          <w:color w:val="auto"/>
          <w:sz w:val="24"/>
          <w:szCs w:val="24"/>
          <w:highlight w:val="none"/>
          <w:lang w:val="en-US" w:eastAsia="zh-CN"/>
        </w:rPr>
        <w:t xml:space="preserve">低于80分</w:t>
      </w:r>
      <w:r>
        <w:rPr>
          <w:rFonts w:hint="eastAsia" w:ascii="宋体" w:hAnsi="宋体"/>
          <w:bCs/>
          <w:color w:val="auto"/>
          <w:sz w:val="24"/>
          <w:szCs w:val="24"/>
          <w:highlight w:val="none"/>
        </w:rPr>
        <w:t xml:space="preserve">或一年内累计有三个月考核分低于85分（含）的</w:t>
      </w:r>
      <w:r>
        <w:rPr>
          <w:rFonts w:hint="eastAsia" w:ascii="宋体" w:hAnsi="宋体"/>
          <w:bCs/>
          <w:color w:val="auto"/>
          <w:sz w:val="24"/>
          <w:szCs w:val="24"/>
        </w:rPr>
        <w:t xml:space="preserve">，或经考核确实不能承担养护项目的，采购人有权无条件单方面终止合同。养护单位接采购人通知后24小时内必须无条件清退出场，由此造成的经济损失由养护单位承担，原已完成的工作量按实结算。同时，养护单位不得参加下一轮采购人的养护招投标工作。在绿化养护期间，获得区级荣誉一次奖励3000元、获得市级荣誉奖励5000元。</w:t>
      </w:r>
      <w:r>
        <w:rPr>
          <w:color w:val="auto"/>
        </w:rPr>
      </w:r>
      <w:r/>
    </w:p>
    <w:p>
      <w:pPr>
        <w:pStyle w:val="895"/>
        <w:ind w:firstLine="480"/>
        <w:spacing w:line="440" w:lineRule="exact"/>
        <w:tabs>
          <w:tab w:val="left" w:pos="945" w:leader="none"/>
        </w:tabs>
        <w:rPr>
          <w:rFonts w:ascii="宋体" w:hAnsi="宋体"/>
          <w:b/>
          <w:color w:val="auto"/>
          <w:sz w:val="24"/>
          <w:szCs w:val="24"/>
        </w:rPr>
        <w:outlineLvl w:val="0"/>
      </w:pPr>
      <w:r>
        <w:rPr>
          <w:color w:val="auto"/>
        </w:rPr>
      </w:r>
      <w:bookmarkStart w:id="14" w:name="_Toc83622622"/>
      <w:r>
        <w:rPr>
          <w:rFonts w:ascii="宋体" w:hAnsi="宋体"/>
          <w:b/>
          <w:color w:val="auto"/>
          <w:sz w:val="24"/>
          <w:szCs w:val="24"/>
        </w:rPr>
        <w:t xml:space="preserve">5</w:t>
      </w:r>
      <w:r>
        <w:rPr>
          <w:rFonts w:hint="eastAsia" w:ascii="宋体" w:hAnsi="宋体"/>
          <w:b/>
          <w:color w:val="auto"/>
          <w:sz w:val="24"/>
          <w:szCs w:val="24"/>
        </w:rPr>
        <w:t xml:space="preserve">.其他要求</w:t>
      </w:r>
      <w:bookmarkEnd w:id="14"/>
      <w:r>
        <w:rPr>
          <w:color w:val="auto"/>
        </w:rPr>
      </w:r>
      <w:r/>
    </w:p>
    <w:p>
      <w:pPr>
        <w:pStyle w:val="895"/>
        <w:ind w:firstLine="480"/>
        <w:spacing w:line="440" w:lineRule="exact"/>
        <w:tabs>
          <w:tab w:val="left" w:pos="945" w:leader="none"/>
        </w:tabs>
        <w:rPr>
          <w:rFonts w:ascii="宋体" w:hAnsi="宋体"/>
          <w:bCs/>
          <w:color w:val="auto"/>
          <w:sz w:val="24"/>
          <w:szCs w:val="24"/>
        </w:rPr>
        <w:outlineLvl w:val="0"/>
      </w:pPr>
      <w:r>
        <w:rPr>
          <w:color w:val="auto"/>
        </w:rPr>
      </w:r>
      <w:bookmarkStart w:id="15" w:name="_Toc83622623"/>
      <w:r>
        <w:rPr>
          <w:rFonts w:hint="eastAsia" w:ascii="宋体" w:hAnsi="宋体"/>
          <w:bCs/>
          <w:color w:val="auto"/>
          <w:sz w:val="24"/>
          <w:szCs w:val="24"/>
        </w:rPr>
        <w:t xml:space="preserve">（1）接受</w:t>
      </w:r>
      <w:r>
        <w:rPr>
          <w:rFonts w:hint="eastAsia" w:ascii="宋体" w:hAnsi="宋体"/>
          <w:bCs/>
          <w:color w:val="auto"/>
          <w:sz w:val="24"/>
          <w:szCs w:val="24"/>
        </w:rPr>
        <w:t xml:space="preserve">采购人定期或不定期的监督及考核，若中标供应商未按规定定期进行周边巡查、编写日报、月报或服务成果未达到采购人要求，采购人有权对中标供应商进行扣款，考核结果连续三次未达到采购人要</w:t>
      </w:r>
      <w:r>
        <w:rPr>
          <w:rFonts w:hint="eastAsia" w:ascii="宋体" w:hAnsi="宋体"/>
          <w:bCs/>
          <w:color w:val="auto"/>
          <w:sz w:val="24"/>
          <w:szCs w:val="24"/>
        </w:rPr>
        <w:t xml:space="preserve">求，采购人有权单方解除合同，造成的损失全部由中标供应商承担。</w:t>
      </w:r>
      <w:bookmarkEnd w:id="15"/>
      <w:r>
        <w:rPr>
          <w:color w:val="auto"/>
        </w:rPr>
      </w:r>
      <w:r/>
    </w:p>
    <w:p>
      <w:pPr>
        <w:pStyle w:val="895"/>
        <w:ind w:firstLine="480"/>
        <w:spacing w:line="440" w:lineRule="exact"/>
        <w:tabs>
          <w:tab w:val="left" w:pos="945" w:leader="none"/>
        </w:tabs>
        <w:rPr>
          <w:rFonts w:ascii="宋体" w:hAnsi="宋体"/>
          <w:bCs/>
          <w:color w:val="auto"/>
          <w:sz w:val="24"/>
          <w:szCs w:val="24"/>
        </w:rPr>
        <w:outlineLvl w:val="0"/>
      </w:pPr>
      <w:r>
        <w:rPr>
          <w:color w:val="auto"/>
        </w:rPr>
      </w:r>
      <w:bookmarkStart w:id="16" w:name="_Toc83622624"/>
      <w:r>
        <w:rPr>
          <w:rFonts w:hint="eastAsia" w:ascii="宋体" w:hAnsi="宋体"/>
          <w:bCs/>
          <w:color w:val="auto"/>
          <w:sz w:val="24"/>
          <w:szCs w:val="24"/>
        </w:rPr>
        <w:t xml:space="preserve">（2）</w:t>
      </w:r>
      <w:r>
        <w:rPr>
          <w:rFonts w:ascii="宋体" w:hAnsi="宋体"/>
          <w:bCs/>
          <w:color w:val="auto"/>
          <w:sz w:val="24"/>
          <w:szCs w:val="24"/>
        </w:rPr>
        <w:t xml:space="preserve">中标供应商必须完全同意，本项目成果的著作权、版权、专利权和使用权归</w:t>
      </w:r>
      <w:r>
        <w:rPr>
          <w:rFonts w:hint="eastAsia" w:ascii="宋体" w:hAnsi="宋体"/>
          <w:bCs/>
          <w:color w:val="auto"/>
          <w:sz w:val="24"/>
          <w:szCs w:val="24"/>
        </w:rPr>
        <w:t xml:space="preserve">采购人所有（署名权除外），采购人完全享有自由处置该项目成果的权利。</w:t>
      </w:r>
      <w:bookmarkEnd w:id="16"/>
      <w:r>
        <w:rPr>
          <w:color w:val="auto"/>
        </w:rPr>
      </w:r>
      <w:r/>
    </w:p>
    <w:p>
      <w:pPr>
        <w:pStyle w:val="895"/>
        <w:ind w:firstLine="480"/>
        <w:spacing w:line="440" w:lineRule="exact"/>
        <w:tabs>
          <w:tab w:val="left" w:pos="945" w:leader="none"/>
        </w:tabs>
        <w:rPr>
          <w:rFonts w:ascii="宋体" w:hAnsi="宋体"/>
          <w:bCs/>
          <w:color w:val="auto"/>
          <w:sz w:val="24"/>
          <w:szCs w:val="24"/>
        </w:rPr>
        <w:outlineLvl w:val="0"/>
      </w:pPr>
      <w:r>
        <w:rPr>
          <w:color w:val="auto"/>
        </w:rPr>
      </w:r>
      <w:bookmarkStart w:id="17" w:name="_Toc83622625"/>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w:t>
      </w:r>
      <w:r>
        <w:rPr>
          <w:rFonts w:ascii="宋体" w:hAnsi="宋体"/>
          <w:bCs/>
          <w:color w:val="auto"/>
          <w:sz w:val="24"/>
          <w:szCs w:val="24"/>
        </w:rPr>
        <w:t xml:space="preserve">中标供应商必须对采购人提供的属于国家秘密、以及商业秘密及个人隐私信</w:t>
      </w:r>
      <w:r>
        <w:rPr>
          <w:rFonts w:hint="eastAsia" w:ascii="宋体" w:hAnsi="宋体"/>
          <w:bCs/>
          <w:color w:val="auto"/>
          <w:sz w:val="24"/>
          <w:szCs w:val="24"/>
        </w:rPr>
        <w:t xml:space="preserve">息等工作秘密资料、调查数据保密，未经采购人书面同意，中标人不得泄露以上相关成果内容。如查实中标供应商确有泄密行为，采购人有权拒付全部服务报酬，并依法追究成交人的法律及赔偿责任。中标人的保密责任，不因本项目合同的中止或解除而失效。</w:t>
      </w:r>
      <w:bookmarkEnd w:id="17"/>
      <w:r>
        <w:rPr>
          <w:color w:val="auto"/>
        </w:rPr>
      </w:r>
      <w:r/>
    </w:p>
    <w:p>
      <w:pPr>
        <w:pStyle w:val="895"/>
        <w:ind w:firstLine="480"/>
        <w:spacing w:line="440" w:lineRule="exact"/>
        <w:tabs>
          <w:tab w:val="left" w:pos="945" w:leader="none"/>
        </w:tabs>
        <w:rPr>
          <w:rFonts w:ascii="宋体" w:hAnsi="宋体"/>
          <w:bCs/>
          <w:color w:val="auto"/>
          <w:sz w:val="24"/>
          <w:szCs w:val="24"/>
        </w:rPr>
        <w:outlineLvl w:val="0"/>
      </w:pPr>
      <w:r>
        <w:rPr>
          <w:color w:val="auto"/>
        </w:rPr>
      </w:r>
      <w:bookmarkStart w:id="18" w:name="_Toc83622626"/>
      <w:r>
        <w:rPr>
          <w:rFonts w:hint="eastAsia" w:ascii="宋体" w:hAnsi="宋体"/>
          <w:bCs/>
          <w:color w:val="auto"/>
          <w:sz w:val="24"/>
          <w:szCs w:val="24"/>
        </w:rPr>
        <w:t xml:space="preserve">（</w:t>
      </w:r>
      <w:r>
        <w:rPr>
          <w:rFonts w:ascii="宋体" w:hAnsi="宋体"/>
          <w:bCs/>
          <w:color w:val="auto"/>
          <w:sz w:val="24"/>
          <w:szCs w:val="24"/>
        </w:rPr>
        <w:t xml:space="preserve">4</w:t>
      </w:r>
      <w:r>
        <w:rPr>
          <w:rFonts w:hint="eastAsia" w:ascii="宋体" w:hAnsi="宋体"/>
          <w:bCs/>
          <w:color w:val="auto"/>
          <w:sz w:val="24"/>
          <w:szCs w:val="24"/>
        </w:rPr>
        <w:t xml:space="preserve">）</w:t>
      </w:r>
      <w:r>
        <w:rPr>
          <w:rFonts w:ascii="宋体" w:hAnsi="宋体"/>
          <w:bCs/>
          <w:color w:val="auto"/>
          <w:sz w:val="24"/>
          <w:szCs w:val="24"/>
        </w:rPr>
        <w:t xml:space="preserve">双方均应保护对方的知识产权，未经对方同意，任何一方均不得将对方</w:t>
      </w:r>
      <w:r>
        <w:rPr>
          <w:rFonts w:hint="eastAsia" w:ascii="宋体" w:hAnsi="宋体"/>
          <w:bCs/>
          <w:color w:val="auto"/>
          <w:sz w:val="24"/>
          <w:szCs w:val="24"/>
        </w:rPr>
        <w:t xml:space="preserve">的资料及文件擅自修改、复制或向第三人转让或用于本合同项目外的项目。如发生以上情况，泄密方承担一切由此引起的后果并承担赔偿责任。</w:t>
      </w:r>
      <w:bookmarkEnd w:id="18"/>
      <w:r>
        <w:rPr>
          <w:color w:val="auto"/>
        </w:rPr>
      </w:r>
      <w:r/>
    </w:p>
    <w:p>
      <w:pPr>
        <w:pStyle w:val="895"/>
        <w:ind w:firstLine="480"/>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五、报价要求</w:t>
      </w:r>
      <w:bookmarkEnd w:id="10"/>
      <w:r>
        <w:rPr>
          <w:color w:val="auto"/>
        </w:rPr>
      </w:r>
      <w:r/>
    </w:p>
    <w:p>
      <w:pPr>
        <w:pStyle w:val="895"/>
        <w:ind w:firstLine="480"/>
        <w:spacing w:line="440" w:lineRule="exact"/>
        <w:rPr>
          <w:rFonts w:ascii="宋体" w:hAnsi="宋体"/>
          <w:bCs/>
          <w:color w:val="auto"/>
          <w:sz w:val="24"/>
          <w:szCs w:val="24"/>
        </w:rPr>
      </w:pPr>
      <w:r>
        <w:rPr>
          <w:color w:val="auto"/>
        </w:rPr>
      </w:r>
      <w:bookmarkStart w:id="19" w:name="_Toc36414916"/>
      <w:r>
        <w:rPr>
          <w:rFonts w:hint="eastAsia" w:ascii="宋体" w:hAnsi="宋体"/>
          <w:bCs/>
          <w:color w:val="auto"/>
          <w:sz w:val="24"/>
          <w:szCs w:val="24"/>
        </w:rPr>
        <w:t xml:space="preserve">1.投标报价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rPr>
          <w:color w:val="auto"/>
        </w:rPr>
      </w:r>
      <w:r/>
    </w:p>
    <w:p>
      <w:pPr>
        <w:pStyle w:val="895"/>
        <w:ind w:firstLine="480"/>
        <w:spacing w:line="440" w:lineRule="exact"/>
        <w:rPr>
          <w:rFonts w:ascii="宋体" w:hAnsi="宋体"/>
          <w:bCs/>
          <w:color w:val="auto"/>
          <w:sz w:val="24"/>
          <w:szCs w:val="24"/>
        </w:rPr>
      </w:pPr>
      <w:r>
        <w:rPr>
          <w:rFonts w:hint="eastAsia" w:ascii="宋体" w:hAnsi="宋体"/>
          <w:bCs/>
          <w:color w:val="auto"/>
          <w:sz w:val="24"/>
          <w:szCs w:val="24"/>
        </w:rPr>
        <w:t xml:space="preserve">2.中标供应商必须为本项目全部服务人员（包括管理人员）购买人身意外伤害险，须报给采购人备案登记，年底根据实际上交情况做考核处理，如果没有达到要求比例的则相应扣除费用。</w:t>
      </w:r>
      <w:r>
        <w:rPr>
          <w:color w:val="auto"/>
        </w:rPr>
      </w:r>
      <w:r/>
    </w:p>
    <w:p>
      <w:pPr>
        <w:pStyle w:val="895"/>
        <w:ind w:firstLine="480"/>
        <w:spacing w:line="440" w:lineRule="exact"/>
        <w:rPr>
          <w:rFonts w:ascii="宋体" w:hAnsi="宋体"/>
          <w:bCs/>
          <w:color w:val="auto"/>
          <w:sz w:val="24"/>
          <w:szCs w:val="24"/>
        </w:rPr>
      </w:pPr>
      <w:r>
        <w:rPr>
          <w:rFonts w:hint="eastAsia" w:ascii="宋体" w:hAnsi="宋体"/>
          <w:bCs/>
          <w:color w:val="auto"/>
          <w:sz w:val="24"/>
          <w:szCs w:val="24"/>
        </w:rPr>
        <w:t xml:space="preserve">3.如遇国家和省、市级迎检、重大活动保障及自然灾害时，中标供应商必须服从采购人统一安排，增加养护人员及设备，所需费用中标供应商综合考虑，中标后不作增加。</w:t>
      </w:r>
      <w:r>
        <w:rPr>
          <w:color w:val="auto"/>
        </w:rPr>
      </w:r>
      <w:r/>
    </w:p>
    <w:p>
      <w:pPr>
        <w:pStyle w:val="895"/>
        <w:ind w:firstLine="480"/>
        <w:spacing w:line="440" w:lineRule="exact"/>
        <w:rPr>
          <w:rFonts w:ascii="宋体" w:hAnsi="宋体"/>
          <w:bCs/>
          <w:color w:val="auto"/>
          <w:sz w:val="24"/>
          <w:szCs w:val="24"/>
        </w:rPr>
      </w:pPr>
      <w:r>
        <w:rPr>
          <w:rFonts w:hint="eastAsia" w:ascii="宋体" w:hAnsi="宋体"/>
          <w:bCs/>
          <w:color w:val="auto"/>
          <w:sz w:val="24"/>
          <w:szCs w:val="24"/>
        </w:rPr>
        <w:t xml:space="preserve">4.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r>
        <w:rPr>
          <w:color w:val="auto"/>
        </w:rPr>
      </w:r>
      <w:r/>
    </w:p>
    <w:p>
      <w:pPr>
        <w:pStyle w:val="895"/>
        <w:ind w:firstLine="480"/>
        <w:spacing w:line="440" w:lineRule="exact"/>
        <w:rPr>
          <w:rFonts w:ascii="宋体" w:hAnsi="宋体"/>
          <w:bCs/>
          <w:color w:val="auto"/>
          <w:sz w:val="24"/>
          <w:szCs w:val="24"/>
        </w:rPr>
      </w:pPr>
      <w:r>
        <w:rPr>
          <w:rFonts w:hint="eastAsia" w:ascii="宋体" w:hAnsi="宋体"/>
          <w:bCs/>
          <w:color w:val="auto"/>
          <w:sz w:val="24"/>
          <w:szCs w:val="24"/>
        </w:rPr>
        <w:t xml:space="preserve">5.养护用水、电费请投标供应商自行考虑，费用纳入投标报价中。</w:t>
      </w:r>
      <w:r>
        <w:rPr>
          <w:color w:val="auto"/>
        </w:rPr>
      </w:r>
      <w:r/>
    </w:p>
    <w:p>
      <w:pPr>
        <w:pStyle w:val="895"/>
        <w:ind w:firstLine="480"/>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六、其他说明</w:t>
      </w:r>
      <w:bookmarkEnd w:id="19"/>
      <w:r>
        <w:rPr>
          <w:color w:val="auto"/>
        </w:rPr>
      </w:r>
      <w:r/>
    </w:p>
    <w:p>
      <w:pPr>
        <w:pStyle w:val="895"/>
        <w:ind w:firstLine="480"/>
        <w:jc w:val="left"/>
        <w:spacing w:line="440" w:lineRule="exact"/>
        <w:shd w:val="clear" w:color="auto" w:fill="ffffff"/>
        <w:widowControl/>
        <w:rPr>
          <w:color w:val="auto"/>
          <w:sz w:val="24"/>
          <w:szCs w:val="24"/>
        </w:rPr>
      </w:pPr>
      <w:r>
        <w:rPr>
          <w:rFonts w:hint="eastAsia"/>
          <w:color w:val="auto"/>
          <w:sz w:val="24"/>
          <w:szCs w:val="24"/>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rPr>
          <w:color w:val="auto"/>
        </w:rPr>
      </w:r>
      <w:r/>
    </w:p>
    <w:p>
      <w:pPr>
        <w:pStyle w:val="895"/>
        <w:ind w:firstLine="480"/>
        <w:jc w:val="left"/>
        <w:spacing w:line="440" w:lineRule="exact"/>
        <w:shd w:val="clear" w:color="auto" w:fill="ffffff"/>
        <w:widowControl/>
        <w:rPr>
          <w:rFonts w:ascii="宋体" w:hAnsi="宋体"/>
          <w:color w:val="auto"/>
          <w:sz w:val="24"/>
          <w:szCs w:val="24"/>
        </w:rPr>
      </w:pPr>
      <w:r>
        <w:rPr>
          <w:rFonts w:hint="eastAsia" w:ascii="宋体" w:hAnsi="宋体"/>
          <w:color w:val="auto"/>
          <w:sz w:val="24"/>
          <w:szCs w:val="24"/>
        </w:rPr>
        <w:t xml:space="preserve">（1）放弃中标项目；</w:t>
      </w:r>
      <w:r>
        <w:rPr>
          <w:color w:val="auto"/>
        </w:rPr>
      </w:r>
      <w:r/>
    </w:p>
    <w:p>
      <w:pPr>
        <w:pStyle w:val="895"/>
        <w:ind w:firstLine="480"/>
        <w:jc w:val="left"/>
        <w:spacing w:line="440" w:lineRule="exact"/>
        <w:shd w:val="clear" w:color="auto" w:fill="ffffff"/>
        <w:widowControl/>
        <w:rPr>
          <w:rFonts w:ascii="宋体" w:hAnsi="宋体"/>
          <w:color w:val="auto"/>
          <w:sz w:val="24"/>
          <w:szCs w:val="24"/>
        </w:rPr>
      </w:pPr>
      <w:r>
        <w:rPr>
          <w:rFonts w:hint="eastAsia" w:ascii="宋体" w:hAnsi="宋体"/>
          <w:color w:val="auto"/>
          <w:sz w:val="24"/>
          <w:szCs w:val="24"/>
        </w:rPr>
        <w:t xml:space="preserve">（2）无正当理由不与采购人签订合同；</w:t>
      </w:r>
      <w:r>
        <w:rPr>
          <w:color w:val="auto"/>
        </w:rPr>
      </w:r>
      <w:r/>
    </w:p>
    <w:p>
      <w:pPr>
        <w:pStyle w:val="895"/>
        <w:ind w:firstLine="480"/>
        <w:spacing w:line="440" w:lineRule="exact"/>
        <w:rPr>
          <w:rFonts w:ascii="宋体" w:hAnsi="宋体"/>
          <w:bCs/>
          <w:color w:val="auto"/>
          <w:sz w:val="24"/>
        </w:rPr>
      </w:pPr>
      <w:r>
        <w:rPr>
          <w:rFonts w:hint="eastAsia" w:ascii="宋体" w:hAnsi="宋体"/>
          <w:color w:val="auto"/>
          <w:sz w:val="24"/>
          <w:szCs w:val="24"/>
        </w:rPr>
        <w:t xml:space="preserve">（3）在签订合同时向采购人提出附加条件或者更改合同实质性内容的。</w:t>
      </w:r>
      <w:r>
        <w:rPr>
          <w:color w:val="auto"/>
        </w:rPr>
      </w:r>
      <w:r/>
    </w:p>
    <w:p>
      <w:pPr>
        <w:pStyle w:val="895"/>
        <w:ind w:firstLine="480"/>
        <w:spacing w:line="440" w:lineRule="exact"/>
        <w:rPr>
          <w:rFonts w:ascii="宋体" w:hAnsi="宋体" w:cs="Arial"/>
          <w:b/>
          <w:color w:val="auto"/>
          <w:sz w:val="24"/>
        </w:rPr>
      </w:pPr>
      <w:r>
        <w:rPr>
          <w:rFonts w:hint="eastAsia" w:ascii="宋体" w:hAnsi="宋体" w:cs="Arial"/>
          <w:b/>
          <w:color w:val="auto"/>
          <w:sz w:val="24"/>
        </w:rPr>
        <w:t xml:space="preserve">七、综合说明及其他要求</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2.中标供应商服务人员在养护期间因正常服务或采购人派遣的委托项目任务内造成的任何人员伤亡事故，采购人均不承担任何责任。</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6.验收标准：中标供应商提供的成果文件必须符合我国最新颁布的与之相关的技术规范与标准，同时须满足招标文件中所列全部规格、技术条件及功能要求和其承诺的其它指标。</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按《关于开展政府采购合同融资工作的通知》（锡财购〔2020〕17号）、《关于进一步推进政府采购合同融资工作的通知》（锡财购〔2022〕7号）文件执行。</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政府采购法》第七十七条第一款的规定追究法律责任。</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11.凡涉及招标文件的补充说明和修改，均以</w:t>
      </w:r>
      <w:r>
        <w:rPr>
          <w:rFonts w:hint="eastAsia" w:ascii="宋体" w:hAnsi="宋体"/>
          <w:color w:val="auto"/>
          <w:sz w:val="24"/>
          <w:szCs w:val="24"/>
          <w:lang w:eastAsia="zh-CN"/>
        </w:rPr>
        <w:t xml:space="preserve">江苏智汇锡建工程项目管理有限公司</w:t>
      </w:r>
      <w:r>
        <w:rPr>
          <w:rFonts w:hint="eastAsia" w:ascii="宋体" w:hAnsi="宋体"/>
          <w:color w:val="auto"/>
          <w:sz w:val="24"/>
          <w:szCs w:val="24"/>
        </w:rPr>
        <w:t xml:space="preserve">书面通知为准。</w:t>
      </w:r>
      <w:r>
        <w:rPr>
          <w:rFonts w:hint="eastAsia" w:ascii="宋体" w:hAnsi="宋体"/>
          <w:color w:val="auto"/>
          <w:sz w:val="24"/>
          <w:szCs w:val="24"/>
        </w:rPr>
        <w:t xml:space="preserve"> </w:t>
      </w:r>
      <w:r>
        <w:rPr>
          <w:color w:val="auto"/>
        </w:rPr>
      </w:r>
      <w:r/>
    </w:p>
    <w:p>
      <w:pPr>
        <w:pStyle w:val="895"/>
        <w:rPr>
          <w:rFonts w:hAnsi="宋体" w:cs="宋体"/>
          <w:color w:val="auto"/>
          <w:sz w:val="24"/>
          <w:szCs w:val="24"/>
        </w:rPr>
      </w:pPr>
      <w:r>
        <w:rPr>
          <w:rFonts w:hint="eastAsia" w:ascii="宋体" w:hAnsi="宋体" w:cs="宋体"/>
          <w:b/>
          <w:bCs/>
          <w:color w:val="auto"/>
          <w:sz w:val="24"/>
          <w:szCs w:val="24"/>
        </w:rPr>
        <w:t xml:space="preserve"> </w:t>
      </w:r>
      <w:r>
        <w:rPr>
          <w:rFonts w:hint="eastAsia" w:hAnsi="宋体" w:cs="宋体"/>
          <w:color w:val="auto"/>
          <w:sz w:val="24"/>
          <w:szCs w:val="24"/>
        </w:rPr>
        <w:t xml:space="preserve">                        </w:t>
      </w:r>
      <w:r>
        <w:rPr>
          <w:color w:val="auto"/>
        </w:rPr>
      </w:r>
      <w:r/>
    </w:p>
    <w:p>
      <w:pPr>
        <w:pStyle w:val="895"/>
        <w:rPr>
          <w:rFonts w:ascii="宋体" w:hAnsi="宋体" w:cs="宋体"/>
          <w:b/>
          <w:bCs/>
          <w:color w:val="auto"/>
          <w:sz w:val="32"/>
          <w:szCs w:val="32"/>
        </w:rPr>
      </w:pPr>
      <w:r>
        <w:rPr>
          <w:rFonts w:hint="eastAsia" w:ascii="宋体" w:hAnsi="宋体" w:cs="宋体"/>
          <w:b/>
          <w:bCs/>
          <w:color w:val="auto"/>
          <w:sz w:val="32"/>
          <w:szCs w:val="32"/>
        </w:rPr>
        <w:br w:type="page" w:clear="all"/>
      </w:r>
      <w:r>
        <w:rPr>
          <w:color w:val="auto"/>
        </w:rPr>
      </w:r>
      <w:r/>
    </w:p>
    <w:p>
      <w:pPr>
        <w:pStyle w:val="957"/>
        <w:jc w:val="center"/>
        <w:tabs>
          <w:tab w:val="center" w:pos="4153" w:leader="none"/>
          <w:tab w:val="right" w:pos="8306" w:leader="none"/>
        </w:tabs>
        <w:rPr>
          <w:rFonts w:ascii="宋体" w:hAnsi="宋体" w:cs="宋体"/>
          <w:b/>
          <w:bCs/>
          <w:color w:val="auto"/>
          <w:sz w:val="32"/>
          <w:szCs w:val="32"/>
        </w:rPr>
      </w:pPr>
      <w:r>
        <w:rPr>
          <w:rFonts w:hint="eastAsia" w:ascii="宋体" w:hAnsi="宋体" w:cs="宋体"/>
          <w:b/>
          <w:bCs/>
          <w:color w:val="auto"/>
          <w:sz w:val="32"/>
          <w:szCs w:val="32"/>
        </w:rPr>
        <w:t xml:space="preserve">钱桥街道绿化管养考核标准</w:t>
      </w:r>
      <w:r>
        <w:rPr>
          <w:color w:val="auto"/>
        </w:rPr>
      </w:r>
      <w:r/>
    </w:p>
    <w:tbl>
      <w:tblPr>
        <w:tblW w:w="103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654"/>
        <w:gridCol w:w="4598"/>
      </w:tblGrid>
      <w:tr>
        <w:trPr>
          <w:trHeight w:val="90"/>
        </w:trPr>
        <w:tc>
          <w:tcPr>
            <w:tcW w:w="1066" w:type="dxa"/>
            <w:vAlign w:val="center"/>
            <w:textDirection w:val="lrTb"/>
            <w:noWrap w:val="false"/>
          </w:tcPr>
          <w:p>
            <w:pPr>
              <w:pStyle w:val="985"/>
              <w:ind w:left="0" w:firstLine="0"/>
              <w:jc w:val="center"/>
              <w:spacing w:before="0" w:beforeAutospacing="0" w:after="0" w:afterAutospacing="0"/>
              <w:rPr>
                <w:rFonts w:cs="宋体"/>
                <w:b/>
                <w:color w:val="auto"/>
                <w:szCs w:val="24"/>
              </w:rPr>
            </w:pPr>
            <w:r>
              <w:rPr>
                <w:rFonts w:hint="eastAsia" w:cs="宋体"/>
                <w:b/>
                <w:color w:val="auto"/>
                <w:szCs w:val="24"/>
              </w:rPr>
              <w:t xml:space="preserve">类别</w:t>
            </w:r>
            <w:r>
              <w:rPr>
                <w:color w:val="auto"/>
              </w:rPr>
            </w:r>
            <w:r/>
          </w:p>
        </w:tc>
        <w:tc>
          <w:tcPr>
            <w:tcW w:w="4654" w:type="dxa"/>
            <w:vAlign w:val="center"/>
            <w:textDirection w:val="lrTb"/>
            <w:noWrap w:val="false"/>
          </w:tcPr>
          <w:p>
            <w:pPr>
              <w:pStyle w:val="985"/>
              <w:jc w:val="center"/>
              <w:spacing w:before="0" w:beforeAutospacing="0" w:after="0" w:afterAutospacing="0"/>
              <w:rPr>
                <w:rFonts w:cs="宋体"/>
                <w:b/>
                <w:color w:val="auto"/>
                <w:szCs w:val="24"/>
              </w:rPr>
            </w:pPr>
            <w:r>
              <w:rPr>
                <w:rFonts w:hint="eastAsia" w:cs="宋体"/>
                <w:b/>
                <w:color w:val="auto"/>
                <w:szCs w:val="24"/>
              </w:rPr>
              <w:t xml:space="preserve">精品化（一级）</w:t>
            </w:r>
            <w:r>
              <w:rPr>
                <w:color w:val="auto"/>
              </w:rPr>
            </w:r>
            <w:r/>
          </w:p>
        </w:tc>
        <w:tc>
          <w:tcPr>
            <w:tcW w:w="4598" w:type="dxa"/>
            <w:vAlign w:val="center"/>
            <w:textDirection w:val="lrTb"/>
            <w:noWrap w:val="false"/>
          </w:tcPr>
          <w:p>
            <w:pPr>
              <w:pStyle w:val="985"/>
              <w:jc w:val="center"/>
              <w:spacing w:before="0" w:beforeAutospacing="0" w:after="0" w:afterAutospacing="0"/>
              <w:rPr>
                <w:rFonts w:cs="宋体"/>
                <w:b/>
                <w:color w:val="auto"/>
                <w:szCs w:val="24"/>
              </w:rPr>
            </w:pPr>
            <w:r>
              <w:rPr>
                <w:rFonts w:hint="eastAsia" w:cs="宋体"/>
                <w:b/>
                <w:color w:val="auto"/>
                <w:szCs w:val="24"/>
              </w:rPr>
              <w:t xml:space="preserve">标准化（二级）</w:t>
            </w:r>
            <w:r>
              <w:rPr>
                <w:color w:val="auto"/>
              </w:rPr>
            </w:r>
            <w:r/>
          </w:p>
        </w:tc>
      </w:tr>
      <w:tr>
        <w:trPr>
          <w:trHeight w:val="90"/>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行道树</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pacing w:val="-2"/>
                <w:sz w:val="21"/>
                <w:szCs w:val="21"/>
              </w:rPr>
              <w:t xml:space="preserve">①品种统一，姿态协调，无缺株、死树，</w:t>
            </w:r>
            <w:r>
              <w:rPr>
                <w:rFonts w:hint="eastAsia" w:ascii="宋体" w:hAnsi="宋体" w:eastAsia="宋体" w:cs="宋体"/>
                <w:bCs/>
                <w:color w:val="auto"/>
                <w:sz w:val="21"/>
                <w:szCs w:val="21"/>
              </w:rPr>
              <w:t xml:space="preserve">补植树木与原树木径级不超过20%。</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②生长旺盛，树冠完整美观，叶片叶色正常，无黄叶、卷叶（生长季节），无明显虫屎、虫网。</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③树干挺直，倾斜度不超过10度，相邻5株高差＜10%，枝条均匀，不影响行车。</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④定植3年内乔木应视干旱情况，不定期进行浇水，夏季浇水安排在早晚，冬季浇水安排在午后，其中，夏季连续7天未下雨需浇水，每次浇水需浇透。</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⑤定植5年内的行道树，每年植物休眠期施基肥1次，生长期施追肥1次，施肥后及时浇水。</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⑥每年常规修剪不少于2次，及时剥芽、去蘖，合理短截并疏剪内膛枝，保持内膛通风透光。</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⑦每月确保冲洗1次。</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⑧树穴应种植地被植物，黄土不裸露，土壤松疏。</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⑨无断桩、坏桩，桩位扎缚规范化。</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⑩基本无病虫害迹象，蛀干性害虫危害率不超过2％，有防治措施。</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pacing w:val="-2"/>
                <w:sz w:val="21"/>
                <w:szCs w:val="21"/>
              </w:rPr>
              <w:t xml:space="preserve">①无缺株、死树，</w:t>
            </w:r>
            <w:r>
              <w:rPr>
                <w:rFonts w:hint="eastAsia" w:ascii="宋体" w:hAnsi="宋体" w:eastAsia="宋体" w:cs="宋体"/>
                <w:bCs/>
                <w:color w:val="auto"/>
                <w:sz w:val="21"/>
                <w:szCs w:val="21"/>
              </w:rPr>
              <w:t xml:space="preserve">补植树木与原树木径级不超过30%。</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②生长正常，树冠完整，叶片叶色正常，有少量黄叶、卷叶（生长季节）。</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③树干挺直，倾斜度不超过15度，枝条不影响行车。</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④定植3年内乔木应视干旱情况，不定期进行浇水，夏季浇水安排在早晚，冬季浇水安排在午后，其中，夏季连续10天未下雨需浇水，每次浇水需浇透。</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⑤定植5年内的行道树，每年植物休眠期施基肥1次，每2年生长期施追肥1次，施肥后及时浇水。</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⑥每年常规修剪不少于1次，及时剥芽、去蘖，合理短截并疏剪内膛枝，保持内膛通风透光。</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⑦每2个月确保冲洗1次。</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⑧树穴种植地被植物，黄土不裸露。</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pacing w:val="-2"/>
                <w:sz w:val="21"/>
                <w:szCs w:val="21"/>
              </w:rPr>
              <w:t xml:space="preserve">⑨无断桩、坏桩，桩位扎缚规范化。⑩病虫害迹象不明显，蛀干性害虫危害率不超过5％，有防治措施。</w:t>
            </w:r>
            <w:r>
              <w:rPr>
                <w:color w:val="auto"/>
              </w:rPr>
            </w:r>
            <w:r/>
          </w:p>
        </w:tc>
      </w:tr>
      <w:tr>
        <w:trPr>
          <w:trHeight w:val="1128"/>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其它树木及色块灌木</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①生长旺盛，树冠整齐，主侧枝分枝均匀，数量适宜，内膛通风透光，每年常规修剪不少于2次，色块灌木每年修剪不少于6次。</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②叶色正常，无卷叶、黄叶（生长季节），无病虫害。</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③枝干健壮，无枯死枝，基本无病虫害迹象，蛀干性病虫危害率不超过3%。</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④定植3年内乔木及定植5年内的灌木应视干旱情况，不定期进行浇水，夏季浇水安排在早晚，冬季浇水安排在午后，其中，夏季连续10天未下雨需浇水，每次浇水需浇透。</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⑤施基肥在植物休眠期进行，施追肥在植物生长期进行。定植5年内的乔木，每年施基肥1次、追肥1次；定植5年内的灌木，每年施基肥1次、追肥2次；定植5年内的色块灌木每年施基肥2次、追肥4次。施肥后及时浇水。</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⑥缺株率在2%以下（含2%）。不得连续2棵缺株，补植树木与原树木径级不超过20%。</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⑦树穴内无垃圾杂草、土壤松疏。</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①生长正常，树冠基本完整，主侧枝分枝基本均匀，数量适宜，内膛通风透光，每年常规修剪不少于1次，色块灌木每年修剪不少于4次。</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②叶色基本正常，有少量黄叶（生长季节）、焦叶、卷叶，有少量虫屎。</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③枝干生长正常，无明显枯死枝，病虫害迹象不明显，能及时根除，蛀干性病虫危害率不超过5%。</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④定植3年内乔木及定植5年内的灌木应视干旱情况，不定期进行浇水，夏季浇水安排在早晚，冬季浇水安排在午后，其中，夏季连续15天未下雨需浇水，每次浇水需浇透。</w:t>
            </w:r>
            <w:r>
              <w:rPr>
                <w:color w:val="auto"/>
              </w:rPr>
            </w:r>
            <w:r/>
          </w:p>
          <w:p>
            <w:pPr>
              <w:pStyle w:val="985"/>
              <w:jc w:val="both"/>
              <w:spacing w:before="0" w:beforeAutospacing="0" w:after="0" w:afterAutospacing="0"/>
              <w:rPr>
                <w:rFonts w:ascii="宋体" w:hAnsi="宋体" w:eastAsia="宋体" w:cs="宋体"/>
                <w:bCs/>
                <w:color w:val="auto"/>
                <w:spacing w:val="-2"/>
                <w:sz w:val="21"/>
                <w:szCs w:val="21"/>
              </w:rPr>
            </w:pPr>
            <w:r>
              <w:rPr>
                <w:rFonts w:hint="eastAsia" w:ascii="宋体" w:hAnsi="宋体" w:eastAsia="宋体" w:cs="宋体"/>
                <w:bCs/>
                <w:color w:val="auto"/>
                <w:spacing w:val="-2"/>
                <w:sz w:val="21"/>
                <w:szCs w:val="21"/>
              </w:rPr>
              <w:t xml:space="preserve">⑤施基肥在植物休眠期进行，施追肥在植物生长期进行。定植5年内的乔、灌木，每年施基肥1次，每2年生长期施追肥1次；色块灌木每年施基肥1次，追肥2次。施肥后及时浇水。</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⑥缺株率在4%以下（含4%）。不得连续3棵缺株，补植树木与原树木径级不超过30%。</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⑦树穴无垃圾杂草、土壤不板结。</w:t>
            </w:r>
            <w:r>
              <w:rPr>
                <w:color w:val="auto"/>
              </w:rPr>
            </w:r>
            <w:r/>
          </w:p>
        </w:tc>
      </w:tr>
      <w:tr>
        <w:trPr>
          <w:trHeight w:val="566"/>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ascii="宋体" w:hAnsi="宋体" w:eastAsia="宋体" w:cs="宋体"/>
                <w:bCs/>
                <w:color w:val="auto"/>
                <w:sz w:val="22"/>
                <w:szCs w:val="22"/>
              </w:rPr>
              <w:t xml:space="preserve">花卉</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①植株健壮，花型正，花色艳，株行距适宜，不露底土，覆盖面达90%以上。</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②花卉生长正常，无枯枝残花量≤10%，无缺株、倒伏。</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③花坛图案清晰，色彩鲜艳，花朵繁茂，花期一致。</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④浇水以土壤不干燥为准，每年施基肥2次，追肥4次。</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⑤花径花卉层次分明，高矮有序。</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⑥换栽花卉每年换花不少于4次。</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①花卉植株生长良好，花色艳丽，具有一定的株行距，不露底土，覆盖面达80%以上。</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②花卉生长正常，残花量≤15%，缺株、倒伏不超过3-5处，无枯枝残花。</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③花期基本一致。</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④浇水以土壤不干燥为准，每年施基肥2次，追肥2次。</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ascii="宋体" w:hAnsi="宋体" w:eastAsia="宋体" w:cs="宋体"/>
                <w:bCs/>
                <w:color w:val="auto"/>
                <w:sz w:val="21"/>
                <w:szCs w:val="21"/>
              </w:rPr>
            </w:r>
            <w:r>
              <w:rPr>
                <w:color w:val="auto"/>
              </w:rPr>
            </w:r>
            <w:r/>
          </w:p>
        </w:tc>
      </w:tr>
      <w:tr>
        <w:trPr>
          <w:trHeight w:val="1042"/>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绿篱及地被</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①生长茂盛，枝条茂密。</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②每年修剪不少于12次，修剪成型，完整无缺。</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③无垃圾杂物。</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①生长正常。无明显枯枝、断枝。</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②每年修剪不少于8次，修剪及时，形状较完整。</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③基本无垃圾杂物。</w:t>
            </w:r>
            <w:r>
              <w:rPr>
                <w:color w:val="auto"/>
              </w:rPr>
            </w:r>
            <w:r/>
          </w:p>
        </w:tc>
      </w:tr>
      <w:tr>
        <w:trPr>
          <w:trHeight w:val="477"/>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草坪</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①生长旺盛，草根不裸露。</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②生长季节不枯黄，杂草率≤15%，覆盖率达95%以上。</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③修剪及时，每年修剪不少于12次，修剪高度6-8cm，无垃圾及堆料堆物。</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④集中空秃面积不超过0.1㎡。</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①生长良好，杂草率≤25%，覆盖率达90%以上。</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②每年修剪不少于8次，修剪高度不超过10cm，能及时处理堆料堆物。</w:t>
            </w:r>
            <w:r>
              <w:rPr>
                <w:color w:val="auto"/>
              </w:rPr>
            </w:r>
            <w:r/>
          </w:p>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③单块空秃面积不超过0.2㎡。</w:t>
            </w:r>
            <w:r>
              <w:rPr>
                <w:color w:val="auto"/>
              </w:rPr>
            </w:r>
            <w:r/>
          </w:p>
        </w:tc>
      </w:tr>
      <w:tr>
        <w:trPr>
          <w:trHeight w:val="90"/>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病虫害控制</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食叶性害虫危害的叶片每株小于5%，刺吸性害虫危害的叶片每株小于10%，蛀干性害虫率小于3%，基本无危害迹象。</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食叶性害虫危害的叶片每株小于10%，刺吸性害虫危害的叶片每株小于20%，蛀干性害虫危害率小于5%，无明显危害迹象。</w:t>
            </w:r>
            <w:r>
              <w:rPr>
                <w:color w:val="auto"/>
              </w:rPr>
            </w:r>
            <w:r/>
          </w:p>
        </w:tc>
      </w:tr>
      <w:tr>
        <w:trPr>
          <w:trHeight w:val="875"/>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杂草控制</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无杂草。</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基本无杂草。无缠绕性、攀援性杂草。杂草高度控制在6cm以下，不影响景观效果。</w:t>
            </w:r>
            <w:r>
              <w:rPr>
                <w:color w:val="auto"/>
              </w:rPr>
            </w:r>
            <w:r/>
          </w:p>
        </w:tc>
      </w:tr>
      <w:tr>
        <w:trPr>
          <w:trHeight w:val="90"/>
        </w:trPr>
        <w:tc>
          <w:tcPr>
            <w:tcW w:w="1066" w:type="dxa"/>
            <w:vAlign w:val="center"/>
            <w:textDirection w:val="lrTb"/>
            <w:noWrap w:val="false"/>
          </w:tcPr>
          <w:p>
            <w:pPr>
              <w:pStyle w:val="985"/>
              <w:ind w:left="0" w:firstLine="0"/>
              <w:jc w:val="center"/>
              <w:spacing w:before="0" w:beforeAutospacing="0" w:after="0" w:afterAutospacing="0"/>
              <w:rPr>
                <w:rFonts w:cs="宋体"/>
                <w:bCs/>
                <w:color w:val="auto"/>
                <w:sz w:val="22"/>
                <w:szCs w:val="22"/>
              </w:rPr>
            </w:pPr>
            <w:r>
              <w:rPr>
                <w:rFonts w:hint="eastAsia" w:cs="宋体"/>
                <w:bCs/>
                <w:color w:val="auto"/>
                <w:sz w:val="22"/>
                <w:szCs w:val="22"/>
              </w:rPr>
              <w:t xml:space="preserve">环境卫生</w:t>
            </w:r>
            <w:r>
              <w:rPr>
                <w:color w:val="auto"/>
              </w:rPr>
            </w:r>
            <w:r/>
          </w:p>
        </w:tc>
        <w:tc>
          <w:tcPr>
            <w:tcW w:w="4654"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绿地整洁，无垃圾。</w:t>
            </w:r>
            <w:r>
              <w:rPr>
                <w:color w:val="auto"/>
              </w:rPr>
            </w:r>
            <w:r/>
          </w:p>
        </w:tc>
        <w:tc>
          <w:tcPr>
            <w:tcW w:w="4598" w:type="dxa"/>
            <w:vAlign w:val="center"/>
            <w:textDirection w:val="lrTb"/>
            <w:noWrap w:val="false"/>
          </w:tcPr>
          <w:p>
            <w:pPr>
              <w:pStyle w:val="985"/>
              <w:jc w:val="both"/>
              <w:spacing w:before="0" w:beforeAutospacing="0" w:after="0" w:afterAutospacing="0"/>
              <w:rPr>
                <w:rFonts w:ascii="宋体" w:hAnsi="宋体" w:eastAsia="宋体" w:cs="宋体"/>
                <w:bCs/>
                <w:color w:val="auto"/>
                <w:sz w:val="21"/>
                <w:szCs w:val="21"/>
              </w:rPr>
            </w:pPr>
            <w:r>
              <w:rPr>
                <w:rFonts w:hint="eastAsia" w:ascii="宋体" w:hAnsi="宋体" w:eastAsia="宋体" w:cs="宋体"/>
                <w:bCs/>
                <w:color w:val="auto"/>
                <w:sz w:val="21"/>
                <w:szCs w:val="21"/>
              </w:rPr>
              <w:t xml:space="preserve">绿地整洁，无垃圾。</w:t>
            </w:r>
            <w:r>
              <w:rPr>
                <w:color w:val="auto"/>
              </w:rPr>
            </w:r>
            <w:r/>
          </w:p>
        </w:tc>
      </w:tr>
    </w:tbl>
    <w:p>
      <w:pPr>
        <w:pStyle w:val="895"/>
        <w:spacing w:line="360" w:lineRule="auto"/>
        <w:widowControl/>
        <w:rPr>
          <w:rFonts w:ascii="宋体" w:hAnsi="宋体" w:cs="宋体"/>
          <w:b/>
          <w:bCs/>
          <w:color w:val="auto"/>
          <w:sz w:val="24"/>
          <w:szCs w:val="24"/>
        </w:rPr>
      </w:pPr>
      <w:r>
        <w:rPr>
          <w:color w:val="auto"/>
        </w:rPr>
        <w:br w:type="page" w:clear="all"/>
      </w:r>
      <w:r>
        <w:rPr>
          <w:color w:val="auto"/>
        </w:rPr>
      </w:r>
      <w:r/>
    </w:p>
    <w:p>
      <w:pPr>
        <w:pStyle w:val="957"/>
        <w:jc w:val="center"/>
        <w:spacing w:line="360" w:lineRule="auto"/>
        <w:tabs>
          <w:tab w:val="center" w:pos="4153" w:leader="none"/>
          <w:tab w:val="right" w:pos="8306" w:leader="none"/>
        </w:tabs>
        <w:rPr>
          <w:rFonts w:ascii="宋体" w:hAnsi="宋体" w:cs="宋体"/>
          <w:b/>
          <w:bCs/>
          <w:color w:val="auto"/>
          <w:sz w:val="32"/>
          <w:szCs w:val="32"/>
        </w:rPr>
      </w:pPr>
      <w:r>
        <w:rPr>
          <w:rFonts w:hint="eastAsia" w:ascii="宋体" w:hAnsi="宋体" w:cs="宋体"/>
          <w:b/>
          <w:bCs/>
          <w:color w:val="auto"/>
          <w:sz w:val="32"/>
          <w:szCs w:val="32"/>
        </w:rPr>
        <w:t xml:space="preserve">钱桥街道绿化管养工作考核办法</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为进一步巩固街道公共绿化建设成果，提高绿化行业管理水平和绿化养护质量，实现绿化创效管理，按照“靓丽新锡西，崛起科教城”的工作部署，围绕标准养护，制度化管理的工作要求，全力加强我街道绿化管护工作，经研究，制定本办法。</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一、考核范围</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在本街道范围内主次干道、工业园区道路、公园、口袋公园、职教校区、林带、景观绿化、安置房、商品房、综合体、社区主干道、公园、村庄等绿化。</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二、考核机制</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由街道成立绿化考核领导小组，督查考核小组下设专门督查考核机构，综合法规办公室具体负责考核的组织协调和监督检查工作。</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三、工作目标</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1、各管养单位必须高度重视绿化管理考核工作，对照《钱桥街道绿化养护管理考核标准》（详见附件三）的内容和标准，不断完善养护措施，提升管养水平。</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实施养护分级作业。按照道路等级，分别实施一级养护、二级养护。一级道路（盛岸西路、迎龙广场、惠钱路、钱藕路、钱桥大道、节点景观绿化、苏嘉路）一级养护标准；二级道路（钱桥大街、育才路、通溪路、钱桥大道、钱威路、老菜场内、纬三路、晴山蓝城一、二期后背、锡宜高速钱桥道口上下匝道、新盛路、万东路、汇嘉路、华飞路、锡洛公路、鼎盛路、轩盛路、江盛路、胜星路、晓丰路、胜丰路、新业路、纬三路上秦巷浜、佰乐路、华新口袋公园、无锡西互通绿化、钱桥第二中心幼儿园周边景观绿化、兴崎路）二级养护标准。</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3、各管养单位接受考核时必须提供台帐资料（照片、表格等）。</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四、考核办法</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绿化管养工作考核采用百分制考核，考核分两块内容：</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（一）乔木、灌木、草坪、草花、林带日常养护工作</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1、乔木、灌木、草坪按照一级、二级养护标准进行考核。</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2、草花按照一年</w:t>
      </w:r>
      <w:r>
        <w:rPr>
          <w:rFonts w:hint="eastAsia" w:ascii="宋体" w:hAnsi="宋体"/>
          <w:color w:val="auto"/>
          <w:sz w:val="24"/>
          <w:szCs w:val="24"/>
          <w:lang w:val="en-US" w:eastAsia="zh-CN"/>
        </w:rPr>
        <w:t xml:space="preserve">四</w:t>
      </w:r>
      <w:r>
        <w:rPr>
          <w:rFonts w:hint="eastAsia" w:ascii="宋体" w:hAnsi="宋体"/>
          <w:color w:val="auto"/>
          <w:sz w:val="24"/>
          <w:szCs w:val="24"/>
        </w:rPr>
        <w:t xml:space="preserve">个季度进行更换成效方面进行考核。</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3、林带、社区绿化按照二级养护标准进行考核。</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（二）工作成效管理</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1、人员管理。</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一级养护2万平方米/人进行配备；</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二级养护3万平方米/人进行配备；</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按签订养护面积核算人员，考核每日人员在岗情况。</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2、日常工作。养护单位制定养护月计划、年度计划，每天拍摄工作照片，综合法规办公室进行每日汇总。</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五、考核标准</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1、绿化管理督查考核机构按照《钱桥街道绿化管养考核标准》进行考核。</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2、绿化养护考核方式分为：月度考核、半年度考核、年度考核，比率为（50%-25%-25%）。以实地巡查、查阅台账资料、结合市、区级部门考核等，形成当月督查考核意见。</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月度考核：督查考核机构按照考核标准每月对养护单位的管养情况进行考核，于每月30日将结果报街道督查考核领导小组，汇总形成问题清单后反馈养护单位。养护单位在收到问题清单后应立即整改，并将整改回复单及整改现场图片在整改通知期限内立即上报街道考核机构。未能及时整改又未形成书面材料及时上报的，视为没有整改到位，列入次月考核评分。</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（2）半年度考核：街道督查考核小组会同管养单位进行实地查看，综合分析评估，结合市、区城管局考核情况，形成考核成绩。</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（3）年度考核：街道督查考核小组会同管养单位进行实地查看，综合分析评估，结合市、区城管局考核情况，形成考核成绩，实行末尾淘汰制。 </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（4）综合法规办公室每月组织人员对社区绿化养护进行考核，考核情况与农村人居环境卫生长效管理月考核相结合进行通报，考核成绩纳入年终农村人居环境综合整治管理工作。</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六、考核结果使用</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1、以考核管理要求为标准，考核总分值为100分，月度综合得分100分，不扣管养考核费用。</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2、90分-99分（含90分），扣月度考核费用按照(总分—考核分值)×5‰×月养护金额。</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3、80分-89分（含80分），扣月度考核费用按照(总分—考核分值)×8‰×月养护金额。</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4、低于80分，扣月度考核费用按照(总分—考核分值)×12‰×月养护金额。</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5、</w:t>
      </w:r>
      <w:r>
        <w:rPr>
          <w:rFonts w:hint="eastAsia" w:ascii="宋体" w:hAnsi="宋体"/>
          <w:color w:val="auto"/>
          <w:sz w:val="24"/>
          <w:szCs w:val="24"/>
          <w:highlight w:val="none"/>
        </w:rPr>
        <w:t xml:space="preserve">综合得分连续二个月低于80分的，扣除当月养护费用，即时终止养护合同。</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6、半年度考核低于100分，扣月度考核费用按照(总分—考核分值)×15‰×月养护金额。</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7、年度考核低于100分，扣月度考核费用按照(总分—考核分值)×20‰×月养护金额。</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8、市、区部门考核通报一次扣除5000、3000元，数字城管拍摄照片按照200—500元一张进行处罚，累计叠加，年底付款中扣除。</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9、中标方的绿化养护应严格按“智慧城管”规定要求，如被拍照处罚，区里每处罚一次招标人对中标方罚款100元，市里每处罚一次招标人对中标方罚款200元。（第二年年底时从支付款中扣除罚款）。</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10、相关职能单位、社区参照上述考核规定执行。</w:t>
      </w:r>
      <w:r>
        <w:rPr>
          <w:color w:val="auto"/>
        </w:rPr>
      </w:r>
      <w:r/>
    </w:p>
    <w:p>
      <w:pPr>
        <w:pStyle w:val="895"/>
        <w:ind w:firstLine="566"/>
        <w:spacing w:line="440" w:lineRule="exact"/>
        <w:rPr>
          <w:rFonts w:ascii="宋体" w:hAnsi="宋体"/>
          <w:color w:val="auto"/>
          <w:sz w:val="24"/>
          <w:szCs w:val="24"/>
        </w:rPr>
      </w:pPr>
      <w:r>
        <w:rPr>
          <w:rFonts w:hint="eastAsia" w:ascii="宋体" w:hAnsi="宋体"/>
          <w:color w:val="auto"/>
          <w:sz w:val="24"/>
          <w:szCs w:val="24"/>
        </w:rPr>
        <w:t xml:space="preserve">本办法自发布之日起执行，具体由考核督查领导小组办公室负责解释，并根据重点导向、问题导向、激励导向及时予以完善调整。</w:t>
      </w:r>
      <w:r>
        <w:rPr>
          <w:color w:val="auto"/>
        </w:rPr>
      </w:r>
      <w:r/>
    </w:p>
    <w:p>
      <w:pPr>
        <w:pStyle w:val="895"/>
        <w:rPr>
          <w:rFonts w:ascii="宋体" w:hAnsi="宋体" w:cs="宋体"/>
          <w:b/>
          <w:color w:val="auto"/>
          <w:sz w:val="28"/>
          <w:szCs w:val="28"/>
        </w:rPr>
      </w:pPr>
      <w:r>
        <w:rPr>
          <w:rFonts w:ascii="宋体" w:hAnsi="宋体" w:cs="宋体"/>
          <w:b/>
          <w:color w:val="auto"/>
          <w:sz w:val="28"/>
          <w:szCs w:val="28"/>
        </w:rPr>
        <w:br w:type="page" w:clear="all"/>
      </w:r>
      <w:r>
        <w:rPr>
          <w:color w:val="auto"/>
        </w:rPr>
      </w:r>
      <w:r/>
    </w:p>
    <w:p>
      <w:pPr>
        <w:pStyle w:val="895"/>
        <w:jc w:val="center"/>
        <w:spacing w:line="360" w:lineRule="auto"/>
        <w:rPr>
          <w:rFonts w:ascii="宋体" w:hAnsi="宋体" w:cs="宋体"/>
          <w:b/>
          <w:color w:val="auto"/>
          <w:sz w:val="28"/>
          <w:szCs w:val="28"/>
        </w:rPr>
      </w:pPr>
      <w:r>
        <w:rPr>
          <w:rFonts w:ascii="宋体" w:hAnsi="宋体" w:cs="宋体"/>
          <w:b/>
          <w:color w:val="auto"/>
          <w:sz w:val="28"/>
          <w:szCs w:val="28"/>
        </w:rPr>
        <w:t xml:space="preserve">惠山区</w:t>
      </w:r>
      <w:r>
        <w:rPr>
          <w:rFonts w:hint="eastAsia" w:ascii="宋体" w:hAnsi="宋体" w:cs="宋体"/>
          <w:b/>
          <w:color w:val="auto"/>
          <w:sz w:val="28"/>
          <w:szCs w:val="28"/>
        </w:rPr>
        <w:t xml:space="preserve">钱桥街道</w:t>
      </w:r>
      <w:r>
        <w:rPr>
          <w:rFonts w:ascii="宋体" w:hAnsi="宋体" w:cs="宋体"/>
          <w:b/>
          <w:color w:val="auto"/>
          <w:sz w:val="28"/>
          <w:szCs w:val="28"/>
        </w:rPr>
        <w:t xml:space="preserve">绿地养护管理检查考核评分表</w:t>
      </w:r>
      <w:r>
        <w:rPr>
          <w:color w:val="auto"/>
        </w:rPr>
      </w:r>
      <w:r/>
    </w:p>
    <w:p>
      <w:pPr>
        <w:pStyle w:val="895"/>
        <w:jc w:val="left"/>
        <w:spacing w:line="360" w:lineRule="auto"/>
        <w:rPr>
          <w:rFonts w:ascii="宋体" w:hAnsi="宋体"/>
          <w:color w:val="auto"/>
          <w:sz w:val="24"/>
          <w:szCs w:val="24"/>
        </w:rPr>
      </w:pPr>
      <w:r>
        <w:rPr>
          <w:rFonts w:hint="eastAsia" w:ascii="宋体" w:hAnsi="宋体" w:cs="宋体"/>
          <w:b/>
          <w:color w:val="auto"/>
          <w:sz w:val="24"/>
          <w:szCs w:val="24"/>
        </w:rPr>
        <w:t xml:space="preserve">单位：                                                        年   月   日</w:t>
      </w:r>
      <w:r>
        <w:rPr>
          <w:color w:val="auto"/>
        </w:rPr>
      </w:r>
      <w:r/>
    </w:p>
    <w:tbl>
      <w:tblPr>
        <w:tblStyle w:val="1173"/>
        <w:tblW w:w="9749"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5"/>
        <w:gridCol w:w="1691"/>
        <w:gridCol w:w="976"/>
        <w:gridCol w:w="5595"/>
        <w:gridCol w:w="479"/>
        <w:gridCol w:w="493"/>
      </w:tblGrid>
      <w:tr>
        <w:trPr>
          <w:trHeight w:val="252"/>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
                <w:color w:val="auto"/>
                <w:sz w:val="22"/>
                <w:szCs w:val="22"/>
              </w:rPr>
            </w:pPr>
            <w:r>
              <w:rPr>
                <w:color w:val="auto"/>
              </w:rPr>
            </w:r>
            <w:bookmarkStart w:id="20" w:name="_Toc116946342"/>
            <w:r>
              <w:rPr>
                <w:rFonts w:hint="eastAsia" w:ascii="Times New Roman" w:hAnsi="Times New Roman" w:eastAsia="宋体" w:cs="宋体"/>
                <w:b/>
                <w:color w:val="auto"/>
                <w:sz w:val="22"/>
                <w:szCs w:val="22"/>
                <w:lang w:val="en-US" w:eastAsia="zh-CN" w:bidi="ar-SA"/>
              </w:rPr>
              <w:t xml:space="preserve">序号</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
                <w:color w:val="auto"/>
                <w:sz w:val="22"/>
                <w:szCs w:val="22"/>
              </w:rPr>
            </w:pPr>
            <w:r>
              <w:rPr>
                <w:rFonts w:hint="eastAsia" w:ascii="Times New Roman" w:hAnsi="Times New Roman" w:eastAsia="宋体" w:cs="宋体"/>
                <w:b/>
                <w:color w:val="auto"/>
                <w:sz w:val="22"/>
                <w:szCs w:val="22"/>
                <w:lang w:val="en-US" w:eastAsia="zh-CN" w:bidi="ar-SA"/>
              </w:rPr>
              <w:t xml:space="preserve">内  容</w:t>
            </w:r>
            <w:r>
              <w:rPr>
                <w:color w:val="auto"/>
              </w:rPr>
            </w:r>
            <w:r/>
          </w:p>
        </w:tc>
        <w:tc>
          <w:tcPr>
            <w:gridSpan w:val="2"/>
            <w:tcW w:w="6571"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
                <w:color w:val="auto"/>
                <w:sz w:val="22"/>
                <w:szCs w:val="22"/>
              </w:rPr>
            </w:pPr>
            <w:r>
              <w:rPr>
                <w:rFonts w:hint="eastAsia" w:ascii="Times New Roman" w:hAnsi="Times New Roman" w:eastAsia="宋体" w:cs="宋体"/>
                <w:b/>
                <w:color w:val="auto"/>
                <w:sz w:val="22"/>
                <w:szCs w:val="22"/>
                <w:lang w:val="en-US" w:eastAsia="zh-CN" w:bidi="ar-SA"/>
              </w:rPr>
              <w:t xml:space="preserve">评   分   细   则</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
                <w:color w:val="auto"/>
                <w:sz w:val="22"/>
                <w:szCs w:val="22"/>
              </w:rPr>
            </w:pPr>
            <w:r>
              <w:rPr>
                <w:rFonts w:hint="eastAsia" w:ascii="Times New Roman" w:hAnsi="Times New Roman" w:eastAsia="宋体" w:cs="宋体"/>
                <w:b/>
                <w:color w:val="auto"/>
                <w:sz w:val="22"/>
                <w:szCs w:val="22"/>
                <w:lang w:val="en-US" w:eastAsia="zh-CN" w:bidi="ar-SA"/>
              </w:rPr>
              <w:t xml:space="preserve">分值</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
                <w:color w:val="auto"/>
                <w:sz w:val="22"/>
                <w:szCs w:val="22"/>
              </w:rPr>
            </w:pPr>
            <w:r>
              <w:rPr>
                <w:rFonts w:hint="eastAsia" w:ascii="Times New Roman" w:hAnsi="Times New Roman" w:eastAsia="宋体" w:cs="宋体"/>
                <w:b/>
                <w:color w:val="auto"/>
                <w:sz w:val="22"/>
                <w:szCs w:val="22"/>
                <w:lang w:val="en-US" w:eastAsia="zh-CN" w:bidi="ar-SA"/>
              </w:rPr>
              <w:t xml:space="preserve">得分</w:t>
            </w:r>
            <w:r>
              <w:rPr>
                <w:color w:val="auto"/>
              </w:rPr>
            </w:r>
            <w:r/>
          </w:p>
        </w:tc>
      </w:tr>
      <w:tr>
        <w:trPr>
          <w:trHeight w:val="1234"/>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1</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养护计划上报和 完成情况</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未上报年度养护组织设计，扣 2 分；未上报月度和周养护计划，一次扣 1 分；未按计划落实养护工作，1 项视情扣 0.5-1 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8</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2174"/>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2</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安全文明生产和 工作纪律</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6</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428"/>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3</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突击性、指令性 任务完成情况</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没有执行，一项扣 4 分；执行不及时，一项扣 3 分；完成质量不符合要求，视情扣 0.5-2 分；完成质量优异受到上级领导表扬，视情加 2-4分。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8</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306"/>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4</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业务培训</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没有参加（含迟到早退），一次扣 2 分；组织不力或学习态度不端正，一次 扣 1 分，学习成果不明显，视情扣 0.5-1 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4</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347"/>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5</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巡视报告制度 落实情况</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无巡视记录或记录不规范，一次扣 1-2 分；未按要求巡视，或发现绿化设施 损坏未及时处理，或处理不当，或未及时上报，一次视情扣 0.5-2 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4</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012"/>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6</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台帐资料</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资料不全，缺一项扣 1 分；养护日志缺一天扣 0.25 分； 内容不实、整理装 订不规范视情扣 0.5-2 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4</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474"/>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7</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上级领导批评、</w:t>
            </w:r>
            <w:r>
              <w:rPr>
                <w:color w:val="auto"/>
              </w:rPr>
            </w:r>
            <w:r/>
          </w:p>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市民投诉和媒体曝光</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被上级领导批评、市民投诉、新闻媒体曝光属养护单位责任的一次扣 4 分， 在养护标段内但非养护单位责任且已及时上报的不扣分、未及时上报的一 次扣 1 分。</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8</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113"/>
        </w:trPr>
        <w:tc>
          <w:tcPr>
            <w:tcW w:w="515"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8</w:t>
            </w:r>
            <w:r>
              <w:rPr>
                <w:color w:val="auto"/>
              </w:rPr>
            </w:r>
            <w:r/>
          </w:p>
        </w:tc>
        <w:tc>
          <w:tcPr>
            <w:tcW w:w="169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整改措施落实情况</w:t>
            </w:r>
            <w:r>
              <w:rPr>
                <w:color w:val="auto"/>
              </w:rPr>
            </w:r>
            <w:r/>
          </w:p>
        </w:tc>
        <w:tc>
          <w:tcPr>
            <w:gridSpan w:val="2"/>
            <w:tcW w:w="6571"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规定时间内未整改，扣 3 倍原扣分值；整改不及时扣 2 倍原扣分值分；整 改后仍不符合要求，视情扣 1-2 倍原扣分值。</w:t>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8</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755"/>
        </w:trPr>
        <w:tc>
          <w:tcPr>
            <w:tcW w:w="515" w:type="dxa"/>
            <w:vAlign w:val="center"/>
            <w:vMerge w:val="restart"/>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hint="eastAsia" w:ascii="Times New Roman" w:hAnsi="Times New Roman" w:eastAsia="宋体" w:cs="宋体"/>
                <w:bCs/>
                <w:color w:val="auto"/>
                <w:sz w:val="22"/>
                <w:szCs w:val="22"/>
                <w:lang w:val="en-US" w:eastAsia="zh-CN" w:bidi="ar-SA"/>
              </w:rPr>
              <w:t xml:space="preserve">9</w:t>
            </w:r>
            <w:r>
              <w:rPr>
                <w:color w:val="auto"/>
              </w:rPr>
            </w:r>
            <w:r/>
          </w:p>
        </w:tc>
        <w:tc>
          <w:tcPr>
            <w:tcW w:w="1691" w:type="dxa"/>
            <w:vAlign w:val="center"/>
            <w:vMerge w:val="restart"/>
            <w:textDirection w:val="lrTb"/>
            <w:noWrap w:val="false"/>
          </w:tcPr>
          <w:p>
            <w:pPr>
              <w:pStyle w:val="895"/>
              <w:jc w:val="both"/>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绿地养护质量标准执行情况</w:t>
            </w:r>
            <w:r>
              <w:rPr>
                <w:color w:val="auto"/>
              </w:rPr>
            </w:r>
            <w:r/>
          </w:p>
        </w:tc>
        <w:tc>
          <w:tcPr>
            <w:tcW w:w="976"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树木</w:t>
            </w:r>
            <w:r>
              <w:rPr>
                <w:color w:val="auto"/>
              </w:rPr>
            </w:r>
            <w:r/>
          </w:p>
        </w:tc>
        <w:tc>
          <w:tcPr>
            <w:tcW w:w="5595"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r>
              <w:rPr>
                <w:color w:val="auto"/>
              </w:rPr>
            </w:r>
            <w:r/>
          </w:p>
        </w:tc>
        <w:tc>
          <w:tcPr>
            <w:tcW w:w="479" w:type="dxa"/>
            <w:vAlign w:val="center"/>
            <w:vMerge w:val="restart"/>
            <w:textDirection w:val="lrTb"/>
            <w:noWrap w:val="false"/>
          </w:tcPr>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ascii="仿宋" w:hAnsi="仿宋" w:eastAsia="仿宋" w:cs="仿宋"/>
                <w:bCs/>
                <w:color w:val="auto"/>
                <w:sz w:val="22"/>
                <w:szCs w:val="22"/>
                <w:lang w:val="en-US" w:eastAsia="zh-CN" w:bidi="ar-SA"/>
              </w:rPr>
            </w:r>
            <w:r>
              <w:rPr>
                <w:color w:val="auto"/>
              </w:rPr>
            </w:r>
            <w:r/>
          </w:p>
          <w:p>
            <w:pPr>
              <w:pStyle w:val="895"/>
              <w:jc w:val="center"/>
              <w:spacing w:before="0" w:beforeAutospacing="0" w:after="0" w:afterAutospacing="0"/>
              <w:widowControl w:val="off"/>
              <w:rPr>
                <w:rFonts w:ascii="仿宋" w:hAnsi="仿宋" w:eastAsia="仿宋" w:cs="仿宋"/>
                <w:bCs/>
                <w:color w:val="auto"/>
                <w:sz w:val="22"/>
                <w:szCs w:val="22"/>
              </w:rPr>
            </w:pPr>
            <w:r>
              <w:rPr>
                <w:rFonts w:hint="eastAsia" w:ascii="仿宋" w:hAnsi="仿宋" w:eastAsia="仿宋" w:cs="仿宋"/>
                <w:bCs/>
                <w:color w:val="auto"/>
                <w:sz w:val="22"/>
                <w:szCs w:val="22"/>
                <w:lang w:val="en-US" w:eastAsia="zh-CN" w:bidi="ar-SA"/>
              </w:rPr>
              <w:t xml:space="preserve">50</w:t>
            </w:r>
            <w:r>
              <w:rPr>
                <w:color w:val="auto"/>
              </w:rPr>
            </w:r>
            <w:r/>
          </w:p>
        </w:tc>
        <w:tc>
          <w:tcPr>
            <w:tcW w:w="493" w:type="dxa"/>
            <w:vAlign w:val="center"/>
            <w:vMerge w:val="restart"/>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r>
        <w:trPr>
          <w:trHeight w:val="1205"/>
        </w:trPr>
        <w:tc>
          <w:tcPr>
            <w:tcW w:w="515"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c>
          <w:tcPr>
            <w:tcW w:w="1691" w:type="dxa"/>
            <w:vAlign w:val="center"/>
            <w:vMerge w:val="continue"/>
            <w:textDirection w:val="lrTb"/>
            <w:noWrap w:val="false"/>
          </w:tcPr>
          <w:p>
            <w:pPr>
              <w:pStyle w:val="895"/>
              <w:jc w:val="center"/>
              <w:spacing w:before="0" w:beforeAutospacing="0" w:after="0" w:afterAutospacing="0"/>
              <w:widowControl w:val="off"/>
              <w:rPr>
                <w:rFonts w:ascii="宋体" w:hAnsi="宋体" w:eastAsia="宋体" w:cs="宋体"/>
                <w:bCs/>
                <w:sz w:val="22"/>
                <w:szCs w:val="22"/>
                <w:lang w:val="en-US" w:eastAsia="zh-CN" w:bidi="ar-SA"/>
              </w:rPr>
            </w:pPr>
            <w:r>
              <w:rPr>
                <w:rFonts w:ascii="宋体" w:hAnsi="宋体" w:eastAsia="宋体" w:cs="宋体"/>
                <w:bCs/>
                <w:sz w:val="22"/>
                <w:szCs w:val="22"/>
                <w:lang w:val="en-US" w:eastAsia="zh-CN" w:bidi="ar-SA"/>
              </w:rPr>
            </w:r>
            <w:r/>
          </w:p>
        </w:tc>
        <w:tc>
          <w:tcPr>
            <w:tcW w:w="976"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草坪</w:t>
            </w:r>
            <w:r>
              <w:rPr>
                <w:color w:val="auto"/>
              </w:rPr>
            </w:r>
            <w:r/>
          </w:p>
        </w:tc>
        <w:tc>
          <w:tcPr>
            <w:tcW w:w="5595"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r>
              <w:rPr>
                <w:color w:val="auto"/>
              </w:rPr>
            </w:r>
            <w:r/>
          </w:p>
        </w:tc>
        <w:tc>
          <w:tcPr>
            <w:tcW w:w="479" w:type="dxa"/>
            <w:vAlign w:val="center"/>
            <w:vMerge w:val="continue"/>
            <w:textDirection w:val="lrTb"/>
            <w:noWrap w:val="false"/>
          </w:tcPr>
          <w:p>
            <w:pPr>
              <w:pStyle w:val="895"/>
              <w:jc w:val="left"/>
              <w:spacing w:before="0" w:beforeAutospacing="0" w:after="0" w:afterAutospacing="0"/>
              <w:widowControl w:val="off"/>
              <w:rPr>
                <w:rFonts w:ascii="仿宋" w:hAnsi="仿宋" w:eastAsia="仿宋" w:cs="仿宋"/>
                <w:bCs/>
                <w:sz w:val="20"/>
                <w:lang w:val="en-US" w:eastAsia="zh-CN" w:bidi="ar-SA"/>
              </w:rPr>
            </w:pPr>
            <w:r>
              <w:rPr>
                <w:rFonts w:ascii="仿宋" w:hAnsi="仿宋" w:eastAsia="仿宋" w:cs="仿宋"/>
                <w:bCs/>
                <w:sz w:val="20"/>
                <w:lang w:val="en-US" w:eastAsia="zh-CN" w:bidi="ar-SA"/>
              </w:rPr>
            </w:r>
            <w:r/>
          </w:p>
        </w:tc>
        <w:tc>
          <w:tcPr>
            <w:tcW w:w="493"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r>
      <w:tr>
        <w:trPr>
          <w:trHeight w:val="673"/>
        </w:trPr>
        <w:tc>
          <w:tcPr>
            <w:tcW w:w="515"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c>
          <w:tcPr>
            <w:tcW w:w="1691" w:type="dxa"/>
            <w:vAlign w:val="center"/>
            <w:vMerge w:val="continue"/>
            <w:textDirection w:val="lrTb"/>
            <w:noWrap w:val="false"/>
          </w:tcPr>
          <w:p>
            <w:pPr>
              <w:pStyle w:val="895"/>
              <w:jc w:val="center"/>
              <w:spacing w:before="0" w:beforeAutospacing="0" w:after="0" w:afterAutospacing="0"/>
              <w:widowControl w:val="off"/>
              <w:rPr>
                <w:rFonts w:ascii="宋体" w:hAnsi="宋体" w:eastAsia="宋体" w:cs="宋体"/>
                <w:bCs/>
                <w:sz w:val="22"/>
                <w:szCs w:val="22"/>
                <w:lang w:val="en-US" w:eastAsia="zh-CN" w:bidi="ar-SA"/>
              </w:rPr>
            </w:pPr>
            <w:r>
              <w:rPr>
                <w:rFonts w:ascii="宋体" w:hAnsi="宋体" w:eastAsia="宋体" w:cs="宋体"/>
                <w:bCs/>
                <w:sz w:val="22"/>
                <w:szCs w:val="22"/>
                <w:lang w:val="en-US" w:eastAsia="zh-CN" w:bidi="ar-SA"/>
              </w:rPr>
            </w:r>
            <w:r/>
          </w:p>
        </w:tc>
        <w:tc>
          <w:tcPr>
            <w:tcW w:w="976"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花卉</w:t>
            </w:r>
            <w:r>
              <w:rPr>
                <w:color w:val="auto"/>
              </w:rPr>
            </w:r>
            <w:r/>
          </w:p>
        </w:tc>
        <w:tc>
          <w:tcPr>
            <w:tcW w:w="5595"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r>
              <w:rPr>
                <w:color w:val="auto"/>
              </w:rPr>
            </w:r>
            <w:r/>
          </w:p>
        </w:tc>
        <w:tc>
          <w:tcPr>
            <w:tcW w:w="479" w:type="dxa"/>
            <w:vAlign w:val="center"/>
            <w:vMerge w:val="continue"/>
            <w:textDirection w:val="lrTb"/>
            <w:noWrap w:val="false"/>
          </w:tcPr>
          <w:p>
            <w:pPr>
              <w:pStyle w:val="895"/>
              <w:jc w:val="left"/>
              <w:spacing w:before="0" w:beforeAutospacing="0" w:after="0" w:afterAutospacing="0"/>
              <w:widowControl w:val="off"/>
              <w:rPr>
                <w:rFonts w:ascii="仿宋" w:hAnsi="仿宋" w:eastAsia="仿宋" w:cs="仿宋"/>
                <w:bCs/>
                <w:sz w:val="20"/>
                <w:lang w:val="en-US" w:eastAsia="zh-CN" w:bidi="ar-SA"/>
              </w:rPr>
            </w:pPr>
            <w:r>
              <w:rPr>
                <w:rFonts w:ascii="仿宋" w:hAnsi="仿宋" w:eastAsia="仿宋" w:cs="仿宋"/>
                <w:bCs/>
                <w:sz w:val="20"/>
                <w:lang w:val="en-US" w:eastAsia="zh-CN" w:bidi="ar-SA"/>
              </w:rPr>
            </w:r>
            <w:r/>
          </w:p>
        </w:tc>
        <w:tc>
          <w:tcPr>
            <w:tcW w:w="493"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r>
      <w:tr>
        <w:trPr>
          <w:trHeight w:val="1033"/>
        </w:trPr>
        <w:tc>
          <w:tcPr>
            <w:tcW w:w="515"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c>
          <w:tcPr>
            <w:tcW w:w="1691" w:type="dxa"/>
            <w:vAlign w:val="center"/>
            <w:vMerge w:val="continue"/>
            <w:textDirection w:val="lrTb"/>
            <w:noWrap w:val="false"/>
          </w:tcPr>
          <w:p>
            <w:pPr>
              <w:pStyle w:val="895"/>
              <w:jc w:val="center"/>
              <w:spacing w:before="0" w:beforeAutospacing="0" w:after="0" w:afterAutospacing="0"/>
              <w:widowControl w:val="off"/>
              <w:rPr>
                <w:rFonts w:ascii="宋体" w:hAnsi="宋体" w:eastAsia="宋体" w:cs="宋体"/>
                <w:bCs/>
                <w:sz w:val="22"/>
                <w:szCs w:val="22"/>
                <w:lang w:val="en-US" w:eastAsia="zh-CN" w:bidi="ar-SA"/>
              </w:rPr>
            </w:pPr>
            <w:r>
              <w:rPr>
                <w:rFonts w:ascii="宋体" w:hAnsi="宋体" w:eastAsia="宋体" w:cs="宋体"/>
                <w:bCs/>
                <w:sz w:val="22"/>
                <w:szCs w:val="22"/>
                <w:lang w:val="en-US" w:eastAsia="zh-CN" w:bidi="ar-SA"/>
              </w:rPr>
            </w:r>
            <w:r/>
          </w:p>
        </w:tc>
        <w:tc>
          <w:tcPr>
            <w:tcW w:w="976"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藤本绿篱 地被</w:t>
            </w:r>
            <w:r>
              <w:rPr>
                <w:color w:val="auto"/>
              </w:rPr>
            </w:r>
            <w:r/>
          </w:p>
        </w:tc>
        <w:tc>
          <w:tcPr>
            <w:tcW w:w="5595"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1 ．生长不正常，一处扣 1－3 分；2 ．有枯枝、断枝，一处扣 0.5 分；3 ．修剪不及时，一次扣 2－5  分，修剪不成型、不完整， 一次扣 1－3 分；4 ．有垃圾杂物，一处扣 0.5－2 分；5 ．绿化防 撞栏及铁丝网未及时清洗，一处扣 0.5-2 分。</w:t>
            </w:r>
            <w:r>
              <w:rPr>
                <w:color w:val="auto"/>
              </w:rPr>
            </w:r>
            <w:r/>
          </w:p>
        </w:tc>
        <w:tc>
          <w:tcPr>
            <w:tcW w:w="479" w:type="dxa"/>
            <w:vAlign w:val="center"/>
            <w:vMerge w:val="continue"/>
            <w:textDirection w:val="lrTb"/>
            <w:noWrap w:val="false"/>
          </w:tcPr>
          <w:p>
            <w:pPr>
              <w:pStyle w:val="895"/>
              <w:jc w:val="left"/>
              <w:spacing w:before="0" w:beforeAutospacing="0" w:after="0" w:afterAutospacing="0"/>
              <w:widowControl w:val="off"/>
              <w:rPr>
                <w:rFonts w:ascii="仿宋" w:hAnsi="仿宋" w:eastAsia="仿宋" w:cs="仿宋"/>
                <w:bCs/>
                <w:sz w:val="20"/>
                <w:lang w:val="en-US" w:eastAsia="zh-CN" w:bidi="ar-SA"/>
              </w:rPr>
            </w:pPr>
            <w:r>
              <w:rPr>
                <w:rFonts w:ascii="仿宋" w:hAnsi="仿宋" w:eastAsia="仿宋" w:cs="仿宋"/>
                <w:bCs/>
                <w:sz w:val="20"/>
                <w:lang w:val="en-US" w:eastAsia="zh-CN" w:bidi="ar-SA"/>
              </w:rPr>
            </w:r>
            <w:r/>
          </w:p>
        </w:tc>
        <w:tc>
          <w:tcPr>
            <w:tcW w:w="493"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r>
      <w:tr>
        <w:trPr>
          <w:trHeight w:val="515"/>
        </w:trPr>
        <w:tc>
          <w:tcPr>
            <w:tcW w:w="515"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c>
          <w:tcPr>
            <w:tcW w:w="1691" w:type="dxa"/>
            <w:vAlign w:val="center"/>
            <w:vMerge w:val="continue"/>
            <w:textDirection w:val="lrTb"/>
            <w:noWrap w:val="false"/>
          </w:tcPr>
          <w:p>
            <w:pPr>
              <w:pStyle w:val="895"/>
              <w:jc w:val="center"/>
              <w:spacing w:before="0" w:beforeAutospacing="0" w:after="0" w:afterAutospacing="0"/>
              <w:widowControl w:val="off"/>
              <w:rPr>
                <w:rFonts w:ascii="宋体" w:hAnsi="宋体" w:eastAsia="宋体" w:cs="宋体"/>
                <w:bCs/>
                <w:sz w:val="22"/>
                <w:szCs w:val="22"/>
                <w:lang w:val="en-US" w:eastAsia="zh-CN" w:bidi="ar-SA"/>
              </w:rPr>
            </w:pPr>
            <w:r>
              <w:rPr>
                <w:rFonts w:ascii="宋体" w:hAnsi="宋体" w:eastAsia="宋体" w:cs="宋体"/>
                <w:bCs/>
                <w:sz w:val="22"/>
                <w:szCs w:val="22"/>
                <w:lang w:val="en-US" w:eastAsia="zh-CN" w:bidi="ar-SA"/>
              </w:rPr>
            </w:r>
            <w:r/>
          </w:p>
        </w:tc>
        <w:tc>
          <w:tcPr>
            <w:tcW w:w="976"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施肥浇水 打药</w:t>
            </w:r>
            <w:r>
              <w:rPr>
                <w:color w:val="auto"/>
              </w:rPr>
            </w:r>
            <w:r/>
          </w:p>
        </w:tc>
        <w:tc>
          <w:tcPr>
            <w:tcW w:w="5595" w:type="dxa"/>
            <w:vAlign w:val="center"/>
            <w:textDirection w:val="lrTb"/>
            <w:noWrap w:val="false"/>
          </w:tcPr>
          <w:p>
            <w:pPr>
              <w:pStyle w:val="895"/>
              <w:jc w:val="left"/>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1 ．未按要求操作，一次扣 1－3 分，工作不及时，一次扣 0.5-1 分；2 ．造成路面污染，一处扣 0.5－2 分。</w:t>
            </w:r>
            <w:r>
              <w:rPr>
                <w:color w:val="auto"/>
              </w:rPr>
            </w:r>
            <w:r/>
          </w:p>
        </w:tc>
        <w:tc>
          <w:tcPr>
            <w:tcW w:w="479" w:type="dxa"/>
            <w:vAlign w:val="center"/>
            <w:vMerge w:val="continue"/>
            <w:textDirection w:val="lrTb"/>
            <w:noWrap w:val="false"/>
          </w:tcPr>
          <w:p>
            <w:pPr>
              <w:pStyle w:val="895"/>
              <w:jc w:val="left"/>
              <w:spacing w:before="0" w:beforeAutospacing="0" w:after="0" w:afterAutospacing="0"/>
              <w:widowControl w:val="off"/>
              <w:rPr>
                <w:rFonts w:ascii="仿宋" w:hAnsi="仿宋" w:eastAsia="仿宋" w:cs="仿宋"/>
                <w:bCs/>
                <w:sz w:val="20"/>
                <w:lang w:val="en-US" w:eastAsia="zh-CN" w:bidi="ar-SA"/>
              </w:rPr>
            </w:pPr>
            <w:r>
              <w:rPr>
                <w:rFonts w:ascii="仿宋" w:hAnsi="仿宋" w:eastAsia="仿宋" w:cs="仿宋"/>
                <w:bCs/>
                <w:sz w:val="20"/>
                <w:lang w:val="en-US" w:eastAsia="zh-CN" w:bidi="ar-SA"/>
              </w:rPr>
            </w:r>
            <w:r/>
          </w:p>
        </w:tc>
        <w:tc>
          <w:tcPr>
            <w:tcW w:w="493" w:type="dxa"/>
            <w:vAlign w:val="center"/>
            <w:vMerge w:val="continue"/>
            <w:textDirection w:val="lrTb"/>
            <w:noWrap w:val="false"/>
          </w:tcPr>
          <w:p>
            <w:pPr>
              <w:pStyle w:val="895"/>
              <w:jc w:val="center"/>
              <w:spacing w:before="0" w:beforeAutospacing="0" w:after="0" w:afterAutospacing="0"/>
              <w:widowControl w:val="off"/>
              <w:rPr>
                <w:rFonts w:ascii="Times New Roman" w:hAnsi="Times New Roman" w:eastAsia="宋体" w:cs="宋体"/>
                <w:bCs/>
                <w:sz w:val="22"/>
                <w:szCs w:val="22"/>
                <w:lang w:val="en-US" w:eastAsia="zh-CN" w:bidi="ar-SA"/>
              </w:rPr>
            </w:pPr>
            <w:r>
              <w:rPr>
                <w:rFonts w:ascii="Times New Roman" w:hAnsi="Times New Roman" w:eastAsia="宋体" w:cs="宋体"/>
                <w:bCs/>
                <w:sz w:val="22"/>
                <w:szCs w:val="22"/>
                <w:lang w:val="en-US" w:eastAsia="zh-CN" w:bidi="ar-SA"/>
              </w:rPr>
            </w:r>
            <w:r/>
          </w:p>
        </w:tc>
      </w:tr>
      <w:tr>
        <w:trPr>
          <w:trHeight w:val="426"/>
        </w:trPr>
        <w:tc>
          <w:tcPr>
            <w:gridSpan w:val="2"/>
            <w:tcW w:w="2206"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hint="eastAsia" w:ascii="宋体" w:hAnsi="宋体" w:eastAsia="宋体" w:cs="宋体"/>
                <w:bCs/>
                <w:color w:val="auto"/>
                <w:sz w:val="22"/>
                <w:szCs w:val="22"/>
                <w:lang w:val="en-US" w:eastAsia="zh-CN" w:bidi="ar-SA"/>
              </w:rPr>
              <w:t xml:space="preserve">总  分</w:t>
            </w:r>
            <w:r>
              <w:rPr>
                <w:color w:val="auto"/>
              </w:rPr>
            </w:r>
            <w:r/>
          </w:p>
        </w:tc>
        <w:tc>
          <w:tcPr>
            <w:gridSpan w:val="2"/>
            <w:tcW w:w="6571" w:type="dxa"/>
            <w:vAlign w:val="center"/>
            <w:textDirection w:val="lrTb"/>
            <w:noWrap w:val="false"/>
          </w:tcPr>
          <w:p>
            <w:pPr>
              <w:pStyle w:val="895"/>
              <w:jc w:val="center"/>
              <w:spacing w:before="0" w:beforeAutospacing="0" w:after="0" w:afterAutospacing="0"/>
              <w:widowControl w:val="off"/>
              <w:rPr>
                <w:rFonts w:ascii="宋体" w:hAnsi="宋体" w:eastAsia="宋体" w:cs="宋体"/>
                <w:bCs/>
                <w:color w:val="auto"/>
                <w:sz w:val="22"/>
                <w:szCs w:val="22"/>
              </w:rPr>
            </w:pPr>
            <w:r>
              <w:rPr>
                <w:rFonts w:ascii="宋体" w:hAnsi="宋体" w:eastAsia="宋体" w:cs="宋体"/>
                <w:bCs/>
                <w:color w:val="auto"/>
                <w:sz w:val="22"/>
                <w:szCs w:val="22"/>
                <w:lang w:val="en-US" w:eastAsia="zh-CN" w:bidi="ar-SA"/>
              </w:rPr>
            </w:r>
            <w:r>
              <w:rPr>
                <w:color w:val="auto"/>
              </w:rPr>
            </w:r>
            <w:r/>
          </w:p>
        </w:tc>
        <w:tc>
          <w:tcPr>
            <w:tcW w:w="479" w:type="dxa"/>
            <w:vAlign w:val="center"/>
            <w:textDirection w:val="lrTb"/>
            <w:noWrap w:val="false"/>
          </w:tcPr>
          <w:p>
            <w:pPr>
              <w:pStyle w:val="895"/>
              <w:jc w:val="center"/>
              <w:spacing w:before="0" w:beforeAutospacing="0" w:after="0" w:afterAutospacing="0"/>
              <w:widowControl w:val="off"/>
              <w:rPr>
                <w:rFonts w:ascii="仿宋" w:hAnsi="仿宋" w:eastAsia="仿宋" w:cs="仿宋"/>
                <w:bCs/>
                <w:color w:val="auto"/>
                <w:sz w:val="20"/>
              </w:rPr>
            </w:pPr>
            <w:r>
              <w:rPr>
                <w:rFonts w:hint="eastAsia" w:ascii="仿宋" w:hAnsi="仿宋" w:eastAsia="仿宋" w:cs="仿宋"/>
                <w:bCs/>
                <w:color w:val="auto"/>
                <w:sz w:val="22"/>
                <w:szCs w:val="22"/>
                <w:lang w:val="en-US" w:eastAsia="zh-CN" w:bidi="ar-SA"/>
              </w:rPr>
              <w:t xml:space="preserve">100</w:t>
            </w:r>
            <w:r>
              <w:rPr>
                <w:color w:val="auto"/>
              </w:rPr>
            </w:r>
            <w:r/>
          </w:p>
        </w:tc>
        <w:tc>
          <w:tcPr>
            <w:tcW w:w="493" w:type="dxa"/>
            <w:vAlign w:val="center"/>
            <w:textDirection w:val="lrTb"/>
            <w:noWrap w:val="false"/>
          </w:tcPr>
          <w:p>
            <w:pPr>
              <w:pStyle w:val="895"/>
              <w:jc w:val="center"/>
              <w:spacing w:before="0" w:beforeAutospacing="0" w:after="0" w:afterAutospacing="0"/>
              <w:widowControl w:val="off"/>
              <w:rPr>
                <w:rFonts w:ascii="Times New Roman" w:hAnsi="Times New Roman" w:eastAsia="宋体" w:cs="宋体"/>
                <w:bCs/>
                <w:color w:val="auto"/>
                <w:sz w:val="22"/>
                <w:szCs w:val="22"/>
              </w:rPr>
            </w:pPr>
            <w:r>
              <w:rPr>
                <w:rFonts w:ascii="Times New Roman" w:hAnsi="Times New Roman" w:eastAsia="宋体" w:cs="宋体"/>
                <w:bCs/>
                <w:color w:val="auto"/>
                <w:sz w:val="22"/>
                <w:szCs w:val="22"/>
                <w:lang w:val="en-US" w:eastAsia="zh-CN" w:bidi="ar-SA"/>
              </w:rPr>
            </w:r>
            <w:r>
              <w:rPr>
                <w:color w:val="auto"/>
              </w:rPr>
            </w:r>
            <w:r/>
          </w:p>
        </w:tc>
      </w:tr>
    </w:tbl>
    <w:p>
      <w:pPr>
        <w:pStyle w:val="895"/>
        <w:rPr>
          <w:rFonts w:ascii="Cambria" w:hAnsi="Cambria"/>
          <w:b/>
          <w:bCs/>
          <w:color w:val="auto"/>
          <w:sz w:val="32"/>
          <w:szCs w:val="32"/>
        </w:rPr>
      </w:pPr>
      <w:r>
        <w:rPr>
          <w:rFonts w:hint="eastAsia" w:ascii="Cambria" w:hAnsi="Cambria"/>
          <w:b/>
          <w:bCs/>
          <w:color w:val="auto"/>
          <w:sz w:val="32"/>
          <w:szCs w:val="32"/>
          <w:lang w:val="zh-CN"/>
        </w:rPr>
        <w:br w:type="page" w:clear="all"/>
      </w:r>
      <w:r>
        <w:rPr>
          <w:color w:val="auto"/>
        </w:rPr>
      </w:r>
      <w:r/>
    </w:p>
    <w:p>
      <w:pPr>
        <w:pStyle w:val="895"/>
        <w:jc w:val="center"/>
        <w:spacing w:line="440" w:lineRule="exact"/>
        <w:rPr>
          <w:rFonts w:ascii="Cambria" w:hAnsi="Cambria"/>
          <w:b/>
          <w:bCs/>
          <w:color w:val="auto"/>
          <w:sz w:val="32"/>
          <w:szCs w:val="32"/>
        </w:rPr>
        <w:outlineLvl w:val="0"/>
      </w:pPr>
      <w:r>
        <w:rPr>
          <w:rFonts w:hint="eastAsia" w:ascii="Cambria" w:hAnsi="Cambria"/>
          <w:b/>
          <w:bCs/>
          <w:color w:val="auto"/>
          <w:sz w:val="32"/>
          <w:szCs w:val="32"/>
          <w:lang w:val="zh-CN"/>
        </w:rPr>
        <w:t xml:space="preserve">四．</w:t>
      </w:r>
      <w:bookmarkEnd w:id="20"/>
      <w:r>
        <w:rPr>
          <w:rFonts w:hint="eastAsia" w:ascii="Cambria" w:hAnsi="Cambria"/>
          <w:b/>
          <w:bCs/>
          <w:color w:val="auto"/>
          <w:sz w:val="32"/>
          <w:szCs w:val="32"/>
          <w:lang w:val="zh-CN"/>
        </w:rPr>
        <w:t xml:space="preserve">合同条款及格式</w:t>
      </w:r>
      <w:r>
        <w:rPr>
          <w:color w:val="auto"/>
        </w:rPr>
      </w:r>
      <w:r/>
    </w:p>
    <w:p>
      <w:pPr>
        <w:pStyle w:val="895"/>
        <w:ind w:firstLine="424"/>
        <w:spacing w:line="440" w:lineRule="exact"/>
        <w:rPr>
          <w:rFonts w:ascii="宋体" w:hAnsi="宋体"/>
          <w:b/>
          <w:color w:val="auto"/>
          <w:sz w:val="24"/>
        </w:rPr>
      </w:pPr>
      <w:r>
        <w:rPr>
          <w:color w:val="auto"/>
        </w:rPr>
      </w:r>
      <w:bookmarkStart w:id="21" w:name="_Toc36839762"/>
      <w:r>
        <w:rPr>
          <w:rFonts w:hint="eastAsia" w:ascii="宋体" w:hAnsi="宋体"/>
          <w:bCs/>
          <w:color w:val="auto"/>
          <w:sz w:val="24"/>
        </w:rPr>
        <w:t xml:space="preserve">甲方（采购人）：</w:t>
      </w:r>
      <w:r>
        <w:rPr>
          <w:rFonts w:hint="eastAsia" w:ascii="宋体" w:hAnsi="宋体"/>
          <w:b/>
          <w:color w:val="auto"/>
          <w:sz w:val="24"/>
          <w:szCs w:val="22"/>
          <w:u w:val="single"/>
        </w:rPr>
        <w:t xml:space="preserve">无锡市惠山区钱桥街道办事处</w:t>
      </w:r>
      <w:r>
        <w:rPr>
          <w:rFonts w:ascii="宋体" w:hAnsi="宋体"/>
          <w:b/>
          <w:color w:val="auto"/>
          <w:sz w:val="24"/>
        </w:rPr>
        <w:t xml:space="preserve"> </w:t>
      </w:r>
      <w:r>
        <w:rPr>
          <w:rFonts w:hint="eastAsia" w:ascii="宋体" w:hAnsi="宋体"/>
          <w:b/>
          <w:color w:val="auto"/>
          <w:sz w:val="24"/>
        </w:rPr>
        <w:t xml:space="preserve"> </w:t>
      </w:r>
      <w:r>
        <w:rPr>
          <w:rFonts w:ascii="宋体" w:hAnsi="宋体"/>
          <w:b/>
          <w:color w:val="auto"/>
          <w:sz w:val="24"/>
        </w:rPr>
        <w:t xml:space="preserve">    </w:t>
      </w:r>
      <w:r>
        <w:rPr>
          <w:color w:val="auto"/>
        </w:rPr>
      </w:r>
      <w:r/>
    </w:p>
    <w:p>
      <w:pPr>
        <w:pStyle w:val="895"/>
        <w:ind w:firstLine="424"/>
        <w:spacing w:line="440" w:lineRule="exact"/>
        <w:rPr>
          <w:rFonts w:ascii="宋体" w:hAnsi="宋体"/>
          <w:bCs/>
          <w:color w:val="auto"/>
          <w:sz w:val="24"/>
        </w:rPr>
      </w:pPr>
      <w:r>
        <w:rPr>
          <w:rFonts w:hint="eastAsia" w:ascii="宋体" w:hAnsi="宋体"/>
          <w:bCs/>
          <w:color w:val="auto"/>
          <w:sz w:val="24"/>
        </w:rPr>
        <w:t xml:space="preserve">乙方（中标方）：</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 </w:t>
      </w:r>
      <w:r>
        <w:rPr>
          <w:rFonts w:ascii="宋体" w:hAnsi="宋体"/>
          <w:bCs/>
          <w:color w:val="auto"/>
          <w:sz w:val="24"/>
        </w:rPr>
        <w:t xml:space="preserve">    </w:t>
      </w:r>
      <w:r>
        <w:rPr>
          <w:rFonts w:hint="eastAsia" w:ascii="宋体" w:hAnsi="宋体"/>
          <w:bCs/>
          <w:color w:val="auto"/>
          <w:sz w:val="24"/>
        </w:rPr>
        <w:t xml:space="preserve"> </w:t>
      </w:r>
      <w:r>
        <w:rPr>
          <w:color w:val="auto"/>
        </w:rPr>
      </w:r>
      <w:r/>
    </w:p>
    <w:p>
      <w:pPr>
        <w:pStyle w:val="895"/>
        <w:numPr>
          <w:ilvl w:val="0"/>
          <w:numId w:val="11"/>
        </w:numPr>
        <w:ind w:left="0" w:firstLine="424"/>
        <w:spacing w:line="440" w:lineRule="exact"/>
        <w:rPr>
          <w:rFonts w:ascii="宋体" w:hAnsi="宋体"/>
          <w:bCs/>
          <w:color w:val="auto"/>
          <w:sz w:val="24"/>
        </w:rPr>
      </w:pPr>
      <w:r>
        <w:rPr>
          <w:color w:val="auto"/>
        </w:rPr>
      </w:r>
      <w:bookmarkStart w:id="22" w:name="_Hlk81602575"/>
      <w:r>
        <w:rPr>
          <w:rFonts w:hint="eastAsia" w:ascii="宋体" w:hAnsi="宋体"/>
          <w:b/>
          <w:color w:val="auto"/>
          <w:sz w:val="24"/>
        </w:rPr>
        <w:t xml:space="preserve">采购项目编号：</w:t>
      </w:r>
      <w:r>
        <w:rPr>
          <w:rFonts w:hint="eastAsia" w:ascii="宋体" w:hAnsi="宋体"/>
          <w:b/>
          <w:color w:val="auto"/>
          <w:sz w:val="24"/>
          <w:lang w:eastAsia="zh-CN"/>
        </w:rPr>
        <w:t xml:space="preserve">JSZC-320206-JSZH-G2024-0031</w:t>
      </w:r>
      <w:r>
        <w:rPr>
          <w:color w:val="auto"/>
        </w:rPr>
      </w:r>
      <w:r/>
    </w:p>
    <w:p>
      <w:pPr>
        <w:pStyle w:val="895"/>
        <w:numPr>
          <w:ilvl w:val="0"/>
          <w:numId w:val="11"/>
        </w:numPr>
        <w:ind w:left="0" w:firstLine="424"/>
        <w:spacing w:line="440" w:lineRule="exact"/>
        <w:rPr>
          <w:rFonts w:ascii="宋体" w:hAnsi="宋体"/>
          <w:bCs/>
          <w:color w:val="auto"/>
          <w:sz w:val="24"/>
        </w:rPr>
      </w:pPr>
      <w:r>
        <w:rPr>
          <w:rFonts w:hint="eastAsia" w:ascii="宋体" w:hAnsi="宋体"/>
          <w:b/>
          <w:color w:val="auto"/>
          <w:sz w:val="24"/>
        </w:rPr>
        <w:t xml:space="preserve">项目名称：</w:t>
      </w:r>
      <w:r>
        <w:rPr>
          <w:rFonts w:hint="eastAsia" w:ascii="宋体" w:hAnsi="宋体"/>
          <w:color w:val="auto"/>
          <w:sz w:val="24"/>
          <w:szCs w:val="24"/>
          <w:lang w:eastAsia="zh-CN"/>
        </w:rPr>
        <w:t xml:space="preserve">钱桥东片绿化养护项目</w:t>
      </w:r>
      <w:r>
        <w:rPr>
          <w:color w:val="auto"/>
        </w:rPr>
      </w:r>
      <w:r/>
    </w:p>
    <w:p>
      <w:pPr>
        <w:pStyle w:val="895"/>
        <w:numPr>
          <w:ilvl w:val="0"/>
          <w:numId w:val="11"/>
        </w:numPr>
        <w:ind w:left="0" w:firstLine="424"/>
        <w:spacing w:line="440" w:lineRule="exact"/>
        <w:rPr>
          <w:rFonts w:ascii="宋体" w:hAnsi="宋体"/>
          <w:bCs/>
          <w:color w:val="auto"/>
          <w:sz w:val="24"/>
        </w:rPr>
      </w:pPr>
      <w:r>
        <w:rPr>
          <w:color w:val="auto"/>
        </w:rPr>
      </w:r>
      <w:bookmarkEnd w:id="22"/>
      <w:r>
        <w:rPr>
          <w:rFonts w:hint="eastAsia" w:ascii="宋体" w:hAnsi="宋体"/>
          <w:b/>
          <w:color w:val="auto"/>
          <w:sz w:val="24"/>
        </w:rPr>
        <w:t xml:space="preserve">采购内容：</w:t>
      </w:r>
      <w:r>
        <w:rPr>
          <w:rFonts w:hint="eastAsia" w:ascii="宋体" w:hAnsi="宋体"/>
          <w:bCs/>
          <w:color w:val="auto"/>
          <w:sz w:val="24"/>
          <w:szCs w:val="24"/>
        </w:rPr>
        <w:t xml:space="preserve">钱桥街道</w:t>
      </w:r>
      <w:r>
        <w:rPr>
          <w:rFonts w:hint="eastAsia" w:ascii="宋体" w:hAnsi="宋体"/>
          <w:bCs/>
          <w:color w:val="auto"/>
          <w:sz w:val="24"/>
          <w:szCs w:val="24"/>
          <w:lang w:eastAsia="zh-CN"/>
        </w:rPr>
        <w:t xml:space="preserve">东片</w:t>
      </w:r>
      <w:r>
        <w:rPr>
          <w:rFonts w:hint="eastAsia" w:ascii="宋体" w:hAnsi="宋体"/>
          <w:bCs/>
          <w:color w:val="auto"/>
          <w:sz w:val="24"/>
          <w:szCs w:val="24"/>
        </w:rPr>
        <w:t xml:space="preserve">绿化养</w:t>
      </w:r>
      <w:r>
        <w:rPr>
          <w:rFonts w:hint="eastAsia" w:ascii="宋体" w:hAnsi="宋体"/>
          <w:bCs/>
          <w:color w:val="auto"/>
          <w:sz w:val="24"/>
          <w:szCs w:val="24"/>
        </w:rPr>
        <w:t xml:space="preserve">护项目，绿化养护总面积约为686842.27㎡，主要为乔灌木、球类、色块、花海、草坪等的养护。养护地块包括但不限于钱桥街道道路交叉口、钱桥大街、育才路、通溪路、钱桥大道、钱威路、盛岸西路、迎龙广场、老菜场内、纬三路、晴山蓝城一、二期后背、惠钱路、锡宜高速钱桥道口上下匝道、新盛路、万东路、汇嘉路、华飞路、锡洛公路、鼎盛路、轩盛路、江盛路、胜星路、晓丰路、胜丰路、口袋公园、苏嘉路、新业路、纬三路、上秦巷浜、佰乐路、华新口袋公园、钱藕路、无锡西互通绿化、钱桥第二中心幼儿园周边景观绿化、兴崎路、节点景观绿化、草花。</w:t>
      </w:r>
      <w:r>
        <w:rPr>
          <w:color w:val="auto"/>
        </w:rPr>
      </w:r>
      <w:r/>
    </w:p>
    <w:p>
      <w:pPr>
        <w:pStyle w:val="895"/>
        <w:numPr>
          <w:ilvl w:val="0"/>
          <w:numId w:val="11"/>
        </w:numPr>
        <w:ind w:left="0" w:firstLine="424"/>
        <w:spacing w:line="440" w:lineRule="exact"/>
        <w:rPr>
          <w:rFonts w:ascii="宋体" w:hAnsi="宋体"/>
          <w:bCs/>
          <w:color w:val="auto"/>
          <w:sz w:val="24"/>
        </w:rPr>
      </w:pPr>
      <w:r>
        <w:rPr>
          <w:rFonts w:hint="eastAsia" w:ascii="宋体" w:hAnsi="宋体"/>
          <w:b/>
          <w:color w:val="auto"/>
          <w:sz w:val="24"/>
        </w:rPr>
        <w:t xml:space="preserve">合同价格形式、中标金额及年度合同价款：</w:t>
      </w:r>
      <w:r>
        <w:rPr>
          <w:color w:val="auto"/>
        </w:rPr>
      </w:r>
      <w:r/>
    </w:p>
    <w:p>
      <w:pPr>
        <w:pStyle w:val="895"/>
        <w:ind w:firstLine="480"/>
        <w:spacing w:line="440" w:lineRule="exact"/>
        <w:tabs>
          <w:tab w:val="left" w:pos="210" w:leader="none"/>
          <w:tab w:val="left" w:pos="840" w:leader="none"/>
          <w:tab w:val="left" w:pos="1260" w:leader="none"/>
        </w:tabs>
        <w:rPr>
          <w:rFonts w:ascii="宋体" w:hAnsi="宋体"/>
          <w:color w:val="auto"/>
          <w:sz w:val="24"/>
          <w:szCs w:val="24"/>
        </w:rPr>
      </w:pPr>
      <w:r>
        <w:rPr>
          <w:rFonts w:hint="eastAsia" w:ascii="宋体" w:hAnsi="宋体"/>
          <w:b/>
          <w:bCs/>
          <w:color w:val="auto"/>
          <w:sz w:val="24"/>
          <w:szCs w:val="24"/>
        </w:rPr>
        <w:t xml:space="preserve">1</w:t>
      </w:r>
      <w:r>
        <w:rPr>
          <w:rFonts w:ascii="宋体" w:hAnsi="宋体"/>
          <w:b/>
          <w:bCs/>
          <w:color w:val="auto"/>
          <w:sz w:val="24"/>
          <w:szCs w:val="24"/>
        </w:rPr>
        <w:t xml:space="preserve">.</w:t>
      </w:r>
      <w:r>
        <w:rPr>
          <w:rFonts w:hint="eastAsia" w:ascii="宋体" w:hAnsi="宋体"/>
          <w:b/>
          <w:bCs/>
          <w:color w:val="auto"/>
          <w:sz w:val="24"/>
          <w:szCs w:val="24"/>
        </w:rPr>
        <w:t xml:space="preserve">合同价格形式：</w:t>
      </w:r>
      <w:r>
        <w:rPr>
          <w:rFonts w:hint="eastAsia" w:ascii="宋体" w:hAnsi="宋体"/>
          <w:color w:val="auto"/>
          <w:sz w:val="24"/>
          <w:szCs w:val="24"/>
        </w:rPr>
        <w:t xml:space="preserve">固定单价。</w:t>
      </w:r>
      <w:r>
        <w:rPr>
          <w:color w:val="auto"/>
        </w:rPr>
      </w:r>
      <w:r/>
    </w:p>
    <w:p>
      <w:pPr>
        <w:pStyle w:val="895"/>
        <w:ind w:firstLine="480"/>
        <w:spacing w:line="440" w:lineRule="exact"/>
        <w:tabs>
          <w:tab w:val="left" w:pos="210" w:leader="none"/>
          <w:tab w:val="left" w:pos="840" w:leader="none"/>
          <w:tab w:val="left" w:pos="1260" w:leader="none"/>
        </w:tabs>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中标金额：大写</w:t>
      </w:r>
      <w:r>
        <w:rPr>
          <w:rFonts w:hint="eastAsia" w:ascii="宋体" w:hAnsi="宋体"/>
          <w:b/>
          <w:bCs/>
          <w:color w:val="auto"/>
          <w:sz w:val="24"/>
          <w:szCs w:val="24"/>
          <w:u w:val="single"/>
        </w:rPr>
        <w:t xml:space="preserve"> </w:t>
      </w:r>
      <w:r>
        <w:rPr>
          <w:rFonts w:ascii="宋体" w:hAnsi="宋体"/>
          <w:b/>
          <w:bCs/>
          <w:color w:val="auto"/>
          <w:sz w:val="24"/>
          <w:szCs w:val="24"/>
          <w:u w:val="single"/>
        </w:rPr>
        <w:t xml:space="preserve">             </w:t>
      </w:r>
      <w:r>
        <w:rPr>
          <w:rFonts w:hint="eastAsia" w:ascii="宋体" w:hAnsi="宋体"/>
          <w:b/>
          <w:bCs/>
          <w:color w:val="auto"/>
          <w:sz w:val="24"/>
          <w:szCs w:val="24"/>
        </w:rPr>
        <w:t xml:space="preserve">/两年；小写：¥</w:t>
      </w:r>
      <w:r>
        <w:rPr>
          <w:rFonts w:ascii="宋体" w:hAnsi="宋体"/>
          <w:b/>
          <w:bCs/>
          <w:color w:val="auto"/>
          <w:sz w:val="24"/>
          <w:szCs w:val="24"/>
          <w:u w:val="single"/>
        </w:rPr>
        <w:t xml:space="preserve">        </w:t>
      </w:r>
      <w:r>
        <w:rPr>
          <w:rFonts w:hint="eastAsia" w:ascii="宋体" w:hAnsi="宋体"/>
          <w:b/>
          <w:bCs/>
          <w:color w:val="auto"/>
          <w:sz w:val="24"/>
          <w:szCs w:val="24"/>
        </w:rPr>
        <w:t xml:space="preserve">元/两年。</w:t>
      </w:r>
      <w:r>
        <w:rPr>
          <w:color w:val="auto"/>
        </w:rPr>
      </w:r>
      <w:r/>
    </w:p>
    <w:p>
      <w:pPr>
        <w:pStyle w:val="895"/>
        <w:ind w:firstLine="480"/>
        <w:spacing w:line="440" w:lineRule="exact"/>
        <w:tabs>
          <w:tab w:val="left" w:pos="210" w:leader="none"/>
          <w:tab w:val="left" w:pos="840" w:leader="none"/>
          <w:tab w:val="left" w:pos="1260" w:leader="none"/>
        </w:tabs>
        <w:rPr>
          <w:rFonts w:ascii="宋体" w:hAnsi="宋体"/>
          <w:b/>
          <w:bCs/>
          <w:color w:val="auto"/>
          <w:sz w:val="24"/>
          <w:szCs w:val="24"/>
        </w:rPr>
      </w:pPr>
      <w:r>
        <w:rPr>
          <w:rFonts w:hint="eastAsia" w:ascii="宋体" w:hAnsi="宋体"/>
          <w:b/>
          <w:bCs/>
          <w:color w:val="auto"/>
          <w:sz w:val="24"/>
          <w:szCs w:val="24"/>
        </w:rPr>
        <w:t xml:space="preserve">3</w:t>
      </w:r>
      <w:r>
        <w:rPr>
          <w:rFonts w:ascii="宋体" w:hAnsi="宋体"/>
          <w:b/>
          <w:bCs/>
          <w:color w:val="auto"/>
          <w:sz w:val="24"/>
          <w:szCs w:val="24"/>
        </w:rPr>
        <w:t xml:space="preserve">.</w:t>
      </w:r>
      <w:r>
        <w:rPr>
          <w:rFonts w:hint="eastAsia" w:ascii="宋体" w:hAnsi="宋体"/>
          <w:b/>
          <w:bCs/>
          <w:color w:val="auto"/>
          <w:sz w:val="24"/>
          <w:szCs w:val="24"/>
        </w:rPr>
        <w:t xml:space="preserve">年度合同价款：大写</w:t>
      </w:r>
      <w:r>
        <w:rPr>
          <w:rFonts w:hint="eastAsia" w:ascii="宋体" w:hAnsi="宋体"/>
          <w:b/>
          <w:bCs/>
          <w:color w:val="auto"/>
          <w:sz w:val="24"/>
          <w:szCs w:val="24"/>
          <w:u w:val="single"/>
        </w:rPr>
        <w:t xml:space="preserve"> </w:t>
      </w:r>
      <w:r>
        <w:rPr>
          <w:rFonts w:ascii="宋体" w:hAnsi="宋体"/>
          <w:b/>
          <w:bCs/>
          <w:color w:val="auto"/>
          <w:sz w:val="24"/>
          <w:szCs w:val="24"/>
          <w:u w:val="single"/>
        </w:rPr>
        <w:t xml:space="preserve">       </w:t>
      </w:r>
      <w:r>
        <w:rPr>
          <w:rFonts w:hint="eastAsia" w:ascii="宋体" w:hAnsi="宋体"/>
          <w:b/>
          <w:bCs/>
          <w:color w:val="auto"/>
          <w:sz w:val="24"/>
          <w:szCs w:val="24"/>
        </w:rPr>
        <w:t xml:space="preserve">/年；小写：¥</w:t>
      </w:r>
      <w:r>
        <w:rPr>
          <w:rFonts w:ascii="宋体" w:hAnsi="宋体"/>
          <w:b/>
          <w:bCs/>
          <w:color w:val="auto"/>
          <w:sz w:val="24"/>
          <w:szCs w:val="24"/>
          <w:u w:val="single"/>
        </w:rPr>
        <w:t xml:space="preserve">        </w:t>
      </w:r>
      <w:r>
        <w:rPr>
          <w:rFonts w:hint="eastAsia" w:ascii="宋体" w:hAnsi="宋体"/>
          <w:b/>
          <w:bCs/>
          <w:color w:val="auto"/>
          <w:sz w:val="24"/>
          <w:szCs w:val="24"/>
        </w:rPr>
        <w:t xml:space="preserve">元/年。</w:t>
      </w:r>
      <w:r>
        <w:rPr>
          <w:color w:val="auto"/>
        </w:rPr>
      </w:r>
      <w:r/>
    </w:p>
    <w:p>
      <w:pPr>
        <w:pStyle w:val="895"/>
        <w:ind w:firstLine="480"/>
        <w:spacing w:line="440" w:lineRule="exact"/>
        <w:tabs>
          <w:tab w:val="left" w:pos="210" w:leader="none"/>
          <w:tab w:val="left" w:pos="840" w:leader="none"/>
          <w:tab w:val="left" w:pos="1260" w:leader="none"/>
        </w:tabs>
        <w:rPr>
          <w:rFonts w:ascii="宋体" w:hAnsi="宋体"/>
          <w:b/>
          <w:bCs/>
          <w:color w:val="auto"/>
          <w:sz w:val="24"/>
          <w:szCs w:val="24"/>
        </w:rPr>
      </w:pPr>
      <w:r>
        <w:rPr>
          <w:rFonts w:hint="eastAsia" w:ascii="宋体" w:hAnsi="宋体"/>
          <w:b/>
          <w:bCs/>
          <w:color w:val="auto"/>
          <w:sz w:val="24"/>
          <w:szCs w:val="24"/>
        </w:rPr>
        <w:t xml:space="preserve">4</w:t>
      </w:r>
      <w:r>
        <w:rPr>
          <w:rFonts w:ascii="宋体" w:hAnsi="宋体"/>
          <w:b/>
          <w:bCs/>
          <w:color w:val="auto"/>
          <w:sz w:val="24"/>
          <w:szCs w:val="24"/>
        </w:rPr>
        <w:t xml:space="preserve">.</w:t>
      </w:r>
      <w:r>
        <w:rPr>
          <w:rFonts w:hint="eastAsia" w:ascii="宋体" w:hAnsi="宋体"/>
          <w:b/>
          <w:bCs/>
          <w:color w:val="auto"/>
          <w:sz w:val="24"/>
          <w:szCs w:val="24"/>
        </w:rPr>
        <w:t xml:space="preserve">养护单价：普通（二级）标准养护¥</w:t>
      </w:r>
      <w:r>
        <w:rPr>
          <w:rFonts w:hint="eastAsia" w:ascii="宋体" w:hAnsi="宋体"/>
          <w:b/>
          <w:bCs/>
          <w:color w:val="auto"/>
          <w:sz w:val="24"/>
          <w:szCs w:val="24"/>
          <w:u w:val="single"/>
        </w:rPr>
        <w:t xml:space="preserve">   </w:t>
      </w:r>
      <w:r>
        <w:rPr>
          <w:rFonts w:hint="eastAsia" w:ascii="宋体" w:hAnsi="宋体"/>
          <w:b/>
          <w:bCs/>
          <w:color w:val="auto"/>
          <w:sz w:val="24"/>
          <w:szCs w:val="24"/>
        </w:rPr>
        <w:t xml:space="preserve">元/㎡/年；精品（一级）标准养护¥</w:t>
      </w:r>
      <w:r>
        <w:rPr>
          <w:rFonts w:hint="eastAsia" w:ascii="宋体" w:hAnsi="宋体"/>
          <w:b/>
          <w:bCs/>
          <w:color w:val="auto"/>
          <w:sz w:val="24"/>
          <w:szCs w:val="24"/>
          <w:u w:val="single"/>
        </w:rPr>
        <w:t xml:space="preserve">   </w:t>
      </w:r>
      <w:r>
        <w:rPr>
          <w:rFonts w:hint="eastAsia" w:ascii="宋体" w:hAnsi="宋体"/>
          <w:b/>
          <w:bCs/>
          <w:color w:val="auto"/>
          <w:sz w:val="24"/>
          <w:szCs w:val="24"/>
        </w:rPr>
        <w:t xml:space="preserve">元/㎡/年；草花¥</w:t>
      </w:r>
      <w:r>
        <w:rPr>
          <w:rFonts w:hint="eastAsia" w:ascii="宋体" w:hAnsi="宋体"/>
          <w:b/>
          <w:bCs/>
          <w:color w:val="auto"/>
          <w:sz w:val="24"/>
          <w:szCs w:val="24"/>
          <w:u w:val="single"/>
        </w:rPr>
        <w:t xml:space="preserve">   </w:t>
      </w:r>
      <w:r>
        <w:rPr>
          <w:rFonts w:hint="eastAsia" w:ascii="宋体" w:hAnsi="宋体"/>
          <w:b/>
          <w:bCs/>
          <w:color w:val="auto"/>
          <w:sz w:val="24"/>
          <w:szCs w:val="24"/>
        </w:rPr>
        <w:t xml:space="preserve">元/㎡/年。</w:t>
      </w:r>
      <w:r>
        <w:rPr>
          <w:color w:val="auto"/>
        </w:rPr>
      </w:r>
      <w:r/>
    </w:p>
    <w:p>
      <w:pPr>
        <w:pStyle w:val="895"/>
        <w:ind w:firstLine="424"/>
        <w:spacing w:line="440" w:lineRule="exact"/>
        <w:tabs>
          <w:tab w:val="left" w:pos="210" w:leader="none"/>
          <w:tab w:val="left" w:pos="840" w:leader="none"/>
        </w:tabs>
        <w:rPr>
          <w:rFonts w:ascii="宋体" w:hAnsi="宋体"/>
          <w:color w:val="auto"/>
          <w:sz w:val="24"/>
        </w:rPr>
      </w:pPr>
      <w:r>
        <w:rPr>
          <w:color w:val="auto"/>
        </w:rPr>
      </w:r>
      <w:bookmarkStart w:id="23" w:name="_Hlk87463784"/>
      <w:r>
        <w:rPr>
          <w:rFonts w:hint="eastAsia" w:ascii="宋体" w:hAnsi="宋体"/>
          <w:color w:val="auto"/>
          <w:sz w:val="24"/>
        </w:rPr>
        <w:t xml:space="preserve">费用结算，以实际养护面积、养护时间和移交时间、考核情况支付养护费用。</w:t>
      </w:r>
      <w:r>
        <w:rPr>
          <w:color w:val="auto"/>
        </w:rPr>
      </w:r>
      <w:r/>
    </w:p>
    <w:p>
      <w:pPr>
        <w:pStyle w:val="895"/>
        <w:ind w:firstLine="424"/>
        <w:spacing w:line="440" w:lineRule="exact"/>
        <w:tabs>
          <w:tab w:val="left" w:pos="210" w:leader="none"/>
          <w:tab w:val="left" w:pos="840" w:leader="none"/>
        </w:tabs>
        <w:rPr>
          <w:rFonts w:ascii="宋体" w:hAnsi="宋体"/>
          <w:bCs/>
          <w:color w:val="auto"/>
          <w:sz w:val="24"/>
        </w:rPr>
      </w:pPr>
      <w:r>
        <w:rPr>
          <w:rFonts w:hint="eastAsia" w:ascii="宋体" w:hAnsi="宋体"/>
          <w:color w:val="auto"/>
          <w:sz w:val="24"/>
        </w:rPr>
        <w:t xml:space="preserve">合同金额</w:t>
      </w:r>
      <w:r>
        <w:rPr>
          <w:rFonts w:hint="eastAsia" w:ascii="宋体" w:hAnsi="宋体"/>
          <w:bCs/>
          <w:color w:val="auto"/>
          <w:sz w:val="24"/>
          <w:szCs w:val="24"/>
        </w:rPr>
        <w:t xml:space="preserve">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rPr>
          <w:rFonts w:hint="eastAsia" w:ascii="宋体" w:hAnsi="宋体"/>
          <w:color w:val="auto"/>
          <w:sz w:val="24"/>
        </w:rPr>
        <w:t xml:space="preserve">。</w:t>
      </w:r>
      <w:r>
        <w:rPr>
          <w:color w:val="auto"/>
        </w:rPr>
      </w:r>
      <w:r/>
    </w:p>
    <w:p>
      <w:pPr>
        <w:pStyle w:val="895"/>
        <w:numPr>
          <w:ilvl w:val="0"/>
          <w:numId w:val="11"/>
        </w:numPr>
        <w:ind w:left="0" w:firstLine="480"/>
        <w:spacing w:line="440" w:lineRule="exact"/>
        <w:rPr>
          <w:rFonts w:ascii="宋体" w:hAnsi="宋体"/>
          <w:b/>
          <w:color w:val="auto"/>
          <w:sz w:val="24"/>
        </w:rPr>
      </w:pPr>
      <w:r>
        <w:rPr>
          <w:color w:val="auto"/>
        </w:rPr>
      </w:r>
      <w:bookmarkStart w:id="24" w:name="_Hlk123566999"/>
      <w:r>
        <w:rPr>
          <w:rFonts w:hint="eastAsia" w:ascii="宋体" w:hAnsi="宋体"/>
          <w:b/>
          <w:color w:val="auto"/>
          <w:sz w:val="24"/>
          <w:szCs w:val="24"/>
        </w:rPr>
        <w:t xml:space="preserve">质量要求：</w:t>
      </w:r>
      <w:r>
        <w:rPr>
          <w:rFonts w:hint="eastAsia" w:ascii="宋体" w:hAnsi="宋体"/>
          <w:bCs/>
          <w:color w:val="auto"/>
          <w:sz w:val="24"/>
          <w:szCs w:val="24"/>
        </w:rPr>
        <w:t xml:space="preserve">按《江苏省植物养护技术规范》、《无锡市绿化养护标准规范》、《无锡市城市绿化养护管理质量标准》、符合钱桥街道绿地养护等级作业标准及考核办法</w:t>
      </w:r>
      <w:r>
        <w:rPr>
          <w:rFonts w:hint="eastAsia" w:ascii="宋体" w:hAnsi="宋体"/>
          <w:bCs/>
          <w:color w:val="auto"/>
          <w:sz w:val="24"/>
          <w:szCs w:val="24"/>
        </w:rPr>
        <w:t xml:space="preserve">。</w:t>
      </w:r>
      <w:bookmarkEnd w:id="24"/>
      <w:r>
        <w:rPr>
          <w:color w:val="auto"/>
        </w:rPr>
      </w:r>
      <w:r/>
    </w:p>
    <w:p>
      <w:pPr>
        <w:pStyle w:val="895"/>
        <w:numPr>
          <w:ilvl w:val="0"/>
          <w:numId w:val="11"/>
        </w:numPr>
        <w:ind w:left="0" w:firstLine="424"/>
        <w:spacing w:line="440" w:lineRule="exact"/>
        <w:rPr>
          <w:rFonts w:ascii="宋体" w:hAnsi="宋体"/>
          <w:b/>
          <w:color w:val="auto"/>
          <w:sz w:val="24"/>
        </w:rPr>
      </w:pPr>
      <w:r>
        <w:rPr>
          <w:rFonts w:hint="eastAsia" w:ascii="宋体" w:hAnsi="宋体"/>
          <w:b/>
          <w:color w:val="auto"/>
          <w:sz w:val="24"/>
          <w:szCs w:val="24"/>
        </w:rPr>
        <w:t xml:space="preserve">养护期：</w:t>
      </w:r>
      <w:r>
        <w:rPr>
          <w:color w:val="auto"/>
        </w:rPr>
      </w:r>
      <w:r/>
    </w:p>
    <w:p>
      <w:pPr>
        <w:pStyle w:val="895"/>
        <w:ind w:firstLine="480"/>
        <w:spacing w:line="440" w:lineRule="exact"/>
        <w:rPr>
          <w:rFonts w:ascii="宋体" w:hAnsi="宋体"/>
          <w:bCs/>
          <w:color w:val="auto"/>
          <w:sz w:val="24"/>
          <w:szCs w:val="24"/>
        </w:rPr>
      </w:pPr>
      <w:r>
        <w:rPr>
          <w:rFonts w:hint="eastAsia" w:ascii="宋体" w:hAnsi="宋体"/>
          <w:b/>
          <w:color w:val="auto"/>
          <w:sz w:val="24"/>
          <w:szCs w:val="24"/>
        </w:rPr>
        <w:t xml:space="preserve">1.中标养护期：2年（合同签订生效之日起）。合同一年一签，每个合同周期内，乙方必须严格遵守甲方的考核标准，如考核评价未达到甲方要求，甲方有权无条件单方面终止合同</w:t>
      </w:r>
      <w:r>
        <w:rPr>
          <w:rFonts w:hint="eastAsia" w:ascii="宋体" w:hAnsi="宋体"/>
          <w:bCs/>
          <w:color w:val="auto"/>
          <w:sz w:val="24"/>
          <w:szCs w:val="24"/>
        </w:rPr>
        <w:t xml:space="preserve">。</w:t>
      </w:r>
      <w:r>
        <w:rPr>
          <w:color w:val="auto"/>
        </w:rPr>
      </w:r>
      <w:r/>
    </w:p>
    <w:p>
      <w:pPr>
        <w:pStyle w:val="895"/>
        <w:ind w:firstLine="480"/>
        <w:spacing w:line="440" w:lineRule="exact"/>
        <w:rPr>
          <w:rFonts w:ascii="宋体" w:hAnsi="宋体"/>
          <w:b/>
          <w:color w:val="auto"/>
          <w:sz w:val="24"/>
        </w:rPr>
      </w:pPr>
      <w:r>
        <w:rPr>
          <w:rFonts w:hint="eastAsia" w:ascii="宋体" w:hAnsi="宋体"/>
          <w:b/>
          <w:color w:val="auto"/>
          <w:sz w:val="24"/>
        </w:rPr>
        <w:t xml:space="preserve">2.本次合同养护期：一年（自   年  月  日起至   年  月  日止）。</w:t>
      </w:r>
      <w:r>
        <w:rPr>
          <w:color w:val="auto"/>
        </w:rPr>
      </w:r>
      <w:r/>
    </w:p>
    <w:p>
      <w:pPr>
        <w:pStyle w:val="895"/>
        <w:numPr>
          <w:ilvl w:val="0"/>
          <w:numId w:val="11"/>
        </w:numPr>
        <w:ind w:left="0" w:firstLine="424"/>
        <w:spacing w:line="440" w:lineRule="exact"/>
        <w:rPr>
          <w:rFonts w:ascii="宋体" w:hAnsi="宋体"/>
          <w:b/>
          <w:color w:val="auto"/>
          <w:sz w:val="24"/>
          <w:szCs w:val="24"/>
        </w:rPr>
      </w:pPr>
      <w:r>
        <w:rPr>
          <w:color w:val="auto"/>
        </w:rPr>
      </w:r>
      <w:bookmarkEnd w:id="23"/>
      <w:r>
        <w:rPr>
          <w:rFonts w:hint="eastAsia" w:ascii="宋体" w:hAnsi="宋体"/>
          <w:b/>
          <w:color w:val="auto"/>
          <w:sz w:val="24"/>
          <w:szCs w:val="24"/>
        </w:rPr>
        <w:t xml:space="preserve">甲方的权利和义务</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甲方可以与乙方协商，建议更换其认为不称职的项目负责人。</w:t>
      </w:r>
      <w:r>
        <w:rPr>
          <w:rFonts w:hint="eastAsia" w:ascii="宋体" w:hAnsi="宋体"/>
          <w:color w:val="auto"/>
          <w:sz w:val="24"/>
          <w:szCs w:val="24"/>
        </w:rPr>
        <w:t xml:space="preserve">如乙方指派的现场负责人不能胜任目前工作，甲方有权要求进行更换，乙方必须无条件服从。如乙方项目经理有3次以上（包含3次）没有及时响应甲方要求的，乙方又不及时更换的，甲方有权随时终止合同。</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甲方</w:t>
      </w:r>
      <w:r>
        <w:rPr>
          <w:rFonts w:hint="eastAsia" w:ascii="宋体" w:hAnsi="宋体"/>
          <w:color w:val="auto"/>
          <w:sz w:val="24"/>
          <w:szCs w:val="24"/>
        </w:rPr>
        <w:t xml:space="preserve">的权利和义务</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（1）在乙方达到《钱桥街道绿化管养工作考核办法》的情况下，按照约定的时限和方式将应付款项支付给乙方；</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（2）严格按照《钱桥街道</w:t>
      </w:r>
      <w:r>
        <w:rPr>
          <w:rFonts w:hint="eastAsia" w:ascii="宋体" w:hAnsi="宋体"/>
          <w:color w:val="auto"/>
          <w:sz w:val="24"/>
          <w:szCs w:val="24"/>
          <w:lang w:val="en-US" w:eastAsia="zh-CN"/>
        </w:rPr>
        <w:t xml:space="preserve">东片</w:t>
      </w:r>
      <w:r>
        <w:rPr>
          <w:rFonts w:hint="eastAsia" w:ascii="宋体" w:hAnsi="宋体"/>
          <w:color w:val="auto"/>
          <w:sz w:val="24"/>
          <w:szCs w:val="24"/>
        </w:rPr>
        <w:t xml:space="preserve">绿化管养清单及养护等级》、《钱桥街道绿化管养工作考核办法》对乙方养护质量进行不定期抽查</w:t>
      </w:r>
      <w:r>
        <w:rPr>
          <w:rFonts w:ascii="宋体" w:hAnsi="宋体"/>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甲方每</w:t>
      </w:r>
      <w:r>
        <w:rPr>
          <w:rFonts w:hint="eastAsia" w:ascii="宋体" w:hAnsi="宋体"/>
          <w:color w:val="auto"/>
          <w:sz w:val="24"/>
          <w:szCs w:val="24"/>
        </w:rPr>
        <w:t xml:space="preserve">月</w:t>
      </w:r>
      <w:r>
        <w:rPr>
          <w:rFonts w:ascii="宋体" w:hAnsi="宋体"/>
          <w:color w:val="auto"/>
          <w:sz w:val="24"/>
          <w:szCs w:val="24"/>
        </w:rPr>
        <w:t xml:space="preserve">对乙方的养护质量进行检查考核，</w:t>
      </w:r>
      <w:r>
        <w:rPr>
          <w:rFonts w:hint="eastAsia" w:ascii="宋体" w:hAnsi="宋体"/>
          <w:color w:val="auto"/>
          <w:sz w:val="24"/>
          <w:szCs w:val="24"/>
        </w:rPr>
        <w:t xml:space="preserve">养护期满后根据考核结果支付养护费。</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如遇突发事件，协调乙方在作业过程中与其他管理部门的关系。</w:t>
      </w:r>
      <w:r>
        <w:rPr>
          <w:color w:val="auto"/>
        </w:rPr>
      </w:r>
      <w:r/>
    </w:p>
    <w:p>
      <w:pPr>
        <w:pStyle w:val="895"/>
        <w:ind w:firstLine="422"/>
        <w:spacing w:line="440" w:lineRule="exact"/>
        <w:tabs>
          <w:tab w:val="left" w:pos="0" w:leader="none"/>
          <w:tab w:val="left" w:pos="420" w:leader="none"/>
        </w:tabs>
        <w:rPr>
          <w:rFonts w:ascii="宋体"/>
          <w:bCs/>
          <w:color w:val="auto"/>
          <w:sz w:val="24"/>
          <w:szCs w:val="24"/>
        </w:rPr>
      </w:pPr>
      <w:r>
        <w:rPr>
          <w:rFonts w:hint="eastAsia" w:ascii="宋体"/>
          <w:bCs/>
          <w:color w:val="auto"/>
          <w:sz w:val="24"/>
          <w:szCs w:val="24"/>
        </w:rPr>
        <w:t xml:space="preserve">（5）对因供水、供电等原因影响正常养护工作，且乙方无力解决的问题，予以协助协调解决。</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在合同期内，因国家需要征用、改造、临时占用绿地等需要调整乙方管护绿化地段和管护等级时，乙方应服从大局，退出原养护地段，或相应减少养护范围及经费。由此造成的经济损失，甲方不</w:t>
      </w:r>
      <w:r>
        <w:rPr>
          <w:rFonts w:hint="eastAsia" w:ascii="宋体" w:hAnsi="宋体"/>
          <w:color w:val="auto"/>
          <w:sz w:val="24"/>
          <w:szCs w:val="24"/>
        </w:rPr>
        <w:t xml:space="preserve">承担</w:t>
      </w:r>
      <w:r>
        <w:rPr>
          <w:rFonts w:ascii="宋体" w:hAnsi="宋体"/>
          <w:color w:val="auto"/>
          <w:sz w:val="24"/>
          <w:szCs w:val="24"/>
        </w:rPr>
        <w:t xml:space="preserve">赔偿责任。</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甲方</w:t>
      </w:r>
      <w:r>
        <w:rPr>
          <w:rFonts w:hint="eastAsia" w:ascii="宋体" w:hAnsi="宋体"/>
          <w:color w:val="auto"/>
          <w:sz w:val="24"/>
          <w:szCs w:val="24"/>
        </w:rPr>
        <w:t xml:space="preserve">未尽的其他权利和义务</w:t>
      </w:r>
      <w:r>
        <w:rPr>
          <w:rFonts w:ascii="宋体" w:hAnsi="宋体"/>
          <w:color w:val="auto"/>
          <w:sz w:val="24"/>
          <w:szCs w:val="24"/>
        </w:rPr>
        <w:t xml:space="preserve">，双方</w:t>
      </w:r>
      <w:r>
        <w:rPr>
          <w:rFonts w:hint="eastAsia" w:ascii="宋体" w:hAnsi="宋体"/>
          <w:color w:val="auto"/>
          <w:sz w:val="24"/>
          <w:szCs w:val="24"/>
        </w:rPr>
        <w:t xml:space="preserve">可</w:t>
      </w:r>
      <w:r>
        <w:rPr>
          <w:rFonts w:ascii="宋体" w:hAnsi="宋体"/>
          <w:color w:val="auto"/>
          <w:sz w:val="24"/>
          <w:szCs w:val="24"/>
        </w:rPr>
        <w:t xml:space="preserve">在补充条款内</w:t>
      </w:r>
      <w:r>
        <w:rPr>
          <w:rFonts w:hint="eastAsia" w:ascii="宋体" w:hAnsi="宋体"/>
          <w:color w:val="auto"/>
          <w:sz w:val="24"/>
          <w:szCs w:val="24"/>
        </w:rPr>
        <w:t xml:space="preserve">另行</w:t>
      </w:r>
      <w:r>
        <w:rPr>
          <w:rFonts w:ascii="宋体" w:hAnsi="宋体"/>
          <w:color w:val="auto"/>
          <w:sz w:val="24"/>
          <w:szCs w:val="24"/>
        </w:rPr>
        <w:t xml:space="preserve">约定。</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乙方</w:t>
      </w:r>
      <w:r>
        <w:rPr>
          <w:rFonts w:hint="eastAsia" w:ascii="宋体" w:hAnsi="宋体"/>
          <w:b/>
          <w:color w:val="auto"/>
          <w:sz w:val="24"/>
          <w:szCs w:val="24"/>
        </w:rPr>
        <w:t xml:space="preserve">的权利和义务</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1.建立完善的绿化养护管理制度，并根据甲方提出的各项要求进行养护工作；</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乙方需保持管理范围内环境整洁，苗木生长旺盛，无病虫害，无杂草，无枯树残叶，无缺棵，绿化带修剪整齐，绿化带内培土平整，无垃圾杂物</w:t>
      </w:r>
      <w:r>
        <w:rPr>
          <w:rFonts w:hint="eastAsia" w:ascii="宋体" w:hAnsi="宋体"/>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乙方必须做到定期施肥、修剪，病虫害发生情况及时做好预防工作，病虫害发生后及时防治；干旱天气乙方要浇水保墒，不得因</w:t>
      </w:r>
      <w:r>
        <w:rPr>
          <w:rFonts w:hint="eastAsia" w:ascii="宋体" w:hAnsi="宋体"/>
          <w:color w:val="auto"/>
          <w:sz w:val="24"/>
          <w:szCs w:val="24"/>
        </w:rPr>
        <w:t xml:space="preserve">干</w:t>
      </w:r>
      <w:r>
        <w:rPr>
          <w:rFonts w:ascii="宋体" w:hAnsi="宋体"/>
          <w:color w:val="auto"/>
          <w:sz w:val="24"/>
          <w:szCs w:val="24"/>
        </w:rPr>
        <w:t xml:space="preserve">旱（或积水）造成苗木生长受阻或死亡</w:t>
      </w:r>
      <w:r>
        <w:rPr>
          <w:rFonts w:hint="eastAsia" w:ascii="宋体" w:hAnsi="宋体"/>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4.不得利用所承包养护的绿地及绿地内设施从事任何营利性活动；</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5.对因养护责任造成的绿地内苗木死亡，按照原有苗木的品种、规格、数量进行补植，费用自筹。</w:t>
      </w:r>
      <w:r>
        <w:rPr>
          <w:rFonts w:ascii="宋体" w:hAnsi="宋体"/>
          <w:color w:val="auto"/>
          <w:sz w:val="24"/>
          <w:szCs w:val="24"/>
        </w:rPr>
        <w:t xml:space="preserve">由于人为偷盗、破坏、工程建设毁坏及其它因素造成损坏的，乙方应及时制止并报甲方，进行处理赔偿</w:t>
      </w:r>
      <w:r>
        <w:rPr>
          <w:rFonts w:hint="eastAsia" w:ascii="宋体" w:hAnsi="宋体"/>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6.编制绿化养护应急抢险方案，对灾害性台风、雨雪天气、交通事故等突发事件，造成苗木损伤、倒伏、死亡的，应按照甲方要求及时做好应急抢险工作，由于未及时做好应急抢险工作做成的损失，由乙方承担；</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乙方必须提高安全意识，加强对职工在工作中安全防范措施的落实。发生安全事故由乙方负担法律及经济责任。</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8.如遇重大活动（庆典、领导参观等），应按照甲方要求按实做好苗木修剪、清理卫生等；</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9.养护不得拖欠农民工工资，由此造成的损失、纠纷等由乙方承担。</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10.</w:t>
      </w:r>
      <w:r>
        <w:rPr>
          <w:rFonts w:ascii="宋体" w:hAnsi="宋体"/>
          <w:color w:val="auto"/>
          <w:sz w:val="24"/>
          <w:szCs w:val="24"/>
        </w:rPr>
        <w:t xml:space="preserve">乙方应服从所在地的绿化行政主管部门的行业管理。</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11.</w:t>
      </w:r>
      <w:r>
        <w:rPr>
          <w:rFonts w:ascii="宋体" w:hAnsi="宋体"/>
          <w:color w:val="auto"/>
          <w:sz w:val="24"/>
          <w:szCs w:val="24"/>
        </w:rPr>
        <w:t xml:space="preserve">在</w:t>
      </w:r>
      <w:r>
        <w:rPr>
          <w:rFonts w:hint="eastAsia" w:ascii="宋体" w:hAnsi="宋体"/>
          <w:color w:val="auto"/>
          <w:sz w:val="24"/>
          <w:szCs w:val="24"/>
        </w:rPr>
        <w:t xml:space="preserve">养护</w:t>
      </w:r>
      <w:r>
        <w:rPr>
          <w:rFonts w:ascii="宋体" w:hAnsi="宋体"/>
          <w:color w:val="auto"/>
          <w:sz w:val="24"/>
          <w:szCs w:val="24"/>
        </w:rPr>
        <w:t xml:space="preserve">期内</w:t>
      </w:r>
      <w:r>
        <w:rPr>
          <w:rFonts w:hint="eastAsia" w:ascii="宋体" w:hAnsi="宋体"/>
          <w:color w:val="auto"/>
          <w:sz w:val="24"/>
          <w:szCs w:val="24"/>
        </w:rPr>
        <w:t xml:space="preserve">乙方</w:t>
      </w:r>
      <w:r>
        <w:rPr>
          <w:rFonts w:ascii="宋体" w:hAnsi="宋体"/>
          <w:color w:val="auto"/>
          <w:sz w:val="24"/>
          <w:szCs w:val="24"/>
        </w:rPr>
        <w:t xml:space="preserve">应服从</w:t>
      </w:r>
      <w:r>
        <w:rPr>
          <w:rFonts w:hint="eastAsia" w:ascii="宋体" w:hAnsi="宋体"/>
          <w:color w:val="auto"/>
          <w:sz w:val="24"/>
          <w:szCs w:val="24"/>
        </w:rPr>
        <w:t xml:space="preserve">甲方</w:t>
      </w:r>
      <w:r>
        <w:rPr>
          <w:rFonts w:ascii="宋体" w:hAnsi="宋体"/>
          <w:color w:val="auto"/>
          <w:sz w:val="24"/>
          <w:szCs w:val="24"/>
        </w:rPr>
        <w:t xml:space="preserve">的安排，做好以下的服务工作：</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(1)因不可抗力造成的抢修保养工作</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(2)防汛抗灾期间的汛前、汛期、汛后的各项工作；</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(3)养护相关的社会职能工作；</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(4)上级布置的突击性活动而发生的各项工作；</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(5)确保国定节假日的养护工作。</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12.</w:t>
      </w:r>
      <w:r>
        <w:rPr>
          <w:rFonts w:ascii="宋体" w:hAnsi="宋体"/>
          <w:color w:val="auto"/>
          <w:sz w:val="24"/>
          <w:szCs w:val="24"/>
        </w:rPr>
        <w:t xml:space="preserve">乙方承担防范、杀灭四害等有关规定的义务，所使用的肥料、农药等符合环保标准</w:t>
      </w:r>
      <w:r>
        <w:rPr>
          <w:rFonts w:hint="eastAsia" w:ascii="宋体" w:hAnsi="宋体"/>
          <w:color w:val="auto"/>
          <w:sz w:val="24"/>
          <w:szCs w:val="24"/>
        </w:rPr>
        <w:t xml:space="preserve">，农药废弃物要妥善处理，不可随意丢弃。同时，需提供相关处理台账。</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13.</w:t>
      </w:r>
      <w:r>
        <w:rPr>
          <w:rFonts w:ascii="宋体" w:hAnsi="宋体"/>
          <w:color w:val="auto"/>
          <w:sz w:val="24"/>
          <w:szCs w:val="24"/>
        </w:rPr>
        <w:t xml:space="preserve">乙方</w:t>
      </w:r>
      <w:r>
        <w:rPr>
          <w:rFonts w:hint="eastAsia" w:ascii="宋体" w:hAnsi="宋体"/>
          <w:color w:val="auto"/>
          <w:sz w:val="24"/>
          <w:szCs w:val="24"/>
        </w:rPr>
        <w:t xml:space="preserve">未尽的其他权利和义务</w:t>
      </w:r>
      <w:r>
        <w:rPr>
          <w:rFonts w:ascii="宋体" w:hAnsi="宋体"/>
          <w:color w:val="auto"/>
          <w:sz w:val="24"/>
          <w:szCs w:val="24"/>
        </w:rPr>
        <w:t xml:space="preserve">，双方</w:t>
      </w:r>
      <w:r>
        <w:rPr>
          <w:rFonts w:hint="eastAsia" w:ascii="宋体" w:hAnsi="宋体"/>
          <w:color w:val="auto"/>
          <w:sz w:val="24"/>
          <w:szCs w:val="24"/>
        </w:rPr>
        <w:t xml:space="preserve">可</w:t>
      </w:r>
      <w:r>
        <w:rPr>
          <w:rFonts w:ascii="宋体" w:hAnsi="宋体"/>
          <w:color w:val="auto"/>
          <w:sz w:val="24"/>
          <w:szCs w:val="24"/>
        </w:rPr>
        <w:t xml:space="preserve">在补充条款内</w:t>
      </w:r>
      <w:r>
        <w:rPr>
          <w:rFonts w:hint="eastAsia" w:ascii="宋体" w:hAnsi="宋体"/>
          <w:color w:val="auto"/>
          <w:sz w:val="24"/>
          <w:szCs w:val="24"/>
        </w:rPr>
        <w:t xml:space="preserve">另行</w:t>
      </w:r>
      <w:r>
        <w:rPr>
          <w:rFonts w:ascii="宋体" w:hAnsi="宋体"/>
          <w:color w:val="auto"/>
          <w:sz w:val="24"/>
          <w:szCs w:val="24"/>
        </w:rPr>
        <w:t xml:space="preserve">约定。</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14.乙方的工作人员为乙方的员工，与乙方之间系劳动合同关系，工作人员的薪资、社保、加班费、疾病、生育、非因工死亡、工伤以及在服务过程中的伤亡由乙方自行负责处理并承担费用，甲方概不负责。</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检查和考核</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1.乙方应认真按约定的</w:t>
      </w:r>
      <w:r>
        <w:rPr>
          <w:rFonts w:hint="eastAsia" w:ascii="宋体" w:hAnsi="宋体"/>
          <w:bCs/>
          <w:color w:val="auto"/>
          <w:sz w:val="24"/>
          <w:szCs w:val="24"/>
        </w:rPr>
        <w:t xml:space="preserve">《钱桥街道绿化管养工作考核办法》</w:t>
      </w:r>
      <w:r>
        <w:rPr>
          <w:rFonts w:ascii="宋体" w:hAnsi="宋体"/>
          <w:bCs/>
          <w:color w:val="auto"/>
          <w:sz w:val="24"/>
          <w:szCs w:val="24"/>
        </w:rPr>
        <w:t xml:space="preserve">进</w:t>
      </w:r>
      <w:r>
        <w:rPr>
          <w:rFonts w:ascii="宋体" w:hAnsi="宋体"/>
          <w:color w:val="auto"/>
          <w:sz w:val="24"/>
          <w:szCs w:val="24"/>
        </w:rPr>
        <w:t xml:space="preserve">行养护，随时接受甲方的检查和考核</w:t>
      </w:r>
      <w:r>
        <w:rPr>
          <w:rFonts w:hint="eastAsia" w:ascii="宋体" w:hAnsi="宋体"/>
          <w:color w:val="auto"/>
          <w:sz w:val="24"/>
          <w:szCs w:val="24"/>
        </w:rPr>
        <w:t xml:space="preserve">。</w:t>
      </w:r>
      <w:r>
        <w:rPr>
          <w:rFonts w:ascii="宋体" w:hAnsi="宋体"/>
          <w:color w:val="auto"/>
          <w:sz w:val="24"/>
          <w:szCs w:val="24"/>
        </w:rPr>
        <w:t xml:space="preserve"> </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2.对于养护质量不符合要求的，甲方先通知整改，乙方在</w:t>
      </w:r>
      <w:r>
        <w:rPr>
          <w:rFonts w:hint="eastAsia" w:ascii="宋体" w:hAnsi="宋体"/>
          <w:color w:val="auto"/>
          <w:sz w:val="24"/>
          <w:szCs w:val="24"/>
        </w:rPr>
        <w:t xml:space="preserve">规定时间</w:t>
      </w:r>
      <w:r>
        <w:rPr>
          <w:rFonts w:ascii="宋体" w:hAnsi="宋体"/>
          <w:color w:val="auto"/>
          <w:sz w:val="24"/>
          <w:szCs w:val="24"/>
        </w:rPr>
        <w:t xml:space="preserve">内不整改的或整改效果不符合要求的，甲方</w:t>
      </w:r>
      <w:r>
        <w:rPr>
          <w:rFonts w:hint="eastAsia" w:ascii="宋体" w:hAnsi="宋体"/>
          <w:color w:val="auto"/>
          <w:sz w:val="24"/>
          <w:szCs w:val="24"/>
        </w:rPr>
        <w:t xml:space="preserve">有权委托第三方进行</w:t>
      </w:r>
      <w:r>
        <w:rPr>
          <w:rFonts w:ascii="宋体" w:hAnsi="宋体"/>
          <w:color w:val="auto"/>
          <w:sz w:val="24"/>
          <w:szCs w:val="24"/>
        </w:rPr>
        <w:t xml:space="preserve">整改，</w:t>
      </w:r>
      <w:r>
        <w:rPr>
          <w:rFonts w:hint="eastAsia" w:ascii="宋体" w:hAnsi="宋体"/>
          <w:color w:val="auto"/>
          <w:sz w:val="24"/>
          <w:szCs w:val="24"/>
        </w:rPr>
        <w:t xml:space="preserve">整改</w:t>
      </w:r>
      <w:r>
        <w:rPr>
          <w:rFonts w:ascii="宋体" w:hAnsi="宋体"/>
          <w:color w:val="auto"/>
          <w:sz w:val="24"/>
          <w:szCs w:val="24"/>
        </w:rPr>
        <w:t xml:space="preserve">费用</w:t>
      </w:r>
      <w:r>
        <w:rPr>
          <w:rFonts w:hint="eastAsia" w:ascii="宋体" w:hAnsi="宋体"/>
          <w:color w:val="auto"/>
          <w:sz w:val="24"/>
          <w:szCs w:val="24"/>
        </w:rPr>
        <w:t xml:space="preserve">将</w:t>
      </w:r>
      <w:r>
        <w:rPr>
          <w:rFonts w:ascii="宋体" w:hAnsi="宋体"/>
          <w:color w:val="auto"/>
          <w:sz w:val="24"/>
          <w:szCs w:val="24"/>
        </w:rPr>
        <w:t xml:space="preserve">在乙方养护费中</w:t>
      </w:r>
      <w:r>
        <w:rPr>
          <w:rFonts w:hint="eastAsia" w:ascii="宋体" w:hAnsi="宋体"/>
          <w:color w:val="auto"/>
          <w:sz w:val="24"/>
          <w:szCs w:val="24"/>
        </w:rPr>
        <w:t xml:space="preserve">给予</w:t>
      </w:r>
      <w:r>
        <w:rPr>
          <w:rFonts w:ascii="宋体" w:hAnsi="宋体"/>
          <w:color w:val="auto"/>
          <w:sz w:val="24"/>
          <w:szCs w:val="24"/>
        </w:rPr>
        <w:t xml:space="preserve">扣除</w:t>
      </w:r>
      <w:r>
        <w:rPr>
          <w:rFonts w:hint="eastAsia" w:ascii="宋体" w:hAnsi="宋体"/>
          <w:color w:val="auto"/>
          <w:sz w:val="24"/>
          <w:szCs w:val="24"/>
        </w:rPr>
        <w:t xml:space="preserve">，不足部分由乙方予以补足</w:t>
      </w:r>
      <w:r>
        <w:rPr>
          <w:rFonts w:ascii="宋体" w:hAnsi="宋体"/>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3.乙方养护期间的乔灌花草</w:t>
      </w:r>
      <w:r>
        <w:rPr>
          <w:rFonts w:hint="eastAsia" w:ascii="宋体" w:hAnsi="宋体"/>
          <w:color w:val="auto"/>
          <w:sz w:val="24"/>
          <w:szCs w:val="24"/>
        </w:rPr>
        <w:t xml:space="preserve">存活</w:t>
      </w:r>
      <w:r>
        <w:rPr>
          <w:rFonts w:ascii="宋体" w:hAnsi="宋体"/>
          <w:color w:val="auto"/>
          <w:sz w:val="24"/>
          <w:szCs w:val="24"/>
        </w:rPr>
        <w:t xml:space="preserve">率低于</w:t>
      </w:r>
      <w:r>
        <w:rPr>
          <w:rFonts w:hint="eastAsia" w:ascii="宋体" w:hAnsi="宋体"/>
          <w:color w:val="auto"/>
          <w:sz w:val="24"/>
          <w:szCs w:val="24"/>
        </w:rPr>
        <w:t xml:space="preserve">合同约定</w:t>
      </w:r>
      <w:r>
        <w:rPr>
          <w:rFonts w:ascii="宋体" w:hAnsi="宋体"/>
          <w:color w:val="auto"/>
          <w:sz w:val="24"/>
          <w:szCs w:val="24"/>
        </w:rPr>
        <w:t xml:space="preserve">要求的，必须在适合的季节及时补植同品种、同规格的苗木，并确保成活，补植费用由乙方</w:t>
      </w:r>
      <w:r>
        <w:rPr>
          <w:rFonts w:hint="eastAsia" w:ascii="宋体" w:hAnsi="宋体"/>
          <w:color w:val="auto"/>
          <w:sz w:val="24"/>
          <w:szCs w:val="24"/>
        </w:rPr>
        <w:t xml:space="preserve">自行</w:t>
      </w:r>
      <w:r>
        <w:rPr>
          <w:rFonts w:ascii="宋体" w:hAnsi="宋体"/>
          <w:color w:val="auto"/>
          <w:sz w:val="24"/>
          <w:szCs w:val="24"/>
        </w:rPr>
        <w:t xml:space="preserve">承担。若乙方未按规定补植，甲方有权安排第三方进行种植，所发生的苗木费及补植费从乙方养护费中扣除。</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4.甲方按照</w:t>
      </w:r>
      <w:r>
        <w:rPr>
          <w:rFonts w:hint="eastAsia" w:ascii="宋体" w:hAnsi="宋体"/>
          <w:bCs/>
          <w:color w:val="auto"/>
          <w:sz w:val="24"/>
          <w:szCs w:val="24"/>
        </w:rPr>
        <w:t xml:space="preserve">《钱桥街道</w:t>
      </w:r>
      <w:r>
        <w:rPr>
          <w:rFonts w:hint="eastAsia" w:ascii="宋体" w:hAnsi="宋体"/>
          <w:bCs/>
          <w:color w:val="auto"/>
          <w:sz w:val="24"/>
          <w:szCs w:val="24"/>
          <w:lang w:val="en-US" w:eastAsia="zh-CN"/>
        </w:rPr>
        <w:t xml:space="preserve">东片</w:t>
      </w:r>
      <w:r>
        <w:rPr>
          <w:rFonts w:hint="eastAsia" w:ascii="宋体" w:hAnsi="宋体"/>
          <w:bCs/>
          <w:color w:val="auto"/>
          <w:sz w:val="24"/>
          <w:szCs w:val="24"/>
        </w:rPr>
        <w:t xml:space="preserve">绿化管养清单及养护等级》、《钱桥街道绿化管养工作考核办法》</w:t>
      </w:r>
      <w:r>
        <w:rPr>
          <w:rFonts w:ascii="宋体" w:hAnsi="宋体"/>
          <w:color w:val="auto"/>
          <w:sz w:val="24"/>
          <w:szCs w:val="24"/>
        </w:rPr>
        <w:t xml:space="preserve">进行考核。</w:t>
      </w:r>
      <w:r>
        <w:rPr>
          <w:rFonts w:hint="eastAsia" w:ascii="宋体" w:hAnsi="宋体"/>
          <w:b/>
          <w:bCs/>
          <w:color w:val="auto"/>
          <w:sz w:val="24"/>
          <w:szCs w:val="24"/>
        </w:rPr>
        <w:t xml:space="preserve">具体考核办法详见合同附件</w:t>
      </w:r>
      <w:r>
        <w:rPr>
          <w:rFonts w:ascii="宋体" w:hAnsi="宋体"/>
          <w:b/>
          <w:bCs/>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5.乙方退出管护，需在规定时间内按要求整改到位后交付，逾期整改不到位由接管方进行整改，所需费用由</w:t>
      </w:r>
      <w:r>
        <w:rPr>
          <w:rFonts w:hint="eastAsia" w:ascii="宋体" w:hAnsi="宋体"/>
          <w:color w:val="auto"/>
          <w:sz w:val="24"/>
          <w:szCs w:val="24"/>
        </w:rPr>
        <w:t xml:space="preserve">乙方承担</w:t>
      </w:r>
      <w:r>
        <w:rPr>
          <w:rFonts w:ascii="宋体" w:hAnsi="宋体"/>
          <w:color w:val="auto"/>
          <w:sz w:val="24"/>
          <w:szCs w:val="24"/>
        </w:rPr>
        <w:t xml:space="preserve">。</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安全文明施工与检查</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1.乙方应做好养护作业管理区内的安全管理工作，并随时接受甲方或行业安全检查人员依法实施的监督检查，采取必要的安全防护措施，消除事故隐患。</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2.由于乙方管理不善，引起政府职能部门处罚和停工整改，或安全措施不力造成事故的，由乙方承担一切责任和损失。</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安全防护</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1.养护作业人员应做好各项安全防范措施，必须</w:t>
      </w:r>
      <w:r>
        <w:rPr>
          <w:rFonts w:hint="eastAsia" w:ascii="宋体" w:hAnsi="宋体"/>
          <w:color w:val="auto"/>
          <w:sz w:val="24"/>
          <w:szCs w:val="24"/>
        </w:rPr>
        <w:t xml:space="preserve">统一</w:t>
      </w:r>
      <w:r>
        <w:rPr>
          <w:rFonts w:ascii="宋体" w:hAnsi="宋体"/>
          <w:color w:val="auto"/>
          <w:sz w:val="24"/>
          <w:szCs w:val="24"/>
        </w:rPr>
        <w:t xml:space="preserve">着装上岗，</w:t>
      </w:r>
      <w:r>
        <w:rPr>
          <w:rFonts w:hint="eastAsia" w:ascii="宋体" w:hAnsi="宋体"/>
          <w:color w:val="auto"/>
          <w:sz w:val="24"/>
          <w:szCs w:val="24"/>
        </w:rPr>
        <w:t xml:space="preserve">穿着安全背心，</w:t>
      </w:r>
      <w:r>
        <w:rPr>
          <w:rFonts w:ascii="宋体" w:hAnsi="宋体"/>
          <w:color w:val="auto"/>
          <w:sz w:val="24"/>
          <w:szCs w:val="24"/>
        </w:rPr>
        <w:t xml:space="preserve">施工</w:t>
      </w:r>
      <w:r>
        <w:rPr>
          <w:rFonts w:hint="eastAsia" w:ascii="宋体" w:hAnsi="宋体"/>
          <w:color w:val="auto"/>
          <w:sz w:val="24"/>
          <w:szCs w:val="24"/>
        </w:rPr>
        <w:t xml:space="preserve">区域</w:t>
      </w:r>
      <w:r>
        <w:rPr>
          <w:rFonts w:ascii="宋体" w:hAnsi="宋体"/>
          <w:color w:val="auto"/>
          <w:sz w:val="24"/>
          <w:szCs w:val="24"/>
        </w:rPr>
        <w:t xml:space="preserve">按规定</w:t>
      </w:r>
      <w:r>
        <w:rPr>
          <w:rFonts w:hint="eastAsia" w:ascii="宋体" w:hAnsi="宋体"/>
          <w:color w:val="auto"/>
          <w:sz w:val="24"/>
          <w:szCs w:val="24"/>
        </w:rPr>
        <w:t xml:space="preserve">设立</w:t>
      </w:r>
      <w:r>
        <w:rPr>
          <w:rFonts w:ascii="宋体" w:hAnsi="宋体"/>
          <w:color w:val="auto"/>
          <w:sz w:val="24"/>
          <w:szCs w:val="24"/>
        </w:rPr>
        <w:t xml:space="preserve">安全标识。</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2.事故处理</w:t>
      </w:r>
      <w:r>
        <w:rPr>
          <w:rFonts w:hint="eastAsia" w:ascii="宋体" w:hAnsi="宋体"/>
          <w:color w:val="auto"/>
          <w:sz w:val="24"/>
          <w:szCs w:val="24"/>
        </w:rPr>
        <w:t xml:space="preserve">：</w:t>
      </w:r>
      <w:r>
        <w:rPr>
          <w:rFonts w:ascii="宋体" w:hAnsi="宋体"/>
          <w:color w:val="auto"/>
          <w:sz w:val="24"/>
          <w:szCs w:val="24"/>
        </w:rPr>
        <w:t xml:space="preserve">发生重大伤亡及其他安全事故，乙方应</w:t>
      </w:r>
      <w:r>
        <w:rPr>
          <w:rFonts w:hint="eastAsia" w:ascii="宋体" w:hAnsi="宋体"/>
          <w:color w:val="auto"/>
          <w:sz w:val="24"/>
          <w:szCs w:val="24"/>
        </w:rPr>
        <w:t xml:space="preserve">当先行通知甲方，并</w:t>
      </w:r>
      <w:r>
        <w:rPr>
          <w:rFonts w:ascii="宋体" w:hAnsi="宋体"/>
          <w:color w:val="auto"/>
          <w:sz w:val="24"/>
          <w:szCs w:val="24"/>
        </w:rPr>
        <w:t xml:space="preserve">按有关规定立即上报</w:t>
      </w:r>
      <w:r>
        <w:rPr>
          <w:rFonts w:hint="eastAsia" w:ascii="宋体" w:hAnsi="宋体"/>
          <w:color w:val="auto"/>
          <w:sz w:val="24"/>
          <w:szCs w:val="24"/>
        </w:rPr>
        <w:t xml:space="preserve">相</w:t>
      </w:r>
      <w:r>
        <w:rPr>
          <w:rFonts w:ascii="宋体" w:hAnsi="宋体"/>
          <w:color w:val="auto"/>
          <w:sz w:val="24"/>
          <w:szCs w:val="24"/>
        </w:rPr>
        <w:t xml:space="preserve">关部门</w:t>
      </w:r>
      <w:r>
        <w:rPr>
          <w:rFonts w:hint="eastAsia" w:ascii="宋体" w:hAnsi="宋体"/>
          <w:color w:val="auto"/>
          <w:sz w:val="24"/>
          <w:szCs w:val="24"/>
        </w:rPr>
        <w:t xml:space="preserve">。</w:t>
      </w:r>
      <w:r>
        <w:rPr>
          <w:rFonts w:ascii="宋体" w:hAnsi="宋体"/>
          <w:color w:val="auto"/>
          <w:sz w:val="24"/>
          <w:szCs w:val="24"/>
        </w:rPr>
        <w:t xml:space="preserve">同时按有关部门要求处理</w:t>
      </w:r>
      <w:r>
        <w:rPr>
          <w:rFonts w:hint="eastAsia" w:ascii="宋体" w:hAnsi="宋体"/>
          <w:color w:val="auto"/>
          <w:sz w:val="24"/>
          <w:szCs w:val="24"/>
        </w:rPr>
        <w:t xml:space="preserve">，事故处理过程中所有发生的费用均由责任方进行承担。</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合同价款</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1.合同价款由甲、乙双方依据中标通知书中的</w:t>
      </w:r>
      <w:r>
        <w:rPr>
          <w:rFonts w:hint="eastAsia" w:ascii="宋体" w:hAnsi="宋体"/>
          <w:color w:val="auto"/>
          <w:sz w:val="24"/>
          <w:szCs w:val="24"/>
        </w:rPr>
        <w:t xml:space="preserve">确定的</w:t>
      </w:r>
      <w:r>
        <w:rPr>
          <w:rFonts w:ascii="宋体" w:hAnsi="宋体"/>
          <w:color w:val="auto"/>
          <w:sz w:val="24"/>
          <w:szCs w:val="24"/>
        </w:rPr>
        <w:t xml:space="preserve">价格在协议书内</w:t>
      </w:r>
      <w:r>
        <w:rPr>
          <w:rFonts w:hint="eastAsia" w:ascii="宋体" w:hAnsi="宋体"/>
          <w:color w:val="auto"/>
          <w:sz w:val="24"/>
          <w:szCs w:val="24"/>
        </w:rPr>
        <w:t xml:space="preserve">进行</w:t>
      </w:r>
      <w:r>
        <w:rPr>
          <w:rFonts w:ascii="宋体" w:hAnsi="宋体"/>
          <w:color w:val="auto"/>
          <w:sz w:val="24"/>
          <w:szCs w:val="24"/>
        </w:rPr>
        <w:t xml:space="preserve">约定。</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2.乙方应向甲方提交</w:t>
      </w:r>
      <w:r>
        <w:rPr>
          <w:rFonts w:hint="eastAsia" w:ascii="宋体" w:hAnsi="宋体"/>
          <w:color w:val="auto"/>
          <w:sz w:val="24"/>
          <w:szCs w:val="24"/>
        </w:rPr>
        <w:t xml:space="preserve">季</w:t>
      </w:r>
      <w:r>
        <w:rPr>
          <w:rFonts w:ascii="宋体" w:hAnsi="宋体"/>
          <w:color w:val="auto"/>
          <w:sz w:val="24"/>
          <w:szCs w:val="24"/>
        </w:rPr>
        <w:t xml:space="preserve">度养护作业统计报表。甲方可以按报表内容进行计量与考核，考核结果作为</w:t>
      </w:r>
      <w:r>
        <w:rPr>
          <w:rFonts w:hint="eastAsia" w:ascii="宋体" w:hAnsi="宋体"/>
          <w:color w:val="auto"/>
          <w:sz w:val="24"/>
          <w:szCs w:val="24"/>
        </w:rPr>
        <w:t xml:space="preserve">支付</w:t>
      </w:r>
      <w:r>
        <w:rPr>
          <w:rFonts w:ascii="宋体" w:hAnsi="宋体"/>
          <w:color w:val="auto"/>
          <w:sz w:val="24"/>
          <w:szCs w:val="24"/>
        </w:rPr>
        <w:t xml:space="preserve">合同价款的依据。</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3.如实际养护作业量与设施量清单有出入时，乙方按照补充条款约定的时间上报计划变更单，经甲方审核并报有关部门审定后</w:t>
      </w:r>
      <w:r>
        <w:rPr>
          <w:rFonts w:hint="eastAsia" w:ascii="宋体" w:hAnsi="宋体"/>
          <w:color w:val="auto"/>
          <w:sz w:val="24"/>
          <w:szCs w:val="24"/>
        </w:rPr>
        <w:t xml:space="preserve">，</w:t>
      </w:r>
      <w:r>
        <w:rPr>
          <w:rFonts w:ascii="宋体" w:hAnsi="宋体"/>
          <w:color w:val="auto"/>
          <w:sz w:val="24"/>
          <w:szCs w:val="24"/>
        </w:rPr>
        <w:t xml:space="preserve">方可在下月养护计划中</w:t>
      </w:r>
      <w:r>
        <w:rPr>
          <w:rFonts w:hint="eastAsia" w:ascii="宋体" w:hAnsi="宋体"/>
          <w:color w:val="auto"/>
          <w:sz w:val="24"/>
          <w:szCs w:val="24"/>
        </w:rPr>
        <w:t xml:space="preserve">进行</w:t>
      </w:r>
      <w:r>
        <w:rPr>
          <w:rFonts w:ascii="宋体" w:hAnsi="宋体"/>
          <w:color w:val="auto"/>
          <w:sz w:val="24"/>
          <w:szCs w:val="24"/>
        </w:rPr>
        <w:t xml:space="preserve">调整。</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4.对乙方超出养护范围和因乙方原因造成返工的工作量，甲方不予</w:t>
      </w:r>
      <w:r>
        <w:rPr>
          <w:rFonts w:hint="eastAsia" w:ascii="宋体" w:hAnsi="宋体"/>
          <w:color w:val="auto"/>
          <w:sz w:val="24"/>
          <w:szCs w:val="24"/>
        </w:rPr>
        <w:t xml:space="preserve">认可</w:t>
      </w:r>
      <w:r>
        <w:rPr>
          <w:rFonts w:ascii="宋体" w:hAnsi="宋体"/>
          <w:color w:val="auto"/>
          <w:sz w:val="24"/>
          <w:szCs w:val="24"/>
        </w:rPr>
        <w:t xml:space="preserve">。</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支付方式</w:t>
      </w:r>
      <w:r>
        <w:rPr>
          <w:rFonts w:hint="eastAsia" w:ascii="宋体" w:hAnsi="宋体"/>
          <w:b/>
          <w:color w:val="auto"/>
          <w:sz w:val="24"/>
          <w:szCs w:val="24"/>
        </w:rPr>
        <w:t xml:space="preserve">及乙方账户信息</w:t>
      </w:r>
      <w:r>
        <w:rPr>
          <w:color w:val="auto"/>
        </w:rPr>
      </w:r>
      <w:r/>
    </w:p>
    <w:p>
      <w:pPr>
        <w:pStyle w:val="895"/>
        <w:ind w:firstLine="422"/>
        <w:spacing w:line="44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1.支付方式：</w:t>
      </w:r>
      <w:r>
        <w:rPr>
          <w:color w:val="auto"/>
        </w:rPr>
      </w:r>
      <w:r/>
    </w:p>
    <w:p>
      <w:pPr>
        <w:pStyle w:val="895"/>
        <w:ind w:firstLine="422"/>
        <w:spacing w:line="44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（1）合同签订后预付年度合同价款的30%（在支付第一次养护服务费用时抵扣）。</w:t>
      </w:r>
      <w:r>
        <w:rPr>
          <w:color w:val="auto"/>
        </w:rPr>
      </w:r>
      <w:r/>
    </w:p>
    <w:p>
      <w:pPr>
        <w:pStyle w:val="895"/>
        <w:ind w:firstLine="422"/>
        <w:spacing w:line="44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（2）每</w:t>
      </w:r>
      <w:r>
        <w:rPr>
          <w:rFonts w:hint="eastAsia" w:ascii="宋体" w:hAnsi="宋体"/>
          <w:b/>
          <w:bCs/>
          <w:color w:val="auto"/>
          <w:sz w:val="24"/>
          <w:szCs w:val="24"/>
          <w:highlight w:val="none"/>
          <w:lang w:val="en-US" w:eastAsia="zh-CN"/>
        </w:rPr>
        <w:t xml:space="preserve">六</w:t>
      </w:r>
      <w:r>
        <w:rPr>
          <w:rFonts w:hint="eastAsia" w:ascii="宋体" w:hAnsi="宋体"/>
          <w:b/>
          <w:bCs/>
          <w:color w:val="auto"/>
          <w:sz w:val="24"/>
          <w:szCs w:val="24"/>
          <w:highlight w:val="none"/>
        </w:rPr>
        <w:t xml:space="preserve">个月结算一次服务费，于第</w:t>
      </w:r>
      <w:r>
        <w:rPr>
          <w:rFonts w:hint="eastAsia" w:ascii="宋体" w:hAnsi="宋体"/>
          <w:b/>
          <w:bCs/>
          <w:color w:val="auto"/>
          <w:sz w:val="24"/>
          <w:szCs w:val="24"/>
          <w:highlight w:val="none"/>
          <w:lang w:val="en-US" w:eastAsia="zh-CN"/>
        </w:rPr>
        <w:t xml:space="preserve">七</w:t>
      </w:r>
      <w:r>
        <w:rPr>
          <w:rFonts w:hint="eastAsia" w:ascii="宋体" w:hAnsi="宋体"/>
          <w:b/>
          <w:bCs/>
          <w:color w:val="auto"/>
          <w:sz w:val="24"/>
          <w:szCs w:val="24"/>
          <w:highlight w:val="none"/>
        </w:rPr>
        <w:t xml:space="preserve">个月20号前支付（如遇法定节假日顺延），以此类推。</w:t>
      </w:r>
      <w:r>
        <w:rPr>
          <w:color w:val="auto"/>
        </w:rPr>
      </w:r>
      <w:r/>
    </w:p>
    <w:p>
      <w:pPr>
        <w:pStyle w:val="895"/>
        <w:ind w:firstLine="422"/>
        <w:spacing w:line="44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（3）支付标准：甲方每次向乙方支付的养护服务费=（年度合同价款÷</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）—考核当期累计违约扣款—考核当期累计考核扣款</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具体考核扣款方式见《钱桥街道绿化管养工作考核办法》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w:t>
      </w:r>
      <w:r>
        <w:rPr>
          <w:color w:val="auto"/>
        </w:rPr>
      </w:r>
      <w:r/>
    </w:p>
    <w:p>
      <w:pPr>
        <w:pStyle w:val="895"/>
        <w:ind w:firstLine="422"/>
        <w:spacing w:line="44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注：以上价款均不计息。每次付款时，乙方需提供符合甲方财务要求的相应金额的税金发票（如遇法定节假日顺延）；</w:t>
      </w:r>
      <w:r>
        <w:rPr>
          <w:color w:val="auto"/>
        </w:rPr>
      </w:r>
      <w:r/>
    </w:p>
    <w:p>
      <w:pPr>
        <w:pStyle w:val="895"/>
        <w:ind w:firstLine="422"/>
        <w:spacing w:line="440" w:lineRule="exact"/>
        <w:shd w:val="clear" w:color="auto" w:fill="ffffff"/>
        <w:widowControl/>
        <w:rPr>
          <w:rFonts w:ascii="宋体" w:hAnsi="宋体"/>
          <w:b/>
          <w:bCs/>
          <w:color w:val="auto"/>
          <w:sz w:val="24"/>
          <w:szCs w:val="24"/>
        </w:rPr>
      </w:pPr>
      <w:r>
        <w:rPr>
          <w:rFonts w:hint="eastAsia" w:ascii="宋体" w:hAnsi="宋体"/>
          <w:b/>
          <w:bCs/>
          <w:color w:val="auto"/>
          <w:sz w:val="24"/>
          <w:szCs w:val="24"/>
          <w:highlight w:val="none"/>
        </w:rPr>
        <w:t xml:space="preserve">乙方报价有效期为两年，合同履行中，甲方如需追加与合同标的相同的服务，单价按成交单价计，数量按实结算，但所有追加的采购金额不得超过</w:t>
      </w:r>
      <w:r>
        <w:rPr>
          <w:rFonts w:hint="eastAsia" w:ascii="宋体" w:hAnsi="宋体"/>
          <w:b/>
          <w:bCs/>
          <w:color w:val="auto"/>
          <w:sz w:val="24"/>
          <w:szCs w:val="24"/>
          <w:highlight w:val="none"/>
          <w:lang w:val="en-US" w:eastAsia="zh-CN"/>
        </w:rPr>
        <w:t xml:space="preserve">年度</w:t>
      </w:r>
      <w:r>
        <w:rPr>
          <w:rFonts w:hint="eastAsia" w:ascii="宋体" w:hAnsi="宋体"/>
          <w:b/>
          <w:bCs/>
          <w:color w:val="auto"/>
          <w:sz w:val="24"/>
          <w:szCs w:val="24"/>
          <w:highlight w:val="none"/>
        </w:rPr>
        <w:t xml:space="preserve">合同价款的10%。</w:t>
      </w:r>
      <w:r>
        <w:rPr>
          <w:color w:val="auto"/>
        </w:rPr>
      </w:r>
      <w:r/>
    </w:p>
    <w:p>
      <w:pPr>
        <w:pStyle w:val="895"/>
        <w:ind w:firstLine="422"/>
        <w:spacing w:line="44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2.乙方账户信息：</w:t>
      </w:r>
      <w:r>
        <w:rPr>
          <w:color w:val="auto"/>
        </w:rPr>
      </w:r>
      <w:r/>
    </w:p>
    <w:p>
      <w:pPr>
        <w:pStyle w:val="895"/>
        <w:ind w:firstLine="422"/>
        <w:spacing w:line="44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开户银行：                 </w:t>
      </w:r>
      <w:r>
        <w:rPr>
          <w:color w:val="auto"/>
        </w:rPr>
      </w:r>
      <w:r/>
    </w:p>
    <w:p>
      <w:pPr>
        <w:pStyle w:val="895"/>
        <w:ind w:firstLine="422"/>
        <w:spacing w:line="44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地址：                     </w:t>
      </w:r>
      <w:r>
        <w:rPr>
          <w:color w:val="auto"/>
        </w:rPr>
      </w:r>
      <w:r/>
    </w:p>
    <w:p>
      <w:pPr>
        <w:pStyle w:val="895"/>
        <w:ind w:firstLine="422"/>
        <w:spacing w:line="44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账号：                     </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违约</w:t>
      </w:r>
      <w:r>
        <w:rPr>
          <w:rFonts w:hint="eastAsia" w:ascii="宋体" w:hAnsi="宋体"/>
          <w:b/>
          <w:color w:val="auto"/>
          <w:sz w:val="24"/>
          <w:szCs w:val="24"/>
        </w:rPr>
        <w:t xml:space="preserve">条款</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1.合同乙方不履行合同义务或者履行合同义务不符合规定的，应当承担继续履行、采取补救措施或者赔偿损失等违约责任。</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2.因乙方原因造成本合同无法按时签订，视为乙方违约，甲方有权终止合同；乙方违约对甲方造成的损失的，乙方还需另行支付相应的赔偿。</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3.合同期间，甲方不得无故终止合同，如终止合同，非乙方责任，乙方有权要求甲方在付清实际应支付服务费的基础上再赔偿对应全部服务费的30%。</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合同期间，乙方不得无故终止合同，如终止此合同，非甲方责任，甲方无需支付服务费且乙方需赔偿甲方全部服务费的30%。</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4.因乙方原因发生重大质量事故，除依约承担赔偿责任外，还将按有关质量管理办法规定执行。同时，甲方有权保留更换乙方的权利，并报相关行政主管部门处罚。</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6.在明确违约责任后，乙方应在接到书面通知书起七天内支付违约金、赔偿金等。</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7.违约金不足以支付守约方实际损失的，违约方应当赔偿守约方所有的实际损失。</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争议</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1.甲乙双方因合同发生争议，可由甲乙双方协商、调解、</w:t>
      </w:r>
      <w:r>
        <w:rPr>
          <w:rFonts w:hint="eastAsia" w:ascii="宋体" w:hAnsi="宋体"/>
          <w:color w:val="auto"/>
          <w:sz w:val="24"/>
          <w:szCs w:val="24"/>
        </w:rPr>
        <w:t xml:space="preserve">调解不成的，双方同意</w:t>
      </w:r>
      <w:r>
        <w:rPr>
          <w:rFonts w:ascii="宋体" w:hAnsi="宋体"/>
          <w:color w:val="auto"/>
          <w:sz w:val="24"/>
          <w:szCs w:val="24"/>
        </w:rPr>
        <w:t xml:space="preserve">向</w:t>
      </w:r>
      <w:r>
        <w:rPr>
          <w:rFonts w:hint="eastAsia" w:ascii="宋体" w:hAnsi="宋体"/>
          <w:color w:val="auto"/>
          <w:sz w:val="24"/>
          <w:szCs w:val="24"/>
        </w:rPr>
        <w:t xml:space="preserve">甲方所在地的</w:t>
      </w:r>
      <w:r>
        <w:rPr>
          <w:rFonts w:ascii="宋体" w:hAnsi="宋体"/>
          <w:color w:val="auto"/>
          <w:sz w:val="24"/>
          <w:szCs w:val="24"/>
        </w:rPr>
        <w:t xml:space="preserve">人民法院</w:t>
      </w:r>
      <w:r>
        <w:rPr>
          <w:rFonts w:hint="eastAsia" w:ascii="宋体" w:hAnsi="宋体"/>
          <w:color w:val="auto"/>
          <w:sz w:val="24"/>
          <w:szCs w:val="24"/>
        </w:rPr>
        <w:t xml:space="preserve">提起诉讼</w:t>
      </w:r>
      <w:r>
        <w:rPr>
          <w:rFonts w:ascii="宋体" w:hAnsi="宋体"/>
          <w:color w:val="auto"/>
          <w:sz w:val="24"/>
          <w:szCs w:val="24"/>
        </w:rPr>
        <w:t xml:space="preserve">。</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2.发生争议后，除出现以下情况的，双方都应继续履行合同，保持养护连续性：</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合同确已无法履行；</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双方协议停止养护作业；</w:t>
      </w:r>
      <w:r>
        <w:rPr>
          <w:color w:val="auto"/>
        </w:rPr>
      </w:r>
      <w:r/>
    </w:p>
    <w:p>
      <w:pPr>
        <w:pStyle w:val="895"/>
        <w:ind w:firstLine="422"/>
        <w:spacing w:line="440" w:lineRule="exact"/>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法院要求停止养护作业。</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合同终止</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1.乙方不得</w:t>
      </w:r>
      <w:r>
        <w:rPr>
          <w:rFonts w:hint="eastAsia" w:ascii="宋体" w:hAnsi="宋体"/>
          <w:color w:val="auto"/>
          <w:sz w:val="24"/>
          <w:szCs w:val="24"/>
        </w:rPr>
        <w:t xml:space="preserve">擅自将合同</w:t>
      </w:r>
      <w:r>
        <w:rPr>
          <w:rFonts w:ascii="宋体" w:hAnsi="宋体"/>
          <w:color w:val="auto"/>
          <w:sz w:val="24"/>
          <w:szCs w:val="24"/>
        </w:rPr>
        <w:t xml:space="preserve">范围内的养护管理项目采取任何形式</w:t>
      </w:r>
      <w:r>
        <w:rPr>
          <w:rFonts w:hint="eastAsia" w:ascii="宋体" w:hAnsi="宋体"/>
          <w:color w:val="auto"/>
          <w:sz w:val="24"/>
          <w:szCs w:val="24"/>
        </w:rPr>
        <w:t xml:space="preserve">的转包和</w:t>
      </w:r>
      <w:r>
        <w:rPr>
          <w:rFonts w:ascii="宋体" w:hAnsi="宋体"/>
          <w:color w:val="auto"/>
          <w:sz w:val="24"/>
          <w:szCs w:val="24"/>
        </w:rPr>
        <w:t xml:space="preserve">分包，凡违反此规定的，甲方将</w:t>
      </w:r>
      <w:r>
        <w:rPr>
          <w:rFonts w:hint="eastAsia" w:ascii="宋体" w:hAnsi="宋体"/>
          <w:color w:val="auto"/>
          <w:sz w:val="24"/>
          <w:szCs w:val="24"/>
        </w:rPr>
        <w:t xml:space="preserve">有权</w:t>
      </w:r>
      <w:r>
        <w:rPr>
          <w:rFonts w:ascii="宋体" w:hAnsi="宋体"/>
          <w:color w:val="auto"/>
          <w:sz w:val="24"/>
          <w:szCs w:val="24"/>
        </w:rPr>
        <w:t xml:space="preserve">立即取消乙方的</w:t>
      </w:r>
      <w:r>
        <w:rPr>
          <w:rFonts w:hint="eastAsia" w:ascii="宋体" w:hAnsi="宋体"/>
          <w:color w:val="auto"/>
          <w:sz w:val="24"/>
          <w:szCs w:val="24"/>
        </w:rPr>
        <w:t xml:space="preserve">成交</w:t>
      </w:r>
      <w:r>
        <w:rPr>
          <w:rFonts w:ascii="宋体" w:hAnsi="宋体"/>
          <w:color w:val="auto"/>
          <w:sz w:val="24"/>
          <w:szCs w:val="24"/>
        </w:rPr>
        <w:t xml:space="preserve">资格，终止或解除</w:t>
      </w:r>
      <w:r>
        <w:rPr>
          <w:rFonts w:hint="eastAsia" w:ascii="宋体" w:hAnsi="宋体"/>
          <w:color w:val="auto"/>
          <w:sz w:val="24"/>
          <w:szCs w:val="24"/>
        </w:rPr>
        <w:t xml:space="preserve">本</w:t>
      </w:r>
      <w:r>
        <w:rPr>
          <w:rFonts w:ascii="宋体" w:hAnsi="宋体"/>
          <w:color w:val="auto"/>
          <w:sz w:val="24"/>
          <w:szCs w:val="24"/>
        </w:rPr>
        <w:t xml:space="preserve">合同，由此产生的一切法律责任和经济损失由乙方</w:t>
      </w:r>
      <w:r>
        <w:rPr>
          <w:rFonts w:hint="eastAsia" w:ascii="宋体" w:hAnsi="宋体"/>
          <w:color w:val="auto"/>
          <w:sz w:val="24"/>
          <w:szCs w:val="24"/>
        </w:rPr>
        <w:t xml:space="preserve">自行</w:t>
      </w:r>
      <w:r>
        <w:rPr>
          <w:rFonts w:ascii="宋体" w:hAnsi="宋体"/>
          <w:color w:val="auto"/>
          <w:sz w:val="24"/>
          <w:szCs w:val="24"/>
        </w:rPr>
        <w:t xml:space="preserve">承担；</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w:t>
      </w:r>
      <w:r>
        <w:rPr>
          <w:rFonts w:hint="eastAsia" w:ascii="宋体" w:hAnsi="宋体"/>
          <w:bCs/>
          <w:color w:val="auto"/>
          <w:sz w:val="24"/>
          <w:szCs w:val="24"/>
        </w:rPr>
        <w:t xml:space="preserve">出现下列情况之一的，甲方有权无条件终止合同，乙方</w:t>
      </w:r>
      <w:r>
        <w:rPr>
          <w:rFonts w:ascii="宋体" w:hAnsi="宋体"/>
          <w:bCs/>
          <w:color w:val="auto"/>
          <w:sz w:val="24"/>
          <w:szCs w:val="24"/>
        </w:rPr>
        <w:t xml:space="preserve">接</w:t>
      </w:r>
      <w:r>
        <w:rPr>
          <w:rFonts w:hint="eastAsia" w:ascii="宋体" w:hAnsi="宋体"/>
          <w:bCs/>
          <w:color w:val="auto"/>
          <w:sz w:val="24"/>
          <w:szCs w:val="24"/>
        </w:rPr>
        <w:t xml:space="preserve">甲方</w:t>
      </w:r>
      <w:r>
        <w:rPr>
          <w:rFonts w:ascii="宋体" w:hAnsi="宋体"/>
          <w:bCs/>
          <w:color w:val="auto"/>
          <w:sz w:val="24"/>
          <w:szCs w:val="24"/>
        </w:rPr>
        <w:t xml:space="preserve">通知后24小时内必须无条件清退出场，由此造成的经济损失由</w:t>
      </w:r>
      <w:r>
        <w:rPr>
          <w:rFonts w:hint="eastAsia" w:ascii="宋体" w:hAnsi="宋体"/>
          <w:bCs/>
          <w:color w:val="auto"/>
          <w:sz w:val="24"/>
          <w:szCs w:val="24"/>
        </w:rPr>
        <w:t xml:space="preserve">乙方</w:t>
      </w:r>
      <w:r>
        <w:rPr>
          <w:rFonts w:ascii="宋体" w:hAnsi="宋体"/>
          <w:bCs/>
          <w:color w:val="auto"/>
          <w:sz w:val="24"/>
          <w:szCs w:val="24"/>
        </w:rPr>
        <w:t xml:space="preserve">承担</w:t>
      </w:r>
      <w:r>
        <w:rPr>
          <w:rFonts w:hint="eastAsia" w:ascii="宋体" w:hAnsi="宋体"/>
          <w:bCs/>
          <w:color w:val="auto"/>
          <w:sz w:val="24"/>
          <w:szCs w:val="24"/>
        </w:rPr>
        <w:t xml:space="preserve">：</w:t>
      </w:r>
      <w:r>
        <w:rPr>
          <w:color w:val="auto"/>
        </w:rPr>
      </w:r>
      <w:r/>
    </w:p>
    <w:p>
      <w:pPr>
        <w:pStyle w:val="895"/>
        <w:ind w:firstLine="422"/>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（1）每月综合考核一年内累计三个月考核低于85分，第二年将不在续签养护协议；</w:t>
      </w:r>
      <w:r>
        <w:rPr>
          <w:color w:val="auto"/>
        </w:rPr>
      </w:r>
      <w:r/>
    </w:p>
    <w:p>
      <w:pPr>
        <w:pStyle w:val="895"/>
        <w:ind w:firstLine="422"/>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（2）每月综合考核得分连续二个月低于80分，扣除当月养护经费并终止养护合同；</w:t>
      </w:r>
      <w:r>
        <w:rPr>
          <w:color w:val="auto"/>
        </w:rPr>
      </w:r>
      <w:r/>
    </w:p>
    <w:p>
      <w:pPr>
        <w:pStyle w:val="895"/>
        <w:ind w:firstLine="422"/>
        <w:spacing w:line="440" w:lineRule="exact"/>
        <w:rPr>
          <w:rFonts w:ascii="宋体" w:hAnsi="宋体"/>
          <w:bCs/>
          <w:color w:val="auto"/>
          <w:sz w:val="24"/>
          <w:szCs w:val="24"/>
        </w:rPr>
      </w:pPr>
      <w:r>
        <w:rPr>
          <w:rFonts w:hint="eastAsia" w:ascii="宋体" w:hAnsi="宋体"/>
          <w:bCs/>
          <w:color w:val="auto"/>
          <w:sz w:val="24"/>
          <w:szCs w:val="24"/>
        </w:rPr>
        <w:t xml:space="preserve">（3）同一养护质量问题3次未能整改到位的；</w:t>
      </w:r>
      <w:r>
        <w:rPr>
          <w:color w:val="auto"/>
        </w:rPr>
      </w:r>
      <w:r/>
    </w:p>
    <w:p>
      <w:pPr>
        <w:pStyle w:val="895"/>
        <w:ind w:firstLine="422"/>
        <w:spacing w:line="440" w:lineRule="exact"/>
        <w:rPr>
          <w:rFonts w:ascii="宋体" w:hAnsi="宋体"/>
          <w:bCs/>
          <w:color w:val="auto"/>
          <w:sz w:val="24"/>
          <w:szCs w:val="24"/>
        </w:rPr>
      </w:pPr>
      <w:r>
        <w:rPr>
          <w:rFonts w:hint="eastAsia" w:ascii="宋体" w:hAnsi="宋体"/>
          <w:bCs/>
          <w:color w:val="auto"/>
          <w:sz w:val="24"/>
          <w:szCs w:val="24"/>
        </w:rPr>
        <w:t xml:space="preserve">（4）因养护质量问题，被新闻媒体曝光或受区领导批评且整改不及时、不到位的；</w:t>
      </w:r>
      <w:r>
        <w:rPr>
          <w:color w:val="auto"/>
        </w:rPr>
      </w:r>
      <w:r/>
    </w:p>
    <w:p>
      <w:pPr>
        <w:pStyle w:val="895"/>
        <w:ind w:firstLine="422"/>
        <w:spacing w:line="440" w:lineRule="exact"/>
        <w:rPr>
          <w:rFonts w:ascii="宋体" w:hAnsi="宋体"/>
          <w:color w:val="auto"/>
          <w:sz w:val="24"/>
          <w:szCs w:val="24"/>
        </w:rPr>
      </w:pPr>
      <w:r>
        <w:rPr>
          <w:rFonts w:hint="eastAsia" w:ascii="宋体" w:hAnsi="宋体"/>
          <w:bCs/>
          <w:color w:val="auto"/>
          <w:sz w:val="24"/>
          <w:szCs w:val="24"/>
        </w:rPr>
        <w:t xml:space="preserve">（5）经群众举报、投诉的问题未及时整改，且情节严重、问题突出的</w:t>
      </w:r>
      <w:r>
        <w:rPr>
          <w:rFonts w:hint="eastAsia" w:ascii="宋体" w:hAnsi="宋体"/>
          <w:color w:val="auto"/>
          <w:sz w:val="24"/>
          <w:szCs w:val="24"/>
        </w:rPr>
        <w:t xml:space="preserve">。</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其他</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1.在本合同执行过程中如遇和国家政策、地方法规的有关规定</w:t>
      </w:r>
      <w:r>
        <w:rPr>
          <w:rFonts w:hint="eastAsia" w:ascii="宋体" w:hAnsi="宋体"/>
          <w:color w:val="auto"/>
          <w:sz w:val="24"/>
          <w:szCs w:val="24"/>
        </w:rPr>
        <w:t xml:space="preserve">相抵触的</w:t>
      </w:r>
      <w:r>
        <w:rPr>
          <w:rFonts w:ascii="宋体" w:hAnsi="宋体"/>
          <w:color w:val="auto"/>
          <w:sz w:val="24"/>
          <w:szCs w:val="24"/>
        </w:rPr>
        <w:t xml:space="preserve">，按有关政策法规执行。</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2.如遇自然灾害和不可抗力造成损失的，经双方协商解决。</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3.本合同如有未尽事宜，双方可通过协商补充协议解决。</w:t>
      </w:r>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color w:val="auto"/>
          <w:sz w:val="24"/>
          <w:szCs w:val="24"/>
        </w:rPr>
        <w:t xml:space="preserve">合同生效与终止</w:t>
      </w:r>
      <w:r>
        <w:rPr>
          <w:color w:val="auto"/>
        </w:rPr>
      </w:r>
      <w:r/>
    </w:p>
    <w:p>
      <w:pPr>
        <w:pStyle w:val="895"/>
        <w:ind w:left="119" w:firstLine="422"/>
        <w:spacing w:line="440" w:lineRule="exact"/>
        <w:rPr>
          <w:rFonts w:ascii="宋体" w:hAnsi="宋体"/>
          <w:color w:val="auto"/>
          <w:sz w:val="24"/>
          <w:szCs w:val="24"/>
        </w:rPr>
      </w:pPr>
      <w:r>
        <w:rPr>
          <w:rFonts w:hint="eastAsia" w:ascii="宋体" w:hAnsi="宋体"/>
          <w:color w:val="auto"/>
          <w:sz w:val="24"/>
          <w:szCs w:val="24"/>
        </w:rPr>
        <w:t xml:space="preserve">本合同经双方当事人签字盖章后生效，合同到期后本合同即告终止(双方另有补充约定的除外)。</w:t>
      </w:r>
      <w:r>
        <w:rPr>
          <w:color w:val="auto"/>
        </w:rPr>
      </w:r>
      <w:r/>
    </w:p>
    <w:p>
      <w:pPr>
        <w:pStyle w:val="895"/>
        <w:numPr>
          <w:ilvl w:val="0"/>
          <w:numId w:val="11"/>
        </w:numPr>
        <w:ind w:left="0" w:firstLine="424"/>
        <w:spacing w:line="440" w:lineRule="exact"/>
        <w:rPr>
          <w:rFonts w:ascii="宋体" w:hAnsi="宋体"/>
          <w:b/>
          <w:color w:val="auto"/>
          <w:sz w:val="24"/>
          <w:szCs w:val="24"/>
        </w:rPr>
      </w:pPr>
      <w:r>
        <w:rPr>
          <w:rFonts w:hint="eastAsia" w:ascii="宋体" w:hAnsi="宋体"/>
          <w:b/>
          <w:color w:val="auto"/>
          <w:sz w:val="24"/>
          <w:szCs w:val="24"/>
        </w:rPr>
        <w:t xml:space="preserve">合同不可分割部分</w:t>
      </w:r>
      <w:r>
        <w:rPr>
          <w:color w:val="auto"/>
        </w:rPr>
      </w:r>
      <w:r/>
    </w:p>
    <w:p>
      <w:pPr>
        <w:pStyle w:val="895"/>
        <w:ind w:left="119" w:firstLine="422"/>
        <w:spacing w:line="440" w:lineRule="exact"/>
        <w:rPr>
          <w:rFonts w:ascii="宋体" w:hAnsi="宋体"/>
          <w:color w:val="auto"/>
          <w:sz w:val="24"/>
          <w:szCs w:val="24"/>
        </w:rPr>
      </w:pPr>
      <w:r>
        <w:rPr>
          <w:color w:val="auto"/>
        </w:rPr>
      </w:r>
      <w:bookmarkStart w:id="25" w:name="_Hlk62404683"/>
      <w:r>
        <w:rPr>
          <w:rFonts w:hint="eastAsia" w:ascii="宋体" w:hAnsi="宋体"/>
          <w:color w:val="auto"/>
          <w:sz w:val="24"/>
          <w:szCs w:val="24"/>
        </w:rPr>
        <w:t xml:space="preserve">招标文件、投标文件、合同条款、合同附件及中标通知书，乙方在投标、评标过程中所作其它有关承诺、声明、书面澄清等均为合同不可分割的部分，与主合同具有同等法律效力。</w:t>
      </w:r>
      <w:bookmarkEnd w:id="25"/>
      <w:r>
        <w:rPr>
          <w:color w:val="auto"/>
        </w:rPr>
      </w:r>
      <w:r/>
    </w:p>
    <w:p>
      <w:pPr>
        <w:pStyle w:val="895"/>
        <w:numPr>
          <w:ilvl w:val="0"/>
          <w:numId w:val="11"/>
        </w:numPr>
        <w:ind w:left="0" w:firstLine="424"/>
        <w:spacing w:line="440" w:lineRule="exact"/>
        <w:rPr>
          <w:rFonts w:ascii="宋体" w:hAnsi="宋体"/>
          <w:b/>
          <w:color w:val="auto"/>
          <w:sz w:val="24"/>
          <w:szCs w:val="24"/>
        </w:rPr>
      </w:pPr>
      <w:r>
        <w:rPr>
          <w:rFonts w:ascii="宋体" w:hAnsi="宋体"/>
          <w:b/>
          <w:bCs/>
          <w:color w:val="auto"/>
          <w:sz w:val="24"/>
          <w:szCs w:val="24"/>
        </w:rPr>
        <w:t xml:space="preserve">合同份数与解释</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本合同一式伍份，甲乙双方各执贰份，见证方执壹份，具有同等法律效力。</w:t>
      </w:r>
      <w:r>
        <w:rPr>
          <w:color w:val="auto"/>
        </w:rPr>
      </w:r>
      <w:r/>
    </w:p>
    <w:p>
      <w:pPr>
        <w:pStyle w:val="895"/>
        <w:ind w:firstLine="422"/>
        <w:spacing w:line="440" w:lineRule="exact"/>
        <w:rPr>
          <w:rFonts w:ascii="宋体" w:hAnsi="宋体"/>
          <w:color w:val="auto"/>
          <w:sz w:val="24"/>
          <w:szCs w:val="24"/>
        </w:rPr>
      </w:pPr>
      <w:r>
        <w:rPr>
          <w:rFonts w:ascii="宋体" w:hAnsi="宋体"/>
          <w:color w:val="auto"/>
          <w:sz w:val="24"/>
          <w:szCs w:val="24"/>
        </w:rPr>
        <w:t xml:space="preserve">2.本协议书中有关词语含义与本合同《通用条款》中的定义相同。</w:t>
      </w:r>
      <w:r>
        <w:rPr>
          <w:color w:val="auto"/>
        </w:rPr>
      </w:r>
      <w:r/>
    </w:p>
    <w:p>
      <w:pPr>
        <w:pStyle w:val="895"/>
        <w:numPr>
          <w:ilvl w:val="0"/>
          <w:numId w:val="11"/>
        </w:numPr>
        <w:ind w:left="0" w:firstLine="424"/>
        <w:spacing w:line="440" w:lineRule="exact"/>
        <w:rPr>
          <w:rFonts w:ascii="宋体" w:hAnsi="宋体"/>
          <w:b/>
          <w:bCs/>
          <w:color w:val="auto"/>
          <w:sz w:val="24"/>
          <w:szCs w:val="24"/>
        </w:rPr>
      </w:pPr>
      <w:r>
        <w:rPr>
          <w:rFonts w:ascii="宋体" w:hAnsi="宋体"/>
          <w:b/>
          <w:color w:val="auto"/>
          <w:sz w:val="24"/>
          <w:szCs w:val="24"/>
        </w:rPr>
        <w:t xml:space="preserve">合同生效  </w:t>
      </w:r>
      <w:r>
        <w:rPr>
          <w:rFonts w:ascii="宋体" w:hAnsi="宋体"/>
          <w:b/>
          <w:bCs/>
          <w:color w:val="auto"/>
          <w:sz w:val="24"/>
          <w:szCs w:val="24"/>
        </w:rPr>
        <w:t xml:space="preserve"> </w:t>
      </w:r>
      <w:r>
        <w:rPr>
          <w:color w:val="auto"/>
        </w:rPr>
      </w:r>
      <w:r/>
    </w:p>
    <w:p>
      <w:pPr>
        <w:pStyle w:val="895"/>
        <w:ind w:firstLine="480"/>
        <w:spacing w:line="440" w:lineRule="exact"/>
        <w:rPr>
          <w:rFonts w:ascii="宋体" w:hAnsi="宋体"/>
          <w:color w:val="auto"/>
          <w:sz w:val="24"/>
          <w:szCs w:val="24"/>
        </w:rPr>
      </w:pPr>
      <w:r>
        <w:rPr>
          <w:rFonts w:ascii="宋体" w:hAnsi="宋体"/>
          <w:color w:val="auto"/>
          <w:sz w:val="24"/>
          <w:szCs w:val="24"/>
        </w:rPr>
        <w:t xml:space="preserve">1.合同订立地点：</w:t>
      </w:r>
      <w:r>
        <w:rPr>
          <w:rFonts w:hint="eastAsia" w:ascii="宋体" w:hAnsi="宋体"/>
          <w:color w:val="auto"/>
          <w:sz w:val="24"/>
          <w:szCs w:val="24"/>
          <w:u w:val="single"/>
        </w:rPr>
        <w:t xml:space="preserve">无锡市惠山区钱桥街道</w:t>
      </w:r>
      <w:r>
        <w:rPr>
          <w:rFonts w:hint="eastAsia" w:ascii="宋体" w:hAnsi="宋体"/>
          <w:color w:val="auto"/>
          <w:sz w:val="24"/>
          <w:szCs w:val="24"/>
        </w:rPr>
        <w:t xml:space="preserve">。</w:t>
      </w:r>
      <w:r>
        <w:rPr>
          <w:color w:val="auto"/>
        </w:rPr>
      </w:r>
      <w:r/>
    </w:p>
    <w:p>
      <w:pPr>
        <w:pStyle w:val="895"/>
        <w:ind w:firstLine="480"/>
        <w:spacing w:line="440" w:lineRule="exact"/>
        <w:rPr>
          <w:rFonts w:ascii="宋体" w:hAnsi="宋体"/>
          <w:color w:val="auto"/>
          <w:sz w:val="24"/>
          <w:szCs w:val="24"/>
        </w:rPr>
      </w:pPr>
      <w:r>
        <w:rPr>
          <w:rFonts w:ascii="宋体" w:hAnsi="宋体"/>
          <w:color w:val="auto"/>
          <w:sz w:val="24"/>
          <w:szCs w:val="24"/>
        </w:rPr>
        <w:t xml:space="preserve">2.本合同双方约定</w:t>
      </w:r>
      <w:r>
        <w:rPr>
          <w:rFonts w:ascii="宋体" w:hAnsi="宋体"/>
          <w:color w:val="auto"/>
          <w:sz w:val="24"/>
          <w:szCs w:val="24"/>
          <w:u w:val="single"/>
        </w:rPr>
        <w:t xml:space="preserve"> </w:t>
      </w:r>
      <w:r>
        <w:rPr>
          <w:rFonts w:hint="eastAsia" w:ascii="宋体" w:hAnsi="宋体"/>
          <w:color w:val="auto"/>
          <w:sz w:val="24"/>
          <w:szCs w:val="24"/>
          <w:u w:val="single"/>
        </w:rPr>
        <w:t xml:space="preserve">签字盖章并经</w:t>
      </w:r>
      <w:r>
        <w:rPr>
          <w:rFonts w:hint="eastAsia" w:ascii="宋体" w:hAnsi="宋体"/>
          <w:color w:val="auto"/>
          <w:sz w:val="24"/>
          <w:szCs w:val="24"/>
          <w:u w:val="single"/>
          <w:lang w:eastAsia="zh-CN"/>
        </w:rPr>
        <w:t xml:space="preserve">江苏智汇锡建工程项目管理有限公司</w:t>
      </w:r>
      <w:r>
        <w:rPr>
          <w:rFonts w:hint="eastAsia" w:ascii="宋体" w:hAnsi="宋体"/>
          <w:color w:val="auto"/>
          <w:sz w:val="24"/>
          <w:szCs w:val="24"/>
          <w:u w:val="single"/>
        </w:rPr>
        <w:t xml:space="preserve">见证</w:t>
      </w:r>
      <w:r>
        <w:rPr>
          <w:rFonts w:hint="eastAsia" w:ascii="宋体" w:hAnsi="宋体"/>
          <w:color w:val="auto"/>
          <w:sz w:val="24"/>
          <w:szCs w:val="24"/>
        </w:rPr>
        <w:t xml:space="preserve">后生效。</w:t>
      </w:r>
      <w:r>
        <w:rPr>
          <w:color w:val="auto"/>
        </w:rPr>
      </w:r>
      <w:r/>
    </w:p>
    <w:p>
      <w:pPr>
        <w:pStyle w:val="895"/>
        <w:numPr>
          <w:ilvl w:val="0"/>
          <w:numId w:val="11"/>
        </w:numPr>
        <w:ind w:left="0" w:firstLine="424"/>
        <w:spacing w:line="440" w:lineRule="exact"/>
        <w:rPr>
          <w:rFonts w:ascii="宋体" w:hAnsi="宋体"/>
          <w:b/>
          <w:color w:val="auto"/>
          <w:sz w:val="24"/>
          <w:szCs w:val="24"/>
        </w:rPr>
      </w:pPr>
      <w:r>
        <w:rPr>
          <w:rFonts w:hint="eastAsia" w:ascii="宋体" w:hAnsi="宋体"/>
          <w:b/>
          <w:color w:val="auto"/>
          <w:sz w:val="24"/>
          <w:szCs w:val="24"/>
        </w:rPr>
        <w:t xml:space="preserve">合同附件：《廉洁协议书》、《采购需求》、《钱桥街道</w:t>
      </w:r>
      <w:r>
        <w:rPr>
          <w:rFonts w:hint="eastAsia" w:ascii="宋体" w:hAnsi="宋体"/>
          <w:b/>
          <w:color w:val="auto"/>
          <w:sz w:val="24"/>
          <w:szCs w:val="24"/>
          <w:lang w:val="en-US" w:eastAsia="zh-CN"/>
        </w:rPr>
        <w:t xml:space="preserve">东片</w:t>
      </w:r>
      <w:r>
        <w:rPr>
          <w:rFonts w:hint="eastAsia" w:ascii="宋体" w:hAnsi="宋体"/>
          <w:b/>
          <w:color w:val="auto"/>
          <w:sz w:val="24"/>
          <w:szCs w:val="24"/>
        </w:rPr>
        <w:t xml:space="preserve">绿化管养清单及养护等级》、《钱桥街道绿化管养工作考核办法》、《开标一览表》、《明细报价表》。</w:t>
      </w:r>
      <w:r>
        <w:rPr>
          <w:color w:val="auto"/>
        </w:rPr>
      </w:r>
      <w:r/>
    </w:p>
    <w:p>
      <w:pPr>
        <w:pStyle w:val="895"/>
        <w:ind w:left="525"/>
        <w:spacing w:line="440" w:lineRule="exact"/>
        <w:tabs>
          <w:tab w:val="left" w:pos="210" w:leader="none"/>
          <w:tab w:val="left" w:pos="840" w:leader="none"/>
          <w:tab w:val="left" w:pos="1260" w:leader="none"/>
        </w:tabs>
        <w:rPr>
          <w:rFonts w:ascii="宋体" w:hAnsi="宋体" w:eastAsia="宋体"/>
          <w:b/>
          <w:color w:val="auto"/>
          <w:sz w:val="24"/>
          <w:szCs w:val="24"/>
        </w:rPr>
      </w:pPr>
      <w:r>
        <w:rPr>
          <w:rFonts w:hint="eastAsia" w:ascii="宋体" w:hAnsi="宋体" w:eastAsia="宋体"/>
          <w:b/>
          <w:color w:val="auto"/>
          <w:sz w:val="24"/>
          <w:szCs w:val="24"/>
        </w:rPr>
        <w:t xml:space="preserve">以下无正文。</w:t>
      </w:r>
      <w:r>
        <w:rPr>
          <w:color w:val="auto"/>
        </w:rPr>
      </w:r>
      <w:r/>
    </w:p>
    <w:p>
      <w:pPr>
        <w:pStyle w:val="895"/>
        <w:ind w:left="525"/>
        <w:spacing w:line="440" w:lineRule="exact"/>
        <w:tabs>
          <w:tab w:val="left" w:pos="210" w:leader="none"/>
          <w:tab w:val="left" w:pos="840" w:leader="none"/>
          <w:tab w:val="left" w:pos="1260" w:leader="none"/>
        </w:tabs>
        <w:rPr>
          <w:rFonts w:ascii="宋体" w:hAnsi="宋体" w:eastAsia="宋体"/>
          <w:b/>
          <w:color w:val="auto"/>
          <w:sz w:val="24"/>
          <w:szCs w:val="24"/>
        </w:rPr>
      </w:pPr>
      <w:r>
        <w:rPr>
          <w:rFonts w:hint="eastAsia" w:ascii="宋体" w:hAnsi="宋体" w:eastAsia="宋体"/>
          <w:b/>
          <w:color w:val="auto"/>
          <w:sz w:val="24"/>
          <w:szCs w:val="24"/>
        </w:rPr>
        <w:t xml:space="preserve">签署页：</w:t>
      </w:r>
      <w:r>
        <w:rPr>
          <w:color w:val="auto"/>
        </w:rPr>
      </w:r>
      <w:r/>
    </w:p>
    <w:tbl>
      <w:tblPr>
        <w:tblStyle w:val="1176"/>
        <w:tblW w:w="100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trHeight w:val="445"/>
        </w:trPr>
        <w:tc>
          <w:tcPr>
            <w:tcW w:w="5255" w:type="dxa"/>
            <w:vAlign w:val="center"/>
            <w:textDirection w:val="lrTb"/>
            <w:noWrap w:val="false"/>
          </w:tcPr>
          <w:p>
            <w:pPr>
              <w:pStyle w:val="895"/>
              <w:jc w:val="left"/>
              <w:rPr>
                <w:rFonts w:ascii="宋体" w:hAnsi="宋体"/>
                <w:b/>
                <w:color w:val="auto"/>
                <w:sz w:val="24"/>
              </w:rPr>
            </w:pPr>
            <w:r>
              <w:rPr>
                <w:color w:val="auto"/>
              </w:rPr>
            </w:r>
            <w:bookmarkStart w:id="26" w:name="_Hlk123585932"/>
            <w:r>
              <w:rPr>
                <w:rFonts w:hint="eastAsia" w:ascii="宋体" w:hAnsi="宋体"/>
                <w:b/>
                <w:color w:val="auto"/>
                <w:sz w:val="24"/>
              </w:rPr>
              <w:t xml:space="preserve">甲方</w:t>
            </w:r>
            <w:r>
              <w:rPr>
                <w:color w:val="auto"/>
              </w:rPr>
            </w:r>
            <w:r/>
          </w:p>
        </w:tc>
        <w:tc>
          <w:tcPr>
            <w:tcW w:w="4795" w:type="dxa"/>
            <w:vAlign w:val="center"/>
            <w:textDirection w:val="lrTb"/>
            <w:noWrap w:val="false"/>
          </w:tcPr>
          <w:p>
            <w:pPr>
              <w:pStyle w:val="895"/>
              <w:jc w:val="left"/>
              <w:rPr>
                <w:rFonts w:ascii="宋体" w:hAnsi="宋体"/>
                <w:b/>
                <w:color w:val="auto"/>
                <w:sz w:val="24"/>
              </w:rPr>
            </w:pPr>
            <w:r>
              <w:rPr>
                <w:rFonts w:hint="eastAsia" w:ascii="宋体" w:hAnsi="宋体"/>
                <w:b/>
                <w:color w:val="auto"/>
                <w:sz w:val="24"/>
              </w:rPr>
              <w:t xml:space="preserve">乙方</w:t>
            </w:r>
            <w:r>
              <w:rPr>
                <w:color w:val="auto"/>
              </w:rPr>
            </w:r>
            <w:r/>
          </w:p>
        </w:tc>
      </w:tr>
      <w:tr>
        <w:trPr>
          <w:trHeight w:val="1506"/>
        </w:trPr>
        <w:tc>
          <w:tcPr>
            <w:tcW w:w="5255" w:type="dxa"/>
            <w:vAlign w:val="top"/>
            <w:textDirection w:val="lrTb"/>
            <w:noWrap w:val="false"/>
          </w:tcPr>
          <w:p>
            <w:pPr>
              <w:pStyle w:val="895"/>
              <w:jc w:val="left"/>
              <w:rPr>
                <w:rFonts w:ascii="宋体" w:hAnsi="宋体"/>
                <w:color w:val="auto"/>
                <w:sz w:val="24"/>
              </w:rPr>
            </w:pPr>
            <w:r>
              <w:rPr>
                <w:rFonts w:hint="eastAsia" w:ascii="宋体" w:hAnsi="宋体"/>
                <w:color w:val="auto"/>
                <w:sz w:val="24"/>
              </w:rPr>
              <w:t xml:space="preserve">单位名称（盖章）：</w:t>
            </w:r>
            <w:r>
              <w:rPr>
                <w:color w:val="auto"/>
              </w:rPr>
            </w:r>
            <w:r/>
          </w:p>
          <w:p>
            <w:pPr>
              <w:pStyle w:val="895"/>
              <w:jc w:val="left"/>
              <w:rPr>
                <w:rFonts w:ascii="宋体" w:hAnsi="宋体"/>
                <w:color w:val="auto"/>
                <w:sz w:val="24"/>
              </w:rPr>
            </w:pPr>
            <w:r>
              <w:rPr>
                <w:rFonts w:ascii="宋体" w:hAnsi="宋体"/>
                <w:color w:val="auto"/>
                <w:sz w:val="24"/>
              </w:rPr>
            </w:r>
            <w:r>
              <w:rPr>
                <w:color w:val="auto"/>
              </w:rPr>
            </w:r>
            <w:r/>
          </w:p>
        </w:tc>
        <w:tc>
          <w:tcPr>
            <w:tcW w:w="4795" w:type="dxa"/>
            <w:vAlign w:val="top"/>
            <w:textDirection w:val="lrTb"/>
            <w:noWrap w:val="false"/>
          </w:tcPr>
          <w:p>
            <w:pPr>
              <w:pStyle w:val="895"/>
              <w:jc w:val="left"/>
              <w:rPr>
                <w:rFonts w:ascii="宋体" w:hAnsi="宋体"/>
                <w:color w:val="auto"/>
                <w:sz w:val="24"/>
              </w:rPr>
            </w:pPr>
            <w:r>
              <w:rPr>
                <w:rFonts w:hint="eastAsia" w:ascii="宋体" w:hAnsi="宋体"/>
                <w:color w:val="auto"/>
                <w:sz w:val="24"/>
              </w:rPr>
              <w:t xml:space="preserve">单位名称（盖章）：</w:t>
            </w:r>
            <w:r>
              <w:rPr>
                <w:color w:val="auto"/>
              </w:rPr>
            </w:r>
            <w:r/>
          </w:p>
        </w:tc>
      </w:tr>
      <w:tr>
        <w:trPr>
          <w:trHeight w:val="413"/>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单位地址：</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单位地址：</w:t>
            </w:r>
            <w:r>
              <w:rPr>
                <w:color w:val="auto"/>
              </w:rPr>
            </w:r>
            <w:r/>
          </w:p>
        </w:tc>
      </w:tr>
      <w:tr>
        <w:trPr>
          <w:trHeight w:val="696"/>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法定代表人（签字或盖章）：</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法定代表人（签字或盖章）：</w:t>
            </w:r>
            <w:r>
              <w:rPr>
                <w:color w:val="auto"/>
              </w:rPr>
            </w:r>
            <w:r/>
          </w:p>
        </w:tc>
      </w:tr>
      <w:tr>
        <w:trPr>
          <w:trHeight w:val="415"/>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经办人（签字）：</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经办人（签字）：</w:t>
            </w:r>
            <w:r>
              <w:rPr>
                <w:color w:val="auto"/>
              </w:rPr>
            </w:r>
            <w:r/>
          </w:p>
        </w:tc>
      </w:tr>
      <w:tr>
        <w:trPr>
          <w:trHeight w:val="565"/>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开户银行：</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开户银行：</w:t>
            </w:r>
            <w:r>
              <w:rPr>
                <w:color w:val="auto"/>
              </w:rPr>
            </w:r>
            <w:r/>
          </w:p>
        </w:tc>
      </w:tr>
      <w:tr>
        <w:trPr>
          <w:trHeight w:val="475"/>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rPr>
                <w:color w:val="auto"/>
              </w:rPr>
            </w:r>
            <w:r/>
          </w:p>
        </w:tc>
      </w:tr>
      <w:tr>
        <w:trPr>
          <w:trHeight w:val="497"/>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联 系 人：</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联 系 人：</w:t>
            </w:r>
            <w:r>
              <w:rPr>
                <w:color w:val="auto"/>
              </w:rPr>
            </w:r>
            <w:r/>
          </w:p>
        </w:tc>
      </w:tr>
      <w:tr>
        <w:trPr>
          <w:trHeight w:val="549"/>
        </w:trPr>
        <w:tc>
          <w:tcPr>
            <w:tcW w:w="525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电    话：</w:t>
            </w:r>
            <w:r>
              <w:rPr>
                <w:color w:val="auto"/>
              </w:rPr>
            </w:r>
            <w:r/>
          </w:p>
        </w:tc>
        <w:tc>
          <w:tcPr>
            <w:tcW w:w="4795" w:type="dxa"/>
            <w:vAlign w:val="center"/>
            <w:textDirection w:val="lrTb"/>
            <w:noWrap w:val="false"/>
          </w:tcPr>
          <w:p>
            <w:pPr>
              <w:pStyle w:val="895"/>
              <w:jc w:val="left"/>
              <w:rPr>
                <w:rFonts w:ascii="宋体" w:hAnsi="宋体"/>
                <w:color w:val="auto"/>
                <w:sz w:val="24"/>
              </w:rPr>
            </w:pPr>
            <w:r>
              <w:rPr>
                <w:rFonts w:hint="eastAsia" w:ascii="宋体" w:hAnsi="宋体"/>
                <w:color w:val="auto"/>
                <w:sz w:val="24"/>
              </w:rPr>
              <w:t xml:space="preserve">电    话：</w:t>
            </w:r>
            <w:r>
              <w:rPr>
                <w:color w:val="auto"/>
              </w:rPr>
            </w:r>
            <w:r/>
          </w:p>
        </w:tc>
      </w:tr>
      <w:tr>
        <w:trPr>
          <w:trHeight w:val="482"/>
        </w:trPr>
        <w:tc>
          <w:tcPr>
            <w:gridSpan w:val="2"/>
            <w:tcW w:w="10050" w:type="dxa"/>
            <w:vAlign w:val="top"/>
            <w:textDirection w:val="lrTb"/>
            <w:noWrap w:val="false"/>
          </w:tcPr>
          <w:p>
            <w:pPr>
              <w:pStyle w:val="895"/>
              <w:jc w:val="left"/>
              <w:rPr>
                <w:rFonts w:ascii="宋体" w:hAnsi="宋体"/>
                <w:color w:val="auto"/>
                <w:sz w:val="24"/>
              </w:rPr>
            </w:pPr>
            <w:r>
              <w:rPr>
                <w:rFonts w:hint="eastAsia" w:ascii="宋体" w:hAnsi="宋体"/>
                <w:color w:val="auto"/>
                <w:sz w:val="24"/>
              </w:rPr>
              <w:t xml:space="preserve">见证方（盖章）：</w:t>
            </w:r>
            <w:r>
              <w:rPr>
                <w:color w:val="auto"/>
              </w:rPr>
            </w:r>
            <w:r/>
          </w:p>
          <w:p>
            <w:pPr>
              <w:pStyle w:val="895"/>
              <w:jc w:val="left"/>
              <w:rPr>
                <w:rFonts w:ascii="宋体" w:hAnsi="宋体"/>
                <w:color w:val="auto"/>
                <w:sz w:val="24"/>
              </w:rPr>
            </w:pPr>
            <w:r>
              <w:rPr>
                <w:rFonts w:ascii="宋体" w:hAnsi="宋体"/>
                <w:color w:val="auto"/>
                <w:sz w:val="24"/>
              </w:rPr>
            </w:r>
            <w:r>
              <w:rPr>
                <w:color w:val="auto"/>
              </w:rPr>
            </w:r>
            <w:r/>
          </w:p>
          <w:p>
            <w:pPr>
              <w:pStyle w:val="895"/>
              <w:jc w:val="left"/>
              <w:rPr>
                <w:rFonts w:ascii="宋体" w:hAnsi="宋体"/>
                <w:color w:val="auto"/>
                <w:sz w:val="24"/>
              </w:rPr>
            </w:pPr>
            <w:r>
              <w:rPr>
                <w:rFonts w:ascii="宋体" w:hAnsi="宋体"/>
                <w:color w:val="auto"/>
                <w:sz w:val="24"/>
              </w:rPr>
            </w:r>
            <w:r>
              <w:rPr>
                <w:color w:val="auto"/>
              </w:rPr>
            </w:r>
            <w:r/>
          </w:p>
          <w:p>
            <w:pPr>
              <w:pStyle w:val="895"/>
              <w:jc w:val="left"/>
              <w:rPr>
                <w:rFonts w:ascii="宋体" w:hAnsi="宋体"/>
                <w:color w:val="auto"/>
                <w:sz w:val="24"/>
              </w:rPr>
            </w:pPr>
            <w:r>
              <w:rPr>
                <w:rFonts w:ascii="宋体" w:hAnsi="宋体"/>
                <w:color w:val="auto"/>
                <w:sz w:val="24"/>
              </w:rPr>
            </w:r>
            <w:r>
              <w:rPr>
                <w:color w:val="auto"/>
              </w:rPr>
            </w:r>
            <w:r/>
          </w:p>
          <w:p>
            <w:pPr>
              <w:pStyle w:val="895"/>
              <w:jc w:val="left"/>
              <w:rPr>
                <w:rFonts w:ascii="宋体" w:hAnsi="宋体"/>
                <w:color w:val="auto"/>
                <w:sz w:val="24"/>
              </w:rPr>
            </w:pPr>
            <w:r>
              <w:rPr>
                <w:rFonts w:hint="eastAsia" w:ascii="宋体" w:hAnsi="宋体"/>
                <w:color w:val="auto"/>
                <w:sz w:val="24"/>
              </w:rPr>
              <w:t xml:space="preserve">日期：2024年【 </w:t>
            </w:r>
            <w:r>
              <w:rPr>
                <w:rFonts w:ascii="宋体" w:hAnsi="宋体"/>
                <w:color w:val="auto"/>
                <w:sz w:val="24"/>
              </w:rPr>
              <w:t xml:space="preserve"> </w:t>
            </w:r>
            <w:r>
              <w:rPr>
                <w:rFonts w:hint="eastAsia" w:ascii="宋体" w:hAnsi="宋体"/>
                <w:color w:val="auto"/>
                <w:sz w:val="24"/>
              </w:rPr>
              <w:t xml:space="preserve">】月【 </w:t>
            </w:r>
            <w:r>
              <w:rPr>
                <w:rFonts w:ascii="宋体" w:hAnsi="宋体"/>
                <w:color w:val="auto"/>
                <w:sz w:val="24"/>
              </w:rPr>
              <w:t xml:space="preserve"> </w:t>
            </w:r>
            <w:r>
              <w:rPr>
                <w:rFonts w:hint="eastAsia" w:ascii="宋体" w:hAnsi="宋体"/>
                <w:color w:val="auto"/>
                <w:sz w:val="24"/>
              </w:rPr>
              <w:t xml:space="preserve">】日</w:t>
            </w:r>
            <w:r>
              <w:rPr>
                <w:color w:val="auto"/>
              </w:rPr>
            </w:r>
            <w:r/>
          </w:p>
        </w:tc>
      </w:tr>
    </w:tbl>
    <w:p>
      <w:pPr>
        <w:pStyle w:val="990"/>
        <w:jc w:val="left"/>
        <w:spacing w:before="0"/>
        <w:rPr>
          <w:color w:val="auto"/>
        </w:rPr>
      </w:pPr>
      <w:r>
        <w:rPr>
          <w:color w:val="auto"/>
        </w:rPr>
      </w:r>
      <w:bookmarkEnd w:id="26"/>
      <w:r>
        <w:rPr>
          <w:color w:val="auto"/>
        </w:rPr>
      </w:r>
      <w:r/>
    </w:p>
    <w:p>
      <w:pPr>
        <w:pStyle w:val="895"/>
        <w:jc w:val="left"/>
        <w:widowControl/>
        <w:rPr>
          <w:rFonts w:ascii="宋体" w:hAnsi="宋体"/>
          <w:b/>
          <w:bCs/>
          <w:color w:val="auto"/>
          <w:sz w:val="24"/>
        </w:rPr>
      </w:pPr>
      <w:r>
        <w:rPr>
          <w:color w:val="auto"/>
        </w:rPr>
      </w:r>
      <w:bookmarkEnd w:id="21"/>
      <w:r>
        <w:rPr>
          <w:rFonts w:hint="eastAsia" w:ascii="宋体" w:hAnsi="宋体"/>
          <w:b/>
          <w:bCs/>
          <w:color w:val="auto"/>
          <w:sz w:val="24"/>
        </w:rPr>
        <w:t xml:space="preserve">合同附件1：</w:t>
      </w:r>
      <w:r>
        <w:rPr>
          <w:color w:val="auto"/>
        </w:rPr>
      </w:r>
      <w:r/>
    </w:p>
    <w:p>
      <w:pPr>
        <w:pStyle w:val="895"/>
        <w:jc w:val="center"/>
        <w:spacing w:line="360" w:lineRule="auto"/>
        <w:rPr>
          <w:rFonts w:ascii="宋体" w:hAnsi="宋体"/>
          <w:b/>
          <w:bCs/>
          <w:color w:val="auto"/>
          <w:spacing w:val="-20"/>
          <w:sz w:val="28"/>
          <w:szCs w:val="28"/>
        </w:rPr>
      </w:pPr>
      <w:r>
        <w:rPr>
          <w:rFonts w:hint="eastAsia" w:ascii="宋体" w:hAnsi="宋体"/>
          <w:b/>
          <w:bCs/>
          <w:color w:val="auto"/>
          <w:spacing w:val="-20"/>
          <w:sz w:val="28"/>
          <w:szCs w:val="28"/>
        </w:rPr>
        <w:t xml:space="preserve">廉洁协议书</w:t>
      </w:r>
      <w:r>
        <w:rPr>
          <w:color w:val="auto"/>
        </w:rPr>
      </w:r>
      <w:r/>
    </w:p>
    <w:p>
      <w:pPr>
        <w:pStyle w:val="895"/>
        <w:ind w:right="84" w:firstLine="495"/>
        <w:spacing w:after="50" w:line="400" w:lineRule="exact"/>
        <w:rPr>
          <w:rFonts w:ascii="宋体" w:hAnsi="宋体"/>
          <w:b/>
          <w:bCs/>
          <w:color w:val="auto"/>
        </w:rPr>
      </w:pPr>
      <w:r>
        <w:rPr>
          <w:rFonts w:hint="eastAsia" w:ascii="宋体" w:hAnsi="宋体"/>
          <w:b/>
          <w:bCs/>
          <w:color w:val="auto"/>
        </w:rPr>
        <w:t xml:space="preserve">项目名称：</w:t>
      </w:r>
      <w:r>
        <w:rPr>
          <w:color w:val="auto"/>
        </w:rPr>
      </w:r>
      <w:r/>
    </w:p>
    <w:p>
      <w:pPr>
        <w:pStyle w:val="895"/>
        <w:ind w:right="84" w:firstLine="495"/>
        <w:spacing w:after="50" w:line="400" w:lineRule="exact"/>
        <w:rPr>
          <w:rFonts w:ascii="宋体" w:hAnsi="宋体"/>
          <w:b/>
          <w:bCs/>
          <w:color w:val="auto"/>
        </w:rPr>
      </w:pPr>
      <w:r>
        <w:rPr>
          <w:rFonts w:hint="eastAsia" w:ascii="宋体" w:hAnsi="宋体"/>
          <w:b/>
          <w:bCs/>
          <w:color w:val="auto"/>
        </w:rPr>
        <w:t xml:space="preserve">项目地址：</w:t>
      </w:r>
      <w:r>
        <w:rPr>
          <w:color w:val="auto"/>
        </w:rPr>
      </w:r>
      <w:r/>
    </w:p>
    <w:p>
      <w:pPr>
        <w:pStyle w:val="895"/>
        <w:ind w:right="84" w:firstLine="495"/>
        <w:spacing w:after="50" w:line="400" w:lineRule="exact"/>
        <w:rPr>
          <w:rFonts w:ascii="宋体" w:hAnsi="宋体"/>
          <w:b/>
          <w:bCs/>
          <w:color w:val="auto"/>
        </w:rPr>
      </w:pPr>
      <w:r>
        <w:rPr>
          <w:rFonts w:hint="eastAsia" w:ascii="宋体" w:hAnsi="宋体"/>
          <w:b/>
          <w:bCs/>
          <w:color w:val="auto"/>
        </w:rPr>
        <w:t xml:space="preserve">委托人：</w:t>
      </w:r>
      <w:r>
        <w:rPr>
          <w:color w:val="auto"/>
        </w:rPr>
      </w:r>
      <w:r/>
    </w:p>
    <w:p>
      <w:pPr>
        <w:pStyle w:val="895"/>
        <w:ind w:right="84" w:firstLine="495"/>
        <w:spacing w:after="50" w:line="400" w:lineRule="exact"/>
        <w:rPr>
          <w:rFonts w:ascii="宋体" w:hAnsi="宋体"/>
          <w:b/>
          <w:bCs/>
          <w:color w:val="auto"/>
        </w:rPr>
      </w:pPr>
      <w:r>
        <w:rPr>
          <w:rFonts w:hint="eastAsia" w:ascii="宋体" w:hAnsi="宋体"/>
          <w:b/>
          <w:bCs/>
          <w:color w:val="auto"/>
        </w:rPr>
        <w:t xml:space="preserve">受托人：</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第一条  委托人工作人员在项目的事前、事中、事后应遵守以下规定。</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（一）不准向受托人索要或接受回扣、礼金、有价证券、贵重物品和好处费、感谢费等；不准在受托人报销任何应由委托人或其工作人员个人支付的费用。</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（二）不准参加受托人安排的超标准宴请及健身、娱乐等活动；不得接受受托人提供的通讯工具、交通工具、高档办公用品等。</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（三）不准要求、暗示和接受受托人为个人装修住房、婚丧嫁娶、配偶子女工作安排以及出国（境）、旅游等提供方便。</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（四）配偶、子女不得参与受托人承包本项目有关的服务、设备材料供应、项目分包、劳务等经济活动。</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（五）不得以任何理由向受托人推荐分包单位或要求受托人购买项目协议规定以外的材料、设备和服务等。</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（六）其它与项目有关的党风廉政建设和预防腐败的规定。</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第二条  受托人应与委托人保持正常的业务交往，按照有关法律法规和程序开展业务工作，严格执行项目建设的有关政策、法规，特别是有关强制性标准和规范，并遵守以下规定：</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（一）不准以任何理由向委托人及其工作人员行贿或赠送礼金、有价证券、贵重物品等。</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（二）不准以任何名义为委托人及其工作人员报销应由委托人或个人支付的费用。</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（三）不准以任何理由安排委托人工作人员参加超标准宴请及健身、娱乐和旅游等活动。</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（四）不准为委托人及其工作人员购置或提供通讯工具、交通工具、高档办公用品和装修住房等。</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（五）其它有关的党风廉政建设和预防腐败的规定。</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第三条  委托人、受托人双方不得违反项目管理规章制度，不得为获取不正当利益，就项目费用、材料供应、工程量变动、项目验收、项目质量等问题相互串通，损害国家、集体或他人利益。</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第四条  委托人、受托人双方发现对方在业务活动中有违反本协议行为的，有及时提醒对方纠正的权利和义务。情节严重的，有向对方上级有关部门举报的权利。</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第五条  委托人监督部门对委托人、受托人双方履行协议的情况进行监督，其职责是：</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（一）严格依据国家法律、法规及党和政府的政策、制度、规定和党纪、政纪条规，对委托人、受托人双方遵纪守法情况进行监督检查；</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（二）协助和指导委托人、受托人双方抓好廉政建设，对委托人、受托人双方工作人员有针对性地进行廉政教育。</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第六条  违约责任</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（三）受托人将部分辅助项目依法分包的，受托人与分包单位就协议的履行承担连带责任。</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第七条  本协议作为合同的附件，与主合同具有同等法律效力，本协议自双方法定代表人（负责人）或授权代表签章并加盖双方单位公章后生效。</w:t>
      </w:r>
      <w:r>
        <w:rPr>
          <w:color w:val="auto"/>
        </w:rPr>
      </w:r>
      <w:r/>
    </w:p>
    <w:p>
      <w:pPr>
        <w:pStyle w:val="895"/>
        <w:ind w:right="84" w:firstLine="495"/>
        <w:spacing w:after="50" w:line="400" w:lineRule="exact"/>
        <w:rPr>
          <w:rFonts w:ascii="宋体" w:hAnsi="宋体"/>
          <w:color w:val="auto"/>
        </w:rPr>
      </w:pPr>
      <w:r>
        <w:rPr>
          <w:rFonts w:ascii="宋体" w:hAnsi="宋体"/>
          <w:color w:val="auto"/>
        </w:rPr>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委托人（盖章）：</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法定代表人（负责人）或授权代表（签章）：</w:t>
      </w:r>
      <w:r>
        <w:rPr>
          <w:color w:val="auto"/>
        </w:rPr>
      </w:r>
      <w:r/>
    </w:p>
    <w:p>
      <w:pPr>
        <w:pStyle w:val="895"/>
        <w:ind w:right="84" w:firstLine="495"/>
        <w:spacing w:after="50" w:line="400" w:lineRule="exact"/>
        <w:rPr>
          <w:rFonts w:ascii="宋体" w:hAnsi="宋体"/>
          <w:color w:val="auto"/>
        </w:rPr>
      </w:pPr>
      <w:r>
        <w:rPr>
          <w:rFonts w:ascii="宋体" w:hAnsi="宋体"/>
          <w:color w:val="auto"/>
        </w:rPr>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受托人（盖章）：</w:t>
      </w:r>
      <w:r>
        <w:rPr>
          <w:color w:val="auto"/>
        </w:rPr>
      </w:r>
      <w:r/>
    </w:p>
    <w:p>
      <w:pPr>
        <w:pStyle w:val="895"/>
        <w:ind w:right="84" w:firstLine="495"/>
        <w:spacing w:after="50" w:line="400" w:lineRule="exact"/>
        <w:rPr>
          <w:rFonts w:ascii="宋体" w:hAnsi="宋体"/>
          <w:color w:val="auto"/>
        </w:rPr>
      </w:pPr>
      <w:r>
        <w:rPr>
          <w:rFonts w:hint="eastAsia" w:ascii="宋体" w:hAnsi="宋体"/>
          <w:color w:val="auto"/>
        </w:rPr>
        <w:t xml:space="preserve">法定代表人（负责人）或授权代表（签章）：</w:t>
      </w:r>
      <w:r>
        <w:rPr>
          <w:color w:val="auto"/>
        </w:rPr>
      </w:r>
      <w:r/>
    </w:p>
    <w:p>
      <w:pPr>
        <w:pStyle w:val="895"/>
        <w:ind w:right="84" w:firstLine="495"/>
        <w:jc w:val="left"/>
        <w:spacing w:after="50" w:line="400" w:lineRule="exact"/>
        <w:rPr>
          <w:rFonts w:ascii="宋体" w:hAnsi="宋体"/>
          <w:color w:val="auto"/>
        </w:rPr>
      </w:pPr>
      <w:r>
        <w:rPr>
          <w:rFonts w:hint="eastAsia" w:ascii="宋体" w:hAnsi="宋体"/>
          <w:color w:val="auto"/>
        </w:rPr>
        <w:t xml:space="preserve">日期：年 </w:t>
      </w:r>
      <w:r>
        <w:rPr>
          <w:rFonts w:ascii="宋体" w:hAnsi="宋体"/>
          <w:color w:val="auto"/>
        </w:rPr>
        <w:t xml:space="preserve"> </w:t>
      </w:r>
      <w:r>
        <w:rPr>
          <w:rFonts w:hint="eastAsia" w:ascii="宋体" w:hAnsi="宋体"/>
          <w:color w:val="auto"/>
        </w:rPr>
        <w:t xml:space="preserve">月 </w:t>
      </w:r>
      <w:r>
        <w:rPr>
          <w:rFonts w:ascii="宋体" w:hAnsi="宋体"/>
          <w:color w:val="auto"/>
        </w:rPr>
        <w:t xml:space="preserve"> </w:t>
      </w:r>
      <w:r>
        <w:rPr>
          <w:rFonts w:hint="eastAsia" w:ascii="宋体" w:hAnsi="宋体"/>
          <w:color w:val="auto"/>
        </w:rPr>
        <w:t xml:space="preserve">日</w:t>
      </w:r>
      <w:r>
        <w:rPr>
          <w:color w:val="auto"/>
        </w:rPr>
      </w:r>
      <w:r/>
    </w:p>
    <w:p>
      <w:pPr>
        <w:pStyle w:val="895"/>
        <w:ind w:right="84" w:firstLine="495"/>
        <w:jc w:val="right"/>
        <w:spacing w:after="50" w:line="400" w:lineRule="exact"/>
        <w:rPr>
          <w:rFonts w:ascii="宋体" w:hAnsi="宋体" w:eastAsia="宋体"/>
          <w:color w:val="auto"/>
          <w:sz w:val="24"/>
          <w:szCs w:val="22"/>
        </w:rPr>
      </w:pPr>
      <w:r>
        <w:rPr>
          <w:rFonts w:ascii="宋体" w:hAnsi="宋体" w:eastAsia="宋体"/>
          <w:color w:val="auto"/>
          <w:sz w:val="24"/>
          <w:szCs w:val="22"/>
        </w:rPr>
      </w:r>
      <w:r>
        <w:rPr>
          <w:color w:val="auto"/>
        </w:rPr>
      </w:r>
      <w:r/>
    </w:p>
    <w:p>
      <w:pPr>
        <w:pStyle w:val="895"/>
        <w:jc w:val="left"/>
        <w:widowControl/>
        <w:rPr>
          <w:rFonts w:ascii="仿宋_GB2312" w:hAnsi="宋体" w:eastAsia="仿宋_GB2312"/>
          <w:color w:val="auto"/>
          <w:sz w:val="28"/>
          <w:szCs w:val="24"/>
        </w:rPr>
      </w:pPr>
      <w:r>
        <w:rPr>
          <w:rFonts w:ascii="仿宋_GB2312" w:hAnsi="宋体" w:eastAsia="仿宋_GB2312"/>
          <w:color w:val="auto"/>
          <w:sz w:val="28"/>
          <w:szCs w:val="24"/>
        </w:rPr>
        <w:br w:type="page" w:clear="all"/>
      </w:r>
      <w:r>
        <w:rPr>
          <w:color w:val="auto"/>
        </w:rPr>
      </w:r>
      <w:r/>
    </w:p>
    <w:p>
      <w:pPr>
        <w:pStyle w:val="895"/>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五.附件</w:t>
      </w:r>
      <w:r>
        <w:rPr>
          <w:color w:val="auto"/>
        </w:rPr>
      </w:r>
      <w:r/>
    </w:p>
    <w:p>
      <w:pPr>
        <w:pStyle w:val="895"/>
        <w:jc w:val="left"/>
        <w:spacing w:line="44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rPr>
          <w:color w:val="auto"/>
        </w:rPr>
      </w:r>
      <w:r/>
    </w:p>
    <w:p>
      <w:pPr>
        <w:pStyle w:val="895"/>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（一）评分项目及分值（总分100分，计分均保留2位小数）</w:t>
      </w:r>
      <w:r>
        <w:rPr>
          <w:color w:val="auto"/>
        </w:rPr>
      </w:r>
      <w:r/>
    </w:p>
    <w:p>
      <w:pPr>
        <w:pStyle w:val="895"/>
        <w:ind w:firstLine="47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w:t>
      </w:r>
      <w:r>
        <w:rPr>
          <w:rFonts w:hint="eastAsia" w:ascii="宋体" w:hAnsi="宋体" w:eastAsia="宋体" w:cs="Times New Roman"/>
          <w:b/>
          <w:color w:val="auto"/>
          <w:sz w:val="24"/>
          <w:szCs w:val="24"/>
          <w:highlight w:val="none"/>
          <w:lang w:val="en-US" w:eastAsia="zh-CN"/>
        </w:rPr>
        <w:t xml:space="preserve">投标</w:t>
      </w:r>
      <w:r>
        <w:rPr>
          <w:rFonts w:hint="eastAsia" w:ascii="宋体" w:hAnsi="宋体" w:eastAsia="宋体" w:cs="Times New Roman"/>
          <w:b/>
          <w:color w:val="auto"/>
          <w:sz w:val="24"/>
          <w:szCs w:val="24"/>
          <w:highlight w:val="none"/>
        </w:rPr>
        <w:t xml:space="preserve">报价                               </w:t>
      </w:r>
      <w:r>
        <w:rPr>
          <w:rFonts w:hint="eastAsia" w:ascii="宋体" w:hAnsi="宋体" w:eastAsia="宋体" w:cs="Times New Roman"/>
          <w:b/>
          <w:color w:val="auto"/>
          <w:sz w:val="24"/>
          <w:szCs w:val="24"/>
          <w:highlight w:val="none"/>
          <w:lang w:val="en-US" w:eastAsia="zh-CN"/>
        </w:rPr>
        <w:t xml:space="preserve">   20</w:t>
      </w:r>
      <w:r>
        <w:rPr>
          <w:rFonts w:hint="eastAsia" w:ascii="宋体" w:hAnsi="宋体" w:eastAsia="宋体" w:cs="Times New Roman"/>
          <w:b/>
          <w:color w:val="auto"/>
          <w:sz w:val="24"/>
          <w:szCs w:val="24"/>
          <w:highlight w:val="none"/>
        </w:rPr>
        <w:t xml:space="preserve">分</w:t>
      </w:r>
      <w:r>
        <w:rPr>
          <w:color w:val="auto"/>
        </w:rPr>
      </w:r>
      <w:r/>
    </w:p>
    <w:p>
      <w:pPr>
        <w:pStyle w:val="895"/>
        <w:ind w:firstLine="47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w:t>
      </w:r>
      <w:r>
        <w:rPr>
          <w:rFonts w:hint="eastAsia" w:ascii="宋体" w:hAnsi="宋体" w:eastAsia="宋体" w:cs="Times New Roman"/>
          <w:b/>
          <w:color w:val="auto"/>
          <w:sz w:val="24"/>
          <w:szCs w:val="24"/>
          <w:highlight w:val="none"/>
          <w:lang w:val="en-US" w:eastAsia="zh-CN"/>
        </w:rPr>
        <w:t xml:space="preserve">投标供应商评价</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b/>
          <w:color w:val="auto"/>
          <w:sz w:val="24"/>
          <w:szCs w:val="24"/>
          <w:highlight w:val="none"/>
          <w:lang w:val="en-US" w:eastAsia="zh-CN"/>
        </w:rPr>
        <w:t xml:space="preserve"> 40</w:t>
      </w:r>
      <w:r>
        <w:rPr>
          <w:rFonts w:hint="eastAsia" w:ascii="宋体" w:hAnsi="宋体" w:eastAsia="宋体" w:cs="Times New Roman"/>
          <w:b/>
          <w:color w:val="auto"/>
          <w:sz w:val="24"/>
          <w:szCs w:val="24"/>
          <w:highlight w:val="none"/>
        </w:rPr>
        <w:t xml:space="preserve">分</w:t>
      </w:r>
      <w:r>
        <w:rPr>
          <w:color w:val="auto"/>
        </w:rPr>
      </w:r>
      <w:r/>
    </w:p>
    <w:p>
      <w:pPr>
        <w:pStyle w:val="895"/>
        <w:ind w:firstLine="470"/>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（3）技术文件                                  </w:t>
      </w:r>
      <w:r>
        <w:rPr>
          <w:rFonts w:hint="eastAsia" w:ascii="宋体" w:hAnsi="宋体" w:eastAsia="宋体" w:cs="Times New Roman"/>
          <w:b/>
          <w:color w:val="auto"/>
          <w:sz w:val="24"/>
          <w:szCs w:val="24"/>
          <w:highlight w:val="none"/>
          <w:lang w:val="en-US" w:eastAsia="zh-CN"/>
        </w:rPr>
        <w:t xml:space="preserve">40</w:t>
      </w:r>
      <w:r>
        <w:rPr>
          <w:rFonts w:hint="eastAsia" w:ascii="宋体" w:hAnsi="宋体" w:eastAsia="宋体" w:cs="Times New Roman"/>
          <w:b/>
          <w:color w:val="auto"/>
          <w:sz w:val="24"/>
          <w:szCs w:val="24"/>
          <w:highlight w:val="none"/>
        </w:rPr>
        <w:t xml:space="preserve">分</w:t>
      </w:r>
      <w:r>
        <w:rPr>
          <w:color w:val="auto"/>
        </w:rPr>
      </w:r>
      <w:r/>
    </w:p>
    <w:p>
      <w:pPr>
        <w:pStyle w:val="895"/>
        <w:ind w:right="0" w:firstLine="0"/>
        <w:spacing w:line="360" w:lineRule="auto"/>
        <w:tabs>
          <w:tab w:val="left" w:pos="840" w:leader="none"/>
          <w:tab w:val="left" w:pos="1050"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（二</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rPr>
        <w:t xml:space="preserve">各项目评分标准</w:t>
      </w:r>
      <w:r>
        <w:rPr>
          <w:color w:val="auto"/>
        </w:rPr>
      </w:r>
      <w:r/>
    </w:p>
    <w:tbl>
      <w:tblPr>
        <w:tblStyle w:val="1175"/>
        <w:tblW w:w="53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668"/>
        <w:gridCol w:w="799"/>
        <w:gridCol w:w="7592"/>
      </w:tblGrid>
      <w:tr>
        <w:trPr/>
        <w:tc>
          <w:tcPr>
            <w:tcW w:w="319"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序号</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评审项目</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分值</w:t>
            </w:r>
            <w:r>
              <w:rPr>
                <w:color w:val="auto"/>
              </w:rPr>
            </w:r>
            <w:r/>
          </w:p>
        </w:tc>
        <w:tc>
          <w:tcPr>
            <w:tcW w:w="3531"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评审细则</w:t>
            </w:r>
            <w:r>
              <w:rPr>
                <w:color w:val="auto"/>
              </w:rPr>
            </w:r>
            <w:r/>
          </w:p>
        </w:tc>
      </w:tr>
      <w:tr>
        <w:trPr>
          <w:trHeight w:val="390"/>
        </w:trPr>
        <w:tc>
          <w:tcPr>
            <w:gridSpan w:val="4"/>
            <w:tcW w:w="10745" w:type="dxa"/>
            <w:vAlign w:val="center"/>
            <w:textDirection w:val="lrTb"/>
            <w:noWrap w:val="false"/>
          </w:tcPr>
          <w:p>
            <w:pPr>
              <w:pStyle w:val="895"/>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（一）价格分（</w:t>
            </w:r>
            <w:r>
              <w:rPr>
                <w:rFonts w:hint="eastAsia" w:ascii="宋体" w:hAnsi="宋体" w:eastAsia="宋体" w:cs="Times New Roman"/>
                <w:b/>
                <w:bCs/>
                <w:color w:val="auto"/>
                <w:sz w:val="22"/>
                <w:szCs w:val="22"/>
                <w:highlight w:val="none"/>
                <w:lang w:val="en-US" w:eastAsia="zh-CN"/>
              </w:rPr>
              <w:t xml:space="preserve">20</w:t>
            </w:r>
            <w:r>
              <w:rPr>
                <w:rFonts w:hint="eastAsia" w:ascii="宋体" w:hAnsi="宋体" w:eastAsia="宋体" w:cs="Times New Roman"/>
                <w:b/>
                <w:bCs/>
                <w:color w:val="auto"/>
                <w:sz w:val="22"/>
                <w:szCs w:val="22"/>
                <w:highlight w:val="none"/>
              </w:rPr>
              <w:t xml:space="preserve">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1</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价格分</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20</w:t>
            </w:r>
            <w:r>
              <w:rPr>
                <w:rFonts w:hint="eastAsia" w:ascii="宋体" w:hAnsi="宋体" w:eastAsia="宋体" w:cs="Times New Roman"/>
                <w:color w:val="auto"/>
                <w:sz w:val="22"/>
                <w:szCs w:val="22"/>
                <w:highlight w:val="none"/>
              </w:rPr>
              <w:t xml:space="preserve">分</w:t>
            </w:r>
            <w:r>
              <w:rPr>
                <w:color w:val="auto"/>
              </w:rPr>
            </w:r>
            <w:r/>
          </w:p>
        </w:tc>
        <w:tc>
          <w:tcPr>
            <w:tcW w:w="3531" w:type="dxa"/>
            <w:vAlign w:val="center"/>
            <w:textDirection w:val="lrTb"/>
            <w:noWrap w:val="false"/>
          </w:tcPr>
          <w:p>
            <w:pPr>
              <w:pStyle w:val="895"/>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rPr>
                <w:color w:val="auto"/>
              </w:rPr>
            </w:r>
            <w:r/>
          </w:p>
          <w:p>
            <w:pPr>
              <w:pStyle w:val="895"/>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rPr>
                <w:color w:val="auto"/>
              </w:rPr>
            </w:r>
            <w:r/>
          </w:p>
          <w:p>
            <w:pPr>
              <w:pStyle w:val="895"/>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投标报价得分=(评标基准价／投标报价)×价格分。</w:t>
            </w:r>
            <w:r>
              <w:rPr>
                <w:color w:val="auto"/>
              </w:rPr>
            </w:r>
            <w:r/>
          </w:p>
          <w:p>
            <w:pPr>
              <w:pStyle w:val="895"/>
              <w:spacing w:line="276" w:lineRule="auto"/>
              <w:rPr>
                <w:rFonts w:ascii="宋体" w:hAnsi="宋体" w:eastAsia="宋体" w:cs="Times New Roman"/>
                <w:color w:val="auto"/>
                <w:sz w:val="22"/>
                <w:szCs w:val="22"/>
                <w:highlight w:val="none"/>
              </w:rPr>
            </w:pPr>
            <w:r>
              <w:rPr>
                <w:rFonts w:hint="eastAsia" w:ascii="宋体" w:hAnsi="宋体" w:eastAsia="宋体" w:cs="Times New Roman"/>
                <w:bCs/>
                <w:color w:val="auto"/>
                <w:sz w:val="22"/>
                <w:szCs w:val="22"/>
                <w:highlight w:val="none"/>
              </w:rPr>
              <w:t xml:space="preserve">项目评审过程中，不得去掉最后报价中的最高报价和最低报价。</w:t>
            </w:r>
            <w:r>
              <w:rPr>
                <w:color w:val="auto"/>
              </w:rPr>
            </w:r>
            <w:r/>
          </w:p>
        </w:tc>
      </w:tr>
      <w:tr>
        <w:trPr>
          <w:trHeight w:val="373"/>
        </w:trPr>
        <w:tc>
          <w:tcPr>
            <w:gridSpan w:val="4"/>
            <w:tcW w:w="10745" w:type="dxa"/>
            <w:vAlign w:val="center"/>
            <w:textDirection w:val="lrTb"/>
            <w:noWrap w:val="false"/>
          </w:tcPr>
          <w:p>
            <w:pPr>
              <w:pStyle w:val="895"/>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（二）商务资信分（</w:t>
            </w:r>
            <w:r>
              <w:rPr>
                <w:rFonts w:hint="eastAsia" w:ascii="宋体" w:hAnsi="宋体" w:eastAsia="宋体" w:cs="Times New Roman"/>
                <w:b/>
                <w:bCs/>
                <w:color w:val="auto"/>
                <w:sz w:val="22"/>
                <w:szCs w:val="22"/>
                <w:highlight w:val="none"/>
                <w:lang w:val="en-US" w:eastAsia="zh-CN"/>
              </w:rPr>
              <w:t xml:space="preserve">40</w:t>
            </w:r>
            <w:r>
              <w:rPr>
                <w:rFonts w:hint="eastAsia" w:ascii="宋体" w:hAnsi="宋体" w:eastAsia="宋体" w:cs="Times New Roman"/>
                <w:b/>
                <w:bCs/>
                <w:color w:val="auto"/>
                <w:sz w:val="22"/>
                <w:szCs w:val="22"/>
                <w:highlight w:val="none"/>
              </w:rPr>
              <w:t xml:space="preserve">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ascii="宋体" w:hAnsi="宋体" w:eastAsia="宋体" w:cs="Times New Roman"/>
                <w:bCs/>
                <w:color w:val="auto"/>
                <w:sz w:val="22"/>
                <w:szCs w:val="22"/>
                <w:highlight w:val="none"/>
              </w:rPr>
              <w:t xml:space="preserve">1</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bCs/>
                <w:color w:val="auto"/>
                <w:sz w:val="22"/>
                <w:szCs w:val="22"/>
                <w:highlight w:val="none"/>
              </w:rPr>
              <w:t xml:space="preserve">企业业绩</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bCs/>
                <w:color w:val="auto"/>
                <w:sz w:val="22"/>
                <w:szCs w:val="22"/>
                <w:highlight w:val="none"/>
                <w:lang w:val="en-US" w:eastAsia="zh-CN"/>
              </w:rPr>
              <w:t xml:space="preserve">6</w:t>
            </w:r>
            <w:r>
              <w:rPr>
                <w:rFonts w:hint="eastAsia" w:ascii="宋体" w:hAnsi="宋体" w:eastAsia="宋体" w:cs="Times New Roman"/>
                <w:bCs/>
                <w:color w:val="auto"/>
                <w:sz w:val="22"/>
                <w:szCs w:val="22"/>
                <w:highlight w:val="none"/>
              </w:rPr>
              <w:t xml:space="preserve">分</w:t>
            </w:r>
            <w:r>
              <w:rPr>
                <w:color w:val="auto"/>
              </w:rPr>
            </w:r>
            <w:r/>
          </w:p>
        </w:tc>
        <w:tc>
          <w:tcPr>
            <w:tcW w:w="3531" w:type="dxa"/>
            <w:vAlign w:val="center"/>
            <w:textDirection w:val="lrTb"/>
            <w:noWrap w:val="false"/>
          </w:tcPr>
          <w:p>
            <w:pPr>
              <w:pStyle w:val="895"/>
              <w:spacing w:line="276" w:lineRule="auto"/>
              <w:rPr>
                <w:rFonts w:ascii="宋体" w:hAnsi="宋体" w:eastAsia="宋体" w:cs="Times New Roman"/>
                <w:color w:val="auto"/>
                <w:sz w:val="22"/>
                <w:szCs w:val="22"/>
                <w:highlight w:val="none"/>
              </w:rPr>
            </w:pPr>
            <w:r>
              <w:rPr>
                <w:rFonts w:hint="eastAsia" w:ascii="宋体" w:hAnsi="宋体" w:eastAsia="宋体" w:cs="Times New Roman"/>
                <w:bCs/>
                <w:color w:val="auto"/>
                <w:sz w:val="22"/>
                <w:szCs w:val="22"/>
                <w:highlight w:val="none"/>
              </w:rPr>
              <w:t xml:space="preserve">投标供应商近三年（自本项目公告发布之日起往前顺推，以合同签订日期为准）</w:t>
            </w:r>
            <w:r>
              <w:rPr>
                <w:rFonts w:ascii="宋体" w:hAnsi="宋体" w:eastAsia="宋体" w:cs="Times New Roman"/>
                <w:bCs/>
                <w:color w:val="auto"/>
                <w:sz w:val="22"/>
                <w:szCs w:val="22"/>
                <w:highlight w:val="none"/>
              </w:rPr>
              <w:t xml:space="preserve">起至今承担过</w:t>
            </w:r>
            <w:r>
              <w:rPr>
                <w:rFonts w:hint="eastAsia" w:ascii="宋体" w:hAnsi="宋体" w:eastAsia="宋体" w:cs="Times New Roman"/>
                <w:bCs/>
                <w:color w:val="auto"/>
                <w:sz w:val="22"/>
                <w:szCs w:val="22"/>
                <w:highlight w:val="none"/>
              </w:rPr>
              <w:t xml:space="preserve">同类业务</w:t>
            </w:r>
            <w:r>
              <w:rPr>
                <w:rFonts w:ascii="宋体" w:hAnsi="宋体" w:eastAsia="宋体" w:cs="Times New Roman"/>
                <w:bCs/>
                <w:color w:val="auto"/>
                <w:sz w:val="22"/>
                <w:szCs w:val="22"/>
                <w:highlight w:val="none"/>
              </w:rPr>
              <w:t xml:space="preserve">的，每个得2分，最高得</w:t>
            </w:r>
            <w:r>
              <w:rPr>
                <w:rFonts w:hint="eastAsia" w:ascii="宋体" w:hAnsi="宋体" w:eastAsia="宋体" w:cs="Times New Roman"/>
                <w:bCs/>
                <w:color w:val="auto"/>
                <w:sz w:val="22"/>
                <w:szCs w:val="22"/>
                <w:highlight w:val="none"/>
                <w:lang w:val="en-US" w:eastAsia="zh-CN"/>
              </w:rPr>
              <w:t xml:space="preserve">6</w:t>
            </w:r>
            <w:r>
              <w:rPr>
                <w:rFonts w:ascii="宋体" w:hAnsi="宋体" w:eastAsia="宋体" w:cs="Times New Roman"/>
                <w:bCs/>
                <w:color w:val="auto"/>
                <w:sz w:val="22"/>
                <w:szCs w:val="22"/>
                <w:highlight w:val="none"/>
              </w:rPr>
              <w:t xml:space="preserve">分。</w:t>
            </w:r>
            <w:r>
              <w:rPr>
                <w:rFonts w:hint="eastAsia" w:ascii="宋体" w:hAnsi="宋体" w:eastAsia="宋体" w:cs="Times New Roman"/>
                <w:b/>
                <w:color w:val="auto"/>
                <w:sz w:val="22"/>
                <w:szCs w:val="22"/>
                <w:highlight w:val="none"/>
              </w:rPr>
              <w:t xml:space="preserve">（投标文件中提供合同原件扫描件并签章，不提供不得分）。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2</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体系认证</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ascii="宋体" w:hAnsi="宋体" w:eastAsia="宋体" w:cs="Times New Roman"/>
                <w:bCs/>
                <w:color w:val="auto"/>
                <w:sz w:val="22"/>
                <w:szCs w:val="22"/>
                <w:highlight w:val="none"/>
              </w:rPr>
              <w:t xml:space="preserve">3</w:t>
            </w:r>
            <w:r>
              <w:rPr>
                <w:rFonts w:hint="eastAsia" w:ascii="宋体" w:hAnsi="宋体" w:eastAsia="宋体" w:cs="Times New Roman"/>
                <w:bCs/>
                <w:color w:val="auto"/>
                <w:sz w:val="22"/>
                <w:szCs w:val="22"/>
                <w:highlight w:val="none"/>
              </w:rPr>
              <w:t xml:space="preserve">分</w:t>
            </w:r>
            <w:r>
              <w:rPr>
                <w:color w:val="auto"/>
              </w:rPr>
            </w:r>
            <w:r/>
          </w:p>
        </w:tc>
        <w:tc>
          <w:tcPr>
            <w:tcW w:w="3531" w:type="dxa"/>
            <w:vAlign w:val="center"/>
            <w:textDirection w:val="lrTb"/>
            <w:noWrap w:val="false"/>
          </w:tcPr>
          <w:p>
            <w:pPr>
              <w:pStyle w:val="895"/>
              <w:spacing w:line="276" w:lineRule="auto"/>
              <w:rPr>
                <w:rFonts w:ascii="宋体" w:hAnsi="宋体" w:eastAsia="宋体" w:cs="Times New Roman"/>
                <w:bCs/>
                <w:color w:val="auto"/>
                <w:sz w:val="22"/>
                <w:szCs w:val="22"/>
                <w:highlight w:val="none"/>
              </w:rPr>
            </w:pPr>
            <w:r>
              <w:rPr>
                <w:rFonts w:ascii="宋体" w:hAnsi="宋体" w:eastAsia="宋体" w:cs="Times New Roman"/>
                <w:bCs/>
                <w:color w:val="auto"/>
                <w:sz w:val="22"/>
                <w:szCs w:val="22"/>
                <w:highlight w:val="none"/>
              </w:rPr>
              <w:t xml:space="preserve">投标供应商</w:t>
            </w:r>
            <w:r>
              <w:rPr>
                <w:rFonts w:hint="eastAsia" w:ascii="宋体" w:hAnsi="宋体" w:eastAsia="宋体" w:cs="Times New Roman"/>
                <w:bCs/>
                <w:color w:val="auto"/>
                <w:sz w:val="22"/>
                <w:szCs w:val="22"/>
                <w:highlight w:val="none"/>
              </w:rPr>
              <w:t xml:space="preserve">具有有效期内的质量管理体系认证证书、环境管理体系认证证书、职业健康安全管理体系认证证书的，每提供1个得1分，本项最高得3分</w:t>
            </w:r>
            <w:r>
              <w:rPr>
                <w:rFonts w:hint="eastAsia" w:ascii="宋体" w:hAnsi="宋体" w:eastAsia="宋体" w:cs="Times New Roman"/>
                <w:b/>
                <w:bCs/>
                <w:color w:val="auto"/>
                <w:sz w:val="22"/>
                <w:szCs w:val="22"/>
                <w:highlight w:val="none"/>
              </w:rPr>
              <w:t xml:space="preserve">（投标文件中提供证书</w:t>
            </w:r>
            <w:r>
              <w:rPr>
                <w:rFonts w:hint="eastAsia" w:ascii="宋体" w:hAnsi="宋体" w:eastAsia="宋体" w:cs="Times New Roman"/>
                <w:b/>
                <w:color w:val="auto"/>
                <w:sz w:val="22"/>
                <w:szCs w:val="22"/>
                <w:highlight w:val="none"/>
              </w:rPr>
              <w:t xml:space="preserve">原件扫描件并签章</w:t>
            </w:r>
            <w:r>
              <w:rPr>
                <w:rFonts w:hint="eastAsia" w:ascii="宋体" w:hAnsi="宋体" w:eastAsia="宋体" w:cs="Times New Roman"/>
                <w:b/>
                <w:bCs/>
                <w:color w:val="auto"/>
                <w:sz w:val="22"/>
                <w:szCs w:val="22"/>
                <w:highlight w:val="none"/>
              </w:rPr>
              <w:t xml:space="preserve">，不提供不得分）</w:t>
            </w:r>
            <w:r>
              <w:rPr>
                <w:rFonts w:ascii="宋体" w:hAnsi="宋体" w:eastAsia="宋体" w:cs="Times New Roman"/>
                <w:bCs/>
                <w:color w:val="auto"/>
                <w:sz w:val="22"/>
                <w:szCs w:val="22"/>
                <w:highlight w:val="none"/>
              </w:rPr>
              <w:t xml:space="preserve">。</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3</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rPr>
              <w:t xml:space="preserve">企业荣誉</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lang w:val="en-US" w:eastAsia="zh-CN"/>
              </w:rPr>
              <w:t xml:space="preserve">6</w:t>
            </w:r>
            <w:r>
              <w:rPr>
                <w:rFonts w:hint="eastAsia" w:ascii="宋体" w:hAnsi="宋体" w:eastAsia="宋体" w:cs="Times New Roman"/>
                <w:bCs/>
                <w:color w:val="auto"/>
                <w:sz w:val="22"/>
                <w:szCs w:val="22"/>
                <w:highlight w:val="none"/>
              </w:rPr>
              <w:t xml:space="preserve">分</w:t>
            </w:r>
            <w:r>
              <w:rPr>
                <w:color w:val="auto"/>
              </w:rPr>
            </w:r>
            <w:r/>
          </w:p>
        </w:tc>
        <w:tc>
          <w:tcPr>
            <w:tcW w:w="3531" w:type="dxa"/>
            <w:vAlign w:val="center"/>
            <w:textDirection w:val="lrTb"/>
            <w:noWrap w:val="false"/>
          </w:tcPr>
          <w:p>
            <w:pPr>
              <w:pStyle w:val="895"/>
              <w:spacing w:line="276" w:lineRule="auto"/>
              <w:rPr>
                <w:rFonts w:ascii="宋体" w:hAnsi="宋体" w:eastAsia="宋体" w:cs="宋体"/>
                <w:b/>
                <w:bCs/>
                <w:color w:val="auto"/>
                <w:sz w:val="22"/>
                <w:highlight w:val="none"/>
              </w:rPr>
            </w:pPr>
            <w:r>
              <w:rPr>
                <w:rFonts w:hint="eastAsia" w:ascii="宋体" w:hAnsi="宋体" w:eastAsia="宋体" w:cs="宋体"/>
                <w:color w:val="auto"/>
                <w:sz w:val="22"/>
                <w:highlight w:val="none"/>
              </w:rPr>
              <w:t xml:space="preserve">投标供应商近三年（自本项目公告发布之日起往前顺推，以证书落款日期为准）承担过的绿化养护项目获得过地市级（含）以上荣誉奖项的，每个得</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分，最高得</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分</w:t>
            </w:r>
            <w:r>
              <w:rPr>
                <w:rFonts w:hint="eastAsia" w:ascii="宋体" w:hAnsi="宋体" w:eastAsia="宋体" w:cs="宋体"/>
                <w:b/>
                <w:bCs/>
                <w:color w:val="auto"/>
                <w:sz w:val="22"/>
                <w:highlight w:val="none"/>
              </w:rPr>
              <w:t xml:space="preserve">（投标文件中提供证书</w:t>
            </w:r>
            <w:r>
              <w:rPr>
                <w:rFonts w:hint="eastAsia" w:ascii="宋体" w:hAnsi="宋体" w:eastAsia="宋体" w:cs="宋体"/>
                <w:b/>
                <w:color w:val="auto"/>
                <w:sz w:val="22"/>
                <w:highlight w:val="none"/>
              </w:rPr>
              <w:t xml:space="preserve">原件扫描件并签章</w:t>
            </w:r>
            <w:r>
              <w:rPr>
                <w:rFonts w:hint="eastAsia" w:ascii="宋体" w:hAnsi="宋体" w:eastAsia="宋体" w:cs="宋体"/>
                <w:b/>
                <w:bCs/>
                <w:color w:val="auto"/>
                <w:sz w:val="22"/>
                <w:highlight w:val="none"/>
              </w:rPr>
              <w:t xml:space="preserve">，不提供不得分）</w:t>
            </w:r>
            <w:r>
              <w:rPr>
                <w:rFonts w:hint="eastAsia" w:ascii="宋体" w:hAnsi="宋体" w:eastAsia="宋体" w:cs="宋体"/>
                <w:color w:val="auto"/>
                <w:sz w:val="22"/>
                <w:highlight w:val="none"/>
              </w:rPr>
              <w:t xml:space="preserve">。</w:t>
            </w:r>
            <w:r>
              <w:rPr>
                <w:color w:val="auto"/>
              </w:rPr>
            </w:r>
            <w:r/>
          </w:p>
        </w:tc>
      </w:tr>
      <w:tr>
        <w:trPr/>
        <w:tc>
          <w:tcPr>
            <w:tcW w:w="319" w:type="dxa"/>
            <w:vAlign w:val="center"/>
            <w:textDirection w:val="lrTb"/>
            <w:noWrap w:val="false"/>
          </w:tcPr>
          <w:p>
            <w:pPr>
              <w:pStyle w:val="895"/>
              <w:jc w:val="center"/>
              <w:spacing w:line="276" w:lineRule="auto"/>
              <w:rPr>
                <w:rFonts w:hint="eastAsia" w:ascii="宋体" w:hAnsi="宋体" w:eastAsia="宋体" w:cs="宋体"/>
                <w:color w:val="auto"/>
                <w:sz w:val="22"/>
                <w:szCs w:val="22"/>
                <w:highlight w:val="none"/>
              </w:rPr>
            </w:pPr>
            <w:r>
              <w:rPr>
                <w:rFonts w:hint="eastAsia" w:hAnsi="宋体" w:cs="宋体"/>
                <w:color w:val="auto"/>
                <w:sz w:val="22"/>
                <w:szCs w:val="22"/>
                <w:highlight w:val="none"/>
                <w:lang w:val="en-US" w:eastAsia="zh-CN"/>
              </w:rPr>
              <w:t xml:space="preserve">4</w:t>
            </w:r>
            <w:r>
              <w:rPr>
                <w:color w:val="auto"/>
              </w:rPr>
            </w:r>
            <w:r/>
          </w:p>
        </w:tc>
        <w:tc>
          <w:tcPr>
            <w:tcW w:w="776" w:type="dxa"/>
            <w:vAlign w:val="center"/>
            <w:textDirection w:val="lrTb"/>
            <w:noWrap w:val="false"/>
          </w:tcPr>
          <w:p>
            <w:pPr>
              <w:pStyle w:val="895"/>
              <w:jc w:val="center"/>
              <w:spacing w:line="276" w:lineRule="auto"/>
              <w:rPr>
                <w:rFonts w:ascii="宋体" w:hAnsi="宋体" w:eastAsia="宋体" w:cs="宋体"/>
                <w:color w:val="auto"/>
                <w:sz w:val="22"/>
                <w:szCs w:val="22"/>
                <w:highlight w:val="none"/>
              </w:rPr>
            </w:pPr>
            <w:r>
              <w:rPr>
                <w:rFonts w:hint="eastAsia" w:ascii="宋体" w:hAnsi="宋体" w:eastAsia="宋体" w:cs="Times New Roman"/>
                <w:bCs/>
                <w:color w:val="auto"/>
                <w:sz w:val="22"/>
                <w:szCs w:val="22"/>
                <w:highlight w:val="none"/>
              </w:rPr>
              <w:t xml:space="preserve">项目组成员</w:t>
            </w:r>
            <w:r>
              <w:rPr>
                <w:color w:val="auto"/>
              </w:rPr>
            </w:r>
            <w:r/>
          </w:p>
        </w:tc>
        <w:tc>
          <w:tcPr>
            <w:tcW w:w="372" w:type="dxa"/>
            <w:vAlign w:val="center"/>
            <w:textDirection w:val="lrTb"/>
            <w:noWrap w:val="false"/>
          </w:tcPr>
          <w:p>
            <w:pPr>
              <w:pStyle w:val="895"/>
              <w:jc w:val="center"/>
              <w:spacing w:line="276" w:lineRule="auto"/>
              <w:rPr>
                <w:rFonts w:ascii="宋体" w:hAnsi="宋体" w:eastAsia="宋体" w:cs="宋体"/>
                <w:color w:val="auto"/>
                <w:sz w:val="22"/>
                <w:szCs w:val="22"/>
                <w:highlight w:val="none"/>
              </w:rPr>
            </w:pPr>
            <w:r>
              <w:rPr>
                <w:rFonts w:hint="eastAsia" w:hAnsi="宋体" w:cs="Times New Roman"/>
                <w:bCs/>
                <w:color w:val="auto"/>
                <w:sz w:val="22"/>
                <w:szCs w:val="22"/>
                <w:highlight w:val="none"/>
                <w:lang w:val="en-US" w:eastAsia="zh-CN"/>
              </w:rPr>
              <w:t xml:space="preserve">8</w:t>
            </w:r>
            <w:r>
              <w:rPr>
                <w:rFonts w:hint="eastAsia" w:ascii="宋体" w:hAnsi="宋体" w:eastAsia="宋体" w:cs="Times New Roman"/>
                <w:bCs/>
                <w:color w:val="auto"/>
                <w:sz w:val="22"/>
                <w:szCs w:val="22"/>
                <w:highlight w:val="none"/>
              </w:rPr>
              <w:t xml:space="preserve">分</w:t>
            </w:r>
            <w:r>
              <w:rPr>
                <w:color w:val="auto"/>
              </w:rPr>
            </w:r>
            <w:r/>
          </w:p>
        </w:tc>
        <w:tc>
          <w:tcPr>
            <w:tcW w:w="3531" w:type="dxa"/>
            <w:vAlign w:val="center"/>
            <w:textDirection w:val="lrTb"/>
            <w:noWrap w:val="false"/>
          </w:tcPr>
          <w:p>
            <w:pPr>
              <w:pStyle w:val="895"/>
              <w:ind w:right="129"/>
              <w:jc w:val="left"/>
              <w:spacing w:line="276" w:lineRule="auto"/>
              <w:rPr>
                <w:rFonts w:hint="eastAsia" w:ascii="宋体" w:hAnsi="宋体" w:eastAsia="宋体" w:cs="Times New Roman"/>
                <w:b/>
                <w:bCs w:val="0"/>
                <w:color w:val="auto"/>
                <w:sz w:val="22"/>
                <w:szCs w:val="22"/>
                <w:highlight w:val="none"/>
              </w:rPr>
            </w:pPr>
            <w:r>
              <w:rPr>
                <w:rFonts w:hint="eastAsia" w:ascii="宋体" w:hAnsi="宋体" w:eastAsia="宋体" w:cs="Times New Roman"/>
                <w:bCs/>
                <w:color w:val="auto"/>
                <w:sz w:val="22"/>
                <w:szCs w:val="22"/>
                <w:highlight w:val="none"/>
                <w:lang w:val="en-US" w:eastAsia="zh-CN"/>
              </w:rPr>
              <w:t xml:space="preserve">1）</w:t>
            </w:r>
            <w:r>
              <w:rPr>
                <w:rFonts w:hint="eastAsia" w:ascii="宋体" w:hAnsi="宋体" w:eastAsia="宋体" w:cs="Times New Roman"/>
                <w:bCs/>
                <w:color w:val="auto"/>
                <w:sz w:val="22"/>
                <w:szCs w:val="22"/>
                <w:highlight w:val="none"/>
              </w:rPr>
              <w:t xml:space="preserve">拟投入本项目的项目养护人员具有中级及以上绿化技术工种（含花卉工、绿化工）证书的，每提供一个得</w:t>
            </w:r>
            <w:r>
              <w:rPr>
                <w:rFonts w:hint="eastAsia" w:ascii="宋体" w:hAnsi="宋体" w:eastAsia="宋体" w:cs="Times New Roman"/>
                <w:bCs/>
                <w:color w:val="auto"/>
                <w:sz w:val="22"/>
                <w:szCs w:val="22"/>
                <w:highlight w:val="none"/>
                <w:lang w:val="en-US" w:eastAsia="zh-CN"/>
              </w:rPr>
              <w:t xml:space="preserve">1</w:t>
            </w:r>
            <w:r>
              <w:rPr>
                <w:rFonts w:hint="eastAsia" w:ascii="宋体" w:hAnsi="宋体" w:eastAsia="宋体" w:cs="Times New Roman"/>
                <w:bCs/>
                <w:color w:val="auto"/>
                <w:sz w:val="22"/>
                <w:szCs w:val="22"/>
                <w:highlight w:val="none"/>
              </w:rPr>
              <w:t xml:space="preserve">分，本项最高得</w:t>
            </w:r>
            <w:r>
              <w:rPr>
                <w:rFonts w:hint="eastAsia" w:hAnsi="宋体" w:cs="Times New Roman"/>
                <w:bCs/>
                <w:color w:val="auto"/>
                <w:sz w:val="22"/>
                <w:szCs w:val="22"/>
                <w:highlight w:val="none"/>
                <w:lang w:val="en-US" w:eastAsia="zh-CN"/>
              </w:rPr>
              <w:t xml:space="preserve">6</w:t>
            </w:r>
            <w:r>
              <w:rPr>
                <w:rFonts w:hint="eastAsia" w:ascii="宋体" w:hAnsi="宋体" w:eastAsia="宋体" w:cs="Times New Roman"/>
                <w:bCs/>
                <w:color w:val="auto"/>
                <w:sz w:val="22"/>
                <w:szCs w:val="22"/>
                <w:highlight w:val="none"/>
              </w:rPr>
              <w:t xml:space="preserve">分。</w:t>
            </w:r>
            <w:r>
              <w:rPr>
                <w:rFonts w:hint="eastAsia" w:ascii="宋体" w:hAnsi="宋体" w:eastAsia="宋体" w:cs="Times New Roman"/>
                <w:b/>
                <w:bCs w:val="0"/>
                <w:color w:val="auto"/>
                <w:sz w:val="22"/>
                <w:szCs w:val="22"/>
                <w:highlight w:val="none"/>
                <w:lang w:eastAsia="zh-CN"/>
              </w:rPr>
              <w:t xml:space="preserve">（</w:t>
            </w:r>
            <w:r>
              <w:rPr>
                <w:rFonts w:hint="eastAsia" w:ascii="宋体" w:hAnsi="宋体" w:eastAsia="宋体" w:cs="Times New Roman"/>
                <w:b/>
                <w:bCs w:val="0"/>
                <w:color w:val="auto"/>
                <w:sz w:val="22"/>
                <w:szCs w:val="22"/>
                <w:highlight w:val="none"/>
              </w:rPr>
              <w:t xml:space="preserve">投标文件中提供相关证书原件扫描件上传至投标文件中，不提供或提供不全不得分</w:t>
            </w:r>
            <w:r>
              <w:rPr>
                <w:rFonts w:hint="eastAsia" w:ascii="宋体" w:hAnsi="宋体" w:eastAsia="宋体" w:cs="Times New Roman"/>
                <w:b/>
                <w:bCs w:val="0"/>
                <w:color w:val="auto"/>
                <w:sz w:val="22"/>
                <w:szCs w:val="22"/>
                <w:highlight w:val="none"/>
                <w:lang w:eastAsia="zh-CN"/>
              </w:rPr>
              <w:t xml:space="preserve">）</w:t>
            </w:r>
            <w:r>
              <w:rPr>
                <w:rFonts w:hint="eastAsia" w:hAnsi="宋体" w:cs="Times New Roman"/>
                <w:b/>
                <w:bCs w:val="0"/>
                <w:color w:val="auto"/>
                <w:sz w:val="22"/>
                <w:szCs w:val="22"/>
                <w:highlight w:val="none"/>
                <w:lang w:eastAsia="zh-CN"/>
              </w:rPr>
              <w:t xml:space="preserve">。</w:t>
            </w:r>
            <w:r>
              <w:rPr>
                <w:color w:val="auto"/>
              </w:rPr>
            </w:r>
            <w:r/>
          </w:p>
          <w:p>
            <w:pPr>
              <w:pStyle w:val="895"/>
              <w:ind w:right="129"/>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bCs/>
                <w:color w:val="auto"/>
                <w:sz w:val="22"/>
                <w:szCs w:val="22"/>
                <w:highlight w:val="none"/>
                <w:lang w:val="en-US" w:eastAsia="zh-CN"/>
              </w:rPr>
              <w:t xml:space="preserve">2）</w:t>
            </w:r>
            <w:r>
              <w:rPr>
                <w:rFonts w:hint="eastAsia" w:ascii="宋体" w:hAnsi="宋体" w:eastAsia="宋体" w:cs="Times New Roman"/>
                <w:bCs/>
                <w:color w:val="auto"/>
                <w:sz w:val="22"/>
                <w:szCs w:val="22"/>
                <w:highlight w:val="none"/>
              </w:rPr>
              <w:t xml:space="preserve">拟投入本项目的项目养护人员具有树木修剪上岗证</w:t>
            </w:r>
            <w:r>
              <w:rPr>
                <w:rFonts w:hint="eastAsia" w:hAnsi="宋体" w:cs="Times New Roman"/>
                <w:bCs/>
                <w:color w:val="auto"/>
                <w:sz w:val="22"/>
                <w:szCs w:val="22"/>
                <w:highlight w:val="none"/>
                <w:lang w:val="en-US" w:eastAsia="zh-CN"/>
              </w:rPr>
              <w:t xml:space="preserve">的</w:t>
            </w:r>
            <w:r>
              <w:rPr>
                <w:rFonts w:hint="eastAsia" w:ascii="宋体" w:hAnsi="宋体" w:eastAsia="宋体" w:cs="Times New Roman"/>
                <w:bCs/>
                <w:color w:val="auto"/>
                <w:sz w:val="22"/>
                <w:szCs w:val="22"/>
                <w:highlight w:val="none"/>
              </w:rPr>
              <w:t xml:space="preserve">，且上岗证通过年审，每提供一个得</w:t>
            </w:r>
            <w:r>
              <w:rPr>
                <w:rFonts w:hint="eastAsia" w:hAnsi="宋体" w:cs="Times New Roman"/>
                <w:bCs/>
                <w:color w:val="auto"/>
                <w:sz w:val="22"/>
                <w:szCs w:val="22"/>
                <w:highlight w:val="none"/>
                <w:lang w:val="en-US" w:eastAsia="zh-CN"/>
              </w:rPr>
              <w:t xml:space="preserve">1</w:t>
            </w:r>
            <w:r>
              <w:rPr>
                <w:rFonts w:hint="eastAsia" w:ascii="宋体" w:hAnsi="宋体" w:eastAsia="宋体" w:cs="Times New Roman"/>
                <w:bCs/>
                <w:color w:val="auto"/>
                <w:sz w:val="22"/>
                <w:szCs w:val="22"/>
                <w:highlight w:val="none"/>
              </w:rPr>
              <w:t xml:space="preserve">分，最高得</w:t>
            </w:r>
            <w:r>
              <w:rPr>
                <w:rFonts w:hint="eastAsia" w:hAnsi="宋体" w:cs="Times New Roman"/>
                <w:bCs/>
                <w:color w:val="auto"/>
                <w:sz w:val="22"/>
                <w:szCs w:val="22"/>
                <w:highlight w:val="none"/>
                <w:lang w:val="en-US" w:eastAsia="zh-CN"/>
              </w:rPr>
              <w:t xml:space="preserve">2</w:t>
            </w:r>
            <w:r>
              <w:rPr>
                <w:rFonts w:hint="eastAsia" w:ascii="宋体" w:hAnsi="宋体" w:eastAsia="宋体" w:cs="Times New Roman"/>
                <w:bCs/>
                <w:color w:val="auto"/>
                <w:sz w:val="22"/>
                <w:szCs w:val="22"/>
                <w:highlight w:val="none"/>
              </w:rPr>
              <w:t xml:space="preserve">分。</w:t>
            </w:r>
            <w:r>
              <w:rPr>
                <w:rFonts w:hint="eastAsia" w:ascii="宋体" w:hAnsi="宋体" w:eastAsia="宋体" w:cs="Times New Roman"/>
                <w:b/>
                <w:bCs w:val="0"/>
                <w:color w:val="auto"/>
                <w:sz w:val="22"/>
                <w:szCs w:val="22"/>
                <w:highlight w:val="none"/>
                <w:lang w:eastAsia="zh-CN"/>
              </w:rPr>
              <w:t xml:space="preserve">（</w:t>
            </w:r>
            <w:r>
              <w:rPr>
                <w:rFonts w:hint="eastAsia" w:ascii="宋体" w:hAnsi="宋体" w:eastAsia="宋体" w:cs="Times New Roman"/>
                <w:b/>
                <w:bCs w:val="0"/>
                <w:color w:val="auto"/>
                <w:sz w:val="22"/>
                <w:szCs w:val="22"/>
                <w:highlight w:val="none"/>
              </w:rPr>
              <w:t xml:space="preserve">投标文件中提供相关证书原件扫描件上传至投标文件中，不提供或提供不全不得分</w:t>
            </w:r>
            <w:r>
              <w:rPr>
                <w:rFonts w:hint="eastAsia" w:ascii="宋体" w:hAnsi="宋体" w:eastAsia="宋体" w:cs="Times New Roman"/>
                <w:b/>
                <w:bCs w:val="0"/>
                <w:color w:val="auto"/>
                <w:sz w:val="22"/>
                <w:szCs w:val="22"/>
                <w:highlight w:val="none"/>
                <w:lang w:eastAsia="zh-CN"/>
              </w:rPr>
              <w:t xml:space="preserve">）</w:t>
            </w:r>
            <w:r>
              <w:rPr>
                <w:color w:val="auto"/>
              </w:rPr>
            </w:r>
            <w:r/>
          </w:p>
          <w:p>
            <w:pPr>
              <w:pStyle w:val="895"/>
              <w:ind w:right="129"/>
              <w:jc w:val="left"/>
              <w:spacing w:line="276" w:lineRule="auto"/>
              <w:rPr>
                <w:rFonts w:ascii="宋体" w:hAnsi="宋体" w:eastAsia="宋体" w:cs="宋体"/>
                <w:color w:val="auto"/>
                <w:sz w:val="22"/>
                <w:szCs w:val="22"/>
                <w:highlight w:val="none"/>
              </w:rPr>
            </w:pPr>
            <w:r>
              <w:rPr>
                <w:rFonts w:hint="eastAsia" w:ascii="宋体" w:hAnsi="宋体" w:eastAsia="宋体" w:cs="Times New Roman"/>
                <w:b/>
                <w:bCs/>
                <w:color w:val="auto"/>
                <w:sz w:val="22"/>
                <w:szCs w:val="22"/>
                <w:highlight w:val="none"/>
              </w:rPr>
              <w:t xml:space="preserve">注：一人多证，不重复得分。投标文件中提供以上人员证书原件扫描件并签章，提供由区级及以上社保部门出具的</w:t>
            </w:r>
            <w:r>
              <w:rPr>
                <w:rFonts w:ascii="宋体" w:hAnsi="宋体" w:eastAsia="宋体" w:cs="Times New Roman"/>
                <w:b/>
                <w:bCs/>
                <w:color w:val="auto"/>
                <w:sz w:val="22"/>
                <w:szCs w:val="22"/>
                <w:highlight w:val="none"/>
              </w:rPr>
              <w:t xml:space="preserve">202</w:t>
            </w:r>
            <w:r>
              <w:rPr>
                <w:rFonts w:hint="eastAsia" w:ascii="宋体" w:hAnsi="宋体" w:eastAsia="宋体" w:cs="Times New Roman"/>
                <w:b/>
                <w:bCs/>
                <w:color w:val="auto"/>
                <w:sz w:val="22"/>
                <w:szCs w:val="22"/>
                <w:highlight w:val="none"/>
                <w:lang w:val="en-US" w:eastAsia="zh-CN"/>
              </w:rPr>
              <w:t xml:space="preserve">4</w:t>
            </w:r>
            <w:r>
              <w:rPr>
                <w:rFonts w:ascii="宋体" w:hAnsi="宋体" w:eastAsia="宋体" w:cs="Times New Roman"/>
                <w:b/>
                <w:bCs/>
                <w:color w:val="auto"/>
                <w:sz w:val="22"/>
                <w:szCs w:val="22"/>
                <w:highlight w:val="none"/>
              </w:rPr>
              <w:t xml:space="preserve">年</w:t>
            </w:r>
            <w:r>
              <w:rPr>
                <w:rFonts w:hint="eastAsia" w:ascii="宋体" w:hAnsi="宋体" w:eastAsia="宋体" w:cs="Times New Roman"/>
                <w:b/>
                <w:bCs/>
                <w:color w:val="auto"/>
                <w:sz w:val="22"/>
                <w:szCs w:val="22"/>
                <w:highlight w:val="none"/>
                <w:lang w:val="en-US" w:eastAsia="zh-CN"/>
              </w:rPr>
              <w:t xml:space="preserve">1</w:t>
            </w:r>
            <w:r>
              <w:rPr>
                <w:rFonts w:ascii="宋体" w:hAnsi="宋体" w:eastAsia="宋体" w:cs="Times New Roman"/>
                <w:b/>
                <w:bCs/>
                <w:color w:val="auto"/>
                <w:sz w:val="22"/>
                <w:szCs w:val="22"/>
                <w:highlight w:val="none"/>
              </w:rPr>
              <w:t xml:space="preserve">月-202</w:t>
            </w:r>
            <w:r>
              <w:rPr>
                <w:rFonts w:hint="eastAsia" w:ascii="宋体" w:hAnsi="宋体" w:eastAsia="宋体" w:cs="Times New Roman"/>
                <w:b/>
                <w:bCs/>
                <w:color w:val="auto"/>
                <w:sz w:val="22"/>
                <w:szCs w:val="22"/>
                <w:highlight w:val="none"/>
                <w:lang w:val="en-US" w:eastAsia="zh-CN"/>
              </w:rPr>
              <w:t xml:space="preserve">4</w:t>
            </w:r>
            <w:r>
              <w:rPr>
                <w:rFonts w:ascii="宋体" w:hAnsi="宋体" w:eastAsia="宋体" w:cs="Times New Roman"/>
                <w:b/>
                <w:bCs/>
                <w:color w:val="auto"/>
                <w:sz w:val="22"/>
                <w:szCs w:val="22"/>
                <w:highlight w:val="none"/>
              </w:rPr>
              <w:t xml:space="preserve">年</w:t>
            </w:r>
            <w:r>
              <w:rPr>
                <w:rFonts w:hint="eastAsia" w:ascii="宋体" w:hAnsi="宋体" w:eastAsia="宋体" w:cs="Times New Roman"/>
                <w:b/>
                <w:bCs/>
                <w:color w:val="auto"/>
                <w:sz w:val="22"/>
                <w:szCs w:val="22"/>
                <w:highlight w:val="none"/>
                <w:lang w:val="en-US" w:eastAsia="zh-CN"/>
              </w:rPr>
              <w:t xml:space="preserve">3</w:t>
            </w:r>
            <w:r>
              <w:rPr>
                <w:rFonts w:ascii="宋体" w:hAnsi="宋体" w:eastAsia="宋体" w:cs="Times New Roman"/>
                <w:b/>
                <w:bCs/>
                <w:color w:val="auto"/>
                <w:sz w:val="22"/>
                <w:szCs w:val="22"/>
                <w:highlight w:val="none"/>
              </w:rPr>
              <w:t xml:space="preserve">月的供应商为其缴纳的社保缴费证明，社保缴费证明必须提交带有社保部门红章或含有县(区)级及以上社保部门电子签章或带二维码验证的扫描件，不提供或提供不全均不得分</w:t>
            </w:r>
            <w:r>
              <w:rPr>
                <w:rFonts w:hint="eastAsia" w:ascii="宋体" w:hAnsi="宋体" w:eastAsia="宋体" w:cs="Times New Roman"/>
                <w:b/>
                <w:bCs/>
                <w:color w:val="auto"/>
                <w:sz w:val="22"/>
                <w:szCs w:val="22"/>
                <w:highlight w:val="none"/>
              </w:rPr>
              <w:t xml:space="preserve">。</w:t>
            </w:r>
            <w:r>
              <w:rPr>
                <w:color w:val="auto"/>
              </w:rPr>
            </w:r>
            <w:r/>
          </w:p>
        </w:tc>
      </w:tr>
      <w:tr>
        <w:trPr/>
        <w:tc>
          <w:tcPr>
            <w:tcW w:w="319" w:type="dxa"/>
            <w:vAlign w:val="center"/>
            <w:textDirection w:val="lrTb"/>
            <w:noWrap w:val="false"/>
          </w:tcPr>
          <w:p>
            <w:pPr>
              <w:pStyle w:val="895"/>
              <w:jc w:val="center"/>
              <w:spacing w:line="276" w:lineRule="auto"/>
              <w:rPr>
                <w:rFonts w:hint="eastAsia" w:ascii="宋体" w:hAnsi="宋体" w:eastAsia="宋体" w:cs="Times New Roman"/>
                <w:b/>
                <w:bCs/>
                <w:color w:val="auto"/>
                <w:sz w:val="22"/>
                <w:szCs w:val="22"/>
                <w:highlight w:val="none"/>
              </w:rPr>
            </w:pPr>
            <w:r>
              <w:rPr>
                <w:rFonts w:hint="eastAsia" w:hAnsi="宋体" w:cs="Times New Roman"/>
                <w:color w:val="auto"/>
                <w:sz w:val="22"/>
                <w:szCs w:val="22"/>
                <w:highlight w:val="none"/>
                <w:lang w:val="en-US" w:eastAsia="zh-CN"/>
              </w:rPr>
              <w:t xml:space="preserve">5</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Calibri" w:hAnsi="宋体" w:eastAsia="宋体" w:cs="华文仿宋"/>
                <w:bCs/>
                <w:color w:val="auto"/>
                <w:sz w:val="22"/>
                <w:szCs w:val="24"/>
                <w:highlight w:val="none"/>
              </w:rPr>
              <w:t xml:space="preserve">养护机械设备</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
                <w:bCs/>
                <w:color w:val="auto"/>
                <w:sz w:val="22"/>
                <w:szCs w:val="22"/>
                <w:highlight w:val="none"/>
              </w:rPr>
            </w:pPr>
            <w:r>
              <w:rPr>
                <w:rFonts w:hint="eastAsia" w:ascii="宋体" w:hAnsi="宋体" w:eastAsia="宋体" w:cs="Times New Roman"/>
                <w:color w:val="auto"/>
                <w:sz w:val="21"/>
                <w:szCs w:val="21"/>
                <w:highlight w:val="none"/>
                <w:lang w:val="en-US" w:eastAsia="zh-CN"/>
              </w:rPr>
              <w:t xml:space="preserve">1</w:t>
            </w:r>
            <w:r>
              <w:rPr>
                <w:rFonts w:hint="eastAsia"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分</w:t>
            </w:r>
            <w:r>
              <w:rPr>
                <w:color w:val="auto"/>
              </w:rPr>
            </w:r>
            <w:r/>
          </w:p>
        </w:tc>
        <w:tc>
          <w:tcPr>
            <w:tcW w:w="3531" w:type="dxa"/>
            <w:vAlign w:val="top"/>
            <w:textDirection w:val="lrTb"/>
            <w:noWrap w:val="false"/>
          </w:tcPr>
          <w:p>
            <w:pPr>
              <w:pStyle w:val="895"/>
              <w:jc w:val="left"/>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1）投标供应商针对本项目拟投入一辆专业高空作业车</w:t>
            </w:r>
            <w:r>
              <w:rPr>
                <w:rFonts w:hint="eastAsia" w:ascii="宋体" w:hAnsi="宋体" w:eastAsia="宋体" w:cs="Times New Roman"/>
                <w:color w:val="auto"/>
                <w:sz w:val="22"/>
                <w:szCs w:val="22"/>
                <w:highlight w:val="none"/>
                <w:lang w:val="en-US" w:eastAsia="zh-CN"/>
              </w:rPr>
              <w:t xml:space="preserve">(作业高度达10米及以上且折臂可360度旋转</w:t>
            </w:r>
            <w:r>
              <w:rPr>
                <w:rFonts w:hint="eastAsia" w:ascii="宋体" w:hAnsi="宋体" w:eastAsia="宋体" w:cs="Times New Roman"/>
                <w:color w:val="auto"/>
                <w:sz w:val="22"/>
                <w:szCs w:val="22"/>
                <w:highlight w:val="none"/>
                <w:lang w:val="en-US" w:eastAsia="zh-CN"/>
              </w:rPr>
              <w:t xml:space="preserve">)</w:t>
            </w:r>
            <w:r>
              <w:rPr>
                <w:rFonts w:hint="eastAsia" w:ascii="宋体" w:hAnsi="宋体" w:eastAsia="宋体" w:cs="Times New Roman"/>
                <w:color w:val="auto"/>
                <w:sz w:val="22"/>
                <w:szCs w:val="22"/>
                <w:highlight w:val="none"/>
              </w:rPr>
              <w:t xml:space="preserve">（自有或租赁），</w:t>
            </w:r>
            <w:r>
              <w:rPr>
                <w:rFonts w:hint="eastAsia" w:ascii="宋体" w:hAnsi="宋体" w:eastAsia="宋体" w:cs="Times New Roman"/>
                <w:color w:val="auto"/>
                <w:sz w:val="22"/>
                <w:szCs w:val="22"/>
                <w:highlight w:val="none"/>
                <w:lang w:val="en-US" w:eastAsia="zh-CN"/>
              </w:rPr>
              <w:t xml:space="preserve">有一辆</w:t>
            </w:r>
            <w:r>
              <w:rPr>
                <w:rFonts w:hint="eastAsia" w:ascii="宋体" w:hAnsi="宋体" w:eastAsia="宋体" w:cs="Times New Roman"/>
                <w:color w:val="auto"/>
                <w:sz w:val="22"/>
                <w:szCs w:val="22"/>
                <w:highlight w:val="none"/>
              </w:rPr>
              <w:t xml:space="preserve">得2分</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最高得4分</w:t>
            </w:r>
            <w:r>
              <w:rPr>
                <w:rFonts w:hint="eastAsia" w:ascii="宋体" w:hAnsi="宋体" w:eastAsia="宋体" w:cs="Times New Roman"/>
                <w:color w:val="auto"/>
                <w:sz w:val="22"/>
                <w:szCs w:val="22"/>
                <w:highlight w:val="none"/>
              </w:rPr>
              <w:t xml:space="preserve">；</w:t>
            </w:r>
            <w:r>
              <w:rPr>
                <w:color w:val="auto"/>
              </w:rPr>
            </w:r>
            <w:r/>
          </w:p>
          <w:p>
            <w:pPr>
              <w:pStyle w:val="895"/>
              <w:jc w:val="left"/>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2）投标供应商针对本项目拟投入一辆多功能抑尘车</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核定载质量不小于7吨，静风水平有效射程不小于50米</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（自有或租赁），</w:t>
            </w:r>
            <w:r>
              <w:rPr>
                <w:rFonts w:hint="eastAsia" w:ascii="宋体" w:hAnsi="宋体" w:eastAsia="宋体" w:cs="Times New Roman"/>
                <w:color w:val="auto"/>
                <w:sz w:val="22"/>
                <w:szCs w:val="22"/>
                <w:highlight w:val="none"/>
                <w:lang w:val="en-US" w:eastAsia="zh-CN"/>
              </w:rPr>
              <w:t xml:space="preserve">有一辆</w:t>
            </w:r>
            <w:r>
              <w:rPr>
                <w:rFonts w:hint="eastAsia" w:ascii="宋体" w:hAnsi="宋体" w:eastAsia="宋体" w:cs="Times New Roman"/>
                <w:color w:val="auto"/>
                <w:sz w:val="22"/>
                <w:szCs w:val="22"/>
                <w:highlight w:val="none"/>
              </w:rPr>
              <w:t xml:space="preserve">得得2分</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最高得4分</w:t>
            </w:r>
            <w:r>
              <w:rPr>
                <w:rFonts w:hint="eastAsia" w:ascii="宋体" w:hAnsi="宋体" w:eastAsia="宋体" w:cs="Times New Roman"/>
                <w:color w:val="auto"/>
                <w:sz w:val="22"/>
                <w:szCs w:val="22"/>
                <w:highlight w:val="none"/>
              </w:rPr>
              <w:t xml:space="preserve">；</w:t>
            </w:r>
            <w:r>
              <w:rPr>
                <w:color w:val="auto"/>
              </w:rPr>
            </w:r>
            <w:r/>
          </w:p>
          <w:p>
            <w:pPr>
              <w:pStyle w:val="895"/>
              <w:jc w:val="left"/>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3）投标供应商</w:t>
            </w:r>
            <w:r>
              <w:rPr>
                <w:rFonts w:hint="eastAsia" w:hAnsi="宋体" w:cs="Times New Roman"/>
                <w:color w:val="auto"/>
                <w:sz w:val="22"/>
                <w:szCs w:val="22"/>
                <w:highlight w:val="none"/>
                <w:lang w:val="en-US" w:eastAsia="zh-CN"/>
              </w:rPr>
              <w:t xml:space="preserve">针对本项目</w:t>
            </w:r>
            <w:r>
              <w:rPr>
                <w:rFonts w:hint="eastAsia" w:ascii="宋体" w:hAnsi="宋体" w:eastAsia="宋体" w:cs="Times New Roman"/>
                <w:color w:val="auto"/>
                <w:sz w:val="22"/>
                <w:szCs w:val="22"/>
                <w:highlight w:val="none"/>
              </w:rPr>
              <w:t xml:space="preserve">配备割灌机、绿篱机、草坪机、打药机、打孔机，配备齐全的得</w:t>
            </w:r>
            <w:r>
              <w:rPr>
                <w:rFonts w:hint="eastAsia"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分，缺任意一种设备均不得分。</w:t>
            </w:r>
            <w:r>
              <w:rPr>
                <w:color w:val="auto"/>
              </w:rPr>
            </w:r>
            <w:r/>
          </w:p>
          <w:p>
            <w:pPr>
              <w:pStyle w:val="895"/>
              <w:jc w:val="left"/>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4）投标供应商拟投入本项目的水车（核载量不小于</w:t>
            </w:r>
            <w:r>
              <w:rPr>
                <w:rFonts w:hint="eastAsia" w:ascii="宋体" w:hAnsi="宋体" w:eastAsia="宋体" w:cs="Times New Roman"/>
                <w:color w:val="auto"/>
                <w:sz w:val="22"/>
                <w:szCs w:val="22"/>
                <w:highlight w:val="none"/>
                <w:lang w:val="en-US" w:eastAsia="zh-CN"/>
              </w:rPr>
              <w:t xml:space="preserve">9</w:t>
            </w:r>
            <w:r>
              <w:rPr>
                <w:rFonts w:hint="eastAsia" w:ascii="宋体" w:hAnsi="宋体" w:eastAsia="宋体" w:cs="Times New Roman"/>
                <w:color w:val="auto"/>
                <w:sz w:val="22"/>
                <w:szCs w:val="22"/>
                <w:highlight w:val="none"/>
              </w:rPr>
              <w:t xml:space="preserve">吨</w:t>
            </w:r>
            <w:r>
              <w:rPr>
                <w:rFonts w:hint="eastAsia" w:ascii="宋体" w:hAnsi="宋体" w:eastAsia="宋体" w:cs="Times New Roman"/>
                <w:color w:val="auto"/>
                <w:sz w:val="22"/>
                <w:szCs w:val="22"/>
                <w:highlight w:val="none"/>
              </w:rPr>
              <w:t xml:space="preserve">）（自有或租赁）每辆得2分，最高得6分。 </w:t>
            </w:r>
            <w:r>
              <w:rPr>
                <w:color w:val="auto"/>
              </w:rPr>
            </w:r>
            <w:r/>
          </w:p>
          <w:p>
            <w:pPr>
              <w:pStyle w:val="895"/>
              <w:jc w:val="left"/>
              <w:spacing w:line="276" w:lineRule="auto"/>
              <w:rPr>
                <w:rFonts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注：投标文件中以上车辆，需提供发票（发票上购买方名称须与供应商名称一致）、行驶证（车辆行驶证上的所有人名称必须与供应商名称一致）；租赁车辆需提供①出租方的车辆行驶证、②有效期内的车辆租赁协议、③租赁费发票（发票上租赁方名称须与供应商名称一致）。以上所有资料提供原件扫描件并签章，不提供或提供不全均不得分。</w:t>
            </w:r>
            <w:r>
              <w:rPr>
                <w:color w:val="auto"/>
              </w:rPr>
            </w:r>
            <w:r/>
          </w:p>
        </w:tc>
      </w:tr>
      <w:tr>
        <w:trPr/>
        <w:tc>
          <w:tcPr>
            <w:gridSpan w:val="4"/>
            <w:tcW w:w="10745" w:type="dxa"/>
            <w:vAlign w:val="center"/>
            <w:textDirection w:val="lrTb"/>
            <w:noWrap w:val="false"/>
          </w:tcPr>
          <w:p>
            <w:pPr>
              <w:pStyle w:val="895"/>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b/>
                <w:bCs/>
                <w:color w:val="auto"/>
                <w:sz w:val="22"/>
                <w:szCs w:val="22"/>
                <w:highlight w:val="none"/>
              </w:rPr>
              <w:t xml:space="preserve">（三）技术分（</w:t>
            </w:r>
            <w:r>
              <w:rPr>
                <w:rFonts w:ascii="宋体" w:hAnsi="宋体" w:eastAsia="宋体" w:cs="Times New Roman"/>
                <w:b/>
                <w:bCs/>
                <w:color w:val="auto"/>
                <w:sz w:val="22"/>
                <w:szCs w:val="22"/>
                <w:highlight w:val="none"/>
              </w:rPr>
              <w:t xml:space="preserve">40</w:t>
            </w:r>
            <w:r>
              <w:rPr>
                <w:rFonts w:hint="eastAsia" w:ascii="宋体" w:hAnsi="宋体" w:eastAsia="宋体" w:cs="Times New Roman"/>
                <w:b/>
                <w:bCs/>
                <w:color w:val="auto"/>
                <w:sz w:val="22"/>
                <w:szCs w:val="22"/>
                <w:highlight w:val="none"/>
              </w:rPr>
              <w:t xml:space="preserve">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1</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绿化养护作业方案</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1</w:t>
            </w:r>
            <w:r>
              <w:rPr>
                <w:rFonts w:ascii="宋体" w:hAnsi="宋体" w:eastAsia="宋体" w:cs="Times New Roman"/>
                <w:color w:val="auto"/>
                <w:sz w:val="22"/>
                <w:szCs w:val="22"/>
                <w:highlight w:val="none"/>
              </w:rPr>
              <w:t xml:space="preserve">2</w:t>
            </w:r>
            <w:r>
              <w:rPr>
                <w:rFonts w:hint="eastAsia" w:ascii="宋体" w:hAnsi="宋体" w:eastAsia="宋体" w:cs="Times New Roman"/>
                <w:color w:val="auto"/>
                <w:sz w:val="22"/>
                <w:szCs w:val="22"/>
                <w:highlight w:val="none"/>
              </w:rPr>
              <w:t xml:space="preserve">分</w:t>
            </w:r>
            <w:r>
              <w:rPr>
                <w:color w:val="auto"/>
              </w:rPr>
            </w:r>
            <w:r/>
          </w:p>
        </w:tc>
        <w:tc>
          <w:tcPr>
            <w:tcW w:w="3531" w:type="dxa"/>
            <w:vAlign w:val="center"/>
            <w:textDirection w:val="lrTb"/>
            <w:noWrap w:val="false"/>
          </w:tcPr>
          <w:p>
            <w:pPr>
              <w:pStyle w:val="895"/>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1"/>
                <w:szCs w:val="21"/>
                <w:highlight w:val="none"/>
              </w:rPr>
              <w:t xml:space="preserve">包括：①养护计划、作业规范；②养护管理制度和养护管理档案；③专项养护方案；④园林绿化废弃物处置方案。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ascii="宋体" w:hAnsi="宋体" w:eastAsia="宋体" w:cs="Times New Roman"/>
                <w:color w:val="auto"/>
                <w:sz w:val="21"/>
                <w:szCs w:val="21"/>
                <w:highlight w:val="none"/>
              </w:rPr>
              <w:t xml:space="preserve">12</w:t>
            </w:r>
            <w:r>
              <w:rPr>
                <w:rFonts w:hint="eastAsia" w:ascii="宋体" w:hAnsi="宋体" w:eastAsia="宋体" w:cs="Times New Roman"/>
                <w:color w:val="auto"/>
                <w:sz w:val="21"/>
                <w:szCs w:val="21"/>
                <w:highlight w:val="none"/>
              </w:rPr>
              <w:t xml:space="preserve">分，每缺少一条内容或内容存在不能满足采购需求，或存在逻辑错误、前后矛盾，或存在违反现行相关规范的，该条不得分。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2</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养护任务实施的重点难点及解决方案</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w:t>
            </w:r>
            <w:r>
              <w:rPr>
                <w:color w:val="auto"/>
              </w:rPr>
            </w:r>
            <w:r/>
          </w:p>
        </w:tc>
        <w:tc>
          <w:tcPr>
            <w:tcW w:w="3531" w:type="dxa"/>
            <w:vAlign w:val="center"/>
            <w:textDirection w:val="lrTb"/>
            <w:noWrap w:val="false"/>
          </w:tcPr>
          <w:p>
            <w:pPr>
              <w:pStyle w:val="895"/>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包括：①普通（二级）作业标准养护区域；②精品（一级）作业标准养护区域。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分，每缺少一条内容或内容存在不能满足采购需求，或存在逻辑错误、前后矛盾，或存在违反现行相关规范的，该条不得分。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3</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精细化管理提升方案</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6分</w:t>
            </w:r>
            <w:r>
              <w:rPr>
                <w:color w:val="auto"/>
              </w:rPr>
            </w:r>
            <w:r/>
          </w:p>
        </w:tc>
        <w:tc>
          <w:tcPr>
            <w:tcW w:w="3531" w:type="dxa"/>
            <w:vAlign w:val="center"/>
            <w:textDirection w:val="lrTb"/>
            <w:noWrap w:val="false"/>
          </w:tcPr>
          <w:p>
            <w:pPr>
              <w:pStyle w:val="895"/>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包括：①提升原则、提升目标；②提升方法、实施步骤。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分，每缺少一条内容或内容存在不能满足采购需求，或存在逻辑错误、前后矛盾，或存在违反现行相关规范的，该条不得分。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4</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color w:val="auto"/>
                <w:sz w:val="22"/>
                <w:szCs w:val="22"/>
                <w:highlight w:val="none"/>
              </w:rPr>
            </w:pPr>
            <w:r>
              <w:rPr>
                <w:rFonts w:hint="eastAsia" w:ascii="宋体" w:hAnsi="宋体" w:eastAsia="宋体" w:cs="宋体"/>
                <w:color w:val="auto"/>
                <w:spacing w:val="-8"/>
                <w:sz w:val="21"/>
                <w:szCs w:val="21"/>
                <w:highlight w:val="none"/>
              </w:rPr>
              <w:t xml:space="preserve">内部管理架构</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w:t>
            </w:r>
            <w:r>
              <w:rPr>
                <w:color w:val="auto"/>
              </w:rPr>
            </w:r>
            <w:r/>
          </w:p>
        </w:tc>
        <w:tc>
          <w:tcPr>
            <w:tcW w:w="3531" w:type="dxa"/>
            <w:vAlign w:val="center"/>
            <w:textDirection w:val="lrTb"/>
            <w:noWrap w:val="false"/>
          </w:tcPr>
          <w:p>
            <w:pPr>
              <w:pStyle w:val="895"/>
              <w:jc w:val="left"/>
              <w:spacing w:line="276"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包括：①人员组织、分工、责任制度；②日常考核、激励考核机制、监督机制。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分，每缺少一条内容或内容存在不能满足采购需求，或存在逻辑错误、前后矛盾，或存在违反现行相关规范的，该条不得分。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5</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快速保障应急措施方案</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w:t>
            </w:r>
            <w:r>
              <w:rPr>
                <w:color w:val="auto"/>
              </w:rPr>
            </w:r>
            <w:r/>
          </w:p>
        </w:tc>
        <w:tc>
          <w:tcPr>
            <w:tcW w:w="3531" w:type="dxa"/>
            <w:vAlign w:val="center"/>
            <w:textDirection w:val="lrTb"/>
            <w:noWrap w:val="false"/>
          </w:tcPr>
          <w:p>
            <w:pPr>
              <w:pStyle w:val="895"/>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包括：①灾害性天气（防汛、防冻、防雪）、养护防护应急措施、交通应急措施；②重大活动、各类创建活动、重大事故的快速处理预案。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ascii="宋体" w:hAnsi="宋体" w:eastAsia="宋体" w:cs="Times New Roman"/>
                <w:color w:val="auto"/>
                <w:sz w:val="22"/>
                <w:szCs w:val="22"/>
                <w:highlight w:val="none"/>
              </w:rPr>
              <w:t xml:space="preserve">6</w:t>
            </w:r>
            <w:r>
              <w:rPr>
                <w:rFonts w:hint="eastAsia" w:ascii="宋体" w:hAnsi="宋体" w:eastAsia="宋体" w:cs="Times New Roman"/>
                <w:color w:val="auto"/>
                <w:sz w:val="22"/>
                <w:szCs w:val="22"/>
                <w:highlight w:val="none"/>
              </w:rPr>
              <w:t xml:space="preserve">分，每缺少一条内容或内容存在不能满足采购需求，或存在逻辑错误、前后矛盾，或存在违反现行相关规范的，该条不得分。</w:t>
            </w:r>
            <w:r>
              <w:rPr>
                <w:color w:val="auto"/>
              </w:rPr>
            </w:r>
            <w:r/>
          </w:p>
        </w:tc>
      </w:tr>
      <w:tr>
        <w:trPr/>
        <w:tc>
          <w:tcPr>
            <w:tcW w:w="319"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6</w:t>
            </w:r>
            <w:r>
              <w:rPr>
                <w:color w:val="auto"/>
              </w:rPr>
            </w:r>
            <w:r/>
          </w:p>
        </w:tc>
        <w:tc>
          <w:tcPr>
            <w:tcW w:w="776"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安全文明保障措施方案</w:t>
            </w:r>
            <w:r>
              <w:rPr>
                <w:color w:val="auto"/>
              </w:rPr>
            </w:r>
            <w:r/>
          </w:p>
        </w:tc>
        <w:tc>
          <w:tcPr>
            <w:tcW w:w="372" w:type="dxa"/>
            <w:vAlign w:val="center"/>
            <w:textDirection w:val="lrTb"/>
            <w:noWrap w:val="false"/>
          </w:tcPr>
          <w:p>
            <w:pPr>
              <w:pStyle w:val="895"/>
              <w:jc w:val="center"/>
              <w:spacing w:line="276" w:lineRule="auto"/>
              <w:rPr>
                <w:rFonts w:ascii="宋体" w:hAnsi="宋体" w:eastAsia="宋体" w:cs="Times New Roman"/>
                <w:bCs/>
                <w:color w:val="auto"/>
                <w:sz w:val="22"/>
                <w:szCs w:val="22"/>
                <w:highlight w:val="none"/>
              </w:rPr>
            </w:pPr>
            <w:r>
              <w:rPr>
                <w:rFonts w:ascii="宋体" w:hAnsi="宋体" w:eastAsia="宋体" w:cs="Times New Roman"/>
                <w:color w:val="auto"/>
                <w:sz w:val="22"/>
                <w:szCs w:val="22"/>
                <w:highlight w:val="none"/>
              </w:rPr>
              <w:t xml:space="preserve">4</w:t>
            </w:r>
            <w:r>
              <w:rPr>
                <w:rFonts w:hint="eastAsia" w:ascii="宋体" w:hAnsi="宋体" w:eastAsia="宋体" w:cs="Times New Roman"/>
                <w:color w:val="auto"/>
                <w:sz w:val="22"/>
                <w:szCs w:val="22"/>
                <w:highlight w:val="none"/>
              </w:rPr>
              <w:t xml:space="preserve">分</w:t>
            </w:r>
            <w:r>
              <w:rPr>
                <w:color w:val="auto"/>
              </w:rPr>
            </w:r>
            <w:r/>
          </w:p>
        </w:tc>
        <w:tc>
          <w:tcPr>
            <w:tcW w:w="3531" w:type="dxa"/>
            <w:vAlign w:val="center"/>
            <w:textDirection w:val="lrTb"/>
            <w:noWrap w:val="false"/>
          </w:tcPr>
          <w:p>
            <w:pPr>
              <w:pStyle w:val="895"/>
              <w:jc w:val="left"/>
              <w:spacing w:line="276" w:lineRule="auto"/>
              <w:rPr>
                <w:rFonts w:ascii="宋体" w:hAnsi="宋体" w:eastAsia="宋体" w:cs="Times New Roman"/>
                <w:bCs/>
                <w:color w:val="auto"/>
                <w:sz w:val="22"/>
                <w:szCs w:val="22"/>
                <w:highlight w:val="none"/>
              </w:rPr>
            </w:pPr>
            <w:r>
              <w:rPr>
                <w:rFonts w:hint="eastAsia" w:ascii="宋体" w:hAnsi="宋体" w:eastAsia="宋体" w:cs="Times New Roman"/>
                <w:color w:val="auto"/>
                <w:sz w:val="22"/>
                <w:szCs w:val="22"/>
                <w:highlight w:val="none"/>
              </w:rPr>
              <w:t xml:space="preserve">包括：①安全养护指导思想、各类安全防护措施；②安全文明制度、安全教育制度。投标供应商须针对每条内容进行阐述，阐述内容须满足采购需求。内容详实、需求贴合度高且条理清晰的该条得</w:t>
            </w:r>
            <w:r>
              <w:rPr>
                <w:rFonts w:ascii="宋体" w:hAnsi="宋体" w:eastAsia="宋体" w:cs="Times New Roman"/>
                <w:color w:val="auto"/>
                <w:sz w:val="22"/>
                <w:szCs w:val="22"/>
                <w:highlight w:val="none"/>
              </w:rPr>
              <w:t xml:space="preserve">2</w:t>
            </w:r>
            <w:r>
              <w:rPr>
                <w:rFonts w:hint="eastAsia" w:ascii="宋体" w:hAnsi="宋体" w:eastAsia="宋体" w:cs="Times New Roman"/>
                <w:color w:val="auto"/>
                <w:sz w:val="22"/>
                <w:szCs w:val="22"/>
                <w:highlight w:val="none"/>
              </w:rPr>
              <w:t xml:space="preserve">分；内容粗略、无针对性、基本满足采购需求的该条得1分。本项最高得</w:t>
            </w:r>
            <w:r>
              <w:rPr>
                <w:rFonts w:ascii="宋体" w:hAnsi="宋体" w:eastAsia="宋体" w:cs="Times New Roman"/>
                <w:color w:val="auto"/>
                <w:sz w:val="22"/>
                <w:szCs w:val="22"/>
                <w:highlight w:val="none"/>
              </w:rPr>
              <w:t xml:space="preserve">4</w:t>
            </w:r>
            <w:r>
              <w:rPr>
                <w:rFonts w:hint="eastAsia" w:ascii="宋体" w:hAnsi="宋体" w:eastAsia="宋体" w:cs="Times New Roman"/>
                <w:color w:val="auto"/>
                <w:sz w:val="22"/>
                <w:szCs w:val="22"/>
                <w:highlight w:val="none"/>
              </w:rPr>
              <w:t xml:space="preserve">分，每缺少一条内容或内容存在不能满足采购需求，或存在逻辑错误、前后矛盾，或存在违反现行相关规范的，该条不得分。</w:t>
            </w:r>
            <w:r>
              <w:rPr>
                <w:color w:val="auto"/>
              </w:rPr>
            </w:r>
            <w:r/>
          </w:p>
        </w:tc>
      </w:tr>
    </w:tbl>
    <w:p>
      <w:pPr>
        <w:pStyle w:val="895"/>
        <w:rPr>
          <w:color w:val="auto"/>
          <w:highlight w:val="none"/>
        </w:rPr>
      </w:pPr>
      <w:r>
        <w:rPr>
          <w:color w:val="auto"/>
          <w:highlight w:val="none"/>
        </w:rPr>
      </w:r>
      <w:r>
        <w:rPr>
          <w:color w:val="auto"/>
        </w:rPr>
      </w:r>
      <w:r/>
    </w:p>
    <w:p>
      <w:pPr>
        <w:pStyle w:val="895"/>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rPr>
          <w:color w:val="auto"/>
        </w:rPr>
      </w:r>
      <w:r/>
    </w:p>
    <w:p>
      <w:pPr>
        <w:pStyle w:val="895"/>
        <w:rPr>
          <w:rFonts w:ascii="黑体" w:eastAsia="黑体"/>
          <w:bCs/>
          <w:color w:val="auto"/>
          <w:sz w:val="32"/>
          <w:highlight w:val="none"/>
        </w:rPr>
      </w:pPr>
      <w:r>
        <w:rPr>
          <w:rFonts w:ascii="黑体" w:eastAsia="黑体"/>
          <w:bCs/>
          <w:color w:val="auto"/>
          <w:sz w:val="32"/>
          <w:highlight w:val="none"/>
        </w:rPr>
      </w:r>
      <w:r>
        <w:rPr>
          <w:color w:val="auto"/>
        </w:rPr>
      </w:r>
      <w:r/>
    </w:p>
    <w:p>
      <w:pPr>
        <w:pStyle w:val="895"/>
        <w:rPr>
          <w:rFonts w:ascii="黑体" w:eastAsia="黑体"/>
          <w:bCs/>
          <w:color w:val="auto"/>
          <w:sz w:val="32"/>
          <w:highlight w:val="none"/>
        </w:rPr>
      </w:pPr>
      <w:r>
        <w:rPr>
          <w:rFonts w:ascii="黑体" w:eastAsia="黑体"/>
          <w:bCs/>
          <w:color w:val="auto"/>
          <w:sz w:val="32"/>
          <w:highlight w:val="none"/>
        </w:rPr>
      </w:r>
      <w:r>
        <w:rPr>
          <w:color w:val="auto"/>
        </w:rPr>
      </w:r>
      <w:r/>
    </w:p>
    <w:p>
      <w:pPr>
        <w:pStyle w:val="895"/>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rPr>
          <w:color w:val="auto"/>
        </w:rPr>
      </w:r>
      <w:r/>
    </w:p>
    <w:p>
      <w:pPr>
        <w:pStyle w:val="895"/>
        <w:jc w:val="center"/>
        <w:rPr>
          <w:rFonts w:ascii="黑体" w:eastAsia="黑体"/>
          <w:bCs/>
          <w:color w:val="auto"/>
          <w:sz w:val="72"/>
          <w:highlight w:val="none"/>
        </w:rPr>
      </w:pPr>
      <w:r>
        <w:rPr>
          <w:rFonts w:ascii="黑体" w:eastAsia="黑体"/>
          <w:bCs/>
          <w:color w:val="auto"/>
          <w:sz w:val="72"/>
          <w:highlight w:val="none"/>
        </w:rPr>
      </w:r>
      <w:r>
        <w:rPr>
          <w:color w:val="auto"/>
        </w:rPr>
      </w:r>
      <w:r/>
    </w:p>
    <w:p>
      <w:pPr>
        <w:pStyle w:val="895"/>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rPr>
          <w:color w:val="auto"/>
        </w:rPr>
      </w:r>
      <w:r/>
    </w:p>
    <w:p>
      <w:pPr>
        <w:pStyle w:val="895"/>
        <w:jc w:val="center"/>
        <w:rPr>
          <w:rFonts w:ascii="黑体" w:eastAsia="黑体"/>
          <w:bCs/>
          <w:color w:val="auto"/>
          <w:sz w:val="72"/>
          <w:highlight w:val="none"/>
        </w:rPr>
      </w:pPr>
      <w:r>
        <w:rPr>
          <w:rFonts w:ascii="黑体" w:eastAsia="黑体"/>
          <w:bCs/>
          <w:color w:val="auto"/>
          <w:sz w:val="72"/>
          <w:highlight w:val="none"/>
        </w:rPr>
      </w:r>
      <w:r>
        <w:rPr>
          <w:color w:val="auto"/>
        </w:rPr>
      </w:r>
      <w:r/>
    </w:p>
    <w:p>
      <w:pPr>
        <w:pStyle w:val="895"/>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rPr>
          <w:color w:val="auto"/>
        </w:rPr>
      </w:r>
      <w:r/>
    </w:p>
    <w:p>
      <w:pPr>
        <w:pStyle w:val="895"/>
        <w:jc w:val="center"/>
        <w:rPr>
          <w:rFonts w:ascii="黑体" w:eastAsia="黑体"/>
          <w:bCs/>
          <w:color w:val="auto"/>
          <w:sz w:val="52"/>
          <w:szCs w:val="52"/>
          <w:highlight w:val="none"/>
        </w:rPr>
      </w:pPr>
      <w:r>
        <w:rPr>
          <w:rFonts w:ascii="黑体" w:eastAsia="黑体"/>
          <w:bCs/>
          <w:color w:val="auto"/>
          <w:sz w:val="52"/>
          <w:szCs w:val="52"/>
          <w:highlight w:val="none"/>
        </w:rPr>
      </w:r>
      <w:r>
        <w:rPr>
          <w:color w:val="auto"/>
        </w:rPr>
      </w:r>
      <w:r/>
    </w:p>
    <w:p>
      <w:pPr>
        <w:pStyle w:val="895"/>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rPr>
          <w:color w:val="auto"/>
        </w:rPr>
      </w:r>
      <w:r/>
    </w:p>
    <w:p>
      <w:pPr>
        <w:pStyle w:val="895"/>
        <w:rPr>
          <w:rFonts w:ascii="楷体_GB2312" w:eastAsia="楷体_GB2312"/>
          <w:bCs/>
          <w:color w:val="auto"/>
          <w:sz w:val="72"/>
          <w:highlight w:val="none"/>
        </w:rPr>
      </w:pPr>
      <w:r>
        <w:rPr>
          <w:rFonts w:ascii="楷体_GB2312" w:eastAsia="楷体_GB2312"/>
          <w:bCs/>
          <w:color w:val="auto"/>
          <w:sz w:val="72"/>
          <w:highlight w:val="none"/>
        </w:rPr>
      </w:r>
      <w:r>
        <w:rPr>
          <w:color w:val="auto"/>
        </w:rPr>
      </w:r>
      <w:r/>
    </w:p>
    <w:p>
      <w:pPr>
        <w:pStyle w:val="895"/>
        <w:rPr>
          <w:rFonts w:ascii="楷体_GB2312" w:eastAsia="楷体_GB2312"/>
          <w:bCs/>
          <w:color w:val="auto"/>
          <w:sz w:val="28"/>
          <w:highlight w:val="none"/>
        </w:rPr>
      </w:pPr>
      <w:r>
        <w:rPr>
          <w:rFonts w:ascii="楷体_GB2312" w:eastAsia="楷体_GB2312"/>
          <w:bCs/>
          <w:color w:val="auto"/>
          <w:sz w:val="28"/>
          <w:highlight w:val="none"/>
        </w:rPr>
      </w:r>
      <w:r>
        <w:rPr>
          <w:color w:val="auto"/>
        </w:rPr>
      </w:r>
      <w:r/>
    </w:p>
    <w:p>
      <w:pPr>
        <w:pStyle w:val="895"/>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w:t>
      </w:r>
      <w:r>
        <w:rPr>
          <w:color w:val="auto"/>
        </w:rPr>
      </w:r>
      <w:r/>
    </w:p>
    <w:p>
      <w:pPr>
        <w:pStyle w:val="895"/>
        <w:ind w:firstLine="560"/>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钱桥东片绿化养护项目</w:t>
      </w:r>
      <w:r>
        <w:rPr>
          <w:color w:val="auto"/>
        </w:rPr>
      </w:r>
      <w:r/>
    </w:p>
    <w:p>
      <w:pPr>
        <w:pStyle w:val="895"/>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rPr>
          <w:color w:val="auto"/>
        </w:rPr>
      </w:r>
      <w:r/>
    </w:p>
    <w:p>
      <w:pPr>
        <w:pStyle w:val="895"/>
        <w:rPr>
          <w:rFonts w:ascii="黑体" w:eastAsia="黑体"/>
          <w:bCs/>
          <w:color w:val="auto"/>
          <w:sz w:val="32"/>
          <w:highlight w:val="none"/>
        </w:rPr>
      </w:pPr>
      <w:r>
        <w:rPr>
          <w:rFonts w:ascii="黑体" w:eastAsia="黑体"/>
          <w:bCs/>
          <w:color w:val="auto"/>
          <w:sz w:val="32"/>
          <w:highlight w:val="none"/>
        </w:rPr>
      </w:r>
      <w:r>
        <w:rPr>
          <w:color w:val="auto"/>
        </w:rPr>
      </w:r>
      <w:r/>
    </w:p>
    <w:p>
      <w:pPr>
        <w:pStyle w:val="895"/>
        <w:jc w:val="center"/>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二○二</w:t>
      </w:r>
      <w:r>
        <w:rPr>
          <w:rFonts w:hint="eastAsia" w:ascii="黑体" w:eastAsia="黑体"/>
          <w:bCs/>
          <w:color w:val="auto"/>
          <w:sz w:val="36"/>
          <w:szCs w:val="36"/>
          <w:highlight w:val="none"/>
          <w:lang w:val="en-US" w:eastAsia="zh-CN"/>
        </w:rPr>
        <w:t xml:space="preserve">四</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rPr>
          <w:color w:val="auto"/>
        </w:rPr>
      </w:r>
      <w:r/>
    </w:p>
    <w:p>
      <w:pPr>
        <w:pStyle w:val="895"/>
        <w:ind w:firstLine="480"/>
        <w:rPr>
          <w:rFonts w:hint="eastAsia" w:ascii="黑体" w:hAnsi="宋体" w:eastAsia="黑体"/>
          <w:bCs/>
          <w:color w:val="auto"/>
          <w:sz w:val="24"/>
          <w:szCs w:val="24"/>
          <w:highlight w:val="none"/>
        </w:rPr>
        <w:outlineLvl w:val="0"/>
      </w:pPr>
      <w:r>
        <w:rPr>
          <w:color w:val="auto"/>
        </w:rPr>
      </w:r>
      <w:bookmarkStart w:id="27" w:name="一．报价函（格式）"/>
      <w:r>
        <w:rPr>
          <w:color w:val="auto"/>
        </w:rPr>
      </w:r>
      <w:bookmarkEnd w:id="27"/>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ind w:firstLine="480"/>
        <w:rPr>
          <w:rFonts w:hint="eastAsia" w:ascii="黑体" w:hAnsi="宋体" w:eastAsia="黑体"/>
          <w:color w:val="auto"/>
          <w:sz w:val="24"/>
          <w:szCs w:val="24"/>
          <w:highlight w:val="none"/>
        </w:rPr>
        <w:outlineLvl w:val="0"/>
      </w:pPr>
      <w:r>
        <w:rPr>
          <w:rFonts w:hint="eastAsia" w:ascii="黑体" w:hAnsi="宋体" w:eastAsia="黑体"/>
          <w:color w:val="auto"/>
          <w:sz w:val="24"/>
          <w:szCs w:val="24"/>
          <w:highlight w:val="none"/>
        </w:rPr>
      </w:r>
      <w:r>
        <w:rPr>
          <w:color w:val="auto"/>
        </w:rPr>
      </w:r>
      <w:r/>
    </w:p>
    <w:p>
      <w:pPr>
        <w:pStyle w:val="895"/>
        <w:ind w:firstLine="480"/>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（一）投标函（格式）：</w:t>
      </w:r>
      <w:r>
        <w:rPr>
          <w:color w:val="auto"/>
        </w:rPr>
      </w:r>
      <w:r/>
    </w:p>
    <w:p>
      <w:pPr>
        <w:pStyle w:val="895"/>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rPr>
          <w:color w:val="auto"/>
        </w:rPr>
      </w:r>
      <w:r/>
    </w:p>
    <w:p>
      <w:pPr>
        <w:pStyle w:val="895"/>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致江苏智汇锡建工程项目管理有限公司：</w:t>
      </w:r>
      <w:r>
        <w:rPr>
          <w:color w:val="auto"/>
        </w:rPr>
      </w:r>
      <w:r/>
    </w:p>
    <w:p>
      <w:pPr>
        <w:pStyle w:val="895"/>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JSZC-320206-JSZH-G2024-0031</w:t>
      </w:r>
      <w:r>
        <w:rPr>
          <w:rFonts w:hint="eastAsia" w:ascii="宋体" w:hAnsi="宋体"/>
          <w:bCs/>
          <w:color w:val="auto"/>
          <w:sz w:val="24"/>
          <w:szCs w:val="24"/>
          <w:highlight w:val="none"/>
        </w:rPr>
        <w:t xml:space="preserve"> 招标文件，经仔细阅读和研究，我方决定参加此项目的投标。</w:t>
      </w:r>
      <w:r>
        <w:rPr>
          <w:color w:val="auto"/>
        </w:rPr>
      </w:r>
      <w:r/>
    </w:p>
    <w:p>
      <w:pPr>
        <w:pStyle w:val="895"/>
        <w:ind w:firstLine="480"/>
        <w:spacing w:line="360" w:lineRule="auto"/>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rPr>
          <w:color w:val="auto"/>
        </w:rPr>
      </w:r>
      <w:r/>
    </w:p>
    <w:p>
      <w:pPr>
        <w:pStyle w:val="895"/>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03"/>
          <w:bCs/>
          <w:color w:val="auto"/>
          <w:highlight w:val="none"/>
        </w:rPr>
      </w:pPr>
      <w:r>
        <w:rPr>
          <w:rFonts w:hint="eastAsia" w:ascii="宋体" w:hAnsi="宋体"/>
          <w:bCs/>
          <w:color w:val="auto"/>
          <w:sz w:val="24"/>
          <w:szCs w:val="24"/>
          <w:highlight w:val="none"/>
        </w:rPr>
        <w:t xml:space="preserve">二、我方愿意提供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rPr>
          <w:color w:val="auto"/>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rPr>
          <w:color w:val="auto"/>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rPr>
          <w:color w:val="auto"/>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五、我方愿意遵守《中华人民共和国政府采购法》，并按《中华人民共和国</w:t>
      </w:r>
      <w:r>
        <w:rPr>
          <w:rFonts w:hint="eastAsia" w:ascii="宋体" w:hAnsi="宋体"/>
          <w:bCs/>
          <w:color w:val="auto"/>
          <w:sz w:val="24"/>
          <w:szCs w:val="24"/>
          <w:highlight w:val="none"/>
          <w:lang w:val="en-US" w:eastAsia="zh-CN"/>
        </w:rPr>
        <w:t xml:space="preserve">民法典</w:t>
      </w:r>
      <w:r>
        <w:rPr>
          <w:rFonts w:hint="eastAsia" w:ascii="宋体" w:hAnsi="宋体"/>
          <w:bCs/>
          <w:color w:val="auto"/>
          <w:sz w:val="24"/>
          <w:szCs w:val="24"/>
          <w:highlight w:val="none"/>
        </w:rPr>
        <w:t xml:space="preserve">》、财政部《政府采购货物和服务招标投标管理办法》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color w:val="auto"/>
        </w:rPr>
      </w:r>
      <w:r/>
    </w:p>
    <w:p>
      <w:pPr>
        <w:pStyle w:val="895"/>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六、我方愿意向贵方提供任何与本项报价有关的数据、情况和技术资料。若贵方需要，我方愿意提供我方做出的一切承诺的证明材料。</w:t>
      </w:r>
      <w:r>
        <w:rPr>
          <w:color w:val="auto"/>
        </w:rPr>
      </w:r>
      <w:r/>
    </w:p>
    <w:p>
      <w:pPr>
        <w:pStyle w:val="895"/>
        <w:ind w:firstLine="480"/>
        <w:spacing w:line="360" w:lineRule="auto"/>
        <w:rPr>
          <w:color w:val="auto"/>
          <w:highlight w:val="none"/>
        </w:rPr>
      </w:pPr>
      <w:r>
        <w:rPr>
          <w:rFonts w:hint="eastAsia" w:ascii="宋体" w:hAnsi="宋体"/>
          <w:bCs/>
          <w:color w:val="auto"/>
          <w:sz w:val="24"/>
          <w:szCs w:val="24"/>
          <w:highlight w:val="none"/>
        </w:rPr>
        <w:t xml:space="preserve">七、我方与其他供应商不存在单位负责人为同一人或者存在直接控股、管理关系。</w:t>
      </w:r>
      <w:r>
        <w:rPr>
          <w:color w:val="auto"/>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八、我方认可并遵守招标文件的所有规定，放弃对招标文件提出质疑的权利。</w:t>
      </w:r>
      <w:r>
        <w:rPr>
          <w:color w:val="auto"/>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highlight w:val="none"/>
        </w:rPr>
        <w:t xml:space="preserve">九、如我方在投标截止期后撤回投标及中标后拒绝遵守投标承诺或拒绝在规定的时间内与采购人签订合同，则接受政府采购监督管理部门的处理。</w:t>
      </w:r>
      <w:r>
        <w:rPr>
          <w:color w:val="auto"/>
        </w:rPr>
      </w:r>
      <w:r/>
    </w:p>
    <w:p>
      <w:pPr>
        <w:pStyle w:val="89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rPr>
          <w:color w:val="auto"/>
        </w:rPr>
      </w:r>
      <w:r/>
    </w:p>
    <w:p>
      <w:pPr>
        <w:pStyle w:val="89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十一、我方承诺不非法转包、分包。</w:t>
      </w:r>
      <w:r>
        <w:rPr>
          <w:color w:val="auto"/>
        </w:rPr>
      </w:r>
      <w:r/>
    </w:p>
    <w:p>
      <w:pPr>
        <w:pStyle w:val="895"/>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十二、我方不存在为本项目提供整体设计、规范编制或者项目管理、监理、检测等服务。</w:t>
      </w:r>
      <w:r>
        <w:rPr>
          <w:color w:val="auto"/>
        </w:rPr>
      </w:r>
      <w:r/>
    </w:p>
    <w:p>
      <w:pPr>
        <w:pStyle w:val="89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十三、我方绝不提供虚假材料谋取中标、绝不采取不正当手段诋毁、排挤其他供应商、绝不与采购人、其它供应商恶意串通、绝不向采购人、</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rPr>
          <w:color w:val="auto"/>
        </w:rPr>
      </w:r>
      <w:r/>
    </w:p>
    <w:p>
      <w:pPr>
        <w:pStyle w:val="895"/>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color w:val="auto"/>
        </w:rPr>
      </w:r>
      <w:r/>
    </w:p>
    <w:p>
      <w:pPr>
        <w:pStyle w:val="895"/>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r/>
    </w:p>
    <w:p>
      <w:pPr>
        <w:pStyle w:val="895"/>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以上条款，如有违反，愿依照国家相关法律处理，并承担由此给采购人带来的损失</w:t>
      </w:r>
      <w:r>
        <w:rPr>
          <w:rFonts w:hint="eastAsia" w:ascii="宋体" w:hAnsi="宋体"/>
          <w:bCs/>
          <w:color w:val="auto"/>
          <w:sz w:val="24"/>
          <w:highlight w:val="none"/>
        </w:rPr>
        <w:t xml:space="preserve">。</w:t>
      </w:r>
      <w:r>
        <w:rPr>
          <w:color w:val="auto"/>
        </w:rPr>
      </w:r>
      <w:r/>
    </w:p>
    <w:p>
      <w:pPr>
        <w:pStyle w:val="935"/>
        <w:rPr>
          <w:color w:val="auto"/>
          <w:highlight w:val="none"/>
        </w:rPr>
      </w:pPr>
      <w:r>
        <w:rPr>
          <w:color w:val="auto"/>
          <w:highlight w:val="none"/>
        </w:rPr>
      </w:r>
      <w:r>
        <w:rPr>
          <w:color w:val="auto"/>
        </w:rPr>
      </w:r>
      <w:r/>
    </w:p>
    <w:p>
      <w:pPr>
        <w:pStyle w:val="895"/>
        <w:spacing w:line="440" w:lineRule="exact"/>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投标人(盖章)：     </w:t>
      </w:r>
      <w:r>
        <w:rPr>
          <w:color w:val="auto"/>
        </w:rPr>
      </w:r>
      <w:r/>
    </w:p>
    <w:p>
      <w:pPr>
        <w:pStyle w:val="895"/>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法定代表人或法定代表人授权代表签字或盖章：</w:t>
      </w:r>
      <w:r>
        <w:rPr>
          <w:color w:val="auto"/>
        </w:rPr>
      </w:r>
      <w:r/>
    </w:p>
    <w:p>
      <w:pPr>
        <w:pStyle w:val="895"/>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电话：                              传真：</w:t>
      </w:r>
      <w:r>
        <w:rPr>
          <w:color w:val="auto"/>
        </w:rPr>
      </w:r>
      <w:r/>
    </w:p>
    <w:p>
      <w:pPr>
        <w:pStyle w:val="895"/>
        <w:ind w:firstLine="480"/>
        <w:spacing w:line="440" w:lineRule="exact"/>
        <w:rPr>
          <w:color w:val="auto"/>
          <w:highlight w:val="none"/>
        </w:rPr>
      </w:pPr>
      <w:r>
        <w:rPr>
          <w:rFonts w:ascii="宋体" w:hAnsi="宋体"/>
          <w:bCs/>
          <w:color w:val="auto"/>
          <w:sz w:val="24"/>
          <w:szCs w:val="24"/>
          <w:highlight w:val="none"/>
        </w:rPr>
        <w:t xml:space="preserve">通讯地址：                          邮编：</w:t>
      </w:r>
      <w:r>
        <w:rPr>
          <w:color w:val="auto"/>
        </w:rPr>
      </w:r>
      <w:r/>
    </w:p>
    <w:p>
      <w:pPr>
        <w:pStyle w:val="895"/>
        <w:spacing w:line="360" w:lineRule="auto"/>
        <w:rPr>
          <w:rFonts w:eastAsia="黑体"/>
          <w:bCs/>
          <w:color w:val="auto"/>
          <w:sz w:val="24"/>
          <w:szCs w:val="24"/>
          <w:highlight w:val="none"/>
        </w:rPr>
        <w:outlineLvl w:val="0"/>
      </w:pPr>
      <w:r>
        <w:rPr>
          <w:rFonts w:eastAsia="黑体"/>
          <w:bCs/>
          <w:color w:val="auto"/>
          <w:sz w:val="24"/>
          <w:szCs w:val="24"/>
          <w:highlight w:val="none"/>
        </w:rPr>
      </w:r>
      <w:r>
        <w:rPr>
          <w:color w:val="auto"/>
        </w:rPr>
      </w:r>
      <w:r/>
    </w:p>
    <w:p>
      <w:pPr>
        <w:pStyle w:val="895"/>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color w:val="auto"/>
          <w:highlight w:val="none"/>
        </w:rPr>
      </w:pPr>
      <w:r>
        <w:rPr>
          <w:rFonts w:hint="eastAsia"/>
          <w:color w:val="auto"/>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（二）（投标供应商）关于资格的声明函（格式）：</w:t>
      </w:r>
      <w:r>
        <w:rPr>
          <w:color w:val="auto"/>
        </w:rPr>
      </w:r>
      <w:r/>
    </w:p>
    <w:p>
      <w:pPr>
        <w:pStyle w:val="895"/>
        <w:spacing w:line="360" w:lineRule="auto"/>
        <w:rPr>
          <w:rFonts w:ascii="黑体" w:eastAsia="黑体"/>
          <w:bCs/>
          <w:color w:val="auto"/>
          <w:sz w:val="36"/>
          <w:highlight w:val="none"/>
        </w:rPr>
      </w:pPr>
      <w:r>
        <w:rPr>
          <w:rFonts w:ascii="黑体" w:eastAsia="黑体"/>
          <w:bCs/>
          <w:color w:val="auto"/>
          <w:sz w:val="36"/>
          <w:highlight w:val="none"/>
        </w:rPr>
      </w:r>
      <w:r>
        <w:rPr>
          <w:color w:val="auto"/>
        </w:rPr>
      </w:r>
      <w:r/>
    </w:p>
    <w:p>
      <w:pPr>
        <w:pStyle w:val="895"/>
        <w:jc w:val="center"/>
        <w:rPr>
          <w:rFonts w:ascii="宋体"/>
          <w:bCs/>
          <w:color w:val="auto"/>
          <w:sz w:val="24"/>
          <w:szCs w:val="24"/>
          <w:highlight w:val="none"/>
        </w:rPr>
        <w:outlineLvl w:val="0"/>
      </w:pPr>
      <w:r>
        <w:rPr>
          <w:color w:val="auto"/>
        </w:rPr>
      </w:r>
      <w:bookmarkStart w:id="28" w:name="报价方关于资格的声明函（格式）"/>
      <w:r>
        <w:rPr>
          <w:color w:val="auto"/>
        </w:rPr>
      </w:r>
      <w:bookmarkEnd w:id="28"/>
      <w:r>
        <w:rPr>
          <w:rFonts w:hint="eastAsia" w:ascii="黑体" w:eastAsia="黑体"/>
          <w:bCs/>
          <w:color w:val="auto"/>
          <w:sz w:val="28"/>
          <w:szCs w:val="28"/>
          <w:highlight w:val="none"/>
        </w:rPr>
        <w:t xml:space="preserve">关于资格的声明函</w:t>
      </w:r>
      <w:r>
        <w:rPr>
          <w:color w:val="auto"/>
        </w:rPr>
      </w:r>
      <w:r/>
    </w:p>
    <w:p>
      <w:pPr>
        <w:pStyle w:val="895"/>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江苏智汇锡建工程项目管理有限公司：</w:t>
      </w:r>
      <w:r>
        <w:rPr>
          <w:color w:val="auto"/>
        </w:rPr>
      </w:r>
      <w:r/>
    </w:p>
    <w:p>
      <w:pPr>
        <w:pStyle w:val="895"/>
        <w:spacing w:line="480" w:lineRule="auto"/>
        <w:rPr>
          <w:rFonts w:hint="eastAsia" w:ascii="宋体"/>
          <w:bCs/>
          <w:color w:val="auto"/>
          <w:sz w:val="24"/>
          <w:szCs w:val="24"/>
          <w:highlight w:val="none"/>
        </w:rPr>
      </w:pPr>
      <w:r>
        <w:rPr>
          <w:rFonts w:ascii="宋体" w:hAnsi="宋体"/>
          <w:bCs/>
          <w:color w:val="auto"/>
          <w:sz w:val="24"/>
          <w:szCs w:val="24"/>
          <w:highlight w:val="none"/>
        </w:rPr>
        <w:t xml:space="preserve">    </w:t>
      </w:r>
      <w:r>
        <w:rPr>
          <w:rFonts w:hint="eastAsia" w:ascii="宋体"/>
          <w:bCs/>
          <w:color w:val="auto"/>
          <w:sz w:val="24"/>
          <w:szCs w:val="24"/>
          <w:highlight w:val="none"/>
        </w:rPr>
        <w:t xml:space="preserve">我公司(单位)符合《中华人民共和国政府采购法》第二十二条的规定，在此郑重承诺具备以下条件：</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(一)具有独立承担民事责任的能力；</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(二)具有良好的商业信誉和健全的财务会计制度；</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(三)具有履行合同所必需的设备和专业技术能力；</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(四)有依法缴纳税收和社会保障资金的良好记录；</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(五)近三年内，在经营活动中没有重大违法记录；</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(六)投标文件中所有关于投标资格的文件、证明、陈述均是真实的、准确的。</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若有违背，我公司(单位)愿意承担由此而产生的一切后果。</w:t>
      </w:r>
      <w:r>
        <w:rPr>
          <w:color w:val="auto"/>
        </w:rPr>
      </w:r>
      <w:r/>
    </w:p>
    <w:p>
      <w:pPr>
        <w:pStyle w:val="1008"/>
        <w:tabs>
          <w:tab w:val="left" w:pos="720" w:leader="none"/>
        </w:tabs>
        <w:rPr>
          <w:rFonts w:hint="eastAsia"/>
          <w:color w:val="auto"/>
          <w:highlight w:val="none"/>
        </w:rPr>
      </w:pPr>
      <w:r>
        <w:rPr>
          <w:rFonts w:hint="eastAsia"/>
          <w:color w:val="auto"/>
          <w:highlight w:val="none"/>
        </w:rPr>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投标人(盖章)：</w:t>
      </w:r>
      <w:r>
        <w:rPr>
          <w:color w:val="auto"/>
        </w:rPr>
      </w:r>
      <w:r/>
    </w:p>
    <w:p>
      <w:pPr>
        <w:pStyle w:val="895"/>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法定代表人(签字或盖章)：</w:t>
      </w:r>
      <w:r>
        <w:rPr>
          <w:color w:val="auto"/>
        </w:rPr>
      </w:r>
      <w:r/>
    </w:p>
    <w:p>
      <w:pPr>
        <w:pStyle w:val="895"/>
        <w:spacing w:line="480" w:lineRule="auto"/>
        <w:rPr>
          <w:rFonts w:ascii="黑体" w:hAnsi="宋体" w:eastAsia="黑体"/>
          <w:bCs/>
          <w:color w:val="auto"/>
          <w:sz w:val="24"/>
          <w:szCs w:val="24"/>
          <w:highlight w:val="none"/>
        </w:rPr>
      </w:pPr>
      <w:r>
        <w:rPr>
          <w:rFonts w:hint="eastAsia" w:ascii="宋体"/>
          <w:bCs/>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ind w:firstLine="480"/>
        <w:rPr>
          <w:rFonts w:ascii="黑体" w:eastAsia="黑体"/>
          <w:color w:val="auto"/>
          <w:sz w:val="28"/>
          <w:szCs w:val="28"/>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t xml:space="preserve">（三）（投标供应商）法定代表人授权委托书（格式）：</w:t>
      </w:r>
      <w:r>
        <w:rPr>
          <w:color w:val="auto"/>
        </w:rPr>
      </w:r>
      <w:r/>
    </w:p>
    <w:p>
      <w:pPr>
        <w:pStyle w:val="895"/>
        <w:rPr>
          <w:rFonts w:ascii="黑体" w:eastAsia="黑体"/>
          <w:bCs/>
          <w:color w:val="auto"/>
          <w:sz w:val="28"/>
          <w:szCs w:val="28"/>
          <w:highlight w:val="none"/>
        </w:rPr>
        <w:outlineLvl w:val="0"/>
      </w:pPr>
      <w:r>
        <w:rPr>
          <w:rFonts w:ascii="黑体" w:eastAsia="黑体"/>
          <w:bCs/>
          <w:color w:val="auto"/>
          <w:sz w:val="28"/>
          <w:szCs w:val="28"/>
          <w:highlight w:val="none"/>
        </w:rPr>
      </w:r>
      <w:r>
        <w:rPr>
          <w:color w:val="auto"/>
        </w:rPr>
      </w:r>
      <w:r/>
    </w:p>
    <w:p>
      <w:pPr>
        <w:pStyle w:val="895"/>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rPr>
          <w:color w:val="auto"/>
        </w:rPr>
      </w:r>
      <w:r/>
    </w:p>
    <w:p>
      <w:pPr>
        <w:pStyle w:val="895"/>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rPr>
          <w:color w:val="auto"/>
        </w:rPr>
      </w:r>
      <w:r/>
    </w:p>
    <w:p>
      <w:pPr>
        <w:pStyle w:val="895"/>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rPr>
          <w:color w:val="auto"/>
        </w:rPr>
      </w:r>
      <w:r/>
    </w:p>
    <w:p>
      <w:pPr>
        <w:pStyle w:val="895"/>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rPr>
          <w:color w:val="auto"/>
        </w:rPr>
      </w:r>
      <w:r/>
    </w:p>
    <w:p>
      <w:pPr>
        <w:pStyle w:val="895"/>
        <w:spacing w:line="600" w:lineRule="exact"/>
        <w:rPr>
          <w:rFonts w:hint="eastAsia" w:ascii="宋体"/>
          <w:bCs/>
          <w:color w:val="auto"/>
          <w:sz w:val="24"/>
          <w:szCs w:val="24"/>
          <w:highlight w:val="none"/>
        </w:rPr>
      </w:pPr>
      <w:r>
        <w:rPr>
          <w:rFonts w:hint="eastAsia" w:ascii="宋体" w:hAnsi="宋体"/>
          <w:bCs/>
          <w:color w:val="auto"/>
          <w:sz w:val="24"/>
          <w:szCs w:val="24"/>
          <w:highlight w:val="none"/>
        </w:rPr>
        <w:t xml:space="preserve">江苏智汇锡建工程项目管理有限公司：</w:t>
      </w:r>
      <w:r>
        <w:rPr>
          <w:color w:val="auto"/>
        </w:rPr>
      </w:r>
      <w:r/>
    </w:p>
    <w:p>
      <w:pPr>
        <w:pStyle w:val="895"/>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JSZC-320206-JSZH-G2024-0031</w:t>
      </w:r>
      <w:r>
        <w:rPr>
          <w:rFonts w:hint="eastAsia" w:ascii="宋体" w:hAnsi="宋体"/>
          <w:bCs/>
          <w:color w:val="auto"/>
          <w:sz w:val="24"/>
          <w:szCs w:val="24"/>
          <w:highlight w:val="none"/>
        </w:rPr>
        <w:t xml:space="preserve"> ）的投标、参与开标、评标、签约等具体工作，并签署全部有关的文件、协议及合同。</w:t>
      </w:r>
      <w:r>
        <w:rPr>
          <w:color w:val="auto"/>
        </w:rPr>
      </w:r>
      <w:r/>
    </w:p>
    <w:p>
      <w:pPr>
        <w:pStyle w:val="895"/>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rPr>
          <w:color w:val="auto"/>
        </w:rPr>
      </w:r>
      <w:r/>
    </w:p>
    <w:p>
      <w:pPr>
        <w:pStyle w:val="895"/>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rPr>
          <w:color w:val="auto"/>
        </w:rPr>
      </w:r>
      <w:r/>
    </w:p>
    <w:p>
      <w:pPr>
        <w:pStyle w:val="895"/>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rPr>
          <w:color w:val="auto"/>
        </w:rPr>
      </w:r>
      <w:r/>
    </w:p>
    <w:p>
      <w:pPr>
        <w:pStyle w:val="895"/>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rPr>
          <w:color w:val="auto"/>
        </w:rPr>
      </w:r>
      <w:r/>
    </w:p>
    <w:p>
      <w:pPr>
        <w:pStyle w:val="895"/>
        <w:ind w:firstLine="3240"/>
        <w:spacing w:line="580" w:lineRule="exact"/>
        <w:rPr>
          <w:rFonts w:ascii="宋体"/>
          <w:bCs/>
          <w:color w:val="auto"/>
          <w:sz w:val="24"/>
          <w:szCs w:val="24"/>
          <w:highlight w:val="none"/>
        </w:rPr>
      </w:pPr>
      <w:r>
        <w:rPr>
          <w:rFonts w:ascii="宋体"/>
          <w:bCs/>
          <w:color w:val="auto"/>
          <w:sz w:val="24"/>
          <w:szCs w:val="24"/>
          <w:highlight w:val="none"/>
        </w:rPr>
      </w:r>
      <w:r>
        <w:rPr>
          <w:color w:val="auto"/>
        </w:rPr>
      </w:r>
      <w:r/>
    </w:p>
    <w:p>
      <w:pPr>
        <w:pStyle w:val="895"/>
        <w:ind w:firstLine="3240"/>
        <w:spacing w:line="580" w:lineRule="exact"/>
        <w:rPr>
          <w:rFonts w:ascii="宋体"/>
          <w:bCs/>
          <w:color w:val="auto"/>
          <w:sz w:val="24"/>
          <w:szCs w:val="24"/>
          <w:highlight w:val="none"/>
        </w:rPr>
      </w:pPr>
      <w:r>
        <w:rPr>
          <w:rFonts w:ascii="宋体"/>
          <w:bCs/>
          <w:color w:val="auto"/>
          <w:sz w:val="24"/>
          <w:szCs w:val="24"/>
          <w:highlight w:val="none"/>
        </w:rPr>
      </w:r>
      <w:r>
        <w:rPr>
          <w:color w:val="auto"/>
        </w:rPr>
      </w:r>
      <w:r/>
    </w:p>
    <w:p>
      <w:pPr>
        <w:pStyle w:val="895"/>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rPr>
          <w:color w:val="auto"/>
        </w:rPr>
      </w:r>
      <w:r/>
    </w:p>
    <w:p>
      <w:pPr>
        <w:pStyle w:val="895"/>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rPr>
          <w:color w:val="auto"/>
          <w:sz w:val="24"/>
          <w:szCs w:val="24"/>
          <w:highlight w:val="none"/>
        </w:rPr>
      </w:pPr>
      <w:r>
        <w:rPr>
          <w:rFonts w:hint="eastAsia"/>
          <w:bCs/>
          <w:color w:val="auto"/>
          <w:sz w:val="24"/>
          <w:szCs w:val="24"/>
          <w:highlight w:val="none"/>
        </w:rPr>
      </w:r>
      <w:r>
        <w:rPr>
          <w:color w:val="auto"/>
        </w:rPr>
      </w:r>
      <w:r/>
    </w:p>
    <w:p>
      <w:pPr>
        <w:rPr>
          <w:rFonts w:hint="eastAsia"/>
          <w:color w:val="auto"/>
          <w:sz w:val="24"/>
          <w:szCs w:val="24"/>
          <w:highlight w:val="none"/>
        </w:rPr>
      </w:pPr>
      <w:r>
        <w:rPr>
          <w:rFonts w:hint="eastAsia"/>
          <w:bCs/>
          <w:color w:val="auto"/>
          <w:sz w:val="24"/>
          <w:szCs w:val="24"/>
          <w:highlight w:val="none"/>
        </w:rPr>
      </w:r>
      <w:r>
        <w:rPr>
          <w:color w:val="auto"/>
        </w:rPr>
      </w:r>
      <w:r/>
    </w:p>
    <w:p>
      <w:pPr>
        <w:rPr>
          <w:rFonts w:hint="eastAsia"/>
          <w:color w:val="auto"/>
          <w:sz w:val="24"/>
          <w:szCs w:val="24"/>
          <w:highlight w:val="none"/>
        </w:rPr>
      </w:pPr>
      <w:r>
        <w:rPr>
          <w:rFonts w:hint="eastAsia"/>
          <w:bCs/>
          <w:color w:val="auto"/>
          <w:sz w:val="24"/>
          <w:szCs w:val="24"/>
          <w:highlight w:val="none"/>
        </w:rPr>
      </w:r>
      <w:r>
        <w:rPr>
          <w:color w:val="auto"/>
        </w:rPr>
      </w:r>
      <w:r/>
    </w:p>
    <w:p>
      <w:pPr>
        <w:pStyle w:val="895"/>
        <w:rPr>
          <w:rFonts w:hint="eastAsia"/>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扫描件：</w:t>
      </w:r>
      <w:r>
        <w:rPr>
          <w:color w:val="auto"/>
        </w:rPr>
      </w:r>
      <w:r/>
    </w:p>
    <w:p>
      <w:pPr>
        <w:pStyle w:val="895"/>
        <w:rPr>
          <w:bCs/>
          <w:color w:val="auto"/>
          <w:sz w:val="24"/>
          <w:szCs w:val="24"/>
          <w:highlight w:val="none"/>
        </w:rPr>
      </w:pPr>
      <w:r>
        <w:rPr>
          <w:bCs/>
          <w:color w:val="auto"/>
          <w:sz w:val="24"/>
          <w:szCs w:val="24"/>
          <w:highlight w:val="none"/>
        </w:rPr>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3345592</wp:posOffset>
                </wp:positionH>
                <wp:positionV relativeFrom="paragraph">
                  <wp:posOffset>104583</wp:posOffset>
                </wp:positionV>
                <wp:extent cx="2628900" cy="15011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28900" cy="1501139"/>
                        </a:xfrm>
                        <a:prstGeom prst="rect">
                          <a:avLst/>
                        </a:prstGeom>
                        <a:solidFill>
                          <a:srgbClr val="FFFFFF"/>
                        </a:solidFill>
                        <a:ln>
                          <a:solidFill>
                            <a:srgbClr val="000000"/>
                          </a:solidFill>
                        </a:ln>
                      </wps:spPr>
                      <wps:txbx>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95"/>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63.4pt;mso-position-horizontal:absolute;mso-position-vertical-relative:text;margin-top:8.2pt;mso-position-vertical:absolute;width:207.0pt;height:118.2pt;mso-wrap-distance-left:9.0pt;mso-wrap-distance-top:0.0pt;mso-wrap-distance-right:9.0pt;mso-wrap-distance-bottom:0.0pt;visibility:visible;" fillcolor="#FFFFFF" strokecolor="#000000">
                <v:textbox inset="0,0,0,0">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95"/>
                      </w:pPr>
                      <w:r/>
                      <w:r/>
                    </w:p>
                  </w:txbxContent>
                </v:textbox>
              </v:shape>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104583</wp:posOffset>
                </wp:positionV>
                <wp:extent cx="2609215" cy="14935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09214" cy="1493519"/>
                        </a:xfrm>
                        <a:prstGeom prst="rect">
                          <a:avLst/>
                        </a:prstGeom>
                        <a:solidFill>
                          <a:srgbClr val="FFFFFF"/>
                        </a:solidFill>
                        <a:ln>
                          <a:solidFill>
                            <a:srgbClr val="000000"/>
                          </a:solidFill>
                        </a:ln>
                      </wps:spPr>
                      <wps:txbx>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95"/>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0.0pt;mso-position-horizontal:absolute;mso-position-vertical-relative:text;margin-top:8.2pt;mso-position-vertical:absolute;width:205.4pt;height:117.6pt;mso-wrap-distance-left:9.0pt;mso-wrap-distance-top:0.0pt;mso-wrap-distance-right:9.0pt;mso-wrap-distance-bottom:0.0pt;visibility:visible;" fillcolor="#FFFFFF" strokecolor="#000000">
                <v:textbox inset="0,0,0,0">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95"/>
                      </w:pPr>
                      <w:r/>
                      <w:r/>
                    </w:p>
                  </w:txbxContent>
                </v:textbox>
              </v:shape>
            </w:pict>
          </mc:Fallback>
        </mc:AlternateContent>
      </w:r>
      <w:r>
        <w:rPr>
          <w:color w:val="auto"/>
        </w:rPr>
      </w:r>
      <w:r/>
    </w:p>
    <w:p>
      <w:pPr>
        <w:pStyle w:val="895"/>
        <w:rPr>
          <w:bCs/>
          <w:color w:val="auto"/>
          <w:sz w:val="24"/>
          <w:szCs w:val="24"/>
          <w:highlight w:val="none"/>
        </w:rPr>
      </w:pPr>
      <w:r>
        <w:rPr>
          <w:bCs/>
          <w:color w:val="auto"/>
          <w:sz w:val="24"/>
          <w:szCs w:val="24"/>
          <w:highlight w:val="none"/>
        </w:rPr>
        <w:fldChar w:fldCharType="begin"/>
      </w:r>
      <w:r>
        <w:rPr>
          <w:bCs/>
          <w:color w:val="auto"/>
          <w:sz w:val="24"/>
          <w:szCs w:val="24"/>
          <w:highlight w:val="none"/>
        </w:rPr>
        <w:instrText xml:space="preserve"> SHAPE  \* MERGEFORMAT </w:instrText>
      </w:r>
      <w:r>
        <w:rPr>
          <w:bCs/>
          <w:color w:val="auto"/>
          <w:sz w:val="24"/>
          <w:szCs w:val="24"/>
          <w:highlight w:val="none"/>
        </w:rPr>
        <w:fldChar w:fldCharType="separate"/>
      </w:r>
      <w:r>
        <w:rPr>
          <w:bCs/>
          <w:color w:val="auto"/>
          <w:sz w:val="24"/>
          <w:szCs w:val="24"/>
          <w:highlight w:val="none"/>
        </w:rPr>
        <w:fldChar w:fldCharType="end"/>
      </w:r>
      <w:r>
        <w:rPr>
          <w:bCs/>
          <w:color w:val="auto"/>
          <w:sz w:val="24"/>
          <w:szCs w:val="24"/>
          <w:highlight w:val="none"/>
        </w:rPr>
        <w:fldChar w:fldCharType="begin"/>
      </w:r>
      <w:r>
        <w:rPr>
          <w:bCs/>
          <w:color w:val="auto"/>
          <w:sz w:val="24"/>
          <w:szCs w:val="24"/>
          <w:highlight w:val="none"/>
        </w:rPr>
        <w:instrText xml:space="preserve"> SHAPE  \* MERGEFORMAT </w:instrText>
      </w:r>
      <w:r>
        <w:rPr>
          <w:bCs/>
          <w:color w:val="auto"/>
          <w:sz w:val="24"/>
          <w:szCs w:val="24"/>
          <w:highlight w:val="none"/>
        </w:rPr>
        <w:fldChar w:fldCharType="separate"/>
      </w:r>
      <w:r>
        <w:rPr>
          <w:bCs/>
          <w:color w:val="auto"/>
          <w:sz w:val="24"/>
          <w:szCs w:val="24"/>
          <w:highlight w:val="none"/>
        </w:rPr>
        <w:fldChar w:fldCharType="end"/>
      </w:r>
      <w:r>
        <w:rPr>
          <w:color w:val="auto"/>
        </w:rPr>
      </w:r>
      <w:r/>
    </w:p>
    <w:p>
      <w:pPr>
        <w:rPr>
          <w:color w:val="auto"/>
          <w:sz w:val="24"/>
          <w:szCs w:val="24"/>
          <w:highlight w:val="none"/>
        </w:rPr>
      </w:pPr>
      <w:r>
        <w:rPr>
          <w:bCs/>
          <w:color w:val="auto"/>
          <w:sz w:val="24"/>
          <w:szCs w:val="24"/>
          <w:highlight w:val="none"/>
        </w:rPr>
      </w:r>
      <w:r>
        <w:rPr>
          <w:color w:val="auto"/>
        </w:rPr>
      </w:r>
      <w:r/>
    </w:p>
    <w:p>
      <w:pPr>
        <w:rPr>
          <w:color w:val="auto"/>
          <w:sz w:val="24"/>
          <w:szCs w:val="24"/>
          <w:highlight w:val="none"/>
        </w:rPr>
      </w:pPr>
      <w:r>
        <w:rPr>
          <w:color w:val="auto"/>
          <w:sz w:val="24"/>
          <w:szCs w:val="24"/>
          <w:highlight w:val="none"/>
        </w:rPr>
      </w:r>
      <w:r>
        <w:rPr>
          <w:color w:val="auto"/>
        </w:rPr>
      </w:r>
      <w:r/>
    </w:p>
    <w:p>
      <w:pPr>
        <w:rPr>
          <w:color w:val="auto"/>
          <w:sz w:val="24"/>
          <w:szCs w:val="24"/>
          <w:highlight w:val="none"/>
        </w:rPr>
      </w:pPr>
      <w:r>
        <w:rPr>
          <w:color w:val="auto"/>
          <w:sz w:val="24"/>
          <w:szCs w:val="24"/>
          <w:highlight w:val="none"/>
        </w:rPr>
      </w:r>
      <w:r>
        <w:rPr>
          <w:color w:val="auto"/>
        </w:rPr>
      </w:r>
      <w:r/>
    </w:p>
    <w:p>
      <w:pPr>
        <w:rPr>
          <w:color w:val="auto"/>
          <w:sz w:val="24"/>
          <w:szCs w:val="24"/>
          <w:highlight w:val="none"/>
        </w:rPr>
      </w:pPr>
      <w:r>
        <w:rPr>
          <w:color w:val="auto"/>
          <w:sz w:val="24"/>
          <w:szCs w:val="24"/>
          <w:highlight w:val="none"/>
        </w:rPr>
      </w:r>
      <w:r>
        <w:rPr>
          <w:color w:val="auto"/>
        </w:rPr>
      </w:r>
      <w:r/>
    </w:p>
    <w:p>
      <w:pPr>
        <w:rPr>
          <w:color w:val="auto"/>
          <w:sz w:val="24"/>
          <w:szCs w:val="24"/>
          <w:highlight w:val="none"/>
        </w:rPr>
      </w:pPr>
      <w:r>
        <w:rPr>
          <w:color w:val="auto"/>
          <w:sz w:val="24"/>
          <w:szCs w:val="24"/>
          <w:highlight w:val="none"/>
        </w:rPr>
      </w:r>
      <w:r>
        <w:rPr>
          <w:color w:val="auto"/>
        </w:rPr>
      </w:r>
      <w:r/>
    </w:p>
    <w:p>
      <w:pPr>
        <w:rPr>
          <w:color w:val="auto"/>
          <w:sz w:val="24"/>
          <w:szCs w:val="24"/>
          <w:highlight w:val="none"/>
        </w:rPr>
      </w:pPr>
      <w:r>
        <w:rPr>
          <w:color w:val="auto"/>
          <w:sz w:val="24"/>
          <w:szCs w:val="24"/>
          <w:highlight w:val="none"/>
        </w:rPr>
      </w:r>
      <w:r>
        <w:rPr>
          <w:color w:val="auto"/>
        </w:rPr>
      </w:r>
      <w:r/>
    </w:p>
    <w:p>
      <w:pPr>
        <w:rPr>
          <w:color w:val="auto"/>
          <w:sz w:val="24"/>
          <w:szCs w:val="24"/>
          <w:highlight w:val="none"/>
        </w:rPr>
      </w:pPr>
      <w:r>
        <w:rPr>
          <w:color w:val="auto"/>
          <w:sz w:val="24"/>
          <w:szCs w:val="24"/>
          <w:highlight w:val="none"/>
        </w:rPr>
      </w:r>
      <w:r>
        <w:rPr>
          <w:color w:val="auto"/>
        </w:rPr>
      </w:r>
      <w:r/>
    </w:p>
    <w:p>
      <w:pPr>
        <w:pStyle w:val="895"/>
        <w:rPr>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color w:val="auto"/>
        </w:rPr>
      </w:r>
      <w:r/>
    </w:p>
    <w:p>
      <w:pPr>
        <w:pStyle w:val="895"/>
        <w:rPr>
          <w:bCs/>
          <w:color w:val="auto"/>
          <w:sz w:val="24"/>
          <w:szCs w:val="24"/>
          <w:highlight w:val="none"/>
        </w:rPr>
      </w:pPr>
      <w:r>
        <w:rPr>
          <w:bCs/>
          <w:color w:val="auto"/>
          <w:sz w:val="24"/>
          <w:szCs w:val="24"/>
          <w:highlight w:val="none"/>
        </w:rPr>
      </w:r>
      <w:r>
        <w:rPr>
          <w:bCs/>
          <w:color w:val="auto"/>
          <w:sz w:val="24"/>
          <w:szCs w:val="24"/>
          <w:highlight w:val="none"/>
        </w:rPr>
        <w:t xml:space="preserve">法定代表人授权代表身份证</w:t>
      </w:r>
      <w:r>
        <w:rPr>
          <w:rFonts w:hint="eastAsia"/>
          <w:bCs/>
          <w:color w:val="auto"/>
          <w:sz w:val="24"/>
          <w:szCs w:val="24"/>
          <w:highlight w:val="none"/>
        </w:rPr>
        <w:t xml:space="preserve">扫描件：</w:t>
      </w:r>
      <w:r>
        <w:rPr>
          <w:rFonts w:hint="eastAsia"/>
          <w:b/>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rPr>
          <w:color w:val="auto"/>
        </w:rPr>
      </w:r>
      <w:r/>
    </w:p>
    <w:p>
      <w:pPr>
        <w:pStyle w:val="895"/>
        <w:rPr>
          <w:rFonts w:ascii="黑体" w:eastAsia="黑体"/>
          <w:color w:val="auto"/>
          <w:sz w:val="32"/>
          <w:szCs w:val="32"/>
          <w:highlight w:val="none"/>
        </w:rPr>
      </w:pPr>
      <w:r>
        <w:rPr>
          <w:bCs/>
          <w:color w:val="auto"/>
          <w:sz w:val="24"/>
          <w:szCs w:val="24"/>
          <w:highlight w:val="none"/>
        </w:rPr>
        <w:fldChar w:fldCharType="begin"/>
      </w:r>
      <w:r>
        <w:rPr>
          <w:bCs/>
          <w:color w:val="auto"/>
          <w:sz w:val="24"/>
          <w:szCs w:val="24"/>
          <w:highlight w:val="none"/>
        </w:rPr>
        <w:instrText xml:space="preserve"> SHAPE  \* MERGEFORMAT </w:instrText>
      </w:r>
      <w:r>
        <w:rPr>
          <w:bCs/>
          <w:color w:val="auto"/>
          <w:sz w:val="24"/>
          <w:szCs w:val="24"/>
          <w:highlight w:val="none"/>
        </w:rPr>
        <w:fldChar w:fldCharType="separate"/>
      </w:r>
      <w:r>
        <w:rPr>
          <w:bCs/>
          <w:color w:val="auto"/>
          <w:sz w:val="24"/>
          <w:szCs w:val="24"/>
          <w:highlight w:val="none"/>
        </w:rPr>
        <w:fldChar w:fldCharType="end"/>
      </w:r>
      <w:r>
        <w:rPr>
          <w:bCs/>
          <w:color w:val="auto"/>
          <w:sz w:val="24"/>
          <w:szCs w:val="24"/>
          <w:highlight w:val="none"/>
        </w:rPr>
        <w:fldChar w:fldCharType="begin"/>
      </w:r>
      <w:r>
        <w:rPr>
          <w:bCs/>
          <w:color w:val="auto"/>
          <w:sz w:val="24"/>
          <w:szCs w:val="24"/>
          <w:highlight w:val="none"/>
        </w:rPr>
        <w:instrText xml:space="preserve"> SHAPE  \* MERGEFORMAT </w:instrText>
      </w:r>
      <w:r>
        <w:rPr>
          <w:bCs/>
          <w:color w:val="auto"/>
          <w:sz w:val="24"/>
          <w:szCs w:val="24"/>
          <w:highlight w:val="none"/>
        </w:rPr>
        <w:fldChar w:fldCharType="separate"/>
      </w:r>
      <w:r>
        <w:rPr>
          <w:bCs/>
          <w:color w:val="auto"/>
          <w:sz w:val="24"/>
          <w:szCs w:val="24"/>
          <w:highlight w:val="none"/>
        </w:rPr>
        <w:fldChar w:fldCharType="end"/>
      </w:r>
      <w:r>
        <w:rPr>
          <w:color w:val="auto"/>
        </w:rPr>
      </w:r>
      <w:r/>
    </w:p>
    <w:p>
      <w:pPr>
        <w:pStyle w:val="895"/>
        <w:ind w:firstLine="420"/>
        <w:spacing w:line="580" w:lineRule="exact"/>
        <w:rPr>
          <w:rFonts w:ascii="宋体"/>
          <w:bCs/>
          <w:color w:val="auto"/>
          <w:sz w:val="24"/>
          <w:szCs w:val="24"/>
          <w:highlight w:val="none"/>
        </w:rPr>
      </w:pPr>
      <w:r>
        <w:rPr>
          <w:rFonts w:ascii="宋体"/>
          <w:bCs/>
          <w:color w:val="auto"/>
          <w:sz w:val="24"/>
          <w:szCs w:val="24"/>
          <w:highlight w:val="none"/>
        </w:rPr>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3060065</wp:posOffset>
                </wp:positionH>
                <wp:positionV relativeFrom="paragraph">
                  <wp:posOffset>188843</wp:posOffset>
                </wp:positionV>
                <wp:extent cx="2606040" cy="149352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606040" cy="1493519"/>
                        </a:xfrm>
                        <a:prstGeom prst="rect">
                          <a:avLst/>
                        </a:prstGeom>
                        <a:solidFill>
                          <a:srgbClr val="FFFFFF"/>
                        </a:solidFill>
                        <a:ln>
                          <a:solidFill>
                            <a:srgbClr val="000000"/>
                          </a:solidFill>
                        </a:ln>
                      </wps:spPr>
                      <wps:txbx>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95"/>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40.9pt;mso-position-horizontal:absolute;mso-position-vertical-relative:text;margin-top:14.9pt;mso-position-vertical:absolute;width:205.2pt;height:117.6pt;mso-wrap-distance-left:9.0pt;mso-wrap-distance-top:0.0pt;mso-wrap-distance-right:9.0pt;mso-wrap-distance-bottom:0.0pt;visibility:visible;" fillcolor="#FFFFFF" strokecolor="#000000">
                <v:textbox inset="0,0,0,0">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95"/>
                      </w:pPr>
                      <w:r/>
                      <w:r/>
                    </w:p>
                  </w:txbxContent>
                </v:textbox>
              </v:shape>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188843</wp:posOffset>
                </wp:positionV>
                <wp:extent cx="2583180" cy="147828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583180" cy="1478279"/>
                        </a:xfrm>
                        <a:prstGeom prst="rect">
                          <a:avLst/>
                        </a:prstGeom>
                        <a:solidFill>
                          <a:srgbClr val="FFFFFF"/>
                        </a:solidFill>
                        <a:ln>
                          <a:solidFill>
                            <a:srgbClr val="000000"/>
                          </a:solidFill>
                        </a:ln>
                      </wps:spPr>
                      <wps:txbx>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95"/>
                            </w:pPr>
                            <w:r/>
                            <w:r/>
                          </w:p>
                        </w:txbxContent>
                      </wps:txbx>
                      <wps:bodyPr wrap="square" upright="1"/>
                    </wps:wsp>
                  </a:graphicData>
                </a:graphic>
              </wp:anchor>
            </w:drawing>
          </mc:Choice>
          <mc:Fallback>
            <w:pict>
              <v:shape id="shape 4" o:spid="_x0000_s4" o:spt="202" type="#_x0000_t202" style="position:absolute;z-index:251658242;o:allowoverlap:true;o:allowincell:true;mso-position-horizontal-relative:text;margin-left:0.0pt;mso-position-horizontal:absolute;mso-position-vertical-relative:text;margin-top:14.9pt;mso-position-vertical:absolute;width:203.4pt;height:116.4pt;mso-wrap-distance-left:9.0pt;mso-wrap-distance-top:0.0pt;mso-wrap-distance-right:9.0pt;mso-wrap-distance-bottom:0.0pt;visibility:visible;" fillcolor="#FFFFFF" strokecolor="#000000">
                <v:textbox inset="0,0,0,0">
                  <w:txbxContent>
                    <w:p>
                      <w:pPr>
                        <w:pStyle w:val="895"/>
                        <w:jc w:val="center"/>
                        <w:rPr>
                          <w:rFonts w:ascii="黑体" w:eastAsia="黑体"/>
                          <w:sz w:val="32"/>
                          <w:szCs w:val="32"/>
                        </w:rPr>
                      </w:pPr>
                      <w:r>
                        <w:rPr>
                          <w:rFonts w:ascii="黑体" w:eastAsia="黑体"/>
                          <w:sz w:val="32"/>
                          <w:szCs w:val="32"/>
                        </w:rPr>
                      </w:r>
                      <w:r>
                        <w:rPr>
                          <w:rFonts w:ascii="黑体" w:eastAsia="黑体"/>
                          <w:sz w:val="32"/>
                          <w:szCs w:val="32"/>
                        </w:rPr>
                      </w:r>
                      <w:r/>
                    </w:p>
                    <w:p>
                      <w:pPr>
                        <w:pStyle w:val="89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9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95"/>
                      </w:pPr>
                      <w:r/>
                      <w:r/>
                    </w:p>
                  </w:txbxContent>
                </v:textbox>
              </v:shape>
            </w:pict>
          </mc:Fallback>
        </mc:AlternateContent>
      </w:r>
      <w:r>
        <w:rPr>
          <w:color w:val="auto"/>
        </w:rPr>
      </w:r>
      <w:r/>
    </w:p>
    <w:p>
      <w:pPr>
        <w:pStyle w:val="895"/>
        <w:ind w:firstLine="420"/>
        <w:spacing w:line="580" w:lineRule="exact"/>
        <w:rPr>
          <w:rFonts w:ascii="宋体"/>
          <w:bCs/>
          <w:color w:val="auto"/>
          <w:sz w:val="24"/>
          <w:szCs w:val="24"/>
          <w:highlight w:val="none"/>
        </w:rPr>
      </w:pPr>
      <w:r>
        <w:rPr>
          <w:rFonts w:ascii="宋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1008"/>
        <w:tabs>
          <w:tab w:val="left" w:pos="72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rPr>
          <w:rFonts w:hint="eastAsia"/>
          <w:color w:val="auto"/>
          <w:highlight w:val="none"/>
        </w:rPr>
      </w:pPr>
      <w:r>
        <w:rPr>
          <w:rFonts w:hint="eastAsia"/>
          <w:color w:val="auto"/>
          <w:highlight w:val="none"/>
        </w:rPr>
      </w:r>
      <w:r>
        <w:rPr>
          <w:color w:val="auto"/>
        </w:rPr>
      </w:r>
      <w:r/>
    </w:p>
    <w:p>
      <w:pPr>
        <w:pStyle w:val="895"/>
        <w:rPr>
          <w:rFonts w:hint="eastAsia"/>
          <w:color w:val="auto"/>
          <w:highlight w:val="none"/>
        </w:rPr>
      </w:pPr>
      <w:r>
        <w:rPr>
          <w:rFonts w:hint="eastAsia"/>
          <w:color w:val="auto"/>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（四）（投标供应商）中小企业声明函（格式）：</w:t>
      </w:r>
      <w:r>
        <w:rPr>
          <w:color w:val="auto"/>
        </w:rPr>
      </w:r>
      <w:r/>
    </w:p>
    <w:p>
      <w:pPr>
        <w:pStyle w:val="895"/>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rPr>
      </w:r>
      <w:r/>
    </w:p>
    <w:p>
      <w:pPr>
        <w:pStyle w:val="89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rPr>
      </w:r>
      <w:r/>
    </w:p>
    <w:p>
      <w:pPr>
        <w:pStyle w:val="89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rPr>
      </w:r>
      <w:r/>
    </w:p>
    <w:p>
      <w:pPr>
        <w:pStyle w:val="89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rPr>
      </w:r>
      <w:r/>
    </w:p>
    <w:p>
      <w:pPr>
        <w:pStyle w:val="89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rPr>
          <w:color w:val="auto"/>
        </w:rPr>
      </w:r>
      <w:r/>
    </w:p>
    <w:p>
      <w:pPr>
        <w:pStyle w:val="89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rPr>
      </w:r>
      <w:r/>
    </w:p>
    <w:p>
      <w:pPr>
        <w:pStyle w:val="895"/>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rPr>
          <w:color w:val="auto"/>
        </w:rPr>
      </w:r>
      <w:r/>
    </w:p>
    <w:p>
      <w:pPr>
        <w:pStyle w:val="895"/>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color w:val="auto"/>
        </w:rPr>
      </w:r>
      <w:r/>
    </w:p>
    <w:p>
      <w:pPr>
        <w:pStyle w:val="895"/>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rPr>
      </w:r>
      <w:r/>
    </w:p>
    <w:p>
      <w:pPr>
        <w:pStyle w:val="895"/>
        <w:spacing w:line="360" w:lineRule="auto"/>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rPr>
          <w:color w:val="auto"/>
        </w:rPr>
      </w:r>
      <w:r/>
    </w:p>
    <w:p>
      <w:pPr>
        <w:pStyle w:val="895"/>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rPr>
      </w:r>
      <w:r/>
    </w:p>
    <w:p>
      <w:pPr>
        <w:pStyle w:val="895"/>
        <w:rPr>
          <w:rFonts w:hint="eastAsia" w:ascii="黑体" w:hAnsi="宋体" w:eastAsia="黑体"/>
          <w:bCs/>
          <w:color w:val="auto"/>
          <w:sz w:val="24"/>
          <w:szCs w:val="24"/>
          <w:highlight w:val="none"/>
        </w:rPr>
        <w:outlineLvl w:val="0"/>
      </w:pPr>
      <w:r>
        <w:rPr>
          <w:rFonts w:ascii="黑体" w:hAnsi="宋体" w:eastAsia="黑体"/>
          <w:bCs/>
          <w:color w:val="auto"/>
          <w:sz w:val="24"/>
          <w:szCs w:val="24"/>
          <w:highlight w:val="none"/>
        </w:rPr>
        <w:br w:type="page" w:clear="all"/>
      </w:r>
      <w:r>
        <w:rPr>
          <w:color w:val="auto"/>
        </w:rPr>
      </w:r>
      <w:r/>
    </w:p>
    <w:p>
      <w:pPr>
        <w:pStyle w:val="895"/>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rPr>
          <w:color w:val="auto"/>
        </w:rPr>
      </w:r>
      <w:r/>
    </w:p>
    <w:p>
      <w:pPr>
        <w:pStyle w:val="895"/>
        <w:spacing w:line="480" w:lineRule="auto"/>
        <w:rPr>
          <w:rFonts w:ascii="宋体"/>
          <w:bCs/>
          <w:color w:val="auto"/>
          <w:sz w:val="24"/>
          <w:szCs w:val="24"/>
          <w:highlight w:val="none"/>
        </w:rPr>
      </w:pPr>
      <w:r>
        <w:rPr>
          <w:rFonts w:ascii="宋体"/>
          <w:bCs/>
          <w:color w:val="auto"/>
          <w:sz w:val="24"/>
          <w:szCs w:val="24"/>
          <w:highlight w:val="none"/>
        </w:rPr>
      </w:r>
      <w:r>
        <w:rPr>
          <w:color w:val="auto"/>
        </w:rPr>
      </w:r>
      <w:r/>
    </w:p>
    <w:p>
      <w:pPr>
        <w:pStyle w:val="895"/>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color w:val="auto"/>
        </w:rPr>
      </w:r>
      <w:r/>
    </w:p>
    <w:p>
      <w:pPr>
        <w:pStyle w:val="895"/>
        <w:jc w:val="center"/>
        <w:rPr>
          <w:rFonts w:ascii="黑体" w:eastAsia="黑体"/>
          <w:bCs/>
          <w:color w:val="auto"/>
          <w:sz w:val="28"/>
          <w:szCs w:val="28"/>
          <w:highlight w:val="none"/>
        </w:rPr>
      </w:pPr>
      <w:r>
        <w:rPr>
          <w:rFonts w:ascii="黑体" w:eastAsia="黑体"/>
          <w:bCs/>
          <w:color w:val="auto"/>
          <w:sz w:val="28"/>
          <w:szCs w:val="28"/>
          <w:highlight w:val="none"/>
        </w:rPr>
      </w:r>
      <w:r>
        <w:rPr>
          <w:color w:val="auto"/>
        </w:rPr>
      </w:r>
      <w:r/>
    </w:p>
    <w:p>
      <w:pPr>
        <w:pStyle w:val="89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w:t>
      </w:r>
      <w:bookmarkStart w:id="29" w:name="_GoBack"/>
      <w:r>
        <w:rPr>
          <w:color w:val="auto"/>
        </w:rPr>
      </w:r>
      <w:bookmarkEnd w:id="29"/>
      <w:r>
        <w:rPr>
          <w:rFonts w:hint="eastAsia" w:ascii="宋体" w:hAnsi="宋体"/>
          <w:bCs/>
          <w:color w:val="auto"/>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r/>
    </w:p>
    <w:p>
      <w:pPr>
        <w:pStyle w:val="89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color w:val="auto"/>
        </w:rPr>
      </w:r>
      <w:r/>
    </w:p>
    <w:p>
      <w:pPr>
        <w:pStyle w:val="89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color w:val="auto"/>
        </w:rPr>
      </w:r>
      <w:r/>
    </w:p>
    <w:p>
      <w:pPr>
        <w:pStyle w:val="89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ind w:firstLine="480"/>
        <w:rPr>
          <w:rFonts w:ascii="黑体" w:hAnsi="宋体" w:eastAsia="黑体"/>
          <w:color w:val="auto"/>
          <w:sz w:val="24"/>
          <w:szCs w:val="24"/>
          <w:highlight w:val="none"/>
        </w:rPr>
        <w:outlineLvl w:val="0"/>
      </w:pPr>
      <w:r>
        <w:rPr>
          <w:rFonts w:ascii="黑体" w:hAnsi="宋体" w:eastAsia="黑体"/>
          <w:bCs/>
          <w:color w:val="auto"/>
          <w:sz w:val="24"/>
          <w:szCs w:val="24"/>
          <w:highlight w:val="none"/>
        </w:rPr>
      </w:r>
      <w:r>
        <w:rPr>
          <w:color w:val="auto"/>
        </w:rPr>
      </w:r>
      <w:r/>
    </w:p>
    <w:p>
      <w:pPr>
        <w:ind w:firstLine="480"/>
        <w:rPr>
          <w:rFonts w:ascii="黑体" w:hAnsi="宋体" w:eastAsia="黑体"/>
          <w:color w:val="auto"/>
          <w:sz w:val="24"/>
          <w:szCs w:val="24"/>
          <w:highlight w:val="none"/>
        </w:rPr>
        <w:outlineLvl w:val="0"/>
      </w:pPr>
      <w:r>
        <w:rPr>
          <w:rFonts w:ascii="黑体" w:hAnsi="宋体" w:eastAsia="黑体"/>
          <w:color w:val="auto"/>
          <w:sz w:val="24"/>
          <w:szCs w:val="24"/>
          <w:highlight w:val="none"/>
        </w:rPr>
      </w:r>
      <w:r>
        <w:rPr>
          <w:color w:val="auto"/>
        </w:rPr>
      </w:r>
      <w:r/>
    </w:p>
    <w:p>
      <w:pPr>
        <w:ind w:firstLine="480"/>
        <w:rPr>
          <w:rFonts w:ascii="黑体" w:hAnsi="宋体" w:eastAsia="黑体"/>
          <w:color w:val="auto"/>
          <w:sz w:val="24"/>
          <w:szCs w:val="24"/>
          <w:highlight w:val="none"/>
        </w:rPr>
        <w:outlineLvl w:val="0"/>
      </w:pPr>
      <w:r>
        <w:rPr>
          <w:rFonts w:ascii="黑体" w:hAnsi="宋体" w:eastAsia="黑体"/>
          <w:color w:val="auto"/>
          <w:sz w:val="24"/>
          <w:szCs w:val="24"/>
          <w:highlight w:val="none"/>
        </w:rPr>
      </w:r>
      <w:r>
        <w:rPr>
          <w:color w:val="auto"/>
        </w:rPr>
      </w:r>
      <w:r/>
    </w:p>
    <w:p>
      <w:pPr>
        <w:pStyle w:val="895"/>
        <w:ind w:firstLine="480"/>
        <w:rPr>
          <w:rFonts w:ascii="黑体" w:hAnsi="宋体" w:eastAsia="黑体"/>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（六）服务保障承诺书（格式）：</w:t>
      </w:r>
      <w:r>
        <w:rPr>
          <w:color w:val="auto"/>
        </w:rPr>
      </w:r>
      <w:r/>
    </w:p>
    <w:p>
      <w:pPr>
        <w:pStyle w:val="895"/>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rPr>
          <w:color w:val="auto"/>
        </w:rPr>
      </w:r>
      <w:r/>
    </w:p>
    <w:p>
      <w:pPr>
        <w:pStyle w:val="895"/>
        <w:jc w:val="center"/>
        <w:rPr>
          <w:rFonts w:ascii="黑体" w:eastAsia="黑体"/>
          <w:bCs/>
          <w:color w:val="auto"/>
          <w:sz w:val="28"/>
          <w:szCs w:val="28"/>
          <w:highlight w:val="none"/>
        </w:rPr>
      </w:pPr>
      <w:r>
        <w:rPr>
          <w:rFonts w:ascii="黑体" w:eastAsia="黑体"/>
          <w:bCs/>
          <w:color w:val="auto"/>
          <w:sz w:val="28"/>
          <w:szCs w:val="28"/>
          <w:highlight w:val="none"/>
        </w:rPr>
      </w:r>
      <w:r>
        <w:rPr>
          <w:color w:val="auto"/>
        </w:rPr>
      </w:r>
      <w:r/>
    </w:p>
    <w:p>
      <w:pPr>
        <w:pStyle w:val="895"/>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JSZC-320206-JSZH-G2024-0031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rPr>
          <w:color w:val="auto"/>
        </w:rPr>
      </w:r>
      <w:r/>
    </w:p>
    <w:p>
      <w:pPr>
        <w:pStyle w:val="895"/>
        <w:spacing w:line="480" w:lineRule="auto"/>
        <w:rPr>
          <w:rFonts w:ascii="宋体" w:hAnsi="宋体"/>
          <w:color w:val="auto"/>
          <w:sz w:val="24"/>
          <w:szCs w:val="24"/>
          <w:highlight w:val="none"/>
        </w:rPr>
      </w:pPr>
      <w:r>
        <w:rPr>
          <w:rFonts w:ascii="宋体" w:hAnsi="宋体"/>
          <w:color w:val="auto"/>
          <w:sz w:val="24"/>
          <w:szCs w:val="24"/>
          <w:highlight w:val="none"/>
        </w:rPr>
      </w:r>
      <w:r>
        <w:rPr>
          <w:color w:val="auto"/>
        </w:rPr>
      </w:r>
      <w:r/>
    </w:p>
    <w:p>
      <w:pPr>
        <w:pStyle w:val="895"/>
        <w:ind w:firstLine="482"/>
        <w:spacing w:line="360" w:lineRule="auto"/>
        <w:rPr>
          <w:rFonts w:ascii="宋体" w:hAnsi="宋体"/>
          <w:color w:val="auto"/>
          <w:sz w:val="24"/>
          <w:highlight w:val="none"/>
        </w:rPr>
      </w:pPr>
      <w:r>
        <w:rPr>
          <w:rFonts w:hint="eastAsia" w:ascii="宋体" w:hAnsi="宋体"/>
          <w:color w:val="auto"/>
          <w:sz w:val="24"/>
          <w:highlight w:val="none"/>
        </w:rPr>
        <w:t xml:space="preserve">1.本公司（单位）具备履行合同所必需的设备和专业技术能力；</w:t>
      </w:r>
      <w:r>
        <w:rPr>
          <w:color w:val="auto"/>
        </w:rPr>
      </w:r>
      <w:r/>
    </w:p>
    <w:p>
      <w:pPr>
        <w:pStyle w:val="895"/>
        <w:ind w:firstLine="482"/>
        <w:spacing w:line="360" w:lineRule="auto"/>
        <w:rPr>
          <w:rFonts w:ascii="宋体" w:hAnsi="宋体"/>
          <w:color w:val="auto"/>
          <w:sz w:val="24"/>
          <w:highlight w:val="none"/>
        </w:rPr>
      </w:pPr>
      <w:r>
        <w:rPr>
          <w:rFonts w:hint="eastAsia" w:ascii="宋体" w:hAnsi="宋体"/>
          <w:color w:val="auto"/>
          <w:sz w:val="24"/>
          <w:highlight w:val="none"/>
        </w:rPr>
        <w:t xml:space="preserve">2.本公司未被“信用中国”网站（</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hint="eastAsia" w:ascii="宋体" w:hAnsi="宋体"/>
          <w:color w:val="auto"/>
          <w:sz w:val="24"/>
          <w:highlight w:val="none"/>
        </w:rPr>
        <w:t xml:space="preserve">www.creditchina.gov.cn</w:t>
      </w:r>
      <w:r>
        <w:rPr>
          <w:rFonts w:ascii="宋体" w:hAnsi="宋体"/>
          <w:color w:val="auto"/>
          <w:sz w:val="24"/>
          <w:highlight w:val="none"/>
        </w:rPr>
        <w:fldChar w:fldCharType="end"/>
      </w:r>
      <w:r>
        <w:rPr>
          <w:rFonts w:hint="eastAsia" w:ascii="宋体" w:hAnsi="宋体"/>
          <w:color w:val="auto"/>
          <w:sz w:val="24"/>
          <w:highlight w:val="none"/>
        </w:rPr>
        <w:t xml:space="preserve">）列入失信被执行人、重大税收违法失信主体、政府采购严重违法失信行为记录名单。</w:t>
      </w:r>
      <w:r>
        <w:rPr>
          <w:color w:val="auto"/>
        </w:rPr>
      </w:r>
      <w:r/>
    </w:p>
    <w:p>
      <w:pPr>
        <w:pStyle w:val="895"/>
        <w:ind w:firstLine="482"/>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我公司未处于被责令停业、投标资格被取消或者财产被接管、冻结和破产状态，</w:t>
      </w:r>
      <w:r>
        <w:rPr>
          <w:color w:val="auto"/>
        </w:rPr>
      </w:r>
      <w:r/>
    </w:p>
    <w:p>
      <w:pPr>
        <w:pStyle w:val="895"/>
        <w:ind w:firstLine="482"/>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企业没有因骗取中标或者严重违约以及发生重大质量事故等问题，被有关部门暂停投标资格并在暂停期内的。</w:t>
      </w:r>
      <w:r>
        <w:rPr>
          <w:color w:val="auto"/>
        </w:rPr>
      </w:r>
      <w:r/>
    </w:p>
    <w:p>
      <w:pPr>
        <w:pStyle w:val="895"/>
        <w:ind w:firstLine="482"/>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w:t>
      </w:r>
      <w:r>
        <w:rPr>
          <w:rFonts w:hint="eastAsia" w:ascii="宋体" w:hAnsi="宋体"/>
          <w:color w:val="auto"/>
          <w:sz w:val="24"/>
          <w:highlight w:val="none"/>
        </w:rPr>
        <w:t xml:space="preserve">根据贵单位（公司）提出的招标文件要求，本公司递交的投标文件中的内容没有隐瞒、虚假、伪造等弄虚作假行为。</w:t>
      </w:r>
      <w:r>
        <w:rPr>
          <w:color w:val="auto"/>
        </w:rPr>
      </w:r>
      <w:r/>
    </w:p>
    <w:p>
      <w:pPr>
        <w:pStyle w:val="895"/>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若发现该行为，贵公司可以拒绝我公司报价，如已中标，可取消我公司中标资格，并接受政府采购主管部门对我公司弄虚作假、违反公平和诚实信用原则做出的任何处理。</w:t>
      </w:r>
      <w:r>
        <w:rPr>
          <w:color w:val="auto"/>
        </w:rPr>
      </w:r>
      <w:r/>
    </w:p>
    <w:p>
      <w:pPr>
        <w:pStyle w:val="895"/>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rPr>
      </w:r>
      <w:r/>
    </w:p>
    <w:p>
      <w:pPr>
        <w:pStyle w:val="895"/>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rPr>
          <w:color w:val="auto"/>
        </w:rPr>
      </w:r>
      <w:r/>
    </w:p>
    <w:p>
      <w:pPr>
        <w:pStyle w:val="895"/>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rPr>
          <w:color w:val="auto"/>
        </w:rPr>
      </w:r>
      <w:r/>
    </w:p>
    <w:p>
      <w:pPr>
        <w:pStyle w:val="895"/>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color w:val="auto"/>
        </w:rPr>
      </w:r>
      <w:r/>
    </w:p>
    <w:p>
      <w:pPr>
        <w:pStyle w:val="895"/>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rPr>
      </w:r>
      <w:r/>
    </w:p>
    <w:p>
      <w:pPr>
        <w:pStyle w:val="895"/>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919"/>
        <w:rPr>
          <w:rFonts w:hint="eastAsia"/>
          <w:color w:val="auto"/>
          <w:highlight w:val="none"/>
        </w:rPr>
      </w:pPr>
      <w:r>
        <w:rPr>
          <w:rFonts w:hint="eastAsia"/>
          <w:color w:val="auto"/>
          <w:highlight w:val="none"/>
        </w:rPr>
      </w:r>
      <w:r>
        <w:rPr>
          <w:color w:val="auto"/>
        </w:rPr>
      </w:r>
      <w:r/>
    </w:p>
    <w:p>
      <w:pPr>
        <w:pStyle w:val="895"/>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（七）开标一览表（格式）：</w:t>
      </w:r>
      <w:r>
        <w:rPr>
          <w:color w:val="auto"/>
        </w:rPr>
      </w:r>
      <w:r/>
    </w:p>
    <w:p>
      <w:pPr>
        <w:pStyle w:val="895"/>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rPr>
          <w:color w:val="auto"/>
        </w:rPr>
      </w:r>
      <w:r/>
    </w:p>
    <w:p>
      <w:pPr>
        <w:pStyle w:val="895"/>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color w:val="auto"/>
        </w:rPr>
      </w:r>
      <w:r/>
    </w:p>
    <w:p>
      <w:pPr>
        <w:pStyle w:val="895"/>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JSZC-320206-JSZH-G2024-0031</w:t>
      </w:r>
      <w:r>
        <w:rPr>
          <w:rFonts w:hint="eastAsia" w:ascii="黑体" w:eastAsia="黑体"/>
          <w:bCs/>
          <w:color w:val="auto"/>
          <w:sz w:val="24"/>
          <w:szCs w:val="24"/>
          <w:highlight w:val="none"/>
        </w:rPr>
        <w:t xml:space="preserve"> </w:t>
      </w:r>
      <w:r>
        <w:rPr>
          <w:color w:val="auto"/>
        </w:rPr>
      </w:r>
      <w:r/>
    </w:p>
    <w:tbl>
      <w:tblPr>
        <w:tblW w:w="9800"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435"/>
        <w:gridCol w:w="6653"/>
      </w:tblGrid>
      <w:tr>
        <w:trPr>
          <w:trHeight w:val="601"/>
        </w:trPr>
        <w:tc>
          <w:tcPr>
            <w:tcW w:w="712" w:type="dxa"/>
            <w:vAlign w:val="center"/>
            <w:textDirection w:val="lrTb"/>
            <w:noWrap w:val="false"/>
          </w:tcPr>
          <w:p>
            <w:pPr>
              <w:pStyle w:val="895"/>
              <w:jc w:val="center"/>
              <w:spacing w:line="400" w:lineRule="exact"/>
              <w:rPr>
                <w:rFonts w:hint="eastAsia" w:hAnsi="宋体" w:cs="宋体"/>
                <w:color w:val="auto"/>
                <w:sz w:val="24"/>
                <w:szCs w:val="24"/>
                <w:highlight w:val="none"/>
              </w:rPr>
            </w:pPr>
            <w:r>
              <w:rPr>
                <w:rFonts w:hint="eastAsia" w:hAnsi="宋体" w:cs="宋体"/>
                <w:bCs/>
                <w:color w:val="auto"/>
                <w:sz w:val="24"/>
                <w:szCs w:val="24"/>
                <w:highlight w:val="none"/>
                <w:lang w:bidi="ar"/>
              </w:rPr>
              <w:t xml:space="preserve">序号</w:t>
            </w:r>
            <w:r>
              <w:rPr>
                <w:color w:val="auto"/>
              </w:rPr>
            </w:r>
            <w:r/>
          </w:p>
        </w:tc>
        <w:tc>
          <w:tcPr>
            <w:tcW w:w="2435" w:type="dxa"/>
            <w:vAlign w:val="center"/>
            <w:textDirection w:val="lrTb"/>
            <w:noWrap w:val="false"/>
          </w:tcPr>
          <w:p>
            <w:pPr>
              <w:pStyle w:val="895"/>
              <w:jc w:val="center"/>
              <w:spacing w:line="400" w:lineRule="exact"/>
              <w:rPr>
                <w:rFonts w:hint="eastAsia" w:hAnsi="宋体" w:cs="宋体"/>
                <w:color w:val="auto"/>
                <w:sz w:val="24"/>
                <w:szCs w:val="24"/>
                <w:highlight w:val="none"/>
              </w:rPr>
            </w:pPr>
            <w:r>
              <w:rPr>
                <w:rFonts w:hint="eastAsia" w:hAnsi="宋体" w:cs="宋体"/>
                <w:color w:val="auto"/>
                <w:sz w:val="24"/>
                <w:szCs w:val="24"/>
                <w:highlight w:val="none"/>
                <w:lang w:bidi="ar"/>
              </w:rPr>
              <w:t xml:space="preserve">名称</w:t>
            </w:r>
            <w:r>
              <w:rPr>
                <w:color w:val="auto"/>
              </w:rPr>
            </w:r>
            <w:r/>
          </w:p>
        </w:tc>
        <w:tc>
          <w:tcPr>
            <w:tcW w:w="6653" w:type="dxa"/>
            <w:vAlign w:val="center"/>
            <w:textDirection w:val="lrTb"/>
            <w:noWrap w:val="false"/>
          </w:tcPr>
          <w:p>
            <w:pPr>
              <w:pStyle w:val="895"/>
              <w:jc w:val="cente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bidi="ar"/>
              </w:rPr>
              <w:t xml:space="preserve">承诺内容</w:t>
            </w:r>
            <w:r>
              <w:rPr>
                <w:color w:val="auto"/>
              </w:rPr>
            </w:r>
            <w:r/>
          </w:p>
        </w:tc>
      </w:tr>
      <w:tr>
        <w:trPr>
          <w:cantSplit/>
          <w:trHeight w:val="476"/>
        </w:trPr>
        <w:tc>
          <w:tcPr>
            <w:tcW w:w="712" w:type="dxa"/>
            <w:vAlign w:val="center"/>
            <w:textDirection w:val="lrTb"/>
            <w:noWrap w:val="false"/>
          </w:tcPr>
          <w:p>
            <w:pPr>
              <w:pStyle w:val="895"/>
              <w:jc w:val="center"/>
              <w:rPr>
                <w:rFonts w:hint="eastAsia" w:hAnsi="宋体" w:cs="宋体"/>
                <w:b/>
                <w:bCs/>
                <w:color w:val="auto"/>
                <w:sz w:val="24"/>
                <w:szCs w:val="24"/>
                <w:highlight w:val="none"/>
              </w:rPr>
            </w:pPr>
            <w:r>
              <w:rPr>
                <w:rFonts w:hint="eastAsia" w:hAnsi="宋体" w:cs="宋体"/>
                <w:b/>
                <w:bCs/>
                <w:color w:val="auto"/>
                <w:sz w:val="24"/>
                <w:szCs w:val="24"/>
                <w:highlight w:val="none"/>
                <w:lang w:bidi="ar"/>
              </w:rPr>
              <w:t xml:space="preserve">1</w:t>
            </w:r>
            <w:r>
              <w:rPr>
                <w:color w:val="auto"/>
              </w:rPr>
            </w:r>
            <w:r/>
          </w:p>
        </w:tc>
        <w:tc>
          <w:tcPr>
            <w:tcW w:w="2435" w:type="dxa"/>
            <w:vAlign w:val="center"/>
            <w:textDirection w:val="lrTb"/>
            <w:noWrap w:val="false"/>
          </w:tcPr>
          <w:p>
            <w:pPr>
              <w:pStyle w:val="895"/>
              <w:jc w:val="center"/>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投标总价 </w:t>
            </w:r>
            <w:r>
              <w:rPr>
                <w:color w:val="auto"/>
              </w:rPr>
            </w:r>
            <w:r/>
          </w:p>
        </w:tc>
        <w:tc>
          <w:tcPr>
            <w:tcW w:w="6653" w:type="dxa"/>
            <w:vAlign w:val="center"/>
            <w:textDirection w:val="lrTb"/>
            <w:noWrap w:val="false"/>
          </w:tcPr>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小写：            </w:t>
            </w:r>
            <w:r>
              <w:rPr>
                <w:color w:val="auto"/>
              </w:rPr>
            </w:r>
            <w:r/>
          </w:p>
          <w:p>
            <w:pPr>
              <w:pStyle w:val="895"/>
              <w:jc w:val="left"/>
              <w:widowControl/>
              <w:rPr>
                <w:rFonts w:hint="eastAsia" w:hAnsi="宋体" w:cs="宋体"/>
                <w:b/>
                <w:bCs/>
                <w:color w:val="auto"/>
                <w:sz w:val="24"/>
                <w:szCs w:val="24"/>
                <w:highlight w:val="none"/>
              </w:rPr>
            </w:pPr>
            <w:r>
              <w:rPr>
                <w:rFonts w:hint="eastAsia" w:hAnsi="宋体" w:cs="宋体"/>
                <w:color w:val="auto"/>
                <w:sz w:val="24"/>
                <w:szCs w:val="24"/>
                <w:highlight w:val="none"/>
                <w:lang w:bidi="ar"/>
              </w:rPr>
              <w:t xml:space="preserve">大写：     </w:t>
            </w:r>
            <w:r>
              <w:rPr>
                <w:color w:val="auto"/>
              </w:rPr>
            </w:r>
            <w:r/>
          </w:p>
        </w:tc>
      </w:tr>
      <w:tr>
        <w:trPr>
          <w:cantSplit/>
          <w:trHeight w:val="629"/>
        </w:trPr>
        <w:tc>
          <w:tcPr>
            <w:tcW w:w="712" w:type="dxa"/>
            <w:vAlign w:val="center"/>
            <w:textDirection w:val="lrTb"/>
            <w:noWrap w:val="false"/>
          </w:tcPr>
          <w:p>
            <w:pPr>
              <w:pStyle w:val="895"/>
              <w:jc w:val="center"/>
              <w:rPr>
                <w:rFonts w:hint="eastAsia" w:hAnsi="宋体" w:eastAsia="宋体" w:cs="宋体"/>
                <w:b/>
                <w:bCs/>
                <w:color w:val="auto"/>
                <w:sz w:val="24"/>
                <w:szCs w:val="24"/>
                <w:highlight w:val="none"/>
              </w:rPr>
            </w:pPr>
            <w:r>
              <w:rPr>
                <w:rFonts w:hint="eastAsia" w:hAnsi="宋体" w:cs="宋体"/>
                <w:b/>
                <w:bCs/>
                <w:color w:val="auto"/>
                <w:sz w:val="24"/>
                <w:szCs w:val="24"/>
                <w:highlight w:val="none"/>
                <w:lang w:bidi="ar"/>
              </w:rPr>
              <w:t xml:space="preserve">1.</w:t>
            </w:r>
            <w:r>
              <w:rPr>
                <w:rFonts w:hint="eastAsia" w:hAnsi="宋体" w:cs="宋体"/>
                <w:b/>
                <w:bCs/>
                <w:color w:val="auto"/>
                <w:sz w:val="24"/>
                <w:szCs w:val="24"/>
                <w:highlight w:val="none"/>
                <w:lang w:val="en-US" w:eastAsia="zh-CN" w:bidi="ar"/>
              </w:rPr>
              <w:t xml:space="preserve">1</w:t>
            </w:r>
            <w:r>
              <w:rPr>
                <w:color w:val="auto"/>
              </w:rPr>
            </w:r>
            <w:r/>
          </w:p>
        </w:tc>
        <w:tc>
          <w:tcPr>
            <w:tcW w:w="2435" w:type="dxa"/>
            <w:vAlign w:val="center"/>
            <w:textDirection w:val="lrTb"/>
            <w:noWrap w:val="false"/>
          </w:tcPr>
          <w:p>
            <w:pPr>
              <w:pStyle w:val="895"/>
              <w:jc w:val="center"/>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折合成每月费用</w:t>
            </w:r>
            <w:r>
              <w:rPr>
                <w:color w:val="auto"/>
              </w:rPr>
            </w:r>
            <w:r/>
          </w:p>
        </w:tc>
        <w:tc>
          <w:tcPr>
            <w:tcW w:w="6653" w:type="dxa"/>
            <w:vAlign w:val="center"/>
            <w:textDirection w:val="lrTb"/>
            <w:noWrap w:val="false"/>
          </w:tcPr>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元/月</w:t>
            </w:r>
            <w:r>
              <w:rPr>
                <w:color w:val="auto"/>
              </w:rPr>
            </w:r>
            <w:r/>
          </w:p>
        </w:tc>
      </w:tr>
      <w:tr>
        <w:trPr>
          <w:cantSplit/>
          <w:trHeight w:val="615"/>
        </w:trPr>
        <w:tc>
          <w:tcPr>
            <w:tcW w:w="712" w:type="dxa"/>
            <w:vAlign w:val="center"/>
            <w:textDirection w:val="lrTb"/>
            <w:noWrap w:val="false"/>
          </w:tcPr>
          <w:p>
            <w:pPr>
              <w:pStyle w:val="895"/>
              <w:jc w:val="center"/>
              <w:rPr>
                <w:rFonts w:hint="eastAsia" w:hAnsi="宋体" w:cs="宋体"/>
                <w:b/>
                <w:bCs/>
                <w:color w:val="auto"/>
                <w:sz w:val="24"/>
                <w:szCs w:val="24"/>
                <w:highlight w:val="none"/>
              </w:rPr>
            </w:pPr>
            <w:r>
              <w:rPr>
                <w:rFonts w:hint="eastAsia" w:hAnsi="宋体" w:cs="宋体"/>
                <w:b/>
                <w:bCs/>
                <w:color w:val="auto"/>
                <w:sz w:val="24"/>
                <w:szCs w:val="24"/>
                <w:highlight w:val="none"/>
                <w:lang w:bidi="ar"/>
              </w:rPr>
              <w:t xml:space="preserve">2</w:t>
            </w:r>
            <w:r>
              <w:rPr>
                <w:color w:val="auto"/>
              </w:rPr>
            </w:r>
            <w:r/>
          </w:p>
        </w:tc>
        <w:tc>
          <w:tcPr>
            <w:tcW w:w="2435" w:type="dxa"/>
            <w:vAlign w:val="center"/>
            <w:textDirection w:val="lrTb"/>
            <w:noWrap w:val="false"/>
          </w:tcPr>
          <w:p>
            <w:pPr>
              <w:pStyle w:val="895"/>
              <w:jc w:val="center"/>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服务期限</w:t>
            </w:r>
            <w:r>
              <w:rPr>
                <w:color w:val="auto"/>
              </w:rPr>
            </w:r>
            <w:r/>
          </w:p>
        </w:tc>
        <w:tc>
          <w:tcPr>
            <w:tcW w:w="6653" w:type="dxa"/>
            <w:vAlign w:val="center"/>
            <w:textDirection w:val="lrTb"/>
            <w:noWrap w:val="false"/>
          </w:tcPr>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lang w:val="en-US" w:eastAsia="zh-CN" w:bidi="ar"/>
              </w:rPr>
              <w:t xml:space="preserve">2年</w:t>
            </w:r>
            <w:r>
              <w:rPr>
                <w:rFonts w:hint="eastAsia" w:hAnsi="宋体" w:cs="宋体"/>
                <w:color w:val="auto"/>
                <w:sz w:val="24"/>
                <w:szCs w:val="24"/>
                <w:highlight w:val="none"/>
                <w:lang w:bidi="ar"/>
              </w:rPr>
              <w:t xml:space="preserve">（合同签定生效之日起）。合同</w:t>
            </w:r>
            <w:r>
              <w:rPr>
                <w:rFonts w:hint="eastAsia" w:hAnsi="宋体" w:cs="宋体"/>
                <w:color w:val="auto"/>
                <w:sz w:val="24"/>
                <w:szCs w:val="24"/>
                <w:highlight w:val="none"/>
                <w:lang w:val="en-US" w:eastAsia="zh-CN" w:bidi="ar"/>
              </w:rPr>
              <w:t xml:space="preserve">履约期限</w:t>
            </w:r>
            <w:r>
              <w:rPr>
                <w:rFonts w:hint="eastAsia" w:hAnsi="宋体" w:cs="宋体"/>
                <w:color w:val="auto"/>
                <w:sz w:val="24"/>
                <w:szCs w:val="24"/>
                <w:highlight w:val="none"/>
                <w:lang w:bidi="ar"/>
              </w:rPr>
              <w:t xml:space="preserve">内，中标供应商必须严格遵守采购人的考核标准，如考核评价未达到采购人要求，采购人有权</w:t>
            </w:r>
            <w:r>
              <w:rPr>
                <w:rFonts w:hint="eastAsia" w:hAnsi="宋体" w:cs="宋体"/>
                <w:color w:val="auto"/>
                <w:sz w:val="24"/>
                <w:szCs w:val="24"/>
                <w:highlight w:val="none"/>
                <w:lang w:val="en-US" w:eastAsia="zh-CN" w:bidi="ar"/>
              </w:rPr>
              <w:t xml:space="preserve">无条件单方面</w:t>
            </w:r>
            <w:r>
              <w:rPr>
                <w:rFonts w:hint="eastAsia" w:hAnsi="宋体" w:cs="宋体"/>
                <w:color w:val="auto"/>
                <w:sz w:val="24"/>
                <w:szCs w:val="24"/>
                <w:highlight w:val="none"/>
                <w:lang w:bidi="ar"/>
              </w:rPr>
              <w:t xml:space="preserve">终止合同。</w:t>
            </w:r>
            <w:r>
              <w:rPr>
                <w:color w:val="auto"/>
              </w:rPr>
            </w:r>
            <w:r/>
          </w:p>
        </w:tc>
      </w:tr>
      <w:tr>
        <w:trPr>
          <w:cantSplit/>
          <w:trHeight w:val="549"/>
        </w:trPr>
        <w:tc>
          <w:tcPr>
            <w:tcW w:w="712" w:type="dxa"/>
            <w:vAlign w:val="center"/>
            <w:textDirection w:val="lrTb"/>
            <w:noWrap w:val="false"/>
          </w:tcPr>
          <w:p>
            <w:pPr>
              <w:pStyle w:val="895"/>
              <w:jc w:val="center"/>
              <w:rPr>
                <w:rFonts w:hint="eastAsia" w:hAnsi="宋体" w:cs="宋体"/>
                <w:b/>
                <w:bCs/>
                <w:color w:val="auto"/>
                <w:sz w:val="24"/>
                <w:szCs w:val="24"/>
                <w:highlight w:val="none"/>
              </w:rPr>
            </w:pPr>
            <w:r>
              <w:rPr>
                <w:rFonts w:hint="eastAsia" w:hAnsi="宋体" w:cs="宋体"/>
                <w:b/>
                <w:bCs/>
                <w:color w:val="auto"/>
                <w:sz w:val="24"/>
                <w:szCs w:val="24"/>
                <w:highlight w:val="none"/>
                <w:lang w:bidi="ar"/>
              </w:rPr>
              <w:t xml:space="preserve">3</w:t>
            </w:r>
            <w:r>
              <w:rPr>
                <w:color w:val="auto"/>
              </w:rPr>
            </w:r>
            <w:r/>
          </w:p>
        </w:tc>
        <w:tc>
          <w:tcPr>
            <w:tcW w:w="2435" w:type="dxa"/>
            <w:vAlign w:val="center"/>
            <w:textDirection w:val="lrTb"/>
            <w:noWrap w:val="false"/>
          </w:tcPr>
          <w:p>
            <w:pPr>
              <w:pStyle w:val="895"/>
              <w:jc w:val="center"/>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养护质量标准</w:t>
            </w:r>
            <w:r>
              <w:rPr>
                <w:color w:val="auto"/>
              </w:rPr>
            </w:r>
            <w:r/>
          </w:p>
        </w:tc>
        <w:tc>
          <w:tcPr>
            <w:tcW w:w="6653" w:type="dxa"/>
            <w:vAlign w:val="center"/>
            <w:textDirection w:val="lrTb"/>
            <w:noWrap w:val="false"/>
          </w:tcPr>
          <w:p>
            <w:pPr>
              <w:pStyle w:val="895"/>
              <w:jc w:val="left"/>
              <w:widowControl/>
              <w:rPr>
                <w:rFonts w:hint="eastAsia" w:hAnsi="宋体" w:cs="宋体"/>
                <w:color w:val="auto"/>
                <w:sz w:val="24"/>
                <w:szCs w:val="24"/>
                <w:highlight w:val="none"/>
              </w:rPr>
            </w:pPr>
            <w:r>
              <w:rPr>
                <w:rFonts w:hint="eastAsia" w:hAnsi="宋体" w:cs="宋体"/>
                <w:b w:val="0"/>
                <w:bCs w:val="0"/>
                <w:color w:val="auto"/>
                <w:sz w:val="24"/>
                <w:szCs w:val="24"/>
                <w:highlight w:val="none"/>
                <w:lang w:bidi="ar"/>
              </w:rPr>
              <w:t xml:space="preserve">一级</w:t>
            </w:r>
            <w:r>
              <w:rPr>
                <w:rFonts w:hint="eastAsia" w:hAnsi="宋体" w:cs="宋体"/>
                <w:b w:val="0"/>
                <w:bCs w:val="0"/>
                <w:color w:val="auto"/>
                <w:sz w:val="24"/>
                <w:szCs w:val="24"/>
                <w:highlight w:val="none"/>
                <w:lang w:eastAsia="zh-CN" w:bidi="ar"/>
              </w:rPr>
              <w:t xml:space="preserve">、</w:t>
            </w:r>
            <w:r>
              <w:rPr>
                <w:rFonts w:hint="eastAsia" w:hAnsi="宋体" w:cs="宋体"/>
                <w:b w:val="0"/>
                <w:bCs w:val="0"/>
                <w:color w:val="auto"/>
                <w:sz w:val="24"/>
                <w:szCs w:val="24"/>
                <w:highlight w:val="none"/>
                <w:lang w:val="en-US" w:eastAsia="zh-CN" w:bidi="ar"/>
              </w:rPr>
              <w:t xml:space="preserve">二级</w:t>
            </w:r>
            <w:r>
              <w:rPr>
                <w:rFonts w:hint="eastAsia" w:hAnsi="宋体" w:cs="宋体"/>
                <w:b w:val="0"/>
                <w:bCs w:val="0"/>
                <w:color w:val="auto"/>
                <w:sz w:val="24"/>
                <w:szCs w:val="24"/>
                <w:highlight w:val="none"/>
                <w:lang w:bidi="ar"/>
              </w:rPr>
              <w:t xml:space="preserve">养护标准</w:t>
            </w:r>
            <w:r>
              <w:rPr>
                <w:rFonts w:hint="eastAsia" w:ascii="宋体" w:hAnsi="宋体" w:eastAsia="宋体" w:cs="宋体"/>
                <w:bCs/>
                <w:color w:val="auto"/>
                <w:sz w:val="24"/>
                <w:highlight w:val="none"/>
              </w:rPr>
              <w:t xml:space="preserve">（具体</w:t>
            </w:r>
            <w:r>
              <w:rPr>
                <w:rFonts w:hint="eastAsia" w:ascii="宋体" w:hAnsi="宋体" w:eastAsia="宋体" w:cs="宋体"/>
                <w:bCs/>
                <w:color w:val="auto"/>
                <w:sz w:val="24"/>
                <w:highlight w:val="none"/>
                <w:lang w:val="en-US" w:eastAsia="zh-CN"/>
              </w:rPr>
              <w:t xml:space="preserve">养护等级</w:t>
            </w:r>
            <w:r>
              <w:rPr>
                <w:rFonts w:hint="eastAsia" w:ascii="宋体" w:hAnsi="宋体" w:eastAsia="宋体" w:cs="宋体"/>
                <w:bCs/>
                <w:color w:val="auto"/>
                <w:sz w:val="24"/>
                <w:highlight w:val="none"/>
              </w:rPr>
              <w:t xml:space="preserve">详见采购文件“第三部分 项目技术要求和有关说明”）</w:t>
            </w:r>
            <w:r>
              <w:rPr>
                <w:color w:val="auto"/>
              </w:rPr>
            </w:r>
            <w:r/>
          </w:p>
        </w:tc>
      </w:tr>
      <w:tr>
        <w:trPr>
          <w:cantSplit/>
          <w:trHeight w:val="730"/>
        </w:trPr>
        <w:tc>
          <w:tcPr>
            <w:tcW w:w="712" w:type="dxa"/>
            <w:vAlign w:val="center"/>
            <w:textDirection w:val="lrTb"/>
            <w:noWrap w:val="false"/>
          </w:tcPr>
          <w:p>
            <w:pPr>
              <w:pStyle w:val="895"/>
              <w:jc w:val="center"/>
              <w:rPr>
                <w:rFonts w:hint="eastAsia" w:hAnsi="宋体" w:cs="宋体"/>
                <w:b/>
                <w:bCs/>
                <w:color w:val="auto"/>
                <w:sz w:val="24"/>
                <w:szCs w:val="24"/>
                <w:highlight w:val="none"/>
              </w:rPr>
            </w:pPr>
            <w:r>
              <w:rPr>
                <w:rFonts w:hint="eastAsia" w:hAnsi="宋体" w:cs="宋体"/>
                <w:b/>
                <w:bCs/>
                <w:color w:val="auto"/>
                <w:sz w:val="24"/>
                <w:szCs w:val="24"/>
                <w:highlight w:val="none"/>
                <w:lang w:bidi="ar"/>
              </w:rPr>
              <w:t xml:space="preserve">4</w:t>
            </w:r>
            <w:r>
              <w:rPr>
                <w:color w:val="auto"/>
              </w:rPr>
            </w:r>
            <w:r/>
          </w:p>
        </w:tc>
        <w:tc>
          <w:tcPr>
            <w:tcW w:w="2435" w:type="dxa"/>
            <w:vAlign w:val="center"/>
            <w:textDirection w:val="lrTb"/>
            <w:noWrap w:val="false"/>
          </w:tcPr>
          <w:p>
            <w:pPr>
              <w:pStyle w:val="895"/>
              <w:jc w:val="center"/>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项目负责人</w:t>
            </w:r>
            <w:r>
              <w:rPr>
                <w:color w:val="auto"/>
              </w:rPr>
            </w:r>
            <w:r/>
          </w:p>
        </w:tc>
        <w:tc>
          <w:tcPr>
            <w:tcW w:w="6653" w:type="dxa"/>
            <w:vAlign w:val="center"/>
            <w:textDirection w:val="lrTb"/>
            <w:noWrap w:val="false"/>
          </w:tcPr>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姓名：</w:t>
            </w:r>
            <w:r>
              <w:rPr>
                <w:color w:val="auto"/>
              </w:rPr>
            </w:r>
            <w:r/>
          </w:p>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证号：</w:t>
            </w:r>
            <w:r>
              <w:rPr>
                <w:color w:val="auto"/>
              </w:rPr>
            </w:r>
            <w:r/>
          </w:p>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联系方式：</w:t>
            </w:r>
            <w:r>
              <w:rPr>
                <w:color w:val="auto"/>
              </w:rPr>
            </w:r>
            <w:r/>
          </w:p>
        </w:tc>
      </w:tr>
      <w:tr>
        <w:trPr>
          <w:cantSplit/>
          <w:trHeight w:val="730"/>
        </w:trPr>
        <w:tc>
          <w:tcPr>
            <w:tcW w:w="712" w:type="dxa"/>
            <w:vAlign w:val="center"/>
            <w:textDirection w:val="lrTb"/>
            <w:noWrap w:val="false"/>
          </w:tcPr>
          <w:p>
            <w:pPr>
              <w:pStyle w:val="895"/>
              <w:jc w:val="center"/>
              <w:rPr>
                <w:rFonts w:hint="eastAsia" w:hAnsi="宋体" w:cs="宋体"/>
                <w:b/>
                <w:bCs/>
                <w:color w:val="auto"/>
                <w:sz w:val="24"/>
                <w:szCs w:val="24"/>
                <w:highlight w:val="none"/>
              </w:rPr>
            </w:pPr>
            <w:r>
              <w:rPr>
                <w:rFonts w:hint="eastAsia" w:hAnsi="宋体" w:cs="宋体"/>
                <w:b/>
                <w:bCs/>
                <w:color w:val="auto"/>
                <w:sz w:val="24"/>
                <w:szCs w:val="24"/>
                <w:highlight w:val="none"/>
                <w:lang w:bidi="ar"/>
              </w:rPr>
              <w:t xml:space="preserve">5</w:t>
            </w:r>
            <w:r>
              <w:rPr>
                <w:color w:val="auto"/>
              </w:rPr>
            </w:r>
            <w:r/>
          </w:p>
        </w:tc>
        <w:tc>
          <w:tcPr>
            <w:tcW w:w="2435" w:type="dxa"/>
            <w:vAlign w:val="center"/>
            <w:textDirection w:val="lrTb"/>
            <w:noWrap w:val="false"/>
          </w:tcPr>
          <w:p>
            <w:pPr>
              <w:pStyle w:val="895"/>
              <w:jc w:val="center"/>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其他承诺内容</w:t>
            </w:r>
            <w:r>
              <w:rPr>
                <w:color w:val="auto"/>
              </w:rPr>
            </w:r>
            <w:r/>
          </w:p>
        </w:tc>
        <w:tc>
          <w:tcPr>
            <w:tcW w:w="6653" w:type="dxa"/>
            <w:vAlign w:val="center"/>
            <w:textDirection w:val="lrTb"/>
            <w:noWrap w:val="false"/>
          </w:tcPr>
          <w:p>
            <w:pPr>
              <w:pStyle w:val="895"/>
              <w:jc w:val="left"/>
              <w:widowControl/>
              <w:rPr>
                <w:rFonts w:hint="eastAsia" w:hAnsi="宋体" w:cs="宋体"/>
                <w:color w:val="auto"/>
                <w:sz w:val="24"/>
                <w:szCs w:val="24"/>
                <w:highlight w:val="none"/>
              </w:rPr>
            </w:pPr>
            <w:r>
              <w:rPr>
                <w:rFonts w:hint="eastAsia" w:hAnsi="宋体" w:cs="宋体"/>
                <w:color w:val="auto"/>
                <w:sz w:val="24"/>
                <w:szCs w:val="24"/>
                <w:highlight w:val="none"/>
              </w:rPr>
            </w:r>
            <w:r>
              <w:rPr>
                <w:color w:val="auto"/>
              </w:rPr>
            </w:r>
            <w:r/>
          </w:p>
        </w:tc>
      </w:tr>
    </w:tbl>
    <w:p>
      <w:pPr>
        <w:pStyle w:val="895"/>
        <w:spacing w:line="300" w:lineRule="auto"/>
        <w:rPr>
          <w:rFonts w:ascii="宋体" w:hAnsi="宋体" w:cs="宋体"/>
          <w:color w:val="auto"/>
          <w:highlight w:val="none"/>
        </w:rPr>
      </w:pPr>
      <w:r>
        <w:rPr>
          <w:rFonts w:ascii="宋体" w:hAnsi="宋体" w:cs="宋体"/>
          <w:color w:val="auto"/>
          <w:highlight w:val="none"/>
        </w:rPr>
      </w:r>
      <w:r>
        <w:rPr>
          <w:color w:val="auto"/>
        </w:rPr>
      </w:r>
      <w:r/>
    </w:p>
    <w:p>
      <w:pPr>
        <w:pStyle w:val="895"/>
        <w:spacing w:before="5"/>
        <w:rPr>
          <w:rFonts w:hint="eastAsia"/>
          <w:b/>
          <w:bCs/>
          <w:color w:val="auto"/>
          <w:sz w:val="24"/>
          <w:szCs w:val="24"/>
          <w:highlight w:val="none"/>
        </w:rPr>
      </w:pPr>
      <w:r>
        <w:rPr>
          <w:rFonts w:hint="eastAsia"/>
          <w:b/>
          <w:bCs/>
          <w:color w:val="auto"/>
          <w:sz w:val="24"/>
          <w:szCs w:val="24"/>
          <w:highlight w:val="none"/>
        </w:rPr>
      </w:r>
      <w:r>
        <w:rPr>
          <w:color w:val="auto"/>
        </w:rPr>
      </w:r>
      <w:r/>
    </w:p>
    <w:p>
      <w:pPr>
        <w:pStyle w:val="895"/>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rPr>
          <w:color w:val="auto"/>
        </w:rPr>
      </w:r>
      <w:r/>
    </w:p>
    <w:p>
      <w:pPr>
        <w:pStyle w:val="895"/>
        <w:spacing w:line="400" w:lineRule="exact"/>
        <w:rPr>
          <w:rFonts w:ascii="黑体" w:eastAsia="黑体"/>
          <w:bCs/>
          <w:color w:val="auto"/>
          <w:sz w:val="32"/>
          <w:highlight w:val="none"/>
        </w:rPr>
      </w:pPr>
      <w:r>
        <w:rPr>
          <w:rFonts w:ascii="黑体" w:eastAsia="黑体"/>
          <w:bCs/>
          <w:color w:val="auto"/>
          <w:sz w:val="32"/>
          <w:highlight w:val="none"/>
        </w:rPr>
      </w:r>
      <w:r>
        <w:rPr>
          <w:color w:val="auto"/>
        </w:rPr>
      </w:r>
      <w:r/>
    </w:p>
    <w:p>
      <w:pPr>
        <w:pStyle w:val="895"/>
        <w:rPr>
          <w:rFonts w:hint="eastAsia" w:ascii="宋体" w:hAnsi="宋体" w:cs="宋体"/>
          <w:color w:val="auto"/>
          <w:sz w:val="24"/>
          <w:highlight w:val="none"/>
        </w:rPr>
      </w:pPr>
      <w:r>
        <w:rPr>
          <w:rFonts w:hint="eastAsia" w:ascii="宋体" w:hAnsi="宋体" w:cs="宋体"/>
          <w:color w:val="auto"/>
          <w:sz w:val="24"/>
          <w:highlight w:val="none"/>
        </w:rPr>
        <w:t xml:space="preserve">填写说明：</w:t>
      </w:r>
      <w:r>
        <w:rPr>
          <w:color w:val="auto"/>
        </w:rPr>
      </w:r>
      <w:r/>
    </w:p>
    <w:p>
      <w:pPr>
        <w:pStyle w:val="895"/>
        <w:rPr>
          <w:rFonts w:hint="eastAsia" w:ascii="宋体" w:hAnsi="宋体"/>
          <w:b/>
          <w:color w:val="auto"/>
          <w:sz w:val="24"/>
          <w:highlight w:val="none"/>
        </w:rPr>
      </w:pPr>
      <w:r>
        <w:rPr>
          <w:rFonts w:hint="eastAsia" w:ascii="宋体" w:hAnsi="宋体"/>
          <w:b/>
          <w:color w:val="auto"/>
          <w:sz w:val="24"/>
          <w:highlight w:val="none"/>
        </w:rPr>
        <w:t xml:space="preserve">1、开标一览表中的内容应与响应函内容一致，否则评标时一律按开标一览表中内容为准，开标一览表中必须盖章或签字。</w:t>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rPr>
      </w:r>
      <w:r/>
    </w:p>
    <w:p>
      <w:pPr>
        <w:pStyle w:val="895"/>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jc w:val="left"/>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jc w:val="left"/>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jc w:val="left"/>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t xml:space="preserve">（八）投标报价明细表（格式）</w:t>
      </w:r>
      <w:r>
        <w:rPr>
          <w:color w:val="auto"/>
        </w:rPr>
      </w:r>
      <w:r/>
    </w:p>
    <w:p>
      <w:pPr>
        <w:pStyle w:val="895"/>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格式自拟</w:t>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pStyle w:val="895"/>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color w:val="auto"/>
        </w:rPr>
      </w:r>
      <w:r/>
    </w:p>
    <w:p>
      <w:pPr>
        <w:rPr>
          <w:rFonts w:ascii="黑体" w:eastAsia="黑体"/>
          <w:color w:val="auto"/>
          <w:sz w:val="28"/>
          <w:szCs w:val="28"/>
          <w:highlight w:val="none"/>
        </w:rPr>
        <w:outlineLvl w:val="0"/>
      </w:pPr>
      <w:r>
        <w:rPr>
          <w:rFonts w:hint="eastAsia" w:ascii="黑体" w:hAnsi="宋体" w:eastAsia="黑体"/>
          <w:bCs/>
          <w:color w:val="auto"/>
          <w:sz w:val="24"/>
          <w:szCs w:val="24"/>
          <w:highlight w:val="none"/>
        </w:rPr>
      </w:r>
      <w:r>
        <w:rPr>
          <w:rFonts w:hint="eastAsia" w:ascii="黑体" w:hAnsi="宋体" w:eastAsia="黑体"/>
          <w:bCs/>
          <w:color w:val="auto"/>
          <w:sz w:val="24"/>
          <w:szCs w:val="24"/>
          <w:highlight w:val="none"/>
        </w:rPr>
      </w:r>
    </w:p>
    <w:p>
      <w:pPr>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r>
      <w:r>
        <w:rPr>
          <w:rFonts w:hint="eastAsia" w:ascii="黑体" w:hAnsi="宋体" w:eastAsia="黑体"/>
          <w:bCs/>
          <w:color w:val="auto"/>
          <w:sz w:val="24"/>
          <w:szCs w:val="24"/>
          <w:highlight w:val="none"/>
        </w:rPr>
      </w:r>
    </w:p>
    <w:p>
      <w:pPr>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r>
      <w:r>
        <w:rPr>
          <w:rFonts w:hint="eastAsia" w:ascii="黑体" w:hAnsi="宋体" w:eastAsia="黑体"/>
          <w:bCs/>
          <w:color w:val="auto"/>
          <w:sz w:val="24"/>
          <w:szCs w:val="24"/>
          <w:highlight w:val="none"/>
        </w:rPr>
      </w:r>
    </w:p>
    <w:p>
      <w:pPr>
        <w:pStyle w:val="895"/>
        <w:rPr>
          <w:rFonts w:hint="eastAsia" w:ascii="黑体" w:hAnsi="宋体" w:eastAsia="黑体"/>
          <w:color w:val="auto"/>
          <w:sz w:val="24"/>
          <w:szCs w:val="24"/>
          <w:highlight w:val="none"/>
        </w:rPr>
        <w:outlineLvl w:val="0"/>
      </w:pPr>
      <w:r>
        <w:rPr>
          <w:rFonts w:hint="eastAsia" w:ascii="黑体" w:hAnsi="宋体" w:eastAsia="黑体"/>
          <w:bCs/>
          <w:color w:val="auto"/>
          <w:sz w:val="24"/>
          <w:szCs w:val="24"/>
          <w:highlight w:val="none"/>
        </w:rPr>
        <w:t xml:space="preserve">（九）投标偏离表（格式）：</w:t>
      </w:r>
      <w:r>
        <w:rPr>
          <w:color w:val="auto"/>
        </w:rPr>
      </w:r>
      <w:r/>
    </w:p>
    <w:p>
      <w:pPr>
        <w:pStyle w:val="895"/>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color w:val="auto"/>
        </w:rPr>
      </w:r>
      <w:r/>
    </w:p>
    <w:p>
      <w:pPr>
        <w:pStyle w:val="895"/>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rPr>
      </w:r>
      <w:r/>
    </w:p>
    <w:p>
      <w:pPr>
        <w:pStyle w:val="895"/>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rPr>
      </w:r>
      <w:r/>
    </w:p>
    <w:p>
      <w:pPr>
        <w:pStyle w:val="895"/>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color w:val="auto"/>
        </w:rPr>
      </w:r>
      <w:r/>
    </w:p>
    <w:p>
      <w:pPr>
        <w:pStyle w:val="895"/>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JSZC-320206-JSZH-G2024-0031</w:t>
      </w:r>
      <w:r>
        <w:rPr>
          <w:rFonts w:hint="eastAsia" w:ascii="黑体" w:eastAsia="黑体"/>
          <w:bCs/>
          <w:color w:val="auto"/>
          <w:sz w:val="24"/>
          <w:szCs w:val="24"/>
          <w:highlight w:val="none"/>
        </w:rPr>
        <w:t xml:space="preserve"> </w:t>
      </w:r>
      <w:r>
        <w:rPr>
          <w:color w:val="auto"/>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color w:val="auto"/>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ascii="宋体"/>
                <w:bCs/>
                <w:color w:val="auto"/>
                <w:highlight w:val="none"/>
              </w:rPr>
            </w:pPr>
            <w:r>
              <w:rPr>
                <w:rFonts w:ascii="宋体"/>
                <w:bCs/>
                <w:color w:val="auto"/>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rPr>
                <w:rFonts w:ascii="宋体"/>
                <w:bCs/>
                <w:color w:val="auto"/>
                <w:highlight w:val="none"/>
              </w:rPr>
            </w:pPr>
            <w:r>
              <w:rPr>
                <w:rFonts w:ascii="宋体"/>
                <w:bCs/>
                <w:color w:val="auto"/>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Cs/>
                <w:color w:val="auto"/>
                <w:highlight w:val="none"/>
              </w:rPr>
            </w:pPr>
            <w:r>
              <w:rPr>
                <w:rFonts w:ascii="宋体"/>
                <w:bCs/>
                <w:color w:val="auto"/>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ascii="宋体"/>
                <w:bCs/>
                <w:color w:val="auto"/>
                <w:highlight w:val="none"/>
              </w:rPr>
            </w:pPr>
            <w:r>
              <w:rPr>
                <w:rFonts w:ascii="宋体"/>
                <w:bCs/>
                <w:color w:val="auto"/>
                <w:highlight w:val="none"/>
              </w:rPr>
            </w:r>
            <w:r>
              <w:rPr>
                <w:color w:val="auto"/>
              </w:rPr>
            </w:r>
            <w:r/>
          </w:p>
        </w:tc>
      </w:tr>
    </w:tbl>
    <w:p>
      <w:pPr>
        <w:pStyle w:val="895"/>
        <w:rPr>
          <w:rFonts w:ascii="宋体"/>
          <w:b/>
          <w:color w:val="auto"/>
          <w:sz w:val="24"/>
          <w:szCs w:val="24"/>
          <w:highlight w:val="none"/>
        </w:rPr>
      </w:pPr>
      <w:r>
        <w:rPr>
          <w:rFonts w:ascii="宋体"/>
          <w:b/>
          <w:color w:val="auto"/>
          <w:sz w:val="24"/>
          <w:szCs w:val="24"/>
          <w:highlight w:val="none"/>
        </w:rPr>
      </w:r>
      <w:r>
        <w:rPr>
          <w:color w:val="auto"/>
        </w:rPr>
      </w:r>
      <w:r/>
    </w:p>
    <w:p>
      <w:pPr>
        <w:pStyle w:val="895"/>
        <w:rPr>
          <w:b/>
          <w:bCs/>
          <w:color w:val="auto"/>
          <w:sz w:val="24"/>
          <w:szCs w:val="24"/>
          <w:highlight w:val="none"/>
        </w:rPr>
      </w:pPr>
      <w:r>
        <w:rPr>
          <w:rFonts w:hint="eastAsia"/>
          <w:b/>
          <w:bCs/>
          <w:color w:val="auto"/>
          <w:sz w:val="24"/>
          <w:szCs w:val="24"/>
          <w:highlight w:val="none"/>
        </w:rPr>
        <w:t xml:space="preserve">法定代表人或法定代表人授权代表签字或盖章：</w:t>
      </w:r>
      <w:r>
        <w:rPr>
          <w:color w:val="auto"/>
        </w:rPr>
      </w:r>
      <w:r/>
    </w:p>
    <w:p>
      <w:pPr>
        <w:pStyle w:val="895"/>
        <w:rPr>
          <w:rFonts w:ascii="宋体"/>
          <w:bCs/>
          <w:color w:val="auto"/>
          <w:sz w:val="30"/>
          <w:highlight w:val="none"/>
        </w:rPr>
      </w:pPr>
      <w:r>
        <w:rPr>
          <w:rFonts w:ascii="宋体"/>
          <w:bCs/>
          <w:color w:val="auto"/>
          <w:sz w:val="30"/>
          <w:highlight w:val="none"/>
        </w:rPr>
      </w:r>
      <w:r>
        <w:rPr>
          <w:color w:val="auto"/>
        </w:rPr>
      </w:r>
      <w:r/>
    </w:p>
    <w:p>
      <w:pPr>
        <w:pStyle w:val="895"/>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color w:val="auto"/>
        </w:rPr>
      </w:r>
      <w:r/>
    </w:p>
    <w:p>
      <w:pPr>
        <w:pStyle w:val="895"/>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rPr>
          <w:color w:val="auto"/>
        </w:rPr>
      </w:r>
      <w:r/>
    </w:p>
    <w:p>
      <w:pPr>
        <w:pStyle w:val="895"/>
        <w:rPr>
          <w:rFonts w:asci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rPr>
          <w:color w:val="auto"/>
        </w:rPr>
      </w:r>
      <w:r/>
    </w:p>
    <w:p>
      <w:pPr>
        <w:pStyle w:val="895"/>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color w:val="auto"/>
        </w:rPr>
      </w:r>
      <w:r/>
    </w:p>
    <w:p>
      <w:pPr>
        <w:pStyle w:val="895"/>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color w:val="auto"/>
        </w:rPr>
      </w:r>
      <w:r/>
    </w:p>
    <w:p>
      <w:pPr>
        <w:pStyle w:val="895"/>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（十）技术方案（格式）</w:t>
      </w:r>
      <w:r>
        <w:rPr>
          <w:color w:val="auto"/>
        </w:rPr>
      </w:r>
      <w:r/>
    </w:p>
    <w:p>
      <w:pPr>
        <w:pStyle w:val="895"/>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r/>
    </w:p>
    <w:p>
      <w:pPr>
        <w:pStyle w:val="895"/>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rPr>
          <w:color w:val="auto"/>
        </w:rPr>
      </w:r>
      <w:r/>
    </w:p>
    <w:p>
      <w:pPr>
        <w:pStyle w:val="1022"/>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rPr>
          <w:color w:val="auto"/>
        </w:rPr>
      </w:r>
      <w:r/>
    </w:p>
    <w:p>
      <w:pPr>
        <w:pStyle w:val="1022"/>
        <w:ind w:firstLine="0"/>
        <w:rPr>
          <w:color w:val="auto"/>
          <w:sz w:val="24"/>
          <w:highlight w:val="none"/>
        </w:rPr>
      </w:pPr>
      <w:r>
        <w:rPr>
          <w:color w:val="auto"/>
          <w:sz w:val="24"/>
          <w:highlight w:val="none"/>
        </w:rPr>
      </w:r>
      <w:r>
        <w:rPr>
          <w:color w:val="auto"/>
        </w:rPr>
      </w:r>
      <w:r/>
    </w:p>
    <w:p>
      <w:pPr>
        <w:pStyle w:val="1017"/>
        <w:ind w:firstLine="0"/>
        <w:rPr>
          <w:b/>
          <w:bCs/>
          <w:color w:val="auto"/>
          <w:sz w:val="24"/>
          <w:highlight w:val="none"/>
        </w:rPr>
      </w:pPr>
      <w:r>
        <w:rPr>
          <w:b/>
          <w:bCs/>
          <w:color w:val="auto"/>
          <w:sz w:val="24"/>
          <w:highlight w:val="none"/>
        </w:rPr>
        <w:t xml:space="preserve">（格式自拟）</w:t>
      </w:r>
      <w:r>
        <w:rPr>
          <w:color w:val="auto"/>
        </w:rPr>
      </w:r>
      <w:r/>
    </w:p>
    <w:p>
      <w:pPr>
        <w:pStyle w:val="895"/>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rPr>
          <w:color w:val="auto"/>
        </w:rPr>
      </w:r>
      <w:r/>
    </w:p>
    <w:p>
      <w:pPr>
        <w:pStyle w:val="895"/>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（十一）采购文件要求的其他资料</w:t>
      </w:r>
      <w:r>
        <w:rPr>
          <w:color w:val="auto"/>
        </w:rPr>
      </w:r>
      <w:r/>
    </w:p>
    <w:p>
      <w:pPr>
        <w:pStyle w:val="1017"/>
        <w:ind w:firstLine="0"/>
        <w:rPr>
          <w:rFonts w:hint="eastAsia"/>
          <w:b/>
          <w:bCs/>
          <w:color w:val="auto"/>
          <w:sz w:val="24"/>
          <w:highlight w:val="none"/>
        </w:rPr>
      </w:pPr>
      <w:r>
        <w:rPr>
          <w:rFonts w:hint="eastAsia"/>
          <w:b/>
          <w:bCs/>
          <w:color w:val="auto"/>
          <w:sz w:val="24"/>
          <w:highlight w:val="none"/>
        </w:rPr>
      </w:r>
      <w:r>
        <w:rPr>
          <w:color w:val="auto"/>
        </w:rPr>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1000"/>
      </w:rPr>
      <w:framePr w:wrap="around" w:vAnchor="text" w:hAnchor="margin" w:xAlign="center" w:y="1"/>
    </w:pPr>
    <w:r>
      <w:rPr>
        <w:rStyle w:val="1000"/>
      </w:rPr>
      <w:fldChar w:fldCharType="begin"/>
    </w:r>
    <w:r>
      <w:rPr>
        <w:rStyle w:val="1000"/>
      </w:rPr>
      <w:instrText xml:space="preserve">PAGE  </w:instrText>
    </w:r>
    <w:r>
      <w:rPr>
        <w:rStyle w:val="1000"/>
      </w:rPr>
      <w:fldChar w:fldCharType="separate"/>
    </w:r>
    <w:r>
      <w:rPr>
        <w:rStyle w:val="1000"/>
      </w:rPr>
      <w:t xml:space="preserve">1</w:t>
    </w:r>
    <w:r>
      <w:rPr>
        <w:rStyle w:val="1000"/>
      </w:rPr>
      <w:fldChar w:fldCharType="end"/>
    </w:r>
    <w:r>
      <w:rPr>
        <w:rStyle w:val="1000"/>
      </w:rPr>
    </w:r>
    <w:r/>
  </w:p>
  <w:p>
    <w:pPr>
      <w:pStyle w:val="95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tabs>
        <w:tab w:val="center" w:pos="4153" w:leader="none"/>
        <w:tab w:val="center" w:pos="4524" w:leader="none"/>
        <w:tab w:val="right" w:pos="8306" w:leader="none"/>
        <w:tab w:val="right" w:pos="9048" w:leader="none"/>
      </w:tabs>
    </w:pPr>
    <w:r>
      <w:rPr>
        <w:rFonts w:hint="eastAsia" w:ascii="宋体" w:hAnsi="宋体"/>
        <w:lang w:eastAsia="zh-CN"/>
      </w:rPr>
      <w:t xml:space="preserve">JSZC-320206-JSZH-G2024-0031</w:t>
    </w:r>
    <w:r>
      <w:rPr>
        <w:rFonts w:hint="eastAsia"/>
      </w:rPr>
      <w:t xml:space="preserve">                        </w:t>
    </w:r>
    <w:r>
      <w:rPr>
        <w:rFonts w:hint="eastAsia"/>
        <w:lang w:val="en-US" w:eastAsia="zh-CN"/>
      </w:rPr>
      <w:t xml:space="preserve">                     </w:t>
    </w:r>
    <w:r>
      <w:rPr>
        <w:rFonts w:hint="eastAsia" w:ascii="宋体" w:hAnsi="宋体"/>
        <w:lang w:eastAsia="zh-CN"/>
      </w:rPr>
      <w:t xml:space="preserve">钱桥东片绿化养护项目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tabs>
        <w:tab w:val="center" w:pos="4153" w:leader="none"/>
        <w:tab w:val="center" w:pos="4524" w:leader="none"/>
        <w:tab w:val="right" w:pos="8306" w:leader="none"/>
        <w:tab w:val="right" w:pos="9048" w:leader="none"/>
      </w:tabs>
    </w:pPr>
    <w:r>
      <w:rPr>
        <w:rFonts w:hint="eastAsia" w:ascii="宋体" w:hAnsi="宋体"/>
        <w:lang w:eastAsia="zh-CN"/>
      </w:rPr>
      <w:t xml:space="preserve">JSZC-320206-JSZH-G2024-0031</w:t>
    </w:r>
    <w:r>
      <w:rPr>
        <w:rFonts w:hint="eastAsia"/>
      </w:rPr>
      <w:t xml:space="preserve">                                     </w:t>
    </w:r>
    <w:r>
      <w:rPr>
        <w:rFonts w:hint="eastAsia" w:ascii="宋体" w:hAnsi="宋体"/>
        <w:lang w:eastAsia="zh-CN"/>
      </w:rPr>
      <w:t xml:space="preserve">钱桥东片绿化养护项目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pStyle w:val="895"/>
        <w:ind w:left="450" w:hanging="450"/>
      </w:pPr>
      <w:rPr>
        <w:rFonts w:hint="eastAsia"/>
        <w:b/>
        <w:bCs w:val="0"/>
        <w:color w:val="000000"/>
      </w:rPr>
    </w:lvl>
    <w:lvl w:ilvl="1">
      <w:start w:val="1"/>
      <w:numFmt w:val="decimal"/>
      <w:isLgl w:val="false"/>
      <w:suff w:val="tab"/>
      <w:lvlText w:val="%2."/>
      <w:lvlJc w:val="left"/>
      <w:pPr>
        <w:pStyle w:val="895"/>
        <w:ind w:left="780" w:hanging="360"/>
        <w:tabs>
          <w:tab w:val="num" w:pos="780" w:leader="none"/>
        </w:tabs>
      </w:pPr>
      <w:rPr>
        <w:rFonts w:hint="eastAsia"/>
      </w:rPr>
    </w:lvl>
    <w:lvl w:ilvl="2">
      <w:start w:val="1"/>
      <w:numFmt w:val="lowerRoman"/>
      <w:isLgl w:val="false"/>
      <w:suff w:val="tab"/>
      <w:lvlText w:val="%3."/>
      <w:lvlJc w:val="right"/>
      <w:pPr>
        <w:pStyle w:val="895"/>
        <w:ind w:left="1260" w:hanging="420"/>
        <w:tabs>
          <w:tab w:val="num" w:pos="1260" w:leader="none"/>
        </w:tabs>
      </w:pPr>
      <w:rPr>
        <w:rFonts w:hint="eastAsia"/>
      </w:rPr>
    </w:lvl>
    <w:lvl w:ilvl="3">
      <w:start w:val="1"/>
      <w:numFmt w:val="decimal"/>
      <w:isLgl w:val="false"/>
      <w:suff w:val="tab"/>
      <w:lvlText w:val="%4."/>
      <w:lvlJc w:val="left"/>
      <w:pPr>
        <w:pStyle w:val="895"/>
        <w:ind w:left="1680" w:hanging="420"/>
        <w:tabs>
          <w:tab w:val="num" w:pos="1680" w:leader="none"/>
        </w:tabs>
      </w:pPr>
      <w:rPr>
        <w:rFonts w:hint="eastAsia"/>
      </w:rPr>
    </w:lvl>
    <w:lvl w:ilvl="4">
      <w:start w:val="1"/>
      <w:numFmt w:val="lowerLetter"/>
      <w:isLgl w:val="false"/>
      <w:suff w:val="tab"/>
      <w:lvlText w:val="%5)"/>
      <w:lvlJc w:val="left"/>
      <w:pPr>
        <w:pStyle w:val="895"/>
        <w:ind w:left="2100" w:hanging="420"/>
        <w:tabs>
          <w:tab w:val="num" w:pos="2100" w:leader="none"/>
        </w:tabs>
      </w:pPr>
      <w:rPr>
        <w:rFonts w:hint="eastAsia"/>
      </w:rPr>
    </w:lvl>
    <w:lvl w:ilvl="5">
      <w:start w:val="1"/>
      <w:numFmt w:val="lowerRoman"/>
      <w:isLgl w:val="false"/>
      <w:suff w:val="tab"/>
      <w:lvlText w:val="%6."/>
      <w:lvlJc w:val="right"/>
      <w:pPr>
        <w:pStyle w:val="895"/>
        <w:ind w:left="2520" w:hanging="420"/>
        <w:tabs>
          <w:tab w:val="num" w:pos="2520" w:leader="none"/>
        </w:tabs>
      </w:pPr>
      <w:rPr>
        <w:rFonts w:hint="eastAsia"/>
      </w:rPr>
    </w:lvl>
    <w:lvl w:ilvl="6">
      <w:start w:val="1"/>
      <w:numFmt w:val="decimal"/>
      <w:isLgl w:val="false"/>
      <w:suff w:val="tab"/>
      <w:lvlText w:val="%7."/>
      <w:lvlJc w:val="left"/>
      <w:pPr>
        <w:pStyle w:val="895"/>
        <w:ind w:left="2940" w:hanging="420"/>
        <w:tabs>
          <w:tab w:val="num" w:pos="2940" w:leader="none"/>
        </w:tabs>
      </w:pPr>
      <w:rPr>
        <w:rFonts w:hint="eastAsia"/>
      </w:rPr>
    </w:lvl>
    <w:lvl w:ilvl="7">
      <w:start w:val="1"/>
      <w:numFmt w:val="lowerLetter"/>
      <w:isLgl w:val="false"/>
      <w:suff w:val="tab"/>
      <w:lvlText w:val="%8)"/>
      <w:lvlJc w:val="left"/>
      <w:pPr>
        <w:pStyle w:val="895"/>
        <w:ind w:left="3360" w:hanging="420"/>
        <w:tabs>
          <w:tab w:val="num" w:pos="3360" w:leader="none"/>
        </w:tabs>
      </w:pPr>
      <w:rPr>
        <w:rFonts w:hint="eastAsia"/>
      </w:rPr>
    </w:lvl>
    <w:lvl w:ilvl="8">
      <w:start w:val="1"/>
      <w:numFmt w:val="lowerRoman"/>
      <w:isLgl w:val="false"/>
      <w:suff w:val="tab"/>
      <w:lvlText w:val="%9."/>
      <w:lvlJc w:val="right"/>
      <w:pPr>
        <w:pStyle w:val="895"/>
        <w:ind w:left="3780" w:hanging="420"/>
        <w:tabs>
          <w:tab w:val="num" w:pos="3780" w:leader="none"/>
        </w:tabs>
      </w:pPr>
      <w:rPr>
        <w:rFonts w:hint="eastAsia"/>
      </w:rPr>
    </w:lvl>
  </w:abstractNum>
  <w:abstractNum w:abstractNumId="1">
    <w:multiLevelType w:val="hybridMultilevel"/>
    <w:lvl w:ilvl="0">
      <w:start w:val="1"/>
      <w:numFmt w:val="decimal"/>
      <w:isLgl w:val="false"/>
      <w:suff w:val="tab"/>
      <w:lvlText w:val="%1."/>
      <w:lvlJc w:val="left"/>
      <w:pPr>
        <w:pStyle w:val="895"/>
        <w:ind w:left="630" w:hanging="420"/>
        <w:tabs>
          <w:tab w:val="num" w:pos="630" w:leader="none"/>
        </w:tabs>
      </w:pPr>
      <w:rPr>
        <w:rFonts w:cs="Times New Roman"/>
      </w:rPr>
    </w:lvl>
    <w:lvl w:ilvl="1">
      <w:start w:val="1"/>
      <w:numFmt w:val="decimal"/>
      <w:isLgl w:val="false"/>
      <w:suff w:val="tab"/>
      <w:lvlText w:val="（%2）"/>
      <w:lvlJc w:val="left"/>
      <w:pPr>
        <w:pStyle w:val="895"/>
        <w:ind w:left="927" w:hanging="360"/>
        <w:tabs>
          <w:tab w:val="num" w:pos="927" w:leader="none"/>
        </w:tabs>
      </w:pPr>
      <w:rPr>
        <w:rFonts w:ascii="宋体" w:hAnsi="宋体" w:eastAsia="宋体" w:cs="Times New Roman"/>
        <w:color w:val="000000"/>
      </w:rPr>
    </w:lvl>
    <w:lvl w:ilvl="2">
      <w:start w:val="1"/>
      <w:numFmt w:val="lowerRoman"/>
      <w:isLgl w:val="false"/>
      <w:suff w:val="tab"/>
      <w:lvlText w:val="%3."/>
      <w:lvlJc w:val="right"/>
      <w:pPr>
        <w:pStyle w:val="895"/>
        <w:ind w:left="1470" w:hanging="420"/>
        <w:tabs>
          <w:tab w:val="num" w:pos="1470" w:leader="none"/>
        </w:tabs>
      </w:pPr>
      <w:rPr>
        <w:rFonts w:cs="Times New Roman"/>
      </w:rPr>
    </w:lvl>
    <w:lvl w:ilvl="3">
      <w:start w:val="1"/>
      <w:numFmt w:val="decimal"/>
      <w:isLgl w:val="false"/>
      <w:suff w:val="tab"/>
      <w:lvlText w:val="%4."/>
      <w:lvlJc w:val="left"/>
      <w:pPr>
        <w:pStyle w:val="895"/>
        <w:ind w:left="1890" w:hanging="420"/>
        <w:tabs>
          <w:tab w:val="num" w:pos="1890" w:leader="none"/>
        </w:tabs>
      </w:pPr>
      <w:rPr>
        <w:rFonts w:cs="Times New Roman"/>
      </w:rPr>
    </w:lvl>
    <w:lvl w:ilvl="4">
      <w:start w:val="1"/>
      <w:numFmt w:val="lowerLetter"/>
      <w:isLgl w:val="false"/>
      <w:suff w:val="tab"/>
      <w:lvlText w:val="%5)"/>
      <w:lvlJc w:val="left"/>
      <w:pPr>
        <w:pStyle w:val="895"/>
        <w:ind w:left="2310" w:hanging="420"/>
        <w:tabs>
          <w:tab w:val="num" w:pos="2310" w:leader="none"/>
        </w:tabs>
      </w:pPr>
      <w:rPr>
        <w:rFonts w:cs="Times New Roman"/>
      </w:rPr>
    </w:lvl>
    <w:lvl w:ilvl="5">
      <w:start w:val="1"/>
      <w:numFmt w:val="lowerRoman"/>
      <w:isLgl w:val="false"/>
      <w:suff w:val="tab"/>
      <w:lvlText w:val="%6."/>
      <w:lvlJc w:val="right"/>
      <w:pPr>
        <w:pStyle w:val="895"/>
        <w:ind w:left="2730" w:hanging="420"/>
        <w:tabs>
          <w:tab w:val="num" w:pos="2730" w:leader="none"/>
        </w:tabs>
      </w:pPr>
      <w:rPr>
        <w:rFonts w:cs="Times New Roman"/>
      </w:rPr>
    </w:lvl>
    <w:lvl w:ilvl="6">
      <w:start w:val="1"/>
      <w:numFmt w:val="decimal"/>
      <w:isLgl w:val="false"/>
      <w:suff w:val="tab"/>
      <w:lvlText w:val="%7."/>
      <w:lvlJc w:val="left"/>
      <w:pPr>
        <w:pStyle w:val="895"/>
        <w:ind w:left="3150" w:hanging="420"/>
        <w:tabs>
          <w:tab w:val="num" w:pos="3150" w:leader="none"/>
        </w:tabs>
      </w:pPr>
      <w:rPr>
        <w:rFonts w:cs="Times New Roman"/>
      </w:rPr>
    </w:lvl>
    <w:lvl w:ilvl="7">
      <w:start w:val="1"/>
      <w:numFmt w:val="lowerLetter"/>
      <w:isLgl w:val="false"/>
      <w:suff w:val="tab"/>
      <w:lvlText w:val="%8)"/>
      <w:lvlJc w:val="left"/>
      <w:pPr>
        <w:pStyle w:val="895"/>
        <w:ind w:left="3570" w:hanging="420"/>
        <w:tabs>
          <w:tab w:val="num" w:pos="3570" w:leader="none"/>
        </w:tabs>
      </w:pPr>
      <w:rPr>
        <w:rFonts w:cs="Times New Roman"/>
      </w:rPr>
    </w:lvl>
    <w:lvl w:ilvl="8">
      <w:start w:val="1"/>
      <w:numFmt w:val="lowerRoman"/>
      <w:isLgl w:val="false"/>
      <w:suff w:val="tab"/>
      <w:lvlText w:val="%9."/>
      <w:lvlJc w:val="right"/>
      <w:pPr>
        <w:pStyle w:val="895"/>
        <w:ind w:left="3990" w:hanging="420"/>
        <w:tabs>
          <w:tab w:val="num" w:pos="3990" w:leader="none"/>
        </w:tabs>
      </w:pPr>
      <w:rPr>
        <w:rFonts w:cs="Times New Roman"/>
      </w:rPr>
    </w:lvl>
  </w:abstractNum>
  <w:abstractNum w:abstractNumId="2">
    <w:multiLevelType w:val="hybridMultilevel"/>
    <w:lvl w:ilvl="0">
      <w:start w:val="1"/>
      <w:numFmt w:val="decimal"/>
      <w:isLgl w:val="false"/>
      <w:suff w:val="tab"/>
      <w:lvlText w:val="（%1）"/>
      <w:lvlJc w:val="left"/>
      <w:pPr>
        <w:pStyle w:val="895"/>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5"/>
        <w:ind w:left="898" w:hanging="720"/>
        <w:tabs>
          <w:tab w:val="num" w:pos="898" w:leader="none"/>
        </w:tabs>
      </w:pPr>
      <w:rPr>
        <w:rFonts w:hint="eastAsia" w:cs="Times New Roman"/>
        <w:color w:val="000000"/>
      </w:rPr>
    </w:lvl>
    <w:lvl w:ilvl="1">
      <w:start w:val="1"/>
      <w:numFmt w:val="lowerLetter"/>
      <w:isLgl w:val="false"/>
      <w:suff w:val="tab"/>
      <w:lvlText w:val="%2)"/>
      <w:lvlJc w:val="left"/>
      <w:pPr>
        <w:pStyle w:val="895"/>
        <w:ind w:left="840" w:hanging="420"/>
        <w:tabs>
          <w:tab w:val="num" w:pos="840" w:leader="none"/>
        </w:tabs>
      </w:pPr>
      <w:rPr>
        <w:rFonts w:cs="Times New Roman"/>
      </w:rPr>
    </w:lvl>
    <w:lvl w:ilvl="2">
      <w:start w:val="1"/>
      <w:numFmt w:val="lowerRoman"/>
      <w:isLgl w:val="false"/>
      <w:suff w:val="tab"/>
      <w:lvlText w:val="%3."/>
      <w:lvlJc w:val="right"/>
      <w:pPr>
        <w:pStyle w:val="895"/>
        <w:ind w:left="1260" w:hanging="420"/>
        <w:tabs>
          <w:tab w:val="num" w:pos="126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4">
    <w:multiLevelType w:val="hybridMultilevel"/>
    <w:lvl w:ilvl="0">
      <w:start w:val="1"/>
      <w:numFmt w:val="decimal"/>
      <w:pStyle w:val="966"/>
      <w:isLgl w:val="false"/>
      <w:suff w:val="tab"/>
      <w:lvlText w:val="%1．"/>
      <w:lvlJc w:val="left"/>
      <w:pPr>
        <w:pStyle w:val="895"/>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95"/>
        <w:ind w:left="552" w:hanging="420"/>
        <w:tabs>
          <w:tab w:val="num" w:pos="552" w:leader="none"/>
        </w:tabs>
      </w:pPr>
      <w:rPr>
        <w:rFonts w:hint="eastAsia" w:cs="Times New Roman"/>
      </w:rPr>
    </w:lvl>
    <w:lvl w:ilvl="1">
      <w:start w:val="1"/>
      <w:numFmt w:val="bullet"/>
      <w:pStyle w:val="102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pStyle w:val="895"/>
        <w:ind w:left="881" w:hanging="360"/>
        <w:tabs>
          <w:tab w:val="num" w:pos="881" w:leader="none"/>
        </w:tabs>
      </w:pPr>
      <w:rPr>
        <w:rFonts w:hint="eastAsia" w:ascii="宋体" w:hAnsi="宋体" w:eastAsia="宋体" w:cs="宋体"/>
      </w:rPr>
    </w:lvl>
    <w:lvl w:ilvl="1">
      <w:start w:val="13"/>
      <w:numFmt w:val="decimal"/>
      <w:isLgl w:val="false"/>
      <w:suff w:val="tab"/>
      <w:lvlText w:val="（%2）"/>
      <w:lvlJc w:val="left"/>
      <w:pPr>
        <w:pStyle w:val="895"/>
        <w:ind w:left="1661" w:hanging="720"/>
      </w:pPr>
    </w:lvl>
    <w:lvl w:ilvl="2">
      <w:start w:val="1"/>
      <w:numFmt w:val="lowerRoman"/>
      <w:isLgl w:val="false"/>
      <w:suff w:val="tab"/>
      <w:lvlText w:val="%3."/>
      <w:lvlJc w:val="right"/>
      <w:pPr>
        <w:pStyle w:val="895"/>
        <w:ind w:left="1781" w:hanging="420"/>
        <w:tabs>
          <w:tab w:val="num" w:pos="1781" w:leader="none"/>
        </w:tabs>
      </w:pPr>
      <w:rPr>
        <w:rFonts w:cs="Times New Roman"/>
      </w:rPr>
    </w:lvl>
    <w:lvl w:ilvl="3">
      <w:start w:val="1"/>
      <w:numFmt w:val="decimal"/>
      <w:isLgl w:val="false"/>
      <w:suff w:val="tab"/>
      <w:lvlText w:val="%4."/>
      <w:lvlJc w:val="left"/>
      <w:pPr>
        <w:pStyle w:val="895"/>
        <w:ind w:left="2201" w:hanging="420"/>
        <w:tabs>
          <w:tab w:val="num" w:pos="2201" w:leader="none"/>
        </w:tabs>
      </w:pPr>
      <w:rPr>
        <w:rFonts w:cs="Times New Roman"/>
      </w:rPr>
    </w:lvl>
    <w:lvl w:ilvl="4">
      <w:start w:val="1"/>
      <w:numFmt w:val="lowerLetter"/>
      <w:isLgl w:val="false"/>
      <w:suff w:val="tab"/>
      <w:lvlText w:val="%5)"/>
      <w:lvlJc w:val="left"/>
      <w:pPr>
        <w:pStyle w:val="895"/>
        <w:ind w:left="2621" w:hanging="420"/>
        <w:tabs>
          <w:tab w:val="num" w:pos="2621" w:leader="none"/>
        </w:tabs>
      </w:pPr>
      <w:rPr>
        <w:rFonts w:cs="Times New Roman"/>
      </w:rPr>
    </w:lvl>
    <w:lvl w:ilvl="5">
      <w:start w:val="1"/>
      <w:numFmt w:val="lowerRoman"/>
      <w:isLgl w:val="false"/>
      <w:suff w:val="tab"/>
      <w:lvlText w:val="%6."/>
      <w:lvlJc w:val="right"/>
      <w:pPr>
        <w:pStyle w:val="895"/>
        <w:ind w:left="3041" w:hanging="420"/>
        <w:tabs>
          <w:tab w:val="num" w:pos="3041" w:leader="none"/>
        </w:tabs>
      </w:pPr>
      <w:rPr>
        <w:rFonts w:cs="Times New Roman"/>
      </w:rPr>
    </w:lvl>
    <w:lvl w:ilvl="6">
      <w:start w:val="1"/>
      <w:numFmt w:val="decimal"/>
      <w:isLgl w:val="false"/>
      <w:suff w:val="tab"/>
      <w:lvlText w:val="%7."/>
      <w:lvlJc w:val="left"/>
      <w:pPr>
        <w:pStyle w:val="895"/>
        <w:ind w:left="3461" w:hanging="420"/>
        <w:tabs>
          <w:tab w:val="num" w:pos="3461" w:leader="none"/>
        </w:tabs>
      </w:pPr>
      <w:rPr>
        <w:rFonts w:cs="Times New Roman"/>
      </w:rPr>
    </w:lvl>
    <w:lvl w:ilvl="7">
      <w:start w:val="1"/>
      <w:numFmt w:val="lowerLetter"/>
      <w:isLgl w:val="false"/>
      <w:suff w:val="tab"/>
      <w:lvlText w:val="%8)"/>
      <w:lvlJc w:val="left"/>
      <w:pPr>
        <w:pStyle w:val="895"/>
        <w:ind w:left="3881" w:hanging="420"/>
        <w:tabs>
          <w:tab w:val="num" w:pos="3881" w:leader="none"/>
        </w:tabs>
      </w:pPr>
      <w:rPr>
        <w:rFonts w:cs="Times New Roman"/>
      </w:rPr>
    </w:lvl>
    <w:lvl w:ilvl="8">
      <w:start w:val="1"/>
      <w:numFmt w:val="lowerRoman"/>
      <w:isLgl w:val="false"/>
      <w:suff w:val="tab"/>
      <w:lvlText w:val="%9."/>
      <w:lvlJc w:val="right"/>
      <w:pPr>
        <w:pStyle w:val="895"/>
        <w:ind w:left="4301" w:hanging="420"/>
        <w:tabs>
          <w:tab w:val="num" w:pos="4301" w:leader="none"/>
        </w:tabs>
      </w:pPr>
      <w:rPr>
        <w:rFonts w:cs="Times New Roman"/>
      </w:rPr>
    </w:lvl>
  </w:abstractNum>
  <w:abstractNum w:abstractNumId="7">
    <w:multiLevelType w:val="hybridMultilevel"/>
    <w:lvl w:ilvl="0">
      <w:start w:val="1"/>
      <w:numFmt w:val="decimal"/>
      <w:isLgl w:val="false"/>
      <w:suff w:val="tab"/>
      <w:lvlText w:val="（%1）"/>
      <w:lvlJc w:val="left"/>
      <w:pPr>
        <w:pStyle w:val="895"/>
        <w:ind w:left="1710" w:hanging="720"/>
        <w:tabs>
          <w:tab w:val="num" w:pos="1710" w:leader="none"/>
        </w:tabs>
      </w:pPr>
      <w:rPr>
        <w:rFonts w:hint="eastAsia" w:cs="Times New Roman"/>
      </w:rPr>
    </w:lvl>
    <w:lvl w:ilvl="1">
      <w:start w:val="2"/>
      <w:numFmt w:val="decimal"/>
      <w:isLgl w:val="false"/>
      <w:suff w:val="tab"/>
      <w:lvlText w:val="%2."/>
      <w:lvlJc w:val="left"/>
      <w:pPr>
        <w:pStyle w:val="895"/>
        <w:ind w:left="1770" w:hanging="360"/>
        <w:tabs>
          <w:tab w:val="num" w:pos="1770" w:leader="none"/>
        </w:tabs>
      </w:pPr>
      <w:rPr>
        <w:rFonts w:cs="Times New Roman"/>
      </w:rPr>
    </w:lvl>
    <w:lvl w:ilvl="2">
      <w:start w:val="4"/>
      <w:numFmt w:val="decimal"/>
      <w:isLgl w:val="false"/>
      <w:suff w:val="tab"/>
      <w:lvlText w:val="%3）"/>
      <w:lvlJc w:val="left"/>
      <w:pPr>
        <w:pStyle w:val="895"/>
        <w:ind w:left="2190" w:hanging="360"/>
      </w:pPr>
      <w:rPr>
        <w:rFonts w:cs="Times New Roman"/>
        <w:color w:val="000000"/>
      </w:rPr>
    </w:lvl>
    <w:lvl w:ilvl="3">
      <w:start w:val="1"/>
      <w:numFmt w:val="decimal"/>
      <w:isLgl w:val="false"/>
      <w:suff w:val="tab"/>
      <w:lvlText w:val="%4."/>
      <w:lvlJc w:val="left"/>
      <w:pPr>
        <w:pStyle w:val="895"/>
        <w:ind w:left="2670" w:hanging="420"/>
        <w:tabs>
          <w:tab w:val="num" w:pos="2670" w:leader="none"/>
        </w:tabs>
      </w:pPr>
      <w:rPr>
        <w:rFonts w:cs="Times New Roman"/>
      </w:rPr>
    </w:lvl>
    <w:lvl w:ilvl="4">
      <w:start w:val="1"/>
      <w:numFmt w:val="lowerLetter"/>
      <w:isLgl w:val="false"/>
      <w:suff w:val="tab"/>
      <w:lvlText w:val="%5)"/>
      <w:lvlJc w:val="left"/>
      <w:pPr>
        <w:pStyle w:val="895"/>
        <w:ind w:left="3090" w:hanging="420"/>
        <w:tabs>
          <w:tab w:val="num" w:pos="3090" w:leader="none"/>
        </w:tabs>
      </w:pPr>
      <w:rPr>
        <w:rFonts w:cs="Times New Roman"/>
      </w:rPr>
    </w:lvl>
    <w:lvl w:ilvl="5">
      <w:start w:val="1"/>
      <w:numFmt w:val="lowerRoman"/>
      <w:isLgl w:val="false"/>
      <w:suff w:val="tab"/>
      <w:lvlText w:val="%6."/>
      <w:lvlJc w:val="right"/>
      <w:pPr>
        <w:pStyle w:val="895"/>
        <w:ind w:left="3510" w:hanging="420"/>
        <w:tabs>
          <w:tab w:val="num" w:pos="3510" w:leader="none"/>
        </w:tabs>
      </w:pPr>
      <w:rPr>
        <w:rFonts w:cs="Times New Roman"/>
      </w:rPr>
    </w:lvl>
    <w:lvl w:ilvl="6">
      <w:start w:val="1"/>
      <w:numFmt w:val="decimal"/>
      <w:isLgl w:val="false"/>
      <w:suff w:val="tab"/>
      <w:lvlText w:val="%7."/>
      <w:lvlJc w:val="left"/>
      <w:pPr>
        <w:pStyle w:val="895"/>
        <w:ind w:left="3930" w:hanging="420"/>
        <w:tabs>
          <w:tab w:val="num" w:pos="3930" w:leader="none"/>
        </w:tabs>
      </w:pPr>
      <w:rPr>
        <w:rFonts w:cs="Times New Roman"/>
      </w:rPr>
    </w:lvl>
    <w:lvl w:ilvl="7">
      <w:start w:val="1"/>
      <w:numFmt w:val="lowerLetter"/>
      <w:isLgl w:val="false"/>
      <w:suff w:val="tab"/>
      <w:lvlText w:val="%8)"/>
      <w:lvlJc w:val="left"/>
      <w:pPr>
        <w:pStyle w:val="895"/>
        <w:ind w:left="4350" w:hanging="420"/>
        <w:tabs>
          <w:tab w:val="num" w:pos="4350" w:leader="none"/>
        </w:tabs>
      </w:pPr>
      <w:rPr>
        <w:rFonts w:cs="Times New Roman"/>
      </w:rPr>
    </w:lvl>
    <w:lvl w:ilvl="8">
      <w:start w:val="1"/>
      <w:numFmt w:val="lowerRoman"/>
      <w:isLgl w:val="false"/>
      <w:suff w:val="tab"/>
      <w:lvlText w:val="%9."/>
      <w:lvlJc w:val="right"/>
      <w:pPr>
        <w:pStyle w:val="895"/>
        <w:ind w:left="4770" w:hanging="420"/>
        <w:tabs>
          <w:tab w:val="num" w:pos="4770" w:leader="none"/>
        </w:tabs>
      </w:pPr>
      <w:rPr>
        <w:rFonts w:cs="Times New Roman"/>
      </w:rPr>
    </w:lvl>
  </w:abstractNum>
  <w:abstractNum w:abstractNumId="8">
    <w:multiLevelType w:val="hybridMultilevel"/>
    <w:lvl w:ilvl="0">
      <w:start w:val="2"/>
      <w:numFmt w:val="japaneseCounting"/>
      <w:isLgl w:val="false"/>
      <w:suff w:val="tab"/>
      <w:lvlText w:val="（%1）"/>
      <w:lvlJc w:val="left"/>
      <w:pPr>
        <w:pStyle w:val="895"/>
        <w:ind w:left="1200" w:hanging="720"/>
        <w:tabs>
          <w:tab w:val="num" w:pos="1200" w:leader="none"/>
        </w:tabs>
      </w:pPr>
      <w:rPr>
        <w:rFonts w:cs="Times New Roman"/>
      </w:rPr>
    </w:lvl>
    <w:lvl w:ilvl="1">
      <w:start w:val="1"/>
      <w:numFmt w:val="lowerLetter"/>
      <w:isLgl w:val="false"/>
      <w:suff w:val="tab"/>
      <w:lvlText w:val="%2)"/>
      <w:lvlJc w:val="left"/>
      <w:pPr>
        <w:pStyle w:val="895"/>
        <w:ind w:left="1320" w:hanging="420"/>
        <w:tabs>
          <w:tab w:val="num" w:pos="1320" w:leader="none"/>
        </w:tabs>
      </w:pPr>
      <w:rPr>
        <w:rFonts w:cs="Times New Roman"/>
      </w:rPr>
    </w:lvl>
    <w:lvl w:ilvl="2">
      <w:start w:val="1"/>
      <w:numFmt w:val="lowerRoman"/>
      <w:isLgl w:val="false"/>
      <w:suff w:val="tab"/>
      <w:lvlText w:val="%3."/>
      <w:lvlJc w:val="right"/>
      <w:pPr>
        <w:pStyle w:val="895"/>
        <w:ind w:left="1740" w:hanging="420"/>
        <w:tabs>
          <w:tab w:val="num" w:pos="1740" w:leader="none"/>
        </w:tabs>
      </w:pPr>
      <w:rPr>
        <w:rFonts w:cs="Times New Roman"/>
      </w:rPr>
    </w:lvl>
    <w:lvl w:ilvl="3">
      <w:start w:val="1"/>
      <w:numFmt w:val="decimal"/>
      <w:isLgl w:val="false"/>
      <w:suff w:val="tab"/>
      <w:lvlText w:val="%4."/>
      <w:lvlJc w:val="left"/>
      <w:pPr>
        <w:pStyle w:val="895"/>
        <w:ind w:left="2160" w:hanging="420"/>
        <w:tabs>
          <w:tab w:val="num" w:pos="2160" w:leader="none"/>
        </w:tabs>
      </w:pPr>
      <w:rPr>
        <w:rFonts w:cs="Times New Roman"/>
      </w:rPr>
    </w:lvl>
    <w:lvl w:ilvl="4">
      <w:start w:val="1"/>
      <w:numFmt w:val="lowerLetter"/>
      <w:isLgl w:val="false"/>
      <w:suff w:val="tab"/>
      <w:lvlText w:val="%5)"/>
      <w:lvlJc w:val="left"/>
      <w:pPr>
        <w:pStyle w:val="895"/>
        <w:ind w:left="2580" w:hanging="420"/>
        <w:tabs>
          <w:tab w:val="num" w:pos="2580" w:leader="none"/>
        </w:tabs>
      </w:pPr>
      <w:rPr>
        <w:rFonts w:cs="Times New Roman"/>
      </w:rPr>
    </w:lvl>
    <w:lvl w:ilvl="5">
      <w:start w:val="1"/>
      <w:numFmt w:val="lowerRoman"/>
      <w:isLgl w:val="false"/>
      <w:suff w:val="tab"/>
      <w:lvlText w:val="%6."/>
      <w:lvlJc w:val="right"/>
      <w:pPr>
        <w:pStyle w:val="895"/>
        <w:ind w:left="3000" w:hanging="420"/>
        <w:tabs>
          <w:tab w:val="num" w:pos="3000" w:leader="none"/>
        </w:tabs>
      </w:pPr>
      <w:rPr>
        <w:rFonts w:cs="Times New Roman"/>
      </w:rPr>
    </w:lvl>
    <w:lvl w:ilvl="6">
      <w:start w:val="1"/>
      <w:numFmt w:val="decimal"/>
      <w:isLgl w:val="false"/>
      <w:suff w:val="tab"/>
      <w:lvlText w:val="%7."/>
      <w:lvlJc w:val="left"/>
      <w:pPr>
        <w:pStyle w:val="895"/>
        <w:ind w:left="3420" w:hanging="420"/>
        <w:tabs>
          <w:tab w:val="num" w:pos="3420" w:leader="none"/>
        </w:tabs>
      </w:pPr>
      <w:rPr>
        <w:rFonts w:cs="Times New Roman"/>
      </w:rPr>
    </w:lvl>
    <w:lvl w:ilvl="7">
      <w:start w:val="1"/>
      <w:numFmt w:val="lowerLetter"/>
      <w:isLgl w:val="false"/>
      <w:suff w:val="tab"/>
      <w:lvlText w:val="%8)"/>
      <w:lvlJc w:val="left"/>
      <w:pPr>
        <w:pStyle w:val="895"/>
        <w:ind w:left="3840" w:hanging="420"/>
        <w:tabs>
          <w:tab w:val="num" w:pos="3840" w:leader="none"/>
        </w:tabs>
      </w:pPr>
      <w:rPr>
        <w:rFonts w:cs="Times New Roman"/>
      </w:rPr>
    </w:lvl>
    <w:lvl w:ilvl="8">
      <w:start w:val="1"/>
      <w:numFmt w:val="lowerRoman"/>
      <w:isLgl w:val="false"/>
      <w:suff w:val="tab"/>
      <w:lvlText w:val="%9."/>
      <w:lvlJc w:val="right"/>
      <w:pPr>
        <w:pStyle w:val="895"/>
        <w:ind w:left="4260" w:hanging="420"/>
        <w:tabs>
          <w:tab w:val="num" w:pos="4260" w:leader="none"/>
        </w:tabs>
      </w:pPr>
      <w:rPr>
        <w:rFonts w:cs="Times New Roman"/>
      </w:rPr>
    </w:lvl>
  </w:abstractNum>
  <w:abstractNum w:abstractNumId="9">
    <w:multiLevelType w:val="hybridMultilevel"/>
    <w:lvl w:ilvl="0">
      <w:start w:val="1"/>
      <w:numFmt w:val="decimal"/>
      <w:isLgl w:val="false"/>
      <w:suff w:val="tab"/>
      <w:lvlText w:val="%1．"/>
      <w:lvlJc w:val="left"/>
      <w:pPr>
        <w:pStyle w:val="895"/>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900"/>
      <w:isLgl w:val="false"/>
      <w:suff w:val="tab"/>
      <w:lvlText w:val="%1."/>
      <w:lvlJc w:val="left"/>
      <w:pPr>
        <w:pStyle w:val="895"/>
        <w:ind w:left="360" w:hanging="360"/>
        <w:tabs>
          <w:tab w:val="num" w:pos="360" w:leader="none"/>
        </w:tabs>
      </w:pPr>
      <w:rPr>
        <w:rFonts w:cs="Times New Roman"/>
      </w:rPr>
    </w:lvl>
    <w:lvl w:ilvl="1">
      <w:start w:val="1"/>
      <w:numFmt w:val="lowerLetter"/>
      <w:isLgl w:val="false"/>
      <w:suff w:val="tab"/>
      <w:lvlText w:val="%2)"/>
      <w:lvlJc w:val="left"/>
      <w:pPr>
        <w:pStyle w:val="895"/>
        <w:ind w:left="840" w:hanging="420"/>
        <w:tabs>
          <w:tab w:val="num" w:pos="840" w:leader="none"/>
        </w:tabs>
      </w:pPr>
      <w:rPr>
        <w:rFonts w:cs="Times New Roman"/>
      </w:rPr>
    </w:lvl>
    <w:lvl w:ilvl="2">
      <w:start w:val="1"/>
      <w:numFmt w:val="lowerRoman"/>
      <w:isLgl w:val="false"/>
      <w:suff w:val="tab"/>
      <w:lvlText w:val="%3."/>
      <w:lvlJc w:val="right"/>
      <w:pPr>
        <w:pStyle w:val="895"/>
        <w:ind w:left="1260" w:hanging="420"/>
        <w:tabs>
          <w:tab w:val="num" w:pos="126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num w:numId="1">
    <w:abstractNumId w:val="10"/>
  </w:num>
  <w:num w:numId="2">
    <w:abstractNumId w:val="4"/>
  </w:num>
  <w:num w:numId="3">
    <w:abstractNumId w:val="5"/>
  </w:num>
  <w:num w:numId="4">
    <w:abstractNumId w:val="8"/>
  </w:num>
  <w:num w:numId="5">
    <w:abstractNumId w:val="1"/>
  </w:num>
  <w:num w:numId="6">
    <w:abstractNumId w:val="3"/>
  </w:num>
  <w:num w:numId="7">
    <w:abstractNumId w:val="2"/>
  </w:num>
  <w:num w:numId="8">
    <w:abstractNumId w:val="6"/>
  </w:num>
  <w:num w:numId="9">
    <w:abstractNumId w:val="9"/>
  </w:num>
  <w:num w:numId="10">
    <w:abstractNumId w:val="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5"/>
    <w:next w:val="895"/>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5"/>
    <w:next w:val="895"/>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5"/>
    <w:next w:val="895"/>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5"/>
    <w:next w:val="895"/>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5"/>
    <w:next w:val="895"/>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5"/>
    <w:next w:val="895"/>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5"/>
    <w:next w:val="895"/>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5"/>
    <w:next w:val="895"/>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5"/>
    <w:next w:val="895"/>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lang w:val="en-US" w:eastAsia="zh-CN" w:bidi="ar-SA"/>
    </w:rPr>
  </w:style>
  <w:style w:type="paragraph" w:styleId="896">
    <w:name w:val="标题 1"/>
    <w:basedOn w:val="895"/>
    <w:next w:val="895"/>
    <w:link w:val="907"/>
    <w:qFormat/>
    <w:pPr>
      <w:jc w:val="center"/>
      <w:keepNext/>
      <w:outlineLvl w:val="0"/>
    </w:pPr>
    <w:rPr>
      <w:rFonts w:ascii="楷体_GB2312" w:eastAsia="楷体_GB2312"/>
      <w:b/>
      <w:sz w:val="28"/>
    </w:rPr>
  </w:style>
  <w:style w:type="paragraph" w:styleId="897">
    <w:name w:val="标题 2"/>
    <w:basedOn w:val="895"/>
    <w:next w:val="895"/>
    <w:link w:val="908"/>
    <w:qFormat/>
    <w:pPr>
      <w:jc w:val="center"/>
      <w:keepNext/>
      <w:outlineLvl w:val="1"/>
    </w:pPr>
    <w:rPr>
      <w:rFonts w:ascii="楷体_GB2312" w:eastAsia="楷体_GB2312"/>
      <w:b/>
      <w:bCs/>
      <w:sz w:val="18"/>
    </w:rPr>
  </w:style>
  <w:style w:type="paragraph" w:styleId="898">
    <w:name w:val="标题 3"/>
    <w:basedOn w:val="895"/>
    <w:next w:val="895"/>
    <w:link w:val="909"/>
    <w:qFormat/>
    <w:pPr>
      <w:jc w:val="center"/>
      <w:keepNext/>
      <w:outlineLvl w:val="2"/>
    </w:pPr>
    <w:rPr>
      <w:rFonts w:eastAsia="楷体_GB2312"/>
      <w:b/>
      <w:bCs/>
      <w:sz w:val="15"/>
    </w:rPr>
  </w:style>
  <w:style w:type="paragraph" w:styleId="899">
    <w:name w:val="标题 4"/>
    <w:basedOn w:val="895"/>
    <w:next w:val="895"/>
    <w:link w:val="910"/>
    <w:qFormat/>
    <w:pPr>
      <w:jc w:val="center"/>
      <w:keepNext/>
      <w:outlineLvl w:val="3"/>
    </w:pPr>
    <w:rPr>
      <w:rFonts w:eastAsia="楷体_GB2312"/>
      <w:b/>
      <w:bCs/>
      <w:sz w:val="13"/>
    </w:rPr>
  </w:style>
  <w:style w:type="paragraph" w:styleId="900">
    <w:name w:val="标题 5"/>
    <w:basedOn w:val="895"/>
    <w:next w:val="895"/>
    <w:link w:val="911"/>
    <w:uiPriority w:val="99"/>
    <w:qFormat/>
    <w:pPr>
      <w:numPr>
        <w:ilvl w:val="0"/>
        <w:numId w:val="1"/>
      </w:numPr>
      <w:keepNext/>
      <w:tabs>
        <w:tab w:val="left" w:pos="360" w:leader="none"/>
      </w:tabs>
      <w:outlineLvl w:val="4"/>
    </w:pPr>
    <w:rPr>
      <w:rFonts w:ascii="楷体_GB2312" w:eastAsia="楷体_GB2312"/>
      <w:bCs/>
      <w:sz w:val="28"/>
    </w:rPr>
  </w:style>
  <w:style w:type="paragraph" w:styleId="901">
    <w:name w:val="标题 6"/>
    <w:basedOn w:val="895"/>
    <w:next w:val="895"/>
    <w:link w:val="912"/>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02">
    <w:name w:val="标题 7"/>
    <w:basedOn w:val="895"/>
    <w:next w:val="895"/>
    <w:link w:val="913"/>
    <w:qFormat/>
    <w:pPr>
      <w:ind w:left="1296" w:hanging="1296"/>
      <w:keepLines/>
      <w:keepNext/>
      <w:spacing w:before="240" w:after="64" w:line="320" w:lineRule="atLeast"/>
      <w:tabs>
        <w:tab w:val="left" w:pos="1296" w:leader="none"/>
      </w:tabs>
      <w:outlineLvl w:val="6"/>
    </w:pPr>
    <w:rPr>
      <w:b/>
      <w:sz w:val="24"/>
      <w:szCs w:val="24"/>
    </w:rPr>
  </w:style>
  <w:style w:type="paragraph" w:styleId="903">
    <w:name w:val="标题 8"/>
    <w:basedOn w:val="895"/>
    <w:next w:val="895"/>
    <w:link w:val="914"/>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04">
    <w:name w:val="标题 9"/>
    <w:basedOn w:val="895"/>
    <w:next w:val="895"/>
    <w:link w:val="915"/>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05">
    <w:name w:val="默认段落字体"/>
    <w:next w:val="905"/>
    <w:link w:val="895"/>
    <w:uiPriority w:val="1"/>
    <w:unhideWhenUsed/>
  </w:style>
  <w:style w:type="table" w:styleId="906">
    <w:name w:val="普通表格"/>
    <w:next w:val="906"/>
    <w:link w:val="895"/>
    <w:uiPriority w:val="99"/>
    <w:unhideWhenUsed/>
    <w:qFormat/>
    <w:tblPr/>
  </w:style>
  <w:style w:type="character" w:styleId="907">
    <w:name w:val="标题 1 字符"/>
    <w:next w:val="907"/>
    <w:link w:val="896"/>
    <w:rPr>
      <w:rFonts w:ascii="楷体_GB2312" w:hAnsi="Times New Roman" w:eastAsia="楷体_GB2312" w:cs="Times New Roman"/>
      <w:b/>
      <w:sz w:val="28"/>
      <w:szCs w:val="20"/>
    </w:rPr>
  </w:style>
  <w:style w:type="character" w:styleId="908">
    <w:name w:val="标题 2 字符"/>
    <w:next w:val="908"/>
    <w:link w:val="897"/>
    <w:rPr>
      <w:rFonts w:ascii="楷体_GB2312" w:hAnsi="Times New Roman" w:eastAsia="楷体_GB2312" w:cs="Times New Roman"/>
      <w:b/>
      <w:bCs/>
      <w:sz w:val="18"/>
      <w:szCs w:val="20"/>
    </w:rPr>
  </w:style>
  <w:style w:type="character" w:styleId="909">
    <w:name w:val="标题 3 字符"/>
    <w:next w:val="909"/>
    <w:link w:val="898"/>
    <w:rPr>
      <w:rFonts w:ascii="Times New Roman" w:hAnsi="Times New Roman" w:eastAsia="楷体_GB2312" w:cs="Times New Roman"/>
      <w:b/>
      <w:bCs/>
      <w:sz w:val="15"/>
      <w:szCs w:val="20"/>
    </w:rPr>
  </w:style>
  <w:style w:type="character" w:styleId="910">
    <w:name w:val="标题 4 字符"/>
    <w:next w:val="910"/>
    <w:link w:val="899"/>
    <w:rPr>
      <w:rFonts w:ascii="Times New Roman" w:hAnsi="Times New Roman" w:eastAsia="楷体_GB2312" w:cs="Times New Roman"/>
      <w:b/>
      <w:bCs/>
      <w:sz w:val="13"/>
      <w:szCs w:val="20"/>
    </w:rPr>
  </w:style>
  <w:style w:type="character" w:styleId="911">
    <w:name w:val="标题 5 字符"/>
    <w:next w:val="911"/>
    <w:link w:val="900"/>
    <w:uiPriority w:val="99"/>
    <w:rPr>
      <w:rFonts w:ascii="楷体_GB2312" w:hAnsi="Times New Roman" w:eastAsia="楷体_GB2312"/>
      <w:bCs/>
      <w:sz w:val="28"/>
    </w:rPr>
  </w:style>
  <w:style w:type="character" w:styleId="912">
    <w:name w:val="标题 6 字符"/>
    <w:next w:val="912"/>
    <w:link w:val="901"/>
    <w:rPr>
      <w:rFonts w:ascii="Arial" w:hAnsi="Arial" w:eastAsia="黑体"/>
      <w:b/>
      <w:sz w:val="24"/>
      <w:szCs w:val="24"/>
    </w:rPr>
  </w:style>
  <w:style w:type="character" w:styleId="913">
    <w:name w:val="标题 7 字符"/>
    <w:next w:val="913"/>
    <w:link w:val="902"/>
    <w:rPr>
      <w:rFonts w:ascii="Times New Roman" w:hAnsi="Times New Roman"/>
      <w:b/>
      <w:sz w:val="24"/>
      <w:szCs w:val="24"/>
    </w:rPr>
  </w:style>
  <w:style w:type="character" w:styleId="914">
    <w:name w:val="标题 8 字符"/>
    <w:next w:val="914"/>
    <w:link w:val="903"/>
    <w:rPr>
      <w:rFonts w:ascii="Arial" w:hAnsi="Arial" w:eastAsia="黑体"/>
      <w:sz w:val="24"/>
      <w:szCs w:val="24"/>
    </w:rPr>
  </w:style>
  <w:style w:type="character" w:styleId="915">
    <w:name w:val="标题 9 字符"/>
    <w:next w:val="915"/>
    <w:link w:val="904"/>
    <w:rPr>
      <w:rFonts w:ascii="Arial" w:hAnsi="Arial" w:eastAsia="黑体"/>
      <w:sz w:val="21"/>
      <w:szCs w:val="24"/>
    </w:rPr>
  </w:style>
  <w:style w:type="paragraph" w:styleId="916">
    <w:name w:val="列表 3"/>
    <w:basedOn w:val="895"/>
    <w:next w:val="916"/>
    <w:link w:val="895"/>
    <w:pPr>
      <w:ind w:left="1260" w:hanging="420"/>
    </w:pPr>
    <w:rPr>
      <w:rFonts w:hAnsi="宋体"/>
      <w:color w:val="000000"/>
      <w:spacing w:val="-8"/>
    </w:rPr>
  </w:style>
  <w:style w:type="paragraph" w:styleId="917">
    <w:name w:val="目录 7"/>
    <w:basedOn w:val="895"/>
    <w:next w:val="895"/>
    <w:link w:val="895"/>
    <w:pPr>
      <w:ind w:left="1260" w:firstLine="420"/>
      <w:jc w:val="left"/>
      <w:spacing w:line="288" w:lineRule="auto"/>
    </w:pPr>
    <w:rPr>
      <w:sz w:val="18"/>
      <w:szCs w:val="18"/>
    </w:rPr>
  </w:style>
  <w:style w:type="paragraph" w:styleId="918">
    <w:name w:val="索引 8"/>
    <w:basedOn w:val="895"/>
    <w:next w:val="895"/>
    <w:link w:val="895"/>
    <w:pPr>
      <w:ind w:left="1400"/>
    </w:pPr>
  </w:style>
  <w:style w:type="paragraph" w:styleId="919">
    <w:name w:val="正文缩进"/>
    <w:basedOn w:val="895"/>
    <w:next w:val="919"/>
    <w:link w:val="920"/>
    <w:unhideWhenUsed/>
    <w:qFormat/>
    <w:pPr>
      <w:ind w:firstLine="420"/>
    </w:pPr>
    <w:rPr>
      <w:szCs w:val="24"/>
    </w:rPr>
  </w:style>
  <w:style w:type="character" w:styleId="920">
    <w:name w:val="正文缩进 字符"/>
    <w:next w:val="920"/>
    <w:link w:val="919"/>
    <w:qFormat/>
    <w:rPr>
      <w:rFonts w:ascii="Times New Roman" w:hAnsi="Times New Roman"/>
      <w:sz w:val="21"/>
      <w:szCs w:val="24"/>
    </w:rPr>
  </w:style>
  <w:style w:type="paragraph" w:styleId="921">
    <w:name w:val="题注"/>
    <w:basedOn w:val="895"/>
    <w:next w:val="895"/>
    <w:link w:val="895"/>
    <w:qFormat/>
    <w:rPr>
      <w:rFonts w:ascii="Arial" w:hAnsi="Arial" w:eastAsia="黑体" w:cs="Arial"/>
      <w:sz w:val="20"/>
    </w:rPr>
  </w:style>
  <w:style w:type="paragraph" w:styleId="922">
    <w:name w:val="索引 5"/>
    <w:basedOn w:val="895"/>
    <w:next w:val="895"/>
    <w:link w:val="895"/>
    <w:unhideWhenUsed/>
    <w:pPr>
      <w:ind w:left="800"/>
    </w:pPr>
  </w:style>
  <w:style w:type="paragraph" w:styleId="923">
    <w:name w:val="列表项目符号"/>
    <w:basedOn w:val="895"/>
    <w:next w:val="923"/>
    <w:link w:val="895"/>
    <w:pPr>
      <w:ind w:left="360" w:firstLine="200"/>
      <w:tabs>
        <w:tab w:val="left" w:pos="360" w:leader="none"/>
      </w:tabs>
    </w:pPr>
    <w:rPr>
      <w:rFonts w:hAnsi="宋体"/>
      <w:color w:val="000000"/>
      <w:spacing w:val="-8"/>
    </w:rPr>
  </w:style>
  <w:style w:type="paragraph" w:styleId="924">
    <w:name w:val="文档结构图"/>
    <w:basedOn w:val="895"/>
    <w:next w:val="924"/>
    <w:link w:val="925"/>
    <w:qFormat/>
    <w:pPr>
      <w:shd w:val="clear" w:color="auto" w:fill="000080"/>
    </w:pPr>
    <w:rPr>
      <w:sz w:val="20"/>
    </w:rPr>
  </w:style>
  <w:style w:type="character" w:styleId="925">
    <w:name w:val="文档结构图 字符"/>
    <w:next w:val="925"/>
    <w:link w:val="924"/>
    <w:rPr>
      <w:rFonts w:ascii="Times New Roman" w:hAnsi="Times New Roman" w:eastAsia="宋体" w:cs="Times New Roman"/>
      <w:szCs w:val="20"/>
      <w:shd w:val="clear" w:color="auto" w:fill="000080"/>
    </w:rPr>
  </w:style>
  <w:style w:type="paragraph" w:styleId="926">
    <w:name w:val="批注文字"/>
    <w:basedOn w:val="895"/>
    <w:next w:val="926"/>
    <w:link w:val="927"/>
    <w:pPr>
      <w:jc w:val="left"/>
    </w:pPr>
    <w:rPr>
      <w:sz w:val="20"/>
      <w:szCs w:val="24"/>
    </w:rPr>
  </w:style>
  <w:style w:type="character" w:styleId="927">
    <w:name w:val="批注文字 字符"/>
    <w:next w:val="927"/>
    <w:link w:val="926"/>
    <w:rPr>
      <w:rFonts w:ascii="Times New Roman" w:hAnsi="Times New Roman" w:eastAsia="宋体" w:cs="Times New Roman"/>
      <w:szCs w:val="24"/>
    </w:rPr>
  </w:style>
  <w:style w:type="paragraph" w:styleId="928">
    <w:name w:val="索引 6"/>
    <w:basedOn w:val="895"/>
    <w:next w:val="895"/>
    <w:link w:val="895"/>
    <w:pPr>
      <w:ind w:left="1000"/>
    </w:pPr>
  </w:style>
  <w:style w:type="paragraph" w:styleId="929">
    <w:name w:val="称呼"/>
    <w:basedOn w:val="895"/>
    <w:next w:val="895"/>
    <w:link w:val="930"/>
    <w:pPr>
      <w:ind w:firstLine="420"/>
      <w:spacing w:after="20" w:line="288" w:lineRule="auto"/>
    </w:pPr>
    <w:rPr>
      <w:sz w:val="28"/>
      <w:szCs w:val="24"/>
    </w:rPr>
  </w:style>
  <w:style w:type="character" w:styleId="930">
    <w:name w:val="称呼 字符"/>
    <w:next w:val="930"/>
    <w:link w:val="929"/>
    <w:rPr>
      <w:rFonts w:ascii="Times New Roman" w:hAnsi="Times New Roman"/>
      <w:sz w:val="28"/>
      <w:szCs w:val="24"/>
    </w:rPr>
  </w:style>
  <w:style w:type="paragraph" w:styleId="931">
    <w:name w:val="正文文本 3"/>
    <w:basedOn w:val="895"/>
    <w:next w:val="931"/>
    <w:link w:val="932"/>
    <w:pPr>
      <w:jc w:val="center"/>
      <w:spacing w:after="20" w:line="288" w:lineRule="auto"/>
    </w:pPr>
    <w:rPr>
      <w:b/>
      <w:bCs/>
      <w:sz w:val="24"/>
      <w:szCs w:val="24"/>
    </w:rPr>
  </w:style>
  <w:style w:type="character" w:styleId="932">
    <w:name w:val="正文文本 3 字符"/>
    <w:next w:val="932"/>
    <w:link w:val="931"/>
    <w:rPr>
      <w:rFonts w:ascii="Times New Roman" w:hAnsi="Times New Roman"/>
      <w:b/>
      <w:bCs/>
      <w:sz w:val="24"/>
      <w:szCs w:val="24"/>
    </w:rPr>
  </w:style>
  <w:style w:type="paragraph" w:styleId="933">
    <w:name w:val="结束语"/>
    <w:basedOn w:val="895"/>
    <w:next w:val="933"/>
    <w:link w:val="934"/>
    <w:pPr>
      <w:ind w:left="100" w:firstLine="420"/>
      <w:spacing w:after="20" w:line="288" w:lineRule="auto"/>
    </w:pPr>
    <w:rPr>
      <w:sz w:val="28"/>
      <w:szCs w:val="24"/>
    </w:rPr>
  </w:style>
  <w:style w:type="character" w:styleId="934">
    <w:name w:val="结束语 字符"/>
    <w:next w:val="934"/>
    <w:link w:val="933"/>
    <w:rPr>
      <w:rFonts w:ascii="Times New Roman" w:hAnsi="Times New Roman"/>
      <w:sz w:val="28"/>
      <w:szCs w:val="24"/>
    </w:rPr>
  </w:style>
  <w:style w:type="paragraph" w:styleId="935">
    <w:name w:val="正文文本"/>
    <w:basedOn w:val="895"/>
    <w:next w:val="895"/>
    <w:link w:val="936"/>
    <w:qFormat/>
    <w:rPr>
      <w:rFonts w:ascii="华文中宋" w:eastAsia="华文中宋"/>
      <w:bCs/>
      <w:sz w:val="28"/>
    </w:rPr>
  </w:style>
  <w:style w:type="character" w:styleId="936">
    <w:name w:val="正文文本 字符"/>
    <w:next w:val="936"/>
    <w:link w:val="935"/>
    <w:rPr>
      <w:rFonts w:ascii="华文中宋" w:hAnsi="Times New Roman" w:eastAsia="华文中宋" w:cs="Times New Roman"/>
      <w:bCs/>
      <w:sz w:val="28"/>
      <w:szCs w:val="20"/>
    </w:rPr>
  </w:style>
  <w:style w:type="paragraph" w:styleId="937">
    <w:name w:val="正文文本缩进"/>
    <w:basedOn w:val="895"/>
    <w:next w:val="937"/>
    <w:link w:val="938"/>
    <w:qFormat/>
    <w:pPr>
      <w:ind w:firstLine="576"/>
    </w:pPr>
    <w:rPr>
      <w:b/>
      <w:sz w:val="30"/>
    </w:rPr>
  </w:style>
  <w:style w:type="character" w:styleId="938">
    <w:name w:val="正文文本缩进 字符"/>
    <w:next w:val="938"/>
    <w:link w:val="937"/>
    <w:rPr>
      <w:rFonts w:ascii="Times New Roman" w:hAnsi="Times New Roman" w:eastAsia="宋体" w:cs="Times New Roman"/>
      <w:b/>
      <w:sz w:val="30"/>
      <w:szCs w:val="20"/>
    </w:rPr>
  </w:style>
  <w:style w:type="paragraph" w:styleId="939">
    <w:name w:val="列表 2"/>
    <w:basedOn w:val="895"/>
    <w:next w:val="939"/>
    <w:link w:val="895"/>
    <w:pPr>
      <w:ind w:left="840" w:hanging="420"/>
    </w:pPr>
    <w:rPr>
      <w:rFonts w:hAnsi="宋体"/>
      <w:color w:val="000000"/>
      <w:spacing w:val="-8"/>
    </w:rPr>
  </w:style>
  <w:style w:type="paragraph" w:styleId="940">
    <w:name w:val="列表接续"/>
    <w:basedOn w:val="895"/>
    <w:next w:val="940"/>
    <w:link w:val="895"/>
    <w:pPr>
      <w:ind w:left="420" w:firstLine="448"/>
      <w:spacing w:after="120"/>
    </w:pPr>
    <w:rPr>
      <w:rFonts w:hAnsi="宋体"/>
      <w:color w:val="000000"/>
      <w:spacing w:val="-8"/>
    </w:rPr>
  </w:style>
  <w:style w:type="paragraph" w:styleId="941">
    <w:name w:val="文本块"/>
    <w:basedOn w:val="895"/>
    <w:next w:val="941"/>
    <w:link w:val="895"/>
    <w:pPr>
      <w:ind w:left="420" w:right="33"/>
      <w:jc w:val="left"/>
    </w:pPr>
    <w:rPr>
      <w:sz w:val="24"/>
    </w:rPr>
  </w:style>
  <w:style w:type="paragraph" w:styleId="942">
    <w:name w:val="列表项目符号 2"/>
    <w:basedOn w:val="895"/>
    <w:next w:val="942"/>
    <w:link w:val="895"/>
    <w:pPr>
      <w:ind w:left="780" w:firstLine="200"/>
      <w:tabs>
        <w:tab w:val="left" w:pos="780" w:leader="none"/>
      </w:tabs>
    </w:pPr>
    <w:rPr>
      <w:rFonts w:hAnsi="宋体"/>
      <w:color w:val="000000"/>
      <w:spacing w:val="-8"/>
    </w:rPr>
  </w:style>
  <w:style w:type="paragraph" w:styleId="943">
    <w:name w:val="索引 4"/>
    <w:basedOn w:val="895"/>
    <w:next w:val="895"/>
    <w:link w:val="895"/>
    <w:unhideWhenUsed/>
    <w:pPr>
      <w:ind w:left="600"/>
    </w:pPr>
  </w:style>
  <w:style w:type="paragraph" w:styleId="944">
    <w:name w:val="目录 5"/>
    <w:basedOn w:val="895"/>
    <w:next w:val="895"/>
    <w:link w:val="895"/>
    <w:pPr>
      <w:ind w:left="840" w:firstLine="420"/>
      <w:jc w:val="left"/>
      <w:spacing w:line="288" w:lineRule="auto"/>
    </w:pPr>
    <w:rPr>
      <w:sz w:val="18"/>
      <w:szCs w:val="18"/>
    </w:rPr>
  </w:style>
  <w:style w:type="paragraph" w:styleId="945">
    <w:name w:val="目录 3"/>
    <w:basedOn w:val="895"/>
    <w:next w:val="895"/>
    <w:link w:val="895"/>
    <w:pPr>
      <w:ind w:left="420" w:firstLine="420"/>
      <w:jc w:val="left"/>
      <w:spacing w:line="288" w:lineRule="auto"/>
    </w:pPr>
    <w:rPr>
      <w:iCs/>
      <w:sz w:val="20"/>
    </w:rPr>
  </w:style>
  <w:style w:type="paragraph" w:styleId="946">
    <w:name w:val="纯文本"/>
    <w:basedOn w:val="895"/>
    <w:next w:val="946"/>
    <w:link w:val="947"/>
    <w:qFormat/>
    <w:rPr>
      <w:rFonts w:ascii="宋体" w:hAnsi="Courier New"/>
      <w:szCs w:val="21"/>
    </w:rPr>
  </w:style>
  <w:style w:type="character" w:styleId="947">
    <w:name w:val="纯文本 字符"/>
    <w:next w:val="947"/>
    <w:link w:val="946"/>
    <w:qFormat/>
    <w:rPr>
      <w:rFonts w:ascii="宋体" w:hAnsi="Courier New"/>
      <w:sz w:val="21"/>
      <w:szCs w:val="21"/>
    </w:rPr>
  </w:style>
  <w:style w:type="paragraph" w:styleId="948">
    <w:name w:val="列表项目符号 5"/>
    <w:basedOn w:val="895"/>
    <w:next w:val="948"/>
    <w:link w:val="895"/>
    <w:pPr>
      <w:ind w:left="2040" w:hanging="360"/>
      <w:spacing w:line="360" w:lineRule="exact"/>
      <w:widowControl/>
      <w:tabs>
        <w:tab w:val="left" w:pos="2040" w:leader="none"/>
      </w:tabs>
    </w:pPr>
    <w:rPr>
      <w:rFonts w:eastAsia="楷体_GB2312"/>
      <w:sz w:val="24"/>
    </w:rPr>
  </w:style>
  <w:style w:type="paragraph" w:styleId="949">
    <w:name w:val="目录 8"/>
    <w:basedOn w:val="895"/>
    <w:next w:val="895"/>
    <w:link w:val="895"/>
    <w:pPr>
      <w:ind w:left="1470" w:firstLine="420"/>
      <w:jc w:val="left"/>
      <w:spacing w:line="288" w:lineRule="auto"/>
    </w:pPr>
    <w:rPr>
      <w:sz w:val="18"/>
      <w:szCs w:val="18"/>
    </w:rPr>
  </w:style>
  <w:style w:type="paragraph" w:styleId="950">
    <w:name w:val="索引 3"/>
    <w:basedOn w:val="895"/>
    <w:next w:val="895"/>
    <w:link w:val="895"/>
    <w:pPr>
      <w:ind w:left="400"/>
    </w:pPr>
  </w:style>
  <w:style w:type="paragraph" w:styleId="951">
    <w:name w:val="日期"/>
    <w:basedOn w:val="895"/>
    <w:next w:val="895"/>
    <w:link w:val="952"/>
    <w:rPr>
      <w:rFonts w:eastAsia="黑体"/>
      <w:b/>
      <w:sz w:val="36"/>
    </w:rPr>
  </w:style>
  <w:style w:type="character" w:styleId="952">
    <w:name w:val="日期 字符"/>
    <w:next w:val="952"/>
    <w:link w:val="951"/>
    <w:rPr>
      <w:rFonts w:ascii="Times New Roman" w:hAnsi="Times New Roman" w:eastAsia="黑体" w:cs="Times New Roman"/>
      <w:b/>
      <w:sz w:val="36"/>
      <w:szCs w:val="20"/>
    </w:rPr>
  </w:style>
  <w:style w:type="paragraph" w:styleId="953">
    <w:name w:val="正文文本缩进 2"/>
    <w:basedOn w:val="895"/>
    <w:next w:val="953"/>
    <w:link w:val="954"/>
    <w:pPr>
      <w:ind w:left="900"/>
    </w:pPr>
    <w:rPr>
      <w:rFonts w:ascii="楷体_GB2312" w:eastAsia="楷体_GB2312"/>
      <w:b/>
      <w:sz w:val="28"/>
    </w:rPr>
  </w:style>
  <w:style w:type="character" w:styleId="954">
    <w:name w:val="正文文本缩进 2 字符"/>
    <w:next w:val="954"/>
    <w:link w:val="953"/>
    <w:rPr>
      <w:rFonts w:ascii="楷体_GB2312" w:hAnsi="Times New Roman" w:eastAsia="楷体_GB2312" w:cs="Times New Roman"/>
      <w:b/>
      <w:sz w:val="28"/>
      <w:szCs w:val="20"/>
    </w:rPr>
  </w:style>
  <w:style w:type="paragraph" w:styleId="955">
    <w:name w:val="批注框文本"/>
    <w:basedOn w:val="895"/>
    <w:next w:val="955"/>
    <w:link w:val="956"/>
    <w:unhideWhenUsed/>
    <w:rPr>
      <w:sz w:val="18"/>
      <w:szCs w:val="18"/>
    </w:rPr>
  </w:style>
  <w:style w:type="character" w:styleId="956">
    <w:name w:val="批注框文本 字符"/>
    <w:next w:val="956"/>
    <w:link w:val="955"/>
    <w:rPr>
      <w:rFonts w:ascii="Times New Roman" w:hAnsi="Times New Roman" w:eastAsia="宋体" w:cs="Times New Roman"/>
      <w:sz w:val="18"/>
      <w:szCs w:val="18"/>
    </w:rPr>
  </w:style>
  <w:style w:type="paragraph" w:styleId="957">
    <w:name w:val="页脚"/>
    <w:basedOn w:val="895"/>
    <w:next w:val="957"/>
    <w:link w:val="958"/>
    <w:uiPriority w:val="99"/>
    <w:unhideWhenUsed/>
    <w:qFormat/>
    <w:pPr>
      <w:jc w:val="left"/>
      <w:tabs>
        <w:tab w:val="center" w:pos="4153" w:leader="none"/>
        <w:tab w:val="right" w:pos="8306" w:leader="none"/>
      </w:tabs>
    </w:pPr>
    <w:rPr>
      <w:sz w:val="18"/>
      <w:szCs w:val="18"/>
    </w:rPr>
  </w:style>
  <w:style w:type="character" w:styleId="958">
    <w:name w:val="页脚 字符"/>
    <w:next w:val="958"/>
    <w:link w:val="957"/>
    <w:uiPriority w:val="99"/>
    <w:rPr>
      <w:sz w:val="18"/>
      <w:szCs w:val="18"/>
    </w:rPr>
  </w:style>
  <w:style w:type="paragraph" w:styleId="959">
    <w:name w:val="寄信人地址"/>
    <w:basedOn w:val="895"/>
    <w:next w:val="959"/>
    <w:link w:val="895"/>
    <w:uiPriority w:val="99"/>
    <w:unhideWhenUsed/>
    <w:qFormat/>
    <w:rPr>
      <w:rFonts w:hint="eastAsia" w:ascii="Arial" w:hAnsi="Arial"/>
      <w:sz w:val="24"/>
      <w:szCs w:val="24"/>
    </w:rPr>
  </w:style>
  <w:style w:type="paragraph" w:styleId="960">
    <w:name w:val="页眉"/>
    <w:basedOn w:val="895"/>
    <w:next w:val="960"/>
    <w:link w:val="96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1">
    <w:name w:val="页眉 字符"/>
    <w:next w:val="961"/>
    <w:link w:val="960"/>
    <w:uiPriority w:val="99"/>
    <w:qFormat/>
    <w:rPr>
      <w:sz w:val="18"/>
      <w:szCs w:val="18"/>
    </w:rPr>
  </w:style>
  <w:style w:type="paragraph" w:styleId="962">
    <w:name w:val="目录 1"/>
    <w:basedOn w:val="895"/>
    <w:next w:val="895"/>
    <w:link w:val="895"/>
    <w:pPr>
      <w:spacing w:before="120" w:after="120" w:line="288" w:lineRule="auto"/>
      <w:tabs>
        <w:tab w:val="right" w:pos="8296" w:leader="dot"/>
      </w:tabs>
    </w:pPr>
    <w:rPr>
      <w:rFonts w:ascii="黑体" w:hAnsi="宋体" w:eastAsia="黑体"/>
      <w:caps/>
      <w:sz w:val="30"/>
      <w:szCs w:val="30"/>
    </w:rPr>
  </w:style>
  <w:style w:type="paragraph" w:styleId="963">
    <w:name w:val="目录 4"/>
    <w:basedOn w:val="895"/>
    <w:next w:val="895"/>
    <w:link w:val="895"/>
    <w:pPr>
      <w:ind w:left="630" w:firstLine="420"/>
      <w:jc w:val="left"/>
      <w:spacing w:line="288" w:lineRule="auto"/>
    </w:pPr>
    <w:rPr>
      <w:sz w:val="18"/>
      <w:szCs w:val="18"/>
    </w:rPr>
  </w:style>
  <w:style w:type="paragraph" w:styleId="964">
    <w:name w:val="副标题"/>
    <w:basedOn w:val="895"/>
    <w:next w:val="895"/>
    <w:link w:val="965"/>
    <w:qFormat/>
    <w:pPr>
      <w:jc w:val="left"/>
      <w:outlineLvl w:val="1"/>
    </w:pPr>
    <w:rPr>
      <w:rFonts w:ascii="Calibri Light" w:hAnsi="Calibri Light" w:eastAsia="仿宋"/>
      <w:b/>
      <w:bCs/>
      <w:sz w:val="28"/>
      <w:szCs w:val="32"/>
    </w:rPr>
  </w:style>
  <w:style w:type="character" w:styleId="965">
    <w:name w:val="副标题 字符"/>
    <w:next w:val="965"/>
    <w:link w:val="964"/>
    <w:rPr>
      <w:rFonts w:ascii="Calibri Light" w:hAnsi="Calibri Light" w:eastAsia="仿宋"/>
      <w:b/>
      <w:bCs/>
      <w:sz w:val="28"/>
      <w:szCs w:val="32"/>
    </w:rPr>
  </w:style>
  <w:style w:type="paragraph" w:styleId="966">
    <w:name w:val="列表"/>
    <w:basedOn w:val="895"/>
    <w:next w:val="966"/>
    <w:link w:val="895"/>
    <w:qFormat/>
    <w:pPr>
      <w:numPr>
        <w:ilvl w:val="0"/>
        <w:numId w:val="2"/>
      </w:numPr>
      <w:spacing w:after="20" w:line="288" w:lineRule="auto"/>
      <w:tabs>
        <w:tab w:val="left" w:pos="420" w:leader="none"/>
        <w:tab w:val="left" w:pos="552" w:leader="none"/>
      </w:tabs>
    </w:pPr>
    <w:rPr>
      <w:rFonts w:ascii="Calibri" w:hAnsi="Calibri"/>
      <w:lang w:val="en-GB"/>
    </w:rPr>
  </w:style>
  <w:style w:type="paragraph" w:styleId="967">
    <w:name w:val="脚注文本"/>
    <w:basedOn w:val="895"/>
    <w:next w:val="922"/>
    <w:link w:val="968"/>
    <w:qFormat/>
    <w:pPr>
      <w:ind w:firstLine="425"/>
      <w:jc w:val="left"/>
      <w:spacing w:before="120" w:line="360" w:lineRule="auto"/>
    </w:pPr>
    <w:rPr>
      <w:sz w:val="18"/>
    </w:rPr>
  </w:style>
  <w:style w:type="character" w:styleId="968">
    <w:name w:val="脚注文本 字符"/>
    <w:next w:val="968"/>
    <w:link w:val="967"/>
    <w:rPr>
      <w:rFonts w:ascii="Times New Roman" w:hAnsi="Times New Roman"/>
      <w:sz w:val="18"/>
    </w:rPr>
  </w:style>
  <w:style w:type="paragraph" w:styleId="969">
    <w:name w:val="目录 6"/>
    <w:basedOn w:val="895"/>
    <w:next w:val="895"/>
    <w:link w:val="895"/>
    <w:pPr>
      <w:ind w:left="1050" w:firstLine="420"/>
      <w:jc w:val="left"/>
      <w:spacing w:line="288" w:lineRule="auto"/>
    </w:pPr>
    <w:rPr>
      <w:sz w:val="18"/>
      <w:szCs w:val="18"/>
    </w:rPr>
  </w:style>
  <w:style w:type="paragraph" w:styleId="970">
    <w:name w:val="列表 5"/>
    <w:basedOn w:val="895"/>
    <w:next w:val="970"/>
    <w:link w:val="895"/>
    <w:pPr>
      <w:ind w:left="2100" w:hanging="420"/>
    </w:pPr>
    <w:rPr>
      <w:rFonts w:hAnsi="宋体"/>
      <w:color w:val="000000"/>
      <w:spacing w:val="-8"/>
    </w:rPr>
  </w:style>
  <w:style w:type="paragraph" w:styleId="971">
    <w:name w:val="正文文本缩进 3"/>
    <w:basedOn w:val="895"/>
    <w:next w:val="971"/>
    <w:link w:val="972"/>
    <w:pPr>
      <w:ind w:left="359" w:firstLine="359"/>
    </w:pPr>
    <w:rPr>
      <w:sz w:val="20"/>
    </w:rPr>
  </w:style>
  <w:style w:type="character" w:styleId="972">
    <w:name w:val="正文文本缩进 3 字符"/>
    <w:next w:val="972"/>
    <w:link w:val="971"/>
    <w:rPr>
      <w:rFonts w:ascii="Times New Roman" w:hAnsi="Times New Roman" w:eastAsia="宋体" w:cs="Times New Roman"/>
      <w:szCs w:val="20"/>
    </w:rPr>
  </w:style>
  <w:style w:type="paragraph" w:styleId="973">
    <w:name w:val="索引 7"/>
    <w:basedOn w:val="895"/>
    <w:next w:val="895"/>
    <w:link w:val="895"/>
    <w:pPr>
      <w:ind w:left="1200"/>
    </w:pPr>
  </w:style>
  <w:style w:type="paragraph" w:styleId="974">
    <w:name w:val="索引 9"/>
    <w:basedOn w:val="895"/>
    <w:next w:val="895"/>
    <w:link w:val="895"/>
    <w:pPr>
      <w:ind w:left="1600"/>
    </w:pPr>
  </w:style>
  <w:style w:type="paragraph" w:styleId="975">
    <w:name w:val="目录 2"/>
    <w:basedOn w:val="895"/>
    <w:next w:val="895"/>
    <w:link w:val="895"/>
    <w:pPr>
      <w:ind w:left="210" w:firstLine="420"/>
      <w:jc w:val="left"/>
      <w:spacing w:line="288" w:lineRule="auto"/>
    </w:pPr>
    <w:rPr>
      <w:smallCaps/>
      <w:sz w:val="20"/>
    </w:rPr>
  </w:style>
  <w:style w:type="paragraph" w:styleId="976">
    <w:name w:val="目录 9"/>
    <w:basedOn w:val="895"/>
    <w:next w:val="895"/>
    <w:link w:val="895"/>
    <w:pPr>
      <w:ind w:left="1680" w:firstLine="420"/>
      <w:jc w:val="left"/>
      <w:spacing w:line="288" w:lineRule="auto"/>
    </w:pPr>
    <w:rPr>
      <w:sz w:val="18"/>
      <w:szCs w:val="18"/>
    </w:rPr>
  </w:style>
  <w:style w:type="paragraph" w:styleId="977">
    <w:name w:val="正文文本 2"/>
    <w:basedOn w:val="895"/>
    <w:next w:val="977"/>
    <w:link w:val="978"/>
    <w:qFormat/>
    <w:pPr>
      <w:spacing w:after="120" w:line="480" w:lineRule="auto"/>
    </w:pPr>
    <w:rPr>
      <w:sz w:val="20"/>
    </w:rPr>
  </w:style>
  <w:style w:type="character" w:styleId="978">
    <w:name w:val="正文文本 2 字符"/>
    <w:next w:val="978"/>
    <w:link w:val="977"/>
    <w:qFormat/>
    <w:rPr>
      <w:rFonts w:ascii="Times New Roman" w:hAnsi="Times New Roman" w:eastAsia="宋体" w:cs="Times New Roman"/>
      <w:szCs w:val="20"/>
    </w:rPr>
  </w:style>
  <w:style w:type="paragraph" w:styleId="979">
    <w:name w:val="列表 4"/>
    <w:basedOn w:val="895"/>
    <w:next w:val="979"/>
    <w:link w:val="895"/>
    <w:pPr>
      <w:ind w:left="1680" w:hanging="420"/>
    </w:pPr>
    <w:rPr>
      <w:rFonts w:hAnsi="宋体"/>
      <w:color w:val="000000"/>
      <w:spacing w:val="-8"/>
    </w:rPr>
  </w:style>
  <w:style w:type="paragraph" w:styleId="980">
    <w:name w:val="列表接续 2"/>
    <w:basedOn w:val="895"/>
    <w:next w:val="980"/>
    <w:link w:val="895"/>
    <w:pPr>
      <w:ind w:left="840" w:firstLine="448"/>
      <w:spacing w:after="120"/>
    </w:pPr>
    <w:rPr>
      <w:rFonts w:hAnsi="宋体"/>
      <w:color w:val="000000"/>
      <w:spacing w:val="-8"/>
    </w:rPr>
  </w:style>
  <w:style w:type="paragraph" w:styleId="981">
    <w:name w:val="信息标题"/>
    <w:basedOn w:val="935"/>
    <w:next w:val="981"/>
    <w:link w:val="982"/>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82">
    <w:name w:val="信息标题 字符"/>
    <w:next w:val="982"/>
    <w:link w:val="981"/>
    <w:rPr>
      <w:rFonts w:ascii="Garamond" w:hAnsi="Garamond"/>
      <w:color w:val="000000"/>
      <w:spacing w:val="-8"/>
      <w:sz w:val="18"/>
      <w:lang w:bidi="he-IL"/>
    </w:rPr>
  </w:style>
  <w:style w:type="paragraph" w:styleId="983">
    <w:name w:val="HTML 预设格式"/>
    <w:basedOn w:val="895"/>
    <w:next w:val="983"/>
    <w:link w:val="984"/>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4">
    <w:name w:val="HTML 预设格式 字符"/>
    <w:next w:val="984"/>
    <w:link w:val="983"/>
    <w:rPr>
      <w:rFonts w:ascii="黑体" w:hAnsi="Courier New" w:eastAsia="黑体"/>
    </w:rPr>
  </w:style>
  <w:style w:type="paragraph" w:styleId="985">
    <w:name w:val="普通(网站)"/>
    <w:basedOn w:val="895"/>
    <w:next w:val="985"/>
    <w:link w:val="986"/>
    <w:qFormat/>
    <w:pPr>
      <w:ind w:firstLine="420"/>
      <w:jc w:val="left"/>
      <w:spacing w:before="100" w:beforeAutospacing="1" w:after="100" w:afterAutospacing="1" w:line="288" w:lineRule="auto"/>
      <w:widowControl/>
    </w:pPr>
    <w:rPr>
      <w:rFonts w:ascii="宋体" w:hAnsi="宋体"/>
      <w:sz w:val="24"/>
      <w:szCs w:val="24"/>
    </w:rPr>
  </w:style>
  <w:style w:type="character" w:styleId="986">
    <w:name w:val="普通(网站) 字符1"/>
    <w:next w:val="986"/>
    <w:link w:val="985"/>
    <w:rPr>
      <w:rFonts w:ascii="宋体" w:hAnsi="宋体"/>
      <w:sz w:val="24"/>
      <w:szCs w:val="24"/>
    </w:rPr>
  </w:style>
  <w:style w:type="paragraph" w:styleId="987">
    <w:name w:val="列表接续 3"/>
    <w:basedOn w:val="895"/>
    <w:next w:val="987"/>
    <w:link w:val="895"/>
    <w:pPr>
      <w:ind w:left="1260" w:firstLine="448"/>
      <w:spacing w:after="120"/>
    </w:pPr>
    <w:rPr>
      <w:rFonts w:hAnsi="宋体"/>
      <w:color w:val="000000"/>
      <w:spacing w:val="-8"/>
    </w:rPr>
  </w:style>
  <w:style w:type="paragraph" w:styleId="988">
    <w:name w:val="索引 1"/>
    <w:basedOn w:val="895"/>
    <w:next w:val="895"/>
    <w:link w:val="895"/>
  </w:style>
  <w:style w:type="paragraph" w:styleId="989">
    <w:name w:val="索引 2"/>
    <w:basedOn w:val="895"/>
    <w:next w:val="895"/>
    <w:link w:val="895"/>
    <w:pPr>
      <w:ind w:left="200"/>
    </w:pPr>
  </w:style>
  <w:style w:type="paragraph" w:styleId="990">
    <w:name w:val="标题"/>
    <w:basedOn w:val="895"/>
    <w:next w:val="895"/>
    <w:link w:val="991"/>
    <w:uiPriority w:val="10"/>
    <w:qFormat/>
    <w:pPr>
      <w:ind w:firstLine="420"/>
      <w:jc w:val="center"/>
      <w:spacing w:before="240" w:after="60" w:line="288" w:lineRule="auto"/>
      <w:outlineLvl w:val="0"/>
    </w:pPr>
    <w:rPr>
      <w:rFonts w:ascii="Arial" w:hAnsi="Arial"/>
      <w:b/>
      <w:bCs/>
      <w:sz w:val="32"/>
      <w:szCs w:val="32"/>
    </w:rPr>
  </w:style>
  <w:style w:type="character" w:styleId="991">
    <w:name w:val="标题 字符"/>
    <w:next w:val="991"/>
    <w:link w:val="990"/>
    <w:uiPriority w:val="10"/>
    <w:qFormat/>
    <w:rPr>
      <w:rFonts w:ascii="Arial" w:hAnsi="Arial"/>
      <w:b/>
      <w:bCs/>
      <w:sz w:val="32"/>
      <w:szCs w:val="32"/>
    </w:rPr>
  </w:style>
  <w:style w:type="paragraph" w:styleId="992">
    <w:name w:val="批注主题"/>
    <w:basedOn w:val="926"/>
    <w:next w:val="926"/>
    <w:link w:val="993"/>
    <w:rPr>
      <w:b/>
      <w:bCs/>
    </w:rPr>
  </w:style>
  <w:style w:type="character" w:styleId="993">
    <w:name w:val="批注主题 字符"/>
    <w:next w:val="993"/>
    <w:link w:val="992"/>
    <w:rPr>
      <w:rFonts w:ascii="Times New Roman" w:hAnsi="Times New Roman" w:eastAsia="宋体" w:cs="Times New Roman"/>
      <w:b/>
      <w:bCs/>
      <w:szCs w:val="24"/>
    </w:rPr>
  </w:style>
  <w:style w:type="paragraph" w:styleId="994">
    <w:name w:val="正文首行缩进"/>
    <w:basedOn w:val="935"/>
    <w:next w:val="994"/>
    <w:link w:val="995"/>
    <w:unhideWhenUsed/>
    <w:qFormat/>
    <w:pPr>
      <w:ind w:firstLine="420"/>
      <w:spacing w:after="120"/>
    </w:pPr>
    <w:rPr>
      <w:rFonts w:ascii="Times New Roman"/>
      <w:bCs w:val="0"/>
      <w:sz w:val="21"/>
    </w:rPr>
  </w:style>
  <w:style w:type="character" w:styleId="995">
    <w:name w:val="正文首行缩进 字符"/>
    <w:next w:val="995"/>
    <w:link w:val="994"/>
    <w:rPr>
      <w:rFonts w:ascii="Times New Roman" w:hAnsi="Times New Roman" w:eastAsia="华文中宋" w:cs="Times New Roman"/>
      <w:sz w:val="21"/>
      <w:szCs w:val="20"/>
    </w:rPr>
  </w:style>
  <w:style w:type="paragraph" w:styleId="996">
    <w:name w:val="正文首行缩进 2"/>
    <w:basedOn w:val="937"/>
    <w:next w:val="996"/>
    <w:link w:val="997"/>
    <w:qFormat/>
    <w:pPr>
      <w:ind w:firstLine="210"/>
      <w:spacing w:after="120"/>
    </w:pPr>
    <w:rPr>
      <w:rFonts w:ascii="Cambria Math" w:hAnsi="新宋体" w:eastAsia="Cambria Math"/>
      <w:b w:val="0"/>
      <w:color w:val="000000"/>
      <w:spacing w:val="-8"/>
      <w:sz w:val="21"/>
    </w:rPr>
  </w:style>
  <w:style w:type="character" w:styleId="997">
    <w:name w:val="正文首行缩进 2 字符"/>
    <w:next w:val="997"/>
    <w:link w:val="996"/>
    <w:rPr>
      <w:rFonts w:ascii="Cambria Math" w:hAnsi="新宋体" w:eastAsia="Cambria Math" w:cs="Times New Roman"/>
      <w:color w:val="000000"/>
      <w:spacing w:val="-8"/>
      <w:sz w:val="21"/>
      <w:szCs w:val="20"/>
    </w:rPr>
  </w:style>
  <w:style w:type="table" w:styleId="998">
    <w:name w:val="网格型"/>
    <w:basedOn w:val="906"/>
    <w:next w:val="998"/>
    <w:link w:val="895"/>
    <w:qFormat/>
    <w:tblPr/>
  </w:style>
  <w:style w:type="character" w:styleId="999">
    <w:name w:val="要点"/>
    <w:next w:val="999"/>
    <w:link w:val="895"/>
    <w:qFormat/>
    <w:rPr>
      <w:rFonts w:cs="Times New Roman"/>
      <w:b/>
      <w:bCs/>
    </w:rPr>
  </w:style>
  <w:style w:type="character" w:styleId="1000">
    <w:name w:val="页码"/>
    <w:next w:val="1000"/>
    <w:link w:val="895"/>
    <w:qFormat/>
    <w:rPr>
      <w:rFonts w:cs="Times New Roman"/>
    </w:rPr>
  </w:style>
  <w:style w:type="character" w:styleId="1001">
    <w:name w:val="已访问的超链接"/>
    <w:next w:val="1001"/>
    <w:link w:val="895"/>
    <w:rPr>
      <w:rFonts w:cs="Times New Roman"/>
      <w:color w:val="000000"/>
      <w:u w:val="none"/>
    </w:rPr>
  </w:style>
  <w:style w:type="character" w:styleId="1002">
    <w:name w:val="强调"/>
    <w:next w:val="1002"/>
    <w:link w:val="895"/>
    <w:qFormat/>
    <w:rPr>
      <w:i/>
    </w:rPr>
  </w:style>
  <w:style w:type="character" w:styleId="1003">
    <w:name w:val="HTML 打字机"/>
    <w:next w:val="1003"/>
    <w:link w:val="895"/>
    <w:rPr>
      <w:rFonts w:ascii="宋体" w:hAnsi="宋体" w:eastAsia="宋体" w:cs="宋体"/>
      <w:sz w:val="24"/>
      <w:szCs w:val="24"/>
    </w:rPr>
  </w:style>
  <w:style w:type="character" w:styleId="1004">
    <w:name w:val="超链接"/>
    <w:next w:val="1004"/>
    <w:link w:val="895"/>
    <w:uiPriority w:val="99"/>
    <w:qFormat/>
    <w:rPr>
      <w:color w:val="000000"/>
      <w:u w:val="none"/>
    </w:rPr>
  </w:style>
  <w:style w:type="character" w:styleId="1005">
    <w:name w:val="批注引用"/>
    <w:next w:val="1005"/>
    <w:link w:val="895"/>
    <w:unhideWhenUsed/>
    <w:rPr>
      <w:sz w:val="21"/>
      <w:szCs w:val="21"/>
    </w:rPr>
  </w:style>
  <w:style w:type="character" w:styleId="1006">
    <w:name w:val="脚注引用"/>
    <w:next w:val="1006"/>
    <w:link w:val="895"/>
    <w:rPr>
      <w:rFonts w:ascii="宋体" w:hAnsi="宋体" w:eastAsia="宋体"/>
      <w:vertAlign w:val="superscript"/>
    </w:rPr>
  </w:style>
  <w:style w:type="paragraph" w:styleId="1007">
    <w:name w:val="TOC Heading1"/>
    <w:next w:val="895"/>
    <w:link w:val="895"/>
    <w:qFormat/>
    <w:rPr>
      <w:rFonts w:ascii="Times New Roman" w:hAnsi="Times New Roman" w:eastAsia="宋体" w:cs="Times New Roman"/>
      <w:sz w:val="32"/>
      <w:lang w:val="en-US" w:eastAsia="zh-CN" w:bidi="ar-SA"/>
    </w:rPr>
  </w:style>
  <w:style w:type="paragraph" w:styleId="1008">
    <w:name w:val="标题 31"/>
    <w:basedOn w:val="895"/>
    <w:next w:val="895"/>
    <w:link w:val="895"/>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09">
    <w:name w:val="Default"/>
    <w:next w:val="1009"/>
    <w:link w:val="895"/>
    <w:qFormat/>
    <w:pPr>
      <w:widowControl w:val="off"/>
    </w:pPr>
    <w:rPr>
      <w:color w:val="000000"/>
      <w:sz w:val="24"/>
      <w:szCs w:val="24"/>
      <w:lang w:val="en-US" w:eastAsia="zh-CN" w:bidi="ar-SA"/>
    </w:rPr>
  </w:style>
  <w:style w:type="character" w:styleId="1010">
    <w:name w:val="日期 Char1"/>
    <w:next w:val="1010"/>
    <w:link w:val="895"/>
    <w:uiPriority w:val="99"/>
    <w:semiHidden/>
    <w:rPr>
      <w:rFonts w:ascii="Times New Roman" w:hAnsi="Times New Roman" w:eastAsia="宋体" w:cs="Times New Roman"/>
      <w:szCs w:val="20"/>
    </w:rPr>
  </w:style>
  <w:style w:type="character" w:styleId="1011">
    <w:name w:val="正文文本缩进 Char1"/>
    <w:next w:val="1011"/>
    <w:link w:val="895"/>
    <w:uiPriority w:val="99"/>
    <w:semiHidden/>
    <w:rPr>
      <w:rFonts w:ascii="Times New Roman" w:hAnsi="Times New Roman" w:eastAsia="宋体" w:cs="Times New Roman"/>
      <w:szCs w:val="20"/>
    </w:rPr>
  </w:style>
  <w:style w:type="character" w:styleId="1012">
    <w:name w:val="正文文本缩进 2 Char1"/>
    <w:next w:val="1012"/>
    <w:link w:val="895"/>
    <w:uiPriority w:val="99"/>
    <w:semiHidden/>
    <w:rPr>
      <w:rFonts w:ascii="Times New Roman" w:hAnsi="Times New Roman" w:eastAsia="宋体" w:cs="Times New Roman"/>
      <w:szCs w:val="20"/>
    </w:rPr>
  </w:style>
  <w:style w:type="character" w:styleId="1013">
    <w:name w:val="正文文本缩进 3 Char1"/>
    <w:next w:val="1013"/>
    <w:link w:val="895"/>
    <w:uiPriority w:val="99"/>
    <w:semiHidden/>
    <w:rPr>
      <w:rFonts w:ascii="Times New Roman" w:hAnsi="Times New Roman" w:eastAsia="宋体" w:cs="Times New Roman"/>
      <w:sz w:val="16"/>
      <w:szCs w:val="16"/>
    </w:rPr>
  </w:style>
  <w:style w:type="paragraph" w:styleId="1014">
    <w:name w:val="普通文字"/>
    <w:basedOn w:val="895"/>
    <w:next w:val="895"/>
    <w:link w:val="895"/>
    <w:rPr>
      <w:rFonts w:ascii="宋体"/>
      <w:sz w:val="24"/>
    </w:rPr>
  </w:style>
  <w:style w:type="character" w:styleId="1015">
    <w:name w:val="文档结构图 Char1"/>
    <w:next w:val="1015"/>
    <w:link w:val="895"/>
    <w:uiPriority w:val="99"/>
    <w:semiHidden/>
    <w:rPr>
      <w:rFonts w:ascii="宋体" w:hAnsi="Times New Roman" w:eastAsia="宋体" w:cs="Times New Roman"/>
      <w:sz w:val="18"/>
      <w:szCs w:val="18"/>
    </w:rPr>
  </w:style>
  <w:style w:type="character" w:styleId="1016">
    <w:name w:val="正文文本 2 Char1"/>
    <w:next w:val="1016"/>
    <w:link w:val="895"/>
    <w:uiPriority w:val="99"/>
    <w:semiHidden/>
    <w:rPr>
      <w:rFonts w:ascii="Times New Roman" w:hAnsi="Times New Roman" w:eastAsia="宋体" w:cs="Times New Roman"/>
      <w:szCs w:val="20"/>
    </w:rPr>
  </w:style>
  <w:style w:type="paragraph" w:styleId="1017">
    <w:name w:val="列出段落"/>
    <w:basedOn w:val="895"/>
    <w:next w:val="1017"/>
    <w:link w:val="1018"/>
    <w:uiPriority w:val="34"/>
    <w:qFormat/>
    <w:pPr>
      <w:ind w:firstLine="420"/>
    </w:pPr>
  </w:style>
  <w:style w:type="character" w:styleId="1018">
    <w:name w:val="列出段落 字符"/>
    <w:next w:val="1018"/>
    <w:link w:val="1017"/>
    <w:uiPriority w:val="34"/>
    <w:qFormat/>
    <w:rPr>
      <w:rFonts w:ascii="Times New Roman" w:hAnsi="Times New Roman"/>
      <w:sz w:val="21"/>
    </w:rPr>
  </w:style>
  <w:style w:type="character" w:styleId="1019">
    <w:name w:val="批注框文本 Char1"/>
    <w:next w:val="1019"/>
    <w:link w:val="895"/>
    <w:uiPriority w:val="99"/>
    <w:semiHidden/>
    <w:rPr>
      <w:rFonts w:ascii="Times New Roman" w:hAnsi="Times New Roman" w:eastAsia="宋体" w:cs="Times New Roman"/>
      <w:sz w:val="18"/>
      <w:szCs w:val="18"/>
    </w:rPr>
  </w:style>
  <w:style w:type="paragraph" w:styleId="1020">
    <w:name w:val="样式 小四 段前: 5 磅 段后: 5 磅 首行缩进:  2 字符"/>
    <w:basedOn w:val="895"/>
    <w:next w:val="1020"/>
    <w:link w:val="895"/>
    <w:qFormat/>
    <w:pPr>
      <w:jc w:val="center"/>
      <w:spacing w:line="360" w:lineRule="auto"/>
    </w:pPr>
    <w:rPr>
      <w:rFonts w:ascii="宋体" w:hAnsi="宋体"/>
      <w:bCs/>
      <w:color w:val="ff0000"/>
      <w:sz w:val="24"/>
      <w:szCs w:val="24"/>
    </w:rPr>
  </w:style>
  <w:style w:type="paragraph" w:styleId="1021">
    <w:name w:val="列出段落1"/>
    <w:basedOn w:val="895"/>
    <w:next w:val="1021"/>
    <w:link w:val="895"/>
    <w:qFormat/>
    <w:pPr>
      <w:ind w:firstLine="420"/>
    </w:pPr>
    <w:rPr>
      <w:rFonts w:ascii="Calibri" w:hAnsi="Calibri"/>
      <w:color w:val="000000"/>
      <w:spacing w:val="-8"/>
      <w:szCs w:val="22"/>
    </w:rPr>
  </w:style>
  <w:style w:type="paragraph" w:styleId="1022">
    <w:name w:val="List Paragraph"/>
    <w:basedOn w:val="895"/>
    <w:next w:val="1022"/>
    <w:link w:val="895"/>
    <w:uiPriority w:val="34"/>
    <w:qFormat/>
    <w:pPr>
      <w:ind w:firstLine="420"/>
    </w:pPr>
    <w:rPr>
      <w:szCs w:val="21"/>
    </w:rPr>
  </w:style>
  <w:style w:type="paragraph" w:styleId="1023">
    <w:name w:val="样式 表格正文 + 两端对齐"/>
    <w:basedOn w:val="895"/>
    <w:next w:val="1024"/>
    <w:link w:val="895"/>
    <w:uiPriority w:val="99"/>
    <w:qFormat/>
    <w:pPr>
      <w:spacing w:line="300" w:lineRule="auto"/>
    </w:pPr>
    <w:rPr>
      <w:rFonts w:ascii="Calibri" w:hAnsi="Calibri"/>
      <w:szCs w:val="24"/>
    </w:rPr>
  </w:style>
  <w:style w:type="paragraph" w:styleId="1024">
    <w:name w:val="正文1"/>
    <w:basedOn w:val="924"/>
    <w:next w:val="895"/>
    <w:link w:val="895"/>
    <w:qFormat/>
    <w:pPr>
      <w:ind w:right="1"/>
      <w:spacing w:line="360" w:lineRule="auto"/>
    </w:pPr>
    <w:rPr>
      <w:rFonts w:ascii="宋体" w:hAnsi="宋体"/>
      <w:color w:val="000000"/>
      <w:sz w:val="24"/>
      <w:shd w:val="clear" w:color="auto" w:fill="000080"/>
      <w:lang w:val="en-US" w:eastAsia="zh-CN"/>
    </w:rPr>
  </w:style>
  <w:style w:type="paragraph" w:styleId="1025">
    <w:name w:val="样式 首行缩进:  0 字符"/>
    <w:basedOn w:val="895"/>
    <w:next w:val="1025"/>
    <w:link w:val="895"/>
    <w:qFormat/>
    <w:pPr>
      <w:spacing w:line="360" w:lineRule="auto"/>
    </w:pPr>
    <w:rPr>
      <w:rFonts w:ascii="Arial" w:hAnsi="Arial" w:cs="宋体"/>
      <w:sz w:val="24"/>
      <w:szCs w:val="24"/>
    </w:rPr>
  </w:style>
  <w:style w:type="character" w:styleId="1026">
    <w:name w:val="bookmark-item"/>
    <w:next w:val="1026"/>
    <w:link w:val="895"/>
    <w:qFormat/>
  </w:style>
  <w:style w:type="character" w:styleId="1027">
    <w:name w:val="font61"/>
    <w:next w:val="1027"/>
    <w:link w:val="895"/>
    <w:qFormat/>
    <w:rPr>
      <w:rFonts w:ascii="微软雅黑" w:hAnsi="微软雅黑" w:eastAsia="微软雅黑" w:cs="微软雅黑"/>
      <w:color w:val="000000"/>
      <w:sz w:val="22"/>
      <w:szCs w:val="22"/>
      <w:u w:val="none"/>
    </w:rPr>
  </w:style>
  <w:style w:type="paragraph" w:styleId="1028">
    <w:name w:val="02-标书-标题2"/>
    <w:next w:val="1028"/>
    <w:link w:val="895"/>
    <w:qFormat/>
    <w:pPr>
      <w:numPr>
        <w:ilvl w:val="1"/>
        <w:numId w:val="3"/>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29">
    <w:name w:val="font41"/>
    <w:basedOn w:val="905"/>
    <w:next w:val="1029"/>
    <w:link w:val="895"/>
    <w:qFormat/>
    <w:rPr>
      <w:rFonts w:ascii="微软雅黑" w:hAnsi="微软雅黑" w:eastAsia="微软雅黑" w:cs="微软雅黑"/>
      <w:b/>
      <w:color w:val="ff0000"/>
      <w:sz w:val="22"/>
      <w:szCs w:val="22"/>
      <w:u w:val="none"/>
    </w:rPr>
  </w:style>
  <w:style w:type="character" w:styleId="1030">
    <w:name w:val="font71"/>
    <w:next w:val="1030"/>
    <w:link w:val="895"/>
    <w:qFormat/>
    <w:rPr>
      <w:rFonts w:ascii="Calibri" w:hAnsi="Calibri" w:cs="Calibri"/>
      <w:color w:val="000000"/>
      <w:sz w:val="20"/>
      <w:szCs w:val="20"/>
      <w:u w:val="none"/>
    </w:rPr>
  </w:style>
  <w:style w:type="character" w:styleId="1031">
    <w:name w:val="font01"/>
    <w:next w:val="1031"/>
    <w:link w:val="895"/>
    <w:qFormat/>
    <w:rPr>
      <w:rFonts w:ascii="Tahoma" w:hAnsi="Tahoma" w:eastAsia="Tahoma" w:cs="Tahoma"/>
      <w:color w:val="333333"/>
      <w:sz w:val="20"/>
      <w:szCs w:val="20"/>
      <w:u w:val="none"/>
    </w:rPr>
  </w:style>
  <w:style w:type="character" w:styleId="1032">
    <w:name w:val="font11"/>
    <w:basedOn w:val="905"/>
    <w:next w:val="1032"/>
    <w:link w:val="895"/>
    <w:qFormat/>
    <w:rPr>
      <w:rFonts w:hint="eastAsia" w:ascii="宋体" w:hAnsi="宋体" w:eastAsia="宋体" w:cs="宋体"/>
      <w:color w:val="333333"/>
      <w:sz w:val="20"/>
      <w:szCs w:val="20"/>
      <w:u w:val="none"/>
    </w:rPr>
  </w:style>
  <w:style w:type="character" w:styleId="1033">
    <w:name w:val="font21"/>
    <w:basedOn w:val="905"/>
    <w:next w:val="1033"/>
    <w:link w:val="895"/>
    <w:qFormat/>
    <w:rPr>
      <w:rFonts w:hint="eastAsia" w:ascii="宋体" w:hAnsi="宋体" w:eastAsia="宋体" w:cs="宋体"/>
      <w:color w:val="333333"/>
      <w:sz w:val="20"/>
      <w:szCs w:val="20"/>
      <w:u w:val="none"/>
    </w:rPr>
  </w:style>
  <w:style w:type="paragraph" w:styleId="1034">
    <w:name w:val="正文 A"/>
    <w:next w:val="1034"/>
    <w:link w:val="895"/>
    <w:qFormat/>
    <w:pPr>
      <w:jc w:val="both"/>
      <w:widowControl w:val="off"/>
    </w:pPr>
    <w:rPr>
      <w:rFonts w:eastAsia="Times New Roman"/>
      <w:color w:val="000000"/>
      <w:sz w:val="21"/>
      <w:szCs w:val="21"/>
      <w:lang w:val="en-US" w:eastAsia="zh-CN" w:bidi="ar-SA"/>
    </w:rPr>
  </w:style>
  <w:style w:type="character" w:styleId="1035">
    <w:name w:val="无"/>
    <w:next w:val="1035"/>
    <w:link w:val="895"/>
    <w:qFormat/>
  </w:style>
  <w:style w:type="paragraph" w:styleId="1036">
    <w:name w:val="paragraph"/>
    <w:basedOn w:val="895"/>
    <w:next w:val="1036"/>
    <w:link w:val="895"/>
    <w:qFormat/>
    <w:pPr>
      <w:jc w:val="left"/>
      <w:spacing w:before="100" w:beforeAutospacing="1" w:after="100" w:afterAutospacing="1"/>
      <w:widowControl/>
    </w:pPr>
    <w:rPr>
      <w:rFonts w:ascii="宋体" w:hAnsi="宋体" w:cs="宋体"/>
      <w:sz w:val="24"/>
      <w:szCs w:val="24"/>
    </w:rPr>
  </w:style>
  <w:style w:type="paragraph" w:styleId="1037">
    <w:name w:val="首行缩进"/>
    <w:next w:val="1037"/>
    <w:link w:val="895"/>
    <w:qFormat/>
    <w:pPr>
      <w:ind w:firstLine="480"/>
      <w:jc w:val="both"/>
      <w:widowControl w:val="off"/>
    </w:pPr>
    <w:rPr>
      <w:sz w:val="21"/>
      <w:lang w:val="zh-CN" w:eastAsia="zh-CN" w:bidi="ar-SA"/>
    </w:rPr>
  </w:style>
  <w:style w:type="paragraph" w:styleId="1038">
    <w:name w:val="纯文本111"/>
    <w:basedOn w:val="895"/>
    <w:next w:val="1038"/>
    <w:link w:val="895"/>
    <w:qFormat/>
    <w:pPr>
      <w:spacing w:line="360" w:lineRule="auto"/>
    </w:pPr>
    <w:rPr>
      <w:rFonts w:ascii="宋体" w:hAnsi="Courier New"/>
      <w:sz w:val="26"/>
      <w:szCs w:val="24"/>
    </w:rPr>
  </w:style>
  <w:style w:type="character" w:styleId="1039">
    <w:name w:val="列出段落 Char"/>
    <w:next w:val="1039"/>
    <w:link w:val="895"/>
    <w:uiPriority w:val="34"/>
    <w:qFormat/>
    <w:rPr>
      <w:rFonts w:ascii="Calibri" w:hAnsi="Calibri"/>
      <w:sz w:val="21"/>
      <w:szCs w:val="22"/>
    </w:rPr>
  </w:style>
  <w:style w:type="paragraph" w:styleId="1040">
    <w:name w:val="纯文本1"/>
    <w:basedOn w:val="895"/>
    <w:next w:val="1040"/>
    <w:link w:val="895"/>
    <w:qFormat/>
    <w:rPr>
      <w:rFonts w:ascii="宋体" w:hAnsi="Courier New" w:eastAsia="楷体_GB2312"/>
      <w:sz w:val="26"/>
    </w:rPr>
  </w:style>
  <w:style w:type="paragraph" w:styleId="1041">
    <w:name w:val="正文首行缩进 21"/>
    <w:basedOn w:val="937"/>
    <w:next w:val="1041"/>
    <w:link w:val="895"/>
    <w:uiPriority w:val="99"/>
    <w:qFormat/>
    <w:pPr>
      <w:ind w:left="156" w:firstLine="420"/>
      <w:spacing w:line="200" w:lineRule="atLeast"/>
      <w:widowControl/>
    </w:pPr>
    <w:rPr>
      <w:rFonts w:ascii="宋体" w:hAnsi="Courier New" w:eastAsia="仿宋_GB2312"/>
      <w:b w:val="0"/>
      <w:spacing w:val="-4"/>
      <w:sz w:val="18"/>
    </w:rPr>
  </w:style>
  <w:style w:type="character" w:styleId="1042">
    <w:name w:val="Char Char15"/>
    <w:next w:val="1042"/>
    <w:link w:val="895"/>
    <w:rPr>
      <w:rFonts w:ascii="仿宋_GB2312" w:hAnsi="Times New Roman" w:eastAsia="宋体" w:cs="Times New Roman"/>
      <w:sz w:val="24"/>
      <w:szCs w:val="24"/>
      <w:shd w:val="clear" w:color="auto" w:fill="000080"/>
    </w:rPr>
  </w:style>
  <w:style w:type="character" w:styleId="1043">
    <w:name w:val="apple-converted-space"/>
    <w:next w:val="1043"/>
    <w:link w:val="895"/>
  </w:style>
  <w:style w:type="character" w:styleId="1044">
    <w:name w:val="font"/>
    <w:next w:val="1044"/>
    <w:link w:val="895"/>
  </w:style>
  <w:style w:type="character" w:styleId="1045">
    <w:name w:val="Char Char9"/>
    <w:next w:val="1045"/>
    <w:link w:val="895"/>
    <w:rPr>
      <w:rFonts w:ascii="Cambria" w:hAnsi="Cambria" w:eastAsia="宋体" w:cs="Times New Roman"/>
      <w:b/>
      <w:bCs/>
      <w:sz w:val="32"/>
      <w:szCs w:val="32"/>
    </w:rPr>
  </w:style>
  <w:style w:type="character" w:styleId="1046">
    <w:name w:val="Char Char7"/>
    <w:next w:val="1046"/>
    <w:link w:val="895"/>
    <w:rPr>
      <w:rFonts w:ascii="Times New Roman" w:hAnsi="Times New Roman" w:eastAsia="宋体" w:cs="Times New Roman"/>
      <w:b/>
      <w:bCs/>
      <w:szCs w:val="21"/>
    </w:rPr>
  </w:style>
  <w:style w:type="character" w:styleId="1047">
    <w:name w:val="itm1"/>
    <w:next w:val="1047"/>
    <w:link w:val="895"/>
    <w:rPr>
      <w:rFonts w:hint="eastAsia" w:ascii="宋体" w:hAnsi="宋体" w:eastAsia="宋体"/>
      <w:sz w:val="21"/>
      <w:szCs w:val="21"/>
    </w:rPr>
  </w:style>
  <w:style w:type="character" w:styleId="1048">
    <w:name w:val="Char Char4"/>
    <w:next w:val="1048"/>
    <w:link w:val="895"/>
    <w:rPr>
      <w:sz w:val="18"/>
      <w:szCs w:val="18"/>
    </w:rPr>
  </w:style>
  <w:style w:type="character" w:styleId="1049">
    <w:name w:val="b"/>
    <w:next w:val="1049"/>
    <w:link w:val="895"/>
  </w:style>
  <w:style w:type="character" w:styleId="1050">
    <w:name w:val="apple-style-span"/>
    <w:next w:val="1050"/>
    <w:link w:val="895"/>
  </w:style>
  <w:style w:type="character" w:styleId="1051">
    <w:name w:val="Char Char13"/>
    <w:next w:val="1051"/>
    <w:link w:val="895"/>
    <w:rPr>
      <w:rFonts w:ascii="仿宋_GB2312" w:hAnsi="Times New Roman" w:eastAsia="宋体" w:cs="Times New Roman"/>
      <w:sz w:val="18"/>
      <w:szCs w:val="18"/>
    </w:rPr>
  </w:style>
  <w:style w:type="character" w:styleId="1052">
    <w:name w:val="表格 Char"/>
    <w:next w:val="1052"/>
    <w:link w:val="1053"/>
    <w:qFormat/>
    <w:rPr>
      <w:sz w:val="21"/>
      <w:szCs w:val="21"/>
    </w:rPr>
  </w:style>
  <w:style w:type="paragraph" w:styleId="1053">
    <w:name w:val="表格"/>
    <w:basedOn w:val="895"/>
    <w:next w:val="1053"/>
    <w:link w:val="1052"/>
    <w:qFormat/>
    <w:pPr>
      <w:jc w:val="center"/>
    </w:pPr>
    <w:rPr>
      <w:szCs w:val="21"/>
    </w:rPr>
  </w:style>
  <w:style w:type="character" w:styleId="1054">
    <w:name w:val="标题 31,H32,H33,H34,H35,H36,H37,H38,H39,H310,H311,H321,H331,H341,H351,H361,H371,H381,H391,H3101,H312,H322,H332,H342,H352,H362,H372,H382,H392,H3102,H3111,H3211,H3311,H3411,H3511,H3611,H3711,H3811,H3911,H31011,H313,H323"/>
    <w:next w:val="1054"/>
    <w:link w:val="895"/>
    <w:rPr>
      <w:rFonts w:hint="eastAsia" w:ascii="黑体" w:hAnsi="ˎ̥" w:eastAsia="黑体"/>
      <w:sz w:val="28"/>
    </w:rPr>
  </w:style>
  <w:style w:type="character" w:styleId="1055">
    <w:name w:val="Char Char Char Char Char Char Char Char Char Char Char Char Char"/>
    <w:next w:val="1055"/>
    <w:link w:val="895"/>
    <w:rPr>
      <w:rFonts w:eastAsia="宋体"/>
      <w:b/>
      <w:bCs/>
      <w:sz w:val="32"/>
      <w:szCs w:val="44"/>
      <w:lang w:val="en-US" w:eastAsia="zh-CN" w:bidi="ar-SA"/>
    </w:rPr>
  </w:style>
  <w:style w:type="character" w:styleId="1056">
    <w:name w:val="表格正文 Char Char"/>
    <w:next w:val="1056"/>
    <w:link w:val="1057"/>
    <w:rPr>
      <w:sz w:val="21"/>
      <w:szCs w:val="24"/>
    </w:rPr>
  </w:style>
  <w:style w:type="paragraph" w:styleId="1057">
    <w:name w:val="表格正文"/>
    <w:basedOn w:val="895"/>
    <w:next w:val="1057"/>
    <w:link w:val="1056"/>
    <w:rPr>
      <w:szCs w:val="24"/>
    </w:rPr>
  </w:style>
  <w:style w:type="character" w:styleId="1058">
    <w:name w:val="Char Char8"/>
    <w:next w:val="1058"/>
    <w:link w:val="895"/>
    <w:rPr>
      <w:rFonts w:ascii="Times New Roman" w:hAnsi="Times New Roman"/>
      <w:b/>
      <w:bCs/>
      <w:sz w:val="44"/>
      <w:szCs w:val="44"/>
    </w:rPr>
  </w:style>
  <w:style w:type="character" w:styleId="1059">
    <w:name w:val="unnamed21"/>
    <w:next w:val="1059"/>
    <w:link w:val="895"/>
    <w:rPr>
      <w:b/>
      <w:bCs/>
      <w:color w:val="ff6600"/>
      <w:sz w:val="21"/>
      <w:szCs w:val="21"/>
      <w:u w:val="none"/>
    </w:rPr>
  </w:style>
  <w:style w:type="character" w:styleId="1060">
    <w:name w:val="tw4winTerm"/>
    <w:next w:val="1060"/>
    <w:link w:val="895"/>
    <w:rPr>
      <w:color w:val="0000ff"/>
    </w:rPr>
  </w:style>
  <w:style w:type="character" w:styleId="1061">
    <w:name w:val="正文 + 宋体 Char,三号 Char,加粗 Char"/>
    <w:next w:val="1061"/>
    <w:link w:val="1062"/>
    <w:rPr>
      <w:rFonts w:ascii="新宋体" w:hAnsi="宋体" w:eastAsia="黑体"/>
      <w:b/>
      <w:bCs/>
      <w:sz w:val="28"/>
      <w:szCs w:val="28"/>
    </w:rPr>
  </w:style>
  <w:style w:type="paragraph" w:styleId="1062">
    <w:name w:val="正文 + 宋体"/>
    <w:basedOn w:val="896"/>
    <w:next w:val="1062"/>
    <w:link w:val="1061"/>
    <w:pPr>
      <w:ind w:left="-51"/>
      <w:keepLines/>
      <w:spacing w:before="120" w:after="120"/>
      <w:widowControl/>
      <w:tabs>
        <w:tab w:val="left" w:pos="1800" w:leader="none"/>
      </w:tabs>
    </w:pPr>
    <w:rPr>
      <w:rFonts w:ascii="新宋体" w:hAnsi="宋体" w:eastAsia="黑体"/>
      <w:bCs/>
      <w:szCs w:val="28"/>
    </w:rPr>
  </w:style>
  <w:style w:type="character" w:styleId="1063">
    <w:name w:val="text_list1"/>
    <w:next w:val="1063"/>
    <w:link w:val="895"/>
    <w:rPr>
      <w:rFonts w:ascii="Arial" w:hAnsi="Arial" w:cs="Arial"/>
      <w:color w:val="000000"/>
      <w:spacing w:val="272"/>
      <w:sz w:val="16"/>
      <w:szCs w:val="16"/>
    </w:rPr>
  </w:style>
  <w:style w:type="character" w:styleId="1064">
    <w:name w:val="样式 三号 下划线"/>
    <w:next w:val="1064"/>
    <w:link w:val="895"/>
    <w:rPr>
      <w:sz w:val="28"/>
      <w:u w:val="single"/>
    </w:rPr>
  </w:style>
  <w:style w:type="character" w:styleId="1065">
    <w:name w:val="普通(网站) 字符,普通(Web)1 字符,普通(Web) 字符,普通 (Web) 字符"/>
    <w:next w:val="1065"/>
    <w:link w:val="895"/>
    <w:qFormat/>
    <w:rPr>
      <w:rFonts w:ascii="宋体" w:hAnsi="宋体" w:cs="宋体"/>
      <w:sz w:val="24"/>
      <w:szCs w:val="24"/>
    </w:rPr>
  </w:style>
  <w:style w:type="character" w:styleId="1066">
    <w:name w:val="Char Char14"/>
    <w:next w:val="1066"/>
    <w:link w:val="895"/>
    <w:rPr>
      <w:rFonts w:ascii="楷体_GB2312" w:hAnsi="Arial" w:eastAsia="楷体_GB2312" w:cs="Times New Roman"/>
      <w:sz w:val="28"/>
      <w:szCs w:val="24"/>
    </w:rPr>
  </w:style>
  <w:style w:type="character" w:styleId="1067">
    <w:name w:val="普通正文 Char Char"/>
    <w:next w:val="1067"/>
    <w:link w:val="1068"/>
    <w:rPr>
      <w:rFonts w:ascii="Arial" w:hAnsi="Arial"/>
      <w:sz w:val="24"/>
      <w:szCs w:val="24"/>
    </w:rPr>
  </w:style>
  <w:style w:type="paragraph" w:styleId="1068">
    <w:name w:val="普通正文"/>
    <w:basedOn w:val="895"/>
    <w:next w:val="1068"/>
    <w:link w:val="1067"/>
    <w:pPr>
      <w:ind w:firstLine="480"/>
      <w:spacing w:before="120" w:after="120" w:line="500" w:lineRule="exact"/>
    </w:pPr>
    <w:rPr>
      <w:rFonts w:ascii="Arial" w:hAnsi="Arial"/>
      <w:sz w:val="24"/>
      <w:szCs w:val="24"/>
    </w:rPr>
  </w:style>
  <w:style w:type="character" w:styleId="1069">
    <w:name w:val="正文文本 Char Char"/>
    <w:next w:val="1069"/>
    <w:link w:val="895"/>
    <w:rPr>
      <w:rFonts w:ascii="楷体_GB2312" w:hAnsi="Arial" w:eastAsia="楷体_GB2312" w:cs="Times New Roman"/>
      <w:sz w:val="28"/>
      <w:szCs w:val="28"/>
    </w:rPr>
  </w:style>
  <w:style w:type="character" w:styleId="1070">
    <w:name w:val="+正文 Char3"/>
    <w:next w:val="1070"/>
    <w:link w:val="1071"/>
    <w:rPr>
      <w:sz w:val="24"/>
      <w:szCs w:val="28"/>
    </w:rPr>
  </w:style>
  <w:style w:type="paragraph" w:styleId="1071">
    <w:name w:val="+正文"/>
    <w:basedOn w:val="895"/>
    <w:next w:val="1071"/>
    <w:link w:val="1070"/>
    <w:pPr>
      <w:ind w:firstLine="200"/>
      <w:spacing w:line="360" w:lineRule="auto"/>
    </w:pPr>
    <w:rPr>
      <w:sz w:val="24"/>
      <w:szCs w:val="28"/>
    </w:rPr>
  </w:style>
  <w:style w:type="character" w:styleId="1072">
    <w:name w:val="style331"/>
    <w:next w:val="1072"/>
    <w:link w:val="895"/>
    <w:rPr>
      <w:color w:val="9900ff"/>
      <w:sz w:val="18"/>
      <w:szCs w:val="18"/>
    </w:rPr>
  </w:style>
  <w:style w:type="character" w:styleId="1073">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073"/>
    <w:link w:val="895"/>
    <w:rPr>
      <w:rFonts w:ascii="宋体" w:hAnsi="Courier New" w:eastAsia="宋体"/>
      <w:sz w:val="21"/>
      <w:lang w:val="en-US" w:eastAsia="zh-CN" w:bidi="ar-SA"/>
    </w:rPr>
  </w:style>
  <w:style w:type="character" w:styleId="1074">
    <w:name w:val="正文缩进 Char1,四号 Char,特点 Char1,表正文 Char,正文非缩进 Char,正文双线 Char,段1 Char,ALT+Z Char,缩进 Char,正文缩进 Char Char,正文不缩进 Char,特点 Char Char,水上软件 Char,上海中望标准正文（首行缩进两字） Char,正文（首行缩进两字） Char Char,正文（首行缩进两字） Char Char Char Char Char Char,正文（首行缩进两字） Char Char Char Char1"/>
    <w:next w:val="1074"/>
    <w:link w:val="895"/>
    <w:rPr>
      <w:rFonts w:eastAsia="楷体_GB2312"/>
      <w:sz w:val="24"/>
      <w:lang w:val="en-US" w:eastAsia="zh-CN" w:bidi="ar-SA"/>
    </w:rPr>
  </w:style>
  <w:style w:type="character" w:styleId="1075">
    <w:name w:val="纯文本 Char1"/>
    <w:next w:val="1075"/>
    <w:link w:val="895"/>
    <w:semiHidden/>
    <w:qFormat/>
    <w:rPr>
      <w:rFonts w:ascii="宋体" w:hAnsi="Courier New" w:eastAsia="宋体"/>
    </w:rPr>
  </w:style>
  <w:style w:type="paragraph" w:styleId="1076">
    <w:name w:val="图形"/>
    <w:basedOn w:val="895"/>
    <w:next w:val="1076"/>
    <w:link w:val="895"/>
    <w:pPr>
      <w:ind w:firstLine="420"/>
      <w:jc w:val="center"/>
      <w:spacing w:after="20" w:line="288" w:lineRule="auto"/>
    </w:pPr>
    <w:rPr>
      <w:szCs w:val="24"/>
    </w:rPr>
  </w:style>
  <w:style w:type="paragraph" w:styleId="1077">
    <w:name w:val="xl45"/>
    <w:basedOn w:val="895"/>
    <w:next w:val="1077"/>
    <w:link w:val="89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78">
    <w:name w:val="回信地址"/>
    <w:basedOn w:val="895"/>
    <w:next w:val="1078"/>
    <w:link w:val="895"/>
    <w:pPr>
      <w:ind w:right="-120" w:firstLine="420"/>
      <w:jc w:val="left"/>
      <w:keepLines/>
      <w:spacing w:after="20" w:line="200" w:lineRule="atLeast"/>
      <w:widowControl/>
    </w:pPr>
    <w:rPr>
      <w:sz w:val="16"/>
    </w:rPr>
  </w:style>
  <w:style w:type="paragraph" w:styleId="1079">
    <w:name w:val="xl46"/>
    <w:basedOn w:val="895"/>
    <w:next w:val="107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80">
    <w:name w:val="xl36"/>
    <w:basedOn w:val="895"/>
    <w:next w:val="1080"/>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81">
    <w:name w:val="表中"/>
    <w:basedOn w:val="895"/>
    <w:next w:val="1081"/>
    <w:link w:val="895"/>
    <w:pPr>
      <w:jc w:val="center"/>
      <w:spacing w:line="360" w:lineRule="atLeast"/>
    </w:pPr>
  </w:style>
  <w:style w:type="paragraph" w:styleId="1082">
    <w:name w:val="Char"/>
    <w:basedOn w:val="895"/>
    <w:next w:val="1082"/>
    <w:link w:val="895"/>
    <w:rPr>
      <w:rFonts w:ascii="仿宋_GB2312" w:eastAsia="仿宋_GB2312"/>
      <w:b/>
      <w:sz w:val="32"/>
      <w:szCs w:val="32"/>
    </w:rPr>
  </w:style>
  <w:style w:type="paragraph" w:styleId="1083">
    <w:name w:val="font6"/>
    <w:basedOn w:val="895"/>
    <w:next w:val="1083"/>
    <w:link w:val="895"/>
    <w:pPr>
      <w:ind w:firstLine="420"/>
      <w:jc w:val="left"/>
      <w:spacing w:before="100" w:beforeAutospacing="1" w:after="100" w:afterAutospacing="1" w:line="288" w:lineRule="auto"/>
      <w:widowControl/>
    </w:pPr>
    <w:rPr>
      <w:sz w:val="24"/>
      <w:szCs w:val="24"/>
    </w:rPr>
  </w:style>
  <w:style w:type="paragraph" w:styleId="1084">
    <w:name w:val="xl40"/>
    <w:basedOn w:val="895"/>
    <w:next w:val="1084"/>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5">
    <w:name w:val="xl37"/>
    <w:basedOn w:val="895"/>
    <w:next w:val="1085"/>
    <w:link w:val="89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86">
    <w:name w:val="ÕýÎÄ"/>
    <w:next w:val="1086"/>
    <w:link w:val="895"/>
    <w:pPr>
      <w:ind w:firstLine="419"/>
      <w:jc w:val="both"/>
      <w:spacing w:line="351" w:lineRule="atLeast"/>
      <w:widowControl w:val="off"/>
    </w:pPr>
    <w:rPr>
      <w:color w:val="000000"/>
      <w:sz w:val="21"/>
      <w:lang w:val="en-US" w:eastAsia="zh-CN" w:bidi="ar-SA"/>
    </w:rPr>
  </w:style>
  <w:style w:type="paragraph" w:styleId="1087">
    <w:name w:val="样式 纯文本 + 楷体_GB2312 小四 行距: 固定值 20 磅1"/>
    <w:basedOn w:val="946"/>
    <w:next w:val="1087"/>
    <w:link w:val="895"/>
    <w:pPr>
      <w:ind w:firstLine="200"/>
      <w:spacing w:line="400" w:lineRule="exact"/>
    </w:pPr>
    <w:rPr>
      <w:rFonts w:ascii="楷体_GB2312" w:eastAsia="楷体_GB2312"/>
      <w:sz w:val="24"/>
      <w:szCs w:val="20"/>
    </w:rPr>
  </w:style>
  <w:style w:type="paragraph" w:styleId="1088">
    <w:name w:val="页眉1"/>
    <w:basedOn w:val="895"/>
    <w:next w:val="1088"/>
    <w:link w:val="895"/>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9">
    <w:name w:val="yyn"/>
    <w:basedOn w:val="895"/>
    <w:next w:val="1089"/>
    <w:link w:val="895"/>
    <w:pPr>
      <w:ind w:right="562" w:firstLine="576"/>
      <w:keepNext/>
      <w:spacing w:line="360" w:lineRule="auto"/>
      <w:widowControl/>
    </w:pPr>
    <w:rPr>
      <w:rFonts w:ascii="宋体"/>
      <w:sz w:val="28"/>
    </w:rPr>
  </w:style>
  <w:style w:type="paragraph" w:styleId="1090">
    <w:name w:val="标题2"/>
    <w:basedOn w:val="897"/>
    <w:next w:val="895"/>
    <w:link w:val="895"/>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91">
    <w:name w:val="样式3"/>
    <w:basedOn w:val="946"/>
    <w:next w:val="1091"/>
    <w:link w:val="895"/>
    <w:pPr>
      <w:ind w:firstLine="448"/>
    </w:pPr>
    <w:rPr>
      <w:rFonts w:cs="Courier New"/>
      <w:color w:val="000000"/>
      <w:spacing w:val="-8"/>
    </w:rPr>
  </w:style>
  <w:style w:type="paragraph" w:styleId="1092">
    <w:name w:val="xl44"/>
    <w:basedOn w:val="895"/>
    <w:next w:val="1092"/>
    <w:link w:val="895"/>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93">
    <w:name w:val="附录1层"/>
    <w:basedOn w:val="895"/>
    <w:next w:val="895"/>
    <w:link w:val="895"/>
    <w:pPr>
      <w:ind w:firstLine="448"/>
      <w:jc w:val="center"/>
      <w:spacing w:line="440" w:lineRule="exact"/>
    </w:pPr>
    <w:rPr>
      <w:rFonts w:ascii="黑体" w:hAnsi="宋体" w:eastAsia="黑体"/>
      <w:color w:val="000000"/>
      <w:spacing w:val="-8"/>
      <w:sz w:val="24"/>
    </w:rPr>
  </w:style>
  <w:style w:type="paragraph" w:styleId="1094">
    <w:name w:val="正文1)"/>
    <w:basedOn w:val="895"/>
    <w:next w:val="1094"/>
    <w:link w:val="895"/>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95">
    <w:name w:val="标题0"/>
    <w:basedOn w:val="990"/>
    <w:next w:val="990"/>
    <w:link w:val="895"/>
    <w:rPr>
      <w:sz w:val="52"/>
    </w:rPr>
  </w:style>
  <w:style w:type="paragraph" w:styleId="1096">
    <w:name w:val="Table Paragraph"/>
    <w:basedOn w:val="895"/>
    <w:next w:val="1096"/>
    <w:link w:val="895"/>
    <w:uiPriority w:val="1"/>
    <w:qFormat/>
    <w:rPr>
      <w:rFonts w:ascii="宋体" w:hAnsi="宋体" w:cs="宋体"/>
      <w:szCs w:val="24"/>
      <w:lang w:val="zh-CN" w:bidi="zh-CN"/>
    </w:rPr>
  </w:style>
  <w:style w:type="paragraph" w:styleId="1097">
    <w:name w:val="xl49"/>
    <w:basedOn w:val="895"/>
    <w:next w:val="1097"/>
    <w:link w:val="895"/>
    <w:pPr>
      <w:jc w:val="center"/>
      <w:spacing w:before="100" w:beforeAutospacing="1" w:after="100" w:afterAutospacing="1"/>
      <w:widowControl/>
    </w:pPr>
    <w:rPr>
      <w:rFonts w:ascii="宋体" w:hAnsi="宋体"/>
      <w:b/>
      <w:bCs/>
      <w:color w:val="000000"/>
      <w:sz w:val="40"/>
      <w:szCs w:val="40"/>
    </w:rPr>
  </w:style>
  <w:style w:type="paragraph" w:styleId="1098">
    <w:name w:val="table_lines"/>
    <w:basedOn w:val="895"/>
    <w:next w:val="1098"/>
    <w:link w:val="895"/>
    <w:pPr>
      <w:jc w:val="left"/>
      <w:widowControl/>
    </w:pPr>
    <w:rPr>
      <w:sz w:val="20"/>
      <w:lang w:val="de-DE" w:eastAsia="de-DE"/>
    </w:rPr>
  </w:style>
  <w:style w:type="paragraph" w:styleId="1099">
    <w:name w:val="font7"/>
    <w:basedOn w:val="895"/>
    <w:next w:val="1099"/>
    <w:link w:val="895"/>
    <w:pPr>
      <w:ind w:firstLine="420"/>
      <w:jc w:val="left"/>
      <w:spacing w:before="100" w:beforeAutospacing="1" w:after="100" w:afterAutospacing="1" w:line="288" w:lineRule="auto"/>
      <w:widowControl/>
    </w:pPr>
    <w:rPr>
      <w:b/>
      <w:bCs/>
      <w:sz w:val="24"/>
      <w:szCs w:val="24"/>
    </w:rPr>
  </w:style>
  <w:style w:type="paragraph" w:styleId="1100">
    <w:name w:val="xl33"/>
    <w:basedOn w:val="895"/>
    <w:next w:val="1100"/>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1">
    <w:name w:val="正文(缩进)"/>
    <w:basedOn w:val="895"/>
    <w:next w:val="1101"/>
    <w:link w:val="895"/>
    <w:pPr>
      <w:ind w:firstLine="200"/>
      <w:spacing w:line="360" w:lineRule="auto"/>
      <w:widowControl/>
    </w:pPr>
    <w:rPr>
      <w:rFonts w:eastAsia="仿宋_GB2312"/>
      <w:sz w:val="24"/>
    </w:rPr>
  </w:style>
  <w:style w:type="paragraph" w:styleId="1102">
    <w:name w:val="样式1"/>
    <w:basedOn w:val="899"/>
    <w:next w:val="1102"/>
    <w:link w:val="895"/>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03">
    <w:name w:val="并列项-点"/>
    <w:basedOn w:val="895"/>
    <w:next w:val="1103"/>
    <w:link w:val="895"/>
    <w:pPr>
      <w:ind w:left="851" w:hanging="284"/>
      <w:spacing w:before="120" w:line="360" w:lineRule="auto"/>
      <w:widowControl/>
      <w:tabs>
        <w:tab w:val="left" w:pos="851" w:leader="none"/>
        <w:tab w:val="left" w:pos="927" w:leader="none"/>
      </w:tabs>
    </w:pPr>
    <w:rPr>
      <w:sz w:val="24"/>
    </w:rPr>
  </w:style>
  <w:style w:type="paragraph" w:styleId="1104">
    <w:name w:val="表蕊"/>
    <w:basedOn w:val="895"/>
    <w:next w:val="1104"/>
    <w:link w:val="895"/>
    <w:pPr>
      <w:jc w:val="left"/>
      <w:spacing w:line="320" w:lineRule="atLeast"/>
    </w:pPr>
    <w:rPr>
      <w:rFonts w:eastAsia="楷体_GB2312"/>
      <w:spacing w:val="-10"/>
    </w:rPr>
  </w:style>
  <w:style w:type="paragraph" w:styleId="1105">
    <w:name w:val="正文缩进1"/>
    <w:basedOn w:val="895"/>
    <w:next w:val="1105"/>
    <w:link w:val="895"/>
    <w:uiPriority w:val="99"/>
    <w:qFormat/>
    <w:pPr>
      <w:ind w:firstLine="200"/>
      <w:jc w:val="left"/>
      <w:spacing w:line="360" w:lineRule="auto"/>
      <w:widowControl/>
    </w:pPr>
    <w:rPr>
      <w:rFonts w:eastAsia="华文细黑"/>
      <w:sz w:val="24"/>
      <w:szCs w:val="21"/>
    </w:rPr>
  </w:style>
  <w:style w:type="paragraph" w:styleId="1106">
    <w:name w:val="font5"/>
    <w:basedOn w:val="895"/>
    <w:next w:val="1106"/>
    <w:link w:val="895"/>
    <w:pPr>
      <w:jc w:val="left"/>
      <w:spacing w:before="100" w:beforeAutospacing="1" w:after="100" w:afterAutospacing="1"/>
      <w:widowControl/>
    </w:pPr>
    <w:rPr>
      <w:rFonts w:hint="eastAsia" w:ascii="宋体" w:hAnsi="宋体"/>
      <w:sz w:val="18"/>
      <w:szCs w:val="18"/>
    </w:rPr>
  </w:style>
  <w:style w:type="paragraph" w:styleId="1107">
    <w:name w:val="产品型号"/>
    <w:basedOn w:val="895"/>
    <w:next w:val="1107"/>
    <w:link w:val="895"/>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08">
    <w:name w:val="xl41"/>
    <w:basedOn w:val="895"/>
    <w:next w:val="1108"/>
    <w:link w:val="895"/>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9">
    <w:name w:val="xl39"/>
    <w:basedOn w:val="895"/>
    <w:next w:val="1109"/>
    <w:link w:val="89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10">
    <w:name w:val="名词解释11"/>
    <w:basedOn w:val="1111"/>
    <w:next w:val="1110"/>
    <w:link w:val="895"/>
    <w:pPr>
      <w:ind w:firstLine="0"/>
      <w:spacing w:after="0"/>
    </w:pPr>
  </w:style>
  <w:style w:type="paragraph" w:styleId="1111">
    <w:name w:val="名词解释"/>
    <w:basedOn w:val="895"/>
    <w:next w:val="1111"/>
    <w:link w:val="895"/>
    <w:pPr>
      <w:ind w:left="2325" w:hanging="2325"/>
      <w:spacing w:after="20" w:line="288" w:lineRule="auto"/>
    </w:pPr>
  </w:style>
  <w:style w:type="paragraph" w:styleId="1112">
    <w:name w:val="xl51"/>
    <w:basedOn w:val="895"/>
    <w:next w:val="1112"/>
    <w:link w:val="895"/>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13">
    <w:name w:val="xl26"/>
    <w:basedOn w:val="895"/>
    <w:next w:val="1113"/>
    <w:link w:val="895"/>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4">
    <w:name w:val="xl38"/>
    <w:basedOn w:val="895"/>
    <w:next w:val="1114"/>
    <w:link w:val="895"/>
    <w:pPr>
      <w:jc w:val="center"/>
      <w:spacing w:before="100" w:beforeAutospacing="1" w:after="100" w:afterAutospacing="1"/>
      <w:widowControl/>
    </w:pPr>
    <w:rPr>
      <w:rFonts w:hint="eastAsia" w:ascii="隶书" w:hAnsi="宋体" w:eastAsia="隶书"/>
      <w:b/>
      <w:bCs/>
      <w:sz w:val="48"/>
      <w:szCs w:val="48"/>
    </w:rPr>
  </w:style>
  <w:style w:type="paragraph" w:styleId="1115">
    <w:name w:val="办公自动化专用正文"/>
    <w:basedOn w:val="895"/>
    <w:next w:val="1115"/>
    <w:link w:val="895"/>
    <w:pPr>
      <w:ind w:firstLine="624"/>
      <w:spacing w:line="500" w:lineRule="atLeast"/>
    </w:pPr>
    <w:rPr>
      <w:rFonts w:hAnsi="宋体" w:eastAsia="楷体_GB2312"/>
      <w:color w:val="000000"/>
      <w:spacing w:val="-8"/>
      <w:sz w:val="32"/>
    </w:rPr>
  </w:style>
  <w:style w:type="paragraph" w:styleId="1116">
    <w:name w:val="样式 标题 2标题 2 Char Char + (西文) 仿宋_GB2312"/>
    <w:basedOn w:val="897"/>
    <w:next w:val="1116"/>
    <w:link w:val="895"/>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17">
    <w:name w:val="章标题"/>
    <w:next w:val="895"/>
    <w:link w:val="895"/>
    <w:pPr>
      <w:jc w:val="both"/>
      <w:outlineLvl w:val="1"/>
    </w:pPr>
    <w:rPr>
      <w:rFonts w:ascii="黑体" w:eastAsia="黑体"/>
      <w:sz w:val="21"/>
      <w:lang w:val="en-US" w:eastAsia="zh-CN" w:bidi="ar-SA"/>
    </w:rPr>
  </w:style>
  <w:style w:type="paragraph" w:styleId="1118">
    <w:name w:val="Char Char Char Char Char Char Char Char Char Char Char"/>
    <w:basedOn w:val="924"/>
    <w:next w:val="1118"/>
    <w:link w:val="895"/>
    <w:pPr>
      <w:ind w:firstLine="420"/>
    </w:pPr>
    <w:rPr>
      <w:rFonts w:hAnsi="宋体"/>
      <w:color w:val="000000"/>
      <w:spacing w:val="-8"/>
      <w:sz w:val="21"/>
      <w:shd w:val="clear" w:color="auto" w:fill="000080"/>
    </w:rPr>
  </w:style>
  <w:style w:type="paragraph" w:styleId="1119">
    <w:name w:val="text"/>
    <w:basedOn w:val="895"/>
    <w:next w:val="1119"/>
    <w:link w:val="895"/>
    <w:pPr>
      <w:ind w:left="1098" w:hanging="2"/>
      <w:spacing w:after="60" w:line="264" w:lineRule="auto"/>
      <w:widowControl/>
      <w:tabs>
        <w:tab w:val="left" w:pos="1020" w:leader="none"/>
        <w:tab w:val="left" w:pos="1090" w:leader="none"/>
      </w:tabs>
    </w:pPr>
    <w:rPr>
      <w:sz w:val="24"/>
      <w:szCs w:val="24"/>
    </w:rPr>
  </w:style>
  <w:style w:type="paragraph" w:styleId="1120">
    <w:name w:val="函数注释1"/>
    <w:basedOn w:val="895"/>
    <w:next w:val="1120"/>
    <w:link w:val="895"/>
    <w:pPr>
      <w:ind w:left="1678" w:right="210" w:hanging="1049"/>
      <w:jc w:val="left"/>
      <w:spacing w:after="20" w:line="320" w:lineRule="exact"/>
    </w:pPr>
  </w:style>
  <w:style w:type="paragraph" w:styleId="1121">
    <w:name w:val="列表_名词"/>
    <w:basedOn w:val="1110"/>
    <w:next w:val="1121"/>
    <w:link w:val="895"/>
    <w:pPr>
      <w:ind w:left="2745" w:hanging="420"/>
      <w:tabs>
        <w:tab w:val="left" w:pos="2745" w:leader="none"/>
      </w:tabs>
    </w:pPr>
  </w:style>
  <w:style w:type="paragraph" w:styleId="1122">
    <w:name w:val="样式 标题 3 + (西文) 宋体 黑色"/>
    <w:basedOn w:val="898"/>
    <w:next w:val="1122"/>
    <w:link w:val="895"/>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23">
    <w:name w:val="Javis"/>
    <w:basedOn w:val="895"/>
    <w:next w:val="1123"/>
    <w:link w:val="895"/>
    <w:pPr>
      <w:ind w:right="210"/>
    </w:pPr>
    <w:rPr>
      <w:rFonts w:cs="宋体"/>
      <w:sz w:val="24"/>
    </w:rPr>
  </w:style>
  <w:style w:type="paragraph" w:styleId="1124">
    <w:name w:val="样式 标题 1 + 加粗"/>
    <w:basedOn w:val="896"/>
    <w:next w:val="1124"/>
    <w:link w:val="895"/>
    <w:pPr>
      <w:keepLines/>
      <w:spacing w:before="120" w:after="120"/>
      <w:widowControl/>
      <w:tabs>
        <w:tab w:val="left" w:pos="1800" w:leader="none"/>
      </w:tabs>
    </w:pPr>
    <w:rPr>
      <w:rFonts w:ascii="新宋体" w:hAnsi="宋体" w:eastAsia="黑体"/>
      <w:bCs/>
      <w:szCs w:val="28"/>
    </w:rPr>
  </w:style>
  <w:style w:type="paragraph" w:styleId="1125">
    <w:name w:val="重点"/>
    <w:basedOn w:val="895"/>
    <w:next w:val="1125"/>
    <w:link w:val="895"/>
    <w:pPr>
      <w:ind w:firstLine="420"/>
      <w:spacing w:after="20" w:line="288" w:lineRule="auto"/>
      <w:shd w:val="pct10" w:color="auto" w:fill="auto"/>
    </w:pPr>
    <w:rPr>
      <w:rFonts w:eastAsia="黑体"/>
      <w:b/>
      <w:szCs w:val="24"/>
    </w:rPr>
  </w:style>
  <w:style w:type="paragraph" w:styleId="1126">
    <w:name w:val="目录"/>
    <w:basedOn w:val="895"/>
    <w:next w:val="895"/>
    <w:link w:val="895"/>
    <w:pPr>
      <w:ind w:firstLine="420"/>
      <w:jc w:val="center"/>
      <w:spacing w:before="360" w:after="360" w:line="360" w:lineRule="auto"/>
    </w:pPr>
    <w:rPr>
      <w:b/>
      <w:spacing w:val="200"/>
      <w:sz w:val="36"/>
    </w:rPr>
  </w:style>
  <w:style w:type="paragraph" w:styleId="1127">
    <w:name w:val="段"/>
    <w:next w:val="895"/>
    <w:link w:val="895"/>
    <w:qFormat/>
    <w:pPr>
      <w:ind w:firstLine="200"/>
      <w:jc w:val="both"/>
    </w:pPr>
    <w:rPr>
      <w:rFonts w:ascii="宋体"/>
      <w:sz w:val="21"/>
      <w:lang w:val="en-US" w:eastAsia="zh-CN" w:bidi="ar-SA"/>
    </w:rPr>
  </w:style>
  <w:style w:type="paragraph" w:styleId="1128">
    <w:name w:val="样式2"/>
    <w:basedOn w:val="898"/>
    <w:next w:val="1128"/>
    <w:link w:val="895"/>
    <w:pPr>
      <w:ind w:firstLine="448"/>
      <w:jc w:val="both"/>
      <w:keepLines/>
      <w:spacing w:line="416" w:lineRule="auto"/>
    </w:pPr>
    <w:rPr>
      <w:rFonts w:hAnsi="宋体" w:eastAsia="宋体"/>
      <w:color w:val="000000"/>
      <w:spacing w:val="-8"/>
      <w:sz w:val="24"/>
      <w:szCs w:val="32"/>
    </w:rPr>
  </w:style>
  <w:style w:type="paragraph" w:styleId="1129">
    <w:name w:val="Char Char Char Char Char Char Char Char Char Char Char Char Char Char Char Char"/>
    <w:basedOn w:val="895"/>
    <w:next w:val="1129"/>
    <w:link w:val="895"/>
    <w:pPr>
      <w:tabs>
        <w:tab w:val="left" w:pos="360" w:leader="none"/>
      </w:tabs>
    </w:pPr>
    <w:rPr>
      <w:sz w:val="24"/>
      <w:szCs w:val="24"/>
    </w:rPr>
  </w:style>
  <w:style w:type="paragraph" w:styleId="1130">
    <w:name w:val="xl52"/>
    <w:basedOn w:val="895"/>
    <w:next w:val="1130"/>
    <w:link w:val="895"/>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31">
    <w:name w:val="函数注释2"/>
    <w:basedOn w:val="895"/>
    <w:next w:val="1131"/>
    <w:link w:val="895"/>
    <w:pPr>
      <w:ind w:left="1680" w:firstLine="420"/>
      <w:spacing w:after="20" w:line="288" w:lineRule="auto"/>
    </w:pPr>
    <w:rPr>
      <w:szCs w:val="24"/>
    </w:rPr>
  </w:style>
  <w:style w:type="paragraph" w:styleId="1132">
    <w:name w:val="xl22"/>
    <w:basedOn w:val="895"/>
    <w:next w:val="1132"/>
    <w:link w:val="895"/>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3">
    <w:name w:val="xl24"/>
    <w:basedOn w:val="895"/>
    <w:next w:val="1133"/>
    <w:link w:val="895"/>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4">
    <w:name w:val="xl42"/>
    <w:basedOn w:val="895"/>
    <w:next w:val="1134"/>
    <w:link w:val="895"/>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35">
    <w:name w:val="复选框1"/>
    <w:basedOn w:val="895"/>
    <w:next w:val="1135"/>
    <w:link w:val="895"/>
    <w:pPr>
      <w:ind w:firstLine="448"/>
      <w:spacing w:before="360" w:after="360"/>
      <w:widowControl/>
    </w:pPr>
    <w:rPr>
      <w:rFonts w:hAnsi="宋体"/>
      <w:color w:val="000000"/>
      <w:spacing w:val="-8"/>
      <w:sz w:val="20"/>
    </w:rPr>
  </w:style>
  <w:style w:type="paragraph" w:styleId="1136">
    <w:name w:val="Char Char Char Char Char Char Char"/>
    <w:basedOn w:val="895"/>
    <w:next w:val="1136"/>
    <w:link w:val="895"/>
    <w:pPr>
      <w:jc w:val="left"/>
      <w:spacing w:after="160" w:line="240" w:lineRule="exact"/>
      <w:widowControl/>
    </w:pPr>
    <w:rPr>
      <w:rFonts w:ascii="Arial" w:hAnsi="Arial" w:eastAsia="Times New Roman" w:cs="Verdana"/>
      <w:b/>
      <w:sz w:val="24"/>
      <w:szCs w:val="24"/>
      <w:lang w:eastAsia="en-US"/>
    </w:rPr>
  </w:style>
  <w:style w:type="paragraph" w:styleId="1137">
    <w:name w:val="标准文字"/>
    <w:basedOn w:val="895"/>
    <w:next w:val="1137"/>
    <w:link w:val="895"/>
    <w:pPr>
      <w:ind w:firstLine="420"/>
      <w:spacing w:after="20" w:line="360" w:lineRule="auto"/>
    </w:pPr>
    <w:rPr>
      <w:szCs w:val="24"/>
    </w:rPr>
  </w:style>
  <w:style w:type="paragraph" w:styleId="1138">
    <w:name w:val="Char Char Char Char"/>
    <w:basedOn w:val="895"/>
    <w:next w:val="1138"/>
    <w:link w:val="895"/>
    <w:pPr>
      <w:jc w:val="left"/>
      <w:spacing w:after="160" w:line="240" w:lineRule="exact"/>
      <w:widowControl/>
    </w:pPr>
    <w:rPr>
      <w:rFonts w:ascii="Verdana" w:hAnsi="Verdana" w:eastAsia="仿宋_GB2312"/>
      <w:sz w:val="24"/>
      <w:lang w:eastAsia="en-US"/>
    </w:rPr>
  </w:style>
  <w:style w:type="paragraph" w:styleId="1139">
    <w:name w:val="样式一"/>
    <w:basedOn w:val="895"/>
    <w:next w:val="1139"/>
    <w:link w:val="895"/>
    <w:pPr>
      <w:ind w:left="340" w:hanging="340"/>
      <w:spacing w:before="100" w:after="100" w:line="360" w:lineRule="exact"/>
      <w:tabs>
        <w:tab w:val="left" w:pos="1080" w:leader="none"/>
      </w:tabs>
    </w:pPr>
    <w:rPr>
      <w:rFonts w:ascii="宋体" w:hAnsi="宋体" w:eastAsia="黑体"/>
      <w:sz w:val="24"/>
      <w:lang w:val="en-GB"/>
    </w:rPr>
  </w:style>
  <w:style w:type="paragraph" w:styleId="1140">
    <w:name w:val="程序代码"/>
    <w:basedOn w:val="895"/>
    <w:next w:val="1140"/>
    <w:link w:val="895"/>
    <w:pPr>
      <w:ind w:left="839" w:firstLine="420"/>
      <w:spacing w:after="20" w:line="288" w:lineRule="auto"/>
    </w:pPr>
    <w:rPr>
      <w:rFonts w:eastAsia="仿宋_GB2312"/>
      <w:szCs w:val="24"/>
    </w:rPr>
  </w:style>
  <w:style w:type="paragraph" w:styleId="1141">
    <w:name w:val="表格文字"/>
    <w:basedOn w:val="895"/>
    <w:next w:val="935"/>
    <w:link w:val="895"/>
    <w:pPr>
      <w:jc w:val="left"/>
      <w:spacing w:line="288" w:lineRule="auto"/>
    </w:pPr>
  </w:style>
  <w:style w:type="paragraph" w:styleId="1142">
    <w:name w:val="xl25"/>
    <w:basedOn w:val="895"/>
    <w:next w:val="1142"/>
    <w:link w:val="89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43">
    <w:name w:val="xl29"/>
    <w:basedOn w:val="895"/>
    <w:next w:val="1143"/>
    <w:link w:val="895"/>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4">
    <w:name w:val="xl47"/>
    <w:basedOn w:val="895"/>
    <w:next w:val="1144"/>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45">
    <w:name w:val="xl34"/>
    <w:basedOn w:val="895"/>
    <w:next w:val="1145"/>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6">
    <w:name w:val="xl23"/>
    <w:basedOn w:val="895"/>
    <w:next w:val="1146"/>
    <w:link w:val="895"/>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7">
    <w:name w:val="List Paragraph[858D7CFB-ED40-4347-BF05-701D383B685F][858D7CFB-ED40-4347-BF05-701D383B685F]"/>
    <w:basedOn w:val="895"/>
    <w:next w:val="1147"/>
    <w:link w:val="895"/>
    <w:pPr>
      <w:ind w:firstLine="420"/>
    </w:pPr>
    <w:rPr>
      <w:rFonts w:ascii="Calibri" w:hAnsi="Calibri"/>
      <w:color w:val="000000"/>
      <w:spacing w:val="-8"/>
      <w:szCs w:val="22"/>
    </w:rPr>
  </w:style>
  <w:style w:type="paragraph" w:styleId="1148">
    <w:name w:val="xl30"/>
    <w:basedOn w:val="895"/>
    <w:next w:val="1148"/>
    <w:link w:val="895"/>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9">
    <w:name w:val="文档标签"/>
    <w:next w:val="895"/>
    <w:link w:val="895"/>
    <w:pPr>
      <w:ind w:left="840"/>
      <w:spacing w:before="100" w:after="720" w:line="600" w:lineRule="exact"/>
    </w:pPr>
    <w:rPr>
      <w:spacing w:val="-34"/>
      <w:sz w:val="60"/>
      <w:lang w:val="en-US" w:eastAsia="zh-CN" w:bidi="ar-SA"/>
    </w:rPr>
  </w:style>
  <w:style w:type="paragraph" w:styleId="1150">
    <w:name w:val="whs5"/>
    <w:basedOn w:val="895"/>
    <w:next w:val="1150"/>
    <w:link w:val="895"/>
    <w:pPr>
      <w:ind w:left="115" w:right="130" w:firstLine="448"/>
      <w:widowControl/>
    </w:pPr>
    <w:rPr>
      <w:rFonts w:hAnsi="宋体"/>
      <w:color w:val="000000"/>
      <w:spacing w:val="-8"/>
      <w:sz w:val="18"/>
      <w:szCs w:val="18"/>
      <w:lang w:eastAsia="en-US"/>
    </w:rPr>
  </w:style>
  <w:style w:type="paragraph" w:styleId="1151">
    <w:name w:val="Char Char Char Char Char Char"/>
    <w:basedOn w:val="895"/>
    <w:next w:val="1151"/>
    <w:link w:val="895"/>
    <w:pPr>
      <w:jc w:val="left"/>
      <w:spacing w:after="160" w:line="240" w:lineRule="exact"/>
      <w:widowControl/>
    </w:pPr>
    <w:rPr>
      <w:rFonts w:ascii="黑体" w:hAnsi="Verdana" w:eastAsia="黑体"/>
      <w:sz w:val="32"/>
      <w:szCs w:val="32"/>
    </w:rPr>
  </w:style>
  <w:style w:type="paragraph" w:styleId="1152">
    <w:name w:val="表格标题"/>
    <w:basedOn w:val="895"/>
    <w:next w:val="1152"/>
    <w:link w:val="895"/>
    <w:pPr>
      <w:jc w:val="center"/>
      <w:spacing w:before="120" w:line="400" w:lineRule="exact"/>
    </w:pPr>
    <w:rPr>
      <w:rFonts w:eastAsia="文鼎CS中宋"/>
      <w:spacing w:val="8"/>
      <w:sz w:val="24"/>
    </w:rPr>
  </w:style>
  <w:style w:type="paragraph" w:styleId="1153">
    <w:name w:val="列表2"/>
    <w:basedOn w:val="895"/>
    <w:next w:val="1153"/>
    <w:link w:val="895"/>
    <w:pPr>
      <w:ind w:left="1469" w:hanging="420"/>
      <w:spacing w:after="20" w:line="288" w:lineRule="auto"/>
      <w:tabs>
        <w:tab w:val="left" w:pos="1470" w:leader="none"/>
      </w:tabs>
    </w:pPr>
    <w:rPr>
      <w:szCs w:val="24"/>
    </w:rPr>
  </w:style>
  <w:style w:type="paragraph" w:styleId="1154">
    <w:name w:val="列表段落1"/>
    <w:basedOn w:val="895"/>
    <w:next w:val="1154"/>
    <w:link w:val="895"/>
    <w:qFormat/>
    <w:pPr>
      <w:ind w:firstLine="420"/>
    </w:pPr>
    <w:rPr>
      <w:rFonts w:ascii="Calibri" w:hAnsi="Calibri"/>
      <w:szCs w:val="22"/>
    </w:rPr>
  </w:style>
  <w:style w:type="paragraph" w:styleId="1155">
    <w:name w:val="xl28"/>
    <w:basedOn w:val="895"/>
    <w:next w:val="1155"/>
    <w:link w:val="895"/>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6">
    <w:name w:val="Char Char Char1 Char Char Char"/>
    <w:basedOn w:val="895"/>
    <w:next w:val="1156"/>
    <w:link w:val="895"/>
    <w:pPr>
      <w:ind w:firstLine="200"/>
    </w:pPr>
    <w:rPr>
      <w:rFonts w:ascii="Tahoma" w:hAnsi="Tahoma"/>
      <w:sz w:val="24"/>
    </w:rPr>
  </w:style>
  <w:style w:type="paragraph" w:styleId="1157">
    <w:name w:val="xl35"/>
    <w:basedOn w:val="895"/>
    <w:next w:val="1157"/>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8">
    <w:name w:val="无间隔"/>
    <w:next w:val="1158"/>
    <w:link w:val="895"/>
    <w:qFormat/>
    <w:pPr>
      <w:jc w:val="both"/>
      <w:widowControl w:val="off"/>
    </w:pPr>
    <w:rPr>
      <w:sz w:val="21"/>
      <w:szCs w:val="22"/>
      <w:lang w:val="en-US" w:eastAsia="zh-CN" w:bidi="ar-SA"/>
    </w:rPr>
  </w:style>
  <w:style w:type="paragraph" w:styleId="1159">
    <w:name w:val="xl43"/>
    <w:basedOn w:val="895"/>
    <w:next w:val="1159"/>
    <w:link w:val="895"/>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60">
    <w:name w:val="表头"/>
    <w:basedOn w:val="895"/>
    <w:next w:val="1160"/>
    <w:link w:val="895"/>
    <w:pPr>
      <w:jc w:val="center"/>
      <w:spacing w:line="320" w:lineRule="atLeast"/>
    </w:pPr>
    <w:rPr>
      <w:rFonts w:eastAsia="黑体"/>
      <w:spacing w:val="-10"/>
    </w:rPr>
  </w:style>
  <w:style w:type="paragraph" w:styleId="1161">
    <w:name w:val="标准式样"/>
    <w:basedOn w:val="975"/>
    <w:next w:val="1161"/>
    <w:link w:val="895"/>
  </w:style>
  <w:style w:type="paragraph" w:styleId="1162">
    <w:name w:val="xl50"/>
    <w:basedOn w:val="895"/>
    <w:next w:val="1162"/>
    <w:link w:val="895"/>
    <w:pPr>
      <w:jc w:val="center"/>
      <w:spacing w:before="100" w:beforeAutospacing="1" w:after="100" w:afterAutospacing="1"/>
      <w:widowControl/>
    </w:pPr>
    <w:rPr>
      <w:rFonts w:ascii="宋体" w:hAnsi="宋体"/>
      <w:b/>
      <w:bCs/>
      <w:sz w:val="40"/>
      <w:szCs w:val="40"/>
    </w:rPr>
  </w:style>
  <w:style w:type="paragraph" w:styleId="1163">
    <w:name w:val="Char1"/>
    <w:basedOn w:val="895"/>
    <w:next w:val="1163"/>
    <w:link w:val="895"/>
    <w:pPr>
      <w:ind w:firstLine="448"/>
    </w:pPr>
    <w:rPr>
      <w:rFonts w:ascii="宋体" w:hAnsi="宋体" w:eastAsia="仿宋_GB2312"/>
      <w:b/>
      <w:color w:val="000000"/>
      <w:spacing w:val="-8"/>
      <w:sz w:val="32"/>
      <w:szCs w:val="32"/>
    </w:rPr>
  </w:style>
  <w:style w:type="paragraph" w:styleId="1164">
    <w:name w:val="font0"/>
    <w:basedOn w:val="895"/>
    <w:next w:val="1164"/>
    <w:link w:val="895"/>
    <w:pPr>
      <w:jc w:val="left"/>
      <w:spacing w:before="100" w:beforeAutospacing="1" w:after="100" w:afterAutospacing="1"/>
      <w:widowControl/>
    </w:pPr>
    <w:rPr>
      <w:rFonts w:hint="eastAsia" w:ascii="宋体" w:hAnsi="宋体"/>
      <w:sz w:val="18"/>
      <w:szCs w:val="18"/>
    </w:rPr>
  </w:style>
  <w:style w:type="paragraph" w:styleId="1165">
    <w:name w:val="xl27"/>
    <w:basedOn w:val="895"/>
    <w:next w:val="1165"/>
    <w:link w:val="895"/>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6">
    <w:name w:val="简介正文"/>
    <w:basedOn w:val="895"/>
    <w:next w:val="1166"/>
    <w:link w:val="895"/>
    <w:pPr>
      <w:ind w:left="1701" w:hanging="1701"/>
      <w:spacing w:after="20" w:line="520" w:lineRule="exact"/>
      <w:tabs>
        <w:tab w:val="left" w:pos="425" w:leader="none"/>
      </w:tabs>
    </w:pPr>
    <w:rPr>
      <w:sz w:val="24"/>
    </w:rPr>
  </w:style>
  <w:style w:type="paragraph" w:styleId="1167">
    <w:name w:val="xl31"/>
    <w:basedOn w:val="895"/>
    <w:next w:val="1167"/>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8">
    <w:name w:val="xl32"/>
    <w:basedOn w:val="895"/>
    <w:next w:val="116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9">
    <w:name w:val="xl48"/>
    <w:basedOn w:val="895"/>
    <w:next w:val="1169"/>
    <w:link w:val="89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70">
    <w:name w:val="Other|1"/>
    <w:basedOn w:val="895"/>
    <w:next w:val="1170"/>
    <w:link w:val="895"/>
    <w:qFormat/>
    <w:pPr>
      <w:ind w:firstLine="220"/>
    </w:pPr>
    <w:rPr>
      <w:rFonts w:ascii="宋体" w:hAnsi="宋体" w:cs="宋体"/>
      <w:sz w:val="20"/>
      <w:lang w:val="zh-TW" w:eastAsia="zh-TW" w:bidi="zh-TW"/>
    </w:rPr>
  </w:style>
  <w:style w:type="paragraph" w:styleId="1171">
    <w:name w:val="p0"/>
    <w:basedOn w:val="895"/>
    <w:next w:val="1171"/>
    <w:link w:val="895"/>
    <w:qFormat/>
    <w:pPr>
      <w:widowControl/>
    </w:pPr>
    <w:rPr>
      <w:szCs w:val="21"/>
    </w:rPr>
  </w:style>
  <w:style w:type="paragraph" w:styleId="1172">
    <w:name w:val="_Style 1"/>
    <w:basedOn w:val="895"/>
    <w:next w:val="1172"/>
    <w:link w:val="895"/>
    <w:uiPriority w:val="99"/>
    <w:qFormat/>
    <w:pPr>
      <w:ind w:firstLine="420"/>
    </w:pPr>
    <w:rPr>
      <w:sz w:val="20"/>
    </w:rPr>
  </w:style>
  <w:style w:type="table" w:styleId="1173">
    <w:name w:val="Table Normal"/>
    <w:next w:val="1173"/>
    <w:link w:val="895"/>
    <w:unhideWhenUsed/>
    <w:qFormat/>
    <w:tblPr/>
  </w:style>
  <w:style w:type="paragraph" w:styleId="1174">
    <w:name w:val="引文目录1"/>
    <w:basedOn w:val="895"/>
    <w:next w:val="895"/>
    <w:link w:val="895"/>
    <w:qFormat/>
    <w:pPr>
      <w:ind w:left="420"/>
    </w:pPr>
  </w:style>
  <w:style w:type="table" w:styleId="1175">
    <w:name w:val="网格型6"/>
    <w:basedOn w:val="906"/>
    <w:next w:val="1175"/>
    <w:link w:val="895"/>
    <w:uiPriority w:val="59"/>
    <w:qFormat/>
    <w:rPr>
      <w:rFonts w:ascii="Calibri" w:hAnsi="Calibri"/>
    </w:rPr>
    <w:tblPr/>
  </w:style>
  <w:style w:type="table" w:styleId="1176">
    <w:name w:val="网格型52"/>
    <w:basedOn w:val="906"/>
    <w:next w:val="1176"/>
    <w:link w:val="895"/>
    <w:qFormat/>
    <w:pPr>
      <w:jc w:val="both"/>
      <w:widowControl w:val="off"/>
    </w:pPr>
    <w:tblPr/>
  </w:style>
  <w:style w:type="character" w:styleId="1177" w:default="1">
    <w:name w:val="Default Paragraph Font"/>
    <w:uiPriority w:val="1"/>
    <w:semiHidden/>
    <w:unhideWhenUsed/>
  </w:style>
  <w:style w:type="numbering" w:styleId="1178" w:default="1">
    <w:name w:val="No List"/>
    <w:uiPriority w:val="99"/>
    <w:semiHidden/>
    <w:unhideWhenUsed/>
  </w:style>
  <w:style w:type="table" w:styleId="11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许居磊</cp:lastModifiedBy>
  <cp:revision>6</cp:revision>
  <dcterms:created xsi:type="dcterms:W3CDTF">2023-08-31T07:23:00Z</dcterms:created>
  <dcterms:modified xsi:type="dcterms:W3CDTF">2024-04-25T07:50:14Z</dcterms:modified>
</cp:coreProperties>
</file>