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Arial" w:hAnsi="Arial"/>
          <w:b/>
          <w:bCs/>
          <w:sz w:val="32"/>
          <w:szCs w:val="24"/>
          <w:u w:val="single"/>
          <w:lang w:eastAsia="zh-CN"/>
        </w:rPr>
        <w:t xml:space="preserve">2025年江浦街道长江禁捕护渔第三方服务</w:t>
      </w:r>
      <w:r/>
    </w:p>
    <w:p>
      <w:pPr>
        <w:ind w:firstLine="643"/>
        <w:jc w:val="left"/>
        <w:spacing w:before="120" w:after="120" w:line="360" w:lineRule="auto"/>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 xml:space="preserve">项目编号：</w:t>
      </w:r>
      <w:r>
        <w:rPr>
          <w:rFonts w:hint="eastAsia"/>
          <w:b/>
          <w:color w:val="000000"/>
          <w:sz w:val="32"/>
          <w:szCs w:val="32"/>
          <w:highlight w:val="none"/>
          <w:lang w:eastAsia="zh-CN"/>
        </w:rPr>
        <w:t xml:space="preserve">JSZC-320111-JZCG-C2025-0046</w:t>
      </w:r>
      <w:r/>
    </w:p>
    <w:p>
      <w:pPr>
        <w:jc w:val="center"/>
        <w:spacing w:before="120" w:after="120" w:line="360" w:lineRule="auto"/>
        <w:rPr>
          <w:b/>
          <w:sz w:val="30"/>
          <w:szCs w:val="30"/>
        </w:rPr>
      </w:pPr>
      <w:r>
        <w:rPr>
          <w:rFonts w:hint="eastAsia" w:ascii="Arial" w:hAnsi="Arial"/>
          <w:b/>
          <w:bCs/>
          <w:color w:val="000000"/>
          <w:sz w:val="32"/>
          <w:szCs w:val="24"/>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ascii="Arial" w:hAnsi="Arial"/>
          <w:b/>
          <w:bCs/>
          <w:color w:val="000000"/>
          <w:sz w:val="32"/>
          <w:szCs w:val="24"/>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92"/>
      </w:pPr>
      <w:r/>
      <w:r/>
    </w:p>
    <w:p>
      <w:pPr>
        <w:pStyle w:val="793"/>
      </w:pPr>
      <w:r/>
      <w:r/>
    </w:p>
    <w:p>
      <w:pPr>
        <w:jc w:val="left"/>
        <w:spacing w:line="360" w:lineRule="auto"/>
        <w:rPr>
          <w:rFonts w:ascii="宋体" w:hAnsi="宋体"/>
          <w:sz w:val="24"/>
          <w:szCs w:val="24"/>
        </w:rPr>
      </w:pPr>
      <w:r>
        <w:rPr>
          <w:rFonts w:ascii="宋体" w:hAnsi="宋体"/>
          <w:sz w:val="24"/>
          <w:szCs w:val="24"/>
        </w:rPr>
      </w:r>
      <w:r/>
    </w:p>
    <w:p>
      <w:pPr>
        <w:pStyle w:val="1013"/>
        <w:ind w:firstLine="0"/>
        <w:jc w:val="center"/>
        <w:rPr>
          <w:b/>
          <w:bCs/>
          <w:sz w:val="32"/>
        </w:rPr>
      </w:pPr>
      <w:r>
        <w:rPr>
          <w:rFonts w:hint="eastAsia"/>
          <w:b/>
          <w:bCs/>
          <w:sz w:val="32"/>
        </w:rPr>
        <w:t xml:space="preserve">南京市公共资源交易中心浦口分中心</w:t>
      </w:r>
      <w:r/>
    </w:p>
    <w:p>
      <w:pPr>
        <w:pStyle w:val="1013"/>
        <w:ind w:firstLine="0"/>
        <w:jc w:val="center"/>
        <w:rPr>
          <w:rFonts w:ascii="Times New Roman" w:hAnsi="Times New Roman"/>
          <w:b/>
          <w:bCs/>
          <w:sz w:val="32"/>
        </w:rPr>
      </w:pPr>
      <w:r>
        <w:rPr>
          <w:rFonts w:hint="eastAsia" w:ascii="Times New Roman" w:hAnsi="Times New Roman"/>
          <w:b/>
          <w:bCs/>
          <w:sz w:val="32"/>
          <w:u w:val="single"/>
        </w:rPr>
        <w:t xml:space="preserve"> 202</w:t>
      </w:r>
      <w:r>
        <w:rPr>
          <w:rFonts w:hint="eastAsia" w:ascii="Times New Roman" w:hAnsi="Times New Roman"/>
          <w:b/>
          <w:bCs/>
          <w:sz w:val="32"/>
          <w:u w:val="single"/>
          <w:lang w:val="en-US" w:eastAsia="zh-CN"/>
        </w:rPr>
        <w:t xml:space="preserve">5</w:t>
      </w:r>
      <w:r>
        <w:rPr>
          <w:rFonts w:hint="eastAsia" w:ascii="Times New Roman" w:hAnsi="Times New Roman"/>
          <w:b/>
          <w:bCs/>
          <w:sz w:val="32"/>
          <w:u w:val="single"/>
        </w:rPr>
        <w:t xml:space="preserve"> </w:t>
      </w:r>
      <w:r>
        <w:rPr>
          <w:rFonts w:hint="eastAsia"/>
          <w:b/>
          <w:bCs/>
          <w:sz w:val="32"/>
        </w:rPr>
        <w:t xml:space="preserve">年</w:t>
      </w:r>
      <w:r>
        <w:rPr>
          <w:rFonts w:hint="eastAsia" w:ascii="Times New Roman" w:hAnsi="Times New Roman"/>
          <w:b/>
          <w:bCs/>
          <w:sz w:val="32"/>
          <w:u w:val="single"/>
          <w:lang w:val="en-US" w:eastAsia="zh-CN"/>
        </w:rPr>
        <w:t xml:space="preserve">06</w:t>
      </w:r>
      <w:r>
        <w:rPr>
          <w:rFonts w:hint="eastAsia" w:ascii="Times New Roman" w:hAnsi="Times New Roman"/>
          <w:b/>
          <w:bCs/>
          <w:sz w:val="32"/>
        </w:rPr>
        <w:t xml:space="preserve">月</w:t>
      </w:r>
      <w:r/>
    </w:p>
    <w:p>
      <w:pPr>
        <w:jc w:val="center"/>
        <w:spacing w:line="480" w:lineRule="auto"/>
        <w:rPr>
          <w:rFonts w:ascii="黑体" w:hAnsi="Arial" w:eastAsia="黑体"/>
          <w:b/>
          <w:sz w:val="44"/>
          <w:szCs w:val="21"/>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7</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……………………………………53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59</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ascii="黑体" w:eastAsia="黑体"/>
          <w:sz w:val="44"/>
          <w:szCs w:val="44"/>
        </w:rPr>
      </w:pPr>
      <w:r>
        <w:rPr>
          <w:rFonts w:ascii="黑体" w:eastAsia="黑体"/>
          <w:sz w:val="44"/>
          <w:szCs w:val="44"/>
        </w:rPr>
        <w:br w:type="page" w:clear="all"/>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firstLine="480"/>
        <w:spacing w:line="264" w:lineRule="auto"/>
        <w:rPr>
          <w:rFonts w:ascii="宋体" w:hAnsi="宋体"/>
          <w:sz w:val="24"/>
          <w:szCs w:val="24"/>
        </w:rPr>
      </w:pPr>
      <w:r>
        <w:rPr>
          <w:rFonts w:hint="eastAsia" w:ascii="宋体" w:hAnsi="宋体"/>
          <w:sz w:val="24"/>
          <w:szCs w:val="24"/>
        </w:rPr>
        <w:t xml:space="preserve">受南京市浦口区人民政府江浦街道办事处的委托，南京市公共资源交易中心浦口分中心就</w:t>
      </w:r>
      <w:r>
        <w:rPr>
          <w:rFonts w:hint="eastAsia" w:ascii="宋体" w:hAnsi="宋体"/>
          <w:sz w:val="24"/>
          <w:szCs w:val="24"/>
          <w:lang w:eastAsia="zh-CN"/>
        </w:rPr>
        <w:t xml:space="preserve">2025年江浦街道长江禁捕护渔第三方服务</w:t>
      </w:r>
      <w:r>
        <w:rPr>
          <w:rFonts w:hint="eastAsia" w:ascii="宋体" w:hAnsi="宋体"/>
          <w:sz w:val="24"/>
          <w:szCs w:val="24"/>
        </w:rPr>
        <w:t xml:space="preserve">进行竞争性磋商采购，欢迎符合条件的供应商参加磋商。</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南京市浦口区人民政府江浦街道办事处</w:t>
      </w:r>
      <w:r>
        <w:rPr>
          <w:rFonts w:hint="eastAsia" w:ascii="宋体" w:hAnsi="宋体"/>
          <w:sz w:val="24"/>
          <w:szCs w:val="24"/>
        </w:rPr>
        <w:t xml:space="preserve">的</w:t>
      </w:r>
      <w:r>
        <w:rPr>
          <w:rFonts w:hint="eastAsia" w:ascii="宋体" w:hAnsi="宋体"/>
          <w:sz w:val="24"/>
          <w:szCs w:val="24"/>
          <w:u w:val="single"/>
          <w:lang w:eastAsia="zh-CN"/>
        </w:rPr>
        <w:t xml:space="preserve">2025年江浦街道长江禁捕护渔第三方服务</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bCs/>
          <w:sz w:val="24"/>
          <w:szCs w:val="24"/>
          <w:u w:val="single"/>
        </w:rPr>
        <w:t xml:space="preserve">202</w:t>
      </w:r>
      <w:r>
        <w:rPr>
          <w:rFonts w:hint="eastAsia"/>
          <w:bCs/>
          <w:sz w:val="24"/>
          <w:szCs w:val="24"/>
          <w:u w:val="single"/>
          <w:lang w:val="en-US" w:eastAsia="zh-CN"/>
        </w:rPr>
        <w:t xml:space="preserve">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 17 </w:t>
      </w:r>
      <w:r>
        <w:rPr>
          <w:rFonts w:hint="eastAsia" w:ascii="宋体" w:hAnsi="宋体"/>
          <w:bCs/>
          <w:sz w:val="24"/>
          <w:szCs w:val="24"/>
          <w:highlight w:val="none"/>
          <w:u w:val="single"/>
        </w:rPr>
        <w:t xml:space="preserve">日</w:t>
      </w:r>
      <w:r>
        <w:rPr>
          <w:rFonts w:hint="eastAsia"/>
          <w:bCs/>
          <w:sz w:val="24"/>
          <w:szCs w:val="24"/>
          <w:highlight w:val="none"/>
          <w:u w:val="single"/>
        </w:rPr>
        <w:t xml:space="preserve">9</w:t>
      </w:r>
      <w:r>
        <w:rPr>
          <w:rFonts w:hint="eastAsia" w:ascii="宋体" w:hAnsi="宋体"/>
          <w:bCs/>
          <w:sz w:val="24"/>
          <w:szCs w:val="24"/>
          <w:highlight w:val="none"/>
          <w:u w:val="single"/>
        </w:rPr>
        <w:t xml:space="preserve">点</w:t>
      </w:r>
      <w:r>
        <w:rPr>
          <w:rFonts w:hint="eastAsia"/>
          <w:bCs/>
          <w:sz w:val="24"/>
          <w:szCs w:val="24"/>
          <w:highlight w:val="none"/>
          <w:u w:val="single"/>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7"/>
        <w:keepLines/>
        <w:keepNext/>
        <w:spacing w:before="145" w:after="145" w:line="264" w:lineRule="auto"/>
        <w:rPr>
          <w:b/>
          <w:bCs/>
          <w:sz w:val="32"/>
          <w:szCs w:val="32"/>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JSZC-320111-JZCG-C2025-0046</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2025年江浦街道长江禁捕护渔第三方服务</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104.5万元</w:t>
      </w:r>
      <w:r/>
    </w:p>
    <w:p>
      <w:pP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4.</w:t>
      </w:r>
      <w:r>
        <w:rPr>
          <w:rFonts w:ascii="宋体" w:hAnsi="宋体" w:cs="宋体"/>
          <w:color w:val="000000"/>
          <w:sz w:val="24"/>
        </w:rPr>
        <w:t xml:space="preserve">本项目</w:t>
      </w:r>
      <w:r>
        <w:rPr>
          <w:rFonts w:ascii="宋体" w:hAnsi="宋体" w:cs="宋体"/>
          <w:color w:val="000000"/>
          <w:sz w:val="24"/>
          <w:u w:val="single"/>
        </w:rPr>
        <w:t xml:space="preserve"> 设定 </w:t>
      </w:r>
      <w:r>
        <w:rPr>
          <w:rFonts w:ascii="宋体" w:hAnsi="宋体" w:cs="宋体"/>
          <w:color w:val="000000"/>
          <w:sz w:val="24"/>
        </w:rPr>
        <w:t xml:space="preserve">最高</w:t>
      </w:r>
      <w:r>
        <w:rPr>
          <w:rFonts w:hint="eastAsia" w:ascii="宋体" w:hAnsi="宋体" w:cs="宋体"/>
          <w:color w:val="000000"/>
          <w:sz w:val="24"/>
        </w:rPr>
        <w:t xml:space="preserve">投标</w:t>
      </w:r>
      <w:r>
        <w:rPr>
          <w:rFonts w:ascii="宋体" w:hAnsi="宋体" w:cs="宋体"/>
          <w:color w:val="000000"/>
          <w:sz w:val="24"/>
        </w:rPr>
        <w:t xml:space="preserve">限价。</w:t>
      </w:r>
      <w:r>
        <w:rPr>
          <w:rFonts w:hint="eastAsia" w:ascii="宋体" w:hAnsi="宋体"/>
          <w:color w:val="000000"/>
          <w:sz w:val="24"/>
          <w:szCs w:val="24"/>
        </w:rPr>
        <w:t xml:space="preserve">最高投标限价：</w:t>
      </w:r>
      <w:r>
        <w:rPr>
          <w:rFonts w:hint="eastAsia" w:ascii="宋体" w:hAnsi="宋体"/>
          <w:color w:val="000000"/>
          <w:sz w:val="24"/>
          <w:szCs w:val="24"/>
          <w:highlight w:val="none"/>
          <w:lang w:eastAsia="zh-CN"/>
        </w:rPr>
        <w:t xml:space="preserve">1045000元</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5.采购需求（简介）：根据浦政发〔2020〕62号《全面推进浦口区长江流域禁捕退捕工作实施方案》及长江十年禁捕要求，江浦街道需对辖区禁捕范围共计长6819米的长江沿线开展24小时巡查</w:t>
      </w:r>
      <w:r>
        <w:rPr>
          <w:rFonts w:hint="eastAsia" w:ascii="宋体" w:hAnsi="宋体"/>
          <w:sz w:val="24"/>
          <w:szCs w:val="24"/>
          <w:lang w:eastAsia="zh-CN"/>
        </w:rPr>
        <w:t xml:space="preserve">，</w:t>
      </w:r>
      <w:r>
        <w:rPr>
          <w:rFonts w:hint="eastAsia" w:ascii="宋体" w:hAnsi="宋体"/>
          <w:sz w:val="24"/>
          <w:szCs w:val="24"/>
          <w:highlight w:val="none"/>
        </w:rPr>
        <w:t xml:space="preserve">进行本项目采购</w:t>
      </w:r>
      <w:r>
        <w:rPr>
          <w:rFonts w:hint="eastAsia" w:ascii="宋体" w:hAnsi="宋体"/>
          <w:sz w:val="24"/>
          <w:szCs w:val="24"/>
        </w:rPr>
        <w:t xml:space="preserve">。</w:t>
      </w:r>
      <w:r>
        <w:rPr>
          <w:rFonts w:hint="eastAsia" w:ascii="宋体" w:hAnsi="宋体" w:cs="宋体"/>
          <w:sz w:val="24"/>
          <w:szCs w:val="24"/>
          <w:highlight w:val="none"/>
        </w:rPr>
        <w:t xml:space="preserve">（详细内容见本磋商文件第四章）</w:t>
      </w:r>
      <w:r>
        <w:rPr>
          <w:rFonts w:hint="eastAsia" w:ascii="宋体" w:hAnsi="宋体" w:cs="宋体"/>
          <w:sz w:val="24"/>
          <w:szCs w:val="24"/>
          <w:highlight w:val="none"/>
          <w:lang w:eastAsia="zh-CN"/>
        </w:rPr>
        <w:t xml:space="preserve">。</w:t>
      </w:r>
      <w:r/>
    </w:p>
    <w:p>
      <w:pPr>
        <w:ind w:firstLine="480"/>
        <w:spacing w:line="264" w:lineRule="auto"/>
        <w:rPr>
          <w:rFonts w:ascii="宋体" w:hAnsi="宋体"/>
          <w:sz w:val="24"/>
          <w:szCs w:val="24"/>
          <w:highlight w:val="yellow"/>
        </w:rPr>
      </w:pPr>
      <w:r>
        <w:rPr>
          <w:rFonts w:hint="eastAsia" w:ascii="宋体" w:hAnsi="宋体"/>
          <w:sz w:val="24"/>
          <w:szCs w:val="24"/>
        </w:rPr>
        <w:t xml:space="preserve">6.合同履行期限：</w:t>
      </w:r>
      <w:r>
        <w:rPr>
          <w:rFonts w:hint="eastAsia" w:ascii="宋体" w:hAnsi="宋体"/>
          <w:sz w:val="24"/>
          <w:szCs w:val="24"/>
          <w:highlight w:val="none"/>
          <w:lang w:val="en-US" w:eastAsia="zh-CN"/>
        </w:rPr>
        <w:t xml:space="preserve">一年（自合同签订之日起）</w:t>
      </w:r>
      <w:r/>
    </w:p>
    <w:p>
      <w:pPr>
        <w:ind w:firstLine="480"/>
        <w:spacing w:line="264" w:lineRule="auto"/>
        <w:rPr>
          <w:rFonts w:ascii="宋体" w:hAnsi="宋体" w:cs="宋体"/>
          <w:sz w:val="24"/>
          <w:szCs w:val="24"/>
        </w:rPr>
      </w:pPr>
      <w:r>
        <w:rPr>
          <w:rFonts w:hint="eastAsia" w:ascii="宋体" w:hAnsi="宋体"/>
          <w:sz w:val="24"/>
          <w:szCs w:val="24"/>
        </w:rPr>
        <w:t xml:space="preserve">7.本项目不接受联合体参与磋商。</w:t>
      </w:r>
      <w:r/>
    </w:p>
    <w:p>
      <w:pPr>
        <w:ind w:firstLine="497"/>
        <w:keepLines/>
        <w:keepNext/>
        <w:spacing w:before="145" w:after="145" w:line="264" w:lineRule="auto"/>
        <w:rPr>
          <w:b/>
          <w:bCs/>
          <w:sz w:val="32"/>
          <w:szCs w:val="32"/>
        </w:rPr>
        <w:outlineLvl w:val="2"/>
      </w:pPr>
      <w:r/>
      <w:bookmarkStart w:id="12" w:name="_Toc35393791"/>
      <w:r/>
      <w:bookmarkStart w:id="13" w:name="_Toc38985264"/>
      <w:r/>
      <w:bookmarkStart w:id="14" w:name="_Toc28359003"/>
      <w:r/>
      <w:bookmarkStart w:id="15" w:name="_Toc35393622"/>
      <w:r/>
      <w:bookmarkStart w:id="16" w:name="_Toc28359080"/>
      <w:r>
        <w:rPr>
          <w:rFonts w:hint="eastAsia"/>
          <w:b/>
          <w:bCs/>
          <w:sz w:val="32"/>
          <w:szCs w:val="32"/>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lang w:val="zh-CN"/>
        </w:rPr>
      </w:pPr>
      <w:r>
        <w:rPr>
          <w:rFonts w:hint="eastAsia" w:ascii="宋体" w:hAnsi="宋体"/>
          <w:sz w:val="24"/>
          <w:szCs w:val="24"/>
        </w:rPr>
        <w:t xml:space="preserve">1.2未被“信用中国”网站（www.creditchina.gov.cn）列入失信被执行人、重大税收违法案件当事人名单、政府采购严重失信行为记录名单。（提供网站截图）</w:t>
      </w:r>
      <w:r/>
    </w:p>
    <w:p>
      <w:pPr>
        <w:ind w:firstLine="480"/>
        <w:spacing w:line="264" w:lineRule="auto"/>
        <w:rPr>
          <w:rFonts w:ascii="宋体" w:hAnsi="宋体"/>
          <w:sz w:val="24"/>
          <w:szCs w:val="24"/>
          <w:lang w:val="zh-CN"/>
        </w:rPr>
      </w:pPr>
      <w:r>
        <w:rPr>
          <w:rFonts w:hint="eastAsia" w:ascii="宋体" w:hAnsi="宋体"/>
          <w:sz w:val="24"/>
          <w:szCs w:val="24"/>
        </w:rPr>
        <w:t xml:space="preserve">1.3法律、行政法规规定的其他条件：无。</w:t>
      </w:r>
      <w:r/>
    </w:p>
    <w:p>
      <w:pPr>
        <w:ind w:firstLine="480"/>
        <w:spacing w:line="264" w:lineRule="auto"/>
        <w:rPr>
          <w:rFonts w:ascii="宋体" w:hAnsi="宋体" w:cs="宋体"/>
          <w:b/>
          <w:bCs/>
          <w:sz w:val="24"/>
          <w:szCs w:val="24"/>
        </w:rPr>
      </w:pPr>
      <w:r>
        <w:rPr>
          <w:rFonts w:hint="eastAsia" w:ascii="宋体" w:hAnsi="宋体"/>
          <w:sz w:val="24"/>
          <w:szCs w:val="24"/>
        </w:rPr>
        <w:t xml:space="preserve">2.落实政府采购政策需满足的资格要求：</w:t>
      </w:r>
      <w:r/>
    </w:p>
    <w:p>
      <w:pPr>
        <w:ind w:firstLine="48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hint="eastAsia" w:ascii="宋体" w:hAnsi="宋体"/>
          <w:sz w:val="24"/>
          <w:szCs w:val="24"/>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s="宋体"/>
          <w:sz w:val="24"/>
          <w:szCs w:val="24"/>
          <w:highlight w:val="none"/>
          <w:u w:val="single"/>
          <w:lang w:val="en-US" w:eastAsia="zh-CN"/>
        </w:rPr>
        <w:t xml:space="preserve">未列明的其他</w:t>
      </w:r>
      <w:r>
        <w:rPr>
          <w:rFonts w:hint="eastAsia" w:ascii="宋体" w:hAnsi="宋体" w:eastAsia="宋体" w:cs="宋体"/>
          <w:sz w:val="24"/>
          <w:szCs w:val="24"/>
          <w:highlight w:val="none"/>
          <w:u w:val="single"/>
          <w:lang w:val="en-US" w:eastAsia="zh-CN"/>
        </w:rPr>
        <w:t xml:space="preserve">服务业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264" w:lineRule="auto"/>
        <w:rPr>
          <w:rFonts w:hint="eastAsia" w:ascii="宋体" w:hAnsi="宋体" w:eastAsia="宋体" w:cs="宋体"/>
          <w:color w:val="000000" w:themeColor="text1"/>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cs="宋体"/>
          <w:color w:val="000000" w:themeColor="text1"/>
          <w:sz w:val="24"/>
          <w:szCs w:val="24"/>
          <w:lang w:val="en-US" w:eastAsia="zh-CN"/>
        </w:rPr>
        <w:t xml:space="preserve">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97"/>
        <w:keepLines/>
        <w:keepNext/>
        <w:spacing w:before="145" w:after="145" w:line="264"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地点：在“江苏政府采购网”自行免费下载磋商文件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方式：在“江苏政府采购网”自行免费下载磋商文件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售价：0.00元</w:t>
      </w:r>
      <w:r/>
    </w:p>
    <w:p>
      <w:pPr>
        <w:ind w:left="0" w:right="0" w:firstLine="0"/>
        <w:jc w:val="both"/>
        <w:spacing w:before="0" w:after="0"/>
        <w:rPr>
          <w:rFonts w:hint="eastAsia"/>
          <w:b/>
          <w:bCs/>
          <w:sz w:val="32"/>
          <w:szCs w:val="32"/>
        </w:rPr>
        <w:pBdr>
          <w:top w:val="none" w:color="000000" w:sz="4" w:space="0"/>
          <w:left w:val="none" w:color="000000" w:sz="4" w:space="0"/>
          <w:bottom w:val="none" w:color="000000" w:sz="4" w:space="0"/>
          <w:right w:val="none" w:color="000000" w:sz="4" w:space="0"/>
        </w:pBdr>
      </w:pPr>
      <w:r>
        <w:rPr>
          <w:rFonts w:hint="eastAsia"/>
          <w:b/>
          <w:bCs/>
          <w:sz w:val="32"/>
          <w:szCs w:val="32"/>
        </w:rPr>
        <w:t xml:space="preserve">   </w:t>
      </w:r>
      <w:r>
        <w:rPr>
          <w:rFonts w:hint="eastAsia"/>
          <w:b/>
          <w:bCs/>
          <w:sz w:val="32"/>
          <w:szCs w:val="32"/>
        </w:rPr>
      </w:r>
      <w:r>
        <w:rPr>
          <w:sz w:val="22"/>
        </w:rP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hint="eastAsia"/>
          <w:b/>
          <w:bCs/>
          <w:sz w:val="32"/>
          <w:szCs w:val="32"/>
        </w:rPr>
        <w:t xml:space="preserve">   四、</w:t>
      </w:r>
      <w:r>
        <w:rPr>
          <w:rFonts w:ascii="SimSun" w:hAnsi="SimSun" w:eastAsia="SimSun" w:cs="SimSun"/>
          <w:b/>
          <w:color w:val="000000"/>
          <w:sz w:val="32"/>
        </w:rPr>
        <w:t xml:space="preserve">响应文件提交</w:t>
      </w:r>
      <w:r/>
      <w:r/>
    </w:p>
    <w:p>
      <w:pPr>
        <w:ind w:left="0" w:right="0" w:firstLine="0"/>
        <w:jc w:val="both"/>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sz w:val="22"/>
        </w:rPr>
      </w:r>
    </w:p>
    <w:p>
      <w:pPr>
        <w:ind w:left="0" w:right="0" w:firstLine="0"/>
        <w:jc w:val="both"/>
        <w:spacing w:before="0" w:after="0" w:line="62"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截止时间：2025-06-17 09:30 （北京时间）</w:t>
      </w:r>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地点：苏采云网上开标大厅</w:t>
      </w:r>
      <w:r/>
    </w:p>
    <w:p>
      <w:pPr>
        <w:ind w:left="0" w:right="0" w:firstLine="480"/>
        <w:jc w:val="both"/>
        <w:spacing w:before="0" w:after="0" w:line="62"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五、开启</w:t>
      </w:r>
      <w:r/>
    </w:p>
    <w:p>
      <w:pPr>
        <w:ind w:left="0" w:right="0" w:firstLine="480"/>
        <w:jc w:val="both"/>
        <w:spacing w:before="0" w:after="0" w:line="62"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jc w:val="both"/>
        <w:spacing w:before="0" w:after="0" w:line="62"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时间：2025-06-17 09:30 （北京时间）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地点：南京市浦口区象山路4号B座5楼开标二室</w:t>
      </w: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firstLine="0"/>
        <w:keepLines/>
        <w:keepNext/>
        <w:spacing w:before="145" w:after="145" w:line="264" w:lineRule="auto"/>
        <w:rPr>
          <w:b/>
          <w:bCs/>
          <w:sz w:val="32"/>
          <w:szCs w:val="32"/>
        </w:rPr>
        <w:outlineLvl w:val="2"/>
      </w:pPr>
      <w:r>
        <w:t xml:space="preserve">    </w:t>
      </w:r>
      <w:bookmarkStart w:id="27" w:name="_Toc35393625"/>
      <w:r/>
      <w:bookmarkStart w:id="28" w:name="_Toc38985267"/>
      <w:r/>
      <w:bookmarkStart w:id="29" w:name="_Toc35393794"/>
      <w:r/>
      <w:bookmarkStart w:id="30" w:name="_Toc28359007"/>
      <w:r/>
      <w:bookmarkStart w:id="31" w:name="_Toc28359084"/>
      <w:r>
        <w:rPr>
          <w:rFonts w:hint="eastAsia"/>
          <w:b/>
          <w:bCs/>
          <w:sz w:val="32"/>
          <w:szCs w:val="32"/>
        </w:rPr>
        <w:t xml:space="preserve">六</w:t>
      </w:r>
      <w:r>
        <w:rPr>
          <w:rFonts w:hint="eastAsia"/>
          <w:b/>
          <w:bCs/>
          <w:sz w:val="32"/>
          <w:szCs w:val="32"/>
        </w:rPr>
        <w:t xml:space="preserve">、公告期限</w:t>
      </w:r>
      <w:bookmarkEnd w:id="27"/>
      <w:r/>
      <w:bookmarkEnd w:id="28"/>
      <w:r/>
      <w:bookmarkEnd w:id="29"/>
      <w:r/>
      <w:bookmarkEnd w:id="30"/>
      <w:r/>
      <w:bookmarkEnd w:id="31"/>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自本公告发布之日起3个工作日</w:t>
      </w:r>
      <w:r/>
    </w:p>
    <w:p>
      <w:pPr>
        <w:ind w:firstLine="480"/>
        <w:spacing w:line="264" w:lineRule="auto"/>
        <w:rPr>
          <w:rFonts w:ascii="宋体" w:hAnsi="宋体" w:cs="宋体"/>
          <w:sz w:val="24"/>
          <w:szCs w:val="24"/>
        </w:rPr>
      </w:pPr>
      <w:r/>
      <w:r>
        <w:rPr>
          <w:rFonts w:hint="eastAsia" w:ascii="宋体" w:hAnsi="宋体" w:cs="宋体"/>
          <w:sz w:val="24"/>
          <w:szCs w:val="24"/>
        </w:rPr>
      </w:r>
      <w:r/>
    </w:p>
    <w:p>
      <w:pPr>
        <w:ind w:firstLine="497"/>
        <w:keepLines/>
        <w:keepNext/>
        <w:spacing w:before="145" w:after="145" w:line="264" w:lineRule="auto"/>
        <w:rPr>
          <w:b/>
          <w:bCs/>
          <w:sz w:val="32"/>
          <w:szCs w:val="32"/>
        </w:rPr>
        <w:outlineLvl w:val="2"/>
      </w:pPr>
      <w:r>
        <w:rPr>
          <w:rFonts w:hint="eastAsia"/>
          <w:b/>
          <w:bCs/>
          <w:sz w:val="32"/>
          <w:szCs w:val="32"/>
        </w:rPr>
        <w:t xml:space="preserve">七</w:t>
      </w:r>
      <w:r>
        <w:rPr>
          <w:rFonts w:hint="eastAsia"/>
          <w:b/>
          <w:bCs/>
          <w:sz w:val="32"/>
          <w:szCs w:val="32"/>
        </w:rPr>
        <w:t xml:space="preserve">、其他补充事宜</w:t>
      </w:r>
      <w:bookmarkEnd w:id="32"/>
      <w:r/>
      <w:bookmarkEnd w:id="33"/>
      <w:r/>
      <w:bookmarkEnd w:id="34"/>
      <w:r/>
      <w:r/>
    </w:p>
    <w:p>
      <w:pPr>
        <w:ind w:firstLine="480"/>
        <w:spacing w:line="264" w:lineRule="auto"/>
        <w:rPr>
          <w:rFonts w:ascii="宋体" w:hAnsi="宋体" w:cs="宋体"/>
          <w:sz w:val="24"/>
          <w:szCs w:val="24"/>
        </w:rPr>
      </w:pPr>
      <w:r/>
      <w:bookmarkStart w:id="35" w:name="_Toc28359008"/>
      <w:r/>
      <w:bookmarkStart w:id="36" w:name="_Toc28359085"/>
      <w:r/>
      <w:bookmarkStart w:id="37" w:name="_Toc35393796"/>
      <w:r/>
      <w:bookmarkStart w:id="38" w:name="_Toc35393627"/>
      <w:r/>
      <w:bookmarkStart w:id="39" w:name="_Toc38985269"/>
      <w:r>
        <w:rPr>
          <w:rFonts w:hint="eastAsia" w:ascii="宋体" w:hAnsi="宋体" w:cs="宋体"/>
          <w:sz w:val="24"/>
          <w:szCs w:val="24"/>
        </w:rPr>
        <w:t xml:space="preserve">1.</w:t>
      </w:r>
      <w:r>
        <w:rPr>
          <w:rFonts w:hint="eastAsia" w:ascii="宋体" w:hAnsi="宋体"/>
          <w:bCs/>
          <w:sz w:val="24"/>
          <w:szCs w:val="24"/>
        </w:rPr>
        <w:t xml:space="preserve">本次磋商</w:t>
      </w:r>
      <w:r>
        <w:rPr>
          <w:rFonts w:hint="eastAsia" w:ascii="宋体" w:hAnsi="宋体" w:cs="宋体"/>
          <w:sz w:val="24"/>
          <w:szCs w:val="24"/>
        </w:rPr>
        <w:t xml:space="preserve">不收取磋商保证金。</w:t>
      </w:r>
      <w:r/>
    </w:p>
    <w:p>
      <w:pPr>
        <w:ind w:firstLine="480"/>
        <w:rPr>
          <w:rFonts w:ascii="宋体" w:hAnsi="宋体" w:cs="宋体"/>
          <w:sz w:val="24"/>
          <w:szCs w:val="24"/>
        </w:rPr>
      </w:pPr>
      <w:r>
        <w:rPr>
          <w:rFonts w:hint="eastAsia" w:ascii="宋体" w:hAnsi="宋体" w:cs="宋体"/>
          <w:sz w:val="24"/>
          <w:szCs w:val="24"/>
        </w:rPr>
        <w:t xml:space="preserve">2.现场勘察及答疑：</w:t>
      </w:r>
      <w:r>
        <w:rPr>
          <w:rFonts w:hint="eastAsia" w:ascii="宋体" w:hAnsi="宋体" w:eastAsia="宋体" w:cs="宋体"/>
          <w:sz w:val="24"/>
          <w:szCs w:val="24"/>
          <w:highlight w:val="none"/>
          <w:lang w:val="en-US" w:eastAsia="zh-CN"/>
        </w:rPr>
        <w:t xml:space="preserve">本项目不组织集中</w:t>
      </w:r>
      <w:r>
        <w:rPr>
          <w:rFonts w:hint="eastAsia" w:ascii="宋体" w:hAnsi="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w:t>
      </w:r>
      <w:r/>
    </w:p>
    <w:p>
      <w:pPr>
        <w:ind w:firstLine="480"/>
        <w:rPr>
          <w:rFonts w:ascii="宋体" w:hAnsi="宋体" w:cs="宋体"/>
          <w:sz w:val="24"/>
          <w:szCs w:val="24"/>
        </w:rPr>
      </w:pPr>
      <w:r>
        <w:rPr>
          <w:rFonts w:hint="eastAsia" w:ascii="宋体" w:hAnsi="宋体" w:cs="宋体"/>
          <w:sz w:val="24"/>
          <w:szCs w:val="24"/>
        </w:rPr>
        <w:t xml:space="preserve">3.供应商通过苏采云系统参与政府采A办理指南”。供应商按《苏采云系统供应商操作手册》（以下简称“操作手册”）进行注册，并制作上传电子投标文件。《操作手册》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1000"/>
          <w:rFonts w:hint="eastAsia" w:ascii="宋体" w:hAnsi="宋体" w:cs="宋体"/>
          <w:sz w:val="24"/>
          <w:szCs w:val="24"/>
        </w:rPr>
        <w:t xml:space="preserve">下载地址</w:t>
      </w:r>
      <w:r>
        <w:rPr>
          <w:rStyle w:val="1000"/>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97"/>
        <w:keepLines/>
        <w:keepNext/>
        <w:spacing w:before="145" w:after="145" w:line="264" w:lineRule="auto"/>
        <w:rPr>
          <w:b/>
          <w:bCs/>
          <w:sz w:val="32"/>
          <w:szCs w:val="32"/>
        </w:rPr>
        <w:outlineLvl w:val="2"/>
      </w:pPr>
      <w:r>
        <w:rPr>
          <w:rFonts w:hint="eastAsia"/>
          <w:b/>
          <w:bCs/>
          <w:sz w:val="32"/>
          <w:szCs w:val="32"/>
        </w:rPr>
        <w:t xml:space="preserve">八</w:t>
      </w:r>
      <w:r>
        <w:rPr>
          <w:rFonts w:hint="eastAsia"/>
          <w:b/>
          <w:bCs/>
          <w:sz w:val="32"/>
          <w:szCs w:val="32"/>
        </w:rPr>
        <w:t xml:space="preserve">、本次磋商联系方式</w:t>
      </w:r>
      <w:bookmarkEnd w:id="35"/>
      <w:r/>
      <w:bookmarkEnd w:id="36"/>
      <w:r/>
      <w:bookmarkEnd w:id="37"/>
      <w:r/>
      <w:bookmarkEnd w:id="38"/>
      <w:r/>
      <w:bookmarkEnd w:id="39"/>
      <w:r/>
      <w:r/>
    </w:p>
    <w:p>
      <w:pPr>
        <w:ind w:firstLine="480"/>
        <w:spacing w:line="264" w:lineRule="auto"/>
        <w:rPr>
          <w:rFonts w:ascii="宋体" w:hAnsi="宋体"/>
          <w:sz w:val="24"/>
          <w:szCs w:val="24"/>
        </w:rPr>
      </w:pPr>
      <w:r/>
      <w:bookmarkStart w:id="40" w:name="_Toc28359087"/>
      <w:r/>
      <w:bookmarkStart w:id="41" w:name="_Toc28359010"/>
      <w:r>
        <w:rPr>
          <w:rFonts w:hint="eastAsia" w:ascii="宋体" w:hAnsi="宋体"/>
          <w:sz w:val="24"/>
          <w:szCs w:val="24"/>
        </w:rPr>
        <w:t xml:space="preserve">1.采购人信息</w:t>
      </w:r>
      <w:r/>
    </w:p>
    <w:p>
      <w:pPr>
        <w:ind w:firstLine="480"/>
        <w:spacing w:line="264" w:lineRule="auto"/>
        <w:rPr>
          <w:rFonts w:ascii="宋体" w:hAnsi="宋体"/>
          <w:sz w:val="24"/>
          <w:szCs w:val="24"/>
        </w:rPr>
      </w:pPr>
      <w:r/>
      <w:bookmarkStart w:id="42" w:name="_Toc28359086"/>
      <w:r/>
      <w:bookmarkStart w:id="43" w:name="_Toc28359009"/>
      <w:r>
        <w:rPr>
          <w:rFonts w:hint="eastAsia" w:ascii="宋体" w:hAnsi="宋体"/>
          <w:sz w:val="24"/>
          <w:szCs w:val="24"/>
        </w:rPr>
        <w:t xml:space="preserve">名  称：南京市浦口区人民政府江浦街道办事处</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pacing w:val="-8"/>
          <w:sz w:val="24"/>
          <w:szCs w:val="24"/>
        </w:rPr>
        <w:t xml:space="preserve">南京市浦口区江浦街道珠泉西路5号</w:t>
      </w:r>
      <w:r>
        <w:rPr>
          <w:rFonts w:hint="eastAsia" w:ascii="宋体" w:hAnsi="宋体"/>
          <w:sz w:val="24"/>
          <w:szCs w:val="24"/>
        </w:rPr>
        <w:t xml:space="preserve">　</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cs="宋体"/>
          <w:color w:val="auto"/>
          <w:sz w:val="24"/>
          <w:szCs w:val="24"/>
          <w:highlight w:val="none"/>
          <w:u w:val="none"/>
          <w:lang w:val="en-US" w:eastAsia="zh-CN"/>
        </w:rPr>
        <w:t xml:space="preserve">胡晓冬</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w:t>
      </w:r>
      <w:r>
        <w:rPr>
          <w:rFonts w:hint="eastAsia" w:ascii="宋体" w:hAnsi="宋体" w:cs="宋体"/>
          <w:spacing w:val="-8"/>
          <w:sz w:val="24"/>
          <w:szCs w:val="24"/>
        </w:rPr>
        <w:t xml:space="preserve">系电话：</w:t>
      </w:r>
      <w:r>
        <w:rPr>
          <w:rFonts w:hint="eastAsia" w:ascii="宋体" w:hAnsi="宋体" w:cs="宋体"/>
          <w:color w:val="auto"/>
          <w:sz w:val="24"/>
          <w:szCs w:val="24"/>
          <w:highlight w:val="none"/>
          <w:u w:val="none"/>
          <w:lang w:val="en-US" w:eastAsia="zh-CN"/>
        </w:rPr>
        <w:t xml:space="preserve">15996474328</w:t>
      </w:r>
      <w:r/>
    </w:p>
    <w:p>
      <w:pPr>
        <w:ind w:firstLine="480"/>
        <w:spacing w:line="264" w:lineRule="auto"/>
        <w:rPr>
          <w:rFonts w:ascii="宋体" w:hAnsi="宋体"/>
          <w:sz w:val="24"/>
          <w:szCs w:val="24"/>
        </w:rPr>
      </w:pPr>
      <w:r>
        <w:rPr>
          <w:rFonts w:hint="eastAsia" w:ascii="宋体" w:hAnsi="宋体"/>
          <w:sz w:val="24"/>
          <w:szCs w:val="24"/>
        </w:rPr>
        <w:t xml:space="preserve">2.南京市公共资源交易中心浦口分中心信息</w:t>
      </w:r>
      <w:bookmarkEnd w:id="42"/>
      <w:r/>
      <w:bookmarkEnd w:id="43"/>
      <w:r/>
      <w:r/>
    </w:p>
    <w:p>
      <w:pPr>
        <w:ind w:firstLine="480"/>
        <w:spacing w:line="264"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val="zh-CN"/>
        </w:rPr>
        <w:t xml:space="preserve">南京市浦口区江浦街道象山路4号浦口市民中心B幢五楼受理大厅 　</w:t>
      </w:r>
      <w:r>
        <w:rPr>
          <w:rFonts w:hint="eastAsia" w:ascii="宋体" w:hAnsi="宋体" w:cs="宋体"/>
          <w:sz w:val="24"/>
          <w:szCs w:val="24"/>
        </w:rPr>
        <w:t xml:space="preserve">　　　　　　　　　</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李</w:t>
      </w:r>
      <w:r>
        <w:rPr>
          <w:rFonts w:hint="eastAsia" w:ascii="宋体" w:hAnsi="宋体" w:cs="宋体"/>
          <w:sz w:val="24"/>
          <w:szCs w:val="24"/>
          <w:highlight w:val="none"/>
        </w:rPr>
        <w:t xml:space="preserve">工</w:t>
      </w:r>
      <w:r/>
    </w:p>
    <w:p>
      <w:pPr>
        <w:ind w:firstLine="480"/>
        <w:spacing w:line="264"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color w:val="auto"/>
          <w:sz w:val="24"/>
          <w:szCs w:val="24"/>
          <w:highlight w:val="none"/>
          <w:u w:val="none"/>
          <w:lang w:val="en-US" w:eastAsia="zh-CN"/>
        </w:rPr>
        <w:t xml:space="preserve">15298684207</w:t>
      </w:r>
      <w:r/>
    </w:p>
    <w:p>
      <w:pPr>
        <w:ind w:firstLine="480"/>
        <w:spacing w:line="264" w:lineRule="auto"/>
        <w:rPr>
          <w:rFonts w:ascii="宋体" w:hAnsi="宋体" w:cs="宋体"/>
          <w:sz w:val="24"/>
          <w:szCs w:val="24"/>
        </w:rPr>
      </w:pPr>
      <w:r>
        <w:rPr>
          <w:rFonts w:hint="eastAsia" w:ascii="宋体" w:hAnsi="宋体" w:cs="宋体"/>
          <w:sz w:val="24"/>
          <w:szCs w:val="24"/>
        </w:rPr>
        <w:t xml:space="preserve">　　　　　　　　　　　</w:t>
      </w:r>
      <w:bookmarkEnd w:id="40"/>
      <w:r/>
      <w:bookmarkEnd w:id="41"/>
      <w:r/>
      <w:r/>
    </w:p>
    <w:p>
      <w:pPr>
        <w:jc w:val="center"/>
        <w:keepLines/>
        <w:keepNext/>
        <w:spacing w:before="260" w:after="260"/>
        <w:rPr>
          <w:rFonts w:ascii="黑体" w:hAnsi="Arial" w:eastAsia="黑体" w:cs="Arial"/>
          <w:sz w:val="44"/>
          <w:szCs w:val="44"/>
        </w:rPr>
        <w:outlineLvl w:val="1"/>
      </w:pPr>
      <w:r/>
      <w:bookmarkStart w:id="44" w:name="_Toc120614211"/>
      <w:r>
        <w:rPr>
          <w:rFonts w:hint="eastAsia" w:ascii="黑体" w:hAnsi="Arial" w:eastAsia="黑体" w:cs="Arial"/>
          <w:b/>
          <w:bCs/>
          <w:sz w:val="44"/>
          <w:szCs w:val="44"/>
        </w:rPr>
        <w:br w:type="page" w:clear="all"/>
      </w:r>
      <w:r>
        <w:rPr>
          <w:rFonts w:hint="eastAsia" w:ascii="黑体" w:eastAsia="黑体"/>
          <w:sz w:val="44"/>
          <w:szCs w:val="44"/>
        </w:rPr>
        <w:t xml:space="preserve">第二章  </w:t>
      </w:r>
      <w:bookmarkEnd w:id="1"/>
      <w:r/>
      <w:bookmarkEnd w:id="2"/>
      <w:r/>
      <w:bookmarkEnd w:id="3"/>
      <w:r/>
      <w:bookmarkEnd w:id="4"/>
      <w:r/>
      <w:bookmarkEnd w:id="5"/>
      <w:r/>
      <w:bookmarkEnd w:id="44"/>
      <w:r>
        <w:rPr>
          <w:rFonts w:hint="eastAsia" w:ascii="黑体" w:eastAsia="黑体"/>
          <w:sz w:val="44"/>
          <w:szCs w:val="44"/>
        </w:rPr>
        <w:t xml:space="preserve">供应商须知</w:t>
      </w:r>
      <w:r/>
    </w:p>
    <w:p>
      <w:pPr>
        <w:ind w:firstLine="480"/>
        <w:jc w:val="left"/>
        <w:spacing w:line="500" w:lineRule="exact"/>
        <w:widowControl/>
        <w:rPr>
          <w:rFonts w:ascii="宋体" w:hAnsi="宋体" w:cs="宋体"/>
          <w:sz w:val="24"/>
          <w:szCs w:val="24"/>
        </w:rPr>
      </w:pPr>
      <w:r/>
      <w:bookmarkStart w:id="45" w:name="_Toc16938519"/>
      <w:r/>
      <w:bookmarkStart w:id="46" w:name="_Toc513029203"/>
      <w:r/>
      <w:bookmarkStart w:id="47" w:name="_Toc20823275"/>
      <w:r/>
      <w:bookmarkStart w:id="48" w:name="_Toc120614214"/>
      <w:r/>
      <w:bookmarkStart w:id="49" w:name="_Toc479757207"/>
      <w:r/>
      <w:bookmarkStart w:id="50" w:name="_Toc20823314"/>
      <w:r/>
      <w:bookmarkStart w:id="51" w:name="_Toc513029242"/>
      <w:r/>
      <w:bookmarkStart w:id="52" w:name="_Toc120614221"/>
      <w:r/>
      <w:bookmarkStart w:id="53" w:name="_Toc16938558"/>
      <w:r>
        <w:rPr>
          <w:rFonts w:hint="eastAsia" w:ascii="宋体" w:hAnsi="宋体" w:cs="宋体"/>
          <w:sz w:val="24"/>
          <w:szCs w:val="24"/>
        </w:rPr>
        <w:t xml:space="preserve">一、总则</w:t>
      </w:r>
      <w:bookmarkEnd w:id="45"/>
      <w:r/>
      <w:bookmarkEnd w:id="46"/>
      <w:r/>
      <w:bookmarkEnd w:id="47"/>
      <w:r/>
      <w:bookmarkEnd w:id="48"/>
      <w:r/>
      <w:r/>
    </w:p>
    <w:p>
      <w:pPr>
        <w:ind w:firstLine="480"/>
        <w:jc w:val="left"/>
        <w:spacing w:line="500" w:lineRule="exact"/>
        <w:widowControl/>
        <w:rPr>
          <w:rFonts w:ascii="宋体" w:hAnsi="宋体" w:cs="宋体"/>
          <w:sz w:val="24"/>
          <w:szCs w:val="24"/>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宋体" w:hAnsi="宋体" w:cs="宋体"/>
          <w:sz w:val="24"/>
          <w:szCs w:val="24"/>
        </w:rPr>
        <w:t xml:space="preserve">1</w:t>
      </w:r>
      <w:bookmarkEnd w:id="55"/>
      <w:r>
        <w:rPr>
          <w:rFonts w:hint="eastAsia" w:ascii="宋体" w:hAnsi="宋体" w:cs="宋体"/>
          <w:sz w:val="24"/>
          <w:szCs w:val="24"/>
        </w:rPr>
        <w:t xml:space="preserve">.采购方式</w:t>
      </w:r>
      <w:bookmarkEnd w:id="56"/>
      <w:r/>
      <w:bookmarkEnd w:id="57"/>
      <w:r/>
      <w:bookmarkEnd w:id="5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jc w:val="left"/>
        <w:spacing w:line="500" w:lineRule="exact"/>
        <w:widowControl/>
        <w:rPr>
          <w:rFonts w:ascii="宋体" w:hAnsi="宋体" w:cs="宋体"/>
          <w:sz w:val="24"/>
          <w:szCs w:val="24"/>
        </w:rPr>
      </w:pPr>
      <w:r/>
      <w:bookmarkStart w:id="59" w:name="_Toc20823277"/>
      <w:r/>
      <w:bookmarkStart w:id="60" w:name="_Toc513029205"/>
      <w:r/>
      <w:bookmarkStart w:id="61" w:name="_Toc16938521"/>
      <w:r>
        <w:rPr>
          <w:rFonts w:hint="eastAsia" w:ascii="宋体" w:hAnsi="宋体" w:cs="宋体"/>
          <w:sz w:val="24"/>
          <w:szCs w:val="24"/>
        </w:rPr>
        <w:t xml:space="preserve">2.合格的</w:t>
      </w:r>
      <w:bookmarkEnd w:id="59"/>
      <w:r/>
      <w:bookmarkEnd w:id="60"/>
      <w:r/>
      <w:bookmarkEnd w:id="61"/>
      <w:r>
        <w:rPr>
          <w:rFonts w:hint="eastAsia" w:ascii="宋体" w:hAnsi="宋体" w:cs="宋体"/>
          <w:sz w:val="24"/>
          <w:szCs w:val="24"/>
        </w:rPr>
        <w:t xml:space="preserve">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2.1满足磋商公告对供应商资格要求的规定。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 满足本磋商文件规定的实质性要求和条件。</w:t>
      </w:r>
      <w:r/>
    </w:p>
    <w:p>
      <w:pPr>
        <w:ind w:firstLine="480"/>
        <w:jc w:val="left"/>
        <w:spacing w:line="500" w:lineRule="exact"/>
        <w:widowControl/>
        <w:rPr>
          <w:rFonts w:ascii="宋体" w:hAnsi="宋体" w:cs="宋体"/>
          <w:sz w:val="24"/>
          <w:szCs w:val="24"/>
        </w:rPr>
      </w:pPr>
      <w:r/>
      <w:bookmarkStart w:id="62" w:name="_Toc16938522"/>
      <w:r/>
      <w:bookmarkStart w:id="63" w:name="_Toc513029206"/>
      <w:r/>
      <w:bookmarkStart w:id="64" w:name="_Toc20823278"/>
      <w:r>
        <w:rPr>
          <w:rFonts w:hint="eastAsia" w:ascii="宋体" w:hAnsi="宋体" w:cs="宋体"/>
          <w:sz w:val="24"/>
          <w:szCs w:val="24"/>
        </w:rPr>
        <w:t xml:space="preserve">3.适用法律</w:t>
      </w:r>
      <w:bookmarkEnd w:id="62"/>
      <w:r/>
      <w:bookmarkEnd w:id="63"/>
      <w:r/>
      <w:bookmarkEnd w:id="64"/>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jc w:val="left"/>
        <w:spacing w:line="500" w:lineRule="exact"/>
        <w:widowControl/>
        <w:rPr>
          <w:rFonts w:ascii="宋体" w:hAnsi="宋体" w:cs="宋体"/>
          <w:sz w:val="24"/>
          <w:szCs w:val="24"/>
        </w:rPr>
      </w:pPr>
      <w:r/>
      <w:bookmarkStart w:id="65" w:name="_Toc16938523"/>
      <w:r/>
      <w:bookmarkStart w:id="66" w:name="_Toc462564067"/>
      <w:r/>
      <w:bookmarkStart w:id="67" w:name="_Toc20823279"/>
      <w:r/>
      <w:bookmarkStart w:id="68" w:name="_Toc513029207"/>
      <w:r>
        <w:rPr>
          <w:rFonts w:hint="eastAsia" w:ascii="宋体" w:hAnsi="宋体" w:cs="宋体"/>
          <w:sz w:val="24"/>
          <w:szCs w:val="24"/>
        </w:rPr>
        <w:t xml:space="preserve">4.磋商费用</w:t>
      </w:r>
      <w:bookmarkEnd w:id="65"/>
      <w:r/>
      <w:bookmarkEnd w:id="66"/>
      <w:r/>
      <w:bookmarkEnd w:id="67"/>
      <w:r/>
      <w:bookmarkEnd w:id="68"/>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4.2本次磋商交易中心和采购人不收取采购文件工本费与成交服务费。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5.磋商文件的约束力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jc w:val="left"/>
        <w:spacing w:line="500" w:lineRule="exact"/>
        <w:widowControl/>
        <w:rPr>
          <w:rFonts w:ascii="宋体" w:hAnsi="宋体" w:cs="宋体"/>
          <w:sz w:val="24"/>
          <w:szCs w:val="24"/>
        </w:rPr>
      </w:pPr>
      <w:r/>
      <w:bookmarkStart w:id="69" w:name="_Toc16938525"/>
      <w:r/>
      <w:bookmarkStart w:id="70" w:name="_Toc20823281"/>
      <w:r/>
      <w:bookmarkStart w:id="71" w:name="_Toc513029209"/>
      <w:r/>
      <w:bookmarkStart w:id="72" w:name="_Toc120614215"/>
      <w:r>
        <w:rPr>
          <w:rFonts w:hint="eastAsia" w:ascii="宋体" w:hAnsi="宋体" w:cs="宋体"/>
          <w:sz w:val="24"/>
          <w:szCs w:val="24"/>
        </w:rPr>
        <w:t xml:space="preserve">二、</w:t>
      </w:r>
      <w:bookmarkEnd w:id="69"/>
      <w:r/>
      <w:bookmarkEnd w:id="70"/>
      <w:r/>
      <w:bookmarkEnd w:id="71"/>
      <w:r/>
      <w:bookmarkEnd w:id="72"/>
      <w:r>
        <w:rPr>
          <w:rFonts w:hint="eastAsia" w:ascii="宋体" w:hAnsi="宋体" w:cs="宋体"/>
          <w:sz w:val="24"/>
          <w:szCs w:val="24"/>
        </w:rPr>
        <w:t xml:space="preserve">磋商文件</w:t>
      </w:r>
      <w:r/>
    </w:p>
    <w:p>
      <w:pPr>
        <w:ind w:firstLine="480"/>
        <w:jc w:val="left"/>
        <w:spacing w:line="500" w:lineRule="exact"/>
        <w:widowControl/>
        <w:rPr>
          <w:rFonts w:ascii="宋体" w:hAnsi="宋体" w:cs="宋体"/>
          <w:sz w:val="24"/>
          <w:szCs w:val="24"/>
        </w:rPr>
      </w:pPr>
      <w:r/>
      <w:bookmarkStart w:id="73" w:name="_Toc20823282"/>
      <w:r/>
      <w:bookmarkStart w:id="74" w:name="_Toc513029210"/>
      <w:r/>
      <w:bookmarkStart w:id="75" w:name="_Toc16938526"/>
      <w:r>
        <w:rPr>
          <w:rFonts w:hint="eastAsia" w:ascii="宋体" w:hAnsi="宋体" w:cs="宋体"/>
          <w:sz w:val="24"/>
          <w:szCs w:val="24"/>
        </w:rPr>
        <w:t xml:space="preserve">6.磋商文件构成</w:t>
      </w:r>
      <w:bookmarkEnd w:id="73"/>
      <w:r/>
      <w:bookmarkEnd w:id="74"/>
      <w:r/>
      <w:bookmarkEnd w:id="7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6.1磋商文件由以下部分组成：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供应商应仔细检查磋商文件是否齐全，如有缺漏请立即与交易中心联系解决。</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ascii="宋体" w:hAnsi="宋体" w:cs="宋体"/>
          <w:sz w:val="24"/>
          <w:szCs w:val="24"/>
        </w:rPr>
      </w:pPr>
      <w:r/>
      <w:bookmarkStart w:id="76" w:name="_Toc16938527"/>
      <w:r/>
      <w:bookmarkStart w:id="77" w:name="_Toc513029211"/>
      <w:r/>
      <w:bookmarkStart w:id="78" w:name="_Toc462564070"/>
      <w:r/>
      <w:bookmarkStart w:id="79" w:name="_Toc20823283"/>
      <w:r>
        <w:rPr>
          <w:rFonts w:hint="eastAsia" w:ascii="宋体" w:hAnsi="宋体" w:cs="宋体"/>
          <w:sz w:val="24"/>
          <w:szCs w:val="24"/>
        </w:rPr>
        <w:t xml:space="preserve">7.磋商文件的澄清</w:t>
      </w:r>
      <w:bookmarkEnd w:id="76"/>
      <w:r/>
      <w:bookmarkEnd w:id="77"/>
      <w:r/>
      <w:bookmarkEnd w:id="78"/>
      <w:r/>
      <w:bookmarkEnd w:id="79"/>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ascii="宋体" w:hAnsi="宋体" w:cs="宋体"/>
          <w:sz w:val="24"/>
          <w:szCs w:val="24"/>
        </w:rPr>
      </w:pPr>
      <w:r/>
      <w:bookmarkStart w:id="80" w:name="_Toc462564071"/>
      <w:r/>
      <w:bookmarkStart w:id="81" w:name="_Toc513029212"/>
      <w:r/>
      <w:bookmarkStart w:id="82" w:name="_Toc16938528"/>
      <w:r/>
      <w:bookmarkStart w:id="83" w:name="_Toc20823284"/>
      <w:r>
        <w:rPr>
          <w:rFonts w:hint="eastAsia" w:ascii="宋体" w:hAnsi="宋体" w:cs="宋体"/>
          <w:sz w:val="24"/>
          <w:szCs w:val="24"/>
        </w:rPr>
        <w:t xml:space="preserve">8.磋商文件的澄清和修改</w:t>
      </w:r>
      <w:bookmarkEnd w:id="80"/>
      <w:r/>
      <w:bookmarkEnd w:id="81"/>
      <w:r/>
      <w:bookmarkEnd w:id="82"/>
      <w:r/>
      <w:bookmarkEnd w:id="83"/>
      <w:r/>
      <w:r/>
    </w:p>
    <w:p>
      <w:pPr>
        <w:ind w:firstLine="480"/>
        <w:jc w:val="left"/>
        <w:spacing w:line="500" w:lineRule="exact"/>
        <w:widowControl/>
        <w:rPr>
          <w:rFonts w:ascii="宋体" w:hAnsi="宋体" w:cs="宋体"/>
          <w:sz w:val="24"/>
          <w:szCs w:val="24"/>
        </w:rPr>
      </w:pPr>
      <w:r/>
      <w:bookmarkStart w:id="84" w:name="_Toc120614216"/>
      <w:r/>
      <w:bookmarkStart w:id="85" w:name="_Toc462564072"/>
      <w:r/>
      <w:bookmarkStart w:id="86" w:name="_Toc20823285"/>
      <w:r/>
      <w:bookmarkStart w:id="87" w:name="_Toc16938529"/>
      <w:r/>
      <w:bookmarkStart w:id="88" w:name="_Toc513029213"/>
      <w:r>
        <w:rPr>
          <w:rFonts w:hint="eastAsia" w:ascii="宋体" w:hAnsi="宋体" w:cs="宋体"/>
          <w:sz w:val="24"/>
          <w:szCs w:val="24"/>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8.3交易中心有权按照法定的要求推迟提交响应文件截止时间，并在原公告媒体发布更正公告。</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三、响应文件的编制</w:t>
      </w:r>
      <w:bookmarkEnd w:id="84"/>
      <w:r/>
      <w:bookmarkEnd w:id="85"/>
      <w:r/>
      <w:bookmarkEnd w:id="86"/>
      <w:r/>
      <w:bookmarkEnd w:id="87"/>
      <w:r/>
      <w:bookmarkEnd w:id="88"/>
      <w:r/>
      <w:r/>
    </w:p>
    <w:p>
      <w:pPr>
        <w:ind w:firstLine="480"/>
        <w:jc w:val="left"/>
        <w:spacing w:line="500" w:lineRule="exact"/>
        <w:widowControl/>
        <w:rPr>
          <w:rFonts w:ascii="宋体" w:hAnsi="宋体" w:cs="宋体"/>
          <w:sz w:val="24"/>
          <w:szCs w:val="24"/>
        </w:rPr>
      </w:pPr>
      <w:r/>
      <w:bookmarkStart w:id="89" w:name="_Toc513029214"/>
      <w:r/>
      <w:bookmarkStart w:id="90" w:name="_Toc20823286"/>
      <w:r/>
      <w:bookmarkStart w:id="91" w:name="_Toc16938530"/>
      <w:r/>
      <w:bookmarkStart w:id="92" w:name="_Toc462564073"/>
      <w:r>
        <w:rPr>
          <w:rFonts w:hint="eastAsia" w:ascii="宋体" w:hAnsi="宋体" w:cs="宋体"/>
          <w:sz w:val="24"/>
          <w:szCs w:val="24"/>
        </w:rPr>
        <w:t xml:space="preserve">9.响应文件的语言及度量衡单位</w:t>
      </w:r>
      <w:bookmarkEnd w:id="89"/>
      <w:r/>
      <w:bookmarkEnd w:id="90"/>
      <w:r/>
      <w:bookmarkEnd w:id="91"/>
      <w:r/>
      <w:bookmarkEnd w:id="92"/>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9.1供应商提交的响应文件以及供应商与交易中心就有关磋商的所有来往通知、函件和文件均应使用简体中文。</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80"/>
        <w:jc w:val="left"/>
        <w:spacing w:line="500" w:lineRule="exact"/>
        <w:widowControl/>
        <w:rPr>
          <w:rFonts w:ascii="宋体" w:hAnsi="宋体" w:cs="宋体"/>
          <w:sz w:val="24"/>
          <w:szCs w:val="24"/>
        </w:rPr>
      </w:pPr>
      <w:r/>
      <w:bookmarkStart w:id="93" w:name="_Toc20823287"/>
      <w:r/>
      <w:bookmarkStart w:id="94" w:name="_Toc16938531"/>
      <w:r/>
      <w:bookmarkStart w:id="95" w:name="_Toc513029215"/>
      <w:r/>
      <w:bookmarkStart w:id="96" w:name="_Toc462564074"/>
      <w:r>
        <w:rPr>
          <w:rFonts w:hint="eastAsia" w:ascii="宋体" w:hAnsi="宋体" w:cs="宋体"/>
          <w:sz w:val="24"/>
          <w:szCs w:val="24"/>
        </w:rPr>
        <w:t xml:space="preserve">10.响应文件构成</w:t>
      </w:r>
      <w:bookmarkEnd w:id="93"/>
      <w:r/>
      <w:bookmarkEnd w:id="94"/>
      <w:r/>
      <w:bookmarkEnd w:id="95"/>
      <w:r/>
      <w:bookmarkEnd w:id="9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ascii="宋体" w:hAnsi="宋体" w:cs="宋体"/>
          <w:sz w:val="24"/>
          <w:szCs w:val="24"/>
        </w:rPr>
      </w:pPr>
      <w:r/>
      <w:bookmarkStart w:id="97" w:name="_Hlt26668975"/>
      <w:r/>
      <w:bookmarkEnd w:id="97"/>
      <w:r/>
      <w:bookmarkStart w:id="98" w:name="_Hlt26670360"/>
      <w:r/>
      <w:bookmarkEnd w:id="98"/>
      <w:r/>
      <w:bookmarkStart w:id="99" w:name="_Hlt26954838"/>
      <w:r/>
      <w:bookmarkEnd w:id="99"/>
      <w:r/>
      <w:bookmarkStart w:id="100" w:name="_Toc14577357"/>
      <w:r/>
      <w:bookmarkStart w:id="101" w:name="_Toc513029216"/>
      <w:r/>
      <w:bookmarkStart w:id="102" w:name="_Toc49090507"/>
      <w:r/>
      <w:bookmarkStart w:id="103" w:name="_Toc14577354"/>
      <w:r/>
      <w:bookmarkStart w:id="104" w:name="_Toc49090509"/>
      <w:r/>
      <w:bookmarkStart w:id="105" w:name="_Toc513029219"/>
      <w:r/>
      <w:bookmarkStart w:id="106" w:name="_Toc49090508"/>
      <w:r/>
      <w:bookmarkStart w:id="107" w:name="_Toc14577355"/>
      <w:r>
        <w:rPr>
          <w:rFonts w:hint="eastAsia" w:ascii="宋体" w:hAnsi="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bookmarkEnd w:id="106"/>
      <w:r/>
      <w:bookmarkEnd w:id="10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12.分项报价表（如有）</w:t>
      </w:r>
      <w:r/>
    </w:p>
    <w:p>
      <w:pPr>
        <w:ind w:firstLine="480"/>
        <w:jc w:val="left"/>
        <w:spacing w:line="500" w:lineRule="exact"/>
        <w:widowControl/>
        <w:rPr>
          <w:rFonts w:hint="eastAsia" w:ascii="宋体" w:hAnsi="宋体" w:cs="宋体"/>
          <w:sz w:val="24"/>
          <w:szCs w:val="24"/>
        </w:rPr>
      </w:pPr>
      <w:r/>
      <w:bookmarkStart w:id="108" w:name="_Hlt26954848"/>
      <w:r/>
      <w:bookmarkEnd w:id="108"/>
      <w:r/>
      <w:bookmarkStart w:id="109" w:name="_Hlt26954731"/>
      <w:r/>
      <w:bookmarkEnd w:id="109"/>
      <w:r/>
      <w:bookmarkStart w:id="110" w:name="_Hlt26670486"/>
      <w:r/>
      <w:bookmarkEnd w:id="110"/>
      <w:r/>
      <w:bookmarkStart w:id="111" w:name="_Hlt26954846"/>
      <w:r/>
      <w:bookmarkEnd w:id="111"/>
      <w:r/>
      <w:bookmarkStart w:id="112" w:name="_Hlt26670482"/>
      <w:r/>
      <w:bookmarkEnd w:id="112"/>
      <w:r>
        <w:rPr>
          <w:rFonts w:hint="eastAsia" w:ascii="宋体" w:hAnsi="宋体" w:cs="宋体"/>
          <w:sz w:val="24"/>
          <w:szCs w:val="24"/>
        </w:rPr>
        <w:t xml:space="preserve">12.1 供应商应按照磋商文件规定格式填报分项报价表。</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13.响应及偏离表</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13.1供应商需对磋商文件中的技术要求与商务要求逐项作出响应或偏离说明。</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ind w:firstLine="480"/>
        <w:jc w:val="left"/>
        <w:spacing w:line="500" w:lineRule="exact"/>
        <w:widowControl/>
        <w:rPr>
          <w:rFonts w:ascii="宋体" w:hAnsi="宋体" w:cs="宋体"/>
          <w:sz w:val="24"/>
          <w:szCs w:val="24"/>
        </w:rPr>
      </w:pPr>
      <w:r/>
      <w:bookmarkStart w:id="113" w:name="_Toc49090510"/>
      <w:r/>
      <w:bookmarkStart w:id="114" w:name="_Toc14577359"/>
      <w:r>
        <w:rPr>
          <w:rFonts w:hint="eastAsia" w:ascii="宋体" w:hAnsi="宋体" w:cs="宋体"/>
          <w:sz w:val="24"/>
          <w:szCs w:val="24"/>
        </w:rPr>
        <w:t xml:space="preserve">14.磋商响应函</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.1供应商应按照磋商文件规定格式完整、正确填报磋商响应函。</w:t>
      </w:r>
      <w:bookmarkEnd w:id="113"/>
      <w:r/>
      <w:bookmarkEnd w:id="114"/>
      <w:r/>
      <w:r/>
    </w:p>
    <w:p>
      <w:pPr>
        <w:ind w:firstLine="480"/>
        <w:jc w:val="left"/>
        <w:spacing w:line="500" w:lineRule="exact"/>
        <w:widowControl/>
        <w:rPr>
          <w:rFonts w:ascii="宋体" w:hAnsi="宋体" w:cs="宋体"/>
          <w:sz w:val="24"/>
          <w:szCs w:val="24"/>
        </w:rPr>
      </w:pPr>
      <w:r/>
      <w:bookmarkStart w:id="115" w:name="_Toc14577360"/>
      <w:r/>
      <w:bookmarkStart w:id="116" w:name="_Toc49090511"/>
      <w:r>
        <w:rPr>
          <w:rFonts w:hint="eastAsia" w:ascii="宋体" w:hAnsi="宋体" w:cs="宋体"/>
          <w:sz w:val="24"/>
          <w:szCs w:val="24"/>
        </w:rPr>
        <w:t xml:space="preserve">15.磋商有效期</w:t>
      </w:r>
      <w:bookmarkEnd w:id="115"/>
      <w:r/>
      <w:bookmarkEnd w:id="11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15.1磋商有效期为采购公告规定的提交响应文件截止之日起</w:t>
      </w:r>
      <w:r>
        <w:rPr>
          <w:rFonts w:hint="eastAsia" w:ascii="宋体" w:hAnsi="宋体" w:cs="宋体"/>
          <w:sz w:val="24"/>
          <w:szCs w:val="24"/>
          <w:lang w:val="zh-CN"/>
        </w:rPr>
        <w:t xml:space="preserve">六十天</w:t>
      </w:r>
      <w:r>
        <w:rPr>
          <w:rFonts w:hint="eastAsia" w:ascii="宋体" w:hAnsi="宋体" w:cs="宋体"/>
          <w:sz w:val="24"/>
          <w:szCs w:val="24"/>
        </w:rPr>
        <w:t xml:space="preserve">。磋商有效期比规定短的将被视为非实质性响应磋商文件而被拒绝。</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16.磋商有效期的延长</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ascii="宋体" w:hAnsi="宋体" w:cs="宋体"/>
          <w:sz w:val="24"/>
          <w:szCs w:val="24"/>
        </w:rPr>
      </w:pPr>
      <w:r/>
      <w:bookmarkStart w:id="117" w:name="_Toc16938540"/>
      <w:r/>
      <w:bookmarkStart w:id="118" w:name="_Toc513029224"/>
      <w:r/>
      <w:bookmarkStart w:id="119" w:name="_Toc120614217"/>
      <w:r/>
      <w:bookmarkStart w:id="120" w:name="_Toc20823296"/>
      <w:r>
        <w:rPr>
          <w:rFonts w:hint="eastAsia" w:ascii="宋体" w:hAnsi="宋体" w:cs="宋体"/>
          <w:sz w:val="24"/>
          <w:szCs w:val="24"/>
        </w:rPr>
        <w:t xml:space="preserve">四、响应文件的递交</w:t>
      </w:r>
      <w:bookmarkEnd w:id="117"/>
      <w:r/>
      <w:bookmarkEnd w:id="118"/>
      <w:r/>
      <w:bookmarkEnd w:id="119"/>
      <w:r/>
      <w:bookmarkEnd w:id="120"/>
      <w:r/>
      <w:r/>
    </w:p>
    <w:p>
      <w:pPr>
        <w:ind w:firstLine="480"/>
        <w:jc w:val="left"/>
        <w:spacing w:line="500" w:lineRule="exact"/>
        <w:widowControl/>
        <w:rPr>
          <w:rFonts w:ascii="宋体" w:hAnsi="宋体" w:cs="宋体"/>
          <w:sz w:val="24"/>
          <w:szCs w:val="24"/>
        </w:rPr>
      </w:pPr>
      <w:r/>
      <w:bookmarkStart w:id="121" w:name="_Toc20823297"/>
      <w:r/>
      <w:bookmarkStart w:id="122" w:name="_Toc462564084"/>
      <w:r/>
      <w:bookmarkStart w:id="123" w:name="_Toc513029225"/>
      <w:r/>
      <w:bookmarkStart w:id="124" w:name="_Toc16938541"/>
      <w:r>
        <w:rPr>
          <w:rFonts w:hint="eastAsia" w:ascii="宋体" w:hAnsi="宋体" w:cs="宋体"/>
          <w:sz w:val="24"/>
          <w:szCs w:val="24"/>
        </w:rPr>
        <w:t xml:space="preserve">17.磋商</w:t>
      </w:r>
      <w:bookmarkEnd w:id="121"/>
      <w:r/>
      <w:bookmarkEnd w:id="122"/>
      <w:r/>
      <w:bookmarkEnd w:id="123"/>
      <w:r/>
      <w:bookmarkEnd w:id="124"/>
      <w:r>
        <w:rPr>
          <w:rFonts w:hint="eastAsia" w:ascii="宋体" w:hAnsi="宋体" w:cs="宋体"/>
          <w:sz w:val="24"/>
          <w:szCs w:val="24"/>
        </w:rPr>
        <w:t xml:space="preserve">响应文件的递交</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125" w:name="_Toc16938542"/>
      <w:r/>
      <w:bookmarkEnd w:id="125"/>
      <w:r/>
      <w:bookmarkStart w:id="126" w:name="_Toc20823298"/>
      <w:r/>
      <w:bookmarkEnd w:id="126"/>
      <w:r/>
      <w:bookmarkStart w:id="127" w:name="_Toc513029226"/>
      <w:r/>
      <w:bookmarkEnd w:id="127"/>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ascii="宋体" w:hAnsi="宋体" w:cs="宋体"/>
          <w:sz w:val="24"/>
          <w:szCs w:val="24"/>
        </w:rPr>
      </w:pPr>
      <w:r/>
      <w:bookmarkStart w:id="128" w:name="_Toc513029227"/>
      <w:r/>
      <w:bookmarkStart w:id="129" w:name="_Toc16938543"/>
      <w:r/>
      <w:bookmarkStart w:id="130" w:name="_Toc20823299"/>
      <w:r>
        <w:rPr>
          <w:rFonts w:hint="eastAsia" w:ascii="宋体" w:hAnsi="宋体" w:cs="宋体"/>
          <w:sz w:val="24"/>
          <w:szCs w:val="24"/>
        </w:rPr>
        <w:t xml:space="preserve">18.响应文件</w:t>
      </w:r>
      <w:bookmarkEnd w:id="128"/>
      <w:r/>
      <w:bookmarkEnd w:id="129"/>
      <w:r/>
      <w:bookmarkEnd w:id="130"/>
      <w:r>
        <w:rPr>
          <w:rFonts w:hint="eastAsia" w:ascii="宋体" w:hAnsi="宋体" w:cs="宋体"/>
          <w:sz w:val="24"/>
          <w:szCs w:val="24"/>
        </w:rPr>
        <w:t xml:space="preserve">的拒收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18.1 交易中心拒绝接收提交响应文件截止时间后上传的任何电子响应文件。</w:t>
      </w:r>
      <w:r/>
    </w:p>
    <w:p>
      <w:pPr>
        <w:ind w:firstLine="480"/>
        <w:jc w:val="left"/>
        <w:spacing w:line="500" w:lineRule="exact"/>
        <w:widowControl/>
        <w:rPr>
          <w:rFonts w:ascii="宋体" w:hAnsi="宋体" w:cs="宋体"/>
          <w:sz w:val="24"/>
          <w:szCs w:val="24"/>
        </w:rPr>
      </w:pPr>
      <w:r/>
      <w:bookmarkStart w:id="131" w:name="_Toc513029228"/>
      <w:r/>
      <w:bookmarkStart w:id="132" w:name="_Toc20823300"/>
      <w:r/>
      <w:bookmarkStart w:id="133" w:name="_Toc16938544"/>
      <w:r>
        <w:rPr>
          <w:rFonts w:hint="eastAsia" w:ascii="宋体" w:hAnsi="宋体" w:cs="宋体"/>
          <w:sz w:val="24"/>
          <w:szCs w:val="24"/>
        </w:rPr>
        <w:t xml:space="preserve">19.响应文件的撤回和修改</w:t>
      </w:r>
      <w:bookmarkEnd w:id="131"/>
      <w:r/>
      <w:bookmarkEnd w:id="132"/>
      <w:r/>
      <w:bookmarkEnd w:id="13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19.1响应文件的撤回</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19.1.1供应商可在提交响应文件截止时间前，撤回其电子响应文件，具体操作方法见《操作手册》。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19.1.2供应商撤回电子响应文件，则认为其不再参与本项目磋商活动。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19.2响应文件的修改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19.2.2 在提交响应文件截止时间之后，供应商不得对其电子响应文件作任何修改。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ascii="宋体" w:hAnsi="宋体" w:cs="宋体"/>
          <w:sz w:val="24"/>
          <w:szCs w:val="24"/>
        </w:rPr>
      </w:pPr>
      <w:r/>
      <w:bookmarkStart w:id="134" w:name="_Toc513029229"/>
      <w:r/>
      <w:bookmarkStart w:id="135" w:name="_Toc120614218"/>
      <w:r/>
      <w:bookmarkStart w:id="136" w:name="_Toc20823301"/>
      <w:r/>
      <w:bookmarkStart w:id="137" w:name="_Toc16938545"/>
      <w:r>
        <w:rPr>
          <w:rFonts w:hint="eastAsia" w:ascii="宋体" w:hAnsi="宋体" w:cs="宋体"/>
          <w:sz w:val="24"/>
          <w:szCs w:val="24"/>
        </w:rPr>
        <w:t xml:space="preserve">五、响应文件的解密与评审</w:t>
      </w:r>
      <w:bookmarkEnd w:id="134"/>
      <w:r/>
      <w:bookmarkEnd w:id="135"/>
      <w:r/>
      <w:bookmarkEnd w:id="136"/>
      <w:r/>
      <w:bookmarkEnd w:id="137"/>
      <w:r/>
      <w:r/>
    </w:p>
    <w:p>
      <w:pPr>
        <w:ind w:firstLine="480"/>
        <w:jc w:val="left"/>
        <w:spacing w:line="500" w:lineRule="exact"/>
        <w:widowControl/>
        <w:rPr>
          <w:rFonts w:ascii="宋体" w:hAnsi="宋体" w:cs="宋体"/>
          <w:sz w:val="24"/>
          <w:szCs w:val="24"/>
        </w:rPr>
      </w:pPr>
      <w:r/>
      <w:bookmarkStart w:id="138" w:name="_Toc16938546"/>
      <w:r/>
      <w:bookmarkStart w:id="139" w:name="_Toc20823302"/>
      <w:r/>
      <w:bookmarkStart w:id="140" w:name="_Toc513029230"/>
      <w:r>
        <w:rPr>
          <w:rFonts w:hint="eastAsia" w:ascii="宋体" w:hAnsi="宋体" w:cs="宋体"/>
          <w:sz w:val="24"/>
          <w:szCs w:val="24"/>
        </w:rPr>
        <w:t xml:space="preserve">2</w:t>
      </w:r>
      <w:bookmarkEnd w:id="138"/>
      <w:r/>
      <w:bookmarkEnd w:id="139"/>
      <w:r/>
      <w:bookmarkEnd w:id="140"/>
      <w:r>
        <w:rPr>
          <w:rFonts w:hint="eastAsia" w:ascii="宋体" w:hAnsi="宋体" w:cs="宋体"/>
          <w:sz w:val="24"/>
          <w:szCs w:val="24"/>
        </w:rPr>
        <w:t xml:space="preserve">0.响应文件解密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供应商应当按照《操作手册》规定，在苏采云系统规定的时间内对磋商响应文件进行解密。</w:t>
      </w:r>
      <w:r/>
    </w:p>
    <w:p>
      <w:pPr>
        <w:ind w:firstLine="480"/>
        <w:jc w:val="left"/>
        <w:spacing w:line="500" w:lineRule="exact"/>
        <w:widowControl/>
        <w:rPr>
          <w:rFonts w:ascii="宋体" w:hAnsi="宋体" w:cs="宋体"/>
          <w:sz w:val="24"/>
          <w:szCs w:val="24"/>
        </w:rPr>
      </w:pPr>
      <w:r/>
      <w:bookmarkStart w:id="141" w:name="_Toc513029231"/>
      <w:r/>
      <w:bookmarkStart w:id="142" w:name="_Toc20823303"/>
      <w:r/>
      <w:bookmarkStart w:id="143" w:name="_Toc16938547"/>
      <w:r>
        <w:rPr>
          <w:rFonts w:hint="eastAsia" w:ascii="宋体" w:hAnsi="宋体" w:cs="宋体"/>
          <w:sz w:val="24"/>
          <w:szCs w:val="24"/>
        </w:rPr>
        <w:t xml:space="preserve">21.磋商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21.1 交易中心将组织磋商小组对响应文件进行评审。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21.2 磋商小组由采购人代表和有关技术、经济等方面的专家组成，且人员构成符合政府采购有关规定。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21.3 磋商小组独立工作，负责评审所有响应文件并推荐成交侯选人，或根据采购人授权直接确定成交供应商。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22.评审过程的保密与公正</w:t>
      </w:r>
      <w:bookmarkEnd w:id="141"/>
      <w:r/>
      <w:bookmarkEnd w:id="142"/>
      <w:r/>
      <w:bookmarkEnd w:id="143"/>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22.2 在评审过程中，供应商不得以任何行为影响磋商评审过程，否则其响应文件将被作为无效响应文件。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22.3 交易中心和磋商小组不向未成交的供应商解释未成交原因，也不公布评审过程中的相关细节。</w:t>
      </w:r>
      <w:r/>
    </w:p>
    <w:p>
      <w:pPr>
        <w:ind w:firstLine="480"/>
        <w:jc w:val="left"/>
        <w:spacing w:line="500" w:lineRule="exact"/>
        <w:widowControl/>
        <w:rPr>
          <w:rFonts w:ascii="宋体" w:hAnsi="宋体" w:cs="宋体"/>
          <w:sz w:val="24"/>
          <w:szCs w:val="24"/>
        </w:rPr>
      </w:pPr>
      <w:r/>
      <w:bookmarkStart w:id="144" w:name="_Toc20823304"/>
      <w:r/>
      <w:bookmarkStart w:id="145" w:name="_Toc16938548"/>
      <w:r/>
      <w:bookmarkStart w:id="146" w:name="_Toc513029232"/>
      <w:r>
        <w:rPr>
          <w:rFonts w:hint="eastAsia" w:ascii="宋体" w:hAnsi="宋体" w:cs="宋体"/>
          <w:sz w:val="24"/>
          <w:szCs w:val="24"/>
        </w:rPr>
        <w:t xml:space="preserve">23.评审过程中的澄清</w:t>
      </w:r>
      <w:bookmarkEnd w:id="144"/>
      <w:r/>
      <w:bookmarkEnd w:id="145"/>
      <w:r/>
      <w:bookmarkEnd w:id="146"/>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供应商的澄清、说明或者更正不得超出响应文件的范围或者改变响应文件的实质性内容。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需要供应商进行澄清、说明和补正的，磋商小组将通过苏采云系统向供应商发布</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《澄清要求函》</w:t>
      </w:r>
      <w:r>
        <w:rPr>
          <w:rFonts w:hint="eastAsia" w:ascii="宋体" w:hAnsi="宋体" w:cs="宋体"/>
          <w:sz w:val="24"/>
          <w:szCs w:val="24"/>
        </w:rPr>
        <w:t xml:space="preserve">并加盖电子公章。澄清、说明和更正的内容作为响应文件的补充部分，具体操作方式见《操作手册》。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23.3 接到磋商小组澄清、说明和更正要求的供应商如未按规定做出澄清、说明和更正，其风险由供应商自行承担。</w:t>
      </w:r>
      <w:r/>
    </w:p>
    <w:p>
      <w:pPr>
        <w:ind w:firstLine="480"/>
        <w:jc w:val="left"/>
        <w:spacing w:line="500" w:lineRule="exact"/>
        <w:widowControl/>
        <w:rPr>
          <w:rFonts w:ascii="宋体" w:hAnsi="宋体" w:cs="宋体"/>
          <w:sz w:val="24"/>
          <w:szCs w:val="24"/>
        </w:rPr>
      </w:pPr>
      <w:r/>
      <w:bookmarkStart w:id="147" w:name="_Toc513029233"/>
      <w:r/>
      <w:bookmarkStart w:id="148" w:name="_Toc16938549"/>
      <w:r/>
      <w:bookmarkStart w:id="149" w:name="_Toc20823305"/>
      <w:r>
        <w:rPr>
          <w:rFonts w:hint="eastAsia" w:ascii="宋体" w:hAnsi="宋体" w:cs="宋体"/>
          <w:sz w:val="24"/>
          <w:szCs w:val="24"/>
        </w:rPr>
        <w:t xml:space="preserve">24.响应文件的审</w:t>
      </w:r>
      <w:bookmarkEnd w:id="147"/>
      <w:r/>
      <w:bookmarkEnd w:id="148"/>
      <w:r/>
      <w:bookmarkEnd w:id="149"/>
      <w:r>
        <w:rPr>
          <w:rFonts w:hint="eastAsia" w:ascii="宋体" w:hAnsi="宋体" w:cs="宋体"/>
          <w:sz w:val="24"/>
          <w:szCs w:val="24"/>
        </w:rPr>
        <w:t xml:space="preserve">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 未实质性响应磋商文件的情形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24.3.2 供应商未按照磋商文件要求上传电子响应文件的。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24.3.4 供应商不具备磋商文件中规定资格要求的。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24.3.5 供应商的最后报价超过了采购预算或最高限价的。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24.3.6 不符合磋商文件中规定的实质性要求和条件的（本磋商文件中斜体且有下划线部分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w:t>
      </w:r>
      <w:r>
        <w:rPr>
          <w:rFonts w:hint="eastAsia" w:ascii="宋体" w:hAnsi="宋体" w:cs="宋体"/>
          <w:sz w:val="24"/>
          <w:szCs w:val="24"/>
        </w:rPr>
        <w:t xml:space="preserve">为实质性要求和条件）。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24.3.8 响应文件含有采购人不能接受的附加条件的。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24.3.10 响应文件未按照磋商文件要求加盖电子公章的。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ascii="宋体" w:hAnsi="宋体" w:cs="宋体"/>
          <w:sz w:val="24"/>
          <w:szCs w:val="24"/>
        </w:rPr>
      </w:pPr>
      <w:r/>
      <w:bookmarkStart w:id="150" w:name="_Toc20823306"/>
      <w:r/>
      <w:bookmarkStart w:id="151" w:name="_Toc16938550"/>
      <w:r/>
      <w:bookmarkStart w:id="152" w:name="_Toc513029234"/>
      <w:r>
        <w:rPr>
          <w:rFonts w:hint="eastAsia" w:ascii="宋体" w:hAnsi="宋体" w:cs="宋体"/>
          <w:sz w:val="24"/>
          <w:szCs w:val="24"/>
        </w:rPr>
        <w:t xml:space="preserve">24.6 供应商在项目评审全过程中应保持通讯畅通，并安排专人与交易中心及磋商小组联系。</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w:t>
      </w:r>
      <w:bookmarkEnd w:id="150"/>
      <w:r/>
      <w:bookmarkEnd w:id="151"/>
      <w:r/>
      <w:bookmarkEnd w:id="152"/>
      <w:r>
        <w:rPr>
          <w:rFonts w:hint="eastAsia" w:ascii="宋体" w:hAnsi="宋体" w:cs="宋体"/>
          <w:sz w:val="24"/>
          <w:szCs w:val="24"/>
        </w:rPr>
        <w:t xml:space="preserve">5.磋商程序及评审方法和评审标准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 磋商程序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 评审方法和评审标准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25.2.2 评审标准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见本磋商文件第五章规定。</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 采购活动终止的情况</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25.3.1 因情况变化，不再符合规定的竞争性磋商采购方式适用情形的。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25.3.2 出现影响采购公正的违法、违规行为的。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25.3.4 在苏采云系统规定时间内成功解密电子响应文件的供应商不足3家的。</w:t>
      </w:r>
      <w:r/>
    </w:p>
    <w:p>
      <w:pPr>
        <w:ind w:firstLine="480"/>
        <w:jc w:val="left"/>
        <w:spacing w:line="500" w:lineRule="exact"/>
        <w:widowControl/>
        <w:rPr>
          <w:rFonts w:ascii="宋体" w:hAnsi="宋体" w:cs="宋体"/>
          <w:sz w:val="24"/>
          <w:szCs w:val="24"/>
        </w:rPr>
      </w:pPr>
      <w:r/>
      <w:bookmarkStart w:id="153" w:name="_Toc513029235"/>
      <w:r/>
      <w:bookmarkStart w:id="154" w:name="_Toc20823307"/>
      <w:r/>
      <w:bookmarkStart w:id="155" w:name="_Toc120614219"/>
      <w:r/>
      <w:bookmarkStart w:id="156" w:name="_Toc16938551"/>
      <w:r>
        <w:rPr>
          <w:rFonts w:hint="eastAsia" w:ascii="宋体" w:hAnsi="宋体" w:cs="宋体"/>
          <w:sz w:val="24"/>
          <w:szCs w:val="24"/>
        </w:rPr>
        <w:t xml:space="preserve">六、</w:t>
      </w:r>
      <w:bookmarkEnd w:id="153"/>
      <w:r/>
      <w:bookmarkEnd w:id="154"/>
      <w:r/>
      <w:bookmarkEnd w:id="155"/>
      <w:r/>
      <w:bookmarkEnd w:id="156"/>
      <w:r>
        <w:rPr>
          <w:rFonts w:hint="eastAsia" w:ascii="宋体" w:hAnsi="宋体" w:cs="宋体"/>
          <w:sz w:val="24"/>
          <w:szCs w:val="24"/>
        </w:rPr>
        <w:t xml:space="preserve">成交</w:t>
      </w:r>
      <w:r/>
    </w:p>
    <w:p>
      <w:pPr>
        <w:ind w:firstLine="480"/>
        <w:jc w:val="left"/>
        <w:spacing w:line="500" w:lineRule="exact"/>
        <w:widowControl/>
        <w:rPr>
          <w:rFonts w:ascii="宋体" w:hAnsi="宋体" w:cs="宋体"/>
          <w:sz w:val="24"/>
          <w:szCs w:val="24"/>
        </w:rPr>
      </w:pPr>
      <w:r/>
      <w:bookmarkStart w:id="157" w:name="_Toc513029238"/>
      <w:r/>
      <w:bookmarkStart w:id="158" w:name="_Toc20823310"/>
      <w:r/>
      <w:bookmarkStart w:id="159" w:name="_Toc16938554"/>
      <w:r>
        <w:rPr>
          <w:rFonts w:hint="eastAsia" w:ascii="宋体" w:hAnsi="宋体" w:cs="宋体"/>
          <w:sz w:val="24"/>
          <w:szCs w:val="24"/>
        </w:rPr>
        <w:t xml:space="preserve">2</w:t>
      </w:r>
      <w:bookmarkEnd w:id="157"/>
      <w:r>
        <w:rPr>
          <w:rFonts w:hint="eastAsia" w:ascii="宋体" w:hAnsi="宋体" w:cs="宋体"/>
          <w:sz w:val="24"/>
          <w:szCs w:val="24"/>
        </w:rPr>
        <w:t xml:space="preserve">6.确定</w:t>
      </w:r>
      <w:bookmarkEnd w:id="158"/>
      <w:r/>
      <w:bookmarkEnd w:id="159"/>
      <w:r>
        <w:rPr>
          <w:rFonts w:hint="eastAsia" w:ascii="宋体" w:hAnsi="宋体" w:cs="宋体"/>
          <w:sz w:val="24"/>
          <w:szCs w:val="24"/>
        </w:rPr>
        <w:t xml:space="preserve">成交单位</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26.3 交易中心将在“江苏政府采购网”发布成交结果公告，公告期限为1个工作日。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 若有充分证据证明，成交供应商出现下列情况之一的，一经查实，将被取消成交资格：</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26.4.1 提供虚假材料谋取成交的。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26.4.2 与评审专家、采购人、其他供应商或者交易中心工作人员恶意串通的。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26.4.3 向评审专家、采购人或交易中心工作人员行贿或者提供其他不正当利益的。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26.4.4 恶意竞争，最后报价明显低于其自身合理成本且又无法提供证明的。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26.4.5 不满足本磋商文件规定的实质性要求，但在评审过程中未被磋商小组发现的。</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lang w:val="en-US" w:eastAsia="zh-CN"/>
        </w:rPr>
        <w:t xml:space="preserve">4</w:t>
      </w:r>
      <w:r>
        <w:rPr>
          <w:rFonts w:hint="eastAsia" w:ascii="宋体" w:hAnsi="宋体" w:cs="宋体"/>
          <w:sz w:val="24"/>
          <w:szCs w:val="24"/>
        </w:rPr>
        <w:t xml:space="preserve">.7 将政府采购合同转包的。</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27.成交通知书</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七、授予合同</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28.签订合同</w:t>
      </w:r>
      <w:r/>
    </w:p>
    <w:p>
      <w:pPr>
        <w:ind w:firstLine="480"/>
        <w:jc w:val="left"/>
        <w:spacing w:line="50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28.2 磋商文件、成交供应商的响应文件及磋商过程中有关澄清、承诺文件均作为合同附件。</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28.4 成交供应商因自身原因拒绝与采购人签订合同的，</w:t>
      </w:r>
      <w:r>
        <w:rPr>
          <w:rFonts w:hint="eastAsia" w:ascii="宋体" w:hAnsi="宋体" w:cs="宋体"/>
          <w:sz w:val="24"/>
          <w:szCs w:val="24"/>
          <w:lang w:val="zh-CN" w:eastAsia="zh-CN"/>
        </w:rPr>
        <w:t xml:space="preserve">不得参加采购人</w:t>
      </w:r>
      <w:r>
        <w:rPr>
          <w:rFonts w:hint="eastAsia" w:ascii="宋体" w:hAnsi="宋体" w:cs="宋体"/>
          <w:sz w:val="24"/>
          <w:szCs w:val="24"/>
          <w:lang w:val="en-US" w:eastAsia="zh-CN"/>
        </w:rPr>
        <w:t xml:space="preserve">重新组织的</w:t>
      </w:r>
      <w:r>
        <w:rPr>
          <w:rFonts w:hint="eastAsia" w:ascii="宋体" w:hAnsi="宋体" w:cs="宋体"/>
          <w:sz w:val="24"/>
          <w:szCs w:val="24"/>
          <w:lang w:val="zh-CN" w:eastAsia="zh-CN"/>
        </w:rPr>
        <w:t xml:space="preserve">采购活动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且将可能被拒绝参加该采购人</w:t>
      </w:r>
      <w:r>
        <w:rPr>
          <w:rFonts w:hint="eastAsia" w:ascii="宋体" w:hAnsi="宋体" w:cs="宋体"/>
          <w:sz w:val="24"/>
          <w:szCs w:val="24"/>
          <w:lang w:val="zh-CN" w:eastAsia="zh-CN"/>
        </w:rPr>
        <w:t xml:space="preserve">一年内</w:t>
      </w:r>
      <w:r>
        <w:rPr>
          <w:rFonts w:hint="eastAsia" w:ascii="宋体" w:hAnsi="宋体" w:cs="宋体"/>
          <w:sz w:val="24"/>
          <w:szCs w:val="24"/>
          <w:lang w:val="en-US" w:eastAsia="zh-CN"/>
        </w:rPr>
        <w:t xml:space="preserve">的其他</w:t>
      </w:r>
      <w:r>
        <w:rPr>
          <w:rFonts w:hint="eastAsia" w:ascii="宋体" w:hAnsi="宋体" w:cs="宋体"/>
          <w:sz w:val="24"/>
          <w:szCs w:val="24"/>
          <w:lang w:val="zh-CN" w:eastAsia="zh-CN"/>
        </w:rPr>
        <w:t xml:space="preserve">政府采购活动。</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29.标的物的追加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30.政府采购履约资金扶持政策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30.1 成交供应商通过</w:t>
      </w:r>
      <w:r>
        <w:rPr>
          <w:rFonts w:hint="eastAsia" w:ascii="宋体" w:hAnsi="宋体" w:cs="宋体"/>
          <w:sz w:val="24"/>
          <w:szCs w:val="24"/>
          <w:lang w:val="zh-CN"/>
        </w:rPr>
        <w:t xml:space="preserve">南京市公共资源交易</w:t>
      </w:r>
      <w:r>
        <w:rPr>
          <w:rFonts w:hint="eastAsia" w:ascii="宋体" w:hAnsi="宋体" w:cs="宋体"/>
          <w:sz w:val="24"/>
          <w:szCs w:val="24"/>
          <w:lang w:val="en-US" w:eastAsia="zh-CN"/>
        </w:rPr>
        <w:t xml:space="preserve">平台</w:t>
      </w:r>
      <w:r>
        <w:rPr>
          <w:rFonts w:hint="eastAsia" w:ascii="宋体" w:hAnsi="宋体" w:cs="宋体"/>
          <w:sz w:val="24"/>
          <w:szCs w:val="24"/>
          <w:lang w:val="zh-CN"/>
        </w:rPr>
        <w:t xml:space="preserve">网站“小企业融资平台”，</w:t>
      </w:r>
      <w:r>
        <w:rPr>
          <w:rFonts w:hint="eastAsia" w:ascii="宋体" w:hAnsi="宋体" w:cs="宋体"/>
          <w:sz w:val="24"/>
          <w:szCs w:val="24"/>
          <w:lang w:val="en-US" w:eastAsia="zh-CN"/>
        </w:rPr>
        <w:t xml:space="preserve">选择相应的金融机构</w:t>
      </w:r>
      <w:r>
        <w:rPr>
          <w:rFonts w:hint="eastAsia" w:ascii="宋体" w:hAnsi="宋体" w:cs="宋体"/>
          <w:sz w:val="24"/>
          <w:szCs w:val="24"/>
          <w:lang w:val="zh-CN"/>
        </w:rPr>
        <w:t xml:space="preserve">办理融资贷款。</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30.2 依据《关于在全省政府采购领域推行电子履约保函（保险）的通知》（苏财购〔2023〕150号），需要缴纳履约保证金的，成交供应商</w:t>
      </w:r>
      <w:r>
        <w:rPr>
          <w:rFonts w:hint="eastAsia" w:ascii="宋体" w:hAnsi="宋体" w:cs="宋体"/>
          <w:sz w:val="24"/>
          <w:szCs w:val="24"/>
          <w:lang w:val="zh-CN" w:eastAsia="zh-CN"/>
        </w:rPr>
        <w:t xml:space="preserve">可</w:t>
      </w:r>
      <w:r>
        <w:rPr>
          <w:rFonts w:hint="eastAsia" w:ascii="宋体" w:hAnsi="宋体" w:cs="宋体"/>
          <w:sz w:val="24"/>
          <w:szCs w:val="24"/>
          <w:lang w:val="en-US" w:eastAsia="zh-CN"/>
        </w:rPr>
        <w:t xml:space="preserve">通过江苏政府采购网“政府采购电子履约保函（保险）综合服务平台”线上办理履约保函（保险）</w:t>
      </w:r>
      <w:r>
        <w:rPr>
          <w:rFonts w:hint="eastAsia" w:ascii="宋体" w:hAnsi="宋体" w:cs="宋体"/>
          <w:sz w:val="24"/>
          <w:szCs w:val="24"/>
          <w:lang w:val="zh-CN" w:eastAsia="zh-CN"/>
        </w:rPr>
        <w:t xml:space="preserve">。</w:t>
      </w:r>
      <w:r/>
    </w:p>
    <w:p>
      <w:pPr>
        <w:ind w:firstLine="480"/>
        <w:jc w:val="left"/>
        <w:spacing w:line="500" w:lineRule="exact"/>
        <w:widowControl/>
        <w:rPr>
          <w:rFonts w:hint="eastAsia" w:ascii="宋体" w:hAnsi="宋体" w:cs="宋体"/>
          <w:sz w:val="24"/>
          <w:szCs w:val="24"/>
          <w:lang w:val="en-US"/>
        </w:rPr>
      </w:pPr>
      <w:r>
        <w:rPr>
          <w:rFonts w:hint="eastAsia" w:ascii="宋体" w:hAnsi="宋体" w:cs="宋体"/>
          <w:sz w:val="24"/>
          <w:szCs w:val="24"/>
          <w:lang w:val="en-US" w:eastAsia="zh-CN"/>
        </w:rPr>
        <w:t xml:space="preserve">八、质疑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lang w:val="en-US" w:eastAsia="zh-CN"/>
        </w:rPr>
        <w:t xml:space="preserve">按照第3</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条</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第35</w:t>
      </w:r>
      <w:r>
        <w:rPr>
          <w:rFonts w:hint="eastAsia" w:ascii="宋体" w:hAnsi="宋体" w:cs="宋体"/>
          <w:sz w:val="24"/>
          <w:szCs w:val="24"/>
          <w:lang w:val="zh-CN"/>
        </w:rPr>
        <w:t xml:space="preserve">条</w:t>
      </w:r>
      <w:r>
        <w:rPr>
          <w:rFonts w:hint="eastAsia" w:ascii="宋体" w:hAnsi="宋体" w:cs="宋体"/>
          <w:sz w:val="24"/>
          <w:szCs w:val="24"/>
          <w:lang w:val="en-US" w:eastAsia="zh-CN"/>
        </w:rPr>
        <w:t xml:space="preserve">之</w:t>
      </w:r>
      <w:r>
        <w:rPr>
          <w:rFonts w:hint="eastAsia" w:ascii="宋体" w:hAnsi="宋体" w:cs="宋体"/>
          <w:sz w:val="24"/>
          <w:szCs w:val="24"/>
          <w:lang w:val="zh-CN"/>
        </w:rPr>
        <w:t xml:space="preserve">规定以书面形式向采购人或交易中心提出质疑。上述应知其权益受到损害之日是指：</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对采购过程提出质疑的，为各采购程序环节结束之日。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2.3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对成交结果提出质疑的，为成交结果公告期限届满之日。</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lang w:val="zh-CN" w:eastAsia="zh-CN"/>
        </w:rPr>
        <w:t xml:space="preserve">交易中心</w:t>
      </w:r>
      <w:r>
        <w:rPr>
          <w:rFonts w:hint="eastAsia" w:ascii="宋体" w:hAnsi="宋体" w:cs="宋体"/>
          <w:sz w:val="24"/>
          <w:szCs w:val="24"/>
          <w:lang w:val="en-US" w:eastAsia="zh-CN"/>
        </w:rPr>
        <w:t xml:space="preserve">或</w:t>
      </w:r>
      <w:r>
        <w:rPr>
          <w:rFonts w:hint="eastAsia" w:ascii="宋体" w:hAnsi="宋体" w:cs="宋体"/>
          <w:sz w:val="24"/>
          <w:szCs w:val="24"/>
          <w:lang w:val="zh-CN"/>
        </w:rPr>
        <w:t xml:space="preserve">采购人将只对供应商第一次质疑作出答复。</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34.</w:t>
      </w:r>
      <w:r>
        <w:rPr>
          <w:rFonts w:hint="eastAsia" w:ascii="宋体" w:hAnsi="宋体" w:cs="宋体"/>
          <w:sz w:val="24"/>
          <w:szCs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lang w:val="en-US" w:eastAsia="zh-CN"/>
        </w:rPr>
        <w:t xml:space="preserve">的</w:t>
      </w:r>
      <w:r>
        <w:rPr>
          <w:rFonts w:hint="eastAsia" w:ascii="宋体" w:hAnsi="宋体" w:cs="宋体"/>
          <w:sz w:val="24"/>
          <w:szCs w:val="24"/>
          <w:lang w:val="zh-CN"/>
        </w:rPr>
        <w:t xml:space="preserve">格式和内容填写。</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35.</w:t>
      </w:r>
      <w:r>
        <w:rPr>
          <w:rFonts w:hint="eastAsia" w:ascii="宋体" w:hAnsi="宋体" w:cs="宋体"/>
          <w:sz w:val="24"/>
          <w:szCs w:val="24"/>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提出，由</w:t>
      </w:r>
      <w:r>
        <w:rPr>
          <w:rFonts w:hint="eastAsia" w:ascii="宋体" w:hAnsi="宋体" w:cs="宋体"/>
          <w:sz w:val="24"/>
          <w:szCs w:val="24"/>
          <w:lang w:val="zh-CN" w:eastAsia="zh-CN"/>
        </w:rPr>
        <w:t xml:space="preserve">交易中心</w:t>
      </w:r>
      <w:r>
        <w:rPr>
          <w:rFonts w:hint="eastAsia" w:ascii="宋体" w:hAnsi="宋体" w:cs="宋体"/>
          <w:sz w:val="24"/>
          <w:szCs w:val="24"/>
          <w:lang w:val="zh-CN"/>
        </w:rPr>
        <w:t xml:space="preserve">负责答复。</w:t>
      </w:r>
      <w:r>
        <w:rPr>
          <w:rFonts w:hint="eastAsia" w:ascii="宋体" w:hAnsi="宋体" w:cs="宋体"/>
          <w:sz w:val="24"/>
          <w:szCs w:val="24"/>
          <w:lang w:val="en-US" w:eastAsia="zh-CN"/>
        </w:rPr>
        <w:t xml:space="preserve">  </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采购人《质疑</w:t>
      </w:r>
      <w:r>
        <w:rPr>
          <w:rFonts w:hint="eastAsia" w:ascii="宋体" w:hAnsi="宋体" w:cs="宋体"/>
          <w:sz w:val="24"/>
          <w:szCs w:val="24"/>
          <w:lang w:val="en-US" w:eastAsia="zh-CN"/>
        </w:rPr>
        <w:t xml:space="preserve">函</w:t>
      </w:r>
      <w:r>
        <w:rPr>
          <w:rFonts w:hint="eastAsia" w:ascii="宋体" w:hAnsi="宋体" w:cs="宋体"/>
          <w:sz w:val="24"/>
          <w:szCs w:val="24"/>
          <w:lang w:val="zh-CN" w:eastAsia="zh-CN"/>
        </w:rPr>
        <w:t xml:space="preserve">》接收人及联系方式见采购文件第一章。</w:t>
      </w:r>
      <w:r/>
    </w:p>
    <w:p>
      <w:pPr>
        <w:ind w:firstLine="480"/>
        <w:jc w:val="left"/>
        <w:spacing w:line="500" w:lineRule="exact"/>
        <w:widowControl/>
        <w:rPr>
          <w:rFonts w:hint="eastAsia" w:ascii="宋体" w:hAnsi="宋体" w:cs="宋体"/>
          <w:sz w:val="24"/>
          <w:szCs w:val="24"/>
          <w:highlight w:val="yellow"/>
          <w:lang w:val="zh-CN"/>
        </w:rPr>
      </w:pPr>
      <w:r>
        <w:rPr>
          <w:rFonts w:hint="eastAsia" w:ascii="宋体" w:hAnsi="宋体" w:cs="宋体"/>
          <w:sz w:val="24"/>
          <w:szCs w:val="24"/>
          <w:lang w:val="zh-CN"/>
        </w:rPr>
        <w:t xml:space="preserve">交易中心《质疑函》接收部门为政府采购部（快递运单上的收件人填写“政府采购部”），地址：地址：南京市浦口区象山路4号B座，南京市浦口区江浦街道象山路4号浦口市民中心B幢五楼受理大厅 ，</w:t>
      </w:r>
      <w:r>
        <w:rPr>
          <w:rFonts w:hint="eastAsia" w:ascii="宋体" w:hAnsi="宋体" w:cs="宋体"/>
          <w:sz w:val="24"/>
          <w:szCs w:val="24"/>
          <w:highlight w:val="none"/>
          <w:lang w:val="zh-CN"/>
        </w:rPr>
        <w:t xml:space="preserve">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180。</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由采购人负责答复质疑，采购人将《质疑答复函》抄送交易中心。</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以下情形的质疑不予受理：</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内容不符合《政府采购质疑和投诉办法》第十二条规定的质疑。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超出政府采购法定期限的质疑。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.3</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以传真、电子邮件等方式递交的非原件形式的质疑。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.4</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36</w:t>
      </w:r>
      <w:r>
        <w:rPr>
          <w:rFonts w:hint="eastAsia" w:ascii="宋体" w:hAnsi="宋体" w:cs="宋体"/>
          <w:sz w:val="24"/>
          <w:szCs w:val="24"/>
          <w:lang w:val="zh-CN"/>
        </w:rPr>
        <w:t xml:space="preserve">.5</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lang w:val="en-US" w:eastAsia="zh-CN"/>
        </w:rPr>
        <w:t xml:space="preserve">其他</w:t>
      </w:r>
      <w:r>
        <w:rPr>
          <w:rFonts w:hint="eastAsia" w:ascii="宋体" w:hAnsi="宋体" w:cs="宋体"/>
          <w:sz w:val="24"/>
          <w:szCs w:val="24"/>
          <w:lang w:val="zh-CN"/>
        </w:rPr>
        <w:t xml:space="preserve">不予受理情形。</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37</w:t>
      </w:r>
      <w:r>
        <w:rPr>
          <w:rFonts w:hint="eastAsia" w:ascii="宋体" w:hAnsi="宋体" w:cs="宋体"/>
          <w:sz w:val="24"/>
          <w:szCs w:val="24"/>
          <w:lang w:val="zh-CN"/>
        </w:rPr>
        <w:t xml:space="preserve">.供应商提出书面质疑必须有理、有据，不得捏造事实、提供虚假材料进行恶意质疑。否则，一经查实，</w:t>
      </w:r>
      <w:r>
        <w:rPr>
          <w:rFonts w:hint="eastAsia" w:ascii="宋体" w:hAnsi="宋体" w:cs="宋体"/>
          <w:sz w:val="24"/>
          <w:szCs w:val="24"/>
          <w:lang w:val="zh-CN" w:eastAsia="zh-CN"/>
        </w:rPr>
        <w:t xml:space="preserve">交易中心或采购人</w:t>
      </w:r>
      <w:r>
        <w:rPr>
          <w:rFonts w:hint="eastAsia" w:ascii="宋体" w:hAnsi="宋体" w:cs="宋体"/>
          <w:sz w:val="24"/>
          <w:szCs w:val="24"/>
          <w:lang w:val="zh-CN"/>
        </w:rPr>
        <w:t xml:space="preserve">有权依据政府采购的有关规定，报请政府采购监管部门对该供应商进行相应的行政处罚和记录该供应商的失信信息。</w:t>
      </w:r>
      <w:r/>
    </w:p>
    <w:p>
      <w:pPr>
        <w:ind w:firstLine="480"/>
        <w:jc w:val="left"/>
        <w:spacing w:line="500" w:lineRule="exact"/>
        <w:widowControl/>
        <w:rPr>
          <w:rFonts w:hint="default" w:ascii="宋体" w:hAnsi="宋体" w:cs="宋体"/>
          <w:sz w:val="24"/>
          <w:szCs w:val="24"/>
          <w:lang w:val="en-US"/>
        </w:rPr>
      </w:pPr>
      <w:r>
        <w:rPr>
          <w:rFonts w:hint="eastAsia" w:ascii="宋体" w:hAnsi="宋体" w:cs="宋体"/>
          <w:sz w:val="24"/>
          <w:szCs w:val="24"/>
          <w:lang w:val="en-US" w:eastAsia="zh-CN"/>
        </w:rPr>
        <w:t xml:space="preserve">九、政策功能落实</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zh-CN" w:eastAsia="zh-CN"/>
        </w:rPr>
        <w:t xml:space="preserve">38.</w:t>
      </w:r>
      <w:r>
        <w:rPr>
          <w:rFonts w:hint="eastAsia" w:ascii="宋体" w:hAnsi="宋体" w:cs="宋体"/>
          <w:sz w:val="24"/>
          <w:szCs w:val="24"/>
          <w:lang w:val="zh-CN"/>
        </w:rPr>
        <w:t xml:space="preserve">促进中小企业发展</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lang w:val="en-US" w:eastAsia="zh-CN"/>
        </w:rPr>
        <w:t xml:space="preserve">参与磋商的供应商</w:t>
      </w:r>
      <w:r>
        <w:rPr>
          <w:rFonts w:hint="eastAsia" w:ascii="宋体" w:hAnsi="宋体" w:cs="宋体"/>
          <w:sz w:val="24"/>
          <w:szCs w:val="24"/>
          <w:lang w:val="zh-CN"/>
        </w:rPr>
        <w:t xml:space="preserve">享受中小企业扶持政策。</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lang w:val="en-US" w:eastAsia="zh-CN"/>
        </w:rPr>
        <w:t xml:space="preserve">支持</w:t>
      </w:r>
      <w:r>
        <w:rPr>
          <w:rFonts w:hint="eastAsia" w:ascii="宋体" w:hAnsi="宋体" w:cs="宋体"/>
          <w:sz w:val="24"/>
          <w:szCs w:val="24"/>
          <w:lang w:val="zh-CN"/>
        </w:rPr>
        <w:t xml:space="preserve">政策。</w:t>
      </w:r>
      <w:r/>
    </w:p>
    <w:p>
      <w:pPr>
        <w:ind w:firstLine="480"/>
        <w:jc w:val="left"/>
        <w:spacing w:line="5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eastAsia="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w:t>
      </w:r>
      <w:r>
        <w:rPr>
          <w:rFonts w:hint="eastAsia" w:ascii="宋体" w:hAnsi="宋体" w:cs="宋体"/>
          <w:sz w:val="24"/>
          <w:szCs w:val="24"/>
          <w:lang w:val="zh-CN" w:eastAsia="zh-CN"/>
        </w:rPr>
        <w:t xml:space="preserve">《关于政府采购支持监狱企业发展有关问题的通知》（财库〔2014〕68号）</w:t>
      </w:r>
      <w:r>
        <w:rPr>
          <w:rFonts w:hint="eastAsia" w:ascii="宋体" w:hAnsi="宋体" w:cs="宋体"/>
          <w:sz w:val="24"/>
          <w:szCs w:val="24"/>
          <w:lang w:val="en-US" w:eastAsia="zh-CN"/>
        </w:rPr>
        <w:t xml:space="preserve">规定，</w:t>
      </w:r>
      <w:r>
        <w:rPr>
          <w:rFonts w:hint="eastAsia" w:ascii="宋体" w:hAnsi="宋体" w:cs="宋体"/>
          <w:sz w:val="24"/>
          <w:szCs w:val="24"/>
          <w:lang w:val="zh-CN" w:eastAsia="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3</w:t>
      </w: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eastAsia="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s="宋体"/>
          <w:sz w:val="24"/>
          <w:szCs w:val="24"/>
          <w:lang w:val="en-US" w:eastAsia="zh-CN"/>
        </w:rPr>
        <w:t xml:space="preserve">需</w:t>
      </w:r>
      <w:r>
        <w:rPr>
          <w:rFonts w:hint="eastAsia" w:ascii="宋体" w:hAnsi="宋体" w:cs="宋体"/>
          <w:sz w:val="24"/>
          <w:szCs w:val="24"/>
          <w:lang w:val="zh-CN" w:eastAsia="zh-CN"/>
        </w:rPr>
        <w:t xml:space="preserve">提供《残疾人福利性单位声明函》。</w:t>
      </w:r>
      <w:r/>
    </w:p>
    <w:p>
      <w:pPr>
        <w:ind w:firstLine="880"/>
        <w:jc w:val="center"/>
        <w:spacing w:line="252" w:lineRule="auto"/>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 xml:space="preserve">第三章  合同</w:t>
      </w:r>
      <w:bookmarkEnd w:id="49"/>
      <w:r/>
      <w:bookmarkEnd w:id="50"/>
      <w:r/>
      <w:bookmarkEnd w:id="51"/>
      <w:r/>
      <w:bookmarkEnd w:id="52"/>
      <w:r/>
      <w:bookmarkEnd w:id="53"/>
      <w:r>
        <w:rPr>
          <w:rFonts w:hint="eastAsia" w:ascii="黑体" w:eastAsia="黑体"/>
          <w:sz w:val="44"/>
          <w:szCs w:val="44"/>
        </w:rPr>
        <w:t xml:space="preserve">文本</w:t>
      </w:r>
      <w:r/>
    </w:p>
    <w:p>
      <w:pPr>
        <w:spacing w:line="464" w:lineRule="auto"/>
        <w:rPr>
          <w:highlight w:val="none"/>
        </w:rPr>
      </w:pPr>
      <w:r/>
      <w:bookmarkStart w:id="160" w:name="_Hlt16619369"/>
      <w:r/>
      <w:bookmarkEnd w:id="160"/>
      <w:r/>
      <w:bookmarkStart w:id="161" w:name="_Hlt16619350"/>
      <w:r/>
      <w:bookmarkStart w:id="162" w:name="_Toc20823346"/>
      <w:r/>
      <w:bookmarkStart w:id="163" w:name="_Toc120614244"/>
      <w:r/>
      <w:bookmarkStart w:id="164" w:name="_Toc16938590"/>
      <w:r/>
      <w:bookmarkStart w:id="165" w:name="_Toc479757211"/>
      <w:r/>
      <w:bookmarkStart w:id="166" w:name="_Toc462564139"/>
      <w:r/>
      <w:r/>
    </w:p>
    <w:p>
      <w:pPr>
        <w:spacing w:line="246" w:lineRule="auto"/>
        <w:rPr>
          <w:highlight w:val="none"/>
        </w:rPr>
      </w:pPr>
      <w:r>
        <w:rPr>
          <w:highlight w:val="none"/>
        </w:rPr>
      </w:r>
      <w:r/>
    </w:p>
    <w:p>
      <w:pPr>
        <w:jc w:val="center"/>
        <w:spacing w:before="22"/>
        <w:rPr>
          <w:rFonts w:hint="eastAsia" w:ascii="方正仿宋_GBK" w:hAnsi="方正仿宋_GBK" w:eastAsia="方正仿宋_GBK" w:cs="方正仿宋_GBK"/>
          <w:sz w:val="44"/>
          <w:szCs w:val="44"/>
          <w:highlight w:val="none"/>
          <w:lang w:eastAsia="zh-CN"/>
        </w:rPr>
      </w:pPr>
      <w:r>
        <w:rPr>
          <w:rFonts w:hint="eastAsia" w:ascii="方正仿宋_GBK" w:hAnsi="方正仿宋_GBK" w:eastAsia="方正仿宋_GBK" w:cs="方正仿宋_GBK"/>
          <w:sz w:val="44"/>
          <w:szCs w:val="44"/>
          <w:highlight w:val="none"/>
          <w:lang w:val="en-US" w:eastAsia="zh-CN"/>
        </w:rPr>
        <w:t xml:space="preserve">南京市政府采购合同</w:t>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pStyle w:val="695"/>
        <w:ind w:left="58"/>
        <w:keepLines w:val="0"/>
        <w:keepNext w:val="0"/>
        <w:pageBreakBefore w:val="0"/>
        <w:spacing w:line="560" w:lineRule="exact"/>
        <w:widowControl/>
        <w:rPr>
          <w:sz w:val="24"/>
          <w:szCs w:val="24"/>
          <w:highlight w:val="none"/>
          <w:lang w:eastAsia="zh-CN"/>
        </w:rPr>
      </w:pPr>
      <w:r>
        <w:rPr>
          <w:spacing w:val="-1"/>
          <w:sz w:val="24"/>
          <w:szCs w:val="24"/>
          <w:highlight w:val="none"/>
          <w:lang w:eastAsia="zh-CN"/>
        </w:rPr>
        <w:t xml:space="preserve">项目编号：</w:t>
      </w:r>
      <w:r/>
    </w:p>
    <w:p>
      <w:pPr>
        <w:pStyle w:val="695"/>
        <w:ind w:left="52"/>
        <w:keepLines w:val="0"/>
        <w:keepNext w:val="0"/>
        <w:pageBreakBefore w:val="0"/>
        <w:spacing w:line="560" w:lineRule="exact"/>
        <w:widowControl/>
        <w:rPr>
          <w:sz w:val="24"/>
          <w:szCs w:val="24"/>
          <w:highlight w:val="none"/>
          <w:lang w:eastAsia="zh-CN"/>
        </w:rPr>
      </w:pPr>
      <w:r>
        <w:rPr>
          <w:spacing w:val="-7"/>
          <w:position w:val="17"/>
          <w:sz w:val="24"/>
          <w:szCs w:val="24"/>
          <w:highlight w:val="none"/>
          <w:lang w:eastAsia="zh-CN"/>
        </w:rPr>
        <w:t xml:space="preserve">项目名称：</w:t>
      </w:r>
      <w:r/>
    </w:p>
    <w:p>
      <w:pPr>
        <w:pStyle w:val="695"/>
        <w:ind w:left="57"/>
        <w:keepLines w:val="0"/>
        <w:keepNext w:val="0"/>
        <w:pageBreakBefore w:val="0"/>
        <w:spacing w:line="560" w:lineRule="exact"/>
        <w:widowControl/>
        <w:rPr>
          <w:sz w:val="24"/>
          <w:szCs w:val="24"/>
          <w:highlight w:val="none"/>
          <w:lang w:eastAsia="zh-CN"/>
        </w:rPr>
      </w:pPr>
      <w:r>
        <w:rPr>
          <w:spacing w:val="-9"/>
          <w:position w:val="20"/>
          <w:sz w:val="24"/>
          <w:szCs w:val="24"/>
          <w:highlight w:val="none"/>
          <w:lang w:eastAsia="zh-CN"/>
        </w:rPr>
        <w:t xml:space="preserve">政府采购计划号：</w:t>
      </w:r>
      <w:r/>
    </w:p>
    <w:p>
      <w:pPr>
        <w:pStyle w:val="695"/>
        <w:keepLines w:val="0"/>
        <w:keepNext w:val="0"/>
        <w:pageBreakBefore w:val="0"/>
        <w:spacing w:line="560" w:lineRule="exact"/>
        <w:widowControl/>
        <w:rPr>
          <w:spacing w:val="-12"/>
          <w:sz w:val="24"/>
          <w:szCs w:val="24"/>
          <w:highlight w:val="none"/>
          <w:lang w:eastAsia="zh-CN"/>
        </w:rPr>
      </w:pPr>
      <w:r>
        <w:rPr>
          <w:spacing w:val="-2"/>
          <w:sz w:val="24"/>
          <w:szCs w:val="24"/>
          <w:highlight w:val="none"/>
          <w:lang w:eastAsia="zh-CN"/>
        </w:rPr>
        <w:t xml:space="preserve">采购人</w:t>
      </w:r>
      <w:r>
        <w:rPr>
          <w:sz w:val="24"/>
          <w:szCs w:val="24"/>
          <w:highlight w:val="none"/>
          <w:lang w:eastAsia="zh-CN"/>
        </w:rPr>
        <w:t xml:space="preserve">：（</w:t>
      </w:r>
      <w:r>
        <w:rPr>
          <w:spacing w:val="-2"/>
          <w:sz w:val="24"/>
          <w:szCs w:val="24"/>
          <w:highlight w:val="none"/>
          <w:lang w:eastAsia="zh-CN"/>
        </w:rPr>
        <w:t xml:space="preserve">以下简称甲方）</w:t>
      </w:r>
      <w:r>
        <w:rPr>
          <w:rFonts w:hint="eastAsia"/>
          <w:spacing w:val="-2"/>
          <w:sz w:val="24"/>
          <w:szCs w:val="24"/>
          <w:highlight w:val="none"/>
          <w:lang w:val="en-US" w:eastAsia="zh-CN"/>
        </w:rPr>
        <w:t xml:space="preserve">                     </w:t>
      </w:r>
      <w:r>
        <w:rPr>
          <w:rFonts w:hint="eastAsia"/>
          <w:spacing w:val="-12"/>
          <w:sz w:val="24"/>
          <w:szCs w:val="24"/>
          <w:highlight w:val="none"/>
          <w:lang w:eastAsia="zh-CN"/>
        </w:rPr>
        <w:t xml:space="preserve">供应商：（以下简称乙方）</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r>
      <w:r/>
    </w:p>
    <w:p>
      <w:pPr>
        <w:pStyle w:val="695"/>
        <w:keepLines w:val="0"/>
        <w:keepNext w:val="0"/>
        <w:pageBreakBefore w:val="0"/>
        <w:spacing w:line="560" w:lineRule="exact"/>
        <w:widowControl/>
        <w:rPr>
          <w:sz w:val="24"/>
          <w:szCs w:val="24"/>
          <w:highlight w:val="none"/>
          <w:lang w:eastAsia="zh-CN"/>
        </w:rPr>
      </w:pPr>
      <w:r>
        <w:rPr>
          <w:spacing w:val="-12"/>
          <w:sz w:val="24"/>
          <w:szCs w:val="24"/>
          <w:highlight w:val="none"/>
          <w:lang w:eastAsia="zh-CN"/>
        </w:rPr>
        <w:t xml:space="preserve">住所地：</w:t>
      </w:r>
      <w:r>
        <w:rPr>
          <w:rFonts w:hint="eastAsia"/>
          <w:spacing w:val="-12"/>
          <w:sz w:val="24"/>
          <w:szCs w:val="24"/>
          <w:highlight w:val="none"/>
          <w:lang w:val="en-US" w:eastAsia="zh-CN"/>
        </w:rPr>
        <w:t xml:space="preserve">                                         </w:t>
      </w:r>
      <w:r>
        <w:rPr>
          <w:spacing w:val="-12"/>
          <w:sz w:val="24"/>
          <w:szCs w:val="24"/>
          <w:highlight w:val="none"/>
          <w:lang w:eastAsia="zh-CN"/>
        </w:rPr>
        <w:t xml:space="preserve">住所地：</w:t>
      </w:r>
      <w:r/>
    </w:p>
    <w:p>
      <w:pPr>
        <w:pStyle w:val="695"/>
        <w:ind w:left="53"/>
        <w:keepLines w:val="0"/>
        <w:keepNext w:val="0"/>
        <w:pageBreakBefore w:val="0"/>
        <w:spacing w:line="560" w:lineRule="exact"/>
        <w:widowControl/>
        <w:rPr>
          <w:spacing w:val="-12"/>
          <w:sz w:val="24"/>
          <w:szCs w:val="24"/>
          <w:highlight w:val="none"/>
          <w:lang w:eastAsia="zh-CN"/>
        </w:rPr>
      </w:pPr>
      <w:r>
        <w:rPr>
          <w:spacing w:val="-12"/>
          <w:sz w:val="24"/>
          <w:szCs w:val="24"/>
          <w:highlight w:val="none"/>
          <w:lang w:eastAsia="zh-CN"/>
        </w:rPr>
      </w:r>
      <w:r/>
    </w:p>
    <w:p>
      <w:pPr>
        <w:pStyle w:val="695"/>
        <w:keepLines w:val="0"/>
        <w:keepNext w:val="0"/>
        <w:pageBreakBefore w:val="0"/>
        <w:spacing w:line="560" w:lineRule="exact"/>
        <w:widowControl/>
        <w:rPr>
          <w:rFonts w:hint="eastAsia"/>
          <w:spacing w:val="-5"/>
          <w:position w:val="17"/>
          <w:sz w:val="24"/>
          <w:szCs w:val="24"/>
          <w:highlight w:val="none"/>
          <w:lang w:val="en-US" w:eastAsia="zh-CN"/>
        </w:rPr>
      </w:pPr>
      <w:r>
        <w:rPr>
          <w:spacing w:val="-4"/>
          <w:position w:val="17"/>
          <w:sz w:val="24"/>
          <w:szCs w:val="24"/>
          <w:highlight w:val="none"/>
          <w:lang w:eastAsia="zh-CN"/>
        </w:rPr>
        <w:t xml:space="preserve">根据《中华人民共和国政府采购法》《中华人民共和国民</w:t>
      </w:r>
      <w:r>
        <w:rPr>
          <w:spacing w:val="-5"/>
          <w:position w:val="17"/>
          <w:sz w:val="24"/>
          <w:szCs w:val="24"/>
          <w:highlight w:val="none"/>
          <w:lang w:eastAsia="zh-CN"/>
        </w:rPr>
        <w:t xml:space="preserve">法典》等法律法规的规定，甲乙双方经协商签订本合同。</w:t>
      </w:r>
      <w:r/>
    </w:p>
    <w:p>
      <w:pPr>
        <w:pStyle w:val="695"/>
        <w:numPr>
          <w:ilvl w:val="0"/>
          <w:numId w:val="6"/>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 合同标的</w:t>
      </w:r>
      <w:r/>
    </w:p>
    <w:p>
      <w:pPr>
        <w:pStyle w:val="695"/>
        <w:numPr>
          <w:ilvl w:val="0"/>
          <w:numId w:val="0"/>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乙方提供下列服务：</w:t>
      </w:r>
      <w:r/>
    </w:p>
    <w:tbl>
      <w:tblPr>
        <w:tblStyle w:val="1039"/>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052"/>
        <w:gridCol w:w="6403"/>
        <w:gridCol w:w="999"/>
        <w:gridCol w:w="1052"/>
      </w:tblGrid>
      <w:tr>
        <w:trPr>
          <w:trHeight w:val="459"/>
        </w:trPr>
        <w:tc>
          <w:tcPr>
            <w:tcW w:w="1052" w:type="dxa"/>
            <w:textDirection w:val="lrTb"/>
            <w:noWrap w:val="false"/>
          </w:tcPr>
          <w:p>
            <w:pPr>
              <w:pStyle w:val="1045"/>
              <w:ind w:left="68"/>
              <w:jc w:val="left"/>
              <w:keepLines w:val="0"/>
              <w:keepNext w:val="0"/>
              <w:pageBreakBefore w:val="0"/>
              <w:spacing w:line="560" w:lineRule="exact"/>
              <w:widowControl/>
              <w:rPr>
                <w:sz w:val="24"/>
                <w:szCs w:val="24"/>
                <w:highlight w:val="none"/>
              </w:rPr>
            </w:pPr>
            <w:r>
              <w:rPr>
                <w:spacing w:val="-2"/>
                <w:sz w:val="24"/>
                <w:szCs w:val="24"/>
                <w:highlight w:val="none"/>
              </w:rPr>
              <w:t xml:space="preserve">序号</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45"/>
              <w:ind w:left="56"/>
              <w:jc w:val="left"/>
              <w:keepLines w:val="0"/>
              <w:keepNext w:val="0"/>
              <w:pageBreakBefore w:val="0"/>
              <w:spacing w:line="560" w:lineRule="exact"/>
              <w:widowControl/>
              <w:rPr>
                <w:sz w:val="24"/>
                <w:szCs w:val="24"/>
                <w:highlight w:val="none"/>
              </w:rPr>
            </w:pPr>
            <w:r>
              <w:rPr>
                <w:spacing w:val="-3"/>
                <w:sz w:val="24"/>
                <w:szCs w:val="24"/>
                <w:highlight w:val="none"/>
              </w:rPr>
              <w:t xml:space="preserve">名称</w:t>
            </w:r>
            <w:r/>
          </w:p>
        </w:tc>
        <w:tc>
          <w:tcPr>
            <w:tcW w:w="999" w:type="dxa"/>
            <w:textDirection w:val="lrTb"/>
            <w:noWrap w:val="false"/>
          </w:tcPr>
          <w:p>
            <w:pPr>
              <w:pStyle w:val="1045"/>
              <w:ind w:left="5"/>
              <w:jc w:val="left"/>
              <w:keepLines w:val="0"/>
              <w:keepNext w:val="0"/>
              <w:pageBreakBefore w:val="0"/>
              <w:spacing w:line="560" w:lineRule="exact"/>
              <w:widowControl/>
              <w:rPr>
                <w:sz w:val="24"/>
                <w:szCs w:val="24"/>
                <w:highlight w:val="none"/>
              </w:rPr>
            </w:pPr>
            <w:r>
              <w:rPr>
                <w:spacing w:val="-3"/>
                <w:sz w:val="24"/>
                <w:szCs w:val="24"/>
                <w:highlight w:val="none"/>
              </w:rPr>
              <w:t xml:space="preserve">数量</w:t>
            </w:r>
            <w:r/>
          </w:p>
        </w:tc>
        <w:tc>
          <w:tcPr>
            <w:tcW w:w="1052" w:type="dxa"/>
            <w:textDirection w:val="lrTb"/>
            <w:noWrap w:val="false"/>
          </w:tcPr>
          <w:p>
            <w:pPr>
              <w:pStyle w:val="1045"/>
              <w:ind w:left="42"/>
              <w:jc w:val="left"/>
              <w:keepLines w:val="0"/>
              <w:keepNext w:val="0"/>
              <w:pageBreakBefore w:val="0"/>
              <w:spacing w:line="560" w:lineRule="exact"/>
              <w:widowControl/>
              <w:rPr>
                <w:sz w:val="24"/>
                <w:szCs w:val="24"/>
                <w:highlight w:val="none"/>
              </w:rPr>
            </w:pPr>
            <w:r>
              <w:rPr>
                <w:spacing w:val="-3"/>
                <w:sz w:val="24"/>
                <w:szCs w:val="24"/>
                <w:highlight w:val="none"/>
              </w:rPr>
              <w:t xml:space="preserve">单位</w:t>
            </w:r>
            <w:r/>
          </w:p>
        </w:tc>
      </w:tr>
      <w:tr>
        <w:trPr>
          <w:trHeight w:val="528"/>
        </w:trPr>
        <w:tc>
          <w:tcPr>
            <w:tcBorders>
              <w:bottom w:val="single" w:color="404040" w:sz="2" w:space="0"/>
              <w:right w:val="single" w:color="404040" w:sz="2" w:space="0"/>
            </w:tcBorders>
            <w:tcW w:w="1052" w:type="dxa"/>
            <w:textDirection w:val="lrTb"/>
            <w:noWrap w:val="false"/>
          </w:tcPr>
          <w:p>
            <w:pPr>
              <w:pStyle w:val="1045"/>
              <w:ind w:left="87"/>
              <w:keepLines w:val="0"/>
              <w:keepNext w:val="0"/>
              <w:pageBreakBefore w:val="0"/>
              <w:spacing w:line="560" w:lineRule="exact"/>
              <w:widowControl/>
              <w:rPr>
                <w:sz w:val="24"/>
                <w:szCs w:val="24"/>
                <w:highlight w:val="none"/>
              </w:rPr>
            </w:pPr>
            <w:r>
              <w:rPr>
                <w:sz w:val="24"/>
                <w:szCs w:val="24"/>
                <w:highlight w:val="none"/>
              </w:rPr>
              <w:t xml:space="preserve">1</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45"/>
              <w:ind w:left="54"/>
              <w:keepLines w:val="0"/>
              <w:keepNext w:val="0"/>
              <w:pageBreakBefore w:val="0"/>
              <w:spacing w:line="560" w:lineRule="exact"/>
              <w:widowControl/>
              <w:rPr>
                <w:sz w:val="24"/>
                <w:szCs w:val="24"/>
                <w:highlight w:val="none"/>
                <w:lang w:eastAsia="zh-CN"/>
              </w:rPr>
            </w:pPr>
            <w:r>
              <w:rPr>
                <w:sz w:val="24"/>
                <w:szCs w:val="24"/>
                <w:highlight w:val="none"/>
                <w:lang w:eastAsia="zh-CN"/>
              </w:rPr>
            </w:r>
            <w:r/>
          </w:p>
        </w:tc>
        <w:tc>
          <w:tcPr>
            <w:tcBorders>
              <w:bottom w:val="single" w:color="404040" w:sz="2" w:space="0"/>
              <w:right w:val="single" w:color="404040" w:sz="2" w:space="0"/>
            </w:tcBorders>
            <w:tcW w:w="999" w:type="dxa"/>
            <w:textDirection w:val="lrTb"/>
            <w:noWrap w:val="false"/>
          </w:tcPr>
          <w:p>
            <w:pPr>
              <w:pStyle w:val="1045"/>
              <w:ind w:left="21"/>
              <w:keepLines w:val="0"/>
              <w:keepNext w:val="0"/>
              <w:pageBreakBefore w:val="0"/>
              <w:spacing w:line="560" w:lineRule="exact"/>
              <w:widowControl/>
              <w:rPr>
                <w:rFonts w:hint="eastAsia" w:eastAsia="宋体"/>
                <w:sz w:val="24"/>
                <w:szCs w:val="24"/>
                <w:highlight w:val="none"/>
                <w:lang w:val="en-US" w:eastAsia="zh-CN"/>
              </w:rPr>
            </w:pPr>
            <w:r>
              <w:rPr>
                <w:rFonts w:hint="eastAsia" w:eastAsia="宋体"/>
                <w:sz w:val="24"/>
                <w:szCs w:val="24"/>
                <w:highlight w:val="none"/>
                <w:lang w:val="en-US" w:eastAsia="zh-CN"/>
              </w:rPr>
            </w:r>
            <w:r/>
          </w:p>
        </w:tc>
        <w:tc>
          <w:tcPr>
            <w:tcBorders>
              <w:bottom w:val="single" w:color="404040" w:sz="2" w:space="0"/>
              <w:right w:val="single" w:color="404040" w:sz="2" w:space="0"/>
            </w:tcBorders>
            <w:tcW w:w="1052" w:type="dxa"/>
            <w:textDirection w:val="lrTb"/>
            <w:noWrap w:val="false"/>
          </w:tcPr>
          <w:p>
            <w:pPr>
              <w:pStyle w:val="1045"/>
              <w:ind w:left="44"/>
              <w:keepLines w:val="0"/>
              <w:keepNext w:val="0"/>
              <w:pageBreakBefore w:val="0"/>
              <w:spacing w:line="560" w:lineRule="exact"/>
              <w:widowControl/>
              <w:rPr>
                <w:sz w:val="24"/>
                <w:szCs w:val="24"/>
                <w:highlight w:val="none"/>
              </w:rPr>
            </w:pPr>
            <w:r>
              <w:rPr>
                <w:sz w:val="24"/>
                <w:szCs w:val="24"/>
                <w:highlight w:val="none"/>
              </w:rPr>
            </w:r>
            <w:r/>
          </w:p>
        </w:tc>
      </w:tr>
    </w:tbl>
    <w:p>
      <w:pPr>
        <w:pStyle w:val="695"/>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服务内容详见乙方投标（响应）文件。</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第二条  合同总价款</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本合同项下总价款为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大写）人民币。</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如有分项价款，详见《分项报价表》 </w:t>
      </w:r>
      <w:r/>
    </w:p>
    <w:p>
      <w:pPr>
        <w:pStyle w:val="695"/>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本合同总价款包含以下内容：</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（1）完成本服务项目发生的所有含税费用；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（2）支付给员工的工资和国家强制缴纳的各种社会保障资金；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（3）乙方应当提供的伴随服务/售后服务费用；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（4）供应商认为需要的其他费用。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第三条  合同期限     </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第四条  组成本合同的有关文件</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下列关于南京市政府采购的招标（采购）文件、投标（响应）文件，以及与本次采购活动相关的文件及有关附件是本合同不可分割的组成部分，与本合同具有同等法律效力，这些文件包括但不限于：</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（1）投标（响应）文件和报价表；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（2）服务一览表；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（3）交付一览表；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（4）技术规格响应表；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（5）投标（响应）承诺；</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（6）服务承诺；</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（7）中标（成交）通知书；</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（8）甲乙双方商定的其他文件。</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第五条  权利保证</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乙方应保证甲方在使用该服务或其任何一部分时不受第三方提出侵犯其专利权、版权、商标权或其他权利的起诉。一旦出现侵权，乙方应承担全部责任。</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第六条  质量保证</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乙方所提供的服务的技术规格应与招标（采购）文件规定的技术规格及所附的“技术规格响应表”相一致；若技术性能无特殊说明，则按国家有关部门最新颁布的标准及规范为准。</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第七条 交付和验收</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1.乙方应当在合同期限内完成服务事项。</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2.验收标准：按行业通行标准和乙方投标（响应）文件的承诺（详见合同附件载明的标准，并不低于国家相关标准）。</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第八条  履约保证金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1.中标（成交）供应商应按以下第（1）方式向采购人缴纳履约保证金：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（1）无需缴纳履约保证金；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（2）投标保证金转为履约保证金；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（3）以支票、汇票、本票或者金融机构、担保机构出具的保函等非现金形式缴纳履约保证金，金额为。</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2.履约保证金的有效期至时止。</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3.如乙方未能履行合同规定的义务，甲方有权从履约保证金中取得补偿。</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4.履约保证金扣除甲方应得的补偿后的余额，在有效期满后个工作日内无息退还给乙方。</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第九条  合同款支付</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1.本合同项下所有款项均以人民币支付。</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2.本合同项下的采购资金由乙方开具发票，甲方收到发票后按照本条第3款的约定支付，乙方未提供发票或提供发票不合格的，甲方有权拒绝付款并不承担延迟付款的责任，且乙方仍应按约履行合同义务。</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3.付款条件： </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（1）付款方式为</w:t>
      </w:r>
      <w:r/>
    </w:p>
    <w:p>
      <w:pPr>
        <w:pStyle w:val="695"/>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                                                                         </w:t>
      </w:r>
      <w:r>
        <w:rPr>
          <w:rFonts w:hint="eastAsia"/>
          <w:spacing w:val="-12"/>
          <w:sz w:val="24"/>
          <w:szCs w:val="24"/>
          <w:highlight w:val="none"/>
          <w:u w:val="single"/>
          <w:lang w:val="en-US" w:eastAsia="zh-CN"/>
        </w:rPr>
        <w:t xml:space="preserve">          </w:t>
      </w:r>
      <w:r>
        <w:rPr>
          <w:rFonts w:hint="eastAsia"/>
          <w:spacing w:val="-12"/>
          <w:sz w:val="24"/>
          <w:szCs w:val="24"/>
          <w:highlight w:val="none"/>
          <w:u w:val="single"/>
          <w:lang w:eastAsia="zh-CN"/>
        </w:rPr>
        <w:t xml:space="preserve"> </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第十条  违约责任</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1.甲方无正当理由拒收服务、拒付服务款的，甲方向乙方偿付合同总价的5%违约金。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2.甲方未按合同规定的期限向乙方支付服务款的，每逾期 1 天甲方向乙方偿付欠款总额的5‰滞纳金，但累计滞纳金总额不超过欠款总额的5%。</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3.甲方逾期退还履约保证金的，除应当退还履约保证金本金外，还应当按中国人民银行同期贷款基准利率上浮 20%后的利率支付超期资金占用费，但因乙方自身原因导致无法及时退还的除外。</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4.如乙方不能交付服务的，甲方有权扣留全部履约保证金；同时乙方应向甲方支付合同总价 5%的违约金。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5.乙方逾期交付的，每逾期 1 天，乙方向甲方偿付合同总额的 5‰的滞纳金。如乙方逾期交付达 10 天，甲方有权解除合同，解除合同的通知自到达乙方时生效。</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6.乙方所交付的服务不符合合同规定的，甲方有权拒收。甲方拒收的，乙方应向甲方支付合同总款 5%的违约金。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7.在乙方承诺的或国家规定的质量保证期内（取两者中最长的期限），如经乙方两次整改仍不能达到合同约定的质量标准，乙方应退回全部合同价款，并按本条第 3 款处理，同时，乙方还须赔偿甲方因此遭受的损失。</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8.乙方未按本合同的规定和服务承诺提供伴随服务/售后服务的，应按合同总价款的 5%向甲方承担违约责任。</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9.乙方在承担上述 4-8款一项或多项违约责任后，仍应继续履行合同规定的义务（甲方解除合同的除外）。甲方未能及时追究乙方的任何一项违约责任并不表明甲方放弃追究乙方该项或其他违约责任。</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10.乙方响应属虚假承诺，或经权威部门检测提供的服务不能满足投标（响应）文件要求，或是由于乙方的过错造成合同无法继续履行的，乙方履约保证金不予退还外，还应向甲方支付不少于合同总价 30%赔偿金。</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第十一条  合同的变更和终止</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1.除《中华人民共和国政府采购法》第 50 条规定的情形外，本合同一经签订，甲乙双方不得擅自变更、中止或终止。</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2.除发生法律规定的不能预见、不能避免并不能克服的客观情况外，甲乙双方不得放弃或拒绝履行合同。乙方放弃或拒绝履行合同，履约保证金不予退还，并按规定接受相关部门的处罚。</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第十二条  合同的转让</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乙方不得擅自部分或全部转让其应履行的合同义务。</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第十三条  争议的解决</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1.因服务的质量问题发生争议的，应当邀请国家认可的质量检测机构对服务质量进行鉴定。符合标准的，鉴定费由甲方承担；不符合标准的，鉴定费由乙方承担。</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2.因履行本合同引起的或与本合同有关的争议，甲、乙双方应首先通过友好协商解决，如果协商不能解决争议，则采取以下第</w:t>
      </w:r>
      <w:r>
        <w:rPr>
          <w:rFonts w:hint="eastAsia"/>
          <w:spacing w:val="-12"/>
          <w:sz w:val="24"/>
          <w:szCs w:val="24"/>
          <w:highlight w:val="none"/>
          <w:u w:val="single"/>
          <w:lang w:eastAsia="zh-CN"/>
        </w:rPr>
        <w:t xml:space="preserve"> 1 </w:t>
      </w:r>
      <w:r>
        <w:rPr>
          <w:rFonts w:hint="eastAsia"/>
          <w:spacing w:val="-12"/>
          <w:sz w:val="24"/>
          <w:szCs w:val="24"/>
          <w:highlight w:val="none"/>
          <w:lang w:eastAsia="zh-CN"/>
        </w:rPr>
        <w:t xml:space="preserve">种方式解决争议：</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（1）向甲方所在地有管辖权的人民法院提起诉讼；</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（2）向南京仲裁委员会按其仲裁规则申请仲裁。</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3.仲裁期间本合同应继续履行。</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第十四条  诚实信用</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乙方应诚实信用，严格按照招标（采购）文件要求和投标（响应）承诺履行合同，不向甲方进行商业贿赂或者提供不正当利益。</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第十五条  合同生效及其他</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1.本合同一式肆份，甲乙双方各执贰份。</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2.本合同按照中华人民共和国的现行法律进行解释。</w:t>
      </w:r>
      <w:r/>
    </w:p>
    <w:p>
      <w:pPr>
        <w:pStyle w:val="695"/>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val="en-US" w:eastAsia="zh-CN"/>
        </w:rPr>
        <w:t xml:space="preserve">3</w:t>
      </w:r>
      <w:r>
        <w:rPr>
          <w:rFonts w:hint="eastAsia"/>
          <w:spacing w:val="-12"/>
          <w:sz w:val="24"/>
          <w:szCs w:val="24"/>
          <w:highlight w:val="none"/>
          <w:lang w:eastAsia="zh-CN"/>
        </w:rPr>
        <w:t xml:space="preserve">.其他：</w:t>
      </w:r>
      <w:r/>
    </w:p>
    <w:p>
      <w:pPr>
        <w:pStyle w:val="695"/>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lang w:eastAsia="zh-CN"/>
        </w:rPr>
        <w:t xml:space="preserve">履约考核要求</w:t>
      </w:r>
      <w:r>
        <w:rPr>
          <w:rFonts w:hint="eastAsia"/>
          <w:spacing w:val="-12"/>
          <w:sz w:val="24"/>
          <w:szCs w:val="24"/>
          <w:highlight w:val="none"/>
          <w:u w:val="single"/>
          <w:lang w:eastAsia="zh-CN"/>
        </w:rPr>
        <w:t xml:space="preserve">：                                                                      </w:t>
      </w:r>
      <w:r/>
    </w:p>
    <w:p>
      <w:pPr>
        <w:pStyle w:val="695"/>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                                                                                    </w:t>
      </w:r>
      <w:r/>
    </w:p>
    <w:p>
      <w:pPr>
        <w:spacing w:before="26"/>
        <w:rPr>
          <w:highlight w:val="none"/>
          <w:u w:val="single"/>
        </w:rPr>
      </w:pPr>
      <w:r>
        <w:rPr>
          <w:highlight w:val="none"/>
          <w:u w:val="single"/>
        </w:rPr>
      </w:r>
      <w:r/>
    </w:p>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p>
      <w:pPr>
        <w:spacing w:before="26"/>
        <w:rPr>
          <w:highlight w:val="none"/>
        </w:rPr>
      </w:pPr>
      <w:r>
        <w:rPr>
          <w:highlight w:val="none"/>
        </w:rPr>
      </w:r>
      <w:r/>
    </w:p>
    <w:tbl>
      <w:tblPr>
        <w:tblStyle w:val="1039"/>
        <w:tblW w:w="64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3221"/>
      </w:tblGrid>
      <w:tr>
        <w:trPr>
          <w:trHeight w:val="600"/>
        </w:trPr>
        <w:tc>
          <w:tcPr>
            <w:tcW w:w="3220" w:type="dxa"/>
            <w:textDirection w:val="lrTb"/>
            <w:noWrap w:val="false"/>
          </w:tcPr>
          <w:p>
            <w:pPr>
              <w:pStyle w:val="1045"/>
              <w:ind w:left="31"/>
              <w:spacing w:before="1" w:line="218" w:lineRule="auto"/>
              <w:rPr>
                <w:sz w:val="24"/>
                <w:szCs w:val="24"/>
                <w:highlight w:val="none"/>
              </w:rPr>
            </w:pPr>
            <w:r>
              <w:rPr>
                <w:spacing w:val="-12"/>
                <w:sz w:val="24"/>
                <w:szCs w:val="24"/>
                <w:highlight w:val="none"/>
              </w:rPr>
              <w:t xml:space="preserve">甲方（采购人</w:t>
            </w:r>
            <w:r>
              <w:rPr>
                <w:spacing w:val="-5"/>
                <w:sz w:val="24"/>
                <w:szCs w:val="24"/>
                <w:highlight w:val="none"/>
              </w:rPr>
              <w:t xml:space="preserve">）：</w:t>
            </w:r>
            <w:r/>
          </w:p>
        </w:tc>
        <w:tc>
          <w:tcPr>
            <w:tcW w:w="3221" w:type="dxa"/>
            <w:textDirection w:val="lrTb"/>
            <w:noWrap w:val="false"/>
          </w:tcPr>
          <w:p>
            <w:pPr>
              <w:pStyle w:val="1045"/>
              <w:jc w:val="right"/>
              <w:spacing w:before="1" w:line="218" w:lineRule="auto"/>
              <w:rPr>
                <w:sz w:val="24"/>
                <w:szCs w:val="24"/>
                <w:highlight w:val="none"/>
              </w:rPr>
            </w:pPr>
            <w:r>
              <w:rPr>
                <w:spacing w:val="-26"/>
                <w:sz w:val="24"/>
                <w:szCs w:val="24"/>
                <w:highlight w:val="none"/>
              </w:rPr>
              <w:t xml:space="preserve">乙方（供应商</w:t>
            </w:r>
            <w:r>
              <w:rPr>
                <w:spacing w:val="-23"/>
                <w:sz w:val="24"/>
                <w:szCs w:val="24"/>
                <w:highlight w:val="none"/>
              </w:rPr>
              <w:t xml:space="preserve">）：</w:t>
            </w:r>
            <w:r/>
          </w:p>
        </w:tc>
      </w:tr>
      <w:tr>
        <w:trPr>
          <w:trHeight w:val="728"/>
        </w:trPr>
        <w:tc>
          <w:tcPr>
            <w:tcW w:w="3220" w:type="dxa"/>
            <w:textDirection w:val="lrTb"/>
            <w:noWrap w:val="false"/>
          </w:tcPr>
          <w:p>
            <w:pPr>
              <w:spacing w:line="281" w:lineRule="auto"/>
              <w:rPr>
                <w:highlight w:val="none"/>
              </w:rPr>
            </w:pPr>
            <w:r>
              <w:rPr>
                <w:highlight w:val="none"/>
              </w:rPr>
            </w:r>
            <w:r/>
          </w:p>
          <w:p>
            <w:pPr>
              <w:pStyle w:val="1045"/>
              <w:ind w:left="7"/>
              <w:spacing w:before="78" w:line="219" w:lineRule="auto"/>
              <w:rPr>
                <w:sz w:val="24"/>
                <w:szCs w:val="24"/>
                <w:highlight w:val="none"/>
              </w:rPr>
            </w:pPr>
            <w:r>
              <w:rPr>
                <w:spacing w:val="-6"/>
                <w:sz w:val="24"/>
                <w:szCs w:val="24"/>
                <w:highlight w:val="none"/>
              </w:rPr>
              <w:t xml:space="preserve">（盖章）</w:t>
            </w:r>
            <w:r/>
          </w:p>
        </w:tc>
        <w:tc>
          <w:tcPr>
            <w:tcW w:w="3221" w:type="dxa"/>
            <w:textDirection w:val="lrTb"/>
            <w:noWrap w:val="false"/>
          </w:tcPr>
          <w:p>
            <w:pPr>
              <w:spacing w:line="281" w:lineRule="auto"/>
              <w:rPr>
                <w:highlight w:val="none"/>
              </w:rPr>
            </w:pPr>
            <w:r>
              <w:rPr>
                <w:highlight w:val="none"/>
              </w:rPr>
            </w:r>
            <w:r/>
          </w:p>
          <w:p>
            <w:pPr>
              <w:pStyle w:val="1045"/>
              <w:ind w:left="1488"/>
              <w:spacing w:before="78" w:line="219" w:lineRule="auto"/>
              <w:rPr>
                <w:sz w:val="24"/>
                <w:szCs w:val="24"/>
                <w:highlight w:val="none"/>
              </w:rPr>
            </w:pPr>
            <w:r>
              <w:rPr>
                <w:spacing w:val="-6"/>
                <w:sz w:val="24"/>
                <w:szCs w:val="24"/>
                <w:highlight w:val="none"/>
              </w:rPr>
              <w:t xml:space="preserve">（盖章）</w:t>
            </w:r>
            <w:r/>
          </w:p>
        </w:tc>
      </w:tr>
      <w:tr>
        <w:trPr>
          <w:trHeight w:val="495"/>
        </w:trPr>
        <w:tc>
          <w:tcPr>
            <w:tcW w:w="3220" w:type="dxa"/>
            <w:textDirection w:val="lrTb"/>
            <w:noWrap w:val="false"/>
          </w:tcPr>
          <w:p>
            <w:pPr>
              <w:pStyle w:val="1045"/>
              <w:spacing w:before="127" w:line="220" w:lineRule="auto"/>
              <w:rPr>
                <w:sz w:val="24"/>
                <w:szCs w:val="24"/>
                <w:highlight w:val="none"/>
              </w:rPr>
            </w:pPr>
            <w:r>
              <w:rPr>
                <w:spacing w:val="-12"/>
                <w:sz w:val="24"/>
                <w:szCs w:val="24"/>
                <w:highlight w:val="none"/>
              </w:rPr>
              <w:t xml:space="preserve">代表人：</w:t>
            </w:r>
            <w:r/>
          </w:p>
        </w:tc>
        <w:tc>
          <w:tcPr>
            <w:tcW w:w="3221" w:type="dxa"/>
            <w:textDirection w:val="lrTb"/>
            <w:noWrap w:val="false"/>
          </w:tcPr>
          <w:p>
            <w:pPr>
              <w:pStyle w:val="1045"/>
              <w:ind w:left="1481"/>
              <w:spacing w:before="127" w:line="220" w:lineRule="auto"/>
              <w:rPr>
                <w:sz w:val="24"/>
                <w:szCs w:val="24"/>
                <w:highlight w:val="none"/>
              </w:rPr>
            </w:pPr>
            <w:r>
              <w:rPr>
                <w:spacing w:val="-12"/>
                <w:sz w:val="24"/>
                <w:szCs w:val="24"/>
                <w:highlight w:val="none"/>
              </w:rPr>
              <w:t xml:space="preserve">代表人：</w:t>
            </w:r>
            <w:r/>
          </w:p>
        </w:tc>
      </w:tr>
      <w:tr>
        <w:trPr>
          <w:trHeight w:val="503"/>
        </w:trPr>
        <w:tc>
          <w:tcPr>
            <w:tcW w:w="3220" w:type="dxa"/>
            <w:textDirection w:val="lrTb"/>
            <w:noWrap w:val="false"/>
          </w:tcPr>
          <w:p>
            <w:pPr>
              <w:pStyle w:val="1045"/>
              <w:ind w:left="29"/>
              <w:spacing w:before="128" w:line="222" w:lineRule="auto"/>
              <w:rPr>
                <w:sz w:val="24"/>
                <w:szCs w:val="24"/>
                <w:highlight w:val="none"/>
              </w:rPr>
            </w:pPr>
            <w:r>
              <w:rPr>
                <w:spacing w:val="-21"/>
                <w:sz w:val="24"/>
                <w:szCs w:val="24"/>
                <w:highlight w:val="none"/>
              </w:rPr>
              <w:t xml:space="preserve">电话：</w:t>
            </w:r>
            <w:r/>
          </w:p>
        </w:tc>
        <w:tc>
          <w:tcPr>
            <w:tcW w:w="3221" w:type="dxa"/>
            <w:textDirection w:val="lrTb"/>
            <w:noWrap w:val="false"/>
          </w:tcPr>
          <w:p>
            <w:pPr>
              <w:pStyle w:val="1045"/>
              <w:ind w:left="1510"/>
              <w:spacing w:before="128" w:line="222" w:lineRule="auto"/>
              <w:rPr>
                <w:sz w:val="24"/>
                <w:szCs w:val="24"/>
                <w:highlight w:val="none"/>
              </w:rPr>
            </w:pPr>
            <w:r>
              <w:rPr>
                <w:spacing w:val="-21"/>
                <w:sz w:val="24"/>
                <w:szCs w:val="24"/>
                <w:highlight w:val="none"/>
              </w:rPr>
              <w:t xml:space="preserve">电话：</w:t>
            </w:r>
            <w:r/>
          </w:p>
        </w:tc>
      </w:tr>
      <w:tr>
        <w:trPr>
          <w:trHeight w:val="503"/>
        </w:trPr>
        <w:tc>
          <w:tcPr>
            <w:tcW w:w="3220" w:type="dxa"/>
            <w:textDirection w:val="lrTb"/>
            <w:noWrap w:val="false"/>
          </w:tcPr>
          <w:p>
            <w:pPr>
              <w:pStyle w:val="1045"/>
              <w:ind w:left="1"/>
              <w:spacing w:before="136" w:line="220" w:lineRule="auto"/>
              <w:rPr>
                <w:sz w:val="24"/>
                <w:szCs w:val="24"/>
                <w:highlight w:val="none"/>
              </w:rPr>
            </w:pPr>
            <w:r>
              <w:rPr>
                <w:spacing w:val="-11"/>
                <w:sz w:val="24"/>
                <w:szCs w:val="24"/>
                <w:highlight w:val="none"/>
              </w:rPr>
              <w:t xml:space="preserve">开户银行：</w:t>
            </w:r>
            <w:r/>
          </w:p>
        </w:tc>
        <w:tc>
          <w:tcPr>
            <w:tcW w:w="3221" w:type="dxa"/>
            <w:textDirection w:val="lrTb"/>
            <w:noWrap w:val="false"/>
          </w:tcPr>
          <w:p>
            <w:pPr>
              <w:pStyle w:val="1045"/>
              <w:ind w:left="1483"/>
              <w:spacing w:before="136" w:line="220" w:lineRule="auto"/>
              <w:rPr>
                <w:sz w:val="24"/>
                <w:szCs w:val="24"/>
                <w:highlight w:val="none"/>
              </w:rPr>
            </w:pPr>
            <w:r>
              <w:rPr>
                <w:spacing w:val="-11"/>
                <w:sz w:val="24"/>
                <w:szCs w:val="24"/>
                <w:highlight w:val="none"/>
              </w:rPr>
              <w:t xml:space="preserve">开户银行：</w:t>
            </w:r>
            <w:r/>
          </w:p>
        </w:tc>
      </w:tr>
      <w:tr>
        <w:trPr>
          <w:trHeight w:val="368"/>
        </w:trPr>
        <w:tc>
          <w:tcPr>
            <w:tcW w:w="3220" w:type="dxa"/>
            <w:textDirection w:val="lrTb"/>
            <w:noWrap w:val="false"/>
          </w:tcPr>
          <w:p>
            <w:pPr>
              <w:pStyle w:val="1045"/>
              <w:ind w:left="4"/>
              <w:spacing w:before="129" w:line="176" w:lineRule="auto"/>
              <w:rPr>
                <w:sz w:val="24"/>
                <w:szCs w:val="24"/>
                <w:highlight w:val="none"/>
              </w:rPr>
            </w:pPr>
            <w:r>
              <w:rPr>
                <w:spacing w:val="-15"/>
                <w:sz w:val="24"/>
                <w:szCs w:val="24"/>
                <w:highlight w:val="none"/>
              </w:rPr>
              <w:t xml:space="preserve">账号：</w:t>
            </w:r>
            <w:r/>
          </w:p>
        </w:tc>
        <w:tc>
          <w:tcPr>
            <w:tcW w:w="3221" w:type="dxa"/>
            <w:textDirection w:val="lrTb"/>
            <w:noWrap w:val="false"/>
          </w:tcPr>
          <w:p>
            <w:pPr>
              <w:pStyle w:val="1045"/>
              <w:ind w:left="1485"/>
              <w:spacing w:before="129" w:line="176" w:lineRule="auto"/>
              <w:rPr>
                <w:sz w:val="24"/>
                <w:szCs w:val="24"/>
                <w:highlight w:val="none"/>
              </w:rPr>
            </w:pPr>
            <w:r>
              <w:rPr>
                <w:spacing w:val="-15"/>
                <w:sz w:val="24"/>
                <w:szCs w:val="24"/>
                <w:highlight w:val="none"/>
              </w:rPr>
              <w:t xml:space="preserve">账号：</w:t>
            </w:r>
            <w:r/>
          </w:p>
        </w:tc>
      </w:tr>
    </w:tbl>
    <w:p>
      <w:pPr>
        <w:rPr>
          <w:rFonts w:hint="eastAsia"/>
          <w:highlight w:val="none"/>
          <w:lang w:val="en-US" w:eastAsia="zh-CN"/>
        </w:rPr>
      </w:pPr>
      <w:r>
        <w:rPr>
          <w:rFonts w:hint="eastAsia"/>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签订时间：</w:t>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jc w:val="center"/>
        <w:keepLines w:val="0"/>
        <w:keepNext w:val="0"/>
        <w:pageBreakBefore w:val="0"/>
        <w:spacing w:before="145" w:after="145" w:line="276" w:lineRule="auto"/>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p>
    <w:p>
      <w:pPr>
        <w:rPr>
          <w:rFonts w:hint="eastAsia"/>
          <w:sz w:val="24"/>
          <w:szCs w:val="24"/>
          <w:highlight w:val="none"/>
          <w:lang w:val="en-US" w:eastAsia="zh-CN"/>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采购</w:t>
      </w:r>
      <w:r>
        <w:rPr>
          <w:rFonts w:hint="eastAsia" w:hAnsi="宋体"/>
          <w:color w:val="000000"/>
          <w:sz w:val="24"/>
          <w:szCs w:val="24"/>
          <w:highlight w:val="none"/>
        </w:rPr>
        <w:t xml:space="preserve">文件及合同未约定事项，双方可友好协商签订补充协议。</w:t>
      </w:r>
      <w:r/>
    </w:p>
    <w:p>
      <w:pPr>
        <w:rPr>
          <w:rFonts w:hint="eastAsia"/>
          <w:sz w:val="24"/>
          <w:szCs w:val="24"/>
          <w:highlight w:val="none"/>
          <w:lang w:val="en-US" w:eastAsia="zh-CN"/>
        </w:rPr>
      </w:pPr>
      <w:r>
        <w:rPr>
          <w:rFonts w:hint="eastAsia"/>
          <w:sz w:val="24"/>
          <w:szCs w:val="24"/>
          <w:highlight w:val="none"/>
          <w:lang w:val="en-US" w:eastAsia="zh-CN"/>
        </w:rPr>
      </w:r>
      <w:r/>
    </w:p>
    <w:p>
      <w:pPr>
        <w:rPr>
          <w:rFonts w:hint="default"/>
          <w:sz w:val="24"/>
          <w:szCs w:val="24"/>
          <w:highlight w:val="none"/>
          <w:lang w:val="en-US" w:eastAsia="zh-CN"/>
        </w:rPr>
      </w:pPr>
      <w:r>
        <w:rPr>
          <w:rFonts w:hint="default"/>
          <w:sz w:val="24"/>
          <w:szCs w:val="24"/>
          <w:highlight w:val="none"/>
          <w:lang w:val="en-US" w:eastAsia="zh-CN"/>
        </w:rPr>
      </w:r>
      <w:r/>
    </w:p>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r>
      <w:r/>
    </w:p>
    <w:p>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bookmarkEnd w:id="161"/>
      <w:r/>
      <w:r/>
    </w:p>
    <w:p>
      <w:pPr>
        <w:numPr>
          <w:ilvl w:val="0"/>
          <w:numId w:val="7"/>
        </w:numPr>
        <w:jc w:val="center"/>
        <w:rPr>
          <w:rFonts w:ascii="黑体" w:eastAsia="黑体"/>
          <w:sz w:val="44"/>
          <w:szCs w:val="44"/>
        </w:rPr>
      </w:pPr>
      <w:r>
        <w:rPr>
          <w:rFonts w:hint="eastAsia" w:ascii="黑体" w:eastAsia="黑体"/>
          <w:sz w:val="44"/>
          <w:szCs w:val="44"/>
        </w:rPr>
        <w:t xml:space="preserve">采购需求</w:t>
      </w:r>
      <w:bookmarkEnd w:id="162"/>
      <w:r/>
      <w:bookmarkEnd w:id="163"/>
      <w:r/>
      <w:bookmarkEnd w:id="164"/>
      <w:r/>
      <w:bookmarkStart w:id="167" w:name="_Toc49090575"/>
      <w:r/>
      <w:bookmarkStart w:id="168" w:name="_Toc26554093"/>
      <w:r/>
      <w:r/>
    </w:p>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未列明的其他服务</w:t>
      </w:r>
      <w:r>
        <w:rPr>
          <w:rFonts w:hint="eastAsia" w:ascii="宋体" w:hAnsi="宋体" w:eastAsia="宋体" w:cs="宋体"/>
          <w:color w:val="000000"/>
          <w:sz w:val="24"/>
          <w:szCs w:val="24"/>
          <w:highlight w:val="none"/>
        </w:rPr>
        <w:t xml:space="preserve">。</w:t>
      </w:r>
      <w:r/>
    </w:p>
    <w:p>
      <w:pP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背景</w:t>
      </w:r>
      <w:r/>
    </w:p>
    <w:p>
      <w:pPr>
        <w:ind w:firstLine="480"/>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val="en-US" w:eastAsia="zh-CN"/>
        </w:rPr>
        <w:t xml:space="preserve">根据浦政发〔2020〕62号《全面推进浦口区长江流域禁捕退捕工作实施方案》的通知要求，街道现需对2025年江浦街道长江禁捕护渔第三方服务采购。</w:t>
      </w:r>
      <w:r/>
    </w:p>
    <w:p>
      <w:pPr>
        <w:numPr>
          <w:ilvl w:val="0"/>
          <w:numId w:val="8"/>
        </w:numPr>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eastAsia="zh-CN"/>
        </w:rPr>
        <w:t xml:space="preserve">产品清单</w:t>
      </w:r>
      <w:r/>
    </w:p>
    <w:tbl>
      <w:tblPr>
        <w:tblStyle w:val="1039"/>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2"/>
        <w:gridCol w:w="1095"/>
        <w:gridCol w:w="1094"/>
        <w:gridCol w:w="1110"/>
        <w:gridCol w:w="1094"/>
        <w:gridCol w:w="1109"/>
        <w:gridCol w:w="1095"/>
        <w:gridCol w:w="1110"/>
        <w:gridCol w:w="1102"/>
      </w:tblGrid>
      <w:tr>
        <w:trPr>
          <w:trHeight w:val="811"/>
        </w:trPr>
        <w:tc>
          <w:tcPr>
            <w:tcW w:w="7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序号</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名称</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数量</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单位</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最高限价</w:t>
            </w:r>
            <w:r/>
          </w:p>
        </w:tc>
        <w:tc>
          <w:tcPr>
            <w:tcW w:w="11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是否接受进口</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产品类型</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所属类 型</w:t>
            </w:r>
            <w:r/>
          </w:p>
        </w:tc>
        <w:tc>
          <w:tcPr>
            <w:tcW w:w="11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类型</w:t>
            </w:r>
            <w:r/>
          </w:p>
        </w:tc>
      </w:tr>
      <w:tr>
        <w:trPr>
          <w:trHeight w:val="811"/>
        </w:trPr>
        <w:tc>
          <w:tcPr>
            <w:tcW w:w="7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2025年江浦街道长江禁捕护渔第三方服务</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104.5万元</w:t>
            </w:r>
            <w:r/>
          </w:p>
        </w:tc>
        <w:tc>
          <w:tcPr>
            <w:tcW w:w="11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否</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其他未</w:t>
            </w:r>
            <w:r/>
          </w:p>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列明行</w:t>
            </w:r>
            <w:r/>
          </w:p>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业</w:t>
            </w:r>
            <w:r/>
          </w:p>
        </w:tc>
        <w:tc>
          <w:tcPr>
            <w:tcW w:w="11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服务*</w:t>
            </w:r>
            <w:r/>
          </w:p>
        </w:tc>
      </w:tr>
    </w:tbl>
    <w:p>
      <w:pPr>
        <w:pStyle w:val="104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val="en-US" w:eastAsia="zh-CN" w:bidi="ar"/>
          <w14:ligatures w14:val="none"/>
        </w:rPr>
      </w:pPr>
      <w:r>
        <w:rPr>
          <w:rFonts w:hint="eastAsia" w:ascii="宋体" w:hAnsi="宋体" w:cs="宋体"/>
          <w:sz w:val="24"/>
          <w:szCs w:val="24"/>
          <w:highlight w:val="none"/>
          <w:lang w:val="en-US" w:eastAsia="zh-CN" w:bidi="ar"/>
          <w14:ligatures w14:val="none"/>
        </w:rPr>
        <w:t xml:space="preserve">四、</w:t>
      </w:r>
      <w:r>
        <w:rPr>
          <w:rFonts w:hint="eastAsia" w:ascii="宋体" w:hAnsi="宋体" w:eastAsia="宋体" w:cs="宋体"/>
          <w:sz w:val="24"/>
          <w:szCs w:val="24"/>
          <w:highlight w:val="none"/>
          <w:lang w:val="en-US" w:eastAsia="zh-CN" w:bidi="ar"/>
          <w14:ligatures w14:val="none"/>
        </w:rPr>
        <w:t xml:space="preserve">拟采购标的需要满足的技术、商务要求</w:t>
      </w:r>
      <w:r/>
    </w:p>
    <w:tbl>
      <w:tblPr>
        <w:tblStyle w:val="1039"/>
        <w:tblW w:w="97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2936"/>
        <w:gridCol w:w="4909"/>
      </w:tblGrid>
      <w:tr>
        <w:trPr>
          <w:trHeight w:val="502"/>
        </w:trPr>
        <w:tc>
          <w:tcPr>
            <w:tcW w:w="1927" w:type="dxa"/>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序号</w:t>
            </w:r>
            <w:r/>
          </w:p>
        </w:tc>
        <w:tc>
          <w:tcPr>
            <w:tcW w:w="2936" w:type="dxa"/>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名称</w:t>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采购要求</w:t>
            </w:r>
            <w:r/>
          </w:p>
        </w:tc>
      </w:tr>
      <w:tr>
        <w:trPr>
          <w:trHeight w:val="624"/>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1.1</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项目实施要求(完全响应) </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负责巡护责任区内禁捕相关法律法规和政策宣传，营造氛围。扎实推进长江流域禁捕退捕宣传引导，通过悬挂横幅、张贴海报、电子大屏滚动宣传等，全方位、多角度进行禁捕退捕宣传，在全街营造不敢捕、不能捕、不想捕的浓厚氛围，引导市民群众参与到“长江大保护”中来，做到不捕不卖不买不食“江鲜”。</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2.依法严厉打击“电毒炸”“绝户网”等使用禁用工具或禁用方法的非法捕捞行为，聚焦禁捕水域周边区域管理，加强动态巡防、清查、禁止非法渔获物上市交易。</w:t>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3.禁捕期内生产性捕捞和垂钓全面禁止。长江干流做到无捕捞渔船、无捕捞网具、无捕捞渔民、无捕捞生产。</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4、负责巡护责任区巡查工作，及时发现责任区内非法捕捞苗头，劝阻、制止责任区内非法捕捞行为。</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5、维护行政执法现场秩序，做好巡查台帐记载，按时上报巡查影像资料，协助行政执法人员调查取证。</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6、掌握巡护责任区内的渔具经营情况，协助相关部门进行检查。</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7、掌握并清理巡护责任区内遗留网具、涉渔船只等捕捞工具。</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8、参加禁捕工作会议及相关法律法规、禁捕工作业务知识培训。</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9、开展长江禁捕巡查，打击长江非法捕捞行为，做到每个班次巡查不少于5次，发现非法捕捞行为立即采取行之有效的方法收集证据，并及时向主管部门进行报告。</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10、完成管理单位交由的其他工作。</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11、甲方有权替换不合格的服务事项。</w:t>
            </w:r>
            <w:r/>
          </w:p>
        </w:tc>
      </w:tr>
      <w:tr>
        <w:trPr>
          <w:trHeight w:val="1173"/>
        </w:trPr>
        <w:tc>
          <w:tcPr>
            <w:tcW w:w="1927" w:type="dxa"/>
            <w:vAlign w:val="center"/>
            <w:textDirection w:val="lrTb"/>
            <w:noWrap w:val="false"/>
          </w:tcPr>
          <w:p>
            <w:pPr>
              <w:jc w:val="both"/>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1.2</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安全责任（完全响应）</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在工作期间发生的任何工伤和其他事件，其责任及产生的费用由中标单位保障及承担。</w:t>
            </w:r>
            <w:r/>
          </w:p>
        </w:tc>
      </w:tr>
      <w:tr>
        <w:trPr>
          <w:trHeight w:val="1173"/>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1.3</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考核管理要求(完全响应) </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1.考核对象：中标供应商；</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2.考核内容：</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（1、服务期内，被上级部门督查通报指出存在的问题和群众举报、投诉及新闻媒体曝光的，经确认有责任的，每发生一次处罚1000元。</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2、每日上午下午群内发工作照片， 一次不发罚款200元，人员不得脱岗，每发现一次罚款500元，若因请假、辞职等特殊情况造成人员短缺，作业公司应承诺3天内将人员补齐，3天内未补齐罚款1000元。</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3、巡查范围内发有人钓鱼及时制止、劝离，聚众钓鱼10人(含)以上，每发现一次罚款2000元，情节严重直接解除合同。</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4、因服务态度简单粗暴造成恶劣社会影响的，罚款2000元/次。</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5、不及时执行、配合、落实上级业务部门下达的对禁捕工作的日常作业管理要求的，罚款500元/次。</w:t>
            </w:r>
            <w:r/>
          </w:p>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6、禁止护鱼员工作期间饮酒，发现一次罚款1000元。</w:t>
            </w:r>
            <w:r/>
          </w:p>
        </w:tc>
      </w:tr>
      <w:tr>
        <w:trPr>
          <w:trHeight w:val="594"/>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1.4</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报价要求(实质性要求)</w:t>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bookmarkStart w:id="193" w:name="_GoBack"/>
            <w:r>
              <w:rPr>
                <w:rFonts w:hint="eastAsia" w:ascii="宋体" w:hAnsi="宋体" w:eastAsia="宋体" w:cs="宋体"/>
                <w:sz w:val="24"/>
                <w:szCs w:val="24"/>
                <w:highlight w:val="none"/>
                <w:lang w:val="en-US" w:eastAsia="zh-CN" w:bidi="ar"/>
              </w:rPr>
              <w:t xml:space="preserve">（1）</w:t>
            </w:r>
            <w:r>
              <w:rPr>
                <w:rFonts w:hint="eastAsia" w:ascii="宋体" w:hAnsi="宋体" w:cs="宋体"/>
                <w:sz w:val="24"/>
                <w:szCs w:val="24"/>
                <w:highlight w:val="none"/>
                <w:lang w:val="en-US" w:eastAsia="zh-CN" w:bidi="ar"/>
              </w:rPr>
              <w:t xml:space="preserve">本项目最高投标限价</w:t>
            </w:r>
            <w:r>
              <w:rPr>
                <w:rFonts w:hint="eastAsia" w:ascii="宋体" w:hAnsi="宋体"/>
                <w:sz w:val="24"/>
                <w:szCs w:val="24"/>
                <w:lang w:val="en-US" w:eastAsia="zh-CN"/>
              </w:rPr>
              <w:t xml:space="preserve">104.5万元（超过最高投标限价为无效报价），</w:t>
            </w:r>
            <w:r>
              <w:rPr>
                <w:rFonts w:hint="eastAsia" w:ascii="宋体" w:hAnsi="宋体" w:eastAsia="宋体" w:cs="宋体"/>
                <w:sz w:val="24"/>
                <w:szCs w:val="24"/>
                <w:highlight w:val="none"/>
                <w:lang w:val="en-US" w:eastAsia="zh-CN" w:bidi="ar"/>
              </w:rPr>
              <w:t xml:space="preserve">本项目报价采用固定总价合同，投标总报价应包括但不限于服务的人员工资及各种社会福利费（含保险），材料费、机械设备、工器具费，服装费、 通讯费 、交通费，水电费、垃圾清运费，税费等完成本项目的所有费用以及合同实施过程中应预见和不可预见费用。投标供应商应根据上述因素自行考虑含入磋商总价；</w:t>
            </w:r>
            <w:bookmarkEnd w:id="193"/>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（2）在履行合同期间如成本上涨或降低，业主对价格一律不作调整；</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（3）本次报价须为人民币报价；</w:t>
            </w:r>
            <w:r/>
          </w:p>
        </w:tc>
      </w:tr>
    </w:tbl>
    <w:p>
      <w:pPr>
        <w:pStyle w:val="1046"/>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五、服务时间和地点</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1、浦口区江浦街道辖区范围内（采购人指定地点）； </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2、服务周期：1年</w:t>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六、 付款条件</w:t>
      </w:r>
      <w:r/>
    </w:p>
    <w:p>
      <w:pPr>
        <w:ind w:firstLine="240"/>
        <w:rPr>
          <w:rFonts w:hint="eastAsia" w:ascii="宋体" w:hAnsi="宋体" w:eastAsia="宋体" w:cs="宋体"/>
          <w:sz w:val="24"/>
          <w:szCs w:val="24"/>
          <w:highlight w:val="yellow"/>
          <w:lang w:val="en-US" w:eastAsia="zh-CN" w:bidi="ar"/>
        </w:rPr>
      </w:pPr>
      <w:r/>
      <w:bookmarkStart w:id="169" w:name="_Toc120614281"/>
      <w:r>
        <w:rPr>
          <w:rFonts w:hint="eastAsia" w:ascii="宋体" w:hAnsi="宋体" w:eastAsia="宋体" w:cs="宋体"/>
          <w:sz w:val="24"/>
          <w:szCs w:val="24"/>
          <w:highlight w:val="none"/>
          <w:lang w:val="en-US" w:eastAsia="zh-CN" w:bidi="ar"/>
        </w:rPr>
        <w:t xml:space="preserve">1、合同签订后支付合同价20%，剩余价款按每三个月支付一次，每次支付合同价20%，甲方根据考核结果确定每次服务费付款。 </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2、在履行合同期间如成本上涨或降低，业主对价格一律不作调整。</w:t>
      </w:r>
      <w:r/>
    </w:p>
    <w:p>
      <w:pPr>
        <w:ind w:firstLine="240"/>
        <w:rPr>
          <w:rFonts w:ascii="宋体" w:hAnsi="宋体" w:cs="宋体"/>
        </w:rPr>
      </w:pPr>
      <w:r>
        <w:rPr>
          <w:rFonts w:hint="eastAsia" w:ascii="宋体" w:hAnsi="宋体" w:eastAsia="宋体" w:cs="宋体"/>
          <w:sz w:val="24"/>
          <w:szCs w:val="24"/>
          <w:highlight w:val="none"/>
          <w:lang w:val="en-US" w:eastAsia="zh-CN" w:bidi="ar"/>
        </w:rPr>
        <w:t xml:space="preserve">3、中标人出具有效发票，采购人转帐支付到中标人基本帐户。</w:t>
      </w:r>
      <w:r>
        <w:rPr>
          <w:rFonts w:ascii="宋体" w:hAnsi="宋体" w:cs="宋体"/>
        </w:rPr>
        <w:br w:type="page" w:clear="all"/>
      </w:r>
      <w:r/>
    </w:p>
    <w:p>
      <w:pPr>
        <w:jc w:val="center"/>
        <w:spacing w:line="288" w:lineRule="auto"/>
        <w:rPr>
          <w:szCs w:val="21"/>
        </w:rPr>
      </w:pPr>
      <w:r>
        <w:rPr>
          <w:rFonts w:hint="eastAsia" w:ascii="黑体" w:eastAsia="黑体"/>
          <w:sz w:val="44"/>
          <w:szCs w:val="44"/>
        </w:rPr>
        <w:t xml:space="preserve">第五章  评审方法与评审标准</w:t>
      </w:r>
      <w:r/>
    </w:p>
    <w:p>
      <w:pPr>
        <w:ind w:firstLine="481"/>
        <w:spacing w:line="288" w:lineRule="auto"/>
        <w:rPr>
          <w:rFonts w:ascii="宋体" w:hAnsi="宋体" w:cs="宋体"/>
          <w:b/>
          <w:bCs/>
          <w:sz w:val="24"/>
          <w:szCs w:val="24"/>
        </w:rPr>
      </w:pPr>
      <w:r>
        <w:rPr>
          <w:rFonts w:hint="eastAsia" w:ascii="宋体" w:hAnsi="宋体" w:cs="宋体"/>
          <w:b/>
          <w:bCs/>
          <w:sz w:val="24"/>
          <w:szCs w:val="24"/>
        </w:rPr>
        <w:t xml:space="preserve">一、评审方法</w:t>
      </w:r>
      <w:r/>
    </w:p>
    <w:p>
      <w:pPr>
        <w:ind w:firstLine="480"/>
        <w:spacing w:line="288" w:lineRule="auto"/>
        <w:tabs>
          <w:tab w:val="left" w:pos="900" w:leader="none"/>
        </w:tabs>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288" w:lineRule="auto"/>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288" w:lineRule="auto"/>
        <w:rPr>
          <w:rFonts w:ascii="宋体" w:hAnsi="宋体"/>
          <w:sz w:val="24"/>
          <w:szCs w:val="21"/>
        </w:rPr>
      </w:pPr>
      <w:r>
        <w:rPr>
          <w:rFonts w:hint="eastAsia" w:ascii="宋体" w:hAnsi="宋体"/>
          <w:sz w:val="24"/>
          <w:szCs w:val="21"/>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2"/>
        <w:spacing w:line="288" w:lineRule="auto"/>
        <w:rPr>
          <w:rFonts w:hint="eastAsia" w:ascii="宋体" w:hAnsi="宋体" w:cs="宋体"/>
          <w:b/>
          <w:bCs/>
          <w:sz w:val="24"/>
          <w:szCs w:val="24"/>
        </w:rPr>
      </w:pPr>
      <w:r>
        <w:rPr>
          <w:rFonts w:hint="eastAsia" w:ascii="宋体" w:hAnsi="宋体" w:cs="宋体"/>
          <w:b/>
          <w:bCs/>
          <w:sz w:val="24"/>
          <w:szCs w:val="24"/>
        </w:rPr>
        <w:t xml:space="preserve">二、政府采购政策功能落实</w:t>
      </w:r>
      <w:r/>
    </w:p>
    <w:p>
      <w:pPr>
        <w:ind w:firstLine="481"/>
        <w:spacing w:line="288" w:lineRule="auto"/>
        <w:rPr>
          <w:rFonts w:hint="eastAsia" w:ascii="宋体" w:hAnsi="宋体" w:cs="宋体"/>
          <w:b w:val="0"/>
          <w:bCs w:val="0"/>
          <w:sz w:val="24"/>
          <w:szCs w:val="24"/>
        </w:rPr>
      </w:pPr>
      <w:r>
        <w:rPr>
          <w:rFonts w:hint="eastAsia" w:ascii="宋体" w:hAnsi="宋体" w:cs="宋体"/>
          <w:b w:val="0"/>
          <w:bCs w:val="0"/>
          <w:sz w:val="24"/>
          <w:szCs w:val="24"/>
        </w:rPr>
        <w:t xml:space="preserve">本项目专门面向中小企业采购，不执行价格扣除政策，供应商应为中小微企业、监狱企业、残疾人福利性单位。</w:t>
      </w:r>
      <w:r/>
    </w:p>
    <w:p>
      <w:pPr>
        <w:ind w:firstLine="481"/>
        <w:spacing w:line="288"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三、评审标准</w:t>
      </w:r>
      <w:r/>
    </w:p>
    <w:tbl>
      <w:tblPr>
        <w:tblStyle w:val="1039"/>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793"/>
          <w:tblHeader/>
        </w:trPr>
        <w:tc>
          <w:tcPr>
            <w:tcW w:w="519"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序号</w:t>
            </w:r>
            <w:r/>
          </w:p>
        </w:tc>
        <w:tc>
          <w:tcPr>
            <w:tcW w:w="1179"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评审因素</w:t>
            </w:r>
            <w:r/>
          </w:p>
        </w:tc>
        <w:tc>
          <w:tcPr>
            <w:tcW w:w="6616"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评审细则</w:t>
            </w:r>
            <w:r/>
          </w:p>
        </w:tc>
        <w:tc>
          <w:tcPr>
            <w:tcW w:w="573"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分值</w:t>
            </w:r>
            <w:r/>
          </w:p>
        </w:tc>
        <w:tc>
          <w:tcPr>
            <w:tcW w:w="534"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类型</w:t>
            </w:r>
            <w:r/>
          </w:p>
        </w:tc>
      </w:tr>
      <w:tr>
        <w:trPr>
          <w:jc w:val="center"/>
          <w:trHeight w:val="460"/>
        </w:trPr>
        <w:tc>
          <w:tcPr>
            <w:gridSpan w:val="5"/>
            <w:tcW w:w="9421" w:type="dxa"/>
            <w:vAlign w:val="top"/>
            <w:textDirection w:val="lrTb"/>
            <w:noWrap w:val="false"/>
          </w:tcPr>
          <w:p>
            <w:pPr>
              <w:ind w:left="114"/>
              <w:keepLines w:val="0"/>
              <w:pageBreakBefore w:val="0"/>
              <w:spacing w:before="122" w:line="288"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p>
        </w:tc>
      </w:tr>
      <w:tr>
        <w:trPr>
          <w:jc w:val="center"/>
          <w:trHeight w:val="1030"/>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p>
        </w:tc>
        <w:tc>
          <w:tcPr>
            <w:tcW w:w="1179" w:type="dxa"/>
            <w:vAlign w:val="center"/>
            <w:textDirection w:val="lrTb"/>
            <w:noWrap w:val="false"/>
          </w:tcPr>
          <w:p>
            <w:pPr>
              <w:jc w:val="left"/>
              <w:keepLines w:val="0"/>
              <w:pageBreakBefore w:val="0"/>
              <w:spacing w:before="68" w:line="288" w:lineRule="auto"/>
              <w:widowControl w:val="off"/>
              <w:rPr>
                <w:rFonts w:ascii="宋体" w:hAnsi="宋体" w:eastAsia="宋体" w:cs="宋体"/>
                <w:highlight w:val="none"/>
              </w:rPr>
            </w:pPr>
            <w:r>
              <w:rPr>
                <w:rFonts w:ascii="宋体" w:hAnsi="宋体" w:eastAsia="宋体" w:cs="宋体"/>
                <w:spacing w:val="-2"/>
                <w:highlight w:val="none"/>
              </w:rPr>
              <w:t xml:space="preserve">价格分</w:t>
            </w:r>
            <w:r/>
          </w:p>
        </w:tc>
        <w:tc>
          <w:tcPr>
            <w:tcW w:w="6616" w:type="dxa"/>
            <w:vAlign w:val="center"/>
            <w:textDirection w:val="lrTb"/>
            <w:noWrap w:val="false"/>
          </w:tcPr>
          <w:p>
            <w:pPr>
              <w:jc w:val="left"/>
              <w:keepLines w:val="0"/>
              <w:pageBreakBefore w:val="0"/>
              <w:spacing w:line="288" w:lineRule="auto"/>
              <w:widowControl w:val="off"/>
              <w:rPr>
                <w:rFonts w:hint="default" w:ascii="宋体" w:hAnsi="宋体" w:eastAsia="宋体" w:cs="宋体"/>
                <w:highlight w:val="none"/>
                <w:lang w:val="en-US" w:eastAsia="zh-CN"/>
              </w:rPr>
            </w:pPr>
            <w:r>
              <w:rPr>
                <w:rFonts w:ascii="宋体" w:hAnsi="宋体" w:eastAsia="宋体" w:cs="宋体"/>
                <w:spacing w:val="1"/>
                <w:highlight w:val="none"/>
              </w:rPr>
              <w:t xml:space="preserve">采用低价优先</w:t>
            </w:r>
            <w:r>
              <w:rPr>
                <w:rFonts w:ascii="宋体" w:hAnsi="宋体" w:eastAsia="宋体" w:cs="宋体"/>
                <w:highlight w:val="none"/>
              </w:rPr>
              <w:t xml:space="preserve">法计算，即满足</w:t>
            </w:r>
            <w:r>
              <w:rPr>
                <w:rFonts w:hint="eastAsia" w:ascii="宋体" w:hAnsi="宋体" w:eastAsia="宋体" w:cs="宋体"/>
                <w:highlight w:val="none"/>
                <w:lang w:val="en-US" w:eastAsia="zh-CN"/>
              </w:rPr>
              <w:t xml:space="preserve">采购</w:t>
            </w:r>
            <w:r>
              <w:rPr>
                <w:rFonts w:ascii="宋体" w:hAnsi="宋体" w:eastAsia="宋体" w:cs="宋体"/>
                <w:highlight w:val="none"/>
              </w:rPr>
              <w:t xml:space="preserve">文件要求且</w:t>
            </w:r>
            <w:r>
              <w:rPr>
                <w:rFonts w:hint="eastAsia" w:ascii="宋体" w:hAnsi="宋体" w:eastAsia="宋体" w:cs="宋体"/>
                <w:highlight w:val="none"/>
                <w:lang w:val="en-US" w:eastAsia="zh-CN"/>
              </w:rPr>
              <w:t xml:space="preserve">最终报价</w:t>
            </w:r>
            <w:r>
              <w:rPr>
                <w:rFonts w:ascii="宋体" w:hAnsi="宋体" w:eastAsia="宋体" w:cs="宋体"/>
                <w:highlight w:val="none"/>
              </w:rPr>
              <w:t xml:space="preserve">最低的</w:t>
            </w:r>
            <w:r>
              <w:rPr>
                <w:rFonts w:ascii="宋体" w:hAnsi="宋体" w:eastAsia="宋体" w:cs="宋体"/>
                <w:spacing w:val="1"/>
                <w:highlight w:val="none"/>
              </w:rPr>
              <w:t xml:space="preserve">为</w:t>
            </w:r>
            <w:r>
              <w:rPr>
                <w:rFonts w:hint="eastAsia" w:ascii="宋体" w:hAnsi="宋体" w:eastAsia="宋体" w:cs="宋体"/>
                <w:spacing w:val="1"/>
                <w:highlight w:val="none"/>
                <w:lang w:val="en-US" w:eastAsia="zh-CN"/>
              </w:rPr>
              <w:t xml:space="preserve">评审</w:t>
            </w:r>
            <w:r>
              <w:rPr>
                <w:rFonts w:ascii="宋体" w:hAnsi="宋体" w:eastAsia="宋体" w:cs="宋体"/>
                <w:spacing w:val="1"/>
                <w:highlight w:val="none"/>
              </w:rPr>
              <w:t xml:space="preserve">基准</w:t>
            </w:r>
            <w:r>
              <w:rPr>
                <w:rFonts w:ascii="宋体" w:hAnsi="宋体" w:eastAsia="宋体" w:cs="宋体"/>
                <w:highlight w:val="none"/>
              </w:rPr>
              <w:t xml:space="preserve">价，其价格分为满分。其他</w:t>
            </w:r>
            <w:r>
              <w:rPr>
                <w:rFonts w:hint="eastAsia" w:ascii="宋体" w:hAnsi="宋体" w:eastAsia="宋体" w:cs="宋体"/>
                <w:highlight w:val="none"/>
                <w:lang w:val="en-US" w:eastAsia="zh-CN"/>
              </w:rPr>
              <w:t xml:space="preserve">供应商</w:t>
            </w:r>
            <w:r>
              <w:rPr>
                <w:rFonts w:ascii="宋体" w:hAnsi="宋体" w:eastAsia="宋体" w:cs="宋体"/>
                <w:highlight w:val="none"/>
              </w:rPr>
              <w:t xml:space="preserve">的价格分统一按</w:t>
            </w:r>
            <w:r>
              <w:rPr>
                <w:rFonts w:ascii="宋体" w:hAnsi="宋体" w:eastAsia="宋体" w:cs="宋体"/>
                <w:spacing w:val="-1"/>
                <w:highlight w:val="none"/>
              </w:rPr>
              <w:t xml:space="preserve">照下列公</w:t>
            </w:r>
            <w:r>
              <w:rPr>
                <w:rFonts w:ascii="宋体" w:hAnsi="宋体" w:eastAsia="宋体" w:cs="宋体"/>
                <w:highlight w:val="none"/>
              </w:rPr>
              <w:t xml:space="preserve">式计算：报价得分=(评标基准价/</w:t>
            </w:r>
            <w:r>
              <w:rPr>
                <w:rFonts w:hint="eastAsia" w:ascii="宋体" w:hAnsi="宋体" w:eastAsia="宋体" w:cs="宋体"/>
                <w:highlight w:val="none"/>
                <w:lang w:val="en-US" w:eastAsia="zh-CN"/>
              </w:rPr>
              <w:t xml:space="preserve">最终</w:t>
            </w:r>
            <w:r>
              <w:rPr>
                <w:rFonts w:ascii="宋体" w:hAnsi="宋体" w:eastAsia="宋体" w:cs="宋体"/>
                <w:highlight w:val="none"/>
              </w:rPr>
              <w:t xml:space="preserve">报价)×</w:t>
            </w:r>
            <w:r>
              <w:rPr>
                <w:rFonts w:hint="eastAsia" w:ascii="宋体" w:hAnsi="宋体" w:cs="宋体"/>
                <w:highlight w:val="none"/>
                <w:lang w:val="en-US" w:eastAsia="zh-CN"/>
              </w:rPr>
              <w:t xml:space="preserve">20</w:t>
            </w:r>
            <w:r/>
          </w:p>
        </w:tc>
        <w:tc>
          <w:tcPr>
            <w:tcW w:w="573" w:type="dxa"/>
            <w:vAlign w:val="center"/>
            <w:textDirection w:val="lrTb"/>
            <w:noWrap w:val="false"/>
          </w:tcPr>
          <w:p>
            <w:pPr>
              <w:jc w:val="center"/>
              <w:keepLines w:val="0"/>
              <w:pageBreakBefore w:val="0"/>
              <w:spacing w:before="69"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20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价格分</w:t>
            </w:r>
            <w:r/>
          </w:p>
        </w:tc>
      </w:tr>
      <w:tr>
        <w:trPr>
          <w:jc w:val="center"/>
          <w:trHeight w:val="460"/>
        </w:trPr>
        <w:tc>
          <w:tcPr>
            <w:gridSpan w:val="5"/>
            <w:tcW w:w="9421" w:type="dxa"/>
            <w:vAlign w:val="top"/>
            <w:textDirection w:val="lrTb"/>
            <w:noWrap w:val="false"/>
          </w:tcPr>
          <w:p>
            <w:pPr>
              <w:ind w:left="114"/>
              <w:keepLines w:val="0"/>
              <w:pageBreakBefore w:val="0"/>
              <w:spacing w:before="123" w:line="288"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2服务</w:t>
            </w:r>
            <w:r/>
          </w:p>
        </w:tc>
      </w:tr>
      <w:tr>
        <w:trPr>
          <w:jc w:val="center"/>
          <w:trHeight w:val="302"/>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ascii="宋体" w:hAnsi="宋体" w:eastAsia="宋体" w:cs="宋体"/>
                <w:spacing w:val="-2"/>
                <w:highlight w:val="none"/>
              </w:rPr>
              <w:t xml:space="preserve">2.1</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评委根据供应商提供的总体项目需求理解（包括总体目标、现状分析、问题解剖等）进行综合评分：</w:t>
            </w:r>
            <w:r>
              <w:rPr>
                <w:rFonts w:ascii="宋体" w:hAnsi="宋体" w:eastAsia="宋体" w:cs="宋体"/>
                <w:highlight w:val="none"/>
              </w:rPr>
              <w:t xml:space="preserve"> </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总体项目需求理解较为透彻，思路较为清晰的得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总体项目需求理解基本透彻，思路基本清晰的得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总体项目需求理解透彻性一般，思路清晰性一般的得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总体项目需求理解透彻性差，思路清晰性差的得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分；无此项内容的不得分。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eastAsia="zh-CN"/>
              </w:rPr>
              <w:t xml:space="preserve">观分</w:t>
            </w:r>
            <w:r/>
          </w:p>
        </w:tc>
      </w:tr>
      <w:tr>
        <w:trPr>
          <w:jc w:val="center"/>
          <w:trHeight w:val="889"/>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highlight w:val="none"/>
              </w:rPr>
              <w:t xml:space="preserve">重点与难点分析</w:t>
            </w:r>
            <w:r/>
          </w:p>
        </w:tc>
        <w:tc>
          <w:tcPr>
            <w:tcW w:w="6616" w:type="dxa"/>
            <w:vAlign w:val="center"/>
            <w:textDirection w:val="lrTb"/>
            <w:noWrap w:val="false"/>
          </w:tcPr>
          <w:p>
            <w:pPr>
              <w:spacing w:line="360" w:lineRule="auto"/>
              <w:rPr>
                <w:rFonts w:hint="default" w:eastAsia="宋体"/>
                <w:highlight w:val="none"/>
                <w:lang w:val="en-US" w:eastAsia="zh-CN"/>
              </w:rPr>
            </w:pPr>
            <w:r>
              <w:rPr>
                <w:rFonts w:hint="eastAsia" w:ascii="宋体" w:hAnsi="宋体" w:eastAsia="宋体" w:cs="宋体"/>
                <w:highlight w:val="none"/>
              </w:rPr>
              <w:t xml:space="preserve">评委根据供应商提供的</w:t>
            </w:r>
            <w:r>
              <w:rPr>
                <w:rFonts w:hint="eastAsia" w:ascii="宋体" w:hAnsi="宋体" w:cs="宋体"/>
                <w:highlight w:val="none"/>
                <w:lang w:val="en-US" w:eastAsia="zh-CN"/>
              </w:rPr>
              <w:t xml:space="preserve">项目</w:t>
            </w:r>
            <w:r>
              <w:rPr>
                <w:rFonts w:hint="eastAsia"/>
                <w:highlight w:val="none"/>
              </w:rPr>
              <w:t xml:space="preserve">重点与难点</w:t>
            </w:r>
            <w:r>
              <w:rPr>
                <w:rFonts w:hint="eastAsia"/>
                <w:highlight w:val="none"/>
                <w:lang w:eastAsia="zh-CN"/>
              </w:rPr>
              <w:t xml:space="preserve">（</w:t>
            </w:r>
            <w:r>
              <w:rPr>
                <w:rFonts w:hint="eastAsia"/>
                <w:highlight w:val="none"/>
                <w:lang w:val="en-US" w:eastAsia="zh-CN"/>
              </w:rPr>
              <w:t xml:space="preserve">对非法捕捞的打击等方面</w:t>
            </w:r>
            <w:r>
              <w:rPr>
                <w:rFonts w:hint="eastAsia"/>
                <w:highlight w:val="none"/>
                <w:lang w:eastAsia="zh-CN"/>
              </w:rPr>
              <w:t xml:space="preserve">）</w:t>
            </w:r>
            <w:r>
              <w:rPr>
                <w:rFonts w:hint="eastAsia"/>
                <w:highlight w:val="none"/>
              </w:rPr>
              <w:t xml:space="preserve">分析</w:t>
            </w:r>
            <w:r>
              <w:rPr>
                <w:rFonts w:hint="eastAsia"/>
                <w:highlight w:val="none"/>
                <w:lang w:val="en-US" w:eastAsia="zh-CN"/>
              </w:rPr>
              <w:t xml:space="preserve">综合评分：</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投标人提供的项目重点与难点分析合理，理解本次项目的意义，能够准确把握项目的重点、难点，分析透彻，得</w:t>
            </w:r>
            <w:r>
              <w:rPr>
                <w:highlight w:val="none"/>
              </w:rPr>
              <w:t xml:space="preserve"> </w:t>
            </w:r>
            <w:r>
              <w:rPr>
                <w:rFonts w:hint="eastAsia"/>
                <w:highlight w:val="none"/>
                <w:lang w:val="en-US" w:eastAsia="zh-CN"/>
              </w:rPr>
              <w:t xml:space="preserve">10</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基本抓住重点、难点，分析达到一定深度，得</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基本抓住重点、难点，分析达到深度一般，得</w:t>
            </w:r>
            <w:r>
              <w:rPr>
                <w:rFonts w:hint="eastAsia"/>
                <w:highlight w:val="none"/>
                <w:lang w:val="en-US" w:eastAsia="zh-CN"/>
              </w:rPr>
              <w:t xml:space="preserve">4</w:t>
            </w:r>
            <w:r>
              <w:rPr>
                <w:rFonts w:hint="eastAsia"/>
                <w:highlight w:val="none"/>
              </w:rPr>
              <w:t xml:space="preserve">分；</w:t>
            </w:r>
            <w:r/>
          </w:p>
          <w:p>
            <w:pPr>
              <w:jc w:val="left"/>
              <w:keepLines w:val="0"/>
              <w:pageBreakBefore w:val="0"/>
              <w:spacing w:line="288" w:lineRule="auto"/>
              <w:widowControl w:val="off"/>
              <w:rPr>
                <w:rFonts w:hint="eastAsia"/>
                <w:highlight w:val="none"/>
              </w:rPr>
            </w:pPr>
            <w:r>
              <w:rPr>
                <w:rFonts w:hint="eastAsia"/>
                <w:highlight w:val="none"/>
              </w:rPr>
              <w:t xml:space="preserve">难以抓住重点、难点，分析达到深度较差，得</w:t>
            </w:r>
            <w:r>
              <w:rPr>
                <w:rFonts w:hint="eastAsia"/>
                <w:highlight w:val="none"/>
                <w:lang w:val="en-US" w:eastAsia="zh-CN"/>
              </w:rPr>
              <w:t xml:space="preserve">1</w:t>
            </w:r>
            <w:r>
              <w:rPr>
                <w:rFonts w:hint="eastAsia"/>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825"/>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.3</w:t>
            </w:r>
            <w:r/>
          </w:p>
        </w:tc>
        <w:tc>
          <w:tcPr>
            <w:tcW w:w="1179" w:type="dxa"/>
            <w:vAlign w:val="center"/>
            <w:textDirection w:val="lrTb"/>
            <w:noWrap w:val="false"/>
          </w:tcPr>
          <w:p>
            <w:pPr>
              <w:spacing w:line="360" w:lineRule="auto"/>
              <w:rPr>
                <w:highlight w:val="none"/>
              </w:rPr>
            </w:pPr>
            <w:r>
              <w:rPr>
                <w:rFonts w:hint="eastAsia"/>
                <w:highlight w:val="none"/>
              </w:rPr>
              <w:t xml:space="preserve">应急方案、应急措施</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 </w:t>
            </w:r>
            <w:r/>
          </w:p>
        </w:tc>
        <w:tc>
          <w:tcPr>
            <w:tcW w:w="6616" w:type="dxa"/>
            <w:vAlign w:val="center"/>
            <w:textDirection w:val="lrTb"/>
            <w:noWrap w:val="false"/>
          </w:tcPr>
          <w:p>
            <w:pPr>
              <w:spacing w:line="360" w:lineRule="auto"/>
              <w:rPr>
                <w:rFonts w:hint="eastAsia"/>
                <w:highlight w:val="none"/>
                <w:lang w:val="en-US" w:eastAsia="zh-CN"/>
              </w:rPr>
            </w:pPr>
            <w:r>
              <w:rPr>
                <w:rFonts w:hint="eastAsia" w:ascii="宋体" w:hAnsi="宋体" w:eastAsia="宋体" w:cs="宋体"/>
                <w:highlight w:val="none"/>
              </w:rPr>
              <w:t xml:space="preserve">评委根据供应商提供的应急方案、应急措施</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考虑长江特点，计划是否周密，措施是否有效</w:t>
            </w:r>
            <w:r>
              <w:rPr>
                <w:rFonts w:hint="eastAsia" w:ascii="宋体" w:hAnsi="宋体" w:cs="宋体"/>
                <w:highlight w:val="none"/>
                <w:lang w:eastAsia="zh-CN"/>
              </w:rPr>
              <w:t xml:space="preserve">）</w:t>
            </w:r>
            <w:r>
              <w:rPr>
                <w:rFonts w:hint="eastAsia"/>
                <w:highlight w:val="none"/>
                <w:lang w:val="en-US" w:eastAsia="zh-CN"/>
              </w:rPr>
              <w:t xml:space="preserve">综合评分：</w:t>
            </w:r>
            <w:r/>
          </w:p>
          <w:p>
            <w:pPr>
              <w:spacing w:line="360" w:lineRule="auto"/>
              <w:rPr>
                <w:rFonts w:hint="eastAsia"/>
                <w:highlight w:val="none"/>
              </w:rPr>
            </w:pPr>
            <w:r>
              <w:rPr>
                <w:rFonts w:hint="eastAsia"/>
                <w:highlight w:val="none"/>
              </w:rPr>
              <w:t xml:space="preserve">投标人提供的应急方案完善、应急措施合理可行的得</w:t>
            </w:r>
            <w:r>
              <w:rPr>
                <w:rFonts w:hint="eastAsia"/>
                <w:highlight w:val="none"/>
                <w:lang w:val="en-US" w:eastAsia="zh-CN"/>
              </w:rPr>
              <w:t xml:space="preserve">10</w:t>
            </w:r>
            <w:r>
              <w:rPr>
                <w:rFonts w:hint="eastAsia"/>
                <w:highlight w:val="none"/>
              </w:rPr>
              <w:t xml:space="preserve">分；</w:t>
            </w:r>
            <w:r/>
          </w:p>
          <w:p>
            <w:pPr>
              <w:spacing w:line="360" w:lineRule="auto"/>
              <w:rPr>
                <w:rFonts w:ascii="宋体" w:hAnsi="宋体" w:eastAsia="宋体" w:cs="宋体"/>
                <w:highlight w:val="none"/>
              </w:rPr>
            </w:pPr>
            <w:r>
              <w:rPr>
                <w:rFonts w:hint="eastAsia"/>
                <w:highlight w:val="none"/>
              </w:rPr>
              <w:t xml:space="preserve">提供的应急方案较完善、应急措施较合理可行的得</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提供的应急方案一般、应急措施一般的得</w:t>
            </w:r>
            <w:r>
              <w:rPr>
                <w:rFonts w:hint="eastAsia"/>
                <w:highlight w:val="none"/>
                <w:lang w:val="en-US" w:eastAsia="zh-CN"/>
              </w:rPr>
              <w:t xml:space="preserve">4</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提供的应急方案较差、应急措施较差的得</w:t>
            </w:r>
            <w:r>
              <w:rPr>
                <w:rFonts w:hint="eastAsia"/>
                <w:highlight w:val="none"/>
                <w:lang w:val="en-US" w:eastAsia="zh-CN"/>
              </w:rPr>
              <w:t xml:space="preserve">1</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1083"/>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.4</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 </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评委根据供应商提供的培训方案（包含对管理人员、操作人员及维护人员进行培训，培训内容、培训承诺等内容）综合评分：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培训方案科学，内容齐全，方式得当，目标及效果明确</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培训方案较科学，内容较全面，目标及效果较明确</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left"/>
              <w:keepLines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培训方案</w:t>
            </w:r>
            <w:r>
              <w:rPr>
                <w:rFonts w:hint="eastAsia" w:ascii="宋体" w:hAnsi="宋体" w:cs="宋体"/>
                <w:highlight w:val="none"/>
                <w:lang w:val="en-US" w:eastAsia="zh-CN"/>
              </w:rPr>
              <w:t xml:space="preserve">较</w:t>
            </w:r>
            <w:r>
              <w:rPr>
                <w:rFonts w:hint="eastAsia" w:ascii="宋体" w:hAnsi="宋体" w:eastAsia="宋体" w:cs="宋体"/>
                <w:highlight w:val="none"/>
              </w:rPr>
              <w:t xml:space="preserve">完善，实际操作性</w:t>
            </w:r>
            <w:r>
              <w:rPr>
                <w:rFonts w:hint="eastAsia" w:ascii="宋体" w:hAnsi="宋体" w:cs="宋体"/>
                <w:highlight w:val="none"/>
                <w:lang w:val="en-US" w:eastAsia="zh-CN"/>
              </w:rPr>
              <w:t xml:space="preserve">较</w:t>
            </w:r>
            <w:r>
              <w:rPr>
                <w:rFonts w:hint="eastAsia" w:ascii="宋体" w:hAnsi="宋体" w:eastAsia="宋体" w:cs="宋体"/>
                <w:highlight w:val="none"/>
              </w:rPr>
              <w:t xml:space="preserve">弱</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 </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p>
          <w:p>
            <w:pPr>
              <w:jc w:val="left"/>
              <w:keepLines w:val="0"/>
              <w:pageBreakBefore w:val="0"/>
              <w:spacing w:line="288" w:lineRule="auto"/>
              <w:widowControl w:val="off"/>
              <w:rPr>
                <w:rFonts w:hint="default" w:eastAsia="宋体"/>
                <w:highlight w:val="none"/>
                <w:lang w:val="en-US" w:eastAsia="zh-CN"/>
              </w:rPr>
            </w:pPr>
            <w:r>
              <w:rPr>
                <w:rFonts w:hint="eastAsia" w:ascii="宋体" w:hAnsi="宋体" w:cs="宋体"/>
                <w:highlight w:val="none"/>
                <w:lang w:val="en-US" w:eastAsia="zh-CN"/>
              </w:rPr>
              <w:t xml:space="preserve">培训方案不完善，实际操作性弱的，得1分；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方案不合理或未提供方案的不得分。 </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.5</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highlight w:val="none"/>
                <w:lang w:val="en-US"/>
              </w:rPr>
              <w:t xml:space="preserve">服务质量保证方案</w:t>
            </w:r>
            <w:r/>
          </w:p>
        </w:tc>
        <w:tc>
          <w:tcPr>
            <w:tcW w:w="6616" w:type="dxa"/>
            <w:vAlign w:val="center"/>
            <w:textDirection w:val="lrTb"/>
            <w:noWrap w:val="false"/>
          </w:tcPr>
          <w:p>
            <w:pPr>
              <w:jc w:val="left"/>
              <w:keepLines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评委根据供应商提供的</w:t>
            </w:r>
            <w:r>
              <w:rPr>
                <w:rFonts w:hint="eastAsia" w:ascii="宋体" w:hAnsi="宋体" w:eastAsia="宋体" w:cs="宋体"/>
                <w:highlight w:val="none"/>
                <w:lang w:val="en-US"/>
              </w:rPr>
              <w:t xml:space="preserve">服务质量保证方案</w:t>
            </w:r>
            <w:r>
              <w:rPr>
                <w:rFonts w:hint="eastAsia" w:ascii="宋体" w:hAnsi="宋体" w:eastAsia="宋体" w:cs="宋体"/>
                <w:highlight w:val="none"/>
              </w:rPr>
              <w:t xml:space="preserve">（包含售后服务承诺、保障措施及维护响应计划等内容）综合评分：</w:t>
            </w:r>
            <w:r/>
          </w:p>
          <w:p>
            <w:pPr>
              <w:jc w:val="left"/>
              <w:keepLines w:val="0"/>
              <w:pageBreakBefore w:val="0"/>
              <w:spacing w:line="288" w:lineRule="auto"/>
              <w:widowControl w:val="off"/>
              <w:rPr>
                <w:rFonts w:hint="eastAsia"/>
                <w:highlight w:val="none"/>
              </w:rPr>
            </w:pPr>
            <w:r>
              <w:rPr>
                <w:rFonts w:hint="eastAsia"/>
                <w:highlight w:val="none"/>
              </w:rPr>
              <w:t xml:space="preserve">投标人提供的</w:t>
            </w:r>
            <w:r>
              <w:rPr>
                <w:rFonts w:hint="eastAsia"/>
                <w:highlight w:val="none"/>
                <w:lang w:val="en-US"/>
              </w:rPr>
              <w:t xml:space="preserve">服务质量保证方案</w:t>
            </w:r>
            <w:r>
              <w:rPr>
                <w:rFonts w:hint="eastAsia"/>
                <w:highlight w:val="none"/>
              </w:rPr>
              <w:t xml:space="preserve">完善、</w:t>
            </w:r>
            <w:r>
              <w:rPr>
                <w:rFonts w:hint="eastAsia" w:ascii="宋体" w:hAnsi="宋体" w:eastAsia="宋体" w:cs="宋体"/>
                <w:highlight w:val="none"/>
              </w:rPr>
              <w:t xml:space="preserve">保障措施及维护</w:t>
            </w:r>
            <w:r>
              <w:rPr>
                <w:rFonts w:hint="eastAsia" w:ascii="宋体" w:hAnsi="宋体" w:eastAsia="宋体" w:cs="宋体"/>
                <w:highlight w:val="none"/>
                <w:lang w:val="en-US" w:eastAsia="zh-CN"/>
              </w:rPr>
              <w:t xml:space="preserve">响应</w:t>
            </w:r>
            <w:r>
              <w:rPr>
                <w:rFonts w:hint="eastAsia"/>
                <w:highlight w:val="none"/>
              </w:rPr>
              <w:t xml:space="preserve">合理可行的得</w:t>
            </w:r>
            <w:r>
              <w:rPr>
                <w:rFonts w:hint="eastAsia"/>
                <w:highlight w:val="none"/>
                <w:lang w:val="en-US" w:eastAsia="zh-CN"/>
              </w:rPr>
              <w:t xml:space="preserve">10</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较完善、</w:t>
            </w:r>
            <w:r>
              <w:rPr>
                <w:rFonts w:hint="eastAsia" w:ascii="宋体" w:hAnsi="宋体" w:eastAsia="宋体" w:cs="宋体"/>
                <w:highlight w:val="none"/>
              </w:rPr>
              <w:t xml:space="preserve">保障措施及维护</w:t>
            </w:r>
            <w:r>
              <w:rPr>
                <w:rFonts w:hint="eastAsia" w:ascii="宋体" w:hAnsi="宋体" w:eastAsia="宋体" w:cs="宋体"/>
                <w:highlight w:val="none"/>
                <w:lang w:val="en-US" w:eastAsia="zh-CN"/>
              </w:rPr>
              <w:t xml:space="preserve">响应较</w:t>
            </w:r>
            <w:r>
              <w:rPr>
                <w:rFonts w:hint="eastAsia"/>
                <w:highlight w:val="none"/>
              </w:rPr>
              <w:t xml:space="preserve">合理可行</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一般、</w:t>
            </w:r>
            <w:r>
              <w:rPr>
                <w:rFonts w:hint="eastAsia"/>
                <w:highlight w:val="none"/>
                <w:lang w:val="en-US"/>
              </w:rPr>
              <w:t xml:space="preserve">服务质量保证</w:t>
            </w:r>
            <w:r>
              <w:rPr>
                <w:rFonts w:hint="eastAsia"/>
                <w:highlight w:val="none"/>
              </w:rPr>
              <w:t xml:space="preserve">措施一般的得</w:t>
            </w:r>
            <w:r>
              <w:rPr>
                <w:rFonts w:hint="eastAsia"/>
                <w:highlight w:val="none"/>
                <w:lang w:val="en-US" w:eastAsia="zh-CN"/>
              </w:rPr>
              <w:t xml:space="preserve">4</w:t>
            </w:r>
            <w:r>
              <w:rPr>
                <w:rFonts w:hint="eastAsia"/>
                <w:highlight w:val="none"/>
              </w:rPr>
              <w:t xml:space="preserve">分；</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较差、</w:t>
            </w:r>
            <w:r>
              <w:rPr>
                <w:rFonts w:hint="eastAsia"/>
                <w:highlight w:val="none"/>
                <w:lang w:val="en-US"/>
              </w:rPr>
              <w:t xml:space="preserve">服务质量保证</w:t>
            </w:r>
            <w:r>
              <w:rPr>
                <w:rFonts w:hint="eastAsia"/>
                <w:highlight w:val="none"/>
              </w:rPr>
              <w:t xml:space="preserve">措施较差的得</w:t>
            </w:r>
            <w:r>
              <w:rPr>
                <w:rFonts w:hint="eastAsia"/>
                <w:highlight w:val="none"/>
                <w:lang w:val="en-US" w:eastAsia="zh-CN"/>
              </w:rPr>
              <w:t xml:space="preserve">1</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2.6</w:t>
            </w:r>
            <w:r/>
          </w:p>
        </w:tc>
        <w:tc>
          <w:tcPr>
            <w:tcW w:w="1179" w:type="dxa"/>
            <w:vAlign w:val="center"/>
            <w:textDirection w:val="lrTb"/>
            <w:noWrap w:val="false"/>
          </w:tcPr>
          <w:p>
            <w:pPr>
              <w:jc w:val="left"/>
              <w:keepLines w:val="0"/>
              <w:pageBreakBefore w:val="0"/>
              <w:spacing w:line="288" w:lineRule="auto"/>
              <w:widowControl w:val="off"/>
              <w:rPr>
                <w:rFonts w:hint="default" w:eastAsia="宋体"/>
                <w:highlight w:val="none"/>
                <w:lang w:val="en-US" w:eastAsia="zh-CN"/>
              </w:rPr>
            </w:pPr>
            <w:r>
              <w:rPr>
                <w:rFonts w:hint="eastAsia"/>
                <w:highlight w:val="none"/>
                <w:lang w:val="en-US" w:eastAsia="zh-CN"/>
              </w:rPr>
              <w:t xml:space="preserve">物资配置方案</w:t>
            </w:r>
            <w:r/>
          </w:p>
        </w:tc>
        <w:tc>
          <w:tcPr>
            <w:tcW w:w="6616" w:type="dxa"/>
            <w:vAlign w:val="center"/>
            <w:textDirection w:val="lrTb"/>
            <w:noWrap w:val="false"/>
          </w:tcPr>
          <w:p>
            <w:pPr>
              <w:numPr>
                <w:ilvl w:val="0"/>
                <w:numId w:val="0"/>
              </w:numPr>
              <w:jc w:val="left"/>
              <w:keepLines w:val="0"/>
              <w:pageBreakBefore w:val="0"/>
              <w:spacing w:line="288" w:lineRule="auto"/>
              <w:widowControl w:val="off"/>
              <w:rPr>
                <w:rFonts w:hint="eastAsia"/>
                <w:highlight w:val="none"/>
                <w:lang w:val="en-US" w:eastAsia="zh-CN"/>
              </w:rPr>
            </w:pPr>
            <w:r>
              <w:rPr>
                <w:rFonts w:hint="eastAsia" w:ascii="宋体" w:hAnsi="宋体" w:eastAsia="宋体" w:cs="宋体"/>
                <w:highlight w:val="none"/>
              </w:rPr>
              <w:t xml:space="preserve">评委根据供应商提供的</w:t>
            </w:r>
            <w:r>
              <w:rPr>
                <w:rFonts w:hint="eastAsia"/>
                <w:highlight w:val="none"/>
              </w:rPr>
              <w:t xml:space="preserve">拟投入本项目的物资装备、用具配置等相关方案</w:t>
            </w:r>
            <w:r>
              <w:rPr>
                <w:rFonts w:hint="eastAsia"/>
                <w:highlight w:val="none"/>
                <w:lang w:val="en-US" w:eastAsia="zh-CN"/>
              </w:rPr>
              <w:t xml:space="preserve">综合评分：</w:t>
            </w:r>
            <w:r/>
          </w:p>
          <w:p>
            <w:pPr>
              <w:numPr>
                <w:ilvl w:val="0"/>
                <w:numId w:val="0"/>
              </w:numPr>
              <w:jc w:val="left"/>
              <w:keepLines w:val="0"/>
              <w:pageBreakBefore w:val="0"/>
              <w:spacing w:line="288" w:lineRule="auto"/>
              <w:widowControl w:val="off"/>
              <w:rPr>
                <w:rFonts w:hint="eastAsia"/>
                <w:highlight w:val="none"/>
                <w:lang w:eastAsia="zh-CN"/>
              </w:rPr>
            </w:pPr>
            <w:r>
              <w:rPr>
                <w:rFonts w:hint="eastAsia"/>
                <w:highlight w:val="none"/>
              </w:rPr>
              <w:t xml:space="preserve">物资投入充足，方案设定详细、合理、可行、针对性强得</w:t>
            </w:r>
            <w:r>
              <w:rPr>
                <w:rFonts w:hint="eastAsia"/>
                <w:highlight w:val="none"/>
                <w:lang w:val="en-US" w:eastAsia="zh-CN"/>
              </w:rPr>
              <w:t xml:space="preserve">9</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eastAsia="宋体"/>
                <w:highlight w:val="none"/>
                <w:lang w:eastAsia="zh-CN"/>
              </w:rPr>
            </w:pPr>
            <w:r>
              <w:rPr>
                <w:rFonts w:hint="eastAsia"/>
                <w:highlight w:val="none"/>
              </w:rPr>
              <w:t xml:space="preserve">方案合理、基本可行得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highlight w:val="none"/>
                <w:lang w:eastAsia="zh-CN"/>
              </w:rPr>
            </w:pPr>
            <w:r>
              <w:rPr>
                <w:rFonts w:hint="eastAsia"/>
                <w:highlight w:val="none"/>
              </w:rPr>
              <w:t xml:space="preserve">方案存在部分缺陷或缺漏得</w:t>
            </w:r>
            <w:r>
              <w:rPr>
                <w:rFonts w:hint="eastAsia"/>
                <w:highlight w:val="none"/>
                <w:lang w:val="en-US" w:eastAsia="zh-CN"/>
              </w:rPr>
              <w:t xml:space="preserve">3</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不合理或未提供不得分。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9</w:t>
            </w:r>
            <w:r/>
          </w:p>
        </w:tc>
        <w:tc>
          <w:tcPr>
            <w:tcW w:w="534" w:type="dxa"/>
            <w:vAlign w:val="center"/>
            <w:textDirection w:val="lrTb"/>
            <w:noWrap w:val="false"/>
          </w:tcPr>
          <w:p>
            <w:pPr>
              <w:jc w:val="both"/>
              <w:keepLines w:val="0"/>
              <w:pageBreakBefore w:val="0"/>
              <w:spacing w:before="258" w:line="288" w:lineRule="auto"/>
              <w:widowControl w:val="off"/>
              <w:rPr>
                <w:rFonts w:hint="default"/>
                <w:highlight w:val="none"/>
                <w:lang w:val="en-US" w:eastAsia="zh-CN"/>
              </w:rPr>
            </w:pPr>
            <w:r>
              <w:rPr>
                <w:rFonts w:hint="eastAsia" w:ascii="宋体" w:hAnsi="宋体" w:cs="宋体"/>
                <w:highlight w:val="none"/>
                <w:lang w:val="en-US" w:eastAsia="zh-CN"/>
              </w:rPr>
              <w:t xml:space="preserve">主观分</w:t>
            </w:r>
            <w:r/>
          </w:p>
        </w:tc>
      </w:tr>
      <w:tr>
        <w:trPr>
          <w:jc w:val="center"/>
          <w:trHeight w:val="406"/>
        </w:trPr>
        <w:tc>
          <w:tcPr>
            <w:gridSpan w:val="5"/>
            <w:tcW w:w="9421" w:type="dxa"/>
            <w:vAlign w:val="center"/>
            <w:textDirection w:val="lrTb"/>
            <w:noWrap w:val="false"/>
          </w:tcPr>
          <w:p>
            <w:pPr>
              <w:jc w:val="both"/>
              <w:keepLines w:val="0"/>
              <w:pageBreakBefore w:val="0"/>
              <w:spacing w:before="258" w:line="288" w:lineRule="auto"/>
              <w:widowControl w:val="off"/>
              <w:rPr>
                <w:rFonts w:hint="default" w:ascii="宋体" w:hAnsi="宋体" w:cs="宋体"/>
                <w:highlight w:val="none"/>
                <w:lang w:val="en-US" w:eastAsia="zh-CN"/>
              </w:rPr>
            </w:pPr>
            <w:r>
              <w:rPr>
                <w:rFonts w:hint="eastAsia" w:ascii="宋体" w:hAnsi="宋体" w:cs="宋体"/>
                <w:b/>
                <w:bCs/>
                <w:spacing w:val="-2"/>
                <w:highlight w:val="none"/>
                <w:lang w:val="en-US" w:eastAsia="zh-CN"/>
              </w:rPr>
              <w:t xml:space="preserve">3服务</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3.1</w:t>
            </w:r>
            <w:r/>
          </w:p>
        </w:tc>
        <w:tc>
          <w:tcPr>
            <w:tcW w:w="1179" w:type="dxa"/>
            <w:vAlign w:val="center"/>
            <w:textDirection w:val="lrTb"/>
            <w:noWrap w:val="false"/>
          </w:tcPr>
          <w:p>
            <w:pPr>
              <w:jc w:val="left"/>
              <w:keepLines w:val="0"/>
              <w:pageBreakBefore w:val="0"/>
              <w:spacing w:line="288" w:lineRule="auto"/>
              <w:widowControl w:val="off"/>
              <w:rPr>
                <w:rFonts w:hint="default"/>
                <w:highlight w:val="none"/>
                <w:lang w:val="en-US" w:eastAsia="zh-CN"/>
              </w:rPr>
            </w:pPr>
            <w:r>
              <w:rPr>
                <w:rFonts w:hint="eastAsia"/>
                <w:highlight w:val="none"/>
                <w:lang w:val="en-US" w:eastAsia="zh-CN"/>
              </w:rPr>
              <w:t xml:space="preserve">项目组成员</w:t>
            </w:r>
            <w:r/>
          </w:p>
        </w:tc>
        <w:tc>
          <w:tcPr>
            <w:tcW w:w="6616" w:type="dxa"/>
            <w:vAlign w:val="center"/>
            <w:textDirection w:val="lrTb"/>
            <w:noWrap w:val="false"/>
          </w:tcPr>
          <w:p>
            <w:pPr>
              <w:numPr>
                <w:ilvl w:val="0"/>
                <w:numId w:val="0"/>
              </w:numPr>
              <w:jc w:val="left"/>
              <w:keepLines w:val="0"/>
              <w:pageBreakBefore w:val="0"/>
              <w:spacing w:line="288" w:lineRule="auto"/>
              <w:widowControl w:val="off"/>
              <w:rPr>
                <w:rFonts w:hint="default" w:eastAsia="宋体"/>
                <w:highlight w:val="none"/>
                <w:lang w:val="en-US" w:eastAsia="zh-CN"/>
              </w:rPr>
            </w:pPr>
            <w:r>
              <w:rPr>
                <w:rStyle w:val="1100"/>
                <w:rFonts w:hint="eastAsia" w:ascii="宋体" w:hAnsi="宋体" w:eastAsia="宋体" w:cs="宋体"/>
                <w:sz w:val="21"/>
                <w:szCs w:val="21"/>
              </w:rPr>
              <w:t xml:space="preserve">现场</w:t>
            </w:r>
            <w:r>
              <w:rPr>
                <w:rStyle w:val="1100"/>
                <w:rFonts w:hint="eastAsia" w:ascii="宋体" w:hAnsi="宋体" w:eastAsia="宋体" w:cs="宋体"/>
                <w:sz w:val="21"/>
                <w:szCs w:val="21"/>
                <w:lang w:val="en-US" w:eastAsia="zh-CN"/>
              </w:rPr>
              <w:t xml:space="preserve">巡查人员</w:t>
            </w:r>
            <w:r>
              <w:rPr>
                <w:rStyle w:val="1100"/>
                <w:rFonts w:hint="eastAsia" w:ascii="宋体" w:hAnsi="宋体" w:eastAsia="宋体" w:cs="宋体"/>
                <w:sz w:val="21"/>
                <w:szCs w:val="21"/>
              </w:rPr>
              <w:t xml:space="preserve">满足</w:t>
            </w:r>
            <w:r>
              <w:rPr>
                <w:rStyle w:val="1100"/>
                <w:rFonts w:hint="eastAsia" w:ascii="宋体" w:hAnsi="宋体" w:eastAsia="宋体" w:cs="宋体"/>
                <w:sz w:val="21"/>
                <w:szCs w:val="21"/>
                <w:lang w:val="en-US" w:eastAsia="zh-CN"/>
              </w:rPr>
              <w:t xml:space="preserve">项目</w:t>
            </w:r>
            <w:r>
              <w:rPr>
                <w:rStyle w:val="1100"/>
                <w:rFonts w:hint="eastAsia" w:ascii="宋体" w:hAnsi="宋体" w:eastAsia="宋体" w:cs="宋体"/>
                <w:sz w:val="21"/>
                <w:szCs w:val="21"/>
              </w:rPr>
              <w:t xml:space="preserve">需要</w:t>
            </w:r>
            <w:r>
              <w:rPr>
                <w:rStyle w:val="1100"/>
                <w:rFonts w:hint="eastAsia" w:ascii="宋体" w:hAnsi="宋体" w:eastAsia="宋体" w:cs="宋体"/>
                <w:sz w:val="21"/>
                <w:szCs w:val="21"/>
                <w:lang w:eastAsia="zh-CN"/>
              </w:rPr>
              <w:t xml:space="preserve">：</w:t>
            </w:r>
            <w:r>
              <w:rPr>
                <w:rFonts w:hint="eastAsia"/>
                <w:highlight w:val="none"/>
                <w:lang w:val="en-US" w:eastAsia="zh-CN"/>
              </w:rPr>
              <w:t xml:space="preserve">供应商提供项目组成员23名（</w:t>
            </w:r>
            <w:r>
              <w:rPr>
                <w:rStyle w:val="1100"/>
                <w:rFonts w:hint="eastAsia" w:ascii="宋体" w:hAnsi="宋体" w:eastAsia="宋体" w:cs="宋体"/>
                <w:sz w:val="21"/>
                <w:szCs w:val="21"/>
              </w:rPr>
              <w:t xml:space="preserve">提供投标单位为其缴纳的社保证明（202</w:t>
            </w:r>
            <w:r>
              <w:rPr>
                <w:rStyle w:val="1100"/>
                <w:rFonts w:hint="eastAsia" w:ascii="宋体" w:hAnsi="宋体" w:cs="宋体"/>
                <w:sz w:val="21"/>
                <w:szCs w:val="21"/>
                <w:lang w:val="en-US" w:eastAsia="zh-CN"/>
              </w:rPr>
              <w:t xml:space="preserve">4</w:t>
            </w:r>
            <w:r>
              <w:rPr>
                <w:rStyle w:val="1100"/>
                <w:rFonts w:hint="eastAsia" w:ascii="宋体" w:hAnsi="宋体" w:eastAsia="宋体" w:cs="宋体"/>
                <w:sz w:val="21"/>
                <w:szCs w:val="21"/>
              </w:rPr>
              <w:t xml:space="preserve">年</w:t>
            </w:r>
            <w:r>
              <w:rPr>
                <w:rStyle w:val="1100"/>
                <w:rFonts w:hint="eastAsia" w:ascii="宋体" w:hAnsi="宋体" w:eastAsia="宋体" w:cs="宋体"/>
                <w:sz w:val="21"/>
                <w:szCs w:val="21"/>
                <w:lang w:val="en-US" w:eastAsia="zh-CN"/>
              </w:rPr>
              <w:t xml:space="preserve">12</w:t>
            </w:r>
            <w:r>
              <w:rPr>
                <w:rStyle w:val="1100"/>
                <w:rFonts w:hint="eastAsia" w:ascii="宋体" w:hAnsi="宋体" w:eastAsia="宋体" w:cs="宋体"/>
                <w:sz w:val="21"/>
                <w:szCs w:val="21"/>
              </w:rPr>
              <w:t xml:space="preserve">月-202</w:t>
            </w:r>
            <w:r>
              <w:rPr>
                <w:rStyle w:val="1100"/>
                <w:rFonts w:hint="eastAsia" w:ascii="宋体" w:hAnsi="宋体" w:cs="宋体"/>
                <w:sz w:val="21"/>
                <w:szCs w:val="21"/>
                <w:lang w:val="en-US" w:eastAsia="zh-CN"/>
              </w:rPr>
              <w:t xml:space="preserve">5</w:t>
            </w:r>
            <w:r>
              <w:rPr>
                <w:rStyle w:val="1100"/>
                <w:rFonts w:hint="eastAsia" w:ascii="宋体" w:hAnsi="宋体" w:eastAsia="宋体" w:cs="宋体"/>
                <w:sz w:val="21"/>
                <w:szCs w:val="21"/>
              </w:rPr>
              <w:t xml:space="preserve">年</w:t>
            </w:r>
            <w:r>
              <w:rPr>
                <w:rStyle w:val="1100"/>
                <w:rFonts w:hint="eastAsia" w:ascii="宋体" w:hAnsi="宋体" w:cs="宋体"/>
                <w:sz w:val="21"/>
                <w:szCs w:val="21"/>
                <w:lang w:val="en-US" w:eastAsia="zh-CN"/>
              </w:rPr>
              <w:t xml:space="preserve">0</w:t>
            </w:r>
            <w:r>
              <w:rPr>
                <w:rStyle w:val="1100"/>
                <w:rFonts w:hint="eastAsia" w:ascii="宋体" w:hAnsi="宋体" w:eastAsia="宋体" w:cs="宋体"/>
                <w:sz w:val="21"/>
                <w:szCs w:val="21"/>
                <w:lang w:val="en-US" w:eastAsia="zh-CN"/>
              </w:rPr>
              <w:t xml:space="preserve">5</w:t>
            </w:r>
            <w:r>
              <w:rPr>
                <w:rStyle w:val="1100"/>
                <w:rFonts w:hint="eastAsia" w:ascii="宋体" w:hAnsi="宋体" w:eastAsia="宋体" w:cs="宋体"/>
                <w:sz w:val="21"/>
                <w:szCs w:val="21"/>
              </w:rPr>
              <w:t xml:space="preserve">月），（需明确缴费月份、个人姓名、缴费单位）材料并加盖社保中心章或社保中心参保缴费证明电子专用章，加盖社保中心参保缴费证明电子专用章的社保材料可视为原件</w:t>
            </w:r>
            <w:r>
              <w:rPr>
                <w:rFonts w:hint="eastAsia"/>
                <w:highlight w:val="none"/>
                <w:lang w:val="en-US" w:eastAsia="zh-CN"/>
              </w:rPr>
              <w:t xml:space="preserve">）、身份证复印件加盖公章），人员配备齐全的得5分，少一名不得分；在此基础上每增加一名得2分，最多得10分；此项15分。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15</w:t>
            </w:r>
            <w:r/>
          </w:p>
        </w:tc>
        <w:tc>
          <w:tcPr>
            <w:tcW w:w="534" w:type="dxa"/>
            <w:vAlign w:val="center"/>
            <w:textDirection w:val="lrTb"/>
            <w:noWrap w:val="false"/>
          </w:tcPr>
          <w:p>
            <w:pPr>
              <w:jc w:val="both"/>
              <w:keepLines w:val="0"/>
              <w:pageBreakBefore w:val="0"/>
              <w:spacing w:before="258"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客观分</w:t>
            </w:r>
            <w:r/>
          </w:p>
        </w:tc>
      </w:tr>
      <w:tr>
        <w:trPr>
          <w:jc w:val="center"/>
          <w:trHeight w:val="455"/>
        </w:trPr>
        <w:tc>
          <w:tcPr>
            <w:gridSpan w:val="5"/>
            <w:tcW w:w="9421"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cs="宋体"/>
                <w:b/>
                <w:bCs/>
                <w:highlight w:val="none"/>
                <w:lang w:val="en-US" w:eastAsia="zh-CN"/>
              </w:rPr>
              <w:t xml:space="preserve">4</w:t>
            </w:r>
            <w:r>
              <w:rPr>
                <w:rFonts w:hint="eastAsia" w:ascii="宋体" w:hAnsi="宋体" w:eastAsia="宋体" w:cs="宋体"/>
                <w:b/>
                <w:bCs/>
                <w:highlight w:val="none"/>
                <w:lang w:val="en-US" w:eastAsia="zh-CN"/>
              </w:rPr>
              <w:t xml:space="preserve">业绩</w:t>
            </w:r>
            <w:r/>
          </w:p>
        </w:tc>
      </w:tr>
      <w:tr>
        <w:trPr>
          <w:jc w:val="center"/>
          <w:trHeight w:val="1015"/>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cs="宋体"/>
                <w:spacing w:val="-2"/>
                <w:highlight w:val="none"/>
                <w:lang w:val="en-US" w:eastAsia="zh-CN"/>
              </w:rPr>
              <w:t xml:space="preserve">4</w:t>
            </w:r>
            <w:r>
              <w:rPr>
                <w:rFonts w:ascii="宋体" w:hAnsi="宋体" w:eastAsia="宋体" w:cs="宋体"/>
                <w:spacing w:val="-2"/>
                <w:highlight w:val="none"/>
              </w:rPr>
              <w:t xml:space="preserve">.1</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lang w:val="en-US" w:eastAsia="zh-CN"/>
              </w:rPr>
              <w:t xml:space="preserve">供应商</w:t>
            </w:r>
            <w:r>
              <w:rPr>
                <w:rFonts w:ascii="宋体" w:hAnsi="宋体" w:eastAsia="宋体" w:cs="宋体"/>
                <w:highlight w:val="none"/>
              </w:rPr>
              <w:t xml:space="preserve">业绩</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供应商提供自 20</w:t>
            </w:r>
            <w:r>
              <w:rPr>
                <w:rFonts w:ascii="宋体" w:hAnsi="宋体" w:eastAsia="宋体" w:cs="宋体"/>
                <w:highlight w:val="none"/>
              </w:rPr>
              <w:t xml:space="preserve">2</w:t>
            </w:r>
            <w:r>
              <w:rPr>
                <w:rFonts w:hint="eastAsia" w:ascii="宋体" w:hAnsi="宋体" w:cs="宋体"/>
                <w:highlight w:val="none"/>
                <w:lang w:val="en-US" w:eastAsia="zh-CN"/>
              </w:rPr>
              <w:t xml:space="preserve">2</w:t>
            </w:r>
            <w:r>
              <w:rPr>
                <w:rFonts w:hint="eastAsia" w:ascii="宋体" w:hAnsi="宋体" w:eastAsia="宋体" w:cs="宋体"/>
                <w:highlight w:val="none"/>
              </w:rPr>
              <w:t xml:space="preserve">年 </w:t>
            </w:r>
            <w:r>
              <w:rPr>
                <w:rFonts w:hint="eastAsia" w:ascii="宋体" w:hAnsi="宋体" w:cs="宋体"/>
                <w:highlight w:val="none"/>
                <w:lang w:val="en-US" w:eastAsia="zh-CN"/>
              </w:rPr>
              <w:t xml:space="preserve">06</w:t>
            </w:r>
            <w:r>
              <w:rPr>
                <w:rFonts w:hint="eastAsia" w:ascii="宋体" w:hAnsi="宋体" w:eastAsia="宋体" w:cs="宋体"/>
                <w:highlight w:val="none"/>
              </w:rPr>
              <w:t xml:space="preserve">月</w:t>
            </w:r>
            <w:r>
              <w:rPr>
                <w:rFonts w:hint="eastAsia" w:ascii="宋体" w:hAnsi="宋体" w:cs="宋体"/>
                <w:highlight w:val="none"/>
                <w:lang w:val="en-US" w:eastAsia="zh-CN"/>
              </w:rPr>
              <w:t xml:space="preserve">1日</w:t>
            </w:r>
            <w:r>
              <w:rPr>
                <w:rFonts w:hint="eastAsia" w:ascii="宋体" w:hAnsi="宋体" w:eastAsia="宋体" w:cs="宋体"/>
                <w:highlight w:val="none"/>
              </w:rPr>
              <w:t xml:space="preserve">以来类似项目案例，每提供一个案例得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分。（时间以合同签订时间为准，提供有效合同</w:t>
            </w:r>
            <w:r>
              <w:rPr>
                <w:rFonts w:hint="eastAsia" w:ascii="宋体" w:hAnsi="宋体" w:cs="宋体"/>
                <w:highlight w:val="none"/>
                <w:lang w:val="en-US" w:eastAsia="zh-CN"/>
              </w:rPr>
              <w:t xml:space="preserve">复印件加盖公章</w:t>
            </w:r>
            <w:r>
              <w:rPr>
                <w:rFonts w:hint="eastAsia" w:ascii="宋体" w:hAnsi="宋体" w:eastAsia="宋体" w:cs="宋体"/>
                <w:highlight w:val="none"/>
              </w:rPr>
              <w:t xml:space="preserve">，合同页须清晰可见相应内容） </w:t>
            </w:r>
            <w:r/>
          </w:p>
        </w:tc>
        <w:tc>
          <w:tcPr>
            <w:tcW w:w="573" w:type="dxa"/>
            <w:vAlign w:val="center"/>
            <w:textDirection w:val="lrTb"/>
            <w:noWrap w:val="false"/>
          </w:tcPr>
          <w:p>
            <w:pPr>
              <w:jc w:val="center"/>
              <w:keepLines w:val="0"/>
              <w:pageBreakBefore w:val="0"/>
              <w:spacing w:line="288"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6</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pageBreakBefore w:val="0"/>
              <w:spacing w:line="288" w:lineRule="auto"/>
              <w:widowControl w:val="off"/>
              <w:rPr>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p>
        </w:tc>
        <w:tc>
          <w:tcPr>
            <w:gridSpan w:val="2"/>
            <w:tcW w:w="7795" w:type="dxa"/>
            <w:vAlign w:val="center"/>
            <w:textDirection w:val="lrTb"/>
            <w:noWrap w:val="false"/>
          </w:tcPr>
          <w:p>
            <w:pPr>
              <w:ind w:left="172"/>
              <w:jc w:val="center"/>
              <w:keepLines w:val="0"/>
              <w:pageBreakBefore w:val="0"/>
              <w:spacing w:before="123" w:line="288" w:lineRule="auto"/>
              <w:widowControl w:val="off"/>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W w:w="1107" w:type="dxa"/>
            <w:vAlign w:val="center"/>
            <w:textDirection w:val="lrTb"/>
            <w:noWrap w:val="false"/>
          </w:tcPr>
          <w:p>
            <w:pPr>
              <w:jc w:val="center"/>
              <w:keepLines w:val="0"/>
              <w:pageBreakBefore w:val="0"/>
              <w:spacing w:line="288" w:lineRule="auto"/>
              <w:widowControl w:val="off"/>
              <w:rPr>
                <w:color w:val="000000"/>
                <w:highlight w:val="none"/>
              </w:rPr>
            </w:pPr>
            <w:r>
              <w:rPr>
                <w:rFonts w:ascii="宋体" w:hAnsi="宋体" w:eastAsia="宋体" w:cs="宋体"/>
                <w:color w:val="000000"/>
                <w:spacing w:val="-11"/>
                <w:highlight w:val="none"/>
              </w:rPr>
              <w:t xml:space="preserve">100分</w:t>
            </w:r>
            <w:r/>
          </w:p>
        </w:tc>
      </w:tr>
    </w:tbl>
    <w:p>
      <w:pPr>
        <w:rPr>
          <w:rFonts w:ascii="黑体" w:eastAsia="黑体"/>
          <w:sz w:val="44"/>
          <w:szCs w:val="44"/>
        </w:rPr>
      </w:pPr>
      <w:r>
        <w:rPr>
          <w:rFonts w:hint="eastAsia" w:ascii="黑体" w:eastAsia="黑体"/>
          <w:sz w:val="44"/>
          <w:szCs w:val="44"/>
        </w:rPr>
        <w:br w:type="page" w:clear="all"/>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67"/>
      <w:r/>
      <w:bookmarkEnd w:id="168"/>
      <w:r/>
      <w:bookmarkEnd w:id="169"/>
      <w:r>
        <w:rPr>
          <w:rFonts w:hint="eastAsia" w:ascii="黑体" w:eastAsia="黑体"/>
          <w:sz w:val="44"/>
          <w:szCs w:val="44"/>
        </w:rPr>
        <w:t xml:space="preserve">响应文件格式</w:t>
      </w:r>
      <w:r/>
    </w:p>
    <w:p>
      <w:pPr>
        <w:jc w:val="center"/>
        <w:rPr>
          <w:rFonts w:ascii="宋体" w:hAnsi="宋体"/>
          <w:b/>
          <w:sz w:val="72"/>
          <w:szCs w:val="21"/>
        </w:rPr>
      </w:pPr>
      <w:r/>
      <w:bookmarkStart w:id="170" w:name="_Hlt26671244"/>
      <w:r/>
      <w:bookmarkEnd w:id="170"/>
      <w:r/>
      <w:bookmarkStart w:id="171" w:name="_Hlt26955039"/>
      <w:r/>
      <w:bookmarkEnd w:id="171"/>
      <w:r/>
      <w:bookmarkStart w:id="172" w:name="_Toc26554094"/>
      <w:r/>
      <w:bookmarkStart w:id="173" w:name="_Toc120614282"/>
      <w:r/>
      <w:bookmarkStart w:id="174" w:name="_Toc49090576"/>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9"/>
        </w:numPr>
        <w:ind w:firstLine="560"/>
        <w:spacing w:line="600" w:lineRule="exact"/>
        <w:rPr>
          <w:rFonts w:hint="eastAsia" w:ascii="宋体" w:hAnsi="宋体" w:cs="宋体"/>
          <w:sz w:val="28"/>
          <w:szCs w:val="28"/>
        </w:rPr>
      </w:pPr>
      <w:r>
        <w:rPr>
          <w:rFonts w:hint="eastAsia" w:ascii="宋体" w:hAnsi="宋体" w:cs="宋体"/>
          <w:sz w:val="28"/>
          <w:szCs w:val="28"/>
        </w:rPr>
        <w:t xml:space="preserve">供应商信用承诺函</w:t>
      </w:r>
      <w:r/>
    </w:p>
    <w:p>
      <w:pPr>
        <w:ind w:firstLine="560"/>
        <w:keepLines w:val="0"/>
        <w:keepNext w:val="0"/>
        <w:pageBreakBefore w:val="0"/>
        <w:spacing w:line="600" w:lineRule="exact"/>
        <w:widowControl w:val="off"/>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、法人授权书</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、磋商响应函</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五</w:t>
      </w:r>
      <w:r>
        <w:rPr>
          <w:rFonts w:ascii="宋体" w:hAnsi="宋体" w:cs="宋体"/>
          <w:sz w:val="28"/>
          <w:szCs w:val="28"/>
        </w:rPr>
        <w:t xml:space="preserve">、</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、中小企业声明函（如有）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、分项报价表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、技术要求响应及偏离表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十</w:t>
      </w:r>
      <w:r>
        <w:rPr>
          <w:rFonts w:hint="eastAsia" w:ascii="宋体" w:hAnsi="宋体" w:cs="宋体"/>
          <w:sz w:val="28"/>
          <w:szCs w:val="28"/>
        </w:rPr>
        <w:t xml:space="preserve">、商务要求响应及偏离表</w:t>
      </w:r>
      <w:r/>
    </w:p>
    <w:p>
      <w:pPr>
        <w:pStyle w:val="792"/>
        <w:rPr>
          <w:rFonts w:ascii="宋体" w:hAnsi="宋体" w:eastAsia="宋体" w:cs="宋体"/>
          <w:b w:val="0"/>
          <w:sz w:val="28"/>
        </w:rPr>
      </w:pPr>
      <w:r>
        <w:rPr>
          <w:rFonts w:hint="eastAsia" w:ascii="宋体" w:hAnsi="宋体" w:eastAsia="宋体" w:cs="宋体"/>
          <w:b w:val="0"/>
          <w:sz w:val="28"/>
        </w:rPr>
        <w:t xml:space="preserve"> 十</w:t>
      </w:r>
      <w:r>
        <w:rPr>
          <w:rFonts w:hint="eastAsia" w:ascii="宋体" w:hAnsi="宋体" w:eastAsia="宋体" w:cs="宋体"/>
          <w:b w:val="0"/>
          <w:sz w:val="28"/>
          <w:lang w:val="en-US" w:eastAsia="zh-CN"/>
        </w:rPr>
        <w:t xml:space="preserve">一</w:t>
      </w:r>
      <w:r>
        <w:rPr>
          <w:rFonts w:hint="eastAsia" w:ascii="宋体" w:hAnsi="宋体" w:eastAsia="宋体" w:cs="宋体"/>
          <w:b w:val="0"/>
          <w:sz w:val="28"/>
        </w:rPr>
        <w:t xml:space="preserve">、其他材料</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bookmarkEnd w:id="172"/>
      <w:r/>
      <w:bookmarkEnd w:id="173"/>
      <w:r/>
      <w:bookmarkEnd w:id="174"/>
      <w:r/>
      <w:r/>
    </w:p>
    <w:p>
      <w:pPr>
        <w:pStyle w:val="757"/>
      </w:pPr>
      <w:r/>
      <w:r/>
    </w:p>
    <w:p>
      <w:pPr>
        <w:rPr>
          <w:rFonts w:ascii="黑体" w:hAnsi="黑体" w:eastAsia="黑体"/>
          <w:i/>
          <w:sz w:val="32"/>
          <w:szCs w:val="32"/>
          <w:u w:val="single"/>
        </w:rPr>
      </w:pPr>
      <w:r/>
      <w:bookmarkStart w:id="175" w:name="_Toc120614284"/>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bCs/>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lang w:eastAsia="zh-CN"/>
        </w:rPr>
        <w:t xml:space="preserve">JSZC-320111-JZCG-C2025-0046</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本授权书于______年____月____日起生效，特此声明。</w:t>
      </w:r>
      <w:r/>
    </w:p>
    <w:p>
      <w:pPr>
        <w:tabs>
          <w:tab w:val="left" w:pos="360" w:leader="none"/>
        </w:tabs>
        <w:rPr>
          <w:sz w:val="24"/>
          <w:szCs w:val="24"/>
          <w:u w:val="single"/>
        </w:rPr>
      </w:pPr>
      <w:r>
        <w:rPr>
          <w:rFonts w:hint="eastAsia"/>
          <w:sz w:val="24"/>
          <w:szCs w:val="24"/>
        </w:rPr>
        <w:t xml:space="preserve">    被授权人身份证号码：</w:t>
      </w:r>
      <w:r/>
    </w:p>
    <w:p>
      <w:pPr>
        <w:tabs>
          <w:tab w:val="left" w:pos="360" w:leader="none"/>
        </w:tabs>
        <w:rPr>
          <w:sz w:val="24"/>
          <w:szCs w:val="24"/>
          <w:u w:val="single"/>
        </w:rPr>
      </w:pPr>
      <w:r>
        <w:rPr>
          <w:rFonts w:hint="eastAsia"/>
          <w:sz w:val="24"/>
          <w:szCs w:val="24"/>
        </w:rPr>
        <w:t xml:space="preserve">    被授权人联系电话：（手机）</w:t>
      </w:r>
      <w:r/>
    </w:p>
    <w:p>
      <w:pPr>
        <w:ind w:firstLine="480"/>
        <w:tabs>
          <w:tab w:val="left" w:pos="360" w:leader="none"/>
        </w:tabs>
        <w:rPr>
          <w:sz w:val="24"/>
          <w:szCs w:val="24"/>
        </w:rPr>
      </w:pPr>
      <w:r>
        <w:rPr>
          <w:rFonts w:hint="eastAsia"/>
          <w:sz w:val="24"/>
          <w:szCs w:val="24"/>
        </w:rPr>
        <w:t xml:space="preserve">授权单位名称：</w:t>
      </w:r>
      <w:r>
        <w:rPr>
          <w:rFonts w:hint="eastAsia" w:ascii="宋体" w:hAnsi="宋体"/>
          <w:sz w:val="24"/>
          <w:szCs w:val="24"/>
          <w:u w:val="single"/>
        </w:rPr>
        <w:t xml:space="preserve">（加盖CA电子公章）</w:t>
      </w:r>
      <w:r/>
    </w:p>
    <w:p>
      <w:pPr>
        <w:ind w:firstLine="480"/>
        <w:tabs>
          <w:tab w:val="left" w:pos="360" w:leader="none"/>
        </w:tabs>
        <w:rPr>
          <w:sz w:val="24"/>
          <w:szCs w:val="24"/>
          <w:u w:val="single"/>
        </w:rPr>
      </w:pPr>
      <w:r>
        <w:rPr>
          <w:rFonts w:hint="eastAsia"/>
          <w:sz w:val="24"/>
          <w:szCs w:val="24"/>
        </w:rPr>
        <w:t xml:space="preserve">单位地址：</w:t>
      </w:r>
      <w:r/>
    </w:p>
    <w:p>
      <w:pPr>
        <w:ind w:firstLine="480"/>
        <w:tabs>
          <w:tab w:val="left" w:pos="360" w:leader="none"/>
        </w:tabs>
        <w:rPr>
          <w:sz w:val="24"/>
          <w:szCs w:val="24"/>
          <w:u w:val="single"/>
        </w:rPr>
      </w:pPr>
      <w:r>
        <w:rPr>
          <w:rFonts w:hint="eastAsia"/>
          <w:sz w:val="24"/>
          <w:szCs w:val="24"/>
        </w:rPr>
        <w:t xml:space="preserve">日期：</w:t>
      </w:r>
      <w:bookmarkStart w:id="176" w:name="_格式3__银行出具的资信证明"/>
      <w:r/>
      <w:bookmarkEnd w:id="176"/>
      <w:r/>
      <w:bookmarkStart w:id="177" w:name="_Hlt26955070"/>
      <w:r/>
      <w:bookmarkEnd w:id="177"/>
      <w:r/>
      <w:bookmarkStart w:id="178" w:name="_Hlt26671380"/>
      <w:r/>
      <w:bookmarkEnd w:id="178"/>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spacing w:line="360" w:lineRule="auto"/>
        <w:shd w:val="clear" w:color="auto" w:fill="ffffff"/>
        <w:rPr>
          <w:sz w:val="24"/>
          <w:szCs w:val="24"/>
        </w:rPr>
      </w:pPr>
      <w:r>
        <w:rPr>
          <w:rFonts w:hint="eastAsia"/>
          <w:sz w:val="24"/>
          <w:szCs w:val="24"/>
        </w:rPr>
        <w:t xml:space="preserve">被授权人的身份证复印件：</w:t>
      </w:r>
      <w:r/>
    </w:p>
    <w:p>
      <w:pPr>
        <w:ind w:firstLine="420"/>
        <w:spacing w:line="360" w:lineRule="auto"/>
        <w:shd w:val="clear" w:color="auto" w:fill="ffffff"/>
        <w:rPr>
          <w:rFonts w:ascii="宋体" w:hAnsi="宋体" w:cs="宋体"/>
          <w:color w:val="000000" w:themeColor="text1"/>
        </w:rPr>
      </w:pPr>
      <w:r>
        <w:rPr>
          <w:rFonts w:ascii="宋体" w:hAnsi="宋体" w:cs="宋体"/>
          <w:color w:val="000000" w:themeColor="text1"/>
        </w:rPr>
      </w:r>
      <w:r/>
    </w:p>
    <w:tbl>
      <w:tblPr>
        <w:tblStyle w:val="689"/>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50"/>
              <w:jc w:val="center"/>
              <w:spacing w:line="360" w:lineRule="auto"/>
              <w:rPr>
                <w:rFonts w:hAnsi="宋体"/>
                <w:color w:val="000000" w:themeColor="text1"/>
                <w:sz w:val="21"/>
                <w:szCs w:val="21"/>
              </w:rPr>
            </w:pPr>
            <w:r>
              <w:rPr>
                <w:rFonts w:hint="eastAsia"/>
              </w:rPr>
              <w:t xml:space="preserve">被授权人身份证正面</w:t>
            </w:r>
            <w:r/>
          </w:p>
        </w:tc>
      </w:tr>
      <w:tr>
        <w:trPr>
          <w:jc w:val="center"/>
          <w:trHeight w:val="2455"/>
        </w:trPr>
        <w:tc>
          <w:tcPr>
            <w:tcW w:w="5085" w:type="dxa"/>
            <w:vAlign w:val="center"/>
            <w:textDirection w:val="lrTb"/>
            <w:noWrap/>
          </w:tcPr>
          <w:p>
            <w:pPr>
              <w:pStyle w:val="1050"/>
              <w:jc w:val="center"/>
              <w:spacing w:line="360" w:lineRule="auto"/>
              <w:rPr>
                <w:rFonts w:hAnsi="宋体"/>
                <w:color w:val="000000" w:themeColor="text1"/>
                <w:sz w:val="21"/>
                <w:szCs w:val="21"/>
              </w:rPr>
            </w:pPr>
            <w:r>
              <w:rPr>
                <w:rFonts w:hint="eastAsia"/>
              </w:rPr>
              <w:t xml:space="preserve">被授权人身份证反面</w:t>
            </w:r>
            <w:r/>
          </w:p>
        </w:tc>
      </w:tr>
    </w:tbl>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57"/>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pStyle w:val="757"/>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、磋商响应函</w:t>
      </w:r>
      <w:r/>
    </w:p>
    <w:p>
      <w:pPr>
        <w:jc w:val="center"/>
        <w:spacing w:line="360" w:lineRule="auto"/>
        <w:rPr>
          <w:rFonts w:ascii="黑体" w:hAnsi="黑体" w:eastAsia="黑体"/>
          <w:b/>
          <w:i/>
          <w:sz w:val="32"/>
          <w:szCs w:val="32"/>
          <w:u w:val="single"/>
        </w:rPr>
        <w:outlineLvl w:val="0"/>
      </w:pPr>
      <w:r>
        <w:rPr>
          <w:rFonts w:hint="eastAsia" w:ascii="黑体" w:eastAsia="黑体"/>
          <w:color w:val="000000"/>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致：南京市公共资源交易中心浦口分中心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1"/>
          <w:u w:val="single"/>
        </w:rPr>
        <w:t xml:space="preserve">（项目名称）（项目编号）</w:t>
      </w:r>
      <w:r>
        <w:rPr>
          <w:rFonts w:hint="eastAsia" w:ascii="宋体" w:hAnsi="宋体"/>
          <w:sz w:val="24"/>
          <w:szCs w:val="21"/>
        </w:rPr>
        <w:t xml:space="preserve">磋商邀请，正式授权下述签字人</w:t>
      </w:r>
      <w:r>
        <w:rPr>
          <w:rFonts w:hint="eastAsia" w:ascii="宋体" w:hAnsi="宋体"/>
          <w:sz w:val="24"/>
          <w:szCs w:val="21"/>
          <w:u w:val="single"/>
        </w:rPr>
        <w:t xml:space="preserve"> (姓名和职务)</w:t>
      </w:r>
      <w:r>
        <w:rPr>
          <w:rFonts w:hint="eastAsia" w:ascii="宋体" w:hAnsi="宋体"/>
          <w:sz w:val="24"/>
          <w:szCs w:val="21"/>
        </w:rPr>
        <w:t xml:space="preserve">代表</w:t>
      </w:r>
      <w:r>
        <w:rPr>
          <w:rFonts w:hint="eastAsia" w:ascii="宋体" w:hAnsi="宋体"/>
          <w:sz w:val="24"/>
          <w:szCs w:val="21"/>
          <w:u w:val="single"/>
        </w:rPr>
        <w:t xml:space="preserve">（供应商名称）</w:t>
      </w:r>
      <w:r>
        <w:rPr>
          <w:rFonts w:hint="eastAsia" w:ascii="宋体" w:hAnsi="宋体"/>
          <w:sz w:val="24"/>
          <w:szCs w:val="21"/>
        </w:rPr>
        <w:t xml:space="preserve">，提交响应性文件并参加磋商。</w:t>
      </w:r>
      <w:r/>
    </w:p>
    <w:p>
      <w:pPr>
        <w:ind w:firstLine="480"/>
        <w:jc w:val="left"/>
        <w:spacing w:line="420" w:lineRule="exact"/>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2、按竞争性磋商要求，我方的响应总价为人民币元，大写元。   </w:t>
      </w:r>
      <w:r/>
    </w:p>
    <w:p>
      <w:pPr>
        <w:ind w:firstLine="480"/>
        <w:jc w:val="left"/>
        <w:spacing w:line="420" w:lineRule="exact"/>
        <w:rPr>
          <w:rFonts w:ascii="宋体" w:hAnsi="宋体"/>
          <w:sz w:val="24"/>
          <w:szCs w:val="21"/>
        </w:rPr>
      </w:pPr>
      <w:r>
        <w:rPr>
          <w:rFonts w:hint="eastAsia" w:ascii="宋体" w:hAnsi="宋体"/>
          <w:sz w:val="24"/>
          <w:szCs w:val="21"/>
        </w:rPr>
        <w:t xml:space="preserve">3、 我方承诺本项目的工期为天。               </w:t>
      </w:r>
      <w:r/>
    </w:p>
    <w:p>
      <w:pPr>
        <w:ind w:firstLine="480"/>
        <w:jc w:val="left"/>
        <w:spacing w:line="420" w:lineRule="exact"/>
        <w:rPr>
          <w:rFonts w:ascii="宋体" w:hAnsi="宋体"/>
          <w:sz w:val="24"/>
          <w:szCs w:val="21"/>
        </w:rPr>
      </w:pPr>
      <w:r>
        <w:rPr>
          <w:rFonts w:hint="eastAsia" w:ascii="宋体" w:hAnsi="宋体"/>
          <w:sz w:val="24"/>
          <w:szCs w:val="21"/>
        </w:rPr>
        <w:t xml:space="preserve">4、如果我方中标，将派出作为项目经理。</w:t>
      </w:r>
      <w:r/>
    </w:p>
    <w:p>
      <w:pPr>
        <w:ind w:firstLine="480"/>
        <w:jc w:val="left"/>
        <w:spacing w:line="420" w:lineRule="exact"/>
        <w:rPr>
          <w:rFonts w:ascii="宋体" w:hAnsi="宋体"/>
          <w:sz w:val="24"/>
          <w:szCs w:val="21"/>
        </w:rPr>
      </w:pPr>
      <w:r>
        <w:rPr>
          <w:rFonts w:hint="eastAsia" w:ascii="宋体" w:hAnsi="宋体"/>
          <w:sz w:val="24"/>
          <w:szCs w:val="21"/>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6、一旦我方成交，我方将根据磋商文件的规定，严格履行合同，保证于承诺的时间内完成货物的启动、交货等服务，并交付采购人验收、使用。</w:t>
      </w:r>
      <w:r/>
    </w:p>
    <w:p>
      <w:pPr>
        <w:ind w:left="479" w:firstLine="64"/>
        <w:jc w:val="left"/>
        <w:keepLines w:val="0"/>
        <w:keepNext w:val="0"/>
        <w:pageBreakBefore w:val="0"/>
        <w:spacing w:line="360" w:lineRule="auto"/>
        <w:widowControl w:val="off"/>
        <w:rPr>
          <w:rFonts w:ascii="宋体" w:hAnsi="宋体"/>
          <w:sz w:val="24"/>
          <w:szCs w:val="21"/>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）8.</w:t>
      </w:r>
      <w:r>
        <w:rPr>
          <w:rFonts w:hint="eastAsia" w:ascii="宋体" w:hAnsi="宋体"/>
          <w:sz w:val="24"/>
          <w:szCs w:val="21"/>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pStyle w:val="1013"/>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pStyle w:val="1013"/>
        <w:ind w:left="420"/>
        <w:spacing w:before="0" w:after="0" w:line="420" w:lineRule="exact"/>
        <w:rPr>
          <w:rFonts w:ascii="宋体" w:hAnsi="宋体"/>
          <w:szCs w:val="21"/>
          <w:u w:val="single"/>
        </w:rPr>
      </w:pPr>
      <w:r>
        <w:rPr>
          <w:rFonts w:hint="eastAsia" w:ascii="宋体" w:hAnsi="宋体"/>
          <w:szCs w:val="21"/>
        </w:rPr>
        <w:t xml:space="preserve">地      址：</w:t>
      </w:r>
      <w:r/>
    </w:p>
    <w:p>
      <w:pPr>
        <w:pStyle w:val="1013"/>
        <w:ind w:left="420"/>
        <w:spacing w:before="0" w:after="0" w:line="420" w:lineRule="exact"/>
        <w:rPr>
          <w:rFonts w:ascii="宋体" w:hAnsi="宋体"/>
          <w:szCs w:val="21"/>
          <w:u w:val="single"/>
        </w:rPr>
      </w:pPr>
      <w:r>
        <w:rPr>
          <w:rFonts w:hint="eastAsia" w:ascii="宋体" w:hAnsi="宋体"/>
          <w:szCs w:val="21"/>
        </w:rPr>
        <w:t xml:space="preserve">邮      编：</w:t>
      </w:r>
      <w:r/>
    </w:p>
    <w:p>
      <w:pPr>
        <w:pStyle w:val="1013"/>
        <w:ind w:left="420"/>
        <w:spacing w:before="0" w:after="0" w:line="420" w:lineRule="exact"/>
        <w:rPr>
          <w:rFonts w:ascii="宋体" w:hAnsi="宋体"/>
          <w:szCs w:val="21"/>
          <w:u w:val="single"/>
        </w:rPr>
      </w:pPr>
      <w:r>
        <w:rPr>
          <w:rFonts w:hint="eastAsia" w:ascii="宋体" w:hAnsi="宋体"/>
          <w:szCs w:val="21"/>
        </w:rPr>
        <w:t xml:space="preserve">电      话：</w:t>
      </w:r>
      <w:r/>
    </w:p>
    <w:p>
      <w:pPr>
        <w:pStyle w:val="1013"/>
        <w:ind w:left="420"/>
        <w:spacing w:before="0" w:after="0" w:line="420" w:lineRule="exact"/>
        <w:rPr>
          <w:rFonts w:ascii="宋体" w:hAnsi="宋体"/>
          <w:szCs w:val="21"/>
          <w:u w:val="single"/>
        </w:rPr>
      </w:pPr>
      <w:r>
        <w:rPr>
          <w:rFonts w:hint="eastAsia" w:ascii="宋体" w:hAnsi="宋体"/>
          <w:szCs w:val="21"/>
        </w:rPr>
        <w:t xml:space="preserve">传      真：</w:t>
      </w:r>
      <w:r/>
    </w:p>
    <w:p>
      <w:pPr>
        <w:pStyle w:val="1013"/>
        <w:ind w:left="420"/>
        <w:spacing w:before="0" w:after="0" w:line="420" w:lineRule="exact"/>
        <w:rPr>
          <w:rFonts w:ascii="宋体" w:hAnsi="宋体"/>
          <w:szCs w:val="21"/>
          <w:u w:val="single"/>
        </w:rPr>
      </w:pPr>
      <w:r>
        <w:rPr>
          <w:rFonts w:hint="eastAsia" w:ascii="宋体" w:hAnsi="宋体"/>
          <w:szCs w:val="21"/>
        </w:rPr>
        <w:t xml:space="preserve">供应商开户行：</w:t>
      </w:r>
      <w:r/>
    </w:p>
    <w:p>
      <w:pPr>
        <w:pStyle w:val="1013"/>
        <w:ind w:left="420"/>
        <w:spacing w:before="0" w:after="0" w:line="420" w:lineRule="exact"/>
        <w:rPr>
          <w:rFonts w:ascii="宋体" w:hAnsi="宋体"/>
          <w:szCs w:val="21"/>
          <w:u w:val="single"/>
        </w:rPr>
      </w:pPr>
      <w:r>
        <w:rPr>
          <w:rFonts w:hint="eastAsia" w:ascii="宋体" w:hAnsi="宋体"/>
          <w:szCs w:val="21"/>
        </w:rPr>
        <w:t xml:space="preserve">账      号：</w:t>
      </w:r>
      <w:r/>
    </w:p>
    <w:p>
      <w:pPr>
        <w:pStyle w:val="1013"/>
        <w:ind w:left="420"/>
        <w:spacing w:before="0" w:after="0" w:line="420" w:lineRule="exact"/>
        <w:rPr>
          <w:rFonts w:ascii="宋体" w:hAnsi="宋体"/>
          <w:szCs w:val="21"/>
        </w:rPr>
      </w:pPr>
      <w:r>
        <w:rPr>
          <w:rFonts w:hint="eastAsia" w:ascii="宋体" w:hAnsi="宋体"/>
          <w:szCs w:val="21"/>
        </w:rPr>
        <w:t xml:space="preserve">日      期：年月日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、磋商报价表</w:t>
      </w:r>
      <w:r/>
    </w:p>
    <w:p>
      <w:pPr>
        <w:ind w:firstLine="480"/>
        <w:rPr>
          <w:rFonts w:ascii="宋体" w:hAnsi="宋体"/>
          <w:sz w:val="24"/>
          <w:szCs w:val="24"/>
        </w:rPr>
      </w:pPr>
      <w:r>
        <w:rPr>
          <w:rFonts w:hint="eastAsia" w:ascii="宋体" w:hAnsi="宋体"/>
          <w:sz w:val="24"/>
          <w:szCs w:val="24"/>
        </w:rPr>
        <w:t xml:space="preserve">项目编号：                                   </w:t>
      </w:r>
      <w:r/>
    </w:p>
    <w:tbl>
      <w:tblPr>
        <w:tblStyle w:val="68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rPr>
            </w:pPr>
            <w:r>
              <w:rPr>
                <w:rFonts w:hint="eastAsia" w:ascii="宋体" w:hAnsi="宋体"/>
                <w:sz w:val="24"/>
                <w:szCs w:val="24"/>
              </w:rPr>
              <w:t xml:space="preserve">项目名称</w:t>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项目内容</w:t>
            </w:r>
            <w:r/>
          </w:p>
        </w:tc>
        <w:tc>
          <w:tcPr>
            <w:tcW w:w="2736" w:type="dxa"/>
            <w:vAlign w:val="center"/>
            <w:textDirection w:val="lrTb"/>
            <w:noWrap/>
          </w:tcPr>
          <w:p>
            <w:pPr>
              <w:rPr>
                <w:rFonts w:ascii="宋体" w:hAnsi="宋体" w:cs="宋体"/>
                <w:sz w:val="24"/>
                <w:szCs w:val="24"/>
              </w:rPr>
            </w:pPr>
            <w:r>
              <w:rPr>
                <w:rFonts w:hint="eastAsia" w:ascii="宋体" w:hAnsi="宋体" w:cs="宋体"/>
                <w:sz w:val="24"/>
                <w:szCs w:val="24"/>
              </w:rPr>
              <w:t xml:space="preserve">总价（小写）</w:t>
            </w:r>
            <w:r/>
          </w:p>
        </w:tc>
      </w:tr>
      <w:tr>
        <w:trPr>
          <w:cantSplit/>
          <w:trHeight w:val="725"/>
        </w:trPr>
        <w:tc>
          <w:tcPr>
            <w:tcW w:w="2735" w:type="dxa"/>
            <w:vAlign w:val="center"/>
            <w:textDirection w:val="lrTb"/>
            <w:noWrap/>
          </w:tcPr>
          <w:p>
            <w:pPr>
              <w:rPr>
                <w:rFonts w:ascii="宋体" w:hAnsi="宋体" w:cs="宋体"/>
                <w:sz w:val="24"/>
                <w:szCs w:val="24"/>
              </w:rPr>
            </w:pPr>
            <w:r>
              <w:rPr>
                <w:rFonts w:ascii="宋体" w:hAnsi="宋体" w:cs="宋体"/>
                <w:sz w:val="24"/>
                <w:szCs w:val="24"/>
              </w:rPr>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详见响应文件</w:t>
            </w:r>
            <w:r/>
          </w:p>
        </w:tc>
        <w:tc>
          <w:tcPr>
            <w:tcW w:w="273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725"/>
        </w:trPr>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总价（大写）：</w:t>
            </w:r>
            <w:r/>
          </w:p>
        </w:tc>
        <w:tc>
          <w:tcPr>
            <w:gridSpan w:val="2"/>
            <w:tcW w:w="5471" w:type="dxa"/>
            <w:vAlign w:val="center"/>
            <w:textDirection w:val="lrTb"/>
            <w:noWrap/>
          </w:tcPr>
          <w:p>
            <w:pPr>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供应商名称（电子签章）年月日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 xml:space="preserve">六</w:t>
      </w:r>
      <w:r>
        <w:rPr>
          <w:rFonts w:hint="eastAsia" w:ascii="黑体" w:hAnsi="黑体" w:eastAsia="黑体"/>
          <w:iCs/>
          <w:sz w:val="32"/>
          <w:szCs w:val="32"/>
        </w:rPr>
        <w:t xml:space="preserve">、中小企业声明函</w:t>
      </w:r>
      <w:r/>
    </w:p>
    <w:p>
      <w:pPr>
        <w:jc w:val="center"/>
        <w:keepLines w:val="0"/>
        <w:keepNext w:val="0"/>
        <w:pageBreakBefore w:val="0"/>
        <w:spacing w:line="360" w:lineRule="auto"/>
        <w:widowControl w:val="off"/>
        <w:rPr>
          <w:rFonts w:hint="eastAsia" w:ascii="黑体" w:hAnsi="Calibri" w:eastAsia="黑体" w:cs="Times New Roman"/>
          <w:color w:val="000000"/>
          <w:sz w:val="32"/>
          <w:szCs w:val="32"/>
          <w:highlight w:val="none"/>
          <w:lang w:val="en-US" w:eastAsia="zh-CN"/>
        </w:rPr>
        <w:outlineLvl w:val="0"/>
      </w:pPr>
      <w:r>
        <w:rPr>
          <w:rFonts w:hint="eastAsia" w:ascii="黑体" w:hAnsi="Calibri" w:eastAsia="黑体" w:cs="Times New Roman"/>
          <w:color w:val="000000"/>
          <w:sz w:val="32"/>
          <w:szCs w:val="32"/>
          <w:highlight w:val="none"/>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lang w:eastAsia="zh-CN"/>
        </w:rPr>
        <w:t xml:space="preserve">南京市公共资源交易中心浦口分中心</w:t>
      </w:r>
      <w:r>
        <w:rPr>
          <w:rFonts w:hint="eastAsia" w:ascii="宋体" w:hAnsi="宋体"/>
          <w:sz w:val="24"/>
          <w:szCs w:val="24"/>
          <w:highlight w:val="none"/>
        </w:rPr>
        <w:t xml:space="preserve">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singl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singl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single"/>
        </w:rPr>
        <w:t xml:space="preserve">¨</w:t>
      </w:r>
      <w:r>
        <w:rPr>
          <w:rFonts w:hint="eastAsia" w:ascii="宋体" w:hAnsi="宋体"/>
          <w:sz w:val="24"/>
          <w:szCs w:val="24"/>
          <w:highlight w:val="none"/>
          <w:u w:val="single"/>
          <w:lang w:val="en-US" w:eastAsia="zh-CN"/>
        </w:rPr>
        <w:t xml:space="preserve">内打“</w:t>
      </w:r>
      <w:r>
        <w:rPr>
          <w:rFonts w:ascii="Arial" w:hAnsi="Arial" w:cs="Arial"/>
          <w:sz w:val="24"/>
          <w:szCs w:val="24"/>
          <w:highlight w:val="none"/>
          <w:u w:val="single"/>
          <w:lang w:val="en-US" w:eastAsia="zh-CN"/>
        </w:rPr>
        <w:t xml:space="preserve">√</w:t>
      </w:r>
      <w:r>
        <w:rPr>
          <w:rFonts w:hint="eastAsia" w:ascii="宋体" w:hAnsi="宋体"/>
          <w:sz w:val="24"/>
          <w:szCs w:val="24"/>
          <w:highlight w:val="none"/>
          <w:u w:val="single"/>
          <w:lang w:val="en-US"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供应商如不提供此声明函，不得参加专门面向中小企业采购项目或者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。此声明函将随成交结果同时公告，接受社会监督。</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年___月___日</w:t>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right="840" w:firstLine="7140"/>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firstLine="5760"/>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sz w:val="24"/>
          <w:szCs w:val="21"/>
        </w:rPr>
        <w:t xml:space="preserve">的项目（分包号：**）采购活动提供本单位承担的服务。</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42"/>
      </w:p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firstLine="5760"/>
        <w:spacing w:line="360" w:lineRule="auto"/>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、分项报价表</w:t>
      </w:r>
      <w:r/>
    </w:p>
    <w:p>
      <w:pPr>
        <w:jc w:val="center"/>
        <w:spacing w:line="360" w:lineRule="auto"/>
        <w:rPr>
          <w:rFonts w:hint="eastAsia" w:ascii="黑体" w:hAnsi="Times New Roman" w:eastAsia="黑体" w:cs="Times New Roman"/>
          <w:color w:val="000000"/>
          <w:sz w:val="32"/>
          <w:szCs w:val="32"/>
          <w:highlight w:val="none"/>
          <w:lang w:val="en-US" w:eastAsia="zh-CN"/>
        </w:rPr>
        <w:outlineLvl w:val="0"/>
      </w:pPr>
      <w:r>
        <w:rPr>
          <w:rFonts w:hint="eastAsia" w:ascii="黑体" w:hAnsi="Times New Roman" w:eastAsia="黑体" w:cs="Times New Roman"/>
          <w:color w:val="000000"/>
          <w:sz w:val="32"/>
          <w:szCs w:val="32"/>
          <w:highlight w:val="none"/>
          <w:lang w:val="en-US" w:eastAsia="zh-CN"/>
        </w:rPr>
        <w:t xml:space="preserve">分项报价表</w:t>
      </w:r>
      <w:r/>
    </w:p>
    <w:tbl>
      <w:tblPr>
        <w:tblStyle w:val="689"/>
        <w:tblW w:w="95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1288"/>
        <w:gridCol w:w="924"/>
        <w:gridCol w:w="1203"/>
        <w:gridCol w:w="1307"/>
        <w:gridCol w:w="1315"/>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W w:w="1288"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92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1203"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1307"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eastAsia="zh-CN"/>
              </w:rPr>
              <w:t xml:space="preserve">产品</w:t>
            </w:r>
            <w:r>
              <w:rPr>
                <w:rFonts w:hint="eastAsia" w:ascii="宋体" w:hAnsi="宋体"/>
                <w:sz w:val="24"/>
                <w:szCs w:val="24"/>
                <w:highlight w:val="none"/>
              </w:rPr>
              <w:t xml:space="preserve">名称</w:t>
            </w:r>
            <w:r/>
          </w:p>
        </w:tc>
        <w:tc>
          <w:tcPr>
            <w:tcW w:w="1288"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品牌、规格或型号</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7"/>
            <w:tcW w:w="8232"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总报价（人民币：元）</w:t>
            </w:r>
            <w:r/>
          </w:p>
        </w:tc>
        <w:tc>
          <w:tcPr>
            <w:tcW w:w="1315" w:type="dxa"/>
            <w:vAlign w:val="top"/>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1013"/>
        <w:ind w:left="420"/>
        <w:spacing w:before="0" w:after="0" w:line="420" w:lineRule="exact"/>
        <w:rPr>
          <w:rFonts w:hint="eastAsia" w:ascii="宋体" w:hAnsi="宋体" w:eastAsia="宋体" w:cs="Times New Roman"/>
          <w:szCs w:val="21"/>
          <w:highlight w:val="none"/>
          <w:u w:val="single"/>
          <w:lang w:val="en-US" w:eastAsia="zh-CN"/>
        </w:rPr>
      </w:pPr>
      <w:r>
        <w:rPr>
          <w:rFonts w:hint="eastAsia" w:ascii="宋体" w:hAnsi="宋体"/>
          <w:szCs w:val="21"/>
          <w:highlight w:val="none"/>
          <w:lang w:eastAsia="zh-CN"/>
        </w:rPr>
        <w:t xml:space="preserve">供应商</w:t>
      </w:r>
      <w:r>
        <w:rPr>
          <w:rFonts w:hint="eastAsia" w:ascii="宋体" w:hAnsi="宋体" w:eastAsia="宋体" w:cs="Times New Roman"/>
          <w:szCs w:val="21"/>
          <w:highlight w:val="none"/>
        </w:rPr>
        <w:t xml:space="preserve">名称：</w:t>
      </w:r>
      <w:r>
        <w:rPr>
          <w:rFonts w:hint="eastAsia" w:ascii="宋体" w:hAnsi="宋体" w:eastAsia="宋体" w:cs="Times New Roman"/>
          <w:szCs w:val="21"/>
          <w:highlight w:val="none"/>
          <w:u w:val="single"/>
        </w:rPr>
        <w:t xml:space="preserve">（加盖CA电子公章）</w:t>
      </w:r>
      <w:r>
        <w:rPr>
          <w:rFonts w:hint="eastAsia" w:ascii="宋体" w:hAnsi="宋体" w:eastAsia="宋体" w:cs="Times New Roman"/>
          <w:szCs w:val="21"/>
          <w:highlight w:val="none"/>
          <w:u w:val="single"/>
          <w:lang w:val="en-US" w:eastAsia="zh-CN"/>
        </w:rPr>
        <w:t xml:space="preserve">     </w:t>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备注：</w:t>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磋商报价采用总承包方式，</w:t>
      </w:r>
      <w:r>
        <w:rPr>
          <w:rFonts w:hint="eastAsia" w:ascii="宋体" w:hAnsi="宋体" w:eastAsia="宋体" w:cs="Times New Roman"/>
          <w:b w:val="0"/>
          <w:bCs w:val="0"/>
          <w:sz w:val="24"/>
          <w:szCs w:val="24"/>
          <w:highlight w:val="none"/>
          <w:lang w:eastAsia="zh-CN"/>
        </w:rPr>
        <w:t xml:space="preserve">供应商</w:t>
      </w:r>
      <w:r>
        <w:rPr>
          <w:rFonts w:hint="eastAsia" w:ascii="宋体" w:hAnsi="宋体" w:eastAsia="宋体" w:cs="Times New Roman"/>
          <w:b w:val="0"/>
          <w:bCs w:val="0"/>
          <w:sz w:val="24"/>
          <w:szCs w:val="24"/>
          <w:highlight w:val="none"/>
        </w:rPr>
        <w:t xml:space="preserve">的“</w:t>
      </w:r>
      <w:r>
        <w:rPr>
          <w:rFonts w:hint="eastAsia" w:ascii="宋体" w:hAnsi="宋体" w:eastAsia="宋体" w:cs="Times New Roman"/>
          <w:b w:val="0"/>
          <w:bCs w:val="0"/>
          <w:sz w:val="24"/>
          <w:szCs w:val="24"/>
          <w:highlight w:val="none"/>
          <w:lang w:eastAsia="zh-CN"/>
        </w:rPr>
        <w:t xml:space="preserve">总</w:t>
      </w:r>
      <w:r>
        <w:rPr>
          <w:rFonts w:hint="eastAsia" w:ascii="宋体" w:hAnsi="宋体" w:eastAsia="宋体" w:cs="Times New Roman"/>
          <w:b w:val="0"/>
          <w:bCs w:val="0"/>
          <w:sz w:val="24"/>
          <w:szCs w:val="24"/>
          <w:highlight w:val="none"/>
        </w:rPr>
        <w:t xml:space="preserve">报价”应包括采购人需求的服务（包含与服务相关的</w:t>
      </w:r>
      <w:r>
        <w:rPr>
          <w:rFonts w:hint="eastAsia" w:ascii="宋体" w:hAnsi="宋体" w:eastAsia="宋体" w:cs="Times New Roman"/>
          <w:b w:val="0"/>
          <w:bCs w:val="0"/>
          <w:sz w:val="24"/>
          <w:szCs w:val="24"/>
          <w:highlight w:val="none"/>
          <w:lang w:val="en-US" w:eastAsia="zh-CN"/>
        </w:rPr>
        <w:t xml:space="preserve">货物</w:t>
      </w:r>
      <w:r>
        <w:rPr>
          <w:rFonts w:hint="eastAsia" w:ascii="宋体" w:hAnsi="宋体" w:eastAsia="宋体" w:cs="Times New Roman"/>
          <w:b w:val="0"/>
          <w:bCs w:val="0"/>
          <w:sz w:val="24"/>
          <w:szCs w:val="24"/>
          <w:highlight w:val="none"/>
        </w:rPr>
        <w:t xml:space="preserve">）价格、质量保证费用、培训费用及售后服务费用，项目在指定地点、环境交付、安装、调试、验收所需费用和所有相关税金费用及为完成整个项目所产生的其它所有费用。</w:t>
      </w:r>
      <w:r/>
    </w:p>
    <w:p>
      <w:pPr>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2.“分项报价表”中“总报价”数额应当与“</w:t>
      </w:r>
      <w:r>
        <w:rPr>
          <w:rFonts w:hint="eastAsia" w:ascii="宋体" w:hAnsi="宋体" w:eastAsia="宋体" w:cs="Times New Roman"/>
          <w:b/>
          <w:bCs/>
          <w:sz w:val="24"/>
          <w:szCs w:val="24"/>
          <w:highlight w:val="none"/>
          <w:lang w:val="en-US" w:eastAsia="zh-CN"/>
        </w:rPr>
        <w:t xml:space="preserve">磋商报价表</w:t>
      </w:r>
      <w:r>
        <w:rPr>
          <w:rFonts w:hint="eastAsia" w:ascii="宋体" w:hAnsi="宋体" w:eastAsia="宋体" w:cs="Times New Roman"/>
          <w:b/>
          <w:bCs/>
          <w:sz w:val="24"/>
          <w:szCs w:val="24"/>
          <w:highlight w:val="none"/>
        </w:rPr>
        <w:t xml:space="preserve">”中“总价”数额一致。</w:t>
      </w:r>
      <w:r/>
    </w:p>
    <w:p>
      <w:pPr>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w:t>
      </w:r>
      <w:r>
        <w:rPr>
          <w:rFonts w:hint="eastAsia" w:ascii="宋体" w:hAnsi="宋体" w:eastAsia="宋体" w:cs="Times New Roman"/>
          <w:b/>
          <w:bCs/>
          <w:sz w:val="24"/>
          <w:szCs w:val="24"/>
          <w:highlight w:val="none"/>
        </w:rPr>
        <w:t xml:space="preserve">供应商所报产品须与</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第四章-</w:t>
      </w:r>
      <w:r>
        <w:rPr>
          <w:rFonts w:hint="eastAsia" w:ascii="宋体" w:hAnsi="宋体" w:eastAsia="宋体" w:cs="Times New Roman"/>
          <w:b/>
          <w:bCs/>
          <w:sz w:val="24"/>
          <w:szCs w:val="24"/>
          <w:highlight w:val="none"/>
        </w:rPr>
        <w:t xml:space="preserve">产品清单</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中的产品一一对应，如有缺项、漏项或者超出报价上限的，视为无效</w:t>
      </w:r>
      <w:r>
        <w:rPr>
          <w:rFonts w:hint="eastAsia" w:ascii="宋体" w:hAnsi="宋体" w:eastAsia="宋体" w:cs="Times New Roman"/>
          <w:b/>
          <w:bCs/>
          <w:sz w:val="24"/>
          <w:szCs w:val="24"/>
          <w:highlight w:val="none"/>
          <w:lang w:val="en-US" w:eastAsia="zh-CN"/>
        </w:rPr>
        <w:t xml:space="preserve">响应</w:t>
      </w:r>
      <w:r>
        <w:rPr>
          <w:rFonts w:hint="eastAsia" w:ascii="宋体" w:hAnsi="宋体" w:eastAsia="宋体" w:cs="Times New Roman"/>
          <w:b/>
          <w:bCs/>
          <w:sz w:val="24"/>
          <w:szCs w:val="24"/>
          <w:highlight w:val="none"/>
        </w:rPr>
        <w:t xml:space="preserve">。</w:t>
      </w:r>
      <w:r/>
    </w:p>
    <w:p>
      <w:pPr>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w:t>
      </w:r>
      <w:r>
        <w:rPr>
          <w:rFonts w:hint="eastAsia" w:ascii="宋体" w:hAnsi="宋体" w:eastAsia="宋体" w:cs="Times New Roman"/>
          <w:b w:val="0"/>
          <w:bCs w:val="0"/>
          <w:sz w:val="24"/>
          <w:szCs w:val="24"/>
          <w:highlight w:val="none"/>
        </w:rPr>
        <w:t xml:space="preserve">行数不够，可自行添加。</w:t>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rPr>
        <w:t xml:space="preserve">、技术要求响应及偏离表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技术要求响应及偏离表</w:t>
      </w:r>
      <w:r/>
    </w:p>
    <w:tbl>
      <w:tblPr>
        <w:tblStyle w:val="68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4"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11"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13"/>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bookmarkEnd w:id="175"/>
      <w:r/>
      <w:r/>
    </w:p>
    <w:p>
      <w:pPr>
        <w:jc w:val="center"/>
        <w:rPr>
          <w:rFonts w:ascii="黑体" w:hAnsi="Arial" w:eastAsia="黑体"/>
          <w:b/>
          <w:sz w:val="36"/>
          <w:szCs w:val="21"/>
        </w:rPr>
      </w:pPr>
      <w:r>
        <w:rPr>
          <w:rFonts w:ascii="黑体" w:hAnsi="Arial" w:eastAsia="黑体"/>
          <w:b/>
          <w:sz w:val="36"/>
          <w:szCs w:val="21"/>
        </w:rPr>
      </w:r>
      <w:r/>
    </w:p>
    <w:p>
      <w:pPr>
        <w:jc w:val="left"/>
        <w:rPr>
          <w:rFonts w:ascii="黑体" w:hAnsi="黑体" w:eastAsia="黑体"/>
          <w:i/>
          <w:sz w:val="32"/>
          <w:szCs w:val="32"/>
          <w:u w:val="single"/>
        </w:rPr>
      </w:pPr>
      <w:r/>
      <w:bookmarkStart w:id="179" w:name="_Hlt26955054"/>
      <w:r/>
      <w:bookmarkEnd w:id="179"/>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、商务要求响应及偏离表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商务要求响应及偏离表</w:t>
      </w:r>
      <w:r/>
    </w:p>
    <w:tbl>
      <w:tblPr>
        <w:tblStyle w:val="68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rPr>
            </w:pPr>
            <w:r/>
            <w:bookmarkStart w:id="180" w:name="_Hlt26671372"/>
            <w:r/>
            <w:bookmarkEnd w:id="180"/>
            <w:r/>
            <w:bookmarkStart w:id="181" w:name="_Hlt26955056"/>
            <w:r/>
            <w:bookmarkEnd w:id="181"/>
            <w:r/>
            <w:bookmarkStart w:id="182" w:name="_Hlt26580838"/>
            <w:r/>
            <w:bookmarkEnd w:id="182"/>
            <w:r/>
            <w:bookmarkStart w:id="183" w:name="_Hlt24879081"/>
            <w:r/>
            <w:bookmarkEnd w:id="183"/>
            <w:r/>
            <w:bookmarkStart w:id="184" w:name="_Hlt26671343"/>
            <w:r/>
            <w:bookmarkEnd w:id="184"/>
            <w:r/>
            <w:bookmarkStart w:id="185" w:name="_Hlt26955064"/>
            <w:r/>
            <w:bookmarkEnd w:id="185"/>
            <w:r/>
            <w:bookmarkStart w:id="186" w:name="_Hlt26609391"/>
            <w:r/>
            <w:bookmarkEnd w:id="186"/>
            <w:r/>
            <w:bookmarkStart w:id="187" w:name="_Hlt26782999"/>
            <w:r/>
            <w:bookmarkEnd w:id="187"/>
            <w:r>
              <w:rPr>
                <w:rFonts w:hint="eastAsia" w:ascii="宋体" w:hAnsi="宋体"/>
                <w:sz w:val="24"/>
                <w:szCs w:val="24"/>
              </w:rPr>
              <w:t xml:space="preserve">序号</w:t>
            </w:r>
            <w:r/>
          </w:p>
        </w:tc>
        <w:tc>
          <w:tcPr>
            <w:tcW w:w="2912"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23"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912" w:type="dxa"/>
            <w:vAlign w:val="center"/>
            <w:textDirection w:val="lrTb"/>
            <w:noWrap/>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第四章采购需求中（四）</w:t>
            </w:r>
            <w:r>
              <w:rPr>
                <w:rFonts w:hint="eastAsia" w:ascii="宋体" w:hAnsi="宋体" w:eastAsia="宋体" w:cs="宋体"/>
                <w:sz w:val="24"/>
                <w:szCs w:val="24"/>
                <w:highlight w:val="none"/>
                <w:lang w:val="en-US" w:eastAsia="zh-CN" w:bidi="ar"/>
                <w14:ligatures w14:val="none"/>
              </w:rPr>
              <w:t xml:space="preserve">拟采购标的需要满足的技术、商务要求</w:t>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3</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12"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23"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13"/>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hint="eastAsia" w:ascii="宋体" w:hAnsi="宋体"/>
          <w:sz w:val="24"/>
          <w:szCs w:val="24"/>
        </w:rPr>
        <w:br w:type="page" w:clear="all"/>
      </w:r>
      <w:r/>
    </w:p>
    <w:p>
      <w:pPr>
        <w:pStyle w:val="792"/>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 xml:space="preserve">一</w:t>
      </w:r>
      <w:r>
        <w:rPr>
          <w:rFonts w:hint="eastAsia" w:ascii="黑体" w:hAnsi="黑体"/>
          <w:b w:val="0"/>
          <w:i/>
          <w:sz w:val="32"/>
          <w:szCs w:val="32"/>
          <w:u w:val="single"/>
        </w:rPr>
        <w:t xml:space="preserve">、其他材料</w:t>
      </w:r>
      <w:r/>
    </w:p>
    <w:p>
      <w:pPr>
        <w:pStyle w:val="793"/>
        <w:rPr>
          <w:rFonts w:ascii="宋体" w:hAnsi="宋体"/>
          <w:sz w:val="24"/>
          <w:szCs w:val="24"/>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pStyle w:val="792"/>
      </w:pPr>
      <w:r/>
      <w:r/>
    </w:p>
    <w:p>
      <w:pPr>
        <w:spacing w:line="480" w:lineRule="auto"/>
        <w:rPr>
          <w:rFonts w:ascii="宋体" w:hAnsi="宋体"/>
          <w:sz w:val="24"/>
          <w:szCs w:val="21"/>
        </w:rPr>
      </w:pPr>
      <w:r>
        <w:rPr>
          <w:rFonts w:ascii="宋体" w:hAnsi="宋体"/>
          <w:sz w:val="24"/>
          <w:szCs w:val="21"/>
        </w:rPr>
      </w:r>
      <w:bookmarkEnd w:id="165"/>
      <w:bookmarkEnd w:id="166"/>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88" w:name="_Hlt26609389"/>
      <w:r/>
      <w:bookmarkEnd w:id="188"/>
      <w:r/>
      <w:bookmarkStart w:id="189" w:name="_Toc462564146"/>
      <w:r/>
      <w:bookmarkEnd w:id="189"/>
      <w:r/>
      <w:bookmarkStart w:id="190" w:name="_Hlt26955066"/>
      <w:r/>
      <w:bookmarkEnd w:id="190"/>
      <w:r/>
      <w:bookmarkStart w:id="191" w:name="_Hlt26671374"/>
      <w:r/>
      <w:bookmarkEnd w:id="191"/>
      <w:r/>
      <w:r/>
    </w:p>
    <w:p>
      <w:pPr>
        <w:jc w:val="center"/>
        <w:rPr>
          <w:rFonts w:ascii="黑体" w:hAnsi="黑体" w:eastAsia="黑体"/>
          <w:b/>
          <w:sz w:val="32"/>
          <w:szCs w:val="32"/>
        </w:rPr>
      </w:pPr>
      <w:r/>
      <w:bookmarkStart w:id="192" w:name="_格式2__法定代表人授权书"/>
      <w:r/>
      <w:bookmarkEnd w:id="192"/>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6"/>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792"/>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1"/>
  </w:num>
  <w:num w:numId="6">
    <w:abstractNumId w:val="4"/>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9">
    <w:name w:val="Heading 1"/>
    <w:basedOn w:val="678"/>
    <w:next w:val="678"/>
    <w:link w:val="758"/>
    <w:uiPriority w:val="0"/>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59"/>
    <w:uiPriority w:val="0"/>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60"/>
    <w:uiPriority w:val="0"/>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61"/>
    <w:uiPriority w:val="0"/>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62"/>
    <w:uiPriority w:val="0"/>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63"/>
    <w:uiPriority w:val="0"/>
    <w:unhideWhenUsed/>
    <w:qFormat/>
    <w:pPr>
      <w:keepLines/>
      <w:keepNext/>
      <w:spacing w:before="320" w:after="200"/>
      <w:outlineLvl w:val="5"/>
    </w:pPr>
    <w:rPr>
      <w:rFonts w:ascii="Arial" w:hAnsi="Arial" w:eastAsia="Arial" w:cs="Arial"/>
      <w:b/>
      <w:bCs/>
      <w:sz w:val="22"/>
    </w:rPr>
  </w:style>
  <w:style w:type="paragraph" w:styleId="685">
    <w:name w:val="Heading 7"/>
    <w:basedOn w:val="678"/>
    <w:next w:val="678"/>
    <w:link w:val="764"/>
    <w:uiPriority w:val="0"/>
    <w:unhideWhenUsed/>
    <w:qFormat/>
    <w:pPr>
      <w:keepLines/>
      <w:keepNext/>
      <w:spacing w:before="320" w:after="200"/>
      <w:outlineLvl w:val="6"/>
    </w:pPr>
    <w:rPr>
      <w:rFonts w:ascii="Arial" w:hAnsi="Arial" w:eastAsia="Arial" w:cs="Arial"/>
      <w:b/>
      <w:bCs/>
      <w:i/>
      <w:iCs/>
      <w:sz w:val="22"/>
    </w:rPr>
  </w:style>
  <w:style w:type="paragraph" w:styleId="686">
    <w:name w:val="Heading 8"/>
    <w:basedOn w:val="678"/>
    <w:next w:val="678"/>
    <w:link w:val="765"/>
    <w:uiPriority w:val="0"/>
    <w:unhideWhenUsed/>
    <w:qFormat/>
    <w:pPr>
      <w:keepLines/>
      <w:keepNext/>
      <w:spacing w:before="320" w:after="200"/>
      <w:outlineLvl w:val="7"/>
    </w:pPr>
    <w:rPr>
      <w:rFonts w:ascii="Arial" w:hAnsi="Arial" w:eastAsia="Arial" w:cs="Arial"/>
      <w:i/>
      <w:iCs/>
      <w:sz w:val="22"/>
    </w:rPr>
  </w:style>
  <w:style w:type="paragraph" w:styleId="687">
    <w:name w:val="Heading 9"/>
    <w:basedOn w:val="678"/>
    <w:next w:val="678"/>
    <w:link w:val="766"/>
    <w:uiPriority w:val="0"/>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0"/>
    <w:unhideWhenUsed/>
    <w:qFormat/>
    <w:pPr>
      <w:ind w:left="1701"/>
      <w:spacing w:after="57"/>
    </w:pPr>
  </w:style>
  <w:style w:type="paragraph" w:styleId="691">
    <w:name w:val="Normal Indent"/>
    <w:basedOn w:val="678"/>
    <w:uiPriority w:val="0"/>
    <w:qFormat/>
    <w:pPr>
      <w:ind w:firstLine="420"/>
      <w:jc w:val="left"/>
      <w:widowControl/>
    </w:pPr>
    <w:rPr>
      <w:sz w:val="20"/>
      <w:szCs w:val="20"/>
    </w:rPr>
  </w:style>
  <w:style w:type="paragraph" w:styleId="692">
    <w:name w:val="Caption"/>
    <w:basedOn w:val="678"/>
    <w:next w:val="678"/>
    <w:uiPriority w:val="0"/>
    <w:unhideWhenUsed/>
    <w:qFormat/>
    <w:pPr>
      <w:spacing w:line="276" w:lineRule="auto"/>
    </w:pPr>
    <w:rPr>
      <w:b/>
      <w:bCs/>
      <w:color w:val="4f81bd" w:themeColor="accent1"/>
      <w:sz w:val="18"/>
      <w:szCs w:val="18"/>
    </w:rPr>
  </w:style>
  <w:style w:type="paragraph" w:styleId="693">
    <w:name w:val="Document Map"/>
    <w:basedOn w:val="678"/>
    <w:uiPriority w:val="0"/>
    <w:qFormat/>
    <w:pPr>
      <w:jc w:val="left"/>
      <w:shd w:val="clear" w:color="auto" w:fill="000080"/>
      <w:widowControl/>
    </w:pPr>
    <w:rPr>
      <w:sz w:val="20"/>
      <w:szCs w:val="20"/>
    </w:rPr>
  </w:style>
  <w:style w:type="paragraph" w:styleId="694">
    <w:name w:val="annotation text"/>
    <w:basedOn w:val="678"/>
    <w:uiPriority w:val="0"/>
    <w:qFormat/>
    <w:pPr>
      <w:jc w:val="left"/>
      <w:widowControl/>
    </w:pPr>
    <w:rPr>
      <w:sz w:val="20"/>
      <w:szCs w:val="20"/>
    </w:rPr>
  </w:style>
  <w:style w:type="paragraph" w:styleId="695">
    <w:name w:val="Body Text"/>
    <w:basedOn w:val="678"/>
    <w:uiPriority w:val="0"/>
    <w:qFormat/>
    <w:rPr>
      <w:sz w:val="24"/>
      <w:szCs w:val="24"/>
    </w:rPr>
  </w:style>
  <w:style w:type="paragraph" w:styleId="696">
    <w:name w:val="Body Text Indent"/>
    <w:basedOn w:val="678"/>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697">
    <w:name w:val="index 4"/>
    <w:basedOn w:val="678"/>
    <w:next w:val="678"/>
    <w:uiPriority w:val="0"/>
    <w:qFormat/>
    <w:pPr>
      <w:ind w:left="600"/>
    </w:pPr>
    <w:rPr>
      <w:szCs w:val="24"/>
    </w:rPr>
  </w:style>
  <w:style w:type="paragraph" w:styleId="698">
    <w:name w:val="toc 5"/>
    <w:basedOn w:val="678"/>
    <w:next w:val="678"/>
    <w:uiPriority w:val="0"/>
    <w:unhideWhenUsed/>
    <w:qFormat/>
    <w:pPr>
      <w:ind w:left="1134"/>
      <w:spacing w:after="57"/>
    </w:pPr>
  </w:style>
  <w:style w:type="paragraph" w:styleId="699">
    <w:name w:val="toc 3"/>
    <w:basedOn w:val="678"/>
    <w:next w:val="678"/>
    <w:uiPriority w:val="0"/>
    <w:unhideWhenUsed/>
    <w:qFormat/>
    <w:pPr>
      <w:ind w:left="567"/>
      <w:spacing w:after="57"/>
    </w:pPr>
  </w:style>
  <w:style w:type="paragraph" w:styleId="700">
    <w:name w:val="Plain Text"/>
    <w:basedOn w:val="678"/>
    <w:uiPriority w:val="0"/>
    <w:qFormat/>
    <w:rPr>
      <w:rFonts w:ascii="宋体" w:hAnsi="Courier New"/>
    </w:rPr>
  </w:style>
  <w:style w:type="paragraph" w:styleId="701">
    <w:name w:val="toc 8"/>
    <w:basedOn w:val="678"/>
    <w:next w:val="678"/>
    <w:uiPriority w:val="0"/>
    <w:unhideWhenUsed/>
    <w:qFormat/>
    <w:pPr>
      <w:ind w:left="1984"/>
      <w:spacing w:after="57"/>
    </w:pPr>
  </w:style>
  <w:style w:type="paragraph" w:styleId="702">
    <w:name w:val="Date"/>
    <w:basedOn w:val="678"/>
    <w:next w:val="678"/>
    <w:uiPriority w:val="0"/>
    <w:qFormat/>
    <w:pPr>
      <w:ind w:left="100"/>
    </w:pPr>
    <w:rPr>
      <w:szCs w:val="20"/>
    </w:rPr>
  </w:style>
  <w:style w:type="paragraph" w:styleId="703">
    <w:name w:val="Body Text Indent 2"/>
    <w:basedOn w:val="678"/>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04">
    <w:name w:val="endnote text"/>
    <w:basedOn w:val="678"/>
    <w:link w:val="767"/>
    <w:uiPriority w:val="99"/>
    <w:semiHidden/>
    <w:unhideWhenUsed/>
    <w:qFormat/>
    <w:rPr>
      <w:sz w:val="20"/>
    </w:rPr>
  </w:style>
  <w:style w:type="paragraph" w:styleId="705">
    <w:name w:val="Balloon Text"/>
    <w:basedOn w:val="678"/>
    <w:uiPriority w:val="0"/>
    <w:qFormat/>
    <w:pPr>
      <w:jc w:val="left"/>
      <w:widowControl/>
    </w:pPr>
    <w:rPr>
      <w:sz w:val="18"/>
      <w:szCs w:val="18"/>
    </w:rPr>
  </w:style>
  <w:style w:type="paragraph" w:styleId="706">
    <w:name w:val="Footer"/>
    <w:basedOn w:val="678"/>
    <w:link w:val="768"/>
    <w:uiPriority w:val="0"/>
    <w:unhideWhenUsed/>
    <w:qFormat/>
    <w:pPr>
      <w:tabs>
        <w:tab w:val="center" w:pos="7143" w:leader="none"/>
        <w:tab w:val="right" w:pos="14287" w:leader="none"/>
      </w:tabs>
    </w:pPr>
  </w:style>
  <w:style w:type="paragraph" w:styleId="707">
    <w:name w:val="Header"/>
    <w:basedOn w:val="678"/>
    <w:link w:val="769"/>
    <w:uiPriority w:val="0"/>
    <w:unhideWhenUsed/>
    <w:qFormat/>
    <w:pPr>
      <w:tabs>
        <w:tab w:val="center" w:pos="7143" w:leader="none"/>
        <w:tab w:val="right" w:pos="14287" w:leader="none"/>
      </w:tabs>
    </w:pPr>
  </w:style>
  <w:style w:type="paragraph" w:styleId="708">
    <w:name w:val="toc 1"/>
    <w:basedOn w:val="678"/>
    <w:next w:val="678"/>
    <w:uiPriority w:val="0"/>
    <w:unhideWhenUsed/>
    <w:qFormat/>
    <w:pPr>
      <w:spacing w:after="57"/>
    </w:pPr>
  </w:style>
  <w:style w:type="paragraph" w:styleId="709">
    <w:name w:val="toc 4"/>
    <w:basedOn w:val="678"/>
    <w:next w:val="678"/>
    <w:uiPriority w:val="0"/>
    <w:unhideWhenUsed/>
    <w:qFormat/>
    <w:pPr>
      <w:ind w:left="850"/>
      <w:spacing w:after="57"/>
    </w:pPr>
  </w:style>
  <w:style w:type="paragraph" w:styleId="710">
    <w:name w:val="Subtitle"/>
    <w:basedOn w:val="678"/>
    <w:next w:val="678"/>
    <w:link w:val="770"/>
    <w:uiPriority w:val="0"/>
    <w:qFormat/>
    <w:pPr>
      <w:spacing w:before="200" w:after="200"/>
    </w:pPr>
    <w:rPr>
      <w:sz w:val="24"/>
      <w:szCs w:val="24"/>
    </w:rPr>
  </w:style>
  <w:style w:type="paragraph" w:styleId="711">
    <w:name w:val="footnote text"/>
    <w:basedOn w:val="678"/>
    <w:link w:val="771"/>
    <w:uiPriority w:val="99"/>
    <w:semiHidden/>
    <w:unhideWhenUsed/>
    <w:qFormat/>
    <w:pPr>
      <w:spacing w:after="40"/>
    </w:pPr>
    <w:rPr>
      <w:sz w:val="18"/>
    </w:rPr>
  </w:style>
  <w:style w:type="paragraph" w:styleId="712">
    <w:name w:val="toc 6"/>
    <w:basedOn w:val="678"/>
    <w:next w:val="678"/>
    <w:uiPriority w:val="0"/>
    <w:unhideWhenUsed/>
    <w:qFormat/>
    <w:pPr>
      <w:ind w:left="1417"/>
      <w:spacing w:after="57"/>
    </w:pPr>
  </w:style>
  <w:style w:type="paragraph" w:styleId="713">
    <w:name w:val="Body Text Indent 3"/>
    <w:basedOn w:val="678"/>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14">
    <w:name w:val="table of figures"/>
    <w:basedOn w:val="678"/>
    <w:next w:val="678"/>
    <w:uiPriority w:val="99"/>
    <w:unhideWhenUsed/>
    <w:qFormat/>
  </w:style>
  <w:style w:type="paragraph" w:styleId="715">
    <w:name w:val="toc 2"/>
    <w:basedOn w:val="678"/>
    <w:next w:val="678"/>
    <w:uiPriority w:val="0"/>
    <w:unhideWhenUsed/>
    <w:qFormat/>
    <w:pPr>
      <w:ind w:left="283"/>
      <w:spacing w:after="57"/>
    </w:pPr>
  </w:style>
  <w:style w:type="paragraph" w:styleId="716">
    <w:name w:val="toc 9"/>
    <w:basedOn w:val="678"/>
    <w:next w:val="678"/>
    <w:uiPriority w:val="0"/>
    <w:unhideWhenUsed/>
    <w:qFormat/>
    <w:pPr>
      <w:ind w:left="2268"/>
      <w:spacing w:after="57"/>
    </w:pPr>
  </w:style>
  <w:style w:type="paragraph" w:styleId="717">
    <w:name w:val="Body Text 2"/>
    <w:basedOn w:val="678"/>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18">
    <w:name w:val="HTML Preformatted"/>
    <w:basedOn w:val="678"/>
    <w:link w:val="772"/>
    <w:uiPriority w:val="0"/>
    <w:qFormat/>
    <w:rPr>
      <w:rFonts w:ascii="黑体" w:hAnsi="Courier New" w:eastAsia="黑体" w:cs="Courier New"/>
    </w:rPr>
  </w:style>
  <w:style w:type="paragraph" w:styleId="719">
    <w:name w:val="Normal (Web)"/>
    <w:basedOn w:val="678"/>
    <w:uiPriority w:val="0"/>
    <w:unhideWhenUsed/>
    <w:qFormat/>
    <w:pPr>
      <w:jc w:val="left"/>
    </w:pPr>
    <w:rPr>
      <w:sz w:val="24"/>
    </w:rPr>
  </w:style>
  <w:style w:type="paragraph" w:styleId="720">
    <w:name w:val="Title"/>
    <w:basedOn w:val="678"/>
    <w:next w:val="678"/>
    <w:link w:val="773"/>
    <w:uiPriority w:val="0"/>
    <w:qFormat/>
    <w:pPr>
      <w:contextualSpacing/>
      <w:spacing w:before="300" w:after="200"/>
    </w:pPr>
    <w:rPr>
      <w:sz w:val="48"/>
      <w:szCs w:val="48"/>
    </w:rPr>
  </w:style>
  <w:style w:type="paragraph" w:styleId="721">
    <w:name w:val="annotation subject"/>
    <w:basedOn w:val="694"/>
    <w:next w:val="694"/>
    <w:uiPriority w:val="0"/>
    <w:qFormat/>
    <w:rPr>
      <w:b/>
      <w:bCs/>
    </w:rPr>
  </w:style>
  <w:style w:type="paragraph" w:styleId="722">
    <w:name w:val="Body Text First Indent"/>
    <w:basedOn w:val="695"/>
    <w:uiPriority w:val="99"/>
    <w:unhideWhenUsed/>
    <w:qFormat/>
    <w:pPr>
      <w:ind w:firstLine="420"/>
      <w:spacing w:after="120"/>
    </w:pPr>
    <w:rPr>
      <w:rFonts w:asciiTheme="minorHAnsi" w:hAnsiTheme="minorHAnsi" w:eastAsiaTheme="minorEastAsia" w:cstheme="minorBidi"/>
      <w:sz w:val="21"/>
      <w:szCs w:val="22"/>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88"/>
    <w:uiPriority w:val="0"/>
    <w:qFormat/>
    <w:rPr>
      <w:b/>
    </w:rPr>
  </w:style>
  <w:style w:type="character" w:styleId="725">
    <w:name w:val="endnote reference"/>
    <w:uiPriority w:val="99"/>
    <w:semiHidden/>
    <w:unhideWhenUsed/>
    <w:qFormat/>
    <w:rPr>
      <w:vertAlign w:val="superscript"/>
    </w:rPr>
  </w:style>
  <w:style w:type="character" w:styleId="726">
    <w:name w:val="page number"/>
    <w:basedOn w:val="688"/>
    <w:uiPriority w:val="0"/>
    <w:qFormat/>
  </w:style>
  <w:style w:type="character" w:styleId="727">
    <w:name w:val="FollowedHyperlink"/>
    <w:basedOn w:val="688"/>
    <w:uiPriority w:val="99"/>
    <w:semiHidden/>
    <w:unhideWhenUsed/>
    <w:qFormat/>
    <w:rPr>
      <w:color w:val="800080"/>
      <w:u w:val="none"/>
    </w:rPr>
  </w:style>
  <w:style w:type="character" w:styleId="728">
    <w:name w:val="Emphasis"/>
    <w:uiPriority w:val="0"/>
    <w:qFormat/>
    <w:rPr>
      <w:i/>
      <w:iCs/>
    </w:rPr>
  </w:style>
  <w:style w:type="character" w:styleId="729">
    <w:name w:val="HTML Typewriter"/>
    <w:basedOn w:val="688"/>
    <w:uiPriority w:val="99"/>
    <w:semiHidden/>
    <w:unhideWhenUsed/>
    <w:qFormat/>
    <w:rPr>
      <w:rFonts w:ascii="monospace" w:hAnsi="monospace" w:eastAsia="monospace" w:cs="monospace"/>
      <w:sz w:val="20"/>
    </w:rPr>
  </w:style>
  <w:style w:type="character" w:styleId="730">
    <w:name w:val="HTML Acronym"/>
    <w:basedOn w:val="688"/>
    <w:uiPriority w:val="99"/>
    <w:semiHidden/>
    <w:unhideWhenUsed/>
    <w:qFormat/>
  </w:style>
  <w:style w:type="character" w:styleId="731">
    <w:name w:val="Hyperlink"/>
    <w:uiPriority w:val="0"/>
    <w:unhideWhenUsed/>
    <w:qFormat/>
    <w:rPr>
      <w:color w:val="0000ff" w:themeColor="hyperlink"/>
      <w:u w:val="single"/>
    </w:rPr>
  </w:style>
  <w:style w:type="character" w:styleId="732">
    <w:name w:val="HTML Code"/>
    <w:basedOn w:val="688"/>
    <w:uiPriority w:val="99"/>
    <w:semiHidden/>
    <w:unhideWhenUsed/>
    <w:qFormat/>
    <w:rPr>
      <w:rFonts w:hint="default" w:ascii="monospace" w:hAnsi="monospace" w:eastAsia="monospace" w:cs="monospace"/>
      <w:sz w:val="20"/>
    </w:rPr>
  </w:style>
  <w:style w:type="character" w:styleId="733">
    <w:name w:val="annotation reference"/>
    <w:basedOn w:val="688"/>
    <w:uiPriority w:val="0"/>
    <w:qFormat/>
    <w:rPr>
      <w:sz w:val="21"/>
      <w:szCs w:val="21"/>
    </w:rPr>
  </w:style>
  <w:style w:type="character" w:styleId="734">
    <w:name w:val="footnote reference"/>
    <w:uiPriority w:val="99"/>
    <w:unhideWhenUsed/>
    <w:qFormat/>
    <w:rPr>
      <w:vertAlign w:val="superscript"/>
    </w:rPr>
  </w:style>
  <w:style w:type="character" w:styleId="735">
    <w:name w:val="HTML Keyboard"/>
    <w:basedOn w:val="688"/>
    <w:uiPriority w:val="99"/>
    <w:semiHidden/>
    <w:unhideWhenUsed/>
    <w:qFormat/>
    <w:rPr>
      <w:rFonts w:hint="default" w:ascii="monospace" w:hAnsi="monospace" w:eastAsia="monospace" w:cs="monospace"/>
      <w:sz w:val="20"/>
    </w:rPr>
  </w:style>
  <w:style w:type="character" w:styleId="736">
    <w:name w:val="HTML Sample"/>
    <w:basedOn w:val="688"/>
    <w:uiPriority w:val="99"/>
    <w:semiHidden/>
    <w:unhideWhenUsed/>
    <w:qFormat/>
    <w:rPr>
      <w:rFonts w:hint="default" w:ascii="monospace" w:hAnsi="monospace" w:eastAsia="monospace" w:cs="monospace"/>
    </w:rPr>
  </w:style>
  <w:style w:type="paragraph" w:styleId="737"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38"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9"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8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5"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6"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索引 41"/>
    <w:basedOn w:val="678"/>
    <w:next w:val="678"/>
    <w:uiPriority w:val="0"/>
    <w:semiHidden/>
    <w:qFormat/>
    <w:pPr>
      <w:ind w:left="1260"/>
    </w:pPr>
    <w:rPr>
      <w:rFonts w:ascii="Calibri" w:hAnsi="Calibri" w:eastAsia="Calibri" w:cs="宋体"/>
      <w:sz w:val="20"/>
      <w:lang w:val="zh-CN"/>
    </w:rPr>
  </w:style>
  <w:style w:type="character" w:styleId="758" w:customStyle="1">
    <w:name w:val="标题 1 Char1"/>
    <w:link w:val="679"/>
    <w:uiPriority w:val="9"/>
    <w:qFormat/>
    <w:rPr>
      <w:rFonts w:ascii="Arial" w:hAnsi="Arial" w:eastAsia="Arial" w:cs="Arial"/>
      <w:sz w:val="40"/>
      <w:szCs w:val="40"/>
    </w:rPr>
  </w:style>
  <w:style w:type="character" w:styleId="759" w:customStyle="1">
    <w:name w:val="标题 2 Char1"/>
    <w:link w:val="680"/>
    <w:uiPriority w:val="9"/>
    <w:qFormat/>
    <w:rPr>
      <w:rFonts w:ascii="Arial" w:hAnsi="Arial" w:eastAsia="Arial" w:cs="Arial"/>
      <w:sz w:val="34"/>
    </w:rPr>
  </w:style>
  <w:style w:type="character" w:styleId="760" w:customStyle="1">
    <w:name w:val="标题 3 Char1"/>
    <w:link w:val="681"/>
    <w:uiPriority w:val="9"/>
    <w:qFormat/>
    <w:rPr>
      <w:rFonts w:ascii="Arial" w:hAnsi="Arial" w:eastAsia="Arial" w:cs="Arial"/>
      <w:sz w:val="30"/>
      <w:szCs w:val="30"/>
    </w:rPr>
  </w:style>
  <w:style w:type="character" w:styleId="761" w:customStyle="1">
    <w:name w:val="标题 4 Char1"/>
    <w:link w:val="682"/>
    <w:uiPriority w:val="9"/>
    <w:qFormat/>
    <w:rPr>
      <w:rFonts w:ascii="Arial" w:hAnsi="Arial" w:eastAsia="Arial" w:cs="Arial"/>
      <w:b/>
      <w:bCs/>
      <w:sz w:val="26"/>
      <w:szCs w:val="26"/>
    </w:rPr>
  </w:style>
  <w:style w:type="character" w:styleId="762" w:customStyle="1">
    <w:name w:val="标题 5 Char1"/>
    <w:link w:val="683"/>
    <w:uiPriority w:val="9"/>
    <w:qFormat/>
    <w:rPr>
      <w:rFonts w:ascii="Arial" w:hAnsi="Arial" w:eastAsia="Arial" w:cs="Arial"/>
      <w:b/>
      <w:bCs/>
      <w:sz w:val="24"/>
      <w:szCs w:val="24"/>
    </w:rPr>
  </w:style>
  <w:style w:type="character" w:styleId="763" w:customStyle="1">
    <w:name w:val="标题 6 Char1"/>
    <w:link w:val="684"/>
    <w:uiPriority w:val="9"/>
    <w:qFormat/>
    <w:rPr>
      <w:rFonts w:ascii="Arial" w:hAnsi="Arial" w:eastAsia="Arial" w:cs="Arial"/>
      <w:b/>
      <w:bCs/>
      <w:sz w:val="22"/>
      <w:szCs w:val="22"/>
    </w:rPr>
  </w:style>
  <w:style w:type="character" w:styleId="764" w:customStyle="1">
    <w:name w:val="标题 7 Char1"/>
    <w:link w:val="685"/>
    <w:uiPriority w:val="9"/>
    <w:qFormat/>
    <w:rPr>
      <w:rFonts w:ascii="Arial" w:hAnsi="Arial" w:eastAsia="Arial" w:cs="Arial"/>
      <w:b/>
      <w:bCs/>
      <w:i/>
      <w:iCs/>
      <w:sz w:val="22"/>
      <w:szCs w:val="22"/>
    </w:rPr>
  </w:style>
  <w:style w:type="character" w:styleId="765" w:customStyle="1">
    <w:name w:val="标题 8 Char1"/>
    <w:link w:val="686"/>
    <w:uiPriority w:val="9"/>
    <w:qFormat/>
    <w:rPr>
      <w:rFonts w:ascii="Arial" w:hAnsi="Arial" w:eastAsia="Arial" w:cs="Arial"/>
      <w:i/>
      <w:iCs/>
      <w:sz w:val="22"/>
      <w:szCs w:val="22"/>
    </w:rPr>
  </w:style>
  <w:style w:type="character" w:styleId="766" w:customStyle="1">
    <w:name w:val="标题 9 Char1"/>
    <w:link w:val="687"/>
    <w:uiPriority w:val="9"/>
    <w:qFormat/>
    <w:rPr>
      <w:rFonts w:ascii="Arial" w:hAnsi="Arial" w:eastAsia="Arial" w:cs="Arial"/>
      <w:i/>
      <w:iCs/>
      <w:sz w:val="21"/>
      <w:szCs w:val="21"/>
    </w:rPr>
  </w:style>
  <w:style w:type="character" w:styleId="767" w:customStyle="1">
    <w:name w:val="尾注文本 Char"/>
    <w:link w:val="704"/>
    <w:uiPriority w:val="99"/>
    <w:qFormat/>
    <w:rPr>
      <w:sz w:val="20"/>
    </w:rPr>
  </w:style>
  <w:style w:type="character" w:styleId="768" w:customStyle="1">
    <w:name w:val="页脚 Char1"/>
    <w:link w:val="706"/>
    <w:uiPriority w:val="99"/>
    <w:qFormat/>
  </w:style>
  <w:style w:type="character" w:styleId="769" w:customStyle="1">
    <w:name w:val="页眉 Char1"/>
    <w:link w:val="707"/>
    <w:uiPriority w:val="99"/>
    <w:qFormat/>
  </w:style>
  <w:style w:type="character" w:styleId="770" w:customStyle="1">
    <w:name w:val="副标题 Char"/>
    <w:link w:val="710"/>
    <w:uiPriority w:val="0"/>
    <w:qFormat/>
    <w:rPr>
      <w:sz w:val="24"/>
      <w:szCs w:val="24"/>
    </w:rPr>
  </w:style>
  <w:style w:type="character" w:styleId="771" w:customStyle="1">
    <w:name w:val="脚注文本 Char"/>
    <w:link w:val="711"/>
    <w:uiPriority w:val="99"/>
    <w:qFormat/>
    <w:rPr>
      <w:sz w:val="18"/>
    </w:rPr>
  </w:style>
  <w:style w:type="character" w:styleId="772" w:customStyle="1">
    <w:name w:val="HTML 预设格式 Char"/>
    <w:basedOn w:val="688"/>
    <w:link w:val="718"/>
    <w:uiPriority w:val="0"/>
    <w:qFormat/>
    <w:rPr>
      <w:rFonts w:ascii="黑体" w:hAnsi="Courier New" w:eastAsia="黑体" w:cs="Courier New"/>
      <w:sz w:val="21"/>
      <w:szCs w:val="22"/>
    </w:rPr>
  </w:style>
  <w:style w:type="character" w:styleId="773" w:customStyle="1">
    <w:name w:val="标题 Char"/>
    <w:link w:val="720"/>
    <w:uiPriority w:val="0"/>
    <w:qFormat/>
    <w:rPr>
      <w:sz w:val="48"/>
      <w:szCs w:val="48"/>
    </w:rPr>
  </w:style>
  <w:style w:type="character" w:styleId="774" w:customStyle="1">
    <w:name w:val="Heading 1 Char"/>
    <w:basedOn w:val="688"/>
    <w:uiPriority w:val="9"/>
    <w:qFormat/>
    <w:rPr>
      <w:rFonts w:ascii="Arial" w:hAnsi="Arial" w:eastAsia="Arial" w:cs="Arial"/>
      <w:sz w:val="40"/>
      <w:szCs w:val="40"/>
    </w:rPr>
  </w:style>
  <w:style w:type="character" w:styleId="775" w:customStyle="1">
    <w:name w:val="Heading 2 Char"/>
    <w:basedOn w:val="688"/>
    <w:uiPriority w:val="9"/>
    <w:qFormat/>
    <w:rPr>
      <w:rFonts w:ascii="Arial" w:hAnsi="Arial" w:eastAsia="Arial" w:cs="Arial"/>
      <w:sz w:val="34"/>
    </w:rPr>
  </w:style>
  <w:style w:type="character" w:styleId="776" w:customStyle="1">
    <w:name w:val="Heading 3 Char"/>
    <w:basedOn w:val="688"/>
    <w:uiPriority w:val="9"/>
    <w:qFormat/>
    <w:rPr>
      <w:rFonts w:ascii="Arial" w:hAnsi="Arial" w:eastAsia="Arial" w:cs="Arial"/>
      <w:sz w:val="30"/>
      <w:szCs w:val="30"/>
    </w:rPr>
  </w:style>
  <w:style w:type="character" w:styleId="777" w:customStyle="1">
    <w:name w:val="Heading 4 Char"/>
    <w:basedOn w:val="688"/>
    <w:uiPriority w:val="9"/>
    <w:qFormat/>
    <w:rPr>
      <w:rFonts w:ascii="Arial" w:hAnsi="Arial" w:eastAsia="Arial" w:cs="Arial"/>
      <w:b/>
      <w:bCs/>
      <w:sz w:val="26"/>
      <w:szCs w:val="26"/>
    </w:rPr>
  </w:style>
  <w:style w:type="character" w:styleId="778" w:customStyle="1">
    <w:name w:val="Heading 5 Char"/>
    <w:basedOn w:val="688"/>
    <w:uiPriority w:val="9"/>
    <w:qFormat/>
    <w:rPr>
      <w:rFonts w:ascii="Arial" w:hAnsi="Arial" w:eastAsia="Arial" w:cs="Arial"/>
      <w:b/>
      <w:bCs/>
      <w:sz w:val="24"/>
      <w:szCs w:val="24"/>
    </w:rPr>
  </w:style>
  <w:style w:type="character" w:styleId="779" w:customStyle="1">
    <w:name w:val="Heading 6 Char"/>
    <w:basedOn w:val="688"/>
    <w:uiPriority w:val="9"/>
    <w:qFormat/>
    <w:rPr>
      <w:rFonts w:ascii="Arial" w:hAnsi="Arial" w:eastAsia="Arial" w:cs="Arial"/>
      <w:b/>
      <w:bCs/>
      <w:sz w:val="22"/>
      <w:szCs w:val="22"/>
    </w:rPr>
  </w:style>
  <w:style w:type="character" w:styleId="780" w:customStyle="1">
    <w:name w:val="Heading 7 Char"/>
    <w:basedOn w:val="688"/>
    <w:uiPriority w:val="9"/>
    <w:qFormat/>
    <w:rPr>
      <w:rFonts w:ascii="Arial" w:hAnsi="Arial" w:eastAsia="Arial" w:cs="Arial"/>
      <w:b/>
      <w:bCs/>
      <w:i/>
      <w:iCs/>
      <w:sz w:val="22"/>
      <w:szCs w:val="22"/>
    </w:rPr>
  </w:style>
  <w:style w:type="character" w:styleId="781" w:customStyle="1">
    <w:name w:val="Heading 8 Char"/>
    <w:basedOn w:val="688"/>
    <w:uiPriority w:val="9"/>
    <w:qFormat/>
    <w:rPr>
      <w:rFonts w:ascii="Arial" w:hAnsi="Arial" w:eastAsia="Arial" w:cs="Arial"/>
      <w:i/>
      <w:iCs/>
      <w:sz w:val="22"/>
      <w:szCs w:val="22"/>
    </w:rPr>
  </w:style>
  <w:style w:type="character" w:styleId="782" w:customStyle="1">
    <w:name w:val="Heading 9 Char"/>
    <w:basedOn w:val="688"/>
    <w:uiPriority w:val="9"/>
    <w:qFormat/>
    <w:rPr>
      <w:rFonts w:ascii="Arial" w:hAnsi="Arial" w:eastAsia="Arial" w:cs="Arial"/>
      <w:i/>
      <w:iCs/>
      <w:sz w:val="21"/>
      <w:szCs w:val="21"/>
    </w:rPr>
  </w:style>
  <w:style w:type="character" w:styleId="783" w:customStyle="1">
    <w:name w:val="Title Char"/>
    <w:basedOn w:val="688"/>
    <w:uiPriority w:val="10"/>
    <w:qFormat/>
    <w:rPr>
      <w:sz w:val="48"/>
      <w:szCs w:val="48"/>
    </w:rPr>
  </w:style>
  <w:style w:type="character" w:styleId="784" w:customStyle="1">
    <w:name w:val="Subtitle Char"/>
    <w:basedOn w:val="688"/>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688"/>
    <w:uiPriority w:val="99"/>
    <w:qFormat/>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hint="default" w:ascii="Times New Roman" w:hAnsi="Times New Roman" w:eastAsia="宋体" w:cs="Times New Roman"/>
      <w:lang w:val="en-US" w:eastAsia="zh-CN" w:bidi="ar-SA"/>
    </w:rPr>
  </w:style>
  <w:style w:type="paragraph" w:styleId="792" w:customStyle="1">
    <w:name w:val="标题 5（有编号）（绿盟科技）"/>
    <w:basedOn w:val="678"/>
    <w:next w:val="793"/>
    <w:uiPriority w:val="0"/>
    <w:qFormat/>
    <w:pPr>
      <w:numPr>
        <w:ilvl w:val="4"/>
        <w:numId w:val="1"/>
      </w:numPr>
      <w:keepLines/>
      <w:keepNext/>
      <w:spacing w:before="280" w:after="156" w:line="377" w:lineRule="auto"/>
      <w:outlineLvl w:val="4"/>
    </w:pPr>
    <w:rPr>
      <w:rFonts w:eastAsia="黑体"/>
      <w:b/>
      <w:sz w:val="24"/>
      <w:szCs w:val="28"/>
    </w:rPr>
  </w:style>
  <w:style w:type="paragraph" w:styleId="79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794">
    <w:name w:val="List Paragraph"/>
    <w:basedOn w:val="678"/>
    <w:uiPriority w:val="0"/>
    <w:qFormat/>
    <w:pPr>
      <w:contextualSpacing/>
      <w:ind w:left="720"/>
    </w:pPr>
  </w:style>
  <w:style w:type="paragraph" w:styleId="795">
    <w:name w:val="No Spacing"/>
    <w:uiPriority w:val="0"/>
    <w:qFormat/>
    <w:rPr>
      <w:rFonts w:hint="default" w:ascii="Times New Roman" w:hAnsi="Times New Roman" w:eastAsia="宋体" w:cs="Times New Roman"/>
      <w:lang w:val="en-US" w:eastAsia="zh-CN" w:bidi="ar-SA"/>
    </w:rPr>
  </w:style>
  <w:style w:type="paragraph" w:styleId="796">
    <w:name w:val="Quote"/>
    <w:basedOn w:val="678"/>
    <w:next w:val="678"/>
    <w:link w:val="797"/>
    <w:uiPriority w:val="0"/>
    <w:qFormat/>
    <w:pPr>
      <w:ind w:left="720" w:right="720"/>
    </w:pPr>
    <w:rPr>
      <w:i/>
    </w:rPr>
  </w:style>
  <w:style w:type="character" w:styleId="797" w:customStyle="1">
    <w:name w:val="引用 Char"/>
    <w:link w:val="796"/>
    <w:uiPriority w:val="0"/>
    <w:qFormat/>
    <w:rPr>
      <w:i/>
    </w:rPr>
  </w:style>
  <w:style w:type="paragraph" w:styleId="798">
    <w:name w:val="Intense Quote"/>
    <w:basedOn w:val="678"/>
    <w:next w:val="678"/>
    <w:link w:val="79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0"/>
    <w:qFormat/>
    <w:rPr>
      <w:i/>
    </w:rPr>
  </w:style>
  <w:style w:type="character" w:styleId="800" w:customStyle="1">
    <w:name w:val="Footer Char"/>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6" w:customStyle="1">
    <w:name w:val="TOC 标题11"/>
    <w:uiPriority w:val="39"/>
    <w:unhideWhenUsed/>
    <w:qFormat/>
    <w:rPr>
      <w:rFonts w:hint="default" w:ascii="Times New Roman" w:hAnsi="Times New Roman" w:eastAsia="宋体" w:cs="Times New Roman"/>
      <w:lang w:val="en-US" w:eastAsia="zh-CN" w:bidi="ar-SA"/>
    </w:rPr>
  </w:style>
  <w:style w:type="paragraph" w:styleId="927" w:customStyle="1">
    <w:name w:val="标题 11"/>
    <w:basedOn w:val="678"/>
    <w:next w:val="678"/>
    <w:link w:val="928"/>
    <w:uiPriority w:val="0"/>
    <w:qFormat/>
    <w:pPr>
      <w:jc w:val="center"/>
      <w:keepNext/>
      <w:outlineLvl w:val="0"/>
    </w:pPr>
    <w:rPr>
      <w:rFonts w:ascii="楷体_GB2312" w:eastAsia="楷体_GB2312"/>
      <w:sz w:val="28"/>
      <w:szCs w:val="28"/>
    </w:rPr>
  </w:style>
  <w:style w:type="character" w:styleId="928" w:customStyle="1">
    <w:name w:val="标题 1 Char"/>
    <w:link w:val="927"/>
    <w:uiPriority w:val="0"/>
    <w:qFormat/>
    <w:rPr>
      <w:rFonts w:ascii="楷体_GB2312" w:hAnsi="Times New Roman" w:eastAsia="楷体_GB2312" w:cs="Times New Roman"/>
      <w:sz w:val="28"/>
      <w:szCs w:val="28"/>
    </w:rPr>
  </w:style>
  <w:style w:type="paragraph" w:styleId="929" w:customStyle="1">
    <w:name w:val="标题 21"/>
    <w:basedOn w:val="678"/>
    <w:next w:val="930"/>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0" w:customStyle="1">
    <w:name w:val="正文缩进1"/>
    <w:basedOn w:val="678"/>
    <w:link w:val="931"/>
    <w:uiPriority w:val="0"/>
    <w:qFormat/>
    <w:pPr>
      <w:ind w:firstLine="420"/>
    </w:pPr>
    <w:rPr>
      <w:szCs w:val="21"/>
    </w:rPr>
  </w:style>
  <w:style w:type="character" w:styleId="931" w:customStyle="1">
    <w:name w:val="正文缩进 Char"/>
    <w:link w:val="930"/>
    <w:uiPriority w:val="0"/>
    <w:qFormat/>
    <w:rPr>
      <w:szCs w:val="21"/>
    </w:rPr>
  </w:style>
  <w:style w:type="character" w:styleId="932" w:customStyle="1">
    <w:name w:val="标题 2 Char"/>
    <w:link w:val="929"/>
    <w:uiPriority w:val="0"/>
    <w:qFormat/>
    <w:rPr>
      <w:rFonts w:ascii="Arial" w:hAnsi="Arial" w:eastAsia="幼圆" w:cs="Arial"/>
      <w:b/>
      <w:bCs/>
      <w:sz w:val="44"/>
      <w:szCs w:val="44"/>
    </w:rPr>
  </w:style>
  <w:style w:type="paragraph" w:styleId="933" w:customStyle="1">
    <w:name w:val="标题 31"/>
    <w:basedOn w:val="678"/>
    <w:next w:val="930"/>
    <w:link w:val="934"/>
    <w:uiPriority w:val="0"/>
    <w:qFormat/>
    <w:pPr>
      <w:keepLines/>
      <w:keepNext/>
      <w:spacing w:before="260" w:after="260" w:line="416" w:lineRule="auto"/>
      <w:outlineLvl w:val="2"/>
    </w:pPr>
    <w:rPr>
      <w:b/>
      <w:bCs/>
      <w:sz w:val="32"/>
      <w:szCs w:val="32"/>
    </w:rPr>
  </w:style>
  <w:style w:type="character" w:styleId="934" w:customStyle="1">
    <w:name w:val="标题 3 Char"/>
    <w:link w:val="933"/>
    <w:uiPriority w:val="0"/>
    <w:qFormat/>
    <w:rPr>
      <w:rFonts w:ascii="Times New Roman" w:hAnsi="Times New Roman" w:eastAsia="宋体" w:cs="Times New Roman"/>
      <w:b/>
      <w:bCs/>
      <w:sz w:val="32"/>
      <w:szCs w:val="32"/>
    </w:rPr>
  </w:style>
  <w:style w:type="paragraph" w:styleId="935" w:customStyle="1">
    <w:name w:val="标题 41"/>
    <w:basedOn w:val="678"/>
    <w:next w:val="678"/>
    <w:link w:val="936"/>
    <w:uiPriority w:val="0"/>
    <w:qFormat/>
    <w:pPr>
      <w:keepLines/>
      <w:keepNext/>
      <w:spacing w:before="280" w:after="290" w:line="376" w:lineRule="auto"/>
      <w:outlineLvl w:val="3"/>
    </w:pPr>
    <w:rPr>
      <w:rFonts w:ascii="Arial" w:hAnsi="Arial" w:eastAsia="黑体" w:cs="Arial"/>
      <w:b/>
      <w:bCs/>
      <w:sz w:val="28"/>
      <w:szCs w:val="28"/>
    </w:rPr>
  </w:style>
  <w:style w:type="character" w:styleId="936" w:customStyle="1">
    <w:name w:val="标题 4 Char"/>
    <w:link w:val="935"/>
    <w:uiPriority w:val="0"/>
    <w:qFormat/>
    <w:rPr>
      <w:rFonts w:ascii="Arial" w:hAnsi="Arial" w:eastAsia="黑体" w:cs="Arial"/>
      <w:b/>
      <w:bCs/>
      <w:sz w:val="28"/>
      <w:szCs w:val="28"/>
    </w:rPr>
  </w:style>
  <w:style w:type="paragraph" w:styleId="937" w:customStyle="1">
    <w:name w:val="标题 51"/>
    <w:basedOn w:val="678"/>
    <w:next w:val="930"/>
    <w:link w:val="938"/>
    <w:uiPriority w:val="0"/>
    <w:qFormat/>
    <w:pPr>
      <w:keepNext/>
      <w:outlineLvl w:val="4"/>
    </w:pPr>
    <w:rPr>
      <w:rFonts w:ascii="宋体"/>
      <w:color w:val="000000"/>
      <w:sz w:val="28"/>
      <w:szCs w:val="28"/>
    </w:rPr>
  </w:style>
  <w:style w:type="character" w:styleId="938" w:customStyle="1">
    <w:name w:val="标题 5 Char"/>
    <w:link w:val="937"/>
    <w:uiPriority w:val="0"/>
    <w:qFormat/>
    <w:rPr>
      <w:rFonts w:ascii="宋体" w:hAnsi="Times New Roman" w:eastAsia="宋体" w:cs="Times New Roman"/>
      <w:color w:val="000000"/>
      <w:sz w:val="28"/>
      <w:szCs w:val="28"/>
    </w:rPr>
  </w:style>
  <w:style w:type="paragraph" w:styleId="939" w:customStyle="1">
    <w:name w:val="标题 61"/>
    <w:basedOn w:val="678"/>
    <w:next w:val="678"/>
    <w:link w:val="940"/>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40" w:customStyle="1">
    <w:name w:val="标题 6 Char"/>
    <w:link w:val="939"/>
    <w:uiPriority w:val="0"/>
    <w:qFormat/>
    <w:rPr>
      <w:rFonts w:ascii="Arial" w:hAnsi="Arial" w:eastAsia="黑体" w:cs="Times New Roman"/>
      <w:b/>
      <w:bCs/>
      <w:sz w:val="24"/>
      <w:szCs w:val="24"/>
    </w:rPr>
  </w:style>
  <w:style w:type="paragraph" w:styleId="941" w:customStyle="1">
    <w:name w:val="标题 71"/>
    <w:basedOn w:val="678"/>
    <w:next w:val="678"/>
    <w:link w:val="942"/>
    <w:uiPriority w:val="0"/>
    <w:qFormat/>
    <w:pPr>
      <w:numPr>
        <w:ilvl w:val="6"/>
        <w:numId w:val="2"/>
      </w:numPr>
      <w:keepLines/>
      <w:keepNext/>
      <w:spacing w:before="240" w:after="64" w:line="320" w:lineRule="auto"/>
      <w:outlineLvl w:val="6"/>
    </w:pPr>
    <w:rPr>
      <w:b/>
      <w:bCs/>
      <w:sz w:val="24"/>
      <w:szCs w:val="24"/>
    </w:rPr>
  </w:style>
  <w:style w:type="character" w:styleId="942" w:customStyle="1">
    <w:name w:val="标题 7 Char"/>
    <w:link w:val="941"/>
    <w:uiPriority w:val="0"/>
    <w:qFormat/>
    <w:rPr>
      <w:rFonts w:ascii="Times New Roman" w:hAnsi="Times New Roman" w:eastAsia="宋体" w:cs="Times New Roman"/>
      <w:b/>
      <w:bCs/>
      <w:sz w:val="24"/>
      <w:szCs w:val="24"/>
    </w:rPr>
  </w:style>
  <w:style w:type="paragraph" w:styleId="943" w:customStyle="1">
    <w:name w:val="标题 81"/>
    <w:basedOn w:val="678"/>
    <w:next w:val="678"/>
    <w:link w:val="944"/>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44" w:customStyle="1">
    <w:name w:val="标题 8 Char"/>
    <w:link w:val="943"/>
    <w:uiPriority w:val="0"/>
    <w:qFormat/>
    <w:rPr>
      <w:rFonts w:ascii="Arial" w:hAnsi="Arial" w:eastAsia="黑体" w:cs="Times New Roman"/>
      <w:sz w:val="24"/>
      <w:szCs w:val="24"/>
    </w:rPr>
  </w:style>
  <w:style w:type="paragraph" w:styleId="945" w:customStyle="1">
    <w:name w:val="标题 91"/>
    <w:basedOn w:val="678"/>
    <w:next w:val="678"/>
    <w:link w:val="946"/>
    <w:uiPriority w:val="0"/>
    <w:qFormat/>
    <w:pPr>
      <w:numPr>
        <w:ilvl w:val="8"/>
        <w:numId w:val="2"/>
      </w:numPr>
      <w:keepLines/>
      <w:keepNext/>
      <w:spacing w:before="240" w:after="64" w:line="320" w:lineRule="auto"/>
      <w:outlineLvl w:val="8"/>
    </w:pPr>
    <w:rPr>
      <w:rFonts w:ascii="Arial" w:hAnsi="Arial" w:eastAsia="黑体"/>
      <w:szCs w:val="21"/>
    </w:rPr>
  </w:style>
  <w:style w:type="character" w:styleId="946" w:customStyle="1">
    <w:name w:val="标题 9 Char"/>
    <w:link w:val="945"/>
    <w:uiPriority w:val="0"/>
    <w:qFormat/>
    <w:rPr>
      <w:rFonts w:ascii="Arial" w:hAnsi="Arial" w:eastAsia="黑体" w:cs="Times New Roman"/>
      <w:szCs w:val="21"/>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paragraph" w:styleId="949" w:customStyle="1">
    <w:name w:val="列表 31"/>
    <w:basedOn w:val="678"/>
    <w:uiPriority w:val="0"/>
    <w:qFormat/>
    <w:pPr>
      <w:ind w:left="100" w:hanging="200"/>
    </w:pPr>
    <w:rPr>
      <w:szCs w:val="21"/>
    </w:rPr>
  </w:style>
  <w:style w:type="paragraph" w:styleId="950" w:customStyle="1">
    <w:name w:val="目录 71"/>
    <w:basedOn w:val="678"/>
    <w:next w:val="678"/>
    <w:uiPriority w:val="0"/>
    <w:semiHidden/>
    <w:qFormat/>
    <w:pPr>
      <w:ind w:left="1260"/>
      <w:jc w:val="left"/>
    </w:pPr>
    <w:rPr>
      <w:szCs w:val="21"/>
    </w:rPr>
  </w:style>
  <w:style w:type="paragraph" w:styleId="951" w:customStyle="1">
    <w:name w:val="文档结构图1"/>
    <w:basedOn w:val="678"/>
    <w:link w:val="952"/>
    <w:uiPriority w:val="0"/>
    <w:semiHidden/>
    <w:qFormat/>
    <w:pPr>
      <w:shd w:val="clear" w:color="auto" w:fill="000080"/>
    </w:pPr>
    <w:rPr>
      <w:szCs w:val="21"/>
    </w:rPr>
  </w:style>
  <w:style w:type="character" w:styleId="952" w:customStyle="1">
    <w:name w:val="文档结构图 Char"/>
    <w:link w:val="951"/>
    <w:uiPriority w:val="0"/>
    <w:qFormat/>
    <w:rPr>
      <w:rFonts w:ascii="Times New Roman" w:hAnsi="Times New Roman" w:eastAsia="宋体" w:cs="Times New Roman"/>
      <w:szCs w:val="21"/>
      <w:shd w:val="clear" w:color="auto" w:fill="000080"/>
    </w:rPr>
  </w:style>
  <w:style w:type="paragraph" w:styleId="953" w:customStyle="1">
    <w:name w:val="批注文字1"/>
    <w:basedOn w:val="678"/>
    <w:link w:val="954"/>
    <w:uiPriority w:val="0"/>
    <w:unhideWhenUsed/>
    <w:qFormat/>
    <w:pPr>
      <w:jc w:val="left"/>
    </w:pPr>
  </w:style>
  <w:style w:type="character" w:styleId="954" w:customStyle="1">
    <w:name w:val="批注文字 Char"/>
    <w:basedOn w:val="947"/>
    <w:link w:val="953"/>
    <w:uiPriority w:val="0"/>
    <w:qFormat/>
  </w:style>
  <w:style w:type="paragraph" w:styleId="955" w:customStyle="1">
    <w:name w:val="正文文本 31"/>
    <w:basedOn w:val="678"/>
    <w:link w:val="956"/>
    <w:uiPriority w:val="0"/>
    <w:qFormat/>
    <w:rPr>
      <w:rFonts w:ascii="仿宋_GB2312" w:hAnsi="Arial" w:eastAsia="仿宋_GB2312"/>
      <w:sz w:val="32"/>
      <w:szCs w:val="32"/>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正文文本11"/>
    <w:basedOn w:val="678"/>
    <w:link w:val="958"/>
    <w:uiPriority w:val="0"/>
    <w:qFormat/>
    <w:rPr>
      <w:rFonts w:ascii="楷体_GB2312" w:hAnsi="Arial" w:eastAsia="楷体_GB2312"/>
      <w:sz w:val="28"/>
      <w:szCs w:val="28"/>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678"/>
    <w:link w:val="960"/>
    <w:uiPriority w:val="0"/>
    <w:unhideWhenUsed/>
    <w:qFormat/>
    <w:pPr>
      <w:ind w:left="420"/>
      <w:spacing w:after="120"/>
    </w:pPr>
  </w:style>
  <w:style w:type="character" w:styleId="960" w:customStyle="1">
    <w:name w:val="正文文本缩进 Char"/>
    <w:basedOn w:val="947"/>
    <w:link w:val="959"/>
    <w:uiPriority w:val="0"/>
    <w:qFormat/>
  </w:style>
  <w:style w:type="paragraph" w:styleId="961" w:customStyle="1">
    <w:name w:val="列表 21"/>
    <w:basedOn w:val="678"/>
    <w:uiPriority w:val="0"/>
    <w:qFormat/>
    <w:pPr>
      <w:ind w:left="100" w:hanging="200"/>
    </w:pPr>
    <w:rPr>
      <w:szCs w:val="21"/>
    </w:rPr>
  </w:style>
  <w:style w:type="paragraph" w:styleId="962" w:customStyle="1">
    <w:name w:val="索引 42"/>
    <w:basedOn w:val="678"/>
    <w:next w:val="678"/>
    <w:uiPriority w:val="0"/>
    <w:semiHidden/>
    <w:qFormat/>
    <w:pPr>
      <w:ind w:left="1260"/>
    </w:pPr>
    <w:rPr>
      <w:rFonts w:ascii="Calibri" w:hAnsi="Calibri" w:eastAsia="Calibri" w:cs="宋体"/>
      <w:sz w:val="20"/>
      <w:lang w:val="zh-CN"/>
    </w:rPr>
  </w:style>
  <w:style w:type="paragraph" w:styleId="963" w:customStyle="1">
    <w:name w:val="目录 51"/>
    <w:basedOn w:val="678"/>
    <w:next w:val="678"/>
    <w:uiPriority w:val="0"/>
    <w:semiHidden/>
    <w:qFormat/>
    <w:pPr>
      <w:ind w:left="840"/>
      <w:jc w:val="left"/>
    </w:pPr>
    <w:rPr>
      <w:szCs w:val="21"/>
    </w:rPr>
  </w:style>
  <w:style w:type="paragraph" w:styleId="964" w:customStyle="1">
    <w:name w:val="目录 31"/>
    <w:basedOn w:val="678"/>
    <w:next w:val="678"/>
    <w:uiPriority w:val="0"/>
    <w:semiHidden/>
    <w:qFormat/>
    <w:pPr>
      <w:ind w:left="420"/>
      <w:jc w:val="left"/>
    </w:pPr>
    <w:rPr>
      <w:i/>
      <w:iCs/>
      <w:szCs w:val="24"/>
    </w:rPr>
  </w:style>
  <w:style w:type="paragraph" w:styleId="965" w:customStyle="1">
    <w:name w:val="纯文本1"/>
    <w:basedOn w:val="678"/>
    <w:link w:val="966"/>
    <w:uiPriority w:val="0"/>
    <w:qFormat/>
    <w:rPr>
      <w:rFonts w:ascii="宋体" w:hAnsi="Courier New" w:cs="Courier New"/>
      <w:szCs w:val="21"/>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678"/>
    <w:next w:val="678"/>
    <w:uiPriority w:val="0"/>
    <w:semiHidden/>
    <w:qFormat/>
    <w:pPr>
      <w:ind w:left="1470"/>
      <w:jc w:val="left"/>
    </w:pPr>
    <w:rPr>
      <w:szCs w:val="21"/>
    </w:rPr>
  </w:style>
  <w:style w:type="paragraph" w:styleId="968" w:customStyle="1">
    <w:name w:val="日期1"/>
    <w:basedOn w:val="678"/>
    <w:next w:val="678"/>
    <w:link w:val="969"/>
    <w:uiPriority w:val="0"/>
    <w:qFormat/>
    <w:rPr>
      <w:sz w:val="24"/>
      <w:szCs w:val="24"/>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678"/>
    <w:link w:val="971"/>
    <w:uiPriority w:val="0"/>
    <w:qFormat/>
    <w:pPr>
      <w:ind w:left="630" w:firstLine="645"/>
    </w:pPr>
    <w:rPr>
      <w:rFonts w:ascii="Arial" w:hAnsi="Arial" w:eastAsia="仿宋_GB2312" w:cs="Arial"/>
      <w:sz w:val="32"/>
      <w:szCs w:val="32"/>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678"/>
    <w:link w:val="973"/>
    <w:uiPriority w:val="0"/>
    <w:semiHidden/>
    <w:qFormat/>
    <w:rPr>
      <w:sz w:val="18"/>
      <w:szCs w:val="18"/>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678"/>
    <w:link w:val="975"/>
    <w:uiPriority w:val="0"/>
    <w:qFormat/>
    <w:pPr>
      <w:jc w:val="left"/>
      <w:tabs>
        <w:tab w:val="center" w:pos="4153" w:leader="none"/>
        <w:tab w:val="right" w:pos="8306" w:leader="none"/>
      </w:tabs>
    </w:pPr>
    <w:rPr>
      <w:sz w:val="18"/>
      <w:szCs w:val="18"/>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678"/>
    <w:link w:val="977"/>
    <w:uiPriority w:val="0"/>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678"/>
    <w:next w:val="67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678"/>
    <w:next w:val="678"/>
    <w:uiPriority w:val="0"/>
    <w:semiHidden/>
    <w:qFormat/>
    <w:pPr>
      <w:ind w:left="630"/>
      <w:jc w:val="left"/>
    </w:pPr>
    <w:rPr>
      <w:szCs w:val="21"/>
    </w:rPr>
  </w:style>
  <w:style w:type="paragraph" w:styleId="980" w:customStyle="1">
    <w:name w:val="列表1"/>
    <w:basedOn w:val="678"/>
    <w:uiPriority w:val="0"/>
    <w:qFormat/>
    <w:pPr>
      <w:ind w:left="200" w:hanging="200"/>
    </w:pPr>
    <w:rPr>
      <w:szCs w:val="21"/>
    </w:rPr>
  </w:style>
  <w:style w:type="paragraph" w:styleId="981" w:customStyle="1">
    <w:name w:val="目录 61"/>
    <w:basedOn w:val="678"/>
    <w:next w:val="678"/>
    <w:uiPriority w:val="0"/>
    <w:semiHidden/>
    <w:qFormat/>
    <w:pPr>
      <w:ind w:left="1050"/>
      <w:jc w:val="left"/>
    </w:pPr>
    <w:rPr>
      <w:szCs w:val="21"/>
    </w:rPr>
  </w:style>
  <w:style w:type="paragraph" w:styleId="982" w:customStyle="1">
    <w:name w:val="正文文本缩进 31"/>
    <w:basedOn w:val="678"/>
    <w:link w:val="983"/>
    <w:uiPriority w:val="0"/>
    <w:qFormat/>
    <w:pPr>
      <w:ind w:left="645" w:firstLine="645"/>
    </w:pPr>
    <w:rPr>
      <w:rFonts w:ascii="Arial" w:hAnsi="Arial" w:eastAsia="仿宋_GB2312" w:cs="Arial"/>
      <w:color w:val="ffff00"/>
      <w:sz w:val="32"/>
      <w:szCs w:val="32"/>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678"/>
    <w:next w:val="678"/>
    <w:uiPriority w:val="0"/>
    <w:semiHidden/>
    <w:qFormat/>
    <w:pPr>
      <w:ind w:left="840" w:hanging="420"/>
    </w:pPr>
    <w:rPr>
      <w:szCs w:val="21"/>
    </w:rPr>
  </w:style>
  <w:style w:type="paragraph" w:styleId="985" w:customStyle="1">
    <w:name w:val="目录 21"/>
    <w:basedOn w:val="678"/>
    <w:next w:val="678"/>
    <w:uiPriority w:val="0"/>
    <w:semiHidden/>
    <w:qFormat/>
    <w:pPr>
      <w:ind w:left="210"/>
      <w:jc w:val="left"/>
    </w:pPr>
    <w:rPr>
      <w:smallCaps/>
      <w:szCs w:val="24"/>
    </w:rPr>
  </w:style>
  <w:style w:type="paragraph" w:styleId="986" w:customStyle="1">
    <w:name w:val="目录 91"/>
    <w:basedOn w:val="678"/>
    <w:next w:val="678"/>
    <w:uiPriority w:val="0"/>
    <w:semiHidden/>
    <w:qFormat/>
    <w:pPr>
      <w:ind w:left="1680"/>
      <w:jc w:val="left"/>
    </w:pPr>
    <w:rPr>
      <w:szCs w:val="21"/>
    </w:rPr>
  </w:style>
  <w:style w:type="paragraph" w:styleId="987" w:customStyle="1">
    <w:name w:val="正文文本 21"/>
    <w:basedOn w:val="678"/>
    <w:link w:val="988"/>
    <w:uiPriority w:val="0"/>
    <w:qFormat/>
    <w:pPr>
      <w:jc w:val="center"/>
      <w:widowControl/>
    </w:pPr>
    <w:rPr>
      <w:rFonts w:ascii="楷体_GB2312" w:eastAsia="楷体_GB2312"/>
      <w:sz w:val="28"/>
      <w:szCs w:val="28"/>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678"/>
    <w:next w:val="678"/>
    <w:uiPriority w:val="0"/>
    <w:semiHidden/>
    <w:qFormat/>
    <w:pPr>
      <w:spacing w:line="240" w:lineRule="atLeast"/>
    </w:pPr>
    <w:rPr>
      <w:b/>
      <w:bCs/>
      <w:szCs w:val="21"/>
    </w:rPr>
  </w:style>
  <w:style w:type="paragraph" w:styleId="991" w:customStyle="1">
    <w:name w:val="批注主题1"/>
    <w:basedOn w:val="953"/>
    <w:next w:val="953"/>
    <w:link w:val="992"/>
    <w:uiPriority w:val="0"/>
    <w:semiHidden/>
    <w:qFormat/>
    <w:rPr>
      <w:b/>
      <w:bCs/>
      <w:szCs w:val="21"/>
    </w:rPr>
  </w:style>
  <w:style w:type="character" w:styleId="992" w:customStyle="1">
    <w:name w:val="批注主题 Char"/>
    <w:link w:val="991"/>
    <w:uiPriority w:val="0"/>
    <w:qFormat/>
    <w:rPr>
      <w:rFonts w:ascii="Times New Roman" w:hAnsi="Times New Roman" w:eastAsia="宋体" w:cs="Times New Roman"/>
      <w:b/>
      <w:bCs/>
      <w:szCs w:val="21"/>
    </w:rPr>
  </w:style>
  <w:style w:type="paragraph" w:styleId="993" w:customStyle="1">
    <w:name w:val="正文首行缩进1"/>
    <w:basedOn w:val="678"/>
    <w:link w:val="994"/>
    <w:uiPriority w:val="0"/>
    <w:qFormat/>
    <w:pPr>
      <w:ind w:firstLine="200"/>
      <w:spacing w:line="360" w:lineRule="auto"/>
    </w:pPr>
    <w:rPr>
      <w:rFonts w:ascii="仿宋_GB2312" w:eastAsia="仿宋_GB2312"/>
      <w:sz w:val="30"/>
      <w:szCs w:val="30"/>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59"/>
    <w:link w:val="996"/>
    <w:uiPriority w:val="0"/>
    <w:qFormat/>
    <w:pPr>
      <w:ind w:left="0" w:firstLine="420"/>
      <w:spacing w:after="0" w:line="360" w:lineRule="auto"/>
    </w:pPr>
    <w:rPr>
      <w:rFonts w:ascii="宋体" w:hAnsi="宋体"/>
      <w:szCs w:val="20"/>
    </w:rPr>
  </w:style>
  <w:style w:type="character" w:styleId="996" w:customStyle="1">
    <w:name w:val="正文首行缩进 2 Char"/>
    <w:link w:val="995"/>
    <w:uiPriority w:val="0"/>
    <w:qFormat/>
    <w:rPr>
      <w:rFonts w:ascii="宋体" w:hAnsi="宋体" w:eastAsia="宋体" w:cs="Times New Roman"/>
      <w:szCs w:val="20"/>
    </w:rPr>
  </w:style>
  <w:style w:type="table" w:styleId="997" w:customStyle="1">
    <w:name w:val="网格型1"/>
    <w:basedOn w:val="948"/>
    <w:uiPriority w:val="0"/>
    <w:qFormat/>
    <w:pPr>
      <w:jc w:val="both"/>
      <w:widowControl w:val="off"/>
    </w:pP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超链接1"/>
    <w:uiPriority w:val="0"/>
    <w:qFormat/>
    <w:rPr>
      <w:color w:val="0000ff"/>
      <w:u w:val="single"/>
    </w:rPr>
  </w:style>
  <w:style w:type="character" w:styleId="1002" w:customStyle="1">
    <w:name w:val="批注引用1"/>
    <w:uiPriority w:val="0"/>
    <w:semiHidden/>
    <w:qFormat/>
    <w:rPr>
      <w:sz w:val="21"/>
      <w:szCs w:val="21"/>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b/>
      <w:sz w:val="30"/>
      <w:szCs w:val="28"/>
    </w:rPr>
  </w:style>
  <w:style w:type="paragraph" w:styleId="1005" w:customStyle="1">
    <w:name w:val="二级目录"/>
    <w:next w:val="678"/>
    <w:link w:val="100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678"/>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678"/>
    <w:next w:val="957"/>
    <w:uiPriority w:val="0"/>
    <w:qFormat/>
    <w:pPr>
      <w:spacing w:after="120"/>
    </w:pPr>
    <w:rPr>
      <w:rFonts w:ascii="宋体" w:hAnsi="Arial"/>
      <w:bCs/>
      <w:iCs/>
      <w:szCs w:val="24"/>
    </w:rPr>
  </w:style>
  <w:style w:type="paragraph" w:styleId="1009" w:customStyle="1">
    <w:name w:val="xl2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678"/>
    <w:uiPriority w:val="0"/>
    <w:qFormat/>
    <w:pPr>
      <w:ind w:firstLine="200"/>
      <w:tabs>
        <w:tab w:val="left" w:pos="360" w:leader="none"/>
      </w:tabs>
    </w:pPr>
    <w:rPr>
      <w:sz w:val="28"/>
      <w:szCs w:val="30"/>
    </w:rPr>
  </w:style>
  <w:style w:type="paragraph" w:styleId="1012" w:customStyle="1">
    <w:name w:val="Char1"/>
    <w:basedOn w:val="951"/>
    <w:uiPriority w:val="0"/>
    <w:qFormat/>
    <w:rPr>
      <w:rFonts w:ascii="Tahoma" w:hAnsi="Tahoma"/>
      <w:sz w:val="24"/>
      <w:szCs w:val="24"/>
    </w:rPr>
  </w:style>
  <w:style w:type="paragraph" w:styleId="1013"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678"/>
    <w:uiPriority w:val="0"/>
    <w:qFormat/>
    <w:pPr>
      <w:jc w:val="left"/>
      <w:widowControl/>
    </w:pPr>
    <w:rPr>
      <w:sz w:val="20"/>
      <w:szCs w:val="20"/>
      <w:lang w:val="de-DE" w:eastAsia="de-DE"/>
    </w:rPr>
  </w:style>
  <w:style w:type="paragraph" w:styleId="101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列出段落2"/>
    <w:basedOn w:val="678"/>
    <w:uiPriority w:val="0"/>
    <w:qFormat/>
    <w:pPr>
      <w:contextualSpacing/>
      <w:ind w:left="720"/>
      <w:jc w:val="left"/>
      <w:widowControl/>
    </w:pPr>
    <w:rPr>
      <w:rFonts w:ascii="Calibri" w:hAnsi="Calibri"/>
      <w:sz w:val="24"/>
      <w:szCs w:val="24"/>
      <w:lang w:eastAsia="en-US" w:bidi="en-US"/>
    </w:rPr>
  </w:style>
  <w:style w:type="paragraph" w:styleId="1019" w:customStyle="1">
    <w:name w:val="4"/>
    <w:basedOn w:val="678"/>
    <w:next w:val="982"/>
    <w:uiPriority w:val="0"/>
    <w:qFormat/>
    <w:pPr>
      <w:ind w:firstLine="420"/>
      <w:spacing w:line="360" w:lineRule="auto"/>
    </w:pPr>
    <w:rPr>
      <w:color w:val="ff0000"/>
      <w:sz w:val="24"/>
      <w:szCs w:val="24"/>
    </w:rPr>
  </w:style>
  <w:style w:type="paragraph" w:styleId="1020"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678"/>
    <w:uiPriority w:val="0"/>
    <w:qFormat/>
    <w:pPr>
      <w:spacing w:line="360" w:lineRule="auto"/>
    </w:pPr>
    <w:rPr>
      <w:sz w:val="24"/>
      <w:szCs w:val="20"/>
    </w:rPr>
  </w:style>
  <w:style w:type="paragraph" w:styleId="1022" w:customStyle="1">
    <w:name w:val="样式1"/>
    <w:basedOn w:val="678"/>
    <w:uiPriority w:val="0"/>
    <w:qFormat/>
    <w:pPr>
      <w:numPr>
        <w:ilvl w:val="0"/>
        <w:numId w:val="4"/>
      </w:numPr>
    </w:pPr>
    <w:rPr>
      <w:rFonts w:ascii="宋体" w:hAnsi="宋体"/>
      <w:szCs w:val="21"/>
    </w:rPr>
  </w:style>
  <w:style w:type="paragraph" w:styleId="1023"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1027" w:customStyle="1">
    <w:name w:val="xl24"/>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6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678"/>
    <w:uiPriority w:val="0"/>
    <w:qFormat/>
    <w:pPr>
      <w:jc w:val="left"/>
      <w:spacing w:before="120"/>
      <w:widowControl/>
    </w:pPr>
    <w:rPr>
      <w:bCs/>
      <w:sz w:val="20"/>
      <w:szCs w:val="20"/>
      <w:lang w:val="de-DE" w:eastAsia="de-DE"/>
    </w:rPr>
  </w:style>
  <w:style w:type="paragraph" w:styleId="1035"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9" w:customStyle="1">
    <w:name w:val="Table Normal"/>
    <w:uiPriority w:val="0"/>
    <w:qFormat/>
    <w:tblPr>
      <w:tblCellMar>
        <w:left w:w="0" w:type="dxa"/>
        <w:top w:w="0" w:type="dxa"/>
        <w:right w:w="0" w:type="dxa"/>
        <w:bottom w:w="0" w:type="dxa"/>
      </w:tblCellMar>
    </w:tblPr>
  </w:style>
  <w:style w:type="paragraph" w:styleId="1040" w:customStyle="1">
    <w:name w:val="正文文本 211"/>
    <w:basedOn w:val="678"/>
    <w:uiPriority w:val="99"/>
    <w:qFormat/>
    <w:pPr>
      <w:jc w:val="center"/>
    </w:pPr>
    <w:rPr>
      <w:b/>
      <w:bCs/>
      <w:sz w:val="20"/>
      <w:szCs w:val="20"/>
    </w:rPr>
  </w:style>
  <w:style w:type="paragraph" w:styleId="1041" w:customStyle="1">
    <w:name w:val="正文文本1"/>
    <w:basedOn w:val="678"/>
    <w:next w:val="678"/>
    <w:uiPriority w:val="0"/>
    <w:semiHidden/>
    <w:qFormat/>
    <w:rPr>
      <w:rFonts w:ascii="Arial" w:hAnsi="Arial" w:eastAsia="Arial" w:cs="Arial"/>
      <w:szCs w:val="21"/>
      <w:lang w:eastAsia="en-US"/>
    </w:rPr>
  </w:style>
  <w:style w:type="paragraph" w:styleId="1042" w:customStyle="1">
    <w:name w:val="正文文本12"/>
    <w:basedOn w:val="678"/>
    <w:uiPriority w:val="1"/>
    <w:qFormat/>
    <w:pPr>
      <w:ind w:left="120"/>
    </w:pPr>
    <w:rPr>
      <w:rFonts w:ascii="宋体" w:hAnsi="宋体" w:cs="宋体"/>
      <w:szCs w:val="21"/>
      <w:lang w:val="zh-CN" w:bidi="zh-CN"/>
    </w:rPr>
  </w:style>
  <w:style w:type="paragraph" w:styleId="1043" w:customStyle="1">
    <w:name w:val="Table Paragraph"/>
    <w:basedOn w:val="678"/>
    <w:uiPriority w:val="1"/>
    <w:qFormat/>
  </w:style>
  <w:style w:type="paragraph" w:styleId="1044" w:customStyle="1">
    <w:name w:val="正文文本缩进11"/>
    <w:basedOn w:val="678"/>
    <w:uiPriority w:val="99"/>
    <w:qFormat/>
    <w:pPr>
      <w:ind w:left="420"/>
      <w:spacing w:after="120"/>
    </w:pPr>
    <w:rPr>
      <w:sz w:val="24"/>
    </w:rPr>
  </w:style>
  <w:style w:type="paragraph" w:styleId="1045" w:customStyle="1">
    <w:name w:val="Table Text"/>
    <w:basedOn w:val="678"/>
    <w:uiPriority w:val="0"/>
    <w:semiHidden/>
    <w:qFormat/>
    <w:rPr>
      <w:rFonts w:ascii="宋体" w:hAnsi="宋体" w:cs="宋体"/>
    </w:rPr>
  </w:style>
  <w:style w:type="paragraph" w:styleId="1046" w:customStyle="1">
    <w:name w:val="列表段落1"/>
    <w:basedOn w:val="678"/>
    <w:uiPriority w:val="99"/>
    <w:qFormat/>
    <w:pPr>
      <w:ind w:firstLine="420"/>
    </w:pPr>
  </w:style>
  <w:style w:type="paragraph" w:styleId="1047" w:customStyle="1">
    <w:name w:val="首行缩进"/>
    <w:basedOn w:val="678"/>
    <w:uiPriority w:val="0"/>
    <w:qFormat/>
    <w:pPr>
      <w:ind w:firstLine="420"/>
      <w:spacing w:line="360" w:lineRule="auto"/>
    </w:pPr>
    <w:rPr>
      <w:sz w:val="20"/>
    </w:rPr>
  </w:style>
  <w:style w:type="paragraph" w:styleId="1048" w:customStyle="1">
    <w:name w:val="标题 42"/>
    <w:basedOn w:val="678"/>
    <w:next w:val="678"/>
    <w:uiPriority w:val="0"/>
    <w:qFormat/>
    <w:pPr>
      <w:keepLines/>
      <w:keepNext/>
      <w:outlineLvl w:val="3"/>
    </w:pPr>
    <w:rPr>
      <w:rFonts w:eastAsia="黑体"/>
      <w:b/>
      <w:sz w:val="28"/>
      <w:szCs w:val="20"/>
    </w:rPr>
  </w:style>
  <w:style w:type="paragraph" w:styleId="1049" w:customStyle="1">
    <w:name w:val="标题 62"/>
    <w:basedOn w:val="678"/>
    <w:next w:val="678"/>
    <w:uiPriority w:val="0"/>
    <w:qFormat/>
    <w:pPr>
      <w:ind w:left="1152" w:hanging="1152"/>
      <w:keepLines/>
      <w:keepNext/>
      <w:spacing w:line="317" w:lineRule="auto"/>
      <w:tabs>
        <w:tab w:val="left" w:pos="1152" w:leader="none"/>
      </w:tabs>
      <w:outlineLvl w:val="5"/>
    </w:pPr>
    <w:rPr>
      <w:rFonts w:eastAsia="黑体"/>
      <w:b/>
      <w:bCs/>
      <w:sz w:val="24"/>
    </w:rPr>
  </w:style>
  <w:style w:type="paragraph" w:styleId="10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1" w:customStyle="1">
    <w:name w:val="_Style 6"/>
    <w:basedOn w:val="679"/>
    <w:next w:val="678"/>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52" w:customStyle="1">
    <w:name w:val="文档结构图 Char1"/>
    <w:basedOn w:val="688"/>
    <w:uiPriority w:val="0"/>
    <w:qFormat/>
    <w:rPr>
      <w:rFonts w:ascii="Microsoft YaHei UI" w:eastAsia="Microsoft YaHei UI"/>
      <w:sz w:val="18"/>
      <w:szCs w:val="18"/>
    </w:rPr>
  </w:style>
  <w:style w:type="character" w:styleId="1053" w:customStyle="1">
    <w:name w:val="批注文字 Char1"/>
    <w:basedOn w:val="688"/>
    <w:uiPriority w:val="99"/>
    <w:semiHidden/>
    <w:qFormat/>
    <w:rPr>
      <w:sz w:val="21"/>
      <w:szCs w:val="22"/>
    </w:rPr>
  </w:style>
  <w:style w:type="character" w:styleId="1054" w:customStyle="1">
    <w:name w:val="正文文本缩进 Char1"/>
    <w:basedOn w:val="688"/>
    <w:uiPriority w:val="99"/>
    <w:semiHidden/>
    <w:qFormat/>
    <w:rPr>
      <w:sz w:val="21"/>
      <w:szCs w:val="22"/>
    </w:rPr>
  </w:style>
  <w:style w:type="character" w:styleId="1055" w:customStyle="1">
    <w:name w:val="日期 Char1"/>
    <w:basedOn w:val="688"/>
    <w:uiPriority w:val="0"/>
    <w:qFormat/>
    <w:rPr>
      <w:sz w:val="21"/>
      <w:szCs w:val="22"/>
    </w:rPr>
  </w:style>
  <w:style w:type="character" w:styleId="1056" w:customStyle="1">
    <w:name w:val="正文文本缩进 2 Char1"/>
    <w:basedOn w:val="688"/>
    <w:uiPriority w:val="99"/>
    <w:semiHidden/>
    <w:qFormat/>
    <w:rPr>
      <w:sz w:val="21"/>
      <w:szCs w:val="22"/>
    </w:rPr>
  </w:style>
  <w:style w:type="character" w:styleId="1057" w:customStyle="1">
    <w:name w:val="批注框文本 Char1"/>
    <w:basedOn w:val="688"/>
    <w:uiPriority w:val="0"/>
    <w:qFormat/>
    <w:rPr>
      <w:sz w:val="18"/>
      <w:szCs w:val="18"/>
    </w:rPr>
  </w:style>
  <w:style w:type="character" w:styleId="1058" w:customStyle="1">
    <w:name w:val="正文文本缩进 3 Char1"/>
    <w:basedOn w:val="688"/>
    <w:uiPriority w:val="99"/>
    <w:semiHidden/>
    <w:qFormat/>
    <w:rPr>
      <w:sz w:val="16"/>
      <w:szCs w:val="16"/>
    </w:rPr>
  </w:style>
  <w:style w:type="character" w:styleId="1059" w:customStyle="1">
    <w:name w:val="正文文本 2 Char1"/>
    <w:basedOn w:val="688"/>
    <w:uiPriority w:val="99"/>
    <w:semiHidden/>
    <w:qFormat/>
    <w:rPr>
      <w:sz w:val="21"/>
      <w:szCs w:val="22"/>
    </w:rPr>
  </w:style>
  <w:style w:type="character" w:styleId="1060" w:customStyle="1">
    <w:name w:val="批注主题 Char1"/>
    <w:basedOn w:val="1053"/>
    <w:uiPriority w:val="0"/>
    <w:qFormat/>
    <w:rPr>
      <w:b/>
      <w:bCs/>
      <w:sz w:val="21"/>
      <w:szCs w:val="22"/>
    </w:rPr>
  </w:style>
  <w:style w:type="character" w:styleId="1061" w:customStyle="1">
    <w:name w:val="Char Char9"/>
    <w:basedOn w:val="688"/>
    <w:uiPriority w:val="0"/>
    <w:qFormat/>
    <w:rPr>
      <w:rFonts w:ascii="宋体" w:hAnsi="Courier New" w:eastAsia="宋体"/>
      <w:sz w:val="21"/>
      <w:lang w:val="en-US" w:eastAsia="zh-CN" w:bidi="ar-SA"/>
    </w:rPr>
  </w:style>
  <w:style w:type="character" w:styleId="1062" w:customStyle="1">
    <w:name w:val="Char Char2"/>
    <w:basedOn w:val="688"/>
    <w:uiPriority w:val="0"/>
    <w:qFormat/>
    <w:rPr>
      <w:rFonts w:ascii="宋体" w:hAnsi="Courier New" w:eastAsia="宋体" w:cs="金山简魏碑"/>
      <w:sz w:val="21"/>
      <w:szCs w:val="21"/>
      <w:lang w:val="en-US" w:eastAsia="zh-CN" w:bidi="ar-SA"/>
    </w:rPr>
  </w:style>
  <w:style w:type="character" w:styleId="1063" w:customStyle="1">
    <w:name w:val="Intense Reference"/>
    <w:uiPriority w:val="0"/>
    <w:qFormat/>
    <w:rPr>
      <w:b/>
      <w:bCs/>
      <w:smallCaps/>
      <w:color w:val="c0504d"/>
      <w:spacing w:val="5"/>
      <w:u w:val="single"/>
    </w:rPr>
  </w:style>
  <w:style w:type="character" w:styleId="1064" w:customStyle="1">
    <w:name w:val="Intense Emphasis"/>
    <w:uiPriority w:val="0"/>
    <w:qFormat/>
    <w:rPr>
      <w:b/>
      <w:bCs/>
      <w:i/>
      <w:iCs/>
      <w:color w:val="4f81bd"/>
    </w:rPr>
  </w:style>
  <w:style w:type="character" w:styleId="1065" w:customStyle="1">
    <w:name w:val="Char Char"/>
    <w:basedOn w:val="688"/>
    <w:uiPriority w:val="0"/>
    <w:qFormat/>
    <w:rPr>
      <w:rFonts w:ascii="宋体" w:hAnsi="Courier New" w:eastAsia="宋体"/>
      <w:sz w:val="21"/>
      <w:lang w:bidi="ar-SA"/>
    </w:rPr>
  </w:style>
  <w:style w:type="character" w:styleId="1066" w:customStyle="1">
    <w:name w:val="正文文本 Char1"/>
    <w:uiPriority w:val="0"/>
    <w:qFormat/>
    <w:rPr>
      <w:sz w:val="21"/>
      <w:szCs w:val="22"/>
    </w:rPr>
  </w:style>
  <w:style w:type="character" w:styleId="1067" w:customStyle="1">
    <w:name w:val="Subtle Emphasis"/>
    <w:uiPriority w:val="0"/>
    <w:qFormat/>
    <w:rPr>
      <w:i/>
      <w:iCs/>
      <w:color w:val="808080"/>
    </w:rPr>
  </w:style>
  <w:style w:type="character" w:styleId="1068" w:customStyle="1">
    <w:name w:val="Book Title"/>
    <w:uiPriority w:val="0"/>
    <w:qFormat/>
    <w:rPr>
      <w:b/>
      <w:bCs/>
      <w:smallCaps/>
      <w:spacing w:val="5"/>
    </w:rPr>
  </w:style>
  <w:style w:type="character" w:styleId="1069" w:customStyle="1">
    <w:name w:val="ca-121"/>
    <w:uiPriority w:val="0"/>
    <w:qFormat/>
    <w:rPr>
      <w:rFonts w:hint="default" w:ascii="Times New Roman" w:hAnsi="Times New Roman" w:cs="Times New Roman"/>
      <w:sz w:val="21"/>
      <w:szCs w:val="21"/>
    </w:rPr>
  </w:style>
  <w:style w:type="character" w:styleId="1070" w:customStyle="1">
    <w:name w:val="ca-111"/>
    <w:uiPriority w:val="0"/>
    <w:qFormat/>
    <w:rPr>
      <w:rFonts w:hint="eastAsia" w:ascii="楷体_GB2312" w:eastAsia="楷体_GB2312"/>
      <w:b/>
      <w:bCs/>
      <w:spacing w:val="-20"/>
      <w:sz w:val="44"/>
      <w:szCs w:val="44"/>
    </w:rPr>
  </w:style>
  <w:style w:type="character" w:styleId="1071" w:customStyle="1">
    <w:name w:val="textcontents"/>
    <w:uiPriority w:val="0"/>
    <w:qFormat/>
    <w:rPr>
      <w:rFonts w:cs="Times New Roman"/>
    </w:rPr>
  </w:style>
  <w:style w:type="character" w:styleId="1072" w:customStyle="1">
    <w:name w:val="副标题 Char1"/>
    <w:basedOn w:val="688"/>
    <w:uiPriority w:val="11"/>
    <w:qFormat/>
    <w:rPr>
      <w:rFonts w:ascii="Cambria" w:hAnsi="Cambria" w:cs="Times New Roman"/>
      <w:b/>
      <w:bCs/>
      <w:sz w:val="32"/>
      <w:szCs w:val="32"/>
    </w:rPr>
  </w:style>
  <w:style w:type="character" w:styleId="1073" w:customStyle="1">
    <w:name w:val="标题 Char1"/>
    <w:basedOn w:val="688"/>
    <w:uiPriority w:val="10"/>
    <w:qFormat/>
    <w:rPr>
      <w:rFonts w:ascii="Cambria" w:hAnsi="Cambria" w:cs="Times New Roman"/>
      <w:b/>
      <w:bCs/>
      <w:sz w:val="32"/>
      <w:szCs w:val="32"/>
    </w:rPr>
  </w:style>
  <w:style w:type="character" w:styleId="1074" w:customStyle="1">
    <w:name w:val="Blockquote Char"/>
    <w:basedOn w:val="688"/>
    <w:link w:val="1075"/>
    <w:uiPriority w:val="0"/>
    <w:qFormat/>
    <w:rPr>
      <w:sz w:val="24"/>
    </w:rPr>
  </w:style>
  <w:style w:type="paragraph" w:styleId="1075" w:customStyle="1">
    <w:name w:val="Blockquote"/>
    <w:basedOn w:val="678"/>
    <w:link w:val="1074"/>
    <w:uiPriority w:val="0"/>
    <w:qFormat/>
    <w:pPr>
      <w:ind w:left="360" w:right="360"/>
      <w:jc w:val="left"/>
      <w:spacing w:before="100" w:after="100"/>
    </w:pPr>
    <w:rPr>
      <w:sz w:val="24"/>
      <w:szCs w:val="20"/>
    </w:rPr>
  </w:style>
  <w:style w:type="character" w:styleId="1076" w:customStyle="1">
    <w:name w:val="标题5 Char Char"/>
    <w:link w:val="1077"/>
    <w:uiPriority w:val="0"/>
    <w:qFormat/>
    <w:rPr>
      <w:rFonts w:ascii="Arial" w:hAnsi="Arial"/>
      <w:b/>
      <w:bCs/>
      <w:sz w:val="24"/>
      <w:szCs w:val="32"/>
    </w:rPr>
  </w:style>
  <w:style w:type="paragraph" w:styleId="1077" w:customStyle="1">
    <w:name w:val="标题5"/>
    <w:basedOn w:val="681"/>
    <w:link w:val="1076"/>
    <w:uiPriority w:val="0"/>
    <w:qFormat/>
    <w:pPr>
      <w:spacing w:before="260" w:after="260" w:line="413" w:lineRule="auto"/>
    </w:pPr>
    <w:rPr>
      <w:rFonts w:eastAsia="宋体" w:cs="Times New Roman"/>
      <w:b/>
      <w:bCs/>
      <w:sz w:val="24"/>
      <w:szCs w:val="32"/>
    </w:rPr>
  </w:style>
  <w:style w:type="character" w:styleId="1078" w:customStyle="1">
    <w:name w:val="Char Char4"/>
    <w:basedOn w:val="688"/>
    <w:uiPriority w:val="0"/>
    <w:qFormat/>
    <w:rPr>
      <w:rFonts w:ascii="宋体" w:hAnsi="Courier New" w:eastAsia="宋体" w:cs="金山简魏碑"/>
      <w:sz w:val="21"/>
      <w:szCs w:val="21"/>
      <w:lang w:val="en-US" w:eastAsia="zh-CN" w:bidi="ar-SA"/>
    </w:rPr>
  </w:style>
  <w:style w:type="character" w:styleId="1079" w:customStyle="1">
    <w:name w:val="Subtle Reference"/>
    <w:uiPriority w:val="0"/>
    <w:qFormat/>
    <w:rPr>
      <w:smallCaps/>
      <w:color w:val="c0504d"/>
      <w:u w:val="single"/>
    </w:rPr>
  </w:style>
  <w:style w:type="character" w:styleId="1080" w:customStyle="1">
    <w:name w:val="标题4 Char Char"/>
    <w:link w:val="1081"/>
    <w:uiPriority w:val="0"/>
    <w:qFormat/>
    <w:rPr>
      <w:rFonts w:ascii="Arial" w:hAnsi="Arial"/>
      <w:b/>
      <w:bCs/>
      <w:sz w:val="24"/>
      <w:szCs w:val="32"/>
    </w:rPr>
  </w:style>
  <w:style w:type="paragraph" w:styleId="1081" w:customStyle="1">
    <w:name w:val="标题4"/>
    <w:basedOn w:val="680"/>
    <w:next w:val="697"/>
    <w:link w:val="1080"/>
    <w:uiPriority w:val="0"/>
    <w:qFormat/>
    <w:pPr>
      <w:spacing w:before="260" w:after="260" w:line="413" w:lineRule="auto"/>
    </w:pPr>
    <w:rPr>
      <w:rFonts w:eastAsia="宋体" w:cs="Times New Roman"/>
      <w:b/>
      <w:bCs/>
      <w:sz w:val="24"/>
      <w:szCs w:val="32"/>
    </w:rPr>
  </w:style>
  <w:style w:type="character" w:styleId="1082" w:customStyle="1">
    <w:name w:val="批注文字 Char Char"/>
    <w:uiPriority w:val="0"/>
    <w:qFormat/>
    <w:rPr>
      <w:rFonts w:ascii="宋体" w:hAnsi="Times New Roman" w:eastAsia="宋体" w:cs="Times New Roman"/>
      <w:sz w:val="28"/>
      <w:szCs w:val="20"/>
    </w:rPr>
  </w:style>
  <w:style w:type="character" w:styleId="1083" w:customStyle="1">
    <w:name w:val="引用 Char1"/>
    <w:basedOn w:val="688"/>
    <w:uiPriority w:val="99"/>
    <w:qFormat/>
    <w:rPr>
      <w:i/>
      <w:iCs/>
      <w:color w:val="000000"/>
    </w:rPr>
  </w:style>
  <w:style w:type="character" w:styleId="1084" w:customStyle="1">
    <w:name w:val="rvts22"/>
    <w:basedOn w:val="688"/>
    <w:uiPriority w:val="0"/>
    <w:qFormat/>
    <w:rPr>
      <w:rFonts w:hint="default" w:ascii="KNLe" w:hAnsi="KNLe"/>
    </w:rPr>
  </w:style>
  <w:style w:type="character" w:styleId="1085" w:customStyle="1">
    <w:name w:val="Char Char1"/>
    <w:basedOn w:val="688"/>
    <w:uiPriority w:val="0"/>
    <w:qFormat/>
    <w:rPr>
      <w:rFonts w:ascii="宋体" w:hAnsi="Courier New" w:eastAsia="宋体" w:cs="金山简魏碑"/>
      <w:sz w:val="21"/>
      <w:szCs w:val="21"/>
      <w:lang w:val="en-US" w:eastAsia="zh-CN" w:bidi="ar-SA"/>
    </w:rPr>
  </w:style>
  <w:style w:type="character" w:styleId="1086" w:customStyle="1">
    <w:name w:val="rvts12"/>
    <w:basedOn w:val="688"/>
    <w:uiPriority w:val="0"/>
    <w:qFormat/>
    <w:rPr>
      <w:rFonts w:hint="default" w:ascii="KNLe" w:hAnsi="KNLe"/>
      <w:color w:val="000000"/>
      <w:sz w:val="24"/>
      <w:szCs w:val="24"/>
    </w:rPr>
  </w:style>
  <w:style w:type="character" w:styleId="1087" w:customStyle="1">
    <w:name w:val="明显引用 Char1"/>
    <w:basedOn w:val="688"/>
    <w:uiPriority w:val="99"/>
    <w:qFormat/>
    <w:rPr>
      <w:b/>
      <w:bCs/>
      <w:i/>
      <w:iCs/>
      <w:color w:val="4f81bd"/>
    </w:rPr>
  </w:style>
  <w:style w:type="paragraph" w:styleId="1088" w:customStyle="1">
    <w:name w:val="TOC 标题2"/>
    <w:basedOn w:val="679"/>
    <w:next w:val="678"/>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089" w:customStyle="1">
    <w:name w:val="空半行"/>
    <w:basedOn w:val="678"/>
    <w:uiPriority w:val="0"/>
    <w:qFormat/>
    <w:pPr>
      <w:spacing w:line="120" w:lineRule="exact"/>
    </w:pPr>
    <w:rPr>
      <w:rFonts w:eastAsia="仿宋_GB2312"/>
      <w:color w:val="ffffff"/>
      <w:sz w:val="30"/>
      <w:szCs w:val="20"/>
    </w:rPr>
  </w:style>
  <w:style w:type="paragraph" w:styleId="1090" w:customStyle="1">
    <w:name w:val="样式 标题 2 + Times New Roman 四号 非加粗 段前: 5 磅 段后: 0 磅 行距: 固定值 20..."/>
    <w:basedOn w:val="680"/>
    <w:uiPriority w:val="0"/>
    <w:qFormat/>
    <w:pPr>
      <w:spacing w:before="100" w:after="0" w:line="400" w:lineRule="exact"/>
    </w:pPr>
    <w:rPr>
      <w:rFonts w:ascii="Times New Roman" w:hAnsi="Times New Roman" w:eastAsia="黑体" w:cs="宋体"/>
      <w:sz w:val="28"/>
      <w:szCs w:val="20"/>
    </w:rPr>
  </w:style>
  <w:style w:type="paragraph" w:styleId="1091" w:customStyle="1">
    <w:name w:val="flNote"/>
    <w:basedOn w:val="678"/>
    <w:uiPriority w:val="0"/>
    <w:qFormat/>
    <w:pPr>
      <w:jc w:val="center"/>
      <w:spacing w:before="320" w:after="160" w:line="360" w:lineRule="atLeast"/>
    </w:pPr>
    <w:rPr>
      <w:rFonts w:ascii="Arial" w:eastAsia="黑体"/>
      <w:sz w:val="30"/>
      <w:szCs w:val="20"/>
    </w:rPr>
  </w:style>
  <w:style w:type="paragraph" w:styleId="1092" w:customStyle="1">
    <w:name w:val="列出段落3"/>
    <w:basedOn w:val="678"/>
    <w:uiPriority w:val="34"/>
    <w:qFormat/>
    <w:pPr>
      <w:ind w:firstLine="420"/>
      <w:jc w:val="left"/>
      <w:widowControl/>
    </w:pPr>
    <w:rPr>
      <w:sz w:val="20"/>
      <w:szCs w:val="20"/>
    </w:rPr>
  </w:style>
  <w:style w:type="paragraph" w:styleId="1093" w:customStyle="1">
    <w:name w:val="Revision"/>
    <w:uiPriority w:val="0"/>
    <w:qFormat/>
    <w:rPr>
      <w:rFonts w:hint="default" w:ascii="Times New Roman" w:hAnsi="Times New Roman" w:eastAsia="宋体" w:cs="Times New Roman"/>
      <w:sz w:val="21"/>
      <w:szCs w:val="24"/>
      <w:lang w:val="en-US" w:eastAsia="zh-CN" w:bidi="ar-SA"/>
    </w:rPr>
  </w:style>
  <w:style w:type="paragraph" w:styleId="1094" w:customStyle="1">
    <w:name w:val="Char Char Char Char Char Char"/>
    <w:basedOn w:val="678"/>
    <w:uiPriority w:val="0"/>
    <w:qFormat/>
    <w:pPr>
      <w:jc w:val="left"/>
      <w:spacing w:after="160" w:line="240" w:lineRule="exact"/>
      <w:widowControl/>
    </w:pPr>
    <w:rPr>
      <w:sz w:val="20"/>
      <w:szCs w:val="20"/>
    </w:rPr>
  </w:style>
  <w:style w:type="paragraph" w:styleId="1095" w:customStyle="1">
    <w:name w:val="TOC Heading"/>
    <w:basedOn w:val="679"/>
    <w:next w:val="678"/>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096" w:customStyle="1">
    <w:name w:val="pa-31"/>
    <w:basedOn w:val="678"/>
    <w:uiPriority w:val="0"/>
    <w:qFormat/>
    <w:pPr>
      <w:ind w:firstLine="1520"/>
      <w:spacing w:before="150" w:after="150" w:line="480" w:lineRule="atLeast"/>
      <w:widowControl/>
    </w:pPr>
    <w:rPr>
      <w:rFonts w:ascii="宋体" w:hAnsi="宋体" w:cs="宋体"/>
      <w:sz w:val="24"/>
      <w:szCs w:val="24"/>
    </w:rPr>
  </w:style>
  <w:style w:type="paragraph" w:styleId="1097" w:customStyle="1">
    <w:name w:val="blockquote"/>
    <w:basedOn w:val="678"/>
    <w:uiPriority w:val="0"/>
    <w:qFormat/>
    <w:pPr>
      <w:jc w:val="left"/>
      <w:spacing w:before="100" w:beforeAutospacing="1" w:after="100" w:afterAutospacing="1"/>
      <w:widowControl/>
    </w:pPr>
    <w:rPr>
      <w:rFonts w:ascii="宋体" w:hAnsi="宋体"/>
      <w:sz w:val="24"/>
      <w:szCs w:val="24"/>
    </w:rPr>
  </w:style>
  <w:style w:type="paragraph" w:styleId="1098" w:customStyle="1">
    <w:name w:val="1"/>
    <w:basedOn w:val="678"/>
    <w:uiPriority w:val="0"/>
    <w:qFormat/>
    <w:rPr>
      <w:szCs w:val="20"/>
    </w:rPr>
  </w:style>
  <w:style w:type="paragraph" w:styleId="1099" w:customStyle="1">
    <w:name w:val="样式 标题 3 + (中文) 黑体 小四 非加粗 段前: 7.8 磅 段后: 0 磅 行距: 固定值 20 磅"/>
    <w:basedOn w:val="681"/>
    <w:uiPriority w:val="0"/>
    <w:qFormat/>
    <w:pPr>
      <w:spacing w:before="0" w:after="0" w:line="400" w:lineRule="exact"/>
    </w:pPr>
    <w:rPr>
      <w:rFonts w:ascii="Times New Roman" w:hAnsi="Times New Roman" w:eastAsia="黑体" w:cs="宋体"/>
      <w:sz w:val="24"/>
      <w:szCs w:val="20"/>
    </w:rPr>
  </w:style>
  <w:style w:type="character" w:styleId="1100" w:customStyle="1">
    <w:name w:val="fontstyle01"/>
    <w:uiPriority w:val="0"/>
    <w:qFormat/>
    <w:rPr>
      <w:rFonts w:hint="eastAsia" w:ascii="宋体" w:hAnsi="宋体" w:eastAsia="宋体"/>
      <w:color w:val="000000"/>
      <w:sz w:val="22"/>
      <w:szCs w:val="22"/>
    </w:rPr>
  </w:style>
  <w:style w:type="numbering" w:styleId="8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22</cp:revision>
  <dcterms:created xsi:type="dcterms:W3CDTF">2024-06-04T08:17:00Z</dcterms:created>
  <dcterms:modified xsi:type="dcterms:W3CDTF">2025-06-04T01:53:31Z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9C37E71411F04E08A74CF18D89BABA2C_13</vt:lpwstr>
  </property>
  <property fmtid="{D5CDD505-2E9C-101B-9397-08002B2CF9AE}" pid="4" name="KSOTemplateDocerSaveRecord">
    <vt:lpwstr>eyJoZGlkIjoiNThiMTA2MzRmMjJjNjJhZmQzNmFmNDY0M2YxYzZjZDEiLCJ1c2VySWQiOiI0MzY3NTE3ODUifQ==</vt:lpwstr>
  </property>
</Properties>
</file>