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rPr>
          <w:rFonts w:ascii="SimSun" w:hAnsi="SimSun" w:eastAsia="SimSun" w:cs="SimSun"/>
          <w:b/>
          <w: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苏 州 市 政 府 采 购</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招标文件</w:t>
      </w:r>
      <w:r/>
    </w:p>
    <w:p>
      <w:pPr>
        <w:ind w:left="-424"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140" w:right="0" w:firstLine="137"/>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140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招标编号：JSZC-320500-SZHQ-G2024-0112</w:t>
      </w:r>
      <w:r/>
    </w:p>
    <w:p>
      <w:pPr>
        <w:ind w:left="0" w:right="0" w:firstLine="140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采购人：</w:t>
      </w:r>
      <w:r>
        <w:rPr>
          <w:rFonts w:ascii="SimSun" w:hAnsi="SimSun" w:eastAsia="SimSun" w:cs="SimSun"/>
          <w:b/>
          <w:color w:val="000000"/>
          <w:sz w:val="28"/>
          <w:u w:val="none"/>
        </w:rPr>
        <w:t xml:space="preserve">苏州市公安</w:t>
      </w:r>
      <w:r>
        <w:rPr>
          <w:rFonts w:ascii="SimSun" w:hAnsi="SimSun" w:eastAsia="SimSun" w:cs="SimSun"/>
          <w:b/>
          <w:color w:val="000000"/>
          <w:sz w:val="28"/>
        </w:rPr>
        <w:t xml:space="preserve">局</w:t>
      </w:r>
      <w:r/>
    </w:p>
    <w:p>
      <w:pPr>
        <w:ind w:left="0" w:right="0" w:firstLine="140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采购代理机构：</w:t>
      </w:r>
      <w:r>
        <w:rPr>
          <w:rFonts w:ascii="SimSun" w:hAnsi="SimSun" w:eastAsia="SimSun" w:cs="SimSun"/>
          <w:b/>
          <w:color w:val="000000"/>
          <w:sz w:val="28"/>
          <w:u w:val="none"/>
        </w:rPr>
        <w:t xml:space="preserve">苏州海企国际工程咨询有限公司</w:t>
      </w:r>
      <w:r/>
    </w:p>
    <w:p>
      <w:pPr>
        <w:ind w:left="2796" w:right="0" w:hanging="140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项目名称：2024年度警校食堂食材配送服务</w:t>
      </w:r>
      <w:r/>
    </w:p>
    <w:p>
      <w:pPr>
        <w:ind w:left="0" w:right="0" w:firstLine="140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采购类别：服务类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7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6"/>
        </w:rPr>
        <w:t xml:space="preserve"> </w:t>
      </w:r>
      <w:r/>
    </w:p>
    <w:p>
      <w:pPr>
        <w:ind w:left="0" w:right="0" w:firstLine="57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二〇二四年十二月</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39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前附表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16"/>
        <w:gridCol w:w="1620"/>
        <w:gridCol w:w="7018"/>
      </w:tblGrid>
      <w:tr>
        <w:trPr>
          <w:trHeight w:val="47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内容</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1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2024年度警校食堂食材配送服务</w:t>
            </w:r>
            <w:r/>
          </w:p>
        </w:tc>
      </w:tr>
      <w:tr>
        <w:trPr>
          <w:trHeight w:val="10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服务期限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1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本服务自合同签订后次日生效，服务期一年。当结算金额达到标段预算金额或合同履行期限到期，本标段合同自动终止。</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6"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采购预算</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1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标段二：粮油米面类、干货调料类，预算金额人民币叁拾万元整（¥：300000.00）。</w:t>
            </w:r>
            <w:r/>
          </w:p>
        </w:tc>
      </w:tr>
      <w:tr>
        <w:trPr>
          <w:trHeight w:val="40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标段二：粮油米面类、干货调料类，最高限价人民币叁拾万元整（¥：300000.00）</w:t>
            </w:r>
            <w:r/>
          </w:p>
        </w:tc>
      </w:tr>
      <w:tr>
        <w:trPr>
          <w:trHeight w:val="82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特定资格条件、落实政府采购政策需满足的资格要求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1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①具有有效期内的《食品经营许可证》；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②本项目专门面向中小企业采购，属于批发业，投标人必须提供《中小企业声明函》或《残疾人福利性单位声明函》或由省级以上监狱管理局、戒毒管理局（含新疆生产建设兵团）出具的属于监狱企业的证明文件。</w:t>
            </w:r>
            <w:r/>
          </w:p>
        </w:tc>
      </w:tr>
      <w:tr>
        <w:trPr>
          <w:trHeight w:val="79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联合体投标</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1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本项目不接受联合体</w:t>
            </w:r>
            <w:r/>
          </w:p>
        </w:tc>
      </w:tr>
      <w:tr>
        <w:trPr>
          <w:trHeight w:val="50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现场考察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1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不集中组织现场考察</w:t>
            </w:r>
            <w:r/>
          </w:p>
        </w:tc>
      </w:tr>
      <w:tr>
        <w:trPr>
          <w:trHeight w:val="7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投标答疑会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1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不召开</w:t>
            </w:r>
            <w:r/>
          </w:p>
        </w:tc>
      </w:tr>
      <w:tr>
        <w:trPr>
          <w:trHeight w:val="52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投标人提出疑问截止时间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1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投标人如有疑问需要澄清，可通过公告中的联系方式及时提出，采购人或采购代理机构将予以解答，但答复内容不得涉及商业秘密。</w:t>
            </w:r>
            <w:r/>
          </w:p>
        </w:tc>
      </w:tr>
      <w:tr>
        <w:trPr>
          <w:trHeight w:val="41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1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中标单位中标后，提供2份纸质投标文件，送至招标代理机构。</w:t>
            </w:r>
            <w:r/>
          </w:p>
        </w:tc>
      </w:tr>
      <w:tr>
        <w:trPr>
          <w:trHeight w:val="4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投标货币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1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w:t>
            </w:r>
            <w:r/>
          </w:p>
        </w:tc>
      </w:tr>
      <w:tr>
        <w:trPr>
          <w:trHeight w:val="95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1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不提交，招标文件内关于投标保证金的相关规定均不适用</w:t>
            </w:r>
            <w:r>
              <w:rPr>
                <w:rFonts w:ascii="SimSun" w:hAnsi="SimSun" w:eastAsia="SimSun" w:cs="SimSun"/>
                <w:b/>
                <w:color w:val="000000"/>
                <w:sz w:val="24"/>
              </w:rPr>
              <w:t xml:space="preserve">。</w:t>
            </w:r>
            <w:r/>
          </w:p>
        </w:tc>
      </w:tr>
      <w:tr>
        <w:trPr>
          <w:trHeight w:val="42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1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90</w:t>
            </w:r>
            <w:r>
              <w:rPr>
                <w:rFonts w:ascii="SimSun" w:hAnsi="SimSun" w:eastAsia="SimSun" w:cs="SimSun"/>
                <w:color w:val="000000"/>
                <w:sz w:val="24"/>
              </w:rPr>
              <w:t xml:space="preserve">日历天（从投标截止之日算起）</w:t>
            </w:r>
            <w:r/>
          </w:p>
        </w:tc>
      </w:tr>
      <w:tr>
        <w:trPr>
          <w:trHeight w:val="74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6"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1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时间：2025年 1 月 16 日14时30分</w:t>
            </w:r>
            <w:r/>
          </w:p>
        </w:tc>
      </w:tr>
      <w:tr>
        <w:trPr>
          <w:trHeight w:val="31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投标地点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地点：”苏采云”系统（网址：http://jszfcg.jsczt.cn/）</w:t>
            </w:r>
            <w:r/>
          </w:p>
        </w:tc>
      </w:tr>
      <w:tr>
        <w:trPr>
          <w:trHeight w:val="5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开标时间和地点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1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时间：2025年 1 月 16 日14时30分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地点：”苏采云”系统（网址：http://jszfcg.jsczt.cn/）</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评标办法</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1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综合评分法</w:t>
            </w:r>
            <w:r/>
          </w:p>
        </w:tc>
      </w:tr>
      <w:tr>
        <w:trPr>
          <w:trHeight w:val="84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定标办法</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1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采购人根据评标委员会推荐的中标候选供应商顺序确定中标供应商。</w:t>
            </w:r>
            <w:r/>
          </w:p>
        </w:tc>
      </w:tr>
      <w:tr>
        <w:trPr>
          <w:trHeight w:val="65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1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62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签订合同</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1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中标通知书发出之日起15日内</w:t>
            </w:r>
            <w:r/>
          </w:p>
        </w:tc>
      </w:tr>
      <w:tr>
        <w:trPr>
          <w:trHeight w:val="57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代理服务费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1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购代理服务费由中标（成交）人支付，支付金额的计算方式以预算金额为基数按差额累计法收费（预算金额100万元以下，收取1.5%；100-500万元，收取1.1%；500-1000万元，收取0.8%；1000-5000万元，收取0.5%；5000-10000万元，收取0.25%）；最低叁仟元整。该费用应在领取中标通知书时付清。</w:t>
            </w:r>
            <w:r/>
          </w:p>
        </w:tc>
      </w:tr>
      <w:tr>
        <w:trPr>
          <w:trHeight w:val="57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监督电话</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1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苏州市政府采购监督电话：0512-68616651</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目录</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第一章 招标公告</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第二章 投标人须知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第三章 投标文件格式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第四章 采购内容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第五章 合同主要条款</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第六章 评标办法及标准</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6"/>
        </w:rPr>
        <w:t xml:space="preserve"> </w:t>
      </w:r>
      <w:r/>
    </w:p>
    <w:p>
      <w:pPr>
        <w:pStyle w:val="12"/>
        <w:ind w:left="0" w:right="0" w:firstLine="0"/>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u w:val="none"/>
        </w:rPr>
        <w:t xml:space="preserve">第一章</w:t>
      </w:r>
      <w:r>
        <w:rPr>
          <w:rFonts w:ascii="SimSun" w:hAnsi="SimSun" w:eastAsia="SimSun" w:cs="SimSun"/>
          <w:b/>
          <w:color w:val="000000"/>
          <w:sz w:val="44"/>
        </w:rPr>
        <w:t xml:space="preserve"> 招标公告</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招标公告</w:t>
      </w:r>
      <w:r/>
    </w:p>
    <w:p>
      <w:pPr>
        <w:ind w:left="0" w:right="0" w:firstLine="480"/>
        <w:jc w:val="both"/>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none"/>
        </w:rPr>
        <w:t xml:space="preserve">项目概况</w:t>
      </w:r>
      <w:r/>
    </w:p>
    <w:p>
      <w:pPr>
        <w:ind w:left="0" w:right="0" w:firstLine="480"/>
        <w:jc w:val="both"/>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2024年度警校食堂食材配送服务</w:t>
      </w:r>
      <w:r>
        <w:rPr>
          <w:rFonts w:ascii="SimSun" w:hAnsi="SimSun" w:eastAsia="SimSun" w:cs="SimSun"/>
          <w:color w:val="000000"/>
          <w:sz w:val="24"/>
        </w:rPr>
        <w:t xml:space="preserve">招标项目的潜在投标人应在</w:t>
      </w:r>
      <w:r>
        <w:rPr>
          <w:rFonts w:ascii="SimSun" w:hAnsi="SimSun" w:eastAsia="SimSun" w:cs="SimSun"/>
          <w:color w:val="000000"/>
          <w:sz w:val="24"/>
          <w:u w:val="single"/>
        </w:rPr>
        <w:t xml:space="preserve">“苏采云”系统</w:t>
      </w:r>
      <w:r>
        <w:rPr>
          <w:rFonts w:ascii="SimSun" w:hAnsi="SimSun" w:eastAsia="SimSun" w:cs="SimSun"/>
          <w:color w:val="000000"/>
          <w:sz w:val="24"/>
        </w:rPr>
        <w:t xml:space="preserve">获取招标文件，并于</w:t>
      </w:r>
      <w:r>
        <w:rPr>
          <w:rFonts w:ascii="SimSun" w:hAnsi="SimSun" w:eastAsia="SimSun" w:cs="SimSun"/>
          <w:color w:val="000000"/>
          <w:sz w:val="24"/>
          <w:u w:val="single"/>
        </w:rPr>
        <w:t xml:space="preserve">2025- 1 - 16  14：30</w:t>
      </w:r>
      <w:r>
        <w:rPr>
          <w:rFonts w:ascii="SimSun" w:hAnsi="SimSun" w:eastAsia="SimSun" w:cs="SimSun"/>
          <w:color w:val="000000"/>
          <w:sz w:val="24"/>
        </w:rPr>
        <w:t xml:space="preserve">（北京时间）前递交投标文件。</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项目编号：JSZC-320500-SZHQ-G2024-0112</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项目名称：2024年度警校食堂食材配送服务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标段二：粮油米面类、干货调料类，预算金额人民币叁拾万元整（¥：300000.00）；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标段二：粮油米面类、干货调料类，最高限价人民币叁拾万元整（¥：300000.00）；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采购需求：2024年度警校食堂食材配送服务,标段二：粮油米面类、干货调料类，详见招标文件采购内容。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合同履行期限：本服务自合同签订后次日生效，服务期一年。当结算金额达到标段预算金额或合同履行期限到期，本标段合同自动终止。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本项目不接受联合体投标。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二、申请人的资格要求：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1.1具有独立承担民事责任的能力；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1.2具有良好的商业信誉和健全的财务会计制度；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1.3具有履行合同所必需的设备和专业技术能力；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1.4具有依法缴纳税收和社会保障资金的良好记录；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1.5参加政府采购活动前三年内,在经营活动中没有重大违法记录；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1.6法律、行政法规规定的其他条件；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1.7根据政府采购法及相关法规，招标代理人将对供应商进行信用查询。对列入失信被执行人、重大税收违法案件当事人名单、政府采购严重违法失信行为记录名单的供应商，拒绝其参与政府采购活动。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单位负责人为同一人或者存在直接控股、管理关系的不同供应商（包含法定代表人为同一个人的两个及两个以上法人，母公司、全资子公司及其控股公司），不得参加同一合同项下的政府采购活动。除单一来源采购项目外，为采购项目提供整体设计、规范编制或者项目管理、监理、检测等服务的供应商，不得再参加该采购项目的其他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2、落实政府采购政策需满足的资格要求：</w:t>
      </w:r>
      <w:r>
        <w:rPr>
          <w:rFonts w:ascii="SimSun" w:hAnsi="SimSun" w:eastAsia="SimSun" w:cs="SimSun"/>
          <w:b/>
          <w:color w:val="000000"/>
          <w:sz w:val="24"/>
        </w:rPr>
        <w:t xml:space="preserve">本项目专门面向中小企业采购，属于</w:t>
      </w:r>
      <w:r>
        <w:rPr>
          <w:rFonts w:ascii="SimSun" w:hAnsi="SimSun" w:eastAsia="SimSun" w:cs="SimSun"/>
          <w:b/>
          <w:color w:val="000000"/>
          <w:sz w:val="24"/>
          <w:u w:val="single"/>
        </w:rPr>
        <w:t xml:space="preserve">批发业</w:t>
      </w:r>
      <w:r>
        <w:rPr>
          <w:rFonts w:ascii="SimSun" w:hAnsi="SimSun" w:eastAsia="SimSun" w:cs="SimSun"/>
          <w:b/>
          <w:color w:val="000000"/>
          <w:sz w:val="24"/>
        </w:rPr>
        <w:t xml:space="preserve">，投标人必须提供《中小企业声明函》或《残疾人福利性单位声明函》或由省级以上监狱管理局、戒毒管理局（含新疆生产建设兵团）出具的属于监狱企业的证明文件。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3、本项目的特定资格要求：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3.1具有有效期内的《食品经营许可证》。</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三、获取采购文件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时间：自招标文件公告发布之日起5个工作日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地点：“苏采云”系统（网址：http://jszfcg.jsczt.cn/）</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方式：线上获取，详见公告</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售价：0.00元</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四、提交投标文件截止时间、开标时间和地点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时间：2025- 1 - 16  14：30（北京时间）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地点：“苏采云”系统（网址：</w:t>
      </w:r>
      <w:r>
        <w:rPr>
          <w:rFonts w:ascii="SimSun" w:hAnsi="SimSun" w:eastAsia="SimSun" w:cs="SimSun"/>
          <w:color w:val="000000"/>
          <w:sz w:val="24"/>
        </w:rPr>
        <w:t xml:space="preserve">http://jszfcg.jsczt.cn/）</w:t>
      </w:r>
      <w:r/>
      <w:r>
        <w:rPr>
          <w:rFonts w:ascii="SimSun" w:hAnsi="SimSun" w:eastAsia="SimSun" w:cs="SimSun"/>
          <w:color w:val="000000"/>
          <w:sz w:val="24"/>
        </w:rPr>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五、公告期限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自本公告发布之日起5个工作日。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六、其他补充事项：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1、线上获取方式：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（1）CA证书办理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ascii="SimSun" w:hAnsi="SimSun" w:eastAsia="SimSun" w:cs="SimSun"/>
          <w:b/>
          <w:color w:val="000000"/>
          <w:sz w:val="24"/>
        </w:rPr>
        <w:t xml:space="preserve">苏州现场办理地址：苏州市姑苏区平泷路251号政务服务中心4楼公共交易中心窗口，咨询电话：0512-69820834</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（2）参与采购活动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考虑到熟悉“苏采云”系统、办理CA证书都需要一定的时间，请提早准备以免耽误招标采购活动。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（3）电子投标准备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供应商在“苏采云”系统中操作成功参与项目后，必须在“已参与项目”界面中下载电子招标文件（后缀名为“.kedt”）并导入政府采购客户端工具后方可进行投标文件制作和提交</w:t>
      </w:r>
      <w:r>
        <w:rPr>
          <w:rFonts w:ascii="SimSun" w:hAnsi="SimSun" w:eastAsia="SimSun" w:cs="SimSun"/>
          <w:b/>
          <w:color w:val="000000"/>
          <w:sz w:val="24"/>
        </w:rPr>
        <w:t xml:space="preserve">（具体详见《苏采云系统供应商操作手册》，网址链接https://czju.suzhou.gov.cn/zfcg/html/content/20231220161910031.shtml）</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在系统操作过程中如有疑问，请按以下方式联系：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注册咨询：18261002950；</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CA技术咨询电话：400-608-6099；</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签章使用问题：025-83633811、025-83633812、15380932027、15371015030；</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系统使用指导与咨询：联系电话：18261002950；QQ：3048755361、1315179389、895706745。</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采用电子招投标形式，请供应商按照《苏采云系统供应商操作手册》进行制作、上传电子投标文件。响应文件制作完成后请于截止前成功上传至“苏采云”系统，未按要求线上递交电子投标（响应）文件视为放弃参加该采购项目。供应商应充分考虑到网络环境、网络带宽等风险因素，如因供应商自身原因造成的电子投标文件上传不成功由供应商自行承担全部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3、本项目为不见面开标项目，开标阶段供应商在【供应商解密】环节必须使用 CA证书解密电子投标（响应）文件，如在系统规定的解密时间内未能完成解密的视为放弃投标（响应）。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4、线上参加开标（开启）会方式：供应商登录“苏采云”系统在平台首页点击“开标大厅”，进入江苏省政府采购一体化不见面开标（采购）大厅，在今日项目列表，点击项目，进入不见面开标系统。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请供应商确保电脑、系统及其他设备（视频输入输出设备等）无误，且开标直至项目结束始终保持系统在线状态。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6、本项目获取招标文件截止日期之后仍可以下载招标文件，但截止日期之后下载的招标文件,视为非有效方式且不作为供应商权益受到损害的证明材料和依据。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更正(补充)公告及附件的获取: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8、苏州市政府采购监督电话：0512-68616651。</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9、本次采购的有关信息将在苏州市政府采购网、江苏政府采购网上发布、中国政府采购网，敬请留意！</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七、对本次招标提出的询问，请按以下方式联系。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名称：苏州市公安局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地址：苏州市相城区人民路3998号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6"/>
        </w:rPr>
        <w:t xml:space="preserve">0512-65111701</w:t>
      </w: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名称：苏州海企国际工程咨询有限公司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地址：苏州高新区滨河路苏州资管大厦9幢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联系方式：0512-68087208</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项目联系人：钟雅婷、张茂松、赵猛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电话：0512-68087208</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6"/>
          <w:u w:val="non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6"/>
        </w:rPr>
        <w:t xml:space="preserve"> </w:t>
      </w:r>
      <w:r/>
    </w:p>
    <w:p>
      <w:pPr>
        <w:pStyle w:val="12"/>
        <w:ind w:left="0" w:right="0" w:firstLine="0"/>
        <w:jc w:val="center"/>
        <w:spacing w:before="340" w:after="33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第二章 投标人须知</w:t>
      </w:r>
      <w:r/>
    </w:p>
    <w:p>
      <w:pPr>
        <w:ind w:left="0" w:right="0" w:firstLine="52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5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一、说明和释义</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 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1.1本招标文件仅适用于苏州海企国际工程咨询有限公司组织的招标活动。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1.2本次招标活动及因本次招标产生的合同受中国法律制约和保护。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1.3本招标文件的解释权属于苏州海企国际工程咨询有限公司。</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 词语释义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2.1采购人：指依法进行政府采购的国家机关、事业单位、团体组织。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供应商：指向采购人提供货物、工程或服务的法人、其他组织或者自然人。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2.3投标人：指参加政府采购货物服务投标活动的供应商。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2.4采购代理机构：指依法接受采购人委托，从事货物、工程和服务等政府采购招标代理业务的社会中介机构。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2.5招标采购单位：采购人及采购代理机构的统称。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2.6评标委员会：</w:t>
      </w:r>
      <w:r>
        <w:rPr>
          <w:rFonts w:ascii="Arial" w:hAnsi="Arial" w:eastAsia="Arial" w:cs="Arial"/>
          <w:color w:val="000000"/>
          <w:sz w:val="24"/>
        </w:rPr>
        <w:t xml:space="preserve"> </w:t>
      </w:r>
      <w:r>
        <w:rPr>
          <w:rFonts w:ascii="SimSun" w:hAnsi="SimSun" w:eastAsia="SimSun" w:cs="SimSun"/>
          <w:color w:val="000000"/>
          <w:sz w:val="24"/>
        </w:rPr>
        <w:t xml:space="preserve">是指在招标投标和政府采购活动中，依法由采购人代表和有关技术、经济等方面的专家组建，负责对投标文件进行评审并提出评审意见的临时性权威机构。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2.7响应：投标人根据采购人或采购代理机构发布的招标文件，编制投标文件并按规定投标的行为。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2.8知识产权：指专利权、商标权、著作权等无形财产专有权的统称。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2.9天：日历日。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2.10服务地点：合同中明确约定的乙方履行服务的最终地点。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2.11不可抗力：不能预见、不能避免并且不能克服的客观情况。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 实质性响应：满足有关本次采购标的、数量、质量、价款或者报酬、履行期限、履行地点和方式、违约责任和解决争议方法等要求。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2.13书面形式：指书面文字、合同书、信件和传真等可以有形地表现所载内容的形式。</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 投标人</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 合格投标人的基本条件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3.1符合《中华人民共和国政府采购法》第二十二条第一款之规定；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4．合格投标人的特定条件、落实政府采购政策需满足的资格要求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详见招标公告</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w:t>
      </w:r>
      <w:r>
        <w:rPr>
          <w:rFonts w:ascii="SimSun" w:hAnsi="SimSun" w:eastAsia="SimSun" w:cs="SimSun"/>
          <w:color w:val="000000"/>
          <w:sz w:val="24"/>
        </w:rPr>
        <w:t xml:space="preserve">投标人必须进入苏采云系统进行网上报名，否则不能参加本次招标活动。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 投标人代表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6.1指全权代表投标人参加投标活动并签署投标文件的人，如果投标人代表不是法人代表，须持有《法人代表授权委托书》（详见统一格式）。</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 联合投标（本项目不接受联合体投标）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接受联合体投标的，由两个或两个以上法人组成一个联合体以一个投标人的身份共同投标时，联合体各方均应当符合政府采购法第二十二条第一款规定的条件。同时还应符合以下要求：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7.1联合体各方中至少应当有一方符合本招标文件规定的投标人资格条件的特定条件。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联合体各方应签订联合投标协议（详见统一格式)，明确联合体的牵头人，明确约定各方拟承担的工作和责任，并将该联合投标协议随投标文件一并提交给采购代理机构。联合体牵头人应被授权作为联合体所有成员的代表承担责任和接受指令，并负责整个合同的全面履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7.3联合体各成员之间签订的联合体协议书应与投标文件一起递交。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7.4参加联合体的各成员不得再以自己名义单独投标，也不得同时参加两个或两个以上的联合体投标。如有违反将取消该联合体各成员的投标资格。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7.5联合体各方应当共同与采购人签订合同，就采购合同约定的事项对采购人承担连带责任。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7.6 除非另有规定或说明，本文中“投标人”一词亦指联合体各成员。</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 投标费用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8.1投标人应自行承担所有准备及参加投标的相关费用。不论投标结果如何，采购人和采购代理机构在任何情况下均无义务也无责任承担这些费用。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 招标文件说明</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 招标文件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招标文件由招标文件目录所列内容组成，投标人报名确认后下载获取招标文件后，应仔细检查招标文件的所有内容，如有残缺等问题应在获取招标文件2日内向招标采购单位提出，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10.现场考察（如涉及）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10.1投标人应按招标文件中所述时间对有关现场和周围环境进行考察，以获取编制投标文件和签署合同所需的信息。考察现场所发生的费用由投标人自己承担。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10.2招标采购单位向投标人提供的有关现场的资料和数据，是招标采购单位现有的并认为能使投标人可利用的资料。招标采购单位对投标人由此而做出的推论、理解和结论概不负责。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 经招标采购单位允许，投标人可为考察目的进入招标采购单位的项目现场，但投标人不得因此使招标采购单位承担有关的责任和蒙受损失。投标人应承担考察现场的责任和风险。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投标人应在现场考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11.招标文件的澄清和修改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11.1投标人如有疑问需要澄清，可通过公告中的联系方式及时提出，采购人或采购代理机构将予以解答，但答复内容不得涉及商业秘密。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11.2迟于前附表规定时间的询问或提交的疑问提出的，采购人和采购代理机构有权拒绝回答，也不承担由此带来的对投标人投标结果的影响。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11.3在投标截止时间15日前，招标采购单位无论出于自己的考虑，还是出于对投标人提问的澄清，均可对已发出的招标文件进行必要澄清或者修改。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11.4为使投标人有足够的时间按招标文件的修改要求考虑修正投标文件，或出于其他原因，招标采购单位有权推迟投标截止日期和开标日期，将此变更通知所有招标文件的收受人。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11.5招标文件的更正（含澄清、修改等）内容与原招标文件在同一内容上表述不一致时，以发出日期最接近开标时间的公告为准。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11.6招标文件的更正（含澄清、修改等）内容将在财政部门指定的政府采购信息发布媒体上发布，作为招标文件的组成部分，对投标人起约束作用。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 投标文件说明</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 投标文件计量单位和使用文字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12.1投标文件中所使用的计量单位，除招标文件中有特殊要求外，均应使用中华人民共和国法定计量单位。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投标文件应使用中文编制，投标文件中必须使用其他文字的，必须附有中文译本，且以中文译本为准。对于未附有中文译本和中文译本不准确的投标文件可能引起的对投标人不利的后果，招标采购单位概不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none"/>
        </w:rPr>
        <w:t xml:space="preserve">3. 知识产权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投标人应保证在本项目使用的任何服务（包括部分使用）时，不会产生因第三方提出侵犯其专利权、商标权或其它知识产权而引起的法律和经济纠纷，如因专利权、商标权或其它知识产权而引起法律和经济纠纷，由投标人承担所有相关责任。</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 投标文件的组成</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基本目录：</w:t>
      </w:r>
      <w:r/>
    </w:p>
    <w:p>
      <w:pPr>
        <w:ind w:left="0" w:right="0" w:firstLine="46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14.1封面</w:t>
      </w:r>
      <w:r/>
    </w:p>
    <w:p>
      <w:pPr>
        <w:ind w:left="0" w:right="0" w:firstLine="46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14.2 法定代表人授权委托书（如有授权，详见投标文件格式）；</w:t>
      </w:r>
      <w:r/>
    </w:p>
    <w:p>
      <w:pPr>
        <w:ind w:left="0" w:right="0" w:firstLine="46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14.3 投标人法定代表人身份证扫描件、授权委托人身份证扫描件；</w:t>
      </w:r>
      <w:r/>
    </w:p>
    <w:p>
      <w:pPr>
        <w:ind w:left="0" w:right="0" w:firstLine="46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14.4 投标人基本情况表（详见投标文件格式）；</w:t>
      </w:r>
      <w:r/>
    </w:p>
    <w:p>
      <w:pPr>
        <w:ind w:left="0" w:right="0" w:firstLine="46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14.5项目服务方案（包括但不限于采购管理方案、配送方案、应急响应预案方案、团队日常对接配合方案、食材卫生保障方案、市场询价措施等内容。）；</w:t>
      </w:r>
      <w:r/>
    </w:p>
    <w:p>
      <w:pPr>
        <w:ind w:left="0" w:right="0" w:firstLine="46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14.6《项目经理情况一览表》、《项目组人员配备一览表》；</w:t>
      </w:r>
      <w:r/>
    </w:p>
    <w:p>
      <w:pPr>
        <w:ind w:left="0" w:right="0" w:firstLine="46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14.7招标文件技术部分规定提交的其他相关材料；</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资格条件：</w:t>
      </w:r>
      <w:r/>
    </w:p>
    <w:p>
      <w:pPr>
        <w:ind w:left="0" w:right="0" w:firstLine="46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14.8关于资格文件的声明函（详见投标文件格式）；</w:t>
      </w:r>
      <w:r/>
    </w:p>
    <w:p>
      <w:pPr>
        <w:ind w:left="0" w:right="0" w:firstLine="46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14.9投标人《营业执照》副本扫描件；</w:t>
      </w:r>
      <w:r/>
    </w:p>
    <w:p>
      <w:pPr>
        <w:ind w:left="0" w:right="0" w:firstLine="46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14.10投标人具有良好的商业信誉和健全的财务会计制度证明。包括但不限于最近一期经审计的财务报告，其他组织、自然人及成立未满一年的法人应提供银行出具的资信证明。</w:t>
      </w:r>
      <w:r/>
    </w:p>
    <w:p>
      <w:pPr>
        <w:ind w:left="0" w:right="0" w:firstLine="46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14.11投标人具有依法缴纳税收和社会保障资金的良好记录，提供税务登记证（如有）和近三个月内依法缴纳税收的凭据；提供近三个月内依法缴纳社会保险的凭据（专用收据或社会保险缴纳清单）的相关材料；响应单位如依法享受缓缴、免缴税收、社会保障资金的应提供相关主管部门出具的证明材料； </w:t>
      </w:r>
      <w:r/>
    </w:p>
    <w:p>
      <w:pPr>
        <w:ind w:left="0" w:right="0" w:firstLine="46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14.12投标人具备履行合同所必需的设备和专业技术能力的证明材料或承诺；</w:t>
      </w:r>
      <w:r/>
    </w:p>
    <w:p>
      <w:pPr>
        <w:ind w:left="0" w:right="0" w:firstLine="46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14.13投标人参加政府采购活动前3年内在经营活动中没有重大违法记录的书面声明函；</w:t>
      </w:r>
      <w:r/>
    </w:p>
    <w:p>
      <w:pPr>
        <w:ind w:left="0" w:right="0" w:firstLine="46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14.14具有有效期内的《食品经营许可证》；</w:t>
      </w:r>
      <w:r/>
    </w:p>
    <w:p>
      <w:pPr>
        <w:ind w:left="0" w:right="0" w:firstLine="46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14.15《中小企业声明函》或《残疾人福利性单位声明函》或由省级以上监狱管理局、戒毒管理局（含新疆生产建设兵团）出具的属于监狱企业的证明文件。</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符合条件：</w:t>
      </w:r>
      <w:r/>
    </w:p>
    <w:p>
      <w:pPr>
        <w:ind w:left="0" w:right="0" w:firstLine="46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14.16投标函（详见投标文件格式）；</w:t>
      </w:r>
      <w:r/>
    </w:p>
    <w:p>
      <w:pPr>
        <w:ind w:left="0" w:right="0" w:firstLine="46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14.17《开标一览表》(统一格式，用于唱标)；</w:t>
      </w:r>
      <w:r/>
    </w:p>
    <w:p>
      <w:pPr>
        <w:ind w:left="0" w:right="0" w:firstLine="46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14.18《服务要求偏离表》、《商务条款偏离表》；</w:t>
      </w:r>
      <w:r/>
    </w:p>
    <w:p>
      <w:pPr>
        <w:ind w:left="0" w:right="0" w:firstLine="46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14.19投标单位对招标文件其他符合性条款的响应情况；</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综合评审评分项：</w:t>
      </w:r>
      <w:r/>
    </w:p>
    <w:p>
      <w:pPr>
        <w:ind w:left="0" w:right="0" w:firstLine="46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14.20招标文件评分标准中规定提交的其他相关材料；</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价格折扣文件：</w:t>
      </w:r>
      <w:r/>
    </w:p>
    <w:p>
      <w:pPr>
        <w:ind w:left="0" w:right="0" w:firstLine="46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14.21《中小企业声明函》或《残疾人福利性单位声明函》或由省级以上监狱管理局、戒毒管理局（含新疆生产建设兵团）出具的属于监狱企业的证明文件；（详见投标文件格式）；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注：投标人应完整提交上述资料。否则，投标文件将可能因资格性条件不符或符合性审查不符而被判定为无效标；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 投标文件编制要求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15.1电子投标（响应）文件制作：本项目为网上招投标项目，请投标人插入CA 证书登陆“苏采云”系统下载客户端（参与项目页面可下载客户端及客户端使用说明），在客户端编制电子投标（响应）文件并进行CA加密。操作步骤详见“苏采云”系统页面提示和《操作手册》。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电子投标（响应)文件递交：投标人应当按照《操作手册》指引，在投标（响应）文件提交截止时间前完成电子投标（响应）文件的上传，未按要求成功上传的投标（响应）文件视为未递交。投标人应充分考虑到网络环境、网络带宽等风险因素，如因投标人自身原因造成的电子投标（响应）文件上传不成功由投标人自行承担全部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请投标人务必保管好编制递交电子投标（响应）文件时使用的CA，如因丢失、损坏等原因更换CA锁时，需重新制作电子投标（响应）文件并递交，否则可能无法解密，因此导致的响应失败等不利后果由投标人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投标人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投标文件未按照招标文件要求加盖CA电子公章的，投标无效。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联合体投标：如招标（采购）公告中允许联合体投标，联合体投标的投标（响应）文件制作上传操作如下：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第一步：在投标（响应）文件中上传联合体投标协议书。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第二步；在投标（响应）文件中，由联合体中的牵头人制作投标（响应）文件。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如投标（响应）文件制作机器码信息一致，视为不同投标供应商使用同一台电脑编制投标（响应）文件，投标（响应）无效。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15.3《开标一览表》为在开标仪式上唱标的内容，要求按格式填写，统一规范，不得自行增减内容。</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 投标报价（编制）要求的说明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除非合同中另有规定，投标人对《开标一览表》的报价应包含完成本项目所需的人工、交通、食宿、差旅、文印费、资料费、劳保、相关劳务支出、代理费、税费等完成项目工作所发生的全部费用以及供应商企业利润、税金和政策性文件规定及合同包含的所有风险、责任等一切费用。同时，除非合同条款中另有规定，否则，投标单位所报价格在合同实施期间不因市场因素变化而变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16.2投标人应对招标文件内所要采购的全部内容进行报价，只投其中部分内容者，其标书将被拒绝。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16.3 一项投标内容只允许一个报价，招标采购单位不接受任何有选择性的投标报价。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16.4投标文件报价中的单价和总价全部采用人民币表示，除非合同的特殊条款另有规定。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16.5最低报价不能作为中标的保证。</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 投标保证金</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本项目不提交，文件内关于投标保证金的相关规定均不适用。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 投标文件的有效期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18.1在本招标文件前附表规定的投标文件有效期内，投标人所提交的投标文件应保持有效。有效期短于这个规定期限的投标文件，将被认定为未实质性响应招标文件要求。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在特殊情况下，招标采购单位可与投标人协商延长投标书的有效期。这种要求和答复都应以书面形式进行。同意延长有效期的投标人不能修改投标文件，按本须知规定的投标保证金的有效期也相应延长。拒绝接受延期要求的投标人的投标将被拒绝，但投标保证金不会被没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 投标文件的递交</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19. 投标截止时间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19.1电子投标文件上传截止时间之前对投标文件进行加密并对应采购包上传，否则视为放弃参加该采购包。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19.2招标采购单位推迟投标截止时间时，应以书面形式通知所有投标人。在这种情况下，招标采购单位和投标人的权利和义务将受到新的截止期的约束。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19.3在投标截止时间以后送达的投标文件，招标采购单位拒绝接收。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19.4在投标截止时间止招标采购单位收到该采购包的投标文件少于三份，招标采购单位有权宣布该采购包本次招标失败。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 投标文件的修改和撤回</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投标人在提交投标文件后可对其投标文件进行修改或撤回，但须在投标截止时间之前。</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六、开标和评标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 开标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21.1开标由采购人或者采购代理机构主持，投标人参加。评标委员会成员不得参加开标活动。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21.2本项目为不见面开标（开启）项目，开标阶段供应商在【解密环节】必须使用 CA证书解密电子投标（响应）文件，请供应商确保电脑、系统及其他设备（视频输入输出设备等）无误，且开启直至项目结束始终保持系统在线状态。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21.3线上参加（观看）开标（开启）会方式：登录“苏采云”系统，点击“开标大厅”，选择对应项目，点击进入不见面开标系统。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开标时，投标人对开标过程和开标记录有疑义，以及认为采购人、采购代理机构相关工作人员有需要回避的情形的，应当场通过不见面开标系统的“留言板”栏目提出询问或者回避申请。采购人、采购代理机构对投标人代表提出的询问或者回避申请应当及时处理。为了保证开标秩序，请不要在互动交流中发表与开标无关的言论。开标中出现异常情况时，将通过“公告栏”栏目发布相关信息，请投标人及时关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21.5开标时，投标人应当按照《操作手册》规定，在“苏采云”系统规定的时间内对投标文件进行解密。等待开标流程进入“解锁环境”，点击“点击立即解密”进行标书解密，解锁完成后及时关注开标大厅，等待答疑澄清等提示，否则导致的对投标人不利的后果由供应商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21.6投标人在“苏采云”系统规定的时间内未成功解密电子投标文件的，投标无效。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21.7投标人电脑环境最低要求：谷歌浏览器，版本可直接网上下载最新版本即可。如需收听现场语音需配置放音设备，如视频直播、互动交流使用异常，请刷新网页，如仍无法解决，请联系技术支持。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21.8至投标文件提交截止时间，递交投标文件的投标人不足三家的，不得开标。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21.9投标人未参加开标的，视同认可开标结果。</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22.资格审查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22.1采购人或采购代理机构在开标后，评标前按照招标文件投标人须知第3款、第4款和第14款资格审查证明文件的规定对投标人的资格进行资格审查。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22.2未通过资格审查的投标人为无效投标人，采购人或采购代理机构将未通过资格审查的投标人名单和原因提交评标委员会，以便编制评标报告；通过资格审查的投标人将提交评标委员会进行符合性审查。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22.3采购人或采购代理机构现场告知未通过资格审查的投标人未通过的原因。</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23.评标工作的组织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采购人或者采购代理机构负责组织评标工作，并履行下列职责：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23.1核对评审专家身份和采购人代表授权函，对评审专家在政府采购活动中的职责履行情况予以记录，并及时将有关违法违规行为向财政部门报告；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23.2宣布评标纪律；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23.3公布投标人名单，告知评审专家应当回避的情形；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23.4组织评标委员会推选评标组长，采购人代表不得担任组长；</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23.5在评标期间采取必要的通讯管理措施，保证评标活动不受外界干扰；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23.6根据评标委员会的要求介绍政府采购相关政策法规、招标文件；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23.7维护评标秩序，监督评标委员会依照招标文件规定的评标程序、方法和标准进行独立评审，及时制止和纠正采购人代表、评审专家的倾向性言论或者违法违规行为；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23.8核对评标结果，有《政府采购货物和服务招标投标管理办法》第六十四条规定情形的，要求评标委员会复核或者书面说明理由，评标委员会拒绝的，应予记录并向本级财政部门报告；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23.9评审工作完成后，按照规定向评审专家支付劳务报酬和异地评审差旅费，不得向评审专家以外的其他人员支付评审劳务报酬；</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23.10处理与评标有关的其他事项。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采购人可以在评标前说明项目背景和采购需求，说明内容不得含有歧视性、倾向性意见，不得超出招标文件所述范围。说明应当提交书面材料，并随招标文件一并存档。</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24. 评标委员会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24.1评标委员会由招标采购单位依法组建，负责本项目的评标事务。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24.2评标委员会独立履行下列职责：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24.2.1审查、评价投标文件是否符合招标文件的商务、技术等实质性要求；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24.2.2要求投标人对投标文件有关事项作出澄清或者说明；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24.2.3对投标文件进行比较和评价；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24.2.4确定中标候选人名单，以及根据采购人委托直接确定中标人；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24.2.5向采购人、采购代理机构或者有关部门报告评标中发现的违法行为。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24.3评标委员会成员应当履行下列义务：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24.3.1遵纪守法，客观、公正、廉洁地履行职责；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24.3.2按照招标文件规定的评标办法和评标标准进行评标，对评审意见承担个人责任；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24.3.3对评标过程和结果，以及投标人的商业秘密保密；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24.3.4参与评标报告的起草；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24.3.5配合相关部门的投诉处理工作；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24.3.6配合招标采购单位答复投标供应商提出的质疑。</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 评标内容的保密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25.1公开开标后，直到宣布授予中标供应商合同为止，凡属于审查、澄清、评价和比较投标的所有资料，有关授予合同的信息都不应向投标人或与评标无关的其他人泄露。</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 在投标文件的审查、澄清、评价和比较以及授予合同的过程中，投标人对招标采购单位和评标委员会成员施加影响的任何行为，都将取消其投标资格。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25.3在评标期间，招标采购单位将通过指定联络人与投标人进行联系。</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26.符合性审查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26.1评标委员会依据招标文件的规定对投标文件进行符合性审查。存在以下情形，符合性审查不合格：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1）投标文件存在招标文件投标人须知第29款“无效投标”规定情形的；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2）投标文件载明的有效期短于招标文件规定；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3）投标文件载明的招标项目完成期限不满足招标文件规定；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4）投标文件载明的履约保证、付款方式不满足招标文件规定；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5）投标文件未按招标文件规定的格式填写或递交，内容不全或关键字迹模糊、无法辨认的，从而影响投标文件有效性；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6）不同投标人的投标文件以及投标文件制作过程出现了评标委员会认为不应当雷同的情况的；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7）不同投标人的投标文件存在“视为串通投标”的情形；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8）投标人的报价存在选择性的；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9）投标人的报价或响应只响应了项目中部分招标内容；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10）投标人拒绝修正错误影响评标的；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11）投标文件不符合招标文件规定的其他实质性条款；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12）不同投标文件存在“机器码”一致情形；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13）投标文件存在招标文件规定的其他无效投标情形的。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26.2对于不允许偏离的实质性要求和条件，采购人或者采购代理机构应当在招标文件中规定，并以醒目的方式标明。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26.3投标人不能通过修正或撤销不符之处而使其投标成为实质性响应的投标。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27.投标澄清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对于投标文件中含义不明确、同类问题表述不一致或者有明显文字和计算错误的内容，评标委员会应当要求投标人作出必要的澄清、说明或者补正。投标人的澄清、说明或者补正不得超出投标文件的范围或者改变投标文件的实质性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本项目采用线上澄清</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线上澄清答复的方式：需要供应商进行澄清、说明和更正的，招标代理机构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接到评标委员会澄清、说明和更正要求的投标人如未按规定做出澄清、说明和更正，其风险由投标人自行承担。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28.投标报价评审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28.1投标文件报价出现前后不一致的，除招标文件另有规定外，按照下列规定修正：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28.1.1投标文件中开标一览表（报价表）内容与投标文件中相应内容不一致的，以开标一览表（报价表）为准；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28.1.2大写金额和小写金额不一致的，以大写金额为准；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28.1.3单价金额小数点或者百分比有明显错位的，以开标一览表的总价为准，并修改单价；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28.1.4总价金额与按单价汇总金额不一致的，以单价金额计算结果为准。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同时出现两种以上不一致的，按照前款规定的顺序修正。修正后的报价按照《政府采购货物和服务招标投标管理办法》第五十一条第二款的规定经投标人确认后产生约束力，投标人不确认的，其投标无效。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评标委员会认为投标人的报价明显低于其他通过符合性审查投标人的报价，有可能影响产品质量或者不能诚信履约的，应当要求其在评标现场合理的时间内提供书面说明（线上开评标项目可通过“苏采云”系统要求其提供），必要时提交相关证明材料；投标人不能证明其报价合理性的，评标委员会应当将其作为无效投标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价格分应当采用低价优先法计算，即满足招标文件要求且投标价格最低的投标报价为评标基准价，其价格分为满分。其他投标人的价格分统一按照下列公式计算：投标报价得分=(评标基准价／投标报价)×100×价格权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28.4评标过程中，不得去掉报价中的最高报价和最低报价。因落实政府采购政策进行价格调整的，以调整后的价格计算评标基准价和投标报价。</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29.无效投标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投标人存在下列情况之一的，投标无效: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29.1投标文件未按招标文件要求签署、签章的；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29.2不具备招标文件中规定的资格要求的；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29.3报价超过招标文件中规定的采购预算（或最高限价）的；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29.4投标文件含有采购人不能接受的附加条件的；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29.5法律、法规和招标文件规定的其他无效情形。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29.6投标人未对电子投标文件进行解密或解密失败的。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30.废标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 在招标采购中，出现下列情形之一的，该项目应予废标：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30.1.1该采购包符合专业条件的供应商或者对招标文件作实质响应的供应商不足三家的；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30.1.2出现影响采购公正的违法、违规行为的；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30.1.3投标人的报价均超过了采购预算（或单价报价超过最高限价），采购人不能支付的；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30.1.4因重大变故，采购任务取消的。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 废标后，采购人应当将废标理由通知所有投标人。</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 投标文件的评价和比较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31.1评标委员会按招标文件规定的评标方法和标准，仅对资格性检查和符合性检查合格的投标文件进行商务和技术评估，综合比较与评价。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31.2评价和比较采用的办法：综合评分法，具体内容详见招标文件第六章。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 最低的投标报价或最高的折扣比例是中标的重要条件，但不是唯一条件。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七、授予合同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 中标供应商的确认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32.1评标委员会按招标文件规定的评标方法和标准进行详细评审后，按招标采购单位的委托向招标采购单位推荐中标候选单位。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采购代理机构应当在评标结束后2个工作日内将评标报告送采购人。采购人应当自收到评标报告之日起５个工作日内，在评标报告确定的中标候选人名单中按顺序确定中标人。中标候选人并列的，由采购人自主确定中标人。采购人在收到评标报告5个工作日内未按评标报告推荐的中标候选人顺序确定中标人，又不能说明合法理由的，视同按评标报告推荐的顺序确定排名第一的中标候选人为中标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32.3本项目中标供应商数量：1个。</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32.4采购人或者采购代理机构自中标人确定之日起2个工作日内在省级以上财政部门指定的媒体上公告中标结果。中标公告期限为1个工作日。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33. 合同授予标准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33.1招标采购单位将把合同授予其投标文件在实质上响应招标文件要求和按本须知规定评选出的投标人。确定为中标的投标人必须具有实施本合同的能力和资源。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33.2政府采购合同履行中，采购人需追加与合同标的物相同的货物、工程或者服务的，在不改变合同其他条款的前提下，可以与中标供应商签订补充合同，但所有补充合同的采购金额不得超过原合同采购金额的百分之十。</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34. 中标通知书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34.1在公告中标结果的同时，采购人或者采购代理机构应当向中标人发出中标通知书，中标通知书对采购人和中标供应商具有同等法律效力。中标通知书发出后，采购人不得违法改变中标结果，中标人无正当理由不得放弃中标，否则应当承担相应的法律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34.2中标通知书将成为合同的组成部分。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35.告知招标结果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35.1 对未通过资格审查的投标人，告知其未通过的原因。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35.2 在发放中标通知书的同时，向参与项目评审的未中标供应商发放未中标通知书，通过苏采云系统告知该未中标供应商的排名，未中标供应商自行查看相应的信息。</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36.履约保证金</w:t>
      </w:r>
      <w:r/>
    </w:p>
    <w:p>
      <w:pPr>
        <w:ind w:left="0" w:right="0" w:firstLine="420"/>
        <w:jc w:val="both"/>
        <w:spacing w:before="28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本项目不收取履约保证金。</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37. 合同的签订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37.1采购人应当自中标通知书发出之日起15日内，按照招标文件和中标人投标文件的规定，与中标人签订书面合同。所签订的合同不得对招标文件确定的事项和中标人投标文件作实质性修改。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37.2签订合同及合同条款应以招标文件和中标供应商的投标文件及其澄清文件为依据。</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八、其他事项</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38. 招标代理服务费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38.1中标供应商须按前附表的规定，按其预算总金额计算并支付招标代理服务费，该费用应在领取中标通知书时付清。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38.2中标供应商如果未按规定支付招标代理服务费，招标采购单位将不予退还其投标保证金，并保留诉讼的权利。</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39. 监督和公证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39.1政府有关监督部门将对招投标全过程进行监督。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39.2招标人的开标、评标过程将通过公证机关进行公证。</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40. 未尽事宜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40.1按《中华人民共和国政府采购法》</w:t>
      </w:r>
      <w:r>
        <w:rPr>
          <w:rFonts w:ascii="KaiTi" w:hAnsi="KaiTi" w:eastAsia="KaiTi" w:cs="KaiTi"/>
          <w:color w:val="000000"/>
          <w:sz w:val="22"/>
        </w:rPr>
        <w:t xml:space="preserve">、</w:t>
      </w:r>
      <w:r>
        <w:rPr>
          <w:rFonts w:ascii="SimSun" w:hAnsi="SimSun" w:eastAsia="SimSun" w:cs="SimSun"/>
          <w:color w:val="000000"/>
          <w:sz w:val="24"/>
        </w:rPr>
        <w:t xml:space="preserve">《中华人民共和国政府采购法实施条例》及《政府采购货物和服务招标投标管理办法》执行。</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41、政府采购政策</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41.1促进中小企业发展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根据财政部、工业和信息化部关于印发意见“财库〔2020〕46号” 关于印发《政府采购促进中小企业发展管理办法》的通知规定，对属于小型、微型企业的响应单位给予评审加分：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41.1.1中小微型企业的认定：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政府采购促进中小企业发展管理办法》（财库〔2020〕46号）及《关于做好政府采购支持企业发展有关事项的通知》（苏财购〔2020〕52号）的相关规定，如供应商认定本企业提供的货物、工程或服务符合上述文件规定情形，可以享受中小企业扶持政策的，则需根据《中小企业划型标准规定》（工信部联企业〔2011〕300号）提交《中小企业声明函》并加盖公章，</w:t>
      </w:r>
      <w:r>
        <w:rPr>
          <w:rFonts w:ascii="SimSun" w:hAnsi="SimSun" w:eastAsia="SimSun" w:cs="SimSun"/>
          <w:b/>
          <w:color w:val="000000"/>
          <w:sz w:val="24"/>
        </w:rPr>
        <w:t xml:space="preserve">《中小企业声明函》中所填的行业应与本采购标的对应的中小企业划分标准所属行业一致，声明函未签公章或未提交声明函或所提交的声明函中行业与本采购标的对应的中小企业划分标准所属行业不一致或声明函未加盖公章的不享受相关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ascii="SimSun" w:hAnsi="SimSun" w:eastAsia="SimSun" w:cs="SimSun"/>
          <w:b/>
          <w:color w:val="000000"/>
          <w:sz w:val="24"/>
        </w:rPr>
        <w:t xml:space="preserve">服务类项目中供应商若使用退休人员，将不享受相关扶持政策。</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根据《政府采购促进中小企业发展管理办法》（财库〔2020〕46号）及《中小企业划型标准规定》（工信部联企业〔2011〕300号），本采购项目对应的中小企业划分标准所属行业为：</w:t>
      </w:r>
      <w:r>
        <w:rPr>
          <w:rFonts w:ascii="SimSun" w:hAnsi="SimSun" w:eastAsia="SimSun" w:cs="SimSun"/>
          <w:b/>
          <w:color w:val="000000"/>
          <w:sz w:val="24"/>
          <w:u w:val="single"/>
        </w:rPr>
        <w:t xml:space="preserve">批发业</w:t>
      </w:r>
      <w:r>
        <w:rPr>
          <w:rFonts w:ascii="SimSun" w:hAnsi="SimSun" w:eastAsia="SimSun" w:cs="SimSun"/>
          <w:b/>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41.1.2价格的折扣：</w:t>
      </w:r>
      <w:r/>
    </w:p>
    <w:p>
      <w:pPr>
        <w:ind w:left="0" w:right="0" w:firstLine="0"/>
        <w:spacing w:before="240" w:after="4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（1）本项目为专门面向中小企业采购。</w:t>
      </w:r>
      <w:r/>
    </w:p>
    <w:p>
      <w:pPr>
        <w:ind w:left="0" w:right="0" w:firstLine="0"/>
        <w:spacing w:before="240" w:after="4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根据《政府采购促进中小企业发展管理办法》（财库〔2020〕46号）及《关于做好政府采购支持企业发展有关事项的通知》（苏财购〔2020〕52号）的相关规定，对于专门面向中小微企业的项目，如供应商认定本企业提供的货物、工程或服务符合上述文件规定情形，可以享受中小企业扶持政策的，则需根据《中小企业划型标准规定》（工信部联企业〔2011〕300号）提交《中小企业声明函》并加盖公章，《中小企业声明函》中所填的行业应与本采购标的对应的中小企业划分标准所属行业一致，未提交声明函或所提交的声明函中行业与本采购标的对应</w:t>
      </w:r>
      <w:r>
        <w:rPr>
          <w:rFonts w:ascii="SimSun" w:hAnsi="SimSun" w:eastAsia="SimSun" w:cs="SimSun"/>
          <w:color w:val="000000"/>
          <w:sz w:val="24"/>
        </w:rPr>
        <w:t xml:space="preserve">的中小企业划分标准所属行业不一致不享受相关政策。</w:t>
      </w:r>
      <w:r/>
    </w:p>
    <w:p>
      <w:pPr>
        <w:ind w:left="0" w:right="0" w:firstLine="0"/>
        <w:spacing w:before="240" w:after="4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p>
    <w:p>
      <w:pPr>
        <w:ind w:left="0" w:right="0" w:firstLine="0"/>
        <w:spacing w:before="240" w:after="4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根据《政府采购促进中小企业发展管理办法》（财库〔2020〕46号）及《中小企业划型标准规定》（工信部联企业〔2011〕300号），本采购项目对应的中小企业划分标准所属行业为：</w:t>
      </w:r>
      <w:r>
        <w:rPr>
          <w:rFonts w:ascii="SimSun" w:hAnsi="SimSun" w:eastAsia="SimSun" w:cs="SimSun"/>
          <w:b/>
          <w:color w:val="000000"/>
          <w:sz w:val="24"/>
          <w:u w:val="single"/>
        </w:rPr>
        <w:t xml:space="preserve">批发业</w:t>
      </w:r>
      <w:r>
        <w:rPr>
          <w:rFonts w:ascii="SimSun" w:hAnsi="SimSun" w:eastAsia="SimSun" w:cs="SimSun"/>
          <w:color w:val="000000"/>
          <w:sz w:val="24"/>
        </w:rPr>
        <w:t xml:space="preserve">。</w:t>
      </w:r>
      <w:r/>
    </w:p>
    <w:p>
      <w:pPr>
        <w:ind w:left="0" w:right="0" w:firstLine="0"/>
        <w:spacing w:before="240" w:after="4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供应商提供声明函内容不实的，依照《中华人民共和国政府采购法》《中华人民共和国政府采购法实施条例》和《政府采购促进中小企业发展管理办法》等法律法规规定追究法律责任。</w:t>
      </w:r>
      <w:r/>
    </w:p>
    <w:p>
      <w:pPr>
        <w:ind w:left="0" w:right="0" w:firstLine="0"/>
        <w:spacing w:before="240" w:after="4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（3）残疾人福利性单位</w:t>
      </w:r>
      <w:r/>
    </w:p>
    <w:p>
      <w:pPr>
        <w:ind w:left="0" w:right="0" w:firstLine="0"/>
        <w:spacing w:before="240" w:after="4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关于促进残疾人就业政府采购政策的通知》（财库〔2017〕141号）的相关规定，在政府采购活动中残疾人福利性单位视同小型、微型企业。符合条件的残疾人福利性单位，应提交《残疾人福利性单位声明函》，并对声明的真实性负责，未提交则视为非实质性响应采购文件。</w:t>
      </w:r>
      <w:r/>
    </w:p>
    <w:p>
      <w:pPr>
        <w:ind w:left="0" w:right="0" w:firstLine="0"/>
        <w:spacing w:before="240" w:after="4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（4）监狱企业</w:t>
      </w:r>
      <w:r/>
    </w:p>
    <w:p>
      <w:pPr>
        <w:ind w:left="0" w:right="0" w:firstLine="0"/>
        <w:spacing w:before="240" w:after="4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关于政府采购支持监狱企业发展有关问题的通知》（财库〔2014〕68号）的相关规定在政府采购活动中，监狱企业视同小型、微型企业。监狱企业应当提供由省级以上监狱管理局、戒毒管理局（含新疆生产建设兵团）出具的属于监狱企业的证明文件，未提交则视为非实质性响应采购文件。</w:t>
      </w:r>
      <w:r/>
    </w:p>
    <w:p>
      <w:pPr>
        <w:ind w:left="0" w:right="0" w:firstLine="482"/>
        <w:spacing w:before="240" w:after="53"/>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41.2信用记录</w:t>
      </w:r>
      <w:r/>
    </w:p>
    <w:p>
      <w:pPr>
        <w:ind w:left="0" w:right="0" w:firstLine="0"/>
        <w:spacing w:before="240" w:after="53"/>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政府采购法及相关法规，以及苏州市财政局《关于苏州市政府采购网下线“供应商信用查询”功能的通知》的规定，我们将依法对供应商进行信用查询，凡经评审小组确认不符合政府采购相关法律法规规定的，将拒绝其参与政府采购活动。</w:t>
      </w:r>
      <w:r/>
    </w:p>
    <w:p>
      <w:pPr>
        <w:ind w:left="0" w:right="0" w:firstLine="0"/>
        <w:spacing w:before="240" w:after="53"/>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41.2.1查询截止时点：投标文件递交截止时间。</w:t>
      </w:r>
      <w:r/>
    </w:p>
    <w:p>
      <w:pPr>
        <w:ind w:left="0" w:right="0" w:firstLine="0"/>
        <w:spacing w:before="240" w:after="53"/>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41.2.2查询渠道：</w:t>
      </w:r>
      <w:r/>
    </w:p>
    <w:p>
      <w:pPr>
        <w:ind w:left="0" w:right="0" w:firstLine="0"/>
        <w:spacing w:before="240" w:after="53"/>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将通过苏采云系统跳转查询实现,一是:信用中国涉及政府采购数据无缝对接查询,在评标过程中,在线实时获取并生成各投标供应商的信用情况,对于失信投标供应商将展现‘其处罚行为信息,采购人(代理机构)、评审专家等即可根据获取信息进行评审;二是 “交易管理平台”与中国政府采购网相对接,实现 自动跳转至 “中国政府采购失信行为信息记录”查询页面,采购人(代理机构)、评审专家等进一步审核各投标供应商的信用情况。</w:t>
      </w:r>
      <w:r/>
    </w:p>
    <w:p>
      <w:pPr>
        <w:ind w:left="0" w:right="0" w:firstLine="0"/>
        <w:spacing w:before="240" w:after="53"/>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41.2.3查询证据留存方式：</w:t>
      </w:r>
      <w:r/>
    </w:p>
    <w:p>
      <w:pPr>
        <w:ind w:left="0" w:right="0" w:firstLine="0"/>
        <w:spacing w:before="240" w:after="53"/>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p>
    <w:p>
      <w:pPr>
        <w:ind w:left="0" w:right="0" w:firstLine="0"/>
        <w:spacing w:before="240" w:after="53"/>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41.2.4信用记录使用规则：</w:t>
      </w:r>
      <w:r/>
    </w:p>
    <w:p>
      <w:pPr>
        <w:ind w:left="0" w:right="0" w:firstLine="0"/>
        <w:spacing w:before="240" w:after="53"/>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评审小组在对供应商进行资格性审查时，应根据查询结果对供应商的不良信用记录逐项甄别确认。</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41.3、招标文件的质疑、澄清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41.3.1 根据《政府采购质疑和投诉办法》财政部第94号令，供应商认为招标文件、采购过程、中标结果使自己的权益受到损害的，可以在知道或者应知其权益受到损害之日起7个工作日内，以书面形式向采购人、采购代理机构提出质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41.3.2本次招标文件要求供应商在法定质疑期内一次性提出针对同一采购程序环节的质疑。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41.3.3采购人、采购代理机构收到质疑供应商在法定质疑期内发出的质疑函，应当在收到质疑函后7个工作日内作出答复，并以书面形式通知质疑供应商和其他有关供应商。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41.3.4供应商提出质疑应当提交质疑函、报名确认单和必要的证明材料。质疑函应当包括下列内容：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41.3.5供应商的姓名或者名称、地址、邮编、联系人及联系电话；</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41.3.6质疑项目的名称、编号；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41.3.7具体、明确的质疑事项和与质疑事项相关的请求；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41.3.8事实依据；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41.3.9必要的法律依据；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41.3.10提出质疑的日期。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41.3.11质疑联系方式详见采购公告。</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42.未尽事宜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42.1按《中华人民共和国政府采购法》及其他有关法律法规的规定执行。</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43、</w:t>
      </w:r>
      <w:r>
        <w:rPr>
          <w:rFonts w:ascii="SimSun" w:hAnsi="SimSun" w:eastAsia="SimSun" w:cs="SimSun"/>
          <w:color w:val="000000"/>
          <w:sz w:val="24"/>
        </w:rPr>
        <w:t xml:space="preserve">凡涉及招标文件的补充说明和修改，均以苏州市政府采购网发布内容为准。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6"/>
        </w:rPr>
        <w:t xml:space="preserve"> </w:t>
      </w:r>
      <w:r/>
    </w:p>
    <w:p>
      <w:pPr>
        <w:pStyle w:val="12"/>
        <w:ind w:left="0" w:right="0" w:firstLine="0"/>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第三章 投标文件格式</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对本章所有的投标书格式 ，投标方可根据自身情况进行补充和修改，但补充和修改不得造成与本格式内容有实质性的违背。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u w:val="none"/>
        </w:rPr>
        <w:t xml:space="preserve">一、</w:t>
      </w:r>
      <w:r>
        <w:rPr>
          <w:rFonts w:ascii="SimSun" w:hAnsi="SimSun" w:eastAsia="SimSun" w:cs="SimSun"/>
          <w:b/>
          <w:color w:val="000000"/>
          <w:sz w:val="30"/>
        </w:rPr>
        <w:t xml:space="preserve">投标函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苏州海企国际工程咨询有限公司 </w:t>
      </w:r>
      <w:r>
        <w:rPr>
          <w:rFonts w:ascii="SimSun" w:hAnsi="SimSun" w:eastAsia="SimSun" w:cs="SimSun"/>
          <w:color w:val="000000"/>
          <w:sz w:val="24"/>
        </w:rPr>
        <w:t xml:space="preserve">：</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我们收到贵公司 </w:t>
      </w:r>
      <w:r>
        <w:rPr>
          <w:rFonts w:ascii="SimSun" w:hAnsi="SimSun" w:eastAsia="SimSun" w:cs="SimSun"/>
          <w:color w:val="000000"/>
          <w:sz w:val="24"/>
          <w:u w:val="single"/>
        </w:rPr>
        <w:t xml:space="preserve">   （招标编号） </w:t>
      </w:r>
      <w:r>
        <w:rPr>
          <w:rFonts w:ascii="SimSun" w:hAnsi="SimSun" w:eastAsia="SimSun" w:cs="SimSun"/>
          <w:color w:val="000000"/>
          <w:sz w:val="24"/>
        </w:rPr>
        <w:t xml:space="preserve">号</w:t>
      </w:r>
      <w:r>
        <w:rPr>
          <w:rFonts w:ascii="SimSun" w:hAnsi="SimSun" w:eastAsia="SimSun" w:cs="SimSun"/>
          <w:color w:val="000000"/>
          <w:sz w:val="24"/>
          <w:u w:val="single"/>
        </w:rPr>
        <w:t xml:space="preserve">      </w:t>
      </w:r>
      <w:r>
        <w:rPr>
          <w:rFonts w:ascii="SimSun" w:hAnsi="SimSun" w:eastAsia="SimSun" w:cs="SimSun"/>
          <w:color w:val="000000"/>
          <w:sz w:val="24"/>
        </w:rPr>
        <w:t xml:space="preserve">标段招标文件，经仔细阅读和研究，我们决定参加投标,并向贵公司承诺：</w:t>
      </w:r>
      <w:r/>
    </w:p>
    <w:p>
      <w:pPr>
        <w:numPr>
          <w:ilvl w:val="0"/>
          <w:numId w:val="15"/>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们愿意按照招标文件的一切要求，提供包括完成该项目所需的全部内容，我们的投标报价包含完成本项目所需的人工、交通、食宿、差旅、文印费、资料费、劳保、相关劳务支出、代理费、税费等完成项目工作所发生的全部费用以及供应商企业利润、税金和政策性文件规定及合同包含的所有风险、责任等一切费用。</w:t>
      </w:r>
      <w:r/>
    </w:p>
    <w:p>
      <w:pPr>
        <w:numPr>
          <w:ilvl w:val="0"/>
          <w:numId w:val="15"/>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如果我们的投标书被接受，我们将严格履行招标文件中规定的每一项要求，严格履行合同的责任和义务，保证按期、按质履行合同。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3、我们同意按招标文件中的规定，本投标书的有效期限为开标后</w:t>
      </w:r>
      <w:r>
        <w:rPr>
          <w:rFonts w:ascii="SimSun" w:hAnsi="SimSun" w:eastAsia="SimSun" w:cs="SimSun"/>
          <w:color w:val="000000"/>
          <w:sz w:val="24"/>
          <w:u w:val="single"/>
        </w:rPr>
        <w:t xml:space="preserve">90</w:t>
      </w:r>
      <w:r>
        <w:rPr>
          <w:rFonts w:ascii="SimSun" w:hAnsi="SimSun" w:eastAsia="SimSun" w:cs="SimSun"/>
          <w:color w:val="000000"/>
          <w:sz w:val="24"/>
        </w:rPr>
        <w:t xml:space="preserve">日历天，如果我们在开标后规定的投标有效期内撤回投标，我们的投标保证金可被贵方没收。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4、我们愿意提供招标方在招标文件中要求的所有资料。也同意向贵方提供贵方可能另外要求的与其投标有关的任何证据或资料。并保证所提供的资料全部是真实的、有效的，若有虚假，我们愿承担一切责任。</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5、我们认为你们有权决定中标者，还认为你们有权接受或拒绝所有的投标者。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6、我们愿意遵守招标公告及招标文件中所列的收费标准。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7、我们承诺该项投标在开标后的全过程中保持有效，不作任何更改和变动。我们同意中标后若不履行投标文件的内容要求和各项承诺及义务的即被视为违约，其中标资格将被取消，并接受相应的处罚。</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8、如果我们中标，我们愿意按前附表的规定在领取中标通过书时向贵公司支付中标服务费，逾期按中国人民银行公布的同期人民币贷款最高利率计付利息；</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9、与本投标有关的通讯地址：</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 </w:t>
      </w:r>
      <w:r>
        <w:rPr>
          <w:rFonts w:ascii="SimSun" w:hAnsi="SimSun" w:eastAsia="SimSun" w:cs="SimSun"/>
          <w:color w:val="000000"/>
          <w:sz w:val="24"/>
          <w:u w:val="single"/>
        </w:rPr>
        <w:t xml:space="preserve">                                </w:t>
      </w:r>
      <w:r>
        <w:rPr>
          <w:rFonts w:ascii="SimSun" w:hAnsi="SimSun" w:eastAsia="SimSun" w:cs="SimSun"/>
          <w:color w:val="000000"/>
          <w:sz w:val="24"/>
        </w:rPr>
        <w:t xml:space="preserve">联 系 人：</w:t>
      </w:r>
      <w:r>
        <w:rPr>
          <w:rFonts w:ascii="SimSun" w:hAnsi="SimSun" w:eastAsia="SimSun" w:cs="SimSun"/>
          <w:color w:val="000000"/>
          <w:sz w:val="24"/>
          <w:u w:val="single"/>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 邮政编码：</w:t>
      </w:r>
      <w:r>
        <w:rPr>
          <w:rFonts w:ascii="SimSun" w:hAnsi="SimSun" w:eastAsia="SimSun" w:cs="SimSun"/>
          <w:color w:val="000000"/>
          <w:sz w:val="24"/>
          <w:u w:val="single"/>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rPr>
          <w:rFonts w:ascii="SimSun" w:hAnsi="SimSun" w:eastAsia="SimSun" w:cs="SimSun"/>
          <w:color w:val="000000"/>
          <w:sz w:val="24"/>
        </w:rPr>
        <w:t xml:space="preserve"> 传真：</w:t>
      </w:r>
      <w:r>
        <w:rPr>
          <w:rFonts w:ascii="SimSun" w:hAnsi="SimSun" w:eastAsia="SimSun" w:cs="SimSun"/>
          <w:color w:val="000000"/>
          <w:sz w:val="24"/>
          <w:u w:val="single"/>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投标方：（单位盖章）</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单位法定代表人或授权委托人：（签字或盖章）</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二、法人授权委托书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本授权委托书声明：我</w:t>
      </w:r>
      <w:r>
        <w:rPr>
          <w:rFonts w:ascii="Times New Roman" w:hAnsi="Times New Roman" w:eastAsia="Times New Roman" w:cs="Times New Roman"/>
          <w:color w:val="000000"/>
          <w:sz w:val="24"/>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（姓名）系</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（投标人名称）的法定代表人，现授权委托</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rPr>
          <w:rFonts w:ascii="SimSun" w:hAnsi="SimSun" w:eastAsia="SimSun" w:cs="SimSun"/>
          <w:color w:val="000000"/>
          <w:sz w:val="24"/>
        </w:rPr>
        <w:t xml:space="preserve">单位名称）的</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（姓名）为我公司授权委托人（即代理人），以本公司的名义参加苏州海企国际工程咨询有限公司组织实施的编号为</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（项目编号）</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号</w:t>
      </w:r>
      <w:r>
        <w:rPr>
          <w:rFonts w:ascii="SimSun" w:hAnsi="SimSun" w:eastAsia="SimSun" w:cs="SimSun"/>
          <w:color w:val="000000"/>
          <w:sz w:val="24"/>
          <w:u w:val="single"/>
        </w:rPr>
        <w:t xml:space="preserve">      </w:t>
      </w:r>
      <w:r>
        <w:rPr>
          <w:rFonts w:ascii="SimSun" w:hAnsi="SimSun" w:eastAsia="SimSun" w:cs="SimSun"/>
          <w:color w:val="000000"/>
          <w:sz w:val="24"/>
        </w:rPr>
        <w:t xml:space="preserve">标段的 </w:t>
      </w:r>
      <w:r>
        <w:rPr>
          <w:rFonts w:ascii="SimSun" w:hAnsi="SimSun" w:eastAsia="SimSun" w:cs="SimSun"/>
          <w:color w:val="000000"/>
          <w:sz w:val="24"/>
          <w:u w:val="single"/>
        </w:rPr>
        <w:t xml:space="preserve">   （项目名称）</w:t>
      </w:r>
      <w:r>
        <w:rPr>
          <w:rFonts w:ascii="SimSun" w:hAnsi="SimSun" w:eastAsia="SimSun" w:cs="SimSun"/>
          <w:color w:val="000000"/>
          <w:sz w:val="24"/>
        </w:rPr>
        <w:t xml:space="preserve">招标活动。代理人在开标、评标、合同谈判过程中所签署的一切文件和处理与这有关的一切事务，我均予以承认。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代理人在授权委托书有效期内签署的所有文件不因授权委托的撤销而失效，除非有撤销授权委托的书面通知，本授权委托书自投标开始至合同履行完毕止。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代理人无转委托权。特此委托。</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法定代表人：（签字或盖章）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代理人：（签字）</w:t>
      </w:r>
      <w:r>
        <w:rPr>
          <w:rFonts w:ascii="Times New Roman" w:hAnsi="Times New Roman" w:eastAsia="Times New Roman" w:cs="Times New Roma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三、开标一览表</w:t>
      </w: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招标编号：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标段号：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50"/>
        <w:gridCol w:w="2988"/>
        <w:gridCol w:w="1526"/>
        <w:gridCol w:w="1754"/>
        <w:gridCol w:w="2074"/>
      </w:tblGrid>
      <w:tr>
        <w:trPr>
          <w:trHeight w:val="60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5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优惠率（%）</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服务期限</w:t>
            </w:r>
            <w:r/>
          </w:p>
        </w:tc>
      </w:tr>
      <w:tr>
        <w:trPr>
          <w:trHeight w:val="10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1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38" w:type="dxa"/>
            <w:vAlign w:val="bottom"/>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企业规模</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4" w:type="dxa"/>
            <w:vAlign w:val="bottom"/>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w:t>
            </w:r>
            <w:r>
              <w:rPr>
                <w:rFonts w:ascii="SimSun" w:hAnsi="SimSun" w:eastAsia="SimSun" w:cs="SimSun"/>
                <w:color w:val="000000"/>
                <w:sz w:val="24"/>
              </w:rPr>
              <w:t xml:space="preserve">中型      </w:t>
            </w:r>
            <w:r>
              <w:rPr>
                <w:rFonts w:ascii="Wingdings" w:hAnsi="Wingdings" w:eastAsia="Wingdings" w:cs="Wingdings"/>
                <w:color w:val="000000"/>
                <w:sz w:val="24"/>
              </w:rPr>
              <w:t xml:space="preserve">¨</w:t>
            </w:r>
            <w:r>
              <w:rPr>
                <w:rFonts w:ascii="SimSun" w:hAnsi="SimSun" w:eastAsia="SimSun" w:cs="SimSun"/>
                <w:color w:val="000000"/>
                <w:sz w:val="24"/>
              </w:rPr>
              <w:t xml:space="preserve">小型      </w:t>
            </w:r>
            <w:r>
              <w:rPr>
                <w:rFonts w:ascii="Wingdings" w:hAnsi="Wingdings" w:eastAsia="Wingdings" w:cs="Wingdings"/>
                <w:color w:val="000000"/>
                <w:sz w:val="24"/>
              </w:rPr>
              <w:t xml:space="preserve">¨</w:t>
            </w:r>
            <w:r>
              <w:rPr>
                <w:rFonts w:ascii="SimSun" w:hAnsi="SimSun" w:eastAsia="SimSun" w:cs="SimSun"/>
                <w:color w:val="000000"/>
                <w:sz w:val="24"/>
              </w:rPr>
              <w:t xml:space="preserve">微型     </w:t>
            </w:r>
            <w:r>
              <w:rPr>
                <w:rFonts w:ascii="Wingdings" w:hAnsi="Wingdings" w:eastAsia="Wingdings" w:cs="Wingdings"/>
                <w:color w:val="000000"/>
                <w:sz w:val="24"/>
              </w:rPr>
              <w:t xml:space="preserve">¨</w:t>
            </w:r>
            <w:r>
              <w:rPr>
                <w:rFonts w:ascii="SimSun" w:hAnsi="SimSun" w:eastAsia="SimSun" w:cs="SimSun"/>
                <w:color w:val="000000"/>
                <w:sz w:val="24"/>
              </w:rPr>
              <w:t xml:space="preserve">残疾人企业    </w:t>
            </w:r>
            <w:r>
              <w:rPr>
                <w:rFonts w:ascii="Wingdings" w:hAnsi="Wingdings" w:eastAsia="Wingdings" w:cs="Wingdings"/>
                <w:color w:val="000000"/>
                <w:sz w:val="24"/>
              </w:rPr>
              <w:t xml:space="preserve">¨</w:t>
            </w:r>
            <w:r>
              <w:rPr>
                <w:rFonts w:ascii="SimSun" w:hAnsi="SimSun" w:eastAsia="SimSun" w:cs="SimSun"/>
                <w:color w:val="000000"/>
                <w:sz w:val="24"/>
              </w:rPr>
              <w:t xml:space="preserve">监狱企业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投标单位（盖公章）：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法定代表人或代理人：（签字或盖章）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注：</w:t>
      </w:r>
      <w:r>
        <w:rPr>
          <w:rFonts w:ascii="Times New Roman" w:hAnsi="Times New Roman" w:eastAsia="Times New Roman" w:cs="Times New Roman"/>
          <w:b/>
          <w:color w:val="000000"/>
          <w:sz w:val="24"/>
          <w:u w:val="single"/>
        </w:rPr>
        <w:t xml:space="preserve">1</w:t>
      </w:r>
      <w:r>
        <w:rPr>
          <w:rFonts w:ascii="SimSun" w:hAnsi="SimSun" w:eastAsia="SimSun" w:cs="SimSun"/>
          <w:b/>
          <w:color w:val="000000"/>
          <w:sz w:val="24"/>
          <w:u w:val="single"/>
        </w:rPr>
        <w:t xml:space="preserve">、本表中的报价提供包含完成本项目所需的人工、交通、食宿、差旅、文印费、资料费、劳保、相关劳务支出、代理费、税费等完成项目工作所发生的全部费用以及供应商企业利润、税金和政策性文件规定及合同包含的所有风险、责任等一切费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2、本次报价报的是优惠率，不报总价，优惠率是指单价的优惠比例，本项目最高优惠率为99.99%，所报优惠率不能高于99.99%，否则做无效标处理。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3、各投标供应商按照限价99.99%统一进行优惠率报价：如下浮率为1%,则开标一览表中优惠率一栏填写1%；如下浮率5%，则开标一览表中优惠率一栏填写5%，以此为例。</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四、服务要求及商务条款偏离表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服务要求偏离表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招标编号∶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标段号：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72"/>
        <w:gridCol w:w="1995"/>
        <w:gridCol w:w="2423"/>
        <w:gridCol w:w="2348"/>
        <w:gridCol w:w="171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9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      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2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4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1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偏离说明</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5"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3"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48"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8"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5"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3"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48"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8"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5"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3"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48"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8"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5"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3"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48"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8"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5"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3"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48"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8"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投标人提交的投标文件应在本表中将投标文件实际响应的服务与招标文件的服务部分进行逐项对应列出对比，并在“偏离说明”项下填写以下内容：优于的，填写“正偏离”；符合的，填写“无偏离”；低于的，填写“负偏离”。</w:t>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2.若事项较多，投标人可根据投标内容的实际情况另纸说明。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投标单位：（单位盖章）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法定代表人或代理人：（签字或盖章）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商务条款偏离表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招标编号∶</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标段号：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4"/>
        <w:gridCol w:w="3044"/>
        <w:gridCol w:w="2023"/>
        <w:gridCol w:w="1903"/>
        <w:gridCol w:w="1630"/>
      </w:tblGrid>
      <w:tr>
        <w:trPr>
          <w:trHeight w:val="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招标文件要求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投标响应</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偏离说明</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服务期限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付款方式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其他商务要求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投标单位提交的投标文件应在本表中将投标文件实际响应的商务部分与招标文件的商务部分进行逐项对应列出对比，并在“偏离说明”项下填写以下内容：优于的，填写“正偏离”；符合的，填写“无偏离”；低于的，填写“负偏离”。</w:t>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2.若事项较多，投标人可根据投标内容的实际情况另纸说明。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投标单位：（单位盖章）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法定代表人或代理人：（签字或盖章）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numPr>
          <w:ilvl w:val="0"/>
          <w:numId w:val="16"/>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项目服务方案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标段号：</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rHeight w:val="109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提示：1、投标人应针对本次招标项目特点制定详细的实施方案，可包括但不限于采购管理方案、配送方案、应急响应预案方案、团队日常对接配合方案、食材卫生保障方案、市场询价措施等内容。。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2、供应商可根据自身情况编写，本页不够可另加页附后。</w:t>
            </w:r>
            <w:r/>
          </w:p>
        </w:tc>
      </w:tr>
      <w:tr>
        <w:trPr>
          <w:trHeight w:val="77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6"/>
              </w:rPr>
              <w:t xml:space="preserve"> </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KaiTi" w:hAnsi="KaiTi" w:eastAsia="KaiTi" w:cs="KaiTi"/>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单位名称（盖章）： </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KaiTi" w:hAnsi="KaiTi" w:eastAsia="KaiTi" w:cs="KaiTi"/>
                <w:b/>
                <w:color w:val="000000"/>
                <w:sz w:val="32"/>
              </w:rPr>
              <w:t xml:space="preserve"> </w:t>
            </w:r>
            <w:r/>
          </w:p>
        </w:tc>
      </w:tr>
    </w:tbl>
    <w:p>
      <w:pPr>
        <w:pStyle w:val="14"/>
        <w:ind w:left="0" w:right="0" w:firstLine="0"/>
        <w:jc w:val="center"/>
        <w:spacing w:before="260" w:after="260" w:line="85" w:lineRule="atLeast"/>
        <w:pBdr>
          <w:top w:val="none" w:color="000000" w:sz="4" w:space="0"/>
          <w:left w:val="none" w:color="000000" w:sz="4" w:space="0"/>
          <w:bottom w:val="none" w:color="000000" w:sz="4" w:space="0"/>
          <w:right w:val="none" w:color="000000" w:sz="4" w:space="0"/>
        </w:pBdr>
      </w:pPr>
      <w:r>
        <w:br w:type="page" w:clear="all"/>
      </w:r>
      <w:r/>
    </w:p>
    <w:p>
      <w:pPr>
        <w:pStyle w:val="14"/>
        <w:ind w:left="0" w:right="0" w:firstLine="0"/>
        <w:jc w:val="center"/>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六、项目人员一览表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6.1项目经理情况一览表</w:t>
      </w:r>
      <w:r>
        <w:rPr>
          <w:rFonts w:ascii="SimSun" w:hAnsi="SimSun" w:eastAsia="SimSun" w:cs="SimSun"/>
          <w:color w:val="000000"/>
          <w:sz w:val="24"/>
        </w:rPr>
        <w:t xml:space="preserve"> </w:t>
      </w:r>
      <w:r>
        <w:rPr>
          <w:rFonts w:ascii="SimSun" w:hAnsi="SimSun" w:eastAsia="SimSun" w:cs="SimSun"/>
          <w:b/>
          <w:color w:val="000000"/>
          <w:sz w:val="24"/>
        </w:rPr>
        <w:t xml:space="preserve"> </w:t>
      </w: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标段号：</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66"/>
        <w:gridCol w:w="1668"/>
        <w:gridCol w:w="2222"/>
        <w:gridCol w:w="897"/>
        <w:gridCol w:w="976"/>
        <w:gridCol w:w="1195"/>
        <w:gridCol w:w="1639"/>
      </w:tblGrid>
      <w:tr>
        <w:trPr>
          <w:trHeight w:val="594"/>
        </w:trPr>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5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6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      名</w:t>
            </w:r>
            <w:r/>
          </w:p>
        </w:tc>
        <w:tc>
          <w:tcPr>
            <w:gridSpan w:val="2"/>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31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   别</w:t>
            </w:r>
            <w:r/>
          </w:p>
        </w:tc>
        <w:tc>
          <w:tcPr>
            <w:gridSpan w:val="2"/>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28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5"/>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6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身份证号码</w:t>
            </w:r>
            <w:r/>
          </w:p>
        </w:tc>
        <w:tc>
          <w:tcPr>
            <w:gridSpan w:val="3"/>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40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1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出生年月</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6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   月</w:t>
            </w:r>
            <w:r/>
          </w:p>
        </w:tc>
      </w:tr>
      <w:tr>
        <w:trPr>
          <w:trHeight w:val="645"/>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gridSpan w:val="2"/>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389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tc>
        <w:tc>
          <w:tcPr>
            <w:gridSpan w:val="2"/>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87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tc>
        <w:tc>
          <w:tcPr>
            <w:gridSpan w:val="2"/>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8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电子邮箱：</w:t>
            </w:r>
            <w:r/>
          </w:p>
        </w:tc>
      </w:tr>
      <w:tr>
        <w:trPr>
          <w:trHeight w:val="645"/>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gridSpan w:val="6"/>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5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从事类似项目工作时间：</w:t>
            </w:r>
            <w:r/>
          </w:p>
        </w:tc>
      </w:tr>
      <w:tr>
        <w:trPr>
          <w:trHeight w:val="625"/>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gridSpan w:val="6"/>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5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拥有的职称：</w:t>
            </w:r>
            <w:r/>
          </w:p>
        </w:tc>
      </w:tr>
      <w:tr>
        <w:trPr>
          <w:trHeight w:val="2758"/>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gridSpan w:val="6"/>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59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本公司承诺：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该项目经理在我单位已任职</w:t>
            </w:r>
            <w:r>
              <w:rPr>
                <w:rFonts w:ascii="SimSun" w:hAnsi="SimSun" w:eastAsia="SimSun" w:cs="SimSun"/>
                <w:color w:val="000000"/>
                <w:sz w:val="24"/>
                <w:u w:val="single"/>
              </w:rPr>
              <w:t xml:space="preserve">   </w:t>
            </w:r>
            <w:r>
              <w:rPr>
                <w:rFonts w:ascii="SimSun" w:hAnsi="SimSun" w:eastAsia="SimSun" w:cs="SimSun"/>
                <w:color w:val="000000"/>
                <w:sz w:val="24"/>
              </w:rPr>
              <w:t xml:space="preserve">年以上且在从业经历中没有任何违法、违规而被查处的不良记录。</w:t>
            </w:r>
            <w:r/>
          </w:p>
        </w:tc>
      </w:tr>
      <w:tr>
        <w:trPr>
          <w:trHeight w:val="2846"/>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gridSpan w:val="6"/>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59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其他需要说明的情况</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备注：投标人应在投标文件中明确本项目经理的姓名、附资格证书（如有）扫描件并提供最新一期社保缴纳证明。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投标单位：（单位盖章）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法定代表人或代理人：（签字或盖章）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6.2人员配备一览表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招标编号：</w:t>
      </w:r>
      <w:r>
        <w:rPr>
          <w:rFonts w:ascii="SimSun" w:hAnsi="SimSun" w:eastAsia="SimSun" w:cs="SimSun"/>
          <w:b/>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标段号：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31"/>
        <w:gridCol w:w="1609"/>
        <w:gridCol w:w="1208"/>
        <w:gridCol w:w="972"/>
        <w:gridCol w:w="1166"/>
        <w:gridCol w:w="2186"/>
        <w:gridCol w:w="138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1" w:type="dxa"/>
            <w:vAlign w:val="center"/>
            <w:textDirection w:val="lrTb"/>
            <w:noWrap w:val="false"/>
          </w:tcPr>
          <w:p>
            <w:pPr>
              <w:ind w:left="0" w:right="0" w:firstLine="0"/>
              <w:jc w:val="center"/>
              <w:spacing w:before="179" w:after="179"/>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09" w:type="dxa"/>
            <w:vAlign w:val="center"/>
            <w:textDirection w:val="lrTb"/>
            <w:noWrap w:val="false"/>
          </w:tcPr>
          <w:p>
            <w:pPr>
              <w:ind w:left="0" w:right="0" w:firstLine="0"/>
              <w:jc w:val="center"/>
              <w:spacing w:before="179" w:after="179"/>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179" w:after="179"/>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val="false"/>
          </w:tcPr>
          <w:p>
            <w:pPr>
              <w:ind w:left="0" w:right="0" w:firstLine="0"/>
              <w:jc w:val="center"/>
              <w:spacing w:before="179" w:after="179"/>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179" w:after="179"/>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86" w:type="dxa"/>
            <w:vAlign w:val="center"/>
            <w:textDirection w:val="lrTb"/>
            <w:noWrap w:val="false"/>
          </w:tcPr>
          <w:p>
            <w:pPr>
              <w:ind w:left="0" w:right="0" w:firstLine="0"/>
              <w:jc w:val="center"/>
              <w:spacing w:before="179" w:after="179"/>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担任岗位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83" w:type="dxa"/>
            <w:vAlign w:val="center"/>
            <w:textDirection w:val="lrTb"/>
            <w:noWrap w:val="false"/>
          </w:tcPr>
          <w:p>
            <w:pPr>
              <w:ind w:left="0" w:right="0" w:firstLine="0"/>
              <w:jc w:val="center"/>
              <w:spacing w:before="179" w:after="179"/>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1" w:type="dxa"/>
            <w:vAlign w:val="center"/>
            <w:textDirection w:val="lrTb"/>
            <w:noWrap w:val="false"/>
          </w:tcPr>
          <w:p>
            <w:pPr>
              <w:ind w:left="0" w:right="0" w:firstLine="0"/>
              <w:jc w:val="center"/>
              <w:spacing w:before="179" w:after="179"/>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9" w:type="dxa"/>
            <w:vAlign w:val="center"/>
            <w:textDirection w:val="lrTb"/>
            <w:noWrap w:val="false"/>
          </w:tcPr>
          <w:p>
            <w:pPr>
              <w:ind w:left="0" w:right="0" w:firstLine="0"/>
              <w:jc w:val="both"/>
              <w:spacing w:before="179" w:after="179"/>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both"/>
              <w:spacing w:before="179" w:after="179"/>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val="false"/>
          </w:tcPr>
          <w:p>
            <w:pPr>
              <w:ind w:left="0" w:right="0" w:firstLine="0"/>
              <w:jc w:val="both"/>
              <w:spacing w:before="179" w:after="179"/>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both"/>
              <w:spacing w:before="179" w:after="179"/>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6" w:type="dxa"/>
            <w:vAlign w:val="center"/>
            <w:textDirection w:val="lrTb"/>
            <w:noWrap w:val="false"/>
          </w:tcPr>
          <w:p>
            <w:pPr>
              <w:ind w:left="0" w:right="0" w:firstLine="0"/>
              <w:jc w:val="both"/>
              <w:spacing w:before="179" w:after="179"/>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3" w:type="dxa"/>
            <w:vAlign w:val="center"/>
            <w:textDirection w:val="lrTb"/>
            <w:noWrap w:val="false"/>
          </w:tcPr>
          <w:p>
            <w:pPr>
              <w:ind w:left="0" w:right="0" w:firstLine="0"/>
              <w:jc w:val="both"/>
              <w:spacing w:before="179" w:after="179"/>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1" w:type="dxa"/>
            <w:vAlign w:val="center"/>
            <w:textDirection w:val="lrTb"/>
            <w:noWrap w:val="false"/>
          </w:tcPr>
          <w:p>
            <w:pPr>
              <w:ind w:left="0" w:right="0" w:firstLine="0"/>
              <w:jc w:val="center"/>
              <w:spacing w:before="179" w:after="179"/>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9" w:type="dxa"/>
            <w:vAlign w:val="center"/>
            <w:textDirection w:val="lrTb"/>
            <w:noWrap w:val="false"/>
          </w:tcPr>
          <w:p>
            <w:pPr>
              <w:ind w:left="0" w:right="0" w:firstLine="0"/>
              <w:jc w:val="both"/>
              <w:spacing w:before="179" w:after="179"/>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both"/>
              <w:spacing w:before="179" w:after="179"/>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val="false"/>
          </w:tcPr>
          <w:p>
            <w:pPr>
              <w:ind w:left="0" w:right="0" w:firstLine="0"/>
              <w:jc w:val="both"/>
              <w:spacing w:before="179" w:after="179"/>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both"/>
              <w:spacing w:before="179" w:after="179"/>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6" w:type="dxa"/>
            <w:vAlign w:val="center"/>
            <w:textDirection w:val="lrTb"/>
            <w:noWrap w:val="false"/>
          </w:tcPr>
          <w:p>
            <w:pPr>
              <w:ind w:left="0" w:right="0" w:firstLine="0"/>
              <w:jc w:val="both"/>
              <w:spacing w:before="179" w:after="179"/>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3" w:type="dxa"/>
            <w:vAlign w:val="center"/>
            <w:textDirection w:val="lrTb"/>
            <w:noWrap w:val="false"/>
          </w:tcPr>
          <w:p>
            <w:pPr>
              <w:ind w:left="0" w:right="0" w:firstLine="0"/>
              <w:jc w:val="both"/>
              <w:spacing w:before="179" w:after="179"/>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1" w:type="dxa"/>
            <w:vAlign w:val="center"/>
            <w:textDirection w:val="lrTb"/>
            <w:noWrap w:val="false"/>
          </w:tcPr>
          <w:p>
            <w:pPr>
              <w:ind w:left="0" w:right="0" w:firstLine="0"/>
              <w:jc w:val="center"/>
              <w:spacing w:before="179" w:after="179"/>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9" w:type="dxa"/>
            <w:vAlign w:val="center"/>
            <w:textDirection w:val="lrTb"/>
            <w:noWrap w:val="false"/>
          </w:tcPr>
          <w:p>
            <w:pPr>
              <w:ind w:left="0" w:right="0" w:firstLine="0"/>
              <w:jc w:val="both"/>
              <w:spacing w:before="179" w:after="179"/>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both"/>
              <w:spacing w:before="179" w:after="179"/>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val="false"/>
          </w:tcPr>
          <w:p>
            <w:pPr>
              <w:ind w:left="0" w:right="0" w:firstLine="0"/>
              <w:jc w:val="both"/>
              <w:spacing w:before="179" w:after="179"/>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both"/>
              <w:spacing w:before="179" w:after="179"/>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6" w:type="dxa"/>
            <w:vAlign w:val="center"/>
            <w:textDirection w:val="lrTb"/>
            <w:noWrap w:val="false"/>
          </w:tcPr>
          <w:p>
            <w:pPr>
              <w:ind w:left="0" w:right="0" w:firstLine="0"/>
              <w:jc w:val="both"/>
              <w:spacing w:before="179" w:after="179"/>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3" w:type="dxa"/>
            <w:vAlign w:val="center"/>
            <w:textDirection w:val="lrTb"/>
            <w:noWrap w:val="false"/>
          </w:tcPr>
          <w:p>
            <w:pPr>
              <w:ind w:left="0" w:right="0" w:firstLine="0"/>
              <w:jc w:val="both"/>
              <w:spacing w:before="179" w:after="179"/>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1" w:type="dxa"/>
            <w:vAlign w:val="center"/>
            <w:textDirection w:val="lrTb"/>
            <w:noWrap w:val="false"/>
          </w:tcPr>
          <w:p>
            <w:pPr>
              <w:ind w:left="0" w:right="0" w:firstLine="0"/>
              <w:jc w:val="center"/>
              <w:spacing w:before="179" w:after="179"/>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9" w:type="dxa"/>
            <w:vAlign w:val="center"/>
            <w:textDirection w:val="lrTb"/>
            <w:noWrap w:val="false"/>
          </w:tcPr>
          <w:p>
            <w:pPr>
              <w:ind w:left="0" w:right="0" w:firstLine="0"/>
              <w:jc w:val="both"/>
              <w:spacing w:before="179" w:after="179"/>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both"/>
              <w:spacing w:before="179" w:after="179"/>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val="false"/>
          </w:tcPr>
          <w:p>
            <w:pPr>
              <w:ind w:left="0" w:right="0" w:firstLine="0"/>
              <w:jc w:val="both"/>
              <w:spacing w:before="179" w:after="179"/>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both"/>
              <w:spacing w:before="179" w:after="179"/>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6" w:type="dxa"/>
            <w:vAlign w:val="center"/>
            <w:textDirection w:val="lrTb"/>
            <w:noWrap w:val="false"/>
          </w:tcPr>
          <w:p>
            <w:pPr>
              <w:ind w:left="0" w:right="0" w:firstLine="0"/>
              <w:jc w:val="both"/>
              <w:spacing w:before="179" w:after="179"/>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3" w:type="dxa"/>
            <w:vAlign w:val="center"/>
            <w:textDirection w:val="lrTb"/>
            <w:noWrap w:val="false"/>
          </w:tcPr>
          <w:p>
            <w:pPr>
              <w:ind w:left="0" w:right="0" w:firstLine="0"/>
              <w:jc w:val="both"/>
              <w:spacing w:before="179" w:after="179"/>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1" w:type="dxa"/>
            <w:vAlign w:val="center"/>
            <w:textDirection w:val="lrTb"/>
            <w:noWrap w:val="false"/>
          </w:tcPr>
          <w:p>
            <w:pPr>
              <w:ind w:left="0" w:right="0" w:firstLine="0"/>
              <w:jc w:val="center"/>
              <w:spacing w:before="179" w:after="179"/>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9" w:type="dxa"/>
            <w:vAlign w:val="center"/>
            <w:textDirection w:val="lrTb"/>
            <w:noWrap w:val="false"/>
          </w:tcPr>
          <w:p>
            <w:pPr>
              <w:ind w:left="0" w:right="0" w:firstLine="0"/>
              <w:jc w:val="both"/>
              <w:spacing w:before="179" w:after="179"/>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both"/>
              <w:spacing w:before="179" w:after="179"/>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val="false"/>
          </w:tcPr>
          <w:p>
            <w:pPr>
              <w:ind w:left="0" w:right="0" w:firstLine="0"/>
              <w:jc w:val="both"/>
              <w:spacing w:before="179" w:after="179"/>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both"/>
              <w:spacing w:before="179" w:after="179"/>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6" w:type="dxa"/>
            <w:vAlign w:val="center"/>
            <w:textDirection w:val="lrTb"/>
            <w:noWrap w:val="false"/>
          </w:tcPr>
          <w:p>
            <w:pPr>
              <w:ind w:left="0" w:right="0" w:firstLine="0"/>
              <w:jc w:val="both"/>
              <w:spacing w:before="179" w:after="179"/>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3" w:type="dxa"/>
            <w:vAlign w:val="center"/>
            <w:textDirection w:val="lrTb"/>
            <w:noWrap w:val="false"/>
          </w:tcPr>
          <w:p>
            <w:pPr>
              <w:ind w:left="0" w:right="0" w:firstLine="0"/>
              <w:jc w:val="both"/>
              <w:spacing w:before="179" w:after="179"/>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1" w:type="dxa"/>
            <w:vAlign w:val="center"/>
            <w:textDirection w:val="lrTb"/>
            <w:noWrap w:val="false"/>
          </w:tcPr>
          <w:p>
            <w:pPr>
              <w:ind w:left="0" w:right="0" w:firstLine="0"/>
              <w:jc w:val="center"/>
              <w:spacing w:before="179" w:after="179"/>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9" w:type="dxa"/>
            <w:vAlign w:val="center"/>
            <w:textDirection w:val="lrTb"/>
            <w:noWrap w:val="false"/>
          </w:tcPr>
          <w:p>
            <w:pPr>
              <w:ind w:left="0" w:right="0" w:firstLine="0"/>
              <w:jc w:val="both"/>
              <w:spacing w:before="179" w:after="179"/>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both"/>
              <w:spacing w:before="179" w:after="179"/>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val="false"/>
          </w:tcPr>
          <w:p>
            <w:pPr>
              <w:ind w:left="0" w:right="0" w:firstLine="0"/>
              <w:jc w:val="both"/>
              <w:spacing w:before="179" w:after="179"/>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both"/>
              <w:spacing w:before="179" w:after="179"/>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6" w:type="dxa"/>
            <w:vAlign w:val="center"/>
            <w:textDirection w:val="lrTb"/>
            <w:noWrap w:val="false"/>
          </w:tcPr>
          <w:p>
            <w:pPr>
              <w:ind w:left="0" w:right="0" w:firstLine="0"/>
              <w:jc w:val="both"/>
              <w:spacing w:before="179" w:after="179"/>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3" w:type="dxa"/>
            <w:vAlign w:val="center"/>
            <w:textDirection w:val="lrTb"/>
            <w:noWrap w:val="false"/>
          </w:tcPr>
          <w:p>
            <w:pPr>
              <w:ind w:left="0" w:right="0" w:firstLine="0"/>
              <w:jc w:val="both"/>
              <w:spacing w:before="179" w:after="179"/>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1" w:type="dxa"/>
            <w:vAlign w:val="center"/>
            <w:textDirection w:val="lrTb"/>
            <w:noWrap w:val="false"/>
          </w:tcPr>
          <w:p>
            <w:pPr>
              <w:ind w:left="0" w:right="0" w:firstLine="0"/>
              <w:jc w:val="center"/>
              <w:spacing w:before="179" w:after="179"/>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9" w:type="dxa"/>
            <w:vAlign w:val="center"/>
            <w:textDirection w:val="lrTb"/>
            <w:noWrap w:val="false"/>
          </w:tcPr>
          <w:p>
            <w:pPr>
              <w:ind w:left="0" w:right="0" w:firstLine="0"/>
              <w:jc w:val="both"/>
              <w:spacing w:before="179" w:after="179"/>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both"/>
              <w:spacing w:before="179" w:after="179"/>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val="false"/>
          </w:tcPr>
          <w:p>
            <w:pPr>
              <w:ind w:left="0" w:right="0" w:firstLine="0"/>
              <w:jc w:val="both"/>
              <w:spacing w:before="179" w:after="179"/>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both"/>
              <w:spacing w:before="179" w:after="179"/>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6" w:type="dxa"/>
            <w:vAlign w:val="center"/>
            <w:textDirection w:val="lrTb"/>
            <w:noWrap w:val="false"/>
          </w:tcPr>
          <w:p>
            <w:pPr>
              <w:ind w:left="0" w:right="0" w:firstLine="0"/>
              <w:jc w:val="both"/>
              <w:spacing w:before="179" w:after="179"/>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3" w:type="dxa"/>
            <w:vAlign w:val="center"/>
            <w:textDirection w:val="lrTb"/>
            <w:noWrap w:val="false"/>
          </w:tcPr>
          <w:p>
            <w:pPr>
              <w:ind w:left="0" w:right="0" w:firstLine="0"/>
              <w:jc w:val="both"/>
              <w:spacing w:before="179" w:after="179"/>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投标单位：（单位盖章）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法定代表人或代理人：（签字或盖章）</w:t>
      </w:r>
      <w:r/>
    </w:p>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pStyle w:val="14"/>
        <w:ind w:left="0" w:right="0" w:firstLine="0"/>
        <w:jc w:val="center"/>
        <w:spacing w:before="260" w:after="26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七、资格证明文件</w:t>
      </w:r>
      <w:r/>
    </w:p>
    <w:p>
      <w:pPr>
        <w:pStyle w:val="16"/>
        <w:ind w:left="0" w:right="0" w:firstLine="0"/>
        <w:jc w:val="both"/>
        <w:spacing w:before="260" w:after="26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7.1、关于资格文件的声明函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关于资格文件的声明函</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1、本公司愿就由贵公司组织实施的编号为</w:t>
      </w:r>
      <w:r>
        <w:rPr>
          <w:rFonts w:ascii="SimSun" w:hAnsi="SimSun" w:eastAsia="SimSun" w:cs="SimSun"/>
          <w:color w:val="000000"/>
          <w:sz w:val="24"/>
          <w:u w:val="single"/>
        </w:rPr>
        <w:t xml:space="preserve">           </w:t>
      </w:r>
      <w:r>
        <w:rPr>
          <w:rFonts w:ascii="SimSun" w:hAnsi="SimSun" w:eastAsia="SimSun" w:cs="SimSun"/>
          <w:color w:val="000000"/>
          <w:sz w:val="24"/>
        </w:rPr>
        <w:t xml:space="preserve">号</w:t>
      </w:r>
      <w:r>
        <w:rPr>
          <w:rFonts w:ascii="SimSun" w:hAnsi="SimSun" w:eastAsia="SimSun" w:cs="SimSun"/>
          <w:color w:val="000000"/>
          <w:sz w:val="24"/>
          <w:u w:val="single"/>
        </w:rPr>
        <w:t xml:space="preserve">      </w:t>
      </w:r>
      <w:r>
        <w:rPr>
          <w:rFonts w:ascii="SimSun" w:hAnsi="SimSun" w:eastAsia="SimSun" w:cs="SimSun"/>
          <w:color w:val="000000"/>
          <w:sz w:val="24"/>
        </w:rPr>
        <w:t xml:space="preserve">标段的招标活动进行投标。本公司所提交的投标文件中所有关于投标资格的文件、证明和陈述均是真实的、准确的。若与真实情况不符，本公司愿意承担由此而产生的一切后果。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2、我方已知晓竞争性磋商文件要求并认真审核自身情况，在此郑重声明，我方遵守如下条款的规定：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（1）除单一来源采购项目外，为采购项目提供整体设计、规范编制或者项目管理、监理、检测等服务的供应商，不得再参加该采购项目的其他采购活动。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本声明如有虚假或不实之处，我方将失去合格供应商资格。</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投标单位：（单位盖章）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法定代表人或代理人：（签字或盖章）</w:t>
      </w:r>
      <w:r/>
    </w:p>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7.2投标供应商与其他单位存在控股、管理关系情况表</w:t>
      </w:r>
      <w:r/>
    </w:p>
    <w:p>
      <w:pPr>
        <w:ind w:left="0" w:right="0" w:firstLine="48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投标供应商与其他单位存在控股、管理关系情况表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采购编号：</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7"/>
        <w:gridCol w:w="4677"/>
      </w:tblGrid>
      <w:tr>
        <w:trPr>
          <w:trHeight w:val="75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与投标供应商存在控股、管理关系的单位名称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控股、管理关系情况说明</w:t>
            </w:r>
            <w:r/>
          </w:p>
        </w:tc>
      </w:tr>
      <w:tr>
        <w:trPr>
          <w:trHeight w:val="7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6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6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注：投标供应商须如实填写所有与之有控股管理关系的情况。</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投标供应商：（单位盖章）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法定代表人或代理人：（签字或签章）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7.3、投标单位情况表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投标单位情况表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单位名称（盖章）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招标编号：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标段号：</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75"/>
        <w:gridCol w:w="1955"/>
        <w:gridCol w:w="1306"/>
        <w:gridCol w:w="2224"/>
        <w:gridCol w:w="109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5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成立日期</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23"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注册资本</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3"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经营范围</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职工人数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3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其中：有中高级以上职称的人数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资产总计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净资产</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股东权益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销售收入</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2023年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实现利润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2023年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3"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营业面积（含厂房面积）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平方米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其中：</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3"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自有面积         平方米</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承租面积         平方米</w:t>
            </w:r>
            <w:r/>
          </w:p>
        </w:tc>
      </w:tr>
      <w:tr>
        <w:trPr>
          <w:trHeight w:val="11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单位简历及内设机构情况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单位优势及特长</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是否处于被行政或司法机关责令停业或停止承接工程任务或停止投标资格</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最近2年内在经营过程中受到何种奖励或处分（包括情况和结果）</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最近3年内有无因售假、售劣或是其他原因被消费者投诉或起诉的情况及说明（包括解决方式和结果）</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最近3年内主要负责人有无因经济犯罪被司法机关追究的情况及说明</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获得技术认证的工程师及简介</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其他需要说明的情况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八、</w:t>
      </w:r>
      <w:r>
        <w:rPr>
          <w:rFonts w:ascii="SimSun" w:hAnsi="SimSun" w:eastAsia="SimSun" w:cs="SimSun"/>
          <w:b/>
          <w:color w:val="000000"/>
          <w:sz w:val="30"/>
          <w:u w:val="none"/>
        </w:rPr>
        <w:t xml:space="preserve">企业类似业绩一览表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招标编号：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标段号：</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96"/>
        <w:gridCol w:w="3219"/>
        <w:gridCol w:w="1778"/>
        <w:gridCol w:w="1718"/>
        <w:gridCol w:w="194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合同签订时间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业主单位名称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投标单位：（单位盖章）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法定代表人或代理人：（签字或盖章）</w:t>
      </w:r>
      <w:r/>
    </w:p>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九、</w:t>
      </w:r>
      <w:r>
        <w:rPr>
          <w:rFonts w:ascii="SimSun" w:hAnsi="SimSun" w:eastAsia="SimSun" w:cs="SimSun"/>
          <w:b/>
          <w:color w:val="000000"/>
          <w:sz w:val="32"/>
        </w:rPr>
        <w:t xml:space="preserve">中小企业声明函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 号）的规定，本公司（联合体）参加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的</w:t>
      </w:r>
      <w:r>
        <w:rPr>
          <w:rFonts w:ascii="SimSun" w:hAnsi="SimSun" w:eastAsia="SimSun" w:cs="SimSun"/>
          <w:color w:val="000000"/>
          <w:sz w:val="24"/>
          <w:u w:val="single"/>
        </w:rPr>
        <w:t xml:space="preserve">（项目名称、标段号）</w:t>
      </w:r>
      <w:r>
        <w:rPr>
          <w:rFonts w:ascii="SimSun" w:hAnsi="SimSun" w:eastAsia="SimSun" w:cs="SimSun"/>
          <w:color w:val="000000"/>
          <w:sz w:val="24"/>
        </w:rPr>
        <w:t xml:space="preserve">的采购活动，服务全部由符合政策要求的中小企业承接。相关企业（含联合体中的中小企业、签订分包意向协议的中小企业）的具体情况如下：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w:t>
      </w:r>
      <w:r>
        <w:rPr>
          <w:rFonts w:ascii="SimSun" w:hAnsi="SimSun" w:eastAsia="SimSun" w:cs="SimSun"/>
          <w:color w:val="000000"/>
          <w:sz w:val="24"/>
          <w:u w:val="single"/>
        </w:rPr>
        <w:t xml:space="preserve">2024年度警校食堂食材配送服务</w:t>
      </w:r>
      <w:r>
        <w:rPr>
          <w:rFonts w:ascii="SimSun" w:hAnsi="SimSun" w:eastAsia="SimSun" w:cs="SimSun"/>
          <w:color w:val="000000"/>
          <w:sz w:val="24"/>
        </w:rPr>
        <w:t xml:space="preserve">，属于</w:t>
      </w:r>
      <w:r>
        <w:rPr>
          <w:rFonts w:ascii="SimSun" w:hAnsi="SimSun" w:eastAsia="SimSun" w:cs="SimSun"/>
          <w:color w:val="000000"/>
          <w:sz w:val="24"/>
          <w:u w:val="single"/>
        </w:rPr>
        <w:t xml:space="preserve">批发业</w:t>
      </w:r>
      <w:r>
        <w:rPr>
          <w:rFonts w:ascii="SimSun" w:hAnsi="SimSun" w:eastAsia="SimSun" w:cs="SimSun"/>
          <w:color w:val="000000"/>
          <w:sz w:val="24"/>
        </w:rPr>
        <w:t xml:space="preserve">；承建（承接）企业为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企业名称（盖章）：</w:t>
      </w:r>
      <w:r/>
    </w:p>
    <w:p>
      <w:pPr>
        <w:ind w:left="0" w:right="0" w:firstLine="6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numPr>
          <w:ilvl w:val="0"/>
          <w:numId w:val="1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中小企业划分标准详见“工信部联企业〔2011〕300号通知中的《中小企业划型标准规定》”。</w:t>
      </w:r>
      <w:r/>
    </w:p>
    <w:p>
      <w:pPr>
        <w:numPr>
          <w:ilvl w:val="0"/>
          <w:numId w:val="1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如投标单位认定本企业为中型、小型或微型企业，则需根据“工信部联企业〔2011〕300号”通知中的《中小企业划型标准规定》填报“中小企业声明函”</w:t>
      </w:r>
      <w:r>
        <w:rPr>
          <w:rFonts w:ascii="SimSun" w:hAnsi="SimSun" w:eastAsia="SimSun" w:cs="SimSun"/>
          <w:b/>
          <w:color w:val="000000"/>
          <w:sz w:val="24"/>
        </w:rPr>
        <w:t xml:space="preserve">。</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3、从业人员、营业收入、资产总额填报上一年度数据，无上一年度数据的新成立企业可不填报。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4、投标单位应对照中小企业划分标准和采购标的所属行业：</w:t>
      </w:r>
      <w:r>
        <w:rPr>
          <w:rFonts w:ascii="SimSun" w:hAnsi="SimSun" w:eastAsia="SimSun" w:cs="SimSun"/>
          <w:b/>
          <w:color w:val="000000"/>
          <w:sz w:val="24"/>
          <w:u w:val="single"/>
        </w:rPr>
        <w:t xml:space="preserve">批发业</w:t>
      </w:r>
      <w:r>
        <w:rPr>
          <w:rFonts w:ascii="SimSun" w:hAnsi="SimSun" w:eastAsia="SimSun" w:cs="SimSun"/>
          <w:b/>
          <w:color w:val="000000"/>
          <w:sz w:val="24"/>
        </w:rPr>
        <w:t xml:space="preserve"> ，如实、完整填报《中小企业声明函》，如未对（中型企业、小型企业、微型企业）进行勾选，视同非中、小、微企业，不享受相应扶持政策。</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十、残疾人福利性单位声明函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b/>
          <w:color w:val="000000"/>
          <w:sz w:val="24"/>
          <w:u w:val="single"/>
        </w:rPr>
        <w:t xml:space="preserve">                          </w:t>
      </w:r>
      <w:r>
        <w:rPr>
          <w:rFonts w:ascii="SimSun" w:hAnsi="SimSun" w:eastAsia="SimSun" w:cs="SimSun"/>
          <w:b/>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本单位郑重声明，根据《财政部民政部中国残疾人联合会关于促进残疾人就业政府采购政策的通知》（财库〔2017〕141号）的规定，本单位为符合条件的残疾人福利性单位，且本单位参加 </w:t>
      </w:r>
      <w:r>
        <w:rPr>
          <w:rFonts w:ascii="SimSun" w:hAnsi="SimSun" w:eastAsia="SimSun" w:cs="SimSun"/>
          <w:color w:val="000000"/>
          <w:sz w:val="24"/>
          <w:u w:val="single"/>
        </w:rPr>
        <w:t xml:space="preserve">（采购单位）</w:t>
      </w:r>
      <w:r>
        <w:rPr>
          <w:rFonts w:ascii="SimSun" w:hAnsi="SimSun" w:eastAsia="SimSun" w:cs="SimSun"/>
          <w:color w:val="000000"/>
          <w:sz w:val="24"/>
        </w:rPr>
        <w:t xml:space="preserve"> 单位的</w:t>
      </w:r>
      <w:r>
        <w:rPr>
          <w:rFonts w:ascii="SimSun" w:hAnsi="SimSun" w:eastAsia="SimSun" w:cs="SimSun"/>
          <w:color w:val="000000"/>
          <w:sz w:val="24"/>
          <w:u w:val="single"/>
        </w:rPr>
        <w:t xml:space="preserve">（项目名称、招标编号、标段号）</w:t>
      </w:r>
      <w:r>
        <w:rPr>
          <w:rFonts w:ascii="SimSun" w:hAnsi="SimSun" w:eastAsia="SimSun" w:cs="SimSun"/>
          <w:color w:val="000000"/>
          <w:sz w:val="24"/>
        </w:rPr>
        <w:t xml:space="preserve">项目采购活动提供本单位制造的货物（由本单位承担工程/提供服务），或者提供其他残疾人福利性单位制造的货物（不包括使用非残疾人福利性单位注册商标的货物）。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投标单位：（单位盖章）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6"/>
        </w:rPr>
        <w:t xml:space="preserve"> </w:t>
      </w:r>
      <w:r/>
    </w:p>
    <w:p>
      <w:pPr>
        <w:pStyle w:val="12"/>
        <w:ind w:left="0" w:right="0" w:firstLine="0"/>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u w:val="none"/>
        </w:rPr>
        <w:t xml:space="preserve">第四章采购内容</w:t>
      </w:r>
      <w:r/>
    </w:p>
    <w:p>
      <w:pPr>
        <w:ind w:left="0" w:right="0" w:firstLine="0"/>
        <w:jc w:val="right"/>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受</w:t>
      </w:r>
      <w:r>
        <w:rPr>
          <w:rFonts w:ascii="SimSun" w:hAnsi="SimSun" w:eastAsia="SimSun" w:cs="SimSun"/>
          <w:b/>
          <w:color w:val="000000"/>
          <w:sz w:val="24"/>
          <w:u w:val="single"/>
        </w:rPr>
        <w:t xml:space="preserve">苏州市公安局</w:t>
      </w:r>
      <w:r>
        <w:rPr>
          <w:rFonts w:ascii="SimSun" w:hAnsi="SimSun" w:eastAsia="SimSun" w:cs="SimSun"/>
          <w:b/>
          <w:color w:val="000000"/>
          <w:sz w:val="24"/>
        </w:rPr>
        <w:t xml:space="preserve">的委托，苏州海企国际工程咨询有限公司作为招标代理人，为委托人拟采购的</w:t>
      </w:r>
      <w:r>
        <w:rPr>
          <w:rFonts w:ascii="SimSun" w:hAnsi="SimSun" w:eastAsia="SimSun" w:cs="SimSun"/>
          <w:b/>
          <w:color w:val="000000"/>
          <w:sz w:val="24"/>
          <w:u w:val="single"/>
        </w:rPr>
        <w:t xml:space="preserve">2024年度警校食堂食材配送服务</w:t>
      </w:r>
      <w:r>
        <w:rPr>
          <w:rFonts w:ascii="SimSun" w:hAnsi="SimSun" w:eastAsia="SimSun" w:cs="SimSun"/>
          <w:b/>
          <w:color w:val="000000"/>
          <w:sz w:val="24"/>
        </w:rPr>
        <w:t xml:space="preserve">进行国内公开招标。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一、招标编号：JSZC-320500-SZHQ-G2024-0112号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二、招标内容：2024年度警校食堂食材配送服务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三、采购预算及最高限价：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1.采购预算：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标段二：粮油米面类、干货调料类，预算金额人民币叁拾万元整（¥：300000.00）；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2.最高限价：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标段二：粮油米面类、干货调料类，最高限价人民币叁拾万元整（¥：300000.00）；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3.合同履行期限：本服务自合同签订后次日生效，服务期一年。当结算金额达到标段预算金额或合同履行期限到期，本标段合同自动终止。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四、采购需求：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切实加强警校食堂食品卫生安全管理及物资采购管理，进一步提高食堂饭菜质量，确保原材料采购价格公开、透明、合理，推动食堂后勤服务的“集约化”和“专业化”。采购范围包括但不限于粮油米面类、干货调料类等常见品类。 </w:t>
      </w:r>
      <w:r/>
    </w:p>
    <w:p>
      <w:pPr>
        <w:ind w:left="0" w:right="0" w:firstLine="562"/>
        <w:spacing w:before="156"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（一）采购内容：</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10"/>
        <w:gridCol w:w="4813"/>
        <w:gridCol w:w="2101"/>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第标段二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粮油米面类、干货调料类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30万元</w:t>
            </w:r>
            <w:r/>
          </w:p>
        </w:tc>
      </w:tr>
    </w:tbl>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56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（二）采购清单：</w:t>
      </w:r>
      <w:r/>
    </w:p>
    <w:p>
      <w:pPr>
        <w:ind w:left="0" w:right="0" w:firstLine="0"/>
        <w:spacing w:before="156"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标段二：粮油米面类、干货调料类</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91"/>
        <w:gridCol w:w="1817"/>
        <w:gridCol/>
        <w:gridCol w:w="699"/>
        <w:gridCol/>
        <w:gridCol w:w="1115"/>
        <w:gridCol w:w="866"/>
        <w:gridCol/>
        <w:gridCol w:w="744"/>
        <w:gridCol w:w="1806"/>
        <w:gridCol w:w="682"/>
        <w:gridCol w:w="949"/>
      </w:tblGrid>
      <w:tr>
        <w:trPr>
          <w:trHeight w:val="315"/>
        </w:trPr>
        <w:tc>
          <w:tcPr>
            <w:gridSpan w:val="1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米  面  粮  油</w:t>
            </w:r>
            <w:r/>
          </w:p>
        </w:tc>
      </w:tr>
      <w:tr>
        <w:trPr>
          <w:trHeight w:val="3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jc w:val="center"/>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jc w:val="center"/>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品名</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单位</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5" w:type="dxa"/>
            <w:vAlign w:val="center"/>
            <w:textDirection w:val="lrTb"/>
            <w:noWrap w:val="false"/>
          </w:tcPr>
          <w:p>
            <w:pPr>
              <w:ind w:left="0" w:right="0" w:firstLine="0"/>
              <w:jc w:val="center"/>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2" w:type="dxa"/>
            <w:vAlign w:val="center"/>
            <w:textDirection w:val="lrTb"/>
            <w:noWrap w:val="false"/>
          </w:tcPr>
          <w:p>
            <w:pPr>
              <w:ind w:left="0" w:right="0" w:firstLine="0"/>
              <w:jc w:val="center"/>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0" w:type="dxa"/>
            <w:vAlign w:val="center"/>
            <w:textDirection w:val="lrTb"/>
            <w:noWrap w:val="false"/>
          </w:tcPr>
          <w:p>
            <w:pPr>
              <w:ind w:left="0" w:right="0" w:firstLine="0"/>
              <w:jc w:val="center"/>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品名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单位</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ind w:left="0" w:right="0" w:firstLine="0"/>
              <w:jc w:val="center"/>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面粉</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5"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≥25kg</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2"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0"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生粉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≥25kg</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大米</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5"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≥25kg</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2"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0"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生粉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≥200g*50</w:t>
            </w:r>
            <w:r/>
          </w:p>
        </w:tc>
      </w:tr>
      <w:tr>
        <w:trPr>
          <w:trHeight w:val="3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油条粉</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5"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≥25kg</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2"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0"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黑米粉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spacing w:before="0" w:after="0" w:line="57" w:lineRule="atLeast"/>
            </w:pPr>
            <w:r/>
          </w:p>
        </w:tc>
      </w:tr>
      <w:tr>
        <w:trPr>
          <w:trHeight w:val="3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玉米淀粉</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5"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≥25kg</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2"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0"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梗米粉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spacing w:before="0" w:after="0" w:line="57" w:lineRule="atLeast"/>
            </w:pPr>
            <w:r/>
          </w:p>
        </w:tc>
      </w:tr>
      <w:tr>
        <w:trPr>
          <w:trHeight w:val="3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糯米</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5"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≥25kg</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2"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0"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葵花籽色拉油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≥5L*4</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糯米粉</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5"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≥25kg</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2"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0"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≥25kg</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糙米</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5"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≥400g</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2"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0"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燕麦</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5"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≥400g</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2"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0"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菜籽色拉油</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5"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≥5L*4</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2" w:type="dxa"/>
            <w:vAlign w:val="center"/>
            <w:textDirection w:val="lrTb"/>
            <w:noWrap w:val="false"/>
          </w:tcPr>
          <w:p>
            <w:pPr>
              <w:spacing w:before="0" w:after="0" w:line="57" w:lineRule="atLeast"/>
            </w:pP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0"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spacing w:before="0" w:after="0" w:line="57" w:lineRule="atLeast"/>
            </w:pP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菜籽油</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5"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10L</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2" w:type="dxa"/>
            <w:vAlign w:val="center"/>
            <w:textDirection w:val="lrTb"/>
            <w:noWrap w:val="false"/>
          </w:tcPr>
          <w:p>
            <w:pPr>
              <w:spacing w:before="0" w:after="0" w:line="57" w:lineRule="atLeast"/>
            </w:pP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0"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spacing w:before="0" w:after="0" w:line="57" w:lineRule="atLeast"/>
            </w:pPr>
            <w:r/>
          </w:p>
        </w:tc>
      </w:tr>
      <w:tr>
        <w:trPr>
          <w:trHeight w:val="315"/>
        </w:trPr>
        <w:tc>
          <w:tcPr>
            <w:gridSpan w:val="1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干  货  调  料</w:t>
            </w:r>
            <w:r/>
          </w:p>
        </w:tc>
      </w:tr>
      <w:tr>
        <w:trPr>
          <w:trHeight w:val="3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jc w:val="center"/>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jc w:val="center"/>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品名</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单位</w:t>
            </w:r>
            <w:r/>
          </w:p>
        </w:tc>
        <w:tc>
          <w:tcPr>
            <w:gridSpan w:val="3"/>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0" w:type="dxa"/>
            <w:vAlign w:val="center"/>
            <w:textDirection w:val="lrTb"/>
            <w:noWrap w:val="false"/>
          </w:tcPr>
          <w:p>
            <w:pPr>
              <w:ind w:left="0" w:right="0" w:firstLine="0"/>
              <w:jc w:val="center"/>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6" w:type="dxa"/>
            <w:vAlign w:val="center"/>
            <w:textDirection w:val="lrTb"/>
            <w:noWrap w:val="false"/>
          </w:tcPr>
          <w:p>
            <w:pPr>
              <w:ind w:left="0" w:right="0" w:firstLine="0"/>
              <w:jc w:val="center"/>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品名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单位</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ind w:left="0" w:right="0" w:firstLine="0"/>
              <w:jc w:val="center"/>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八角</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斤</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0" w:type="dxa"/>
            <w:vAlign w:val="center"/>
            <w:textDirection w:val="lrTb"/>
            <w:noWrap w:val="false"/>
          </w:tcPr>
          <w:p>
            <w:pPr>
              <w:spacing w:before="0" w:after="0" w:line="57" w:lineRule="atLeast"/>
            </w:pP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6"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芝麻油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≥450ml*20</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茴香</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斤</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0" w:type="dxa"/>
            <w:vAlign w:val="center"/>
            <w:textDirection w:val="lrTb"/>
            <w:noWrap w:val="false"/>
          </w:tcPr>
          <w:p>
            <w:pPr>
              <w:spacing w:before="0" w:after="0" w:line="57" w:lineRule="atLeast"/>
            </w:pP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6"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风味豆豉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≥280g*24</w:t>
            </w:r>
            <w:r/>
          </w:p>
        </w:tc>
      </w:tr>
      <w:tr>
        <w:trPr>
          <w:trHeight w:val="3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桂皮</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斤</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0" w:type="dxa"/>
            <w:vAlign w:val="center"/>
            <w:textDirection w:val="lrTb"/>
            <w:noWrap w:val="false"/>
          </w:tcPr>
          <w:p>
            <w:pPr>
              <w:spacing w:before="0" w:after="0" w:line="57" w:lineRule="atLeast"/>
            </w:pP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6"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香糟卤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≥630ml*12</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花椒</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斤</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0" w:type="dxa"/>
            <w:vAlign w:val="center"/>
            <w:textDirection w:val="lrTb"/>
            <w:noWrap w:val="false"/>
          </w:tcPr>
          <w:p>
            <w:pPr>
              <w:spacing w:before="0" w:after="0" w:line="57" w:lineRule="atLeast"/>
            </w:pP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6"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番茄沙司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≥340g*24</w:t>
            </w:r>
            <w:r/>
          </w:p>
        </w:tc>
      </w:tr>
      <w:tr>
        <w:trPr>
          <w:trHeight w:val="3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干辣椒</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斤</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0" w:type="dxa"/>
            <w:vAlign w:val="center"/>
            <w:textDirection w:val="lrTb"/>
            <w:noWrap w:val="false"/>
          </w:tcPr>
          <w:p>
            <w:pPr>
              <w:spacing w:before="0" w:after="0" w:line="57" w:lineRule="atLeast"/>
            </w:pP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6"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生抽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1.9L*6</w:t>
            </w:r>
            <w:r/>
          </w:p>
        </w:tc>
      </w:tr>
      <w:tr>
        <w:trPr>
          <w:trHeight w:val="3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干香菇</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斤</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0" w:type="dxa"/>
            <w:vAlign w:val="center"/>
            <w:textDirection w:val="lrTb"/>
            <w:noWrap w:val="false"/>
          </w:tcPr>
          <w:p>
            <w:pPr>
              <w:spacing w:before="0" w:after="0" w:line="57" w:lineRule="atLeast"/>
            </w:pP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6"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老抽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1.9L*6</w:t>
            </w:r>
            <w:r/>
          </w:p>
        </w:tc>
      </w:tr>
      <w:tr>
        <w:trPr>
          <w:trHeight w:val="3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干木耳</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斤</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0" w:type="dxa"/>
            <w:vAlign w:val="center"/>
            <w:textDirection w:val="lrTb"/>
            <w:noWrap w:val="false"/>
          </w:tcPr>
          <w:p>
            <w:pPr>
              <w:spacing w:before="0" w:after="0" w:line="57" w:lineRule="atLeast"/>
            </w:pP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6"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酱油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≥640ml*12</w:t>
            </w:r>
            <w:r/>
          </w:p>
        </w:tc>
      </w:tr>
      <w:tr>
        <w:trPr>
          <w:trHeight w:val="3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粉丝</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斤</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0" w:type="dxa"/>
            <w:vAlign w:val="center"/>
            <w:textDirection w:val="lrTb"/>
            <w:noWrap w:val="false"/>
          </w:tcPr>
          <w:p>
            <w:pPr>
              <w:spacing w:before="0" w:after="0" w:line="57" w:lineRule="atLeast"/>
            </w:pP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6"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蚝油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≥6kg</w:t>
            </w:r>
            <w:r/>
          </w:p>
        </w:tc>
      </w:tr>
      <w:tr>
        <w:trPr>
          <w:trHeight w:val="3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腐竹</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斤</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0" w:type="dxa"/>
            <w:vAlign w:val="center"/>
            <w:textDirection w:val="lrTb"/>
            <w:noWrap w:val="false"/>
          </w:tcPr>
          <w:p>
            <w:pPr>
              <w:spacing w:before="0" w:after="0" w:line="57" w:lineRule="atLeast"/>
            </w:pP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6"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味精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≥500g*20</w:t>
            </w:r>
            <w:r/>
          </w:p>
        </w:tc>
      </w:tr>
      <w:tr>
        <w:trPr>
          <w:trHeight w:val="3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紫菜</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0" w:type="dxa"/>
            <w:vAlign w:val="center"/>
            <w:textDirection w:val="lrTb"/>
            <w:noWrap w:val="false"/>
          </w:tcPr>
          <w:p>
            <w:pPr>
              <w:spacing w:before="0" w:after="0" w:line="57" w:lineRule="atLeast"/>
            </w:pP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6"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鸡精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≥900g*10</w:t>
            </w:r>
            <w:r/>
          </w:p>
        </w:tc>
      </w:tr>
      <w:tr>
        <w:trPr>
          <w:trHeight w:val="3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梅干菜</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斤</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0" w:type="dxa"/>
            <w:vAlign w:val="center"/>
            <w:textDirection w:val="lrTb"/>
            <w:noWrap w:val="false"/>
          </w:tcPr>
          <w:p>
            <w:pPr>
              <w:spacing w:before="0" w:after="0" w:line="57" w:lineRule="atLeast"/>
            </w:pP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6"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鸡精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≥1kg*10</w:t>
            </w:r>
            <w:r/>
          </w:p>
        </w:tc>
      </w:tr>
      <w:tr>
        <w:trPr>
          <w:trHeight w:val="3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无核鸡心枣</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斤</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0" w:type="dxa"/>
            <w:vAlign w:val="center"/>
            <w:textDirection w:val="lrTb"/>
            <w:noWrap w:val="false"/>
          </w:tcPr>
          <w:p>
            <w:pPr>
              <w:spacing w:before="0" w:after="0" w:line="57" w:lineRule="atLeast"/>
            </w:pP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6"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黄酒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≥385m*40</w:t>
            </w:r>
            <w:r/>
          </w:p>
        </w:tc>
      </w:tr>
      <w:tr>
        <w:trPr>
          <w:trHeight w:val="3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白糖50kg</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0" w:type="dxa"/>
            <w:vAlign w:val="center"/>
            <w:textDirection w:val="lrTb"/>
            <w:noWrap w:val="false"/>
          </w:tcPr>
          <w:p>
            <w:pPr>
              <w:spacing w:before="0" w:after="0" w:line="57" w:lineRule="atLeast"/>
            </w:pP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6"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黄酒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≥400ml*30</w:t>
            </w:r>
            <w:r/>
          </w:p>
        </w:tc>
      </w:tr>
      <w:tr>
        <w:trPr>
          <w:trHeight w:val="3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冰糖</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斤</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0" w:type="dxa"/>
            <w:vAlign w:val="center"/>
            <w:textDirection w:val="lrTb"/>
            <w:noWrap w:val="false"/>
          </w:tcPr>
          <w:p>
            <w:pPr>
              <w:spacing w:before="0" w:after="0" w:line="57" w:lineRule="atLeast"/>
            </w:pP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6"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酱油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≥400ml*30</w:t>
            </w:r>
            <w:r/>
          </w:p>
        </w:tc>
      </w:tr>
      <w:tr>
        <w:trPr>
          <w:trHeight w:val="3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花生米</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斤</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0" w:type="dxa"/>
            <w:vAlign w:val="center"/>
            <w:textDirection w:val="lrTb"/>
            <w:noWrap w:val="false"/>
          </w:tcPr>
          <w:p>
            <w:pPr>
              <w:spacing w:before="0" w:after="0" w:line="57" w:lineRule="atLeast"/>
            </w:pP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6"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精制盐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≥500g*40</w:t>
            </w:r>
            <w:r/>
          </w:p>
        </w:tc>
      </w:tr>
      <w:tr>
        <w:trPr>
          <w:trHeight w:val="3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黄豆</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斤</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0" w:type="dxa"/>
            <w:vAlign w:val="center"/>
            <w:textDirection w:val="lrTb"/>
            <w:noWrap w:val="false"/>
          </w:tcPr>
          <w:p>
            <w:pPr>
              <w:spacing w:before="0" w:after="0" w:line="57" w:lineRule="atLeast"/>
            </w:pP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6"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胡椒粉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≥500g*12</w:t>
            </w:r>
            <w:r/>
          </w:p>
        </w:tc>
      </w:tr>
      <w:tr>
        <w:trPr>
          <w:trHeight w:val="3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绿豆</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斤</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0" w:type="dxa"/>
            <w:vAlign w:val="center"/>
            <w:textDirection w:val="lrTb"/>
            <w:noWrap w:val="false"/>
          </w:tcPr>
          <w:p>
            <w:pPr>
              <w:spacing w:before="0" w:after="0" w:line="57" w:lineRule="atLeast"/>
            </w:pP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6"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五香粉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≥500g*12</w:t>
            </w:r>
            <w:r/>
          </w:p>
        </w:tc>
      </w:tr>
      <w:tr>
        <w:trPr>
          <w:trHeight w:val="3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小米椒</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箱</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0"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≥2kg*6</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6"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咖喱粉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≥500g*20</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麻辣香水鱼调料</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箱</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0" w:type="dxa"/>
            <w:vAlign w:val="center"/>
            <w:textDirection w:val="lrTb"/>
            <w:noWrap w:val="false"/>
          </w:tcPr>
          <w:p>
            <w:pPr>
              <w:spacing w:before="0" w:after="0" w:line="57" w:lineRule="atLeast"/>
            </w:pP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6"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蒸肉米粉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≥125g*44</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白酒</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箱</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0"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≥475ml*12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6"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面包糠（白）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≥750g*10</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番茄酱</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箱</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0"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≥850g**12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6"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面包糠（黄）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≥1kg*10</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川味辣油</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箱</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0"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≥160ml*12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6"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豆沙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spacing w:before="0" w:after="0" w:line="57" w:lineRule="atLeast"/>
            </w:pPr>
            <w:r/>
          </w:p>
        </w:tc>
      </w:tr>
      <w:tr>
        <w:trPr>
          <w:trHeight w:val="3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椒盐</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箱</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0"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≥660g*12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6"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酵母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≥500g*20</w:t>
            </w:r>
            <w:r/>
          </w:p>
        </w:tc>
      </w:tr>
      <w:tr>
        <w:trPr>
          <w:trHeight w:val="3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三原酱椒</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箱</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0"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≥1.1kg*8</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6"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泡打粉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≥100g /包</w:t>
            </w:r>
            <w:r/>
          </w:p>
        </w:tc>
      </w:tr>
      <w:tr>
        <w:trPr>
          <w:trHeight w:val="3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糟油</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箱</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0"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≥500ml*20</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6"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黄豆酱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≥6kg*2</w:t>
            </w:r>
            <w:r/>
          </w:p>
        </w:tc>
      </w:tr>
      <w:tr>
        <w:trPr>
          <w:trHeight w:val="3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白醋</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箱</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0"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≥500ml*12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6"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甜面酱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≥200g*40</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香醋</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箱</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0"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≥500ml*12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6"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辣酱油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≥630ml*12</w:t>
            </w:r>
            <w:r/>
          </w:p>
        </w:tc>
      </w:tr>
      <w:tr>
        <w:trPr>
          <w:trHeight w:val="3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陈醋</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箱</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0"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≥500ml*12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6"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豆瓣酱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spacing w:before="0" w:after="0" w:line="57" w:lineRule="atLeast"/>
            </w:pPr>
            <w:r/>
          </w:p>
        </w:tc>
      </w:tr>
      <w:tr>
        <w:trPr>
          <w:trHeight w:val="3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陈醋</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桶</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0"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1.75L*6</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6"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红曲粉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≥225g</w:t>
            </w:r>
            <w:r/>
          </w:p>
        </w:tc>
      </w:tr>
      <w:tr>
        <w:trPr>
          <w:trHeight w:val="3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辣酱</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箱</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0"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≥230g*24</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6"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干酵母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≥500g*20</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酱油</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箱</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0"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≥500ml*12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6"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吉士粉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≥300g</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蒸鱼豉油</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箱</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0"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≥450ml*12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6"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食用小苏打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≥750g</w:t>
            </w:r>
            <w:r/>
          </w:p>
        </w:tc>
      </w:tr>
      <w:tr>
        <w:trPr>
          <w:trHeight w:val="3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火锅料</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箱</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0"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≥150g*60</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6"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剁椒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≥1kg*6</w:t>
            </w:r>
            <w:r/>
          </w:p>
        </w:tc>
      </w:tr>
      <w:tr>
        <w:trPr>
          <w:trHeight w:val="3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香辣酥</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箱</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0"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≥125g*12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6"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spacing w:before="0" w:after="0" w:line="57" w:lineRule="atLeast"/>
            </w:pPr>
            <w:r/>
          </w:p>
        </w:tc>
      </w:tr>
      <w:tr>
        <w:trPr>
          <w:trHeight w:val="3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辣椒酱</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箱</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0"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≥900g*24</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6"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spacing w:before="0" w:after="0" w:line="57" w:lineRule="atLeast"/>
            </w:pPr>
            <w:r/>
          </w:p>
        </w:tc>
      </w:tr>
      <w:tr>
        <w:trPr>
          <w:trHeight w:val="3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味精</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箱</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0"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≥500g*20</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6"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spacing w:before="0" w:after="0" w:line="57" w:lineRule="atLeast"/>
            </w:pPr>
            <w:r/>
          </w:p>
        </w:tc>
      </w:tr>
    </w:tbl>
    <w:p>
      <w:pPr>
        <w:ind w:left="0" w:right="0" w:firstLine="56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注：上述清单中的具体品目以市面常见食材类型作为参考，每日份具体配送种类及数量以采购单位与供应商约定的为准。</w:t>
      </w:r>
      <w:r/>
    </w:p>
    <w:p>
      <w:pPr>
        <w:ind w:left="0" w:right="0" w:firstLine="56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（三）配送质量要求：</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1、配送质量要求：</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1.1面粉、食用油、豆制品、辅料、半成品必须具有“QS”食品质量安全认证；</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1.2采购货源必须持有与销售内容相对应的有效营业执照，《食品经营许可证》或《食品生产许可证》。</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1.3供应商负责供货产品的食品安全，须做到来源可溯； </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1.4本项目所供食材保质期不得低于标明的保质期限的1/2；</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2、对配送产品品质的基本要求：</w:t>
      </w:r>
      <w:r/>
    </w:p>
    <w:p>
      <w:pPr>
        <w:ind w:left="0" w:right="0" w:firstLine="7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2.1质量标准：</w:t>
      </w:r>
      <w:r>
        <w:rPr>
          <w:rFonts w:ascii="SimSun" w:hAnsi="SimSun" w:eastAsia="SimSun" w:cs="SimSun"/>
          <w:b/>
          <w:color w:val="000000"/>
          <w:sz w:val="24"/>
        </w:rPr>
        <w:t xml:space="preserve">★</w:t>
      </w:r>
      <w:r/>
    </w:p>
    <w:p>
      <w:pPr>
        <w:ind w:left="0" w:right="0" w:firstLine="7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2.1.1调味品（食盐除外）质量要求：酱油符合GB 18186-2000《酿造酱油》标准，味精符合《食品安全国家标准 味精》标准，生粉（淀粉制品）符合GB2713-2015标准、GB 31637-2016《食品安全国家标准 食用淀粉》标准，食糖符合GB13104-2014标准，酿造食醋符合GB18187-2000标准。</w:t>
      </w:r>
      <w:r/>
    </w:p>
    <w:p>
      <w:pPr>
        <w:ind w:left="0" w:right="0" w:firstLine="7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2.1.2南北干货质量要求：应符合相关的国家或行业食品安全标准。需要分包装的产品需使用符合卫生标准的包装袋，并规定要求加贴产品信息标签。</w:t>
      </w:r>
      <w:r/>
    </w:p>
    <w:p>
      <w:pPr>
        <w:ind w:left="0" w:right="0" w:firstLine="7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2.1.3速冻面米制品质量要求：必须保证为有效保质期内产品，必须符合GB 19295-2021《食品安全国家标准 速冻面米制品》标准。</w:t>
      </w:r>
      <w:r/>
    </w:p>
    <w:p>
      <w:pPr>
        <w:ind w:left="0" w:right="0" w:firstLine="7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2.1.4食用油配送标准：非转基因食用油，必须符合GB 2716-2018食用植物油卫生标准，并具有“QS”食品质量安全认证或“SC食品生产许可证”。</w:t>
      </w:r>
      <w:r/>
    </w:p>
    <w:p>
      <w:pPr>
        <w:ind w:left="0" w:right="0" w:firstLine="7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2.1.5大米质量要求：一年内新大米，符合GB/T 1354-2018标准，并拥有“QS”食品质量安全</w:t>
      </w:r>
      <w:r/>
    </w:p>
    <w:p>
      <w:pPr>
        <w:ind w:left="0" w:right="0" w:firstLine="7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2.1.6豆制品质量要求：原料须为非转基因产品，发酵性豆制品必须符合GB2712-2014《食品安全国家标准 豆制品》标准，非发酵豆制品必须符合GB/T 22106-2008标准、GB2711-2014《食品安全国家标准 面筋制品》标准，对豆制品的有关安全健康指标符合国家规定。</w:t>
      </w:r>
      <w:r/>
    </w:p>
    <w:p>
      <w:pPr>
        <w:ind w:left="0" w:right="0" w:firstLine="7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2.1.7其它类质量要求：其它类质量应符合相应的国家或行业食品安全标准，添加剂的使用必须符合GB2760-2014标准，对食品的添加量严格控制在标准规定范围之内。</w:t>
      </w:r>
      <w:r/>
    </w:p>
    <w:p>
      <w:pPr>
        <w:ind w:left="0" w:right="0" w:firstLine="723"/>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注：以上质量标准如有新的国家或行业标准出台，则以最新标准执行。</w:t>
      </w:r>
      <w:r/>
    </w:p>
    <w:p>
      <w:pPr>
        <w:ind w:left="0" w:right="0" w:firstLine="7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2.2配送</w:t>
      </w:r>
      <w:r>
        <w:rPr>
          <w:rFonts w:ascii="SimSun" w:hAnsi="SimSun" w:eastAsia="SimSun" w:cs="SimSun"/>
          <w:b/>
          <w:color w:val="000000"/>
          <w:sz w:val="24"/>
        </w:rPr>
        <w:t xml:space="preserve">★</w:t>
      </w:r>
      <w:r/>
    </w:p>
    <w:p>
      <w:pPr>
        <w:ind w:left="0" w:right="0" w:firstLine="7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食用油、调味品、南北干货、大米按照采购人通知送货；其它食材采购人每周五确定下一周配送单，每天送货一次，具体根据采购人需求。所有商品均须送至采购人指定地点。如有临时追加的需求以采购人要求为准。</w:t>
      </w:r>
      <w:r/>
    </w:p>
    <w:p>
      <w:pPr>
        <w:ind w:left="0" w:right="0" w:firstLine="7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配送公司供应的食材必须符合《中华人民共和国食品安全法》标准；每日的配送清单须是打印稿，并仔细核对采购清单，确保采购人食堂所需的食品原材料品种、品牌、规格、数量、质量等准确无误，并在规定时间内及时送达；配送公司向采购人提供商品的品牌、规格必须与合同规定一致，严禁擅自更换商品品牌、规格，如发现食材卫生质量问题或者以次充好，配送公司应无条件退货或换货，并根据合同规定进行处理。</w:t>
      </w:r>
      <w:r/>
    </w:p>
    <w:p>
      <w:pPr>
        <w:ind w:left="0" w:right="0" w:firstLine="7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配送公司严禁提供以下食品：（1）无品名、产地、厂名、生产日期、保质期及中文标识及原料说明的定型包装食品（除蔬菜、鲜活水产等非定型包装食品）；（2）超过保质期限或不符合食品标签规定的定型包装食品；（3）腐败变质、油脂酸败、霉变、生虫、污秽不洁、混有异物或者其它感官性状异常，含有毒、有害物质或者被有毒、有害物质污染，可能对人体健康有害的食品；（4）病死、死因不明或从疫区采购的水产品、畜、禽及其制品，不合格调味品，工业用盐，非碘盐或非食品原料和滥用食品添加剂，农药残留超标的蔬菜等；（5）其它不符合食品卫</w:t>
      </w:r>
      <w:r>
        <w:rPr>
          <w:rFonts w:ascii="SimSun" w:hAnsi="SimSun" w:eastAsia="SimSun" w:cs="SimSun"/>
          <w:color w:val="000000"/>
          <w:sz w:val="24"/>
        </w:rPr>
        <w:t xml:space="preserve">生标准和要求的食品。</w:t>
      </w:r>
      <w:r/>
    </w:p>
    <w:p>
      <w:pPr>
        <w:ind w:left="0" w:right="0" w:firstLine="7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2.2.4配送的食材需根据采购人的要求提供具有检测资质的第三方检测机构出具的检测报告、食材检验合格证等合格证明材料。</w:t>
      </w:r>
      <w:r/>
    </w:p>
    <w:p>
      <w:pPr>
        <w:ind w:left="0" w:right="0" w:firstLine="7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2.2.5配送公司至少应提供【1】辆必须带有冷藏或冷冻功能的厢式货车用于本项目配送服务。</w:t>
      </w:r>
      <w:r>
        <w:rPr>
          <w:rFonts w:ascii="SimSun" w:hAnsi="SimSun" w:eastAsia="SimSun" w:cs="SimSun"/>
          <w:b/>
          <w:color w:val="000000"/>
          <w:sz w:val="24"/>
        </w:rPr>
        <w:t xml:space="preserve">（</w:t>
      </w:r>
      <w:r>
        <w:rPr>
          <w:rFonts w:ascii="KaiTi" w:hAnsi="KaiTi" w:eastAsia="KaiTi" w:cs="KaiTi"/>
          <w:b/>
          <w:color w:val="000000"/>
          <w:sz w:val="24"/>
        </w:rPr>
        <w:t xml:space="preserve">投标文件中须提供相关证明材料，否则作为未实质性响应</w:t>
      </w:r>
      <w:r>
        <w:rPr>
          <w:rFonts w:ascii="SimSun" w:hAnsi="SimSun" w:eastAsia="SimSun" w:cs="SimSun"/>
          <w:b/>
          <w:color w:val="000000"/>
          <w:sz w:val="24"/>
        </w:rPr>
        <w:t xml:space="preserve">）</w:t>
      </w:r>
      <w:r>
        <w:rPr>
          <w:rFonts w:ascii="KaiTi" w:hAnsi="KaiTi" w:eastAsia="KaiTi" w:cs="KaiTi"/>
          <w:b/>
          <w:color w:val="000000"/>
          <w:sz w:val="24"/>
        </w:rPr>
        <w:t xml:space="preserve">。</w:t>
      </w:r>
      <w:r/>
    </w:p>
    <w:p>
      <w:pPr>
        <w:ind w:left="0" w:right="0" w:firstLine="7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2.2.6配送公司所投入的所有冷藏或冷冻功能的厢式货车车辆在签订合同前必须装有定位系统，车厢内安装视频监控设备。</w:t>
      </w:r>
      <w:r/>
    </w:p>
    <w:p>
      <w:pPr>
        <w:ind w:left="0" w:right="0" w:firstLine="562"/>
        <w:spacing w:before="156"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（四）团队人员要求：</w:t>
      </w:r>
      <w:r/>
    </w:p>
    <w:p>
      <w:pPr>
        <w:ind w:left="0" w:right="0" w:firstLine="560"/>
        <w:spacing w:before="156"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1.供应商应成立食堂配送项目专项服务小组不少于【8】人，确定固定的项目负责人，负责相关工作及提供各种服务。</w:t>
      </w:r>
      <w:r/>
    </w:p>
    <w:p>
      <w:pPr>
        <w:ind w:left="0" w:right="0" w:firstLine="560"/>
        <w:spacing w:before="156"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2.本项目所配备的人员须凭健康证上岗（需要在投标文件中提供承诺函，格式自拟）。</w:t>
      </w:r>
      <w:r/>
    </w:p>
    <w:p>
      <w:pPr>
        <w:ind w:left="0" w:right="0" w:firstLine="562"/>
        <w:spacing w:before="156"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（五）其他要求</w:t>
      </w:r>
      <w:r>
        <w:rPr>
          <w:rFonts w:ascii="SimSun" w:hAnsi="SimSun" w:eastAsia="SimSun" w:cs="SimSun"/>
          <w:color w:val="000000"/>
          <w:sz w:val="24"/>
        </w:rPr>
        <w:t xml:space="preserve">：</w:t>
      </w:r>
      <w:r/>
    </w:p>
    <w:p>
      <w:pPr>
        <w:ind w:left="0" w:right="0" w:firstLine="560"/>
        <w:spacing w:before="156"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1其他要求★</w:t>
      </w:r>
      <w:r/>
    </w:p>
    <w:p>
      <w:pPr>
        <w:ind w:left="0" w:right="0" w:firstLine="560"/>
        <w:spacing w:before="156"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1.1原材料验收由采购人（甲方）、供应方（乙方）、食堂使用方，三方现场检验，对供应产品的质量无异议数量准确无误后，三方签字，各自留存。</w:t>
      </w:r>
      <w:r/>
    </w:p>
    <w:p>
      <w:pPr>
        <w:ind w:left="0" w:right="0" w:firstLine="560"/>
        <w:spacing w:before="156"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本次食堂采购验收流程分为日常验收、阶段（月度）验收、最终验收三档。</w:t>
      </w:r>
      <w:r/>
    </w:p>
    <w:p>
      <w:pPr>
        <w:ind w:left="0" w:right="0" w:firstLine="560"/>
        <w:spacing w:before="156"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（1）日常验收内容为对每日配送的食材进行检验检查，对存在问题的食材或配送流程进行处理并形成纸质台账记录在案；</w:t>
      </w:r>
      <w:r/>
    </w:p>
    <w:p>
      <w:pPr>
        <w:ind w:left="0" w:right="0" w:firstLine="560"/>
        <w:spacing w:before="156"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（2）阶段（月度）验收内容为对日常验收的相关台账资料进行检查，对配送服务进行月度打分，打分结果关系到月度付款金额比例；</w:t>
      </w:r>
      <w:r/>
    </w:p>
    <w:p>
      <w:pPr>
        <w:ind w:left="0" w:right="0" w:firstLine="560"/>
        <w:spacing w:before="156"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（3）最终验收内容为对整个项目周期的所有验收资料台账及付款结果进行核验。</w:t>
      </w:r>
      <w:r/>
    </w:p>
    <w:p>
      <w:pPr>
        <w:ind w:left="0" w:right="0" w:firstLine="560"/>
        <w:spacing w:before="156"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验收标准参考“</w:t>
      </w:r>
      <w:r>
        <w:rPr>
          <w:rFonts w:ascii="SimSun" w:hAnsi="SimSun" w:eastAsia="SimSun" w:cs="SimSun"/>
          <w:b/>
          <w:color w:val="000000"/>
          <w:sz w:val="24"/>
        </w:rPr>
        <w:t xml:space="preserve">（三）配送质量要求</w:t>
      </w:r>
      <w:r>
        <w:rPr>
          <w:rFonts w:ascii="SimSun" w:hAnsi="SimSun" w:eastAsia="SimSun" w:cs="SimSun"/>
          <w:color w:val="000000"/>
          <w:sz w:val="24"/>
        </w:rPr>
        <w:t xml:space="preserve">”中的标准。</w:t>
      </w:r>
      <w:r/>
    </w:p>
    <w:p>
      <w:pPr>
        <w:ind w:left="0" w:right="0" w:firstLine="560"/>
        <w:spacing w:before="156"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2.食品留样：留样食材的种类和数量。每天配送的食材必须留样，每个品种的留样量不少于100克。</w:t>
      </w:r>
      <w:r/>
    </w:p>
    <w:p>
      <w:pPr>
        <w:ind w:left="0" w:right="0" w:firstLine="560"/>
        <w:spacing w:before="156"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2.1留样程序。留样食材应按品种分别盛放于清洗消毒后的密闭专用容器内。在食材接收后第一时间进行留样操作。留样食材应立即存放在专用冷藏箱中，在0°C至5°C的条件下冷藏保存至少48小时以上。</w:t>
      </w:r>
      <w:r/>
    </w:p>
    <w:p>
      <w:pPr>
        <w:ind w:left="0" w:right="0" w:firstLine="560"/>
        <w:spacing w:before="156"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2.2留样人员的责任。留样的采集和保管必须有专人负责，无关人员不得擅自操作或挪动留样食材。</w:t>
      </w:r>
      <w:r/>
    </w:p>
    <w:p>
      <w:pPr>
        <w:ind w:left="0" w:right="0" w:firstLine="560"/>
        <w:spacing w:before="156"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2.3记录和保存。每次留样都必须详细记录，包括食材样源、食材名称、留样时间、留样人的信息等，以备检查。留样记录本的保存期限不少于十二个月。</w:t>
      </w:r>
      <w:r/>
    </w:p>
    <w:p>
      <w:pPr>
        <w:ind w:left="0" w:right="0" w:firstLine="560"/>
        <w:spacing w:before="156"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2.4设施要求。食材留样柜必须保持全天24小时正常启用，且柜内不得存放其他生、熟食品以防交叉污染。食材留样冰箱为专用设备，严禁存放与留样食材无关的物品。</w:t>
      </w:r>
      <w:r/>
    </w:p>
    <w:p>
      <w:pPr>
        <w:numPr>
          <w:ilvl w:val="0"/>
          <w:numId w:val="18"/>
        </w:numPr>
        <w:spacing w:before="156"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应急配送的在收到通知后【0.5】小时内响应，【 1 】小时内完成或提出解决方案。</w:t>
      </w:r>
      <w:r/>
    </w:p>
    <w:p>
      <w:pPr>
        <w:ind w:left="0" w:right="0" w:firstLine="0"/>
        <w:spacing w:before="156"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4.采购方提前向供应商发送每日采购清单，采取邮件发送或微信联系等方式告知清单，供应商必须仔细核对采购清单，确保所需的食品原材料品种、规格、品牌、数量、质量等准确无误，并按投标文件内响应的时间及时送达。供应商向采购方提供商品的品牌、规格必须与合同规定一致，严禁擅自更换商品品牌、规格。</w:t>
      </w:r>
      <w:r/>
    </w:p>
    <w:p>
      <w:pPr>
        <w:ind w:left="0" w:right="0" w:firstLine="0"/>
        <w:spacing w:before="156"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5.配送车辆符合国家食品运输相关规定。</w:t>
      </w:r>
      <w:r/>
    </w:p>
    <w:p>
      <w:pPr>
        <w:ind w:left="0" w:right="0" w:firstLine="562"/>
        <w:spacing w:before="156"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（六）考核要求：</w:t>
      </w:r>
      <w:r/>
    </w:p>
    <w:p>
      <w:pPr>
        <w:ind w:left="0" w:right="0" w:firstLine="47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根据《食材配送情况考核表》（附件）考评打分结果计算出月度考核评分。当月度得分 【95】分（含）以上的，当月的费用按实际配送食材金额全额向乙方支付；当月度得分 【95】分（不含）—【85】分（含），支付当月费用时在合同金额中从【95】分起计，按每扣【1】 分扣除当月费用3000元后支付；当月度得分检查结果为 【85】分（不含）以下，则扣除当月费用的 50%。若月度考核评定低于【95】分，则乙方须就服务工作方面的问题向采购人提供整改报告。</w:t>
      </w:r>
      <w:r/>
    </w:p>
    <w:p>
      <w:pPr>
        <w:ind w:left="0" w:right="0" w:firstLine="476"/>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附件：</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89"/>
        <w:gridCol w:w="931"/>
        <w:gridCol w:w="4080"/>
        <w:gridCol w:w="838"/>
        <w:gridCol w:w="1916"/>
      </w:tblGrid>
      <w:tr>
        <w:trPr>
          <w:trHeight w:val="68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食材配送情况考核表</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考核指标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考核要素、评估内容及其标准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具体扣分情况</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一、送货时间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80" w:type="dxa"/>
            <w:vAlign w:val="center"/>
            <w:textDirection w:val="lrTb"/>
            <w:noWrap w:val="false"/>
          </w:tcPr>
          <w:p>
            <w:pPr>
              <w:numPr>
                <w:ilvl w:val="0"/>
                <w:numId w:val="19"/>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能够按照合同约定时间准时送达的，得10分；</w:t>
            </w:r>
            <w:r/>
          </w:p>
          <w:p>
            <w:pPr>
              <w:numPr>
                <w:ilvl w:val="0"/>
                <w:numId w:val="19"/>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出现意外状况导致未能准时送达，但能主动与采购方及时沟通，未造成影响的,得8分；</w:t>
            </w:r>
            <w:r/>
          </w:p>
          <w:p>
            <w:pPr>
              <w:numPr>
                <w:ilvl w:val="0"/>
                <w:numId w:val="19"/>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出现意外状况导致未能准时送达，对食堂工作造成一定影响的,得4分；</w:t>
            </w:r>
            <w:r/>
          </w:p>
          <w:p>
            <w:pPr>
              <w:numPr>
                <w:ilvl w:val="0"/>
                <w:numId w:val="19"/>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出现意外状况导致未能准时送达，对食堂工作造成严重影响的,得1分；</w:t>
            </w:r>
            <w:r/>
          </w:p>
          <w:p>
            <w:pPr>
              <w:numPr>
                <w:ilvl w:val="0"/>
                <w:numId w:val="19"/>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出现问题后未与采购人沟通或沟通</w:t>
            </w:r>
            <w:r>
              <w:rPr>
                <w:rFonts w:ascii="SimSun" w:hAnsi="SimSun" w:eastAsia="SimSun" w:cs="SimSun"/>
                <w:color w:val="000000"/>
                <w:sz w:val="24"/>
              </w:rPr>
              <w:t xml:space="preserve">不及时,未作出补救措施的不得分。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二、服务态度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80" w:type="dxa"/>
            <w:vAlign w:val="center"/>
            <w:textDirection w:val="lrTb"/>
            <w:noWrap w:val="false"/>
          </w:tcPr>
          <w:p>
            <w:pPr>
              <w:numPr>
                <w:ilvl w:val="0"/>
                <w:numId w:val="20"/>
              </w:numPr>
              <w:spacing w:before="5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工作人员工作认真，服务热情周到，运送搬装文明</w:t>
            </w:r>
            <w:r>
              <w:rPr>
                <w:rFonts w:ascii="SimSun" w:hAnsi="SimSun" w:eastAsia="SimSun" w:cs="SimSun"/>
                <w:color w:val="000000"/>
                <w:spacing w:val="-1"/>
                <w:sz w:val="24"/>
              </w:rPr>
              <w:t xml:space="preserve">得10分；</w:t>
            </w:r>
            <w:r/>
          </w:p>
          <w:p>
            <w:pPr>
              <w:numPr>
                <w:ilvl w:val="0"/>
                <w:numId w:val="20"/>
              </w:numPr>
              <w:spacing w:before="5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工作态度不认真，因搬装等原因造成食物污</w:t>
            </w:r>
            <w:r>
              <w:rPr>
                <w:rFonts w:ascii="SimSun" w:hAnsi="SimSun" w:eastAsia="SimSun" w:cs="SimSun"/>
                <w:color w:val="000000"/>
                <w:sz w:val="24"/>
              </w:rPr>
              <w:t xml:space="preserve">染、破损，发现一次扣5分，扣完为止。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三、品种情况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80" w:type="dxa"/>
            <w:vAlign w:val="center"/>
            <w:textDirection w:val="lrTb"/>
            <w:noWrap w:val="false"/>
          </w:tcPr>
          <w:p>
            <w:pPr>
              <w:numPr>
                <w:ilvl w:val="0"/>
                <w:numId w:val="21"/>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送货无差错，与送货清单保持一致的，得10分；</w:t>
            </w:r>
            <w:r/>
          </w:p>
          <w:p>
            <w:pPr>
              <w:numPr>
                <w:ilvl w:val="0"/>
                <w:numId w:val="21"/>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送货种类与清单不一致，但能够及时与采购方沟通并调换正确货物的，每有一次扣2分，扣完为止；</w:t>
            </w:r>
            <w:r/>
          </w:p>
          <w:p>
            <w:pPr>
              <w:numPr>
                <w:ilvl w:val="0"/>
                <w:numId w:val="21"/>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送货种类与清单不一致，未与采购方沟通或沟通不及时，对食堂工作造成严重影响的，每有一次扣5分，扣完为止。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四、数量情况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80" w:type="dxa"/>
            <w:vAlign w:val="center"/>
            <w:textDirection w:val="lrTb"/>
            <w:noWrap w:val="false"/>
          </w:tcPr>
          <w:p>
            <w:pPr>
              <w:numPr>
                <w:ilvl w:val="0"/>
                <w:numId w:val="22"/>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做到无短斤缺两现象（负偏差在2%以内），严格按照采购清单上约定的数量送货的，得10分；</w:t>
            </w:r>
            <w:r/>
          </w:p>
          <w:p>
            <w:pPr>
              <w:numPr>
                <w:ilvl w:val="0"/>
                <w:numId w:val="22"/>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送货数量与清单不一致，负偏差超过2%的，但能够及时与采购方沟通并补足数量的，每有一次扣2分；</w:t>
            </w:r>
            <w:r/>
          </w:p>
          <w:p>
            <w:pPr>
              <w:numPr>
                <w:ilvl w:val="0"/>
                <w:numId w:val="22"/>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送货数量与清单不一致，偏差超过2%的，未与采购方沟通或沟通不及时，对食堂工作造成严重影响，每有一次扣5分。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五、价格情况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80" w:type="dxa"/>
            <w:vAlign w:val="center"/>
            <w:textDirection w:val="lrTb"/>
            <w:noWrap w:val="false"/>
          </w:tcPr>
          <w:p>
            <w:pPr>
              <w:numPr>
                <w:ilvl w:val="0"/>
                <w:numId w:val="23"/>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价格严格按照合同约定的定价方式制定的，得10分；</w:t>
            </w:r>
            <w:r/>
          </w:p>
          <w:p>
            <w:pPr>
              <w:numPr>
                <w:ilvl w:val="0"/>
                <w:numId w:val="23"/>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价格未按照合同约定的定价方式制定的，发现一次扣5分。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六、食材质量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80" w:type="dxa"/>
            <w:vAlign w:val="center"/>
            <w:textDirection w:val="lrTb"/>
            <w:noWrap w:val="false"/>
          </w:tcPr>
          <w:p>
            <w:pPr>
              <w:ind w:left="11" w:right="0" w:firstLine="0"/>
              <w:spacing w:before="5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所提供的食材质量经过采购方检查后能够正常使用的，得10分；所提供的食材质量经过采购方检查发现有超过1%（按重量）不能够正常使用的，每次扣2分；所提供的食材未经挑选并有腐烂等影响食堂正常使用的，本项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七、送货车辆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80" w:type="dxa"/>
            <w:vAlign w:val="center"/>
            <w:textDirection w:val="lrTb"/>
            <w:noWrap w:val="false"/>
          </w:tcPr>
          <w:p>
            <w:pPr>
              <w:ind w:left="11" w:right="50" w:firstLine="0"/>
              <w:spacing w:before="41"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严格按与采购方约定的车辆类型进行送货的得10分；未与采购方沟通擅自变更送货车辆类型的，发现1次扣5分。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八、联系制度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发生需要更换食材品种、食材价格波动较大、出现意外情况等，能够及时与采购人联系沟通，没有对食堂工作造成不良影响的，得10分；因为没有与采购方及时沟通，对食堂工作造成不良影响，发现一次扣5分</w:t>
            </w: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九、跟踪随访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80" w:type="dxa"/>
            <w:vAlign w:val="center"/>
            <w:textDirection w:val="lrTb"/>
            <w:noWrap w:val="false"/>
          </w:tcPr>
          <w:p>
            <w:pPr>
              <w:ind w:left="11" w:right="49" w:firstLine="0"/>
              <w:spacing w:before="63"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供货商能主动到采购方食堂随访，听取采购方对于食堂供货的意见建议的，能做到每周至少随访1次，一个月不少于4次的，得10分；少随访一次扣2.5分。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十、检测资料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能够按照合同及招标文件约定向采购方提供有关商品的检测资料的，得10分；每发现遗漏1次，扣2分。一个月出现3次及以上，本项不得分。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0"/>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总分：</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（七）综合说明：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1、投标人所提供的相关服务应符合根据国家标准和规范，并遵循招标文件的要求，其服务的质量和标准应达到招标要求，并提供详细的服务说明。如其中某些条款不能完全满足时，应在投标文件中逐条列出。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2、中标人配送的主副食品必须符合国家相关规定的质量指标并可溯源，所供食材保质期不得低于标明的保质期限的1/2。价格必须按照中标优惠率执行并保持相对稳定，不得以增加其它成本为由抬高价格。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3、投标文件内容必须真实、准确、有效，如提供虚假材料或对招标文件所要求说明的情况故意隐瞒或虚报，按《中华人民共和国政府采购法》第七十七条的相关办法处理。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4、采购单位有关部门负责中标单位日常服务工作的监管、协调、考核。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中标单位必须给服务人员按照项目所在地的有关规定支付工资、交纳正常的社会保险（社保可参照投标单位行政区域标准）等，所有配置人员的工资社保待遇不得低于项目所在地目前人均最低工资标准和社保缴费标准，并须按照国家劳动法规定的工作时间安排员工工作。国假日加班工资按劳动法规定执行。如在服务期间，项目所在地人均最低工资标准和社保缴费标准进行调整，则调整部分的费用由中标单位承担。合同履行期间，服务人员与采购单位无任何劳动人事关系，用工事宜由中标单位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6、中标单位在供货过程中，如出现质量问题或保质期不足的情况，采购人有权拒绝接受所提供的物品或食品。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7、凡涉及招标文件的补充说明和修改，均以苏州市政府采购网上的信息为准。</w:t>
      </w:r>
      <w:r/>
    </w:p>
    <w:p>
      <w:pPr>
        <w:ind w:left="0" w:right="0" w:firstLine="562"/>
        <w:spacing w:before="156"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五、采购商务要求</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3"/>
        <w:gridCol w:w="1761"/>
        <w:gridCol w:w="6840"/>
      </w:tblGrid>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指标项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4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指标要求</w:t>
            </w:r>
            <w:r/>
          </w:p>
        </w:tc>
      </w:tr>
      <w:tr>
        <w:trPr>
          <w:trHeight w:val="7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服务期限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40"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本服务自合同签订后次日生效，服务期一年。当结算金额达到标段预算金额或合同履行期限到期，本标段合同自动终止。</w:t>
            </w:r>
            <w:r/>
          </w:p>
        </w:tc>
      </w:tr>
      <w:tr>
        <w:trPr>
          <w:trHeight w:val="6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后续服务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40"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8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包装和运输</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40"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包装</w:t>
            </w:r>
            <w:r>
              <w:rPr>
                <w:rFonts w:ascii="SimSun" w:hAnsi="SimSun" w:eastAsia="SimSun" w:cs="SimSun"/>
                <w:color w:val="000000"/>
                <w:sz w:val="24"/>
              </w:rPr>
              <w:t xml:space="preserve">：1、包装材料应符合食品安装标准，无毒无害，避免污染食品。2、包装要有良好的密封性。3、包装上应表明食品的名称、产地、保质期、生产日期、成分表、储存条件等基本信息。4、根据食材特性选择合适的包装。如易碎的食品要有防撞包装；易腐食品可能需要冷链包装，并且使用保温、保险材料。5、包装的大小应考虑食堂使用量和操作便利性。</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运输</w:t>
            </w:r>
            <w:r>
              <w:rPr>
                <w:rFonts w:ascii="SimSun" w:hAnsi="SimSun" w:eastAsia="SimSun" w:cs="SimSun"/>
                <w:color w:val="000000"/>
                <w:sz w:val="24"/>
              </w:rPr>
              <w:t xml:space="preserve">：1、温度控制。对于易腐食品，要使用冷藏车或配备足够的冷链设备来运输保持合适的低温环境。热食运输则要使用具有保温功能的设备。2、卫生条件。运输车辆和容器必须保持清洁卫生，定期消毒。运输工具不能与有毒有害物品混装。3、食材固定和堆放。要合理堆放食材，避免在运输过程中因碰撞、挤压导致食材损坏。对于液体食材，容器要密封良好并固定，防止泄露。4、运输时间。尽量缩短运输时间，尤其是对于易腐食品，确保食材的新鲜度。</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验收标准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40" w:type="dxa"/>
            <w:vAlign w:val="center"/>
            <w:textDirection w:val="lrTb"/>
            <w:noWrap w:val="false"/>
          </w:tcPr>
          <w:p>
            <w:pPr>
              <w:ind w:left="0" w:right="0" w:firstLine="0"/>
              <w:spacing w:before="156"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参考“（五）其他要求”中的“1.验收要求”</w:t>
            </w:r>
            <w:r/>
          </w:p>
        </w:tc>
      </w:tr>
      <w:tr>
        <w:trPr>
          <w:trHeight w:val="5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付款方式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40" w:type="dxa"/>
            <w:vAlign w:val="center"/>
            <w:textDirection w:val="lrTb"/>
            <w:noWrap w:val="false"/>
          </w:tcPr>
          <w:p>
            <w:pPr>
              <w:ind w:left="0" w:right="0" w:firstLine="0"/>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1、供货基准价格：</w:t>
            </w:r>
            <w:r/>
          </w:p>
          <w:p>
            <w:pPr>
              <w:ind w:left="0" w:right="0" w:firstLine="0"/>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（1）以苏州市发展和改革委员会官方网站价格在线页面公布的每日均价；</w:t>
            </w:r>
            <w:r/>
          </w:p>
          <w:p>
            <w:pPr>
              <w:ind w:left="0" w:right="0" w:firstLine="0"/>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发改委官方网页上没有的品目种类，则由采购单位、食堂使用方、中标单位三方成立询价小组，在确定下一批次配送食材清单之前，通过走访南环桥批发市场或采购单位所在地周边的大型商超、大型农贸市场，对下一批次拟配送食材的价格进行询价。每一类菜品询价来源不得少于3家，取3家的均价作为定价依据。询价单须由询价小组成员共同签字确认，并附在当批次的供货清单中计入台账。</w:t>
            </w:r>
            <w:r/>
          </w:p>
          <w:p>
            <w:pPr>
              <w:ind w:left="0" w:right="0" w:firstLine="0"/>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（3）每批次供货前由甲乙双方根据上述说明确定本项目供货价。最终结算价格按双方确定的供货价乘以（1-优惠率）为准，且最终结算价格不得高于市场零售价。</w:t>
            </w:r>
            <w:r/>
          </w:p>
          <w:p>
            <w:pPr>
              <w:ind w:left="0" w:right="0" w:firstLine="0"/>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费用结算：费用每月结算一次。费用结算=甲乙双方确定供货价×（1-优惠率），所有食材均按实结算，若供应商实际提供的价格低于优惠后价格，则以最低价为准。双方根据合同约定的考核办法进行考核，并约定供应商的服务工作目标。</w:t>
            </w:r>
            <w:r/>
          </w:p>
          <w:p>
            <w:pPr>
              <w:ind w:left="0" w:right="0" w:firstLine="0"/>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3、除上述费用外，采购方无需承担其他费用，因配送产生的人工、包装、运输、装卸、保险、运费、各种税费等均由供应商自行承担。</w:t>
            </w:r>
            <w:r/>
          </w:p>
          <w:p>
            <w:pPr>
              <w:ind w:left="0" w:right="0" w:firstLine="0"/>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4、采购方每次付款前，供应商须向采购方提供以下材料：</w:t>
            </w:r>
            <w:r/>
          </w:p>
          <w:p>
            <w:pPr>
              <w:ind w:left="0" w:right="0" w:firstLine="0"/>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（1）合法有效且符合采购方要求的发票；</w:t>
            </w:r>
            <w:r/>
          </w:p>
          <w:p>
            <w:pPr>
              <w:ind w:left="0" w:right="0" w:firstLine="0"/>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（2）送货凭证。</w:t>
            </w:r>
            <w:r/>
          </w:p>
          <w:p>
            <w:pPr>
              <w:ind w:left="0" w:right="0" w:firstLine="0"/>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若供应商未按约提供上述材料的，采购方有权迟延付款且不承担逾期付款的违约责任。</w:t>
            </w:r>
            <w:r/>
          </w:p>
          <w:p>
            <w:pPr>
              <w:ind w:left="0" w:right="0" w:firstLine="0"/>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5、付款形式：数字人民币或银行转账。</w:t>
            </w:r>
            <w:r/>
          </w:p>
        </w:tc>
      </w:tr>
      <w:tr>
        <w:trPr>
          <w:trHeight w:val="17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40" w:type="dxa"/>
            <w:vAlign w:val="center"/>
            <w:textDirection w:val="lrTb"/>
            <w:noWrap w:val="false"/>
          </w:tcPr>
          <w:p>
            <w:pPr>
              <w:ind w:left="0" w:right="0" w:firstLine="0"/>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（1）是否需要进行现场勘查：</w:t>
            </w:r>
            <w:r/>
          </w:p>
          <w:p>
            <w:pPr>
              <w:ind w:left="0" w:right="0" w:firstLine="0"/>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   ☑否</w:t>
            </w:r>
            <w:r/>
          </w:p>
          <w:p>
            <w:pPr>
              <w:ind w:left="0" w:right="0" w:firstLine="0"/>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勘查时间：。</w:t>
            </w:r>
            <w:r/>
          </w:p>
          <w:p>
            <w:pPr>
              <w:ind w:left="0" w:right="0" w:firstLine="0"/>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勘查地点：。</w:t>
            </w:r>
            <w:r/>
          </w:p>
          <w:p>
            <w:pPr>
              <w:ind w:left="0" w:right="0" w:firstLine="0"/>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p>
            <w:pPr>
              <w:ind w:left="0" w:right="0" w:firstLine="0"/>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p>
            <w:pPr>
              <w:ind w:left="0" w:right="0" w:firstLine="0"/>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（2）是否需要提供样品供评审：□是   ☑否</w:t>
            </w:r>
            <w:r/>
          </w:p>
          <w:p>
            <w:pPr>
              <w:ind w:left="0" w:right="0" w:firstLine="0"/>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样品要求：。</w:t>
            </w:r>
            <w:r/>
          </w:p>
          <w:p>
            <w:pPr>
              <w:ind w:left="0" w:right="0" w:firstLine="0"/>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（3）其他补充事宜：。</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备注：“填写说明”栏目属于提示内容。</w:t>
      </w:r>
      <w:r/>
    </w:p>
    <w:p>
      <w:pPr>
        <w:pStyle w:val="16"/>
        <w:ind w:left="0" w:right="0" w:firstLine="0"/>
        <w:jc w:val="both"/>
        <w:spacing w:before="260" w:after="260" w:line="553" w:lineRule="atLeast"/>
        <w:pBdr>
          <w:top w:val="none" w:color="000000" w:sz="4" w:space="0"/>
          <w:left w:val="none" w:color="000000" w:sz="4" w:space="0"/>
          <w:bottom w:val="none" w:color="000000" w:sz="4" w:space="0"/>
          <w:right w:val="none" w:color="000000" w:sz="4" w:space="0"/>
        </w:pBdr>
      </w:pPr>
      <w:r>
        <w:br w:type="page" w:clear="all"/>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12"/>
        <w:ind w:left="0" w:right="0" w:firstLine="0"/>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u w:val="none"/>
        </w:rPr>
        <w:t xml:space="preserve">第五章</w:t>
      </w:r>
      <w:r>
        <w:rPr>
          <w:rFonts w:ascii="SimSun" w:hAnsi="SimSun" w:eastAsia="SimSun" w:cs="SimSun"/>
          <w:b/>
          <w:color w:val="000000"/>
          <w:sz w:val="44"/>
        </w:rPr>
        <w:t xml:space="preserve"> 合同主要条款</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合同的主要条款</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政府采购合同</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项目名称： 2024年度警校食堂食材配送服务 - 标段【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项目编号：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甲方：苏州市公安局</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地址：苏州市相城区人民路3998号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w:t>
      </w:r>
      <w:r>
        <w:rPr>
          <w:rFonts w:ascii="SimSun" w:hAnsi="SimSun" w:eastAsia="SimSun" w:cs="SimSun"/>
          <w:color w:val="000000"/>
          <w:sz w:val="24"/>
          <w:u w:val="single"/>
        </w:rPr>
        <w:t xml:space="preserve">XXXXX</w:t>
      </w:r>
      <w:r>
        <w:rPr>
          <w:rFonts w:ascii="SimSun" w:hAnsi="SimSun" w:eastAsia="SimSun" w:cs="SimSun"/>
          <w:color w:val="000000"/>
          <w:sz w:val="24"/>
        </w:rPr>
        <w:t xml:space="preserve">采购编号</w:t>
      </w:r>
      <w:r>
        <w:rPr>
          <w:rFonts w:ascii="SimSun" w:hAnsi="SimSun" w:eastAsia="SimSun" w:cs="SimSun"/>
          <w:color w:val="000000"/>
          <w:sz w:val="24"/>
          <w:u w:val="single"/>
        </w:rPr>
        <w:t xml:space="preserve"> XXXXXX</w:t>
      </w:r>
      <w:r>
        <w:rPr>
          <w:rFonts w:ascii="SimSun" w:hAnsi="SimSun" w:eastAsia="SimSun" w:cs="SimSun"/>
          <w:color w:val="000000"/>
          <w:sz w:val="24"/>
        </w:rPr>
        <w:t xml:space="preserve">号招标文件及乙方的投标文件和中标通知书，甲乙双方就此次中标的</w:t>
      </w:r>
      <w:r>
        <w:rPr>
          <w:rFonts w:ascii="SimSun" w:hAnsi="SimSun" w:eastAsia="SimSun" w:cs="SimSun"/>
          <w:color w:val="000000"/>
          <w:sz w:val="24"/>
          <w:u w:val="single"/>
        </w:rPr>
        <w:t xml:space="preserve">               </w:t>
      </w:r>
      <w:r>
        <w:rPr>
          <w:rFonts w:ascii="SimSun" w:hAnsi="SimSun" w:eastAsia="SimSun" w:cs="SimSun"/>
          <w:color w:val="000000"/>
          <w:sz w:val="24"/>
        </w:rPr>
        <w:t xml:space="preserve">项目的采购事宜，签订本合同书。</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一、合同内容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1、配送内容：</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2、配送地址：甲方指定地点。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3、下列文件为本合同不可分割部分，并构成一个整体，需综合解释、相互补充。如果下列文件内容出现不一致的情形，在保证按照采购文件确定的事项的前提下，组成本合同的多个文件的优先适用顺序如下：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（1）本合同书及本合同书签署后各方以书面形式确认的补充协议等；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（2）中标通知书；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（3）招标文件及其附件；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（4）乙方的投标文件；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（5）乙方在招投标过程中所作的其它承诺、声明、书面澄清等。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4、服务期限：本服务自合同签订后次日生效，服务期一年。当结算金额达到预算金额或合同履行期限到期，本合同自动终止。</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二、价格及结算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1、本标段投标优惠率</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2、供货基准价格：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（1）以苏州市发展和改革委员会官方网站价格在线页面公布的每日均价；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发改委官方网页上没有的品目种类，则由甲方、食堂使用方、乙方三方成立询价小组，在确定下一批次配送食材清单之前，通过走访南环桥批发市场或甲方所在地周边的大型商超、大型农贸市场，对下一批次拟配送食材的价格进行询价。每一类菜品询价来源不得少于3家，取3家的均价作为定价依据。询价单须由询价小组成员共同签字确认，并附在当批次的供货清单中计入台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（3）每批次供货前由甲乙双方根据上述说明确定本项目供货价。最终结算价格按双方确定的供货价乘以（1-优惠率）为准，且最终结算价格不得高于市场零售价。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费用结算：费用每月结算一次。费用结算=甲乙双方确定供货价×（1-优惠率），所有食材均按实结算，若供应商实际提供的价格低于优惠后价格，则以最低价为准。双方根据合同约定的考核办法进行考核，详见招标文件“（六）考核要求”，并约定乙方的服务工作目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4、除上述费用外，甲方无需承担其他费用，因配送产生的人工、包装、运输、装卸、保险、运费、各种税费等均由乙方自行承担。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5、甲方每次付款前，乙方须向甲方提供以下材料：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（1）合法有效且符合甲方要求的发票；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（2）送货凭证。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若乙方未按约提供上述材料的，甲方有权迟延付款且不承担逾期付款的违约责任。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6、付款形式：数字人民币或银行转账。乙方账户信息如下：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账户名：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账户名：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数字人民币账号（数币钱包ID）：</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未经双方书面协商一致，乙方不得擅自变更收款账户信息，也不得转让债权；未经甲方书面同意的债权转让对甲方不发生法律效力，甲方仍有权按照合同约定账户支付费用。若乙方将对甲方的债权擅自转让给第三人，则乙方同意向甲方承担转让的债权金额10 %的违约金，同时甲方有权单方面解除本合同。第三人因债权转让起诉的，甲方因此次诉讼而产生的案件诉讼费、第三人主张的违约金、利息损失、律师费、保全费、保函费、鉴定费等均由乙方承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三、甲乙双方权利、义务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所供食品，必须符合国家食品法规定的食品标准，并符合本合同及招标文件要求，如出现食品卫生质量问题而引起的损失，由乙方全部赔偿并无条件退货或换货，造成严重后果的，按国家相关法律规定处理。凡发生一次因卫生质量问题而退货或换货，乙方向甲方赔偿损失货物价两倍的违约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2、乙方必须持有食品经营许可证、营业执照以及其他相关证照，且经营状况良好。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3、乙方在供货时不得提供以下食品：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(1)无品名、产地、厂名、生产日期、保质期与中文标识及原料说明的定型包装食品。如无包装之类的早点，由甲方负责质量把关，但甲方不对食品质量问题承担任何责任。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(2)超过保质期限、保质期不足1/2时间的、不符合食品标签规定的定型包装食品。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(3)腐败变质、油脂酸败、霉变、生虫、污秽不洁、混有异物或者其他感官性状异常，含毒、有害物质污染，可能对人体健康有害的食品。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(4)病死或者死因不明的水产品、畜、禽及其制品、劣质食用油、不合格调味品、工业用盐、非碘盐或非食品原料和滥用食品添加剂、农药残留超标的蔬菜等。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必须根据甲方提出的食品、品牌、规格、数量和质量要求送货，并在甲方规定的时间内及时送达甲方指定地点。如商品缺货，乙方应立即告知甲方，并根据甲方要求予以调整。乙方不按规定时间及地点送达的，将罚款【2000】元/次，并承担违约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5、乙方提供的商品价格包括应由乙方承担的税金、运输费用等全部费用，甲方按本合同约定费用结算货款后不再支付任何其他费用。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6、因乙方所供应食品的质量问题引起甲方员工食物中毒等食源性疾病的发生或其他事故由乙方负全部责任，并承担由此引起的全部经济损失及相应的法律责任。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7、甲方应在乙方完成送货且经阶段（月度）验收合格后次月内向乙方付清前一个月发生的货款，不得拖欠。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8、甲方建立食品索证制度及食品验收制度，向乙方索取食品的检验合格证或者检验报告，并进行验收。做好索证登记工作，加强食品库房管理。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9、若甲方有特殊情况需临时要求供货，乙方须按照投标文件中承诺的应急预案执行，并在甲方规定的合理时间内送货至甲方指定地点。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10、如乙方出现重大责任事故，甲方有权取消其配送资格并解除本合同，乙方不得继续为甲方提供所有物资的配送。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11、因为甲方拒收，导致乙方逾期送货造成的后果由乙方自行承担。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12、甲、乙双方均自觉遵守国家有关法律、法规。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13、如有未尽事宜，则由甲方、乙方另行协商决定。</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四、配送频率要求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1、每天送货【 】次，应急配送的在收到通知后【 】小时内响应，【 】小时内完成或提出解决方案。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方提前向乙方发送每日采购清单，采取邮件发送或微信联系等方式告知清单，乙方必须仔细核对采购清单，确保所需的食品原材料品种、规格、品牌、数量、质量等准确无误，并按上述约定响应时间及时送达。乙方向甲方提供商品的品牌、规格必须与甲方告知的采购清单内容一致，严禁擅自更换商品品牌、规格。</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3、配送车辆符合国家食品运输相关规定。</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五、验收标准及要求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1、验收标准：按照招标文件及国家标准执行。原材料验收由甲方、乙方、食堂使用方，三方现场检验，对供应产品的质量无异议数量准确无误后，三方签字，各自留存。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本次食堂采购验收流程分为日常验收、阶段（月度）验收、最终验收三档。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（1）日常验收内容为对每日配送的食材进行检验检查，对存在问题的食材或配送流程进行处理并形成纸质台账记录在案；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（2）阶段（月度）验收内容为对日常验收的相关台账资料进行检查，对配送服务进行月度打分，打分结果关系到月度付款金额比例，具体考核办法详见附件；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（3）最终验收内容为对整个项目周期的所有验收资料台账及付款结果进行核验。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验收标准参考采购文件第四章采购需求中“（三）配送质量要求”质量标准。。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2、数量方面要求：保证配送品种斤两的准确性，以甲方的验货数量为准。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3、质量方面要求：在供货期间，若甲方对乙方所供货物质量产生异议，送质量检测部门检验。如检验不合格，检验费用由乙方承担，并接受甲方处罚。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在合同期内应切实做到：保质保量准时送货。凡所供货物的质量、品种、数量与要求不符时，甲方有权拒收，乙方配合补齐或调换符合要求的货物，因此造成的逾期责任按本合同第六条第2.2款条履行违约责任，并由乙方承担由此造成的经济损失。</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5、留样要求：留样食材的种类和数量。每天配送的食材必须留样，每个品种的留样量不少于100克。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5.1留样程序：留样食材应按品种分别盛放于清洗消毒后的密闭专用容器内。在食材接收后第一时间进行留样操作。留样食材应立即存放在专用冷藏箱中，在0°C至5°C的条件下冷藏保存至少48小时以上。</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5.2留样人员的责任：留样的采集和保管必须有专人负责，无关人员不得擅自操作或挪动留样食材。</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5.3记录和保存：每次留样都必须详细记录，包括食材样源、食材名称、留样时间、留样人的信息等，以备检查。留样记录本的保存期限不少于十二个月。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5.4设施要求：食材留样柜必须保持全天24小时正常启用，且柜内不得存放其他生、熟食品以防交叉污染。食材留样冰箱为专用设备，严禁存放与留样食材无关的物品。</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1.1在合同生效后，甲方无正当理由解除合同的，应向乙方支付合同总价款5%的违约金，违约金不足以补偿损失的，乙方有权要求甲方补足。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1.2甲方逾期付款的应按照逾期付款金额的每天万分之四支付逾期付款违约金，但甲方因此支付的违约金总额以合同总价款的5%为限。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2.乙方的违约责任：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在合同生效后，乙方无正当理由解除合同的，应向甲方支付合同总价款20%的违约金，违约金不足以补偿损失的，甲方有权要求乙方补足。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2.2乙方未按甲方规定时间及地点配送商品的，每发生一次，应向甲方支付【2000】元的违约金，违约金不足以补偿损失的，甲方有权要求乙方补足。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乙方承诺其提供的产品均为合格产品，并符合国家或企业质量标准，不存在以次充好、以假充真等情形，如因此给第三人造成财产、人身损害的，乙方应承担全部赔偿责任。同时，乙方应向甲方支付本合同总价款20%的违约金，并赔偿因此给甲方造成的损失。</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 合同履行期间，乙方存在违背投标文件约定或承诺函所承诺的内容，必须立即整改。如拒不整改的或3日内整改不到位的，甲方有权终止合同，并要求乙方支付本合同总价款【20】%的违约金，违约金不足以补偿损失的甲方有权要求乙方补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除本合同另有约定以外，若乙方违反本合同约定，且经甲方催告后3日内仍未改正的或该违约情形无法改正的，甲方有权要求乙方立即向甲方支付合同总价款10%的违约金，违约金不足以补偿损失的甲方有权要求乙方补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2.6乙方将本合同内容转包或分包给第三方的，甲方有权解除本合同，乙方应向甲方支付本合同总价款20%的违约金，违约金不足以补偿损失的甲方有权要求乙方补足。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2.7乙方应执行国家有关规定（如苏州最低工资标准和其他规定），负责乙方员工的生病、事故、伤残、死亡和劳务纠纷，甲方不承担任何相关责任。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2.8乙方负有对自己员工的安全责任，甲方不承担任何相关责任。</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七、不可抗力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一方因不可抗力不能履行合同的，根据不可抗力的影响，部分或者全部免除责任。但合同一方迟延履行后发生不可抗力的，不能免除责任。因乙方或甲方先延误或不能履行合同而后对方遇不可抗力的情形除外。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2.本条所述的“不可抗力”系指那些双方无法控制，不可预见的事件，但不包括双方的违约或疏忽。这些事件包括但不限于：战争、严重火灾、洪水、台风、地震以及其它双方商定的事件。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不可抗力事件发生后，当事方应在3日内以书面形式将不可抗力的情况和原因通知对方，并在发出上述通知后7日内提供书面证明。双方应尽实际可能继续履行合同义务，并积极寻求采取合理的方案履行不受不可抗力影响的其他事项。双方应通过友好协商在合理的时间内达成进一步履行合同的协议。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八、争端的解决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1.甲方和乙方应通过友好协商，解决在执行本合同过程中所发生的或与本合同有关的一切争端。如从协商开始十天内仍不能解决，任何一方均有权向人民法院提起诉讼。诉讼由甲方所在地人民法院管辖。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2.乙方违反本合同规定或乙方追究甲方违约但不成立而产生纠纷的，甲方为处理此纠纷产生的费用由乙方承担，该费用包括但不限于保全费、诉讼费、执行费、鉴定费、律师费、差旅费等。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3.因合同部分履行引发诉讼的，在诉讼期间，除正在进行诉讼的部分外，本合同的其它部分应继续执行。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九、合同的解除和转让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1.除《政府采购法》第49条、第50条第二款规定的情形及本合同约定的情形外，本合同签订后，甲乙双方不得擅自变更、解除或终止本合同。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2.有下列情形之一，合同一方可以解除合同：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①因不可抗力致使不能实现合同目的，未受不可抗力影响的一方有权解除合同；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②因合同一方违约导致合同不能履行，另一方有权解除合同。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3.有权解除合同的一方，应当在违约事实或不可抗力发生之后三十天内书面通知对方，合同在书面通知到达对方时解除。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如乙方出现违约行为，且甲方依据约定解除本合同的部分或全部内容的，甲方有权依其认为适当的条件和方法向第三方采购本合同服务，乙方应承担甲方因此产生的额外费用。同时，乙方应继续履行合同中未终止的部分。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如乙方出现破产或其他丧失履行合同的能力，甲方有权在任何时候以书面形式通知乙方终止合同并追究乙方违约责任，要求乙方返还合同款。该终止合同将不损害或影响甲方已经采取或将要采取任何补救措施的权利。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6.发生以下情形之一的，甲方可立即终止乙方的配送工作，并有权终止合同或取消其供应资格，由此造成的全部经济损失和法律责任均由乙方承担：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（1）原材料问题引起的就餐人员食物中毒等食源性疾病的发生，；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（2）被政府监管部门查到故意向食堂销售假冒伪劣商品；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（3）将本合同配送工作分包或转包给他人或其他单位；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（4）连续2个月考核在85分（含）以下的。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甲方根据本合同约定有权解除合同的，解除合同的通知自送达本合同首部填写的乙方地址后生效；若乙方拒绝签收或显示查无此人而导致解除合同的通知未能被乙方实际签收的，解除合同的通知自退回之日视为送达。</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十、合同生效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1.双方签约人为各自法定代表人或被授权代表人。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2.本合同系指本文件及其附件中的所有部分，招标文件、乙方的投标文件、中标通知书、乙方在采购过程中的澄清和承诺等为本合同不可缺少的组成部分。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3.本合同自甲乙双方签字盖章之日起生效。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4.本合同一式</w:t>
      </w:r>
      <w:r>
        <w:rPr>
          <w:rFonts w:ascii="SimSun" w:hAnsi="SimSun" w:eastAsia="SimSun" w:cs="SimSun"/>
          <w:color w:val="000000"/>
          <w:sz w:val="24"/>
          <w:u w:val="single"/>
        </w:rPr>
        <w:t xml:space="preserve">伍</w:t>
      </w:r>
      <w:r>
        <w:rPr>
          <w:rFonts w:ascii="SimSun" w:hAnsi="SimSun" w:eastAsia="SimSun" w:cs="SimSun"/>
          <w:color w:val="000000"/>
          <w:sz w:val="24"/>
        </w:rPr>
        <w:t xml:space="preserve">份，甲方叁份，乙方</w:t>
      </w:r>
      <w:r>
        <w:rPr>
          <w:rFonts w:ascii="SimSun" w:hAnsi="SimSun" w:eastAsia="SimSun" w:cs="SimSun"/>
          <w:color w:val="000000"/>
          <w:sz w:val="24"/>
          <w:u w:val="single"/>
        </w:rPr>
        <w:t xml:space="preserve">壹</w:t>
      </w:r>
      <w:r>
        <w:rPr>
          <w:rFonts w:ascii="SimSun" w:hAnsi="SimSun" w:eastAsia="SimSun" w:cs="SimSun"/>
          <w:color w:val="000000"/>
          <w:sz w:val="24"/>
        </w:rPr>
        <w:t xml:space="preserve">份，采购代理机构</w:t>
      </w:r>
      <w:r>
        <w:rPr>
          <w:rFonts w:ascii="SimSun" w:hAnsi="SimSun" w:eastAsia="SimSun" w:cs="SimSun"/>
          <w:color w:val="000000"/>
          <w:sz w:val="24"/>
          <w:u w:val="single"/>
        </w:rPr>
        <w:t xml:space="preserve">壹</w:t>
      </w:r>
      <w:r>
        <w:rPr>
          <w:rFonts w:ascii="SimSun" w:hAnsi="SimSun" w:eastAsia="SimSun" w:cs="SimSun"/>
          <w:color w:val="000000"/>
          <w:sz w:val="24"/>
        </w:rPr>
        <w:t xml:space="preserve">份， 伍份具有同等法律效力。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5.本合同应按照中华人民共和国的现行法律进行解释。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6.合同修改：除甲乙双方签署书面修改、补充协议，并成为本合同不可分割的一部分之外，本合同条件不得有任何变化或修改。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7.本合同首部载明的地址为甲乙双方认可的相关文件、法律文书送达地址，任何一方如更换地址的，应于更换后3日内书面通知另一方，未通知的一方自行承担法院送达不能等不利后果。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（以下无正文）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甲方（公章）：乙方（公章）：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                 法定代表人或授权代表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（签字或盖章）：                     （签字或盖章）：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签约日期：签约日期：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6"/>
          <w:u w:val="none"/>
        </w:rPr>
        <w:t xml:space="preserve"> </w:t>
      </w:r>
      <w:r/>
    </w:p>
    <w:p>
      <w:pPr>
        <w:ind w:left="0" w:right="0" w:firstLine="57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6"/>
        </w:rPr>
        <w:t xml:space="preserve"> </w:t>
      </w:r>
      <w:r/>
    </w:p>
    <w:p>
      <w:pPr>
        <w:ind w:left="0" w:right="0" w:firstLine="57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pStyle w:val="12"/>
        <w:numPr>
          <w:ilvl w:val="0"/>
          <w:numId w:val="15"/>
        </w:numPr>
        <w:jc w:val="center"/>
        <w:spacing w:before="0" w:after="0" w:line="1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评标办法及标准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一、评标办法：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1、本次招标评标采用为综合评分法，即指投标文件满足招标文件全部实质性要求，且按照评审因素的量化指标评审得分最高的投标人为中标候选人的评标方法。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2、评标委员会各成员审查每份投标文件是否实质响应了招标文件的要求，非实质性响应的投标文件将被拒绝，也不进行评审。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3、评标委员会各成员独立对每个进入打分程序的有效投标人的标书技术部分以打分的形式进行评审和评价。对评委的评分进行统计汇总时算术平均计算得分（计算结果均四舍五入保留两位小数）。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4、如出现评标总得分最高的投标人有两个或两个以上的，以投标报价较低者优先作为中标候选人或者中标人的评标方法；如果投标报价也相同的，则由评标委员会组织抽签确定中标候选人顺序。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KaiTi" w:hAnsi="KaiTi" w:eastAsia="KaiTi" w:cs="KaiTi"/>
          <w:color w:val="000000"/>
          <w:sz w:val="24"/>
        </w:rPr>
        <w:t xml:space="preserve">、</w:t>
      </w:r>
      <w:r>
        <w:rPr>
          <w:rFonts w:ascii="SimSun" w:hAnsi="SimSun" w:eastAsia="SimSun" w:cs="SimSun"/>
          <w:color w:val="000000"/>
          <w:sz w:val="24"/>
        </w:rPr>
        <w:t xml:space="preserve">针对小微型企业、残疾人福利性单位、监狱企业的评审价格折扣按照招标文件内针对中小型企业的评审、促进残疾人就业和支持监狱企业发展有关政策相关规定执行。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二、评分标准：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(一）价格分：30分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1、本次报价报的是优惠率，不报总价，本项目最高限价为优惠率99.99%，所报优惠率不能高于99.99%；</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价格得分计算方法：根据各投标人通过符合性审查的有效投标优惠中的最高优惠率作为评标基准优惠率，其价格分为满分。例如各投标人的投标优惠分别为20%、25%、30%，以下价格分计算公式内评标基准优惠率为：1-30%，报价分为满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价格得分=（1-最高优惠率评审价）/（1-优惠率评审价）×价格权重；（计算到小数点后二位，四舍五入）。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（二）服务方案</w:t>
      </w:r>
      <w:r>
        <w:rPr>
          <w:rFonts w:ascii="SimSun" w:hAnsi="SimSun" w:eastAsia="SimSun" w:cs="SimSun"/>
          <w:color w:val="000000"/>
          <w:sz w:val="24"/>
        </w:rPr>
        <w:t xml:space="preserve">：40</w:t>
      </w:r>
      <w:r>
        <w:rPr>
          <w:rFonts w:ascii="SimSun" w:hAnsi="SimSun" w:eastAsia="SimSun" w:cs="SimSun"/>
          <w:b/>
          <w:color w:val="000000"/>
          <w:sz w:val="24"/>
        </w:rPr>
        <w:t xml:space="preserve">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1、针对本项目的采购管理方案（7分）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括但不限于食材进货渠道来源、进货采购流程、时间计划、食材仓储管理措施，食材定期抽检措施、购销台账登记等内容。方案科学合理，内容完整，可行性符合项目需求的得7分；方案较为科学合理，内容基本完整，具有一定可行性，能够满足部分项目需求的得4分；方案内容不完整，有明显缺陷，可行性、操作性不足但仍与项目内容相关的得1分；方案内容与项目无关或不提供方案的不得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2、针对本项目的配送方案（7分）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括但不限于配送的车辆、人员、时间，食材的分拣、包装、捆扎、装车、卸货，食材的交付、验收等内容。方案科学合理，内容完整，可行性符合项目需求的得7分；方案较为科学合理，内容基本完整，具有一定可行性，能够满足部分项目需求的得4分；方案内容不完整，有明显缺陷，可行性、操作性不足但仍与项目内容相关的得1分；方案内容与项目无关或不提供方案的不得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3、针对本项目的应急响应预案（7分）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括但不限于临时紧急供货、一般性食品安全事件及突发重大食品安全事故应对处理、运输车辆故障及道路交通安全事故应对处理、特殊天气及不可抗力应对处理、原材料市场缺失应对处理等内容。方案科学合理，内容完整，可行性符合项目需求的得7分；方案较为科学合理，内容基本完整，具有一定可行性，能够满足部分项目需求的得4分；方案内容不完整，有明显缺陷，可行性、操作性不足但仍与项目内容相关的得1分；方案内容与项目无关或不提供方案的不得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4、针对本项目的团队日常对接配合方案（6分）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括但不限于对接团队的人员数量、沟通方式、团队分工等内容。方案科学合理，内容完整，可行性符合项目需求的得6分；方案较为科学合理，内容基本完整，具有一定可行性，能够满足部分项目需求的得4分；方案内容不完整，有明显缺陷，可行性、操作性不足但仍与项目内容相关的得2分；方案内容与项目无关或不提供方案的不得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5、针对本项目的食材卫生保障方案（7分）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括但不限于仓储分拣包装运输全流程环节的卫生管理、配送人员健康保证、配送车辆的消杀清洁、食材检测等内容。方案科学合理，内容完整，可行性符合项目需求的得7分；方案较为科学合理，内容基本完整，具有一定可行性，能够满足部分项目需求的得4分；方案内容不完整，有明显缺陷，可行性、操作性不足但仍与项目内容相关的得1分；方案内容与项目无关或不提供方案的不得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6、针对本项目的市场询价措施方案（6分）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括但不限于针对供货食材的市场询价定价依据，询价团队的人员安排、对应的违约处罚承诺（承诺函格式自拟）。方案科学合理，内容完整，可行性符合项目需求的得6分；方案较为科学合理，内容基本完整，具有一定可行性，能够满足部分项目需求的得4分；方案内容不完整，有明显缺陷，可行性、操作性不足但仍与项目内容相关的得2分；方案内容与项目无关或不提供方案的不得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（三）企业综合实力部分：30分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1.人员资历要求（2分）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投标人拟投入本项目的项目经理具有同类项目1年管理工作经验得1分；2年及以上管理工作经验，得2分。（需提供项目经理工作经验证明材料并加盖投标人公章，未提供不得分。）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2.食品检测（7分）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w:t>
      </w:r>
      <w:r>
        <w:rPr>
          <w:rFonts w:ascii="SimSun" w:hAnsi="SimSun" w:eastAsia="SimSun" w:cs="SimSun"/>
          <w:color w:val="000000"/>
          <w:sz w:val="24"/>
        </w:rPr>
        <w:t xml:space="preserve">投标人自有或租赁或具有合作协议的检测设备或检测室，具备以下 10 项检测能力的：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1、非食用物质检测；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2、污染物质检测；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3、微生物检测；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4、转基因检测；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5、食品添加剂检测；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6、食品接触材料检测；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7、农药残留检测检测；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8、水分检测；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9、兽药残留检测；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10、抗生素检测；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每提供以上一项检测能力证明材料得 0.5 分，相同检测仪器不重复计分，同一个仪器可以检测多项内容的按检测项计分；最高5分。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（1）自有设备须提供设备照片、设备购置发票扫描件，发票内容须体现食品相关的检测设备名称；须加盖投标人公章。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（2）租赁设备须提供设备照片、有效期内的租赁合同、出租方购置设备的发票扫描件，租赁合同和发票内容须体现食品相关的检测设备名称；须加盖投标人公章。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（3）具有合作协议的设备须提供设备照片、有效期内的合作协议、协议方购置设备的发票扫描件，合作协议和发票内容须体现食品相关的检测设备名称；须加盖投标人公章。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（4）未按要求提供的不得分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2.2项目团队成员具有食品检测相关工作经验，有1名得1分，本项最高得2分；（提供相关证明材料扫描件、健康证扫描件及投标单位为其缴纳近一期社保证明）。</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3.管理体系（4分）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具有有效的质量管理体系认证证书、环境管理体系认证证书、职业健康管理体系认证证书、食品安全管理体系认证证书，每提供一个得1分，最高4分。（投标文件中提供证书扫描件及中国国家认证认可监督委员会官网查询截图，否则不得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4.履约合作能力（3分）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2021年1月1日（以合作协议/合同签订时间为准）以来与大型农贸市场/大型商超具有稳定合作关系的，每1个得1分，最高3分（需提供与大型农贸市场的合作协议或者合同扫描件等有效证明材料及任意一期的发票扫描件，并加盖投标人公章，未提供不得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5.供应实力（6分）</w:t>
      </w:r>
      <w:r/>
    </w:p>
    <w:p>
      <w:pPr>
        <w:numPr>
          <w:ilvl w:val="0"/>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具有养殖基地（包括但不限于水产、家禽、家畜等）或种植基地（包括但不限于蔬菜、水果、粮食等）（可以为自有产权或租赁或承包或合作的或承诺中标后【30】日内提供的），每个得2分；</w:t>
      </w:r>
      <w:r/>
    </w:p>
    <w:p>
      <w:pPr>
        <w:numPr>
          <w:ilvl w:val="0"/>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具有常温仓储空间（可以自有产权或租赁或合作或承诺中标后【30】日内提供的），每个得2分；</w:t>
      </w:r>
      <w:r/>
    </w:p>
    <w:p>
      <w:pPr>
        <w:numPr>
          <w:ilvl w:val="0"/>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具有冷藏（保鲜）库或冷冻库（可以自有产权或租赁或合作或承诺中标后【30】日内提供的），每个得2分；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本项最高6分。以上均需提供如下材料，未提供不得分：</w:t>
      </w:r>
      <w:r/>
    </w:p>
    <w:p>
      <w:pPr>
        <w:numPr>
          <w:ilvl w:val="0"/>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如自有基地（养殖或种植基地）或常温仓储空间或冷藏（保鲜）库或冷冻库相关的产权证明扫描件并加盖投标人公章；</w:t>
      </w:r>
      <w:r/>
    </w:p>
    <w:p>
      <w:pPr>
        <w:numPr>
          <w:ilvl w:val="0"/>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如租赁、承包或合作关系的提供相关合同扫描件加盖投标人公章；</w:t>
      </w:r>
      <w:r/>
    </w:p>
    <w:p>
      <w:pPr>
        <w:numPr>
          <w:ilvl w:val="0"/>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如承诺中标后【30】日内提供的，需在投标文件中提供承诺函，格式自拟。</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6.食材来源渠道（3分）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标段二投标人承诺所提供的食材来自可溯源的生产厂商或生产基地的，得3分；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（需在投标文件中提供承诺函，格式自拟，并加盖投标人公章）。</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7.食品责任险（2分）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2021年1月1日（已购买食品安全责任险的以保险单出具时间为准）以来投标单位已购买食品安全责任险的或承诺中标后提供食品安全责任险保额300万以下的得1分，300万（含）以上的得2分。（投标文件中提供有效期内的保险单据扫描件或承诺函。）</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8.类似业绩（3分）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2021年1月1日至今（以合同签订之日为准）具有类似项目业绩的，每提供一份得1分，最高3分。投标文件中提供合同扫描件（合同内容应能体现与本项目类似的工作内容）及任意一期的发票扫描件，未提供或提供不全的项目不得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注：1、投标单位须提供相关证明资料，并以此作为评分依据。</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2、针对评分标准中评分的每一条，投标人在投标文件中均应提供清晰明了的相关资料并做出相应说明供评委评判，不提供相关资料的视为不具备该项得分的条件。                                         </w:t>
      </w:r>
      <w:r/>
    </w:p>
    <w:p>
      <w:pPr>
        <w:ind w:left="482"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（全文完）</w:t>
      </w:r>
      <w:r/>
    </w:p>
    <w:p>
      <w:r/>
      <w:r/>
    </w:p>
    <w:sectPr>
      <w:headerReference w:type="default" r:id="rId9"/>
      <w:headerReference w:type="first" r:id="rId10"/>
      <w:footerReference w:type="default" r:id="rId11"/>
      <w:footerReference w:type="first" r:id="rId12"/>
      <w:footnotePr/>
      <w:endnotePr/>
      <w:type w:val="nextPage"/>
      <w:pgSz w:w="11906" w:h="16838" w:orient="portrait"/>
      <w:pgMar w:top="1077" w:right="1134" w:bottom="1077" w:left="1158" w:header="851" w:footer="992"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KaiTi">
    <w:panose1 w:val="02010609060101010101"/>
  </w:font>
  <w:font w:name="Symbol">
    <w:panose1 w:val="05050102010706020507"/>
  </w:font>
  <w:font w:name="Wingdings">
    <w:panose1 w:val="05000000000000000000"/>
  </w:font>
  <w:font w:name="Tahoma">
    <w:panose1 w:val="020B0604030504040204"/>
  </w:font>
  <w:font w:name="Calibri">
    <w:panose1 w:val="020F0502020204030204"/>
  </w:font>
  <w:font w:name="Courier New">
    <w:panose1 w:val="02070309020205020404"/>
  </w:font>
  <w:font w:name="Cambria">
    <w:panose1 w:val="02040503050406030204"/>
  </w:font>
  <w:font w:name="楷体_GB2312">
    <w:panose1 w:val="02010609060101010101"/>
  </w:font>
  <w:font w:name="Arial Unicode MS">
    <w:panose1 w:val="020B0604020202020204"/>
  </w:font>
  <w:font w:name="Arial">
    <w:panose1 w:val="020B0604020202020204"/>
  </w:font>
  <w:font w:name="SimSun">
    <w:panose1 w:val="02010600030101010101"/>
  </w:font>
  <w:font w:name="serif">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2973070</wp:posOffset>
              </wp:positionH>
              <wp:positionV relativeFrom="paragraph">
                <wp:posOffset>0</wp:posOffset>
              </wp:positionV>
              <wp:extent cx="1000125"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000125" cy="1828800"/>
                      </a:xfrm>
                      <a:prstGeom prst="rect">
                        <a:avLst/>
                      </a:prstGeom>
                      <a:noFill/>
                      <a:ln>
                        <a:noFill/>
                      </a:ln>
                    </wps:spPr>
                    <wps:txbx>
                      <w:txbxContent>
                        <w:p>
                          <w:pPr>
                            <w:pStyle w:val="822"/>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2</w:t>
                          </w:r>
                          <w:r>
                            <w:rPr>
                              <w:rFonts w:hint="eastAsia"/>
                            </w:rPr>
                            <w:fldChar w:fldCharType="end"/>
                          </w:r>
                          <w:r>
                            <w:rPr>
                              <w:rFonts w:hint="eastAsia"/>
                            </w:rPr>
                          </w:r>
                          <w:r/>
                        </w:p>
                        <w:p>
                          <w:pPr>
                            <w:pStyle w:val="791"/>
                          </w:pPr>
                          <w:r/>
                          <w:r/>
                        </w:p>
                      </w:txbxContent>
                    </wps:txbx>
                    <wps:bodyPr wrap="squar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argin-left:234.1pt;mso-position-horizontal:absolute;mso-position-vertical-relative:text;margin-top:0.0pt;mso-position-vertical:absolute;width:78.8pt;height:144.0pt;mso-wrap-distance-left:9.0pt;mso-wrap-distance-top:0.0pt;mso-wrap-distance-right:9.0pt;mso-wrap-distance-bottom:0.0pt;visibility:visible;" filled="f" stroked="f">
              <v:textbox inset="0,0,0,0">
                <w:txbxContent>
                  <w:p>
                    <w:pPr>
                      <w:pStyle w:val="822"/>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2</w:t>
                    </w:r>
                    <w:r>
                      <w:rPr>
                        <w:rFonts w:hint="eastAsia"/>
                      </w:rPr>
                      <w:fldChar w:fldCharType="end"/>
                    </w:r>
                    <w:r>
                      <w:rPr>
                        <w:rFonts w:hint="eastAsia"/>
                      </w:rPr>
                    </w:r>
                    <w:r/>
                  </w:p>
                  <w:p>
                    <w:pPr>
                      <w:pStyle w:val="791"/>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2"/>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rPr>
                              <w:rFonts w:hint="eastAsia"/>
                            </w:rPr>
                          </w:r>
                          <w:r/>
                        </w:p>
                        <w:p>
                          <w:pPr>
                            <w:pStyle w:val="791"/>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2"/>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rPr>
                        <w:rFonts w:hint="eastAsia"/>
                      </w:rPr>
                    </w:r>
                    <w:r/>
                  </w:p>
                  <w:p>
                    <w:pPr>
                      <w:pStyle w:val="79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ind w:right="90"/>
      <w:jc w:val="both"/>
      <w:tabs>
        <w:tab w:val="center" w:pos="4153" w:leader="none"/>
        <w:tab w:val="right" w:pos="8306" w:leader="none"/>
      </w:tabs>
      <w:rPr>
        <w:rFonts w:eastAsia="宋体"/>
        <w:u w:val="single"/>
      </w:rPr>
    </w:pPr>
    <w:r>
      <w:rPr>
        <w:rFonts w:hint="eastAsia" w:eastAsia="宋体"/>
        <w:u w:val="single"/>
      </w:rPr>
      <w:t xml:space="preserve">政府采购公开招标文件                                    </w:t>
    </w:r>
    <w:r>
      <w:rPr>
        <w:rFonts w:hint="eastAsia" w:eastAsia="宋体"/>
        <w:u w:val="single"/>
        <w:lang w:val="en-US" w:eastAsia="zh-CN"/>
      </w:rPr>
      <w:t xml:space="preserve">   </w:t>
    </w:r>
    <w:r>
      <w:rPr>
        <w:rFonts w:hint="eastAsia" w:eastAsia="宋体"/>
        <w:u w:val="single"/>
      </w:rPr>
      <w:t xml:space="preserve">       招标编号：</w:t>
    </w:r>
    <w:r>
      <w:rPr>
        <w:rFonts w:hint="eastAsia" w:eastAsia="宋体"/>
        <w:u w:val="single"/>
        <w:lang w:eastAsia="zh-CN"/>
      </w:rPr>
      <w:t xml:space="preserve">JSZC-320500-SZHQ-G2024-0112</w:t>
    </w:r>
    <w:r>
      <w:rPr>
        <w:rFonts w:hint="eastAsia" w:eastAsia="宋体"/>
        <w:u w:val="single"/>
      </w:rPr>
      <w:t xml:space="preserve">           </w:t>
    </w:r>
    <w:r>
      <w:rPr>
        <w:rFonts w:eastAsia="宋体"/>
        <w:u w:val="singl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ind w:right="90"/>
      <w:jc w:val="both"/>
      <w:tabs>
        <w:tab w:val="center" w:pos="4153" w:leader="none"/>
        <w:tab w:val="right" w:pos="8306" w:leader="none"/>
      </w:tabs>
      <w:rPr>
        <w:rFonts w:eastAsia="宋体"/>
        <w:u w:val="single"/>
      </w:rPr>
    </w:pPr>
    <w:r>
      <w:rPr>
        <w:rFonts w:hint="eastAsia" w:eastAsia="宋体"/>
        <w:u w:val="single"/>
      </w:rPr>
      <w:t xml:space="preserve">政府招标文件                                                    招标编号：</w:t>
    </w:r>
    <w:r>
      <w:rPr>
        <w:rFonts w:hint="eastAsia" w:eastAsia="宋体"/>
        <w:u w:val="single"/>
        <w:lang w:eastAsia="zh-CN"/>
      </w:rPr>
      <w:t xml:space="preserve">JSZC-320500-SZHQ-G2024-0112</w:t>
    </w:r>
    <w:r>
      <w:rPr>
        <w:rFonts w:eastAsia="宋体"/>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pStyle w:val="79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EnclosedCircleChinese"/>
      <w:isLgl w:val="false"/>
      <w:suff w:val="nothing"/>
      <w:lvlText w:val="%1　"/>
      <w:lvlJc w:val="left"/>
      <w:pPr>
        <w:pStyle w:val="791"/>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space"/>
      <w:lvlText w:val="第%1章"/>
      <w:lvlJc w:val="left"/>
      <w:pPr>
        <w:pStyle w:val="79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791"/>
      </w:pPr>
    </w:lvl>
    <w:lvl w:ilvl="1">
      <w:start w:val="1"/>
      <w:numFmt w:val="bullet"/>
      <w:isLgl w:val="false"/>
      <w:suff w:val="tab"/>
      <w:lvlText w:val="o"/>
      <w:lvlJc w:val="left"/>
      <w:pPr>
        <w:pStyle w:val="791"/>
        <w:ind w:left="1440" w:hanging="360"/>
      </w:pPr>
      <w:rPr>
        <w:rFonts w:ascii="Courier New" w:hAnsi="Courier New" w:eastAsia="Courier New" w:cs="Courier New"/>
      </w:rPr>
    </w:lvl>
    <w:lvl w:ilvl="2">
      <w:start w:val="1"/>
      <w:numFmt w:val="bullet"/>
      <w:isLgl w:val="false"/>
      <w:suff w:val="tab"/>
      <w:lvlText w:val="§"/>
      <w:lvlJc w:val="left"/>
      <w:pPr>
        <w:pStyle w:val="791"/>
        <w:ind w:left="2160" w:hanging="360"/>
      </w:pPr>
      <w:rPr>
        <w:rFonts w:ascii="Wingdings" w:hAnsi="Wingdings" w:eastAsia="Wingdings" w:cs="Wingdings"/>
      </w:rPr>
    </w:lvl>
    <w:lvl w:ilvl="3">
      <w:start w:val="1"/>
      <w:numFmt w:val="bullet"/>
      <w:isLgl w:val="false"/>
      <w:suff w:val="tab"/>
      <w:lvlText w:val="·"/>
      <w:lvlJc w:val="left"/>
      <w:pPr>
        <w:pStyle w:val="791"/>
        <w:ind w:left="2880" w:hanging="360"/>
      </w:pPr>
      <w:rPr>
        <w:rFonts w:ascii="Symbol" w:hAnsi="Symbol" w:eastAsia="Symbol" w:cs="Symbol"/>
      </w:rPr>
    </w:lvl>
    <w:lvl w:ilvl="4">
      <w:start w:val="1"/>
      <w:numFmt w:val="bullet"/>
      <w:isLgl w:val="false"/>
      <w:suff w:val="tab"/>
      <w:lvlText w:val="o"/>
      <w:lvlJc w:val="left"/>
      <w:pPr>
        <w:pStyle w:val="791"/>
        <w:ind w:left="3600" w:hanging="360"/>
      </w:pPr>
      <w:rPr>
        <w:rFonts w:ascii="Courier New" w:hAnsi="Courier New" w:eastAsia="Courier New" w:cs="Courier New"/>
      </w:rPr>
    </w:lvl>
    <w:lvl w:ilvl="5">
      <w:start w:val="1"/>
      <w:numFmt w:val="bullet"/>
      <w:isLgl w:val="false"/>
      <w:suff w:val="tab"/>
      <w:lvlText w:val="§"/>
      <w:lvlJc w:val="left"/>
      <w:pPr>
        <w:pStyle w:val="791"/>
        <w:ind w:left="4320" w:hanging="360"/>
      </w:pPr>
      <w:rPr>
        <w:rFonts w:ascii="Wingdings" w:hAnsi="Wingdings" w:eastAsia="Wingdings" w:cs="Wingdings"/>
      </w:rPr>
    </w:lvl>
    <w:lvl w:ilvl="6">
      <w:start w:val="1"/>
      <w:numFmt w:val="bullet"/>
      <w:isLgl w:val="false"/>
      <w:suff w:val="tab"/>
      <w:lvlText w:val="·"/>
      <w:lvlJc w:val="left"/>
      <w:pPr>
        <w:pStyle w:val="791"/>
        <w:ind w:left="5040" w:hanging="360"/>
      </w:pPr>
      <w:rPr>
        <w:rFonts w:ascii="Symbol" w:hAnsi="Symbol" w:eastAsia="Symbol" w:cs="Symbol"/>
      </w:rPr>
    </w:lvl>
    <w:lvl w:ilvl="7">
      <w:start w:val="1"/>
      <w:numFmt w:val="bullet"/>
      <w:isLgl w:val="false"/>
      <w:suff w:val="tab"/>
      <w:lvlText w:val="o"/>
      <w:lvlJc w:val="left"/>
      <w:pPr>
        <w:pStyle w:val="791"/>
        <w:ind w:left="5760" w:hanging="360"/>
      </w:pPr>
      <w:rPr>
        <w:rFonts w:ascii="Courier New" w:hAnsi="Courier New" w:eastAsia="Courier New" w:cs="Courier New"/>
      </w:rPr>
    </w:lvl>
    <w:lvl w:ilvl="8">
      <w:start w:val="1"/>
      <w:numFmt w:val="bullet"/>
      <w:isLgl w:val="false"/>
      <w:suff w:val="tab"/>
      <w:lvlText w:val="§"/>
      <w:lvlJc w:val="left"/>
      <w:pPr>
        <w:pStyle w:val="791"/>
        <w:ind w:left="6480" w:hanging="360"/>
      </w:pPr>
      <w:rPr>
        <w:rFonts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791"/>
      </w:pPr>
    </w:lvl>
    <w:lvl w:ilvl="1">
      <w:start w:val="1"/>
      <w:numFmt w:val="bullet"/>
      <w:isLgl w:val="false"/>
      <w:suff w:val="tab"/>
      <w:lvlText w:val="o"/>
      <w:lvlJc w:val="left"/>
      <w:pPr>
        <w:pStyle w:val="791"/>
        <w:ind w:left="1440" w:hanging="360"/>
      </w:pPr>
      <w:rPr>
        <w:rFonts w:ascii="Courier New" w:hAnsi="Courier New" w:eastAsia="Courier New" w:cs="Courier New"/>
      </w:rPr>
    </w:lvl>
    <w:lvl w:ilvl="2">
      <w:start w:val="1"/>
      <w:numFmt w:val="bullet"/>
      <w:isLgl w:val="false"/>
      <w:suff w:val="tab"/>
      <w:lvlText w:val="§"/>
      <w:lvlJc w:val="left"/>
      <w:pPr>
        <w:pStyle w:val="791"/>
        <w:ind w:left="2160" w:hanging="360"/>
      </w:pPr>
      <w:rPr>
        <w:rFonts w:ascii="Wingdings" w:hAnsi="Wingdings" w:eastAsia="Wingdings" w:cs="Wingdings"/>
      </w:rPr>
    </w:lvl>
    <w:lvl w:ilvl="3">
      <w:start w:val="1"/>
      <w:numFmt w:val="bullet"/>
      <w:isLgl w:val="false"/>
      <w:suff w:val="tab"/>
      <w:lvlText w:val="·"/>
      <w:lvlJc w:val="left"/>
      <w:pPr>
        <w:pStyle w:val="791"/>
        <w:ind w:left="2880" w:hanging="360"/>
      </w:pPr>
      <w:rPr>
        <w:rFonts w:ascii="Symbol" w:hAnsi="Symbol" w:eastAsia="Symbol" w:cs="Symbol"/>
      </w:rPr>
    </w:lvl>
    <w:lvl w:ilvl="4">
      <w:start w:val="1"/>
      <w:numFmt w:val="bullet"/>
      <w:isLgl w:val="false"/>
      <w:suff w:val="tab"/>
      <w:lvlText w:val="o"/>
      <w:lvlJc w:val="left"/>
      <w:pPr>
        <w:pStyle w:val="791"/>
        <w:ind w:left="3600" w:hanging="360"/>
      </w:pPr>
      <w:rPr>
        <w:rFonts w:ascii="Courier New" w:hAnsi="Courier New" w:eastAsia="Courier New" w:cs="Courier New"/>
      </w:rPr>
    </w:lvl>
    <w:lvl w:ilvl="5">
      <w:start w:val="1"/>
      <w:numFmt w:val="bullet"/>
      <w:isLgl w:val="false"/>
      <w:suff w:val="tab"/>
      <w:lvlText w:val="§"/>
      <w:lvlJc w:val="left"/>
      <w:pPr>
        <w:pStyle w:val="791"/>
        <w:ind w:left="4320" w:hanging="360"/>
      </w:pPr>
      <w:rPr>
        <w:rFonts w:ascii="Wingdings" w:hAnsi="Wingdings" w:eastAsia="Wingdings" w:cs="Wingdings"/>
      </w:rPr>
    </w:lvl>
    <w:lvl w:ilvl="6">
      <w:start w:val="1"/>
      <w:numFmt w:val="bullet"/>
      <w:isLgl w:val="false"/>
      <w:suff w:val="tab"/>
      <w:lvlText w:val="·"/>
      <w:lvlJc w:val="left"/>
      <w:pPr>
        <w:pStyle w:val="791"/>
        <w:ind w:left="5040" w:hanging="360"/>
      </w:pPr>
      <w:rPr>
        <w:rFonts w:ascii="Symbol" w:hAnsi="Symbol" w:eastAsia="Symbol" w:cs="Symbol"/>
      </w:rPr>
    </w:lvl>
    <w:lvl w:ilvl="7">
      <w:start w:val="1"/>
      <w:numFmt w:val="bullet"/>
      <w:isLgl w:val="false"/>
      <w:suff w:val="tab"/>
      <w:lvlText w:val="o"/>
      <w:lvlJc w:val="left"/>
      <w:pPr>
        <w:pStyle w:val="791"/>
        <w:ind w:left="5760" w:hanging="360"/>
      </w:pPr>
      <w:rPr>
        <w:rFonts w:ascii="Courier New" w:hAnsi="Courier New" w:eastAsia="Courier New" w:cs="Courier New"/>
      </w:rPr>
    </w:lvl>
    <w:lvl w:ilvl="8">
      <w:start w:val="1"/>
      <w:numFmt w:val="bullet"/>
      <w:isLgl w:val="false"/>
      <w:suff w:val="tab"/>
      <w:lvlText w:val="§"/>
      <w:lvlJc w:val="left"/>
      <w:pPr>
        <w:pStyle w:val="791"/>
        <w:ind w:left="6480" w:hanging="360"/>
      </w:pPr>
      <w:rPr>
        <w:rFonts w:ascii="Wingdings" w:hAnsi="Wingdings" w:eastAsia="Wingdings" w:cs="Wingdings"/>
      </w:rPr>
    </w:lvl>
  </w:abstractNum>
  <w:abstractNum w:abstractNumId="5">
    <w:multiLevelType w:val="hybridMultilevel"/>
    <w:lvl w:ilvl="0">
      <w:start w:val="3"/>
      <w:numFmt w:val="decimal"/>
      <w:isLgl w:val="false"/>
      <w:suff w:val="tab"/>
      <w:lvlText w:val="%1."/>
      <w:lvlJc w:val="left"/>
      <w:pPr>
        <w:pStyle w:val="79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79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79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pStyle w:val="791"/>
      </w:pPr>
    </w:lvl>
    <w:lvl w:ilvl="1">
      <w:start w:val="1"/>
      <w:numFmt w:val="bullet"/>
      <w:isLgl w:val="false"/>
      <w:suff w:val="tab"/>
      <w:lvlText w:val="o"/>
      <w:lvlJc w:val="left"/>
      <w:pPr>
        <w:pStyle w:val="791"/>
        <w:ind w:left="1440" w:hanging="360"/>
      </w:pPr>
      <w:rPr>
        <w:rFonts w:ascii="Courier New" w:hAnsi="Courier New" w:eastAsia="Courier New" w:cs="Courier New"/>
      </w:rPr>
    </w:lvl>
    <w:lvl w:ilvl="2">
      <w:start w:val="1"/>
      <w:numFmt w:val="bullet"/>
      <w:isLgl w:val="false"/>
      <w:suff w:val="tab"/>
      <w:lvlText w:val="§"/>
      <w:lvlJc w:val="left"/>
      <w:pPr>
        <w:pStyle w:val="791"/>
        <w:ind w:left="2160" w:hanging="360"/>
      </w:pPr>
      <w:rPr>
        <w:rFonts w:ascii="Wingdings" w:hAnsi="Wingdings" w:eastAsia="Wingdings" w:cs="Wingdings"/>
      </w:rPr>
    </w:lvl>
    <w:lvl w:ilvl="3">
      <w:start w:val="1"/>
      <w:numFmt w:val="bullet"/>
      <w:isLgl w:val="false"/>
      <w:suff w:val="tab"/>
      <w:lvlText w:val="·"/>
      <w:lvlJc w:val="left"/>
      <w:pPr>
        <w:pStyle w:val="791"/>
        <w:ind w:left="2880" w:hanging="360"/>
      </w:pPr>
      <w:rPr>
        <w:rFonts w:ascii="Symbol" w:hAnsi="Symbol" w:eastAsia="Symbol" w:cs="Symbol"/>
      </w:rPr>
    </w:lvl>
    <w:lvl w:ilvl="4">
      <w:start w:val="1"/>
      <w:numFmt w:val="bullet"/>
      <w:isLgl w:val="false"/>
      <w:suff w:val="tab"/>
      <w:lvlText w:val="o"/>
      <w:lvlJc w:val="left"/>
      <w:pPr>
        <w:pStyle w:val="791"/>
        <w:ind w:left="3600" w:hanging="360"/>
      </w:pPr>
      <w:rPr>
        <w:rFonts w:ascii="Courier New" w:hAnsi="Courier New" w:eastAsia="Courier New" w:cs="Courier New"/>
      </w:rPr>
    </w:lvl>
    <w:lvl w:ilvl="5">
      <w:start w:val="1"/>
      <w:numFmt w:val="bullet"/>
      <w:isLgl w:val="false"/>
      <w:suff w:val="tab"/>
      <w:lvlText w:val="§"/>
      <w:lvlJc w:val="left"/>
      <w:pPr>
        <w:pStyle w:val="791"/>
        <w:ind w:left="4320" w:hanging="360"/>
      </w:pPr>
      <w:rPr>
        <w:rFonts w:ascii="Wingdings" w:hAnsi="Wingdings" w:eastAsia="Wingdings" w:cs="Wingdings"/>
      </w:rPr>
    </w:lvl>
    <w:lvl w:ilvl="6">
      <w:start w:val="1"/>
      <w:numFmt w:val="bullet"/>
      <w:isLgl w:val="false"/>
      <w:suff w:val="tab"/>
      <w:lvlText w:val="·"/>
      <w:lvlJc w:val="left"/>
      <w:pPr>
        <w:pStyle w:val="791"/>
        <w:ind w:left="5040" w:hanging="360"/>
      </w:pPr>
      <w:rPr>
        <w:rFonts w:ascii="Symbol" w:hAnsi="Symbol" w:eastAsia="Symbol" w:cs="Symbol"/>
      </w:rPr>
    </w:lvl>
    <w:lvl w:ilvl="7">
      <w:start w:val="1"/>
      <w:numFmt w:val="bullet"/>
      <w:isLgl w:val="false"/>
      <w:suff w:val="tab"/>
      <w:lvlText w:val="o"/>
      <w:lvlJc w:val="left"/>
      <w:pPr>
        <w:pStyle w:val="791"/>
        <w:ind w:left="5760" w:hanging="360"/>
      </w:pPr>
      <w:rPr>
        <w:rFonts w:ascii="Courier New" w:hAnsi="Courier New" w:eastAsia="Courier New" w:cs="Courier New"/>
      </w:rPr>
    </w:lvl>
    <w:lvl w:ilvl="8">
      <w:start w:val="1"/>
      <w:numFmt w:val="bullet"/>
      <w:isLgl w:val="false"/>
      <w:suff w:val="tab"/>
      <w:lvlText w:val="§"/>
      <w:lvlJc w:val="left"/>
      <w:pPr>
        <w:pStyle w:val="791"/>
        <w:ind w:left="6480" w:hanging="360"/>
      </w:pPr>
      <w:rPr>
        <w:rFonts w:ascii="Wingdings" w:hAnsi="Wingdings" w:eastAsia="Wingdings" w:cs="Wingdings"/>
      </w:rPr>
    </w:lvl>
  </w:abstractNum>
  <w:abstractNum w:abstractNumId="9">
    <w:multiLevelType w:val="hybridMultilevel"/>
    <w:lvl w:ilvl="0">
      <w:start w:val="1"/>
      <w:numFmt w:val="decimal"/>
      <w:isLgl w:val="false"/>
      <w:suff w:val="nothing"/>
      <w:lvlText w:val="（%1）"/>
      <w:lvlJc w:val="left"/>
      <w:pPr>
        <w:pStyle w:val="791"/>
      </w:pPr>
    </w:lvl>
    <w:lvl w:ilvl="1">
      <w:start w:val="1"/>
      <w:numFmt w:val="bullet"/>
      <w:isLgl w:val="false"/>
      <w:suff w:val="tab"/>
      <w:lvlText w:val="o"/>
      <w:lvlJc w:val="left"/>
      <w:pPr>
        <w:pStyle w:val="791"/>
        <w:ind w:left="1440" w:hanging="360"/>
      </w:pPr>
      <w:rPr>
        <w:rFonts w:ascii="Courier New" w:hAnsi="Courier New" w:eastAsia="Courier New" w:cs="Courier New"/>
      </w:rPr>
    </w:lvl>
    <w:lvl w:ilvl="2">
      <w:start w:val="1"/>
      <w:numFmt w:val="bullet"/>
      <w:isLgl w:val="false"/>
      <w:suff w:val="tab"/>
      <w:lvlText w:val="§"/>
      <w:lvlJc w:val="left"/>
      <w:pPr>
        <w:pStyle w:val="791"/>
        <w:ind w:left="2160" w:hanging="360"/>
      </w:pPr>
      <w:rPr>
        <w:rFonts w:ascii="Wingdings" w:hAnsi="Wingdings" w:eastAsia="Wingdings" w:cs="Wingdings"/>
      </w:rPr>
    </w:lvl>
    <w:lvl w:ilvl="3">
      <w:start w:val="1"/>
      <w:numFmt w:val="bullet"/>
      <w:isLgl w:val="false"/>
      <w:suff w:val="tab"/>
      <w:lvlText w:val="·"/>
      <w:lvlJc w:val="left"/>
      <w:pPr>
        <w:pStyle w:val="791"/>
        <w:ind w:left="2880" w:hanging="360"/>
      </w:pPr>
      <w:rPr>
        <w:rFonts w:ascii="Symbol" w:hAnsi="Symbol" w:eastAsia="Symbol" w:cs="Symbol"/>
      </w:rPr>
    </w:lvl>
    <w:lvl w:ilvl="4">
      <w:start w:val="1"/>
      <w:numFmt w:val="bullet"/>
      <w:isLgl w:val="false"/>
      <w:suff w:val="tab"/>
      <w:lvlText w:val="o"/>
      <w:lvlJc w:val="left"/>
      <w:pPr>
        <w:pStyle w:val="791"/>
        <w:ind w:left="3600" w:hanging="360"/>
      </w:pPr>
      <w:rPr>
        <w:rFonts w:ascii="Courier New" w:hAnsi="Courier New" w:eastAsia="Courier New" w:cs="Courier New"/>
      </w:rPr>
    </w:lvl>
    <w:lvl w:ilvl="5">
      <w:start w:val="1"/>
      <w:numFmt w:val="bullet"/>
      <w:isLgl w:val="false"/>
      <w:suff w:val="tab"/>
      <w:lvlText w:val="§"/>
      <w:lvlJc w:val="left"/>
      <w:pPr>
        <w:pStyle w:val="791"/>
        <w:ind w:left="4320" w:hanging="360"/>
      </w:pPr>
      <w:rPr>
        <w:rFonts w:ascii="Wingdings" w:hAnsi="Wingdings" w:eastAsia="Wingdings" w:cs="Wingdings"/>
      </w:rPr>
    </w:lvl>
    <w:lvl w:ilvl="6">
      <w:start w:val="1"/>
      <w:numFmt w:val="bullet"/>
      <w:isLgl w:val="false"/>
      <w:suff w:val="tab"/>
      <w:lvlText w:val="·"/>
      <w:lvlJc w:val="left"/>
      <w:pPr>
        <w:pStyle w:val="791"/>
        <w:ind w:left="5040" w:hanging="360"/>
      </w:pPr>
      <w:rPr>
        <w:rFonts w:ascii="Symbol" w:hAnsi="Symbol" w:eastAsia="Symbol" w:cs="Symbol"/>
      </w:rPr>
    </w:lvl>
    <w:lvl w:ilvl="7">
      <w:start w:val="1"/>
      <w:numFmt w:val="bullet"/>
      <w:isLgl w:val="false"/>
      <w:suff w:val="tab"/>
      <w:lvlText w:val="o"/>
      <w:lvlJc w:val="left"/>
      <w:pPr>
        <w:pStyle w:val="791"/>
        <w:ind w:left="5760" w:hanging="360"/>
      </w:pPr>
      <w:rPr>
        <w:rFonts w:ascii="Courier New" w:hAnsi="Courier New" w:eastAsia="Courier New" w:cs="Courier New"/>
      </w:rPr>
    </w:lvl>
    <w:lvl w:ilvl="8">
      <w:start w:val="1"/>
      <w:numFmt w:val="bullet"/>
      <w:isLgl w:val="false"/>
      <w:suff w:val="tab"/>
      <w:lvlText w:val="§"/>
      <w:lvlJc w:val="left"/>
      <w:pPr>
        <w:pStyle w:val="791"/>
        <w:ind w:left="6480" w:hanging="360"/>
      </w:pPr>
      <w:rPr>
        <w:rFonts w:ascii="Wingdings" w:hAnsi="Wingdings" w:eastAsia="Wingdings" w:cs="Wingdings"/>
      </w:rPr>
    </w:lvl>
  </w:abstractNum>
  <w:abstractNum w:abstractNumId="10">
    <w:multiLevelType w:val="hybridMultilevel"/>
    <w:lvl w:ilvl="0">
      <w:start w:val="1"/>
      <w:numFmt w:val="decimal"/>
      <w:isLgl w:val="false"/>
      <w:suff w:val="nothing"/>
      <w:lvlText w:val="%1、"/>
      <w:lvlJc w:val="left"/>
      <w:pPr>
        <w:pStyle w:val="79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pStyle w:val="791"/>
        <w:tabs>
          <w:tab w:val="num" w:pos="312" w:leader="none"/>
        </w:tabs>
      </w:pPr>
    </w:lvl>
    <w:lvl w:ilvl="1">
      <w:start w:val="1"/>
      <w:numFmt w:val="bullet"/>
      <w:isLgl w:val="false"/>
      <w:suff w:val="tab"/>
      <w:lvlText w:val="o"/>
      <w:lvlJc w:val="left"/>
      <w:pPr>
        <w:pStyle w:val="791"/>
        <w:ind w:left="1440" w:hanging="360"/>
      </w:pPr>
      <w:rPr>
        <w:rFonts w:ascii="Courier New" w:hAnsi="Courier New" w:eastAsia="Courier New" w:cs="Courier New"/>
      </w:rPr>
    </w:lvl>
    <w:lvl w:ilvl="2">
      <w:start w:val="1"/>
      <w:numFmt w:val="bullet"/>
      <w:isLgl w:val="false"/>
      <w:suff w:val="tab"/>
      <w:lvlText w:val="§"/>
      <w:lvlJc w:val="left"/>
      <w:pPr>
        <w:pStyle w:val="791"/>
        <w:ind w:left="2160" w:hanging="360"/>
      </w:pPr>
      <w:rPr>
        <w:rFonts w:ascii="Wingdings" w:hAnsi="Wingdings" w:eastAsia="Wingdings" w:cs="Wingdings"/>
      </w:rPr>
    </w:lvl>
    <w:lvl w:ilvl="3">
      <w:start w:val="1"/>
      <w:numFmt w:val="bullet"/>
      <w:isLgl w:val="false"/>
      <w:suff w:val="tab"/>
      <w:lvlText w:val="·"/>
      <w:lvlJc w:val="left"/>
      <w:pPr>
        <w:pStyle w:val="791"/>
        <w:ind w:left="2880" w:hanging="360"/>
      </w:pPr>
      <w:rPr>
        <w:rFonts w:ascii="Symbol" w:hAnsi="Symbol" w:eastAsia="Symbol" w:cs="Symbol"/>
      </w:rPr>
    </w:lvl>
    <w:lvl w:ilvl="4">
      <w:start w:val="1"/>
      <w:numFmt w:val="bullet"/>
      <w:isLgl w:val="false"/>
      <w:suff w:val="tab"/>
      <w:lvlText w:val="o"/>
      <w:lvlJc w:val="left"/>
      <w:pPr>
        <w:pStyle w:val="791"/>
        <w:ind w:left="3600" w:hanging="360"/>
      </w:pPr>
      <w:rPr>
        <w:rFonts w:ascii="Courier New" w:hAnsi="Courier New" w:eastAsia="Courier New" w:cs="Courier New"/>
      </w:rPr>
    </w:lvl>
    <w:lvl w:ilvl="5">
      <w:start w:val="1"/>
      <w:numFmt w:val="bullet"/>
      <w:isLgl w:val="false"/>
      <w:suff w:val="tab"/>
      <w:lvlText w:val="§"/>
      <w:lvlJc w:val="left"/>
      <w:pPr>
        <w:pStyle w:val="791"/>
        <w:ind w:left="4320" w:hanging="360"/>
      </w:pPr>
      <w:rPr>
        <w:rFonts w:ascii="Wingdings" w:hAnsi="Wingdings" w:eastAsia="Wingdings" w:cs="Wingdings"/>
      </w:rPr>
    </w:lvl>
    <w:lvl w:ilvl="6">
      <w:start w:val="1"/>
      <w:numFmt w:val="bullet"/>
      <w:isLgl w:val="false"/>
      <w:suff w:val="tab"/>
      <w:lvlText w:val="·"/>
      <w:lvlJc w:val="left"/>
      <w:pPr>
        <w:pStyle w:val="791"/>
        <w:ind w:left="5040" w:hanging="360"/>
      </w:pPr>
      <w:rPr>
        <w:rFonts w:ascii="Symbol" w:hAnsi="Symbol" w:eastAsia="Symbol" w:cs="Symbol"/>
      </w:rPr>
    </w:lvl>
    <w:lvl w:ilvl="7">
      <w:start w:val="1"/>
      <w:numFmt w:val="bullet"/>
      <w:isLgl w:val="false"/>
      <w:suff w:val="tab"/>
      <w:lvlText w:val="o"/>
      <w:lvlJc w:val="left"/>
      <w:pPr>
        <w:pStyle w:val="791"/>
        <w:ind w:left="5760" w:hanging="360"/>
      </w:pPr>
      <w:rPr>
        <w:rFonts w:ascii="Courier New" w:hAnsi="Courier New" w:eastAsia="Courier New" w:cs="Courier New"/>
      </w:rPr>
    </w:lvl>
    <w:lvl w:ilvl="8">
      <w:start w:val="1"/>
      <w:numFmt w:val="bullet"/>
      <w:isLgl w:val="false"/>
      <w:suff w:val="tab"/>
      <w:lvlText w:val="§"/>
      <w:lvlJc w:val="left"/>
      <w:pPr>
        <w:pStyle w:val="791"/>
        <w:ind w:left="6480" w:hanging="360"/>
      </w:pPr>
      <w:rPr>
        <w:rFonts w:ascii="Wingdings" w:hAnsi="Wingdings" w:eastAsia="Wingdings" w:cs="Wingdings"/>
      </w:rPr>
    </w:lvl>
  </w:abstractNum>
  <w:abstractNum w:abstractNumId="12">
    <w:multiLevelType w:val="hybridMultilevel"/>
    <w:lvl w:ilvl="0">
      <w:start w:val="1"/>
      <w:numFmt w:val="decimal"/>
      <w:pStyle w:val="810"/>
      <w:isLgl w:val="false"/>
      <w:suff w:val="tab"/>
      <w:lvlText w:val="%1."/>
      <w:lvlJc w:val="left"/>
      <w:pPr>
        <w:pStyle w:val="791"/>
        <w:ind w:left="1200" w:hanging="360"/>
        <w:tabs>
          <w:tab w:val="num"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bullet"/>
      <w:pStyle w:val="814"/>
      <w:isLgl w:val="false"/>
      <w:suff w:val="tab"/>
      <w:lvlText w:val=""/>
      <w:lvlJc w:val="left"/>
      <w:pPr>
        <w:pStyle w:val="791"/>
        <w:ind w:left="2040" w:hanging="360"/>
        <w:tabs>
          <w:tab w:val="num"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5"/>
      <w:numFmt w:val="decimal"/>
      <w:isLgl w:val="false"/>
      <w:suff w:val="tab"/>
      <w:lvlText w:val="%1、"/>
      <w:lvlJc w:val="left"/>
      <w:pPr>
        <w:ind w:left="0" w:firstLine="0"/>
      </w:pPr>
      <w:rPr>
        <w:rFonts w:ascii="SimSun" w:hAnsi="SimSun" w:eastAsia="SimSun" w:cs="SimSu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12"/>
  </w:num>
  <w:num w:numId="2">
    <w:abstractNumId w:val="13"/>
  </w:num>
  <w:num w:numId="3">
    <w:abstractNumId w:val="6"/>
  </w:num>
  <w:num w:numId="4">
    <w:abstractNumId w:val="0"/>
  </w:num>
  <w:num w:numId="5">
    <w:abstractNumId w:val="10"/>
  </w:num>
  <w:num w:numId="6">
    <w:abstractNumId w:val="5"/>
  </w:num>
  <w:num w:numId="7">
    <w:abstractNumId w:val="11"/>
  </w:num>
  <w:num w:numId="8">
    <w:abstractNumId w:val="4"/>
  </w:num>
  <w:num w:numId="9">
    <w:abstractNumId w:val="3"/>
  </w:num>
  <w:num w:numId="10">
    <w:abstractNumId w:val="8"/>
  </w:num>
  <w:num w:numId="11">
    <w:abstractNumId w:val="9"/>
  </w:num>
  <w:num w:numId="12">
    <w:abstractNumId w:val="2"/>
  </w:num>
  <w:num w:numId="13">
    <w:abstractNumId w:val="7"/>
  </w:num>
  <w:num w:numId="14">
    <w:abstractNumId w:val="1"/>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91"/>
    <w:next w:val="791"/>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91"/>
    <w:next w:val="791"/>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91"/>
    <w:next w:val="79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91"/>
    <w:next w:val="79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91"/>
    <w:next w:val="79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91"/>
    <w:next w:val="79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91"/>
    <w:next w:val="79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91"/>
    <w:next w:val="79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91"/>
    <w:next w:val="79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9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91"/>
    <w:next w:val="791"/>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91"/>
    <w:next w:val="791"/>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91"/>
    <w:next w:val="791"/>
    <w:link w:val="38"/>
    <w:uiPriority w:val="29"/>
    <w:qFormat/>
    <w:pPr>
      <w:ind w:left="720" w:right="720"/>
    </w:pPr>
    <w:rPr>
      <w:i/>
    </w:rPr>
  </w:style>
  <w:style w:type="character" w:styleId="38">
    <w:name w:val="Quote Char"/>
    <w:link w:val="37"/>
    <w:uiPriority w:val="29"/>
    <w:rPr>
      <w:i/>
    </w:rPr>
  </w:style>
  <w:style w:type="paragraph" w:styleId="39">
    <w:name w:val="Intense Quote"/>
    <w:basedOn w:val="791"/>
    <w:next w:val="79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91"/>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91"/>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91"/>
    <w:next w:val="791"/>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9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9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91"/>
    <w:next w:val="791"/>
    <w:uiPriority w:val="39"/>
    <w:unhideWhenUsed/>
    <w:pPr>
      <w:ind w:left="0" w:right="0" w:firstLine="0"/>
      <w:spacing w:after="57"/>
    </w:pPr>
  </w:style>
  <w:style w:type="paragraph" w:styleId="181">
    <w:name w:val="toc 2"/>
    <w:basedOn w:val="791"/>
    <w:next w:val="791"/>
    <w:uiPriority w:val="39"/>
    <w:unhideWhenUsed/>
    <w:pPr>
      <w:ind w:left="283" w:right="0" w:firstLine="0"/>
      <w:spacing w:after="57"/>
    </w:pPr>
  </w:style>
  <w:style w:type="paragraph" w:styleId="182">
    <w:name w:val="toc 3"/>
    <w:basedOn w:val="791"/>
    <w:next w:val="791"/>
    <w:uiPriority w:val="39"/>
    <w:unhideWhenUsed/>
    <w:pPr>
      <w:ind w:left="567" w:right="0" w:firstLine="0"/>
      <w:spacing w:after="57"/>
    </w:pPr>
  </w:style>
  <w:style w:type="paragraph" w:styleId="183">
    <w:name w:val="toc 4"/>
    <w:basedOn w:val="791"/>
    <w:next w:val="791"/>
    <w:uiPriority w:val="39"/>
    <w:unhideWhenUsed/>
    <w:pPr>
      <w:ind w:left="850" w:right="0" w:firstLine="0"/>
      <w:spacing w:after="57"/>
    </w:pPr>
  </w:style>
  <w:style w:type="paragraph" w:styleId="184">
    <w:name w:val="toc 5"/>
    <w:basedOn w:val="791"/>
    <w:next w:val="791"/>
    <w:uiPriority w:val="39"/>
    <w:unhideWhenUsed/>
    <w:pPr>
      <w:ind w:left="1134" w:right="0" w:firstLine="0"/>
      <w:spacing w:after="57"/>
    </w:pPr>
  </w:style>
  <w:style w:type="paragraph" w:styleId="185">
    <w:name w:val="toc 6"/>
    <w:basedOn w:val="791"/>
    <w:next w:val="791"/>
    <w:uiPriority w:val="39"/>
    <w:unhideWhenUsed/>
    <w:pPr>
      <w:ind w:left="1417" w:right="0" w:firstLine="0"/>
      <w:spacing w:after="57"/>
    </w:pPr>
  </w:style>
  <w:style w:type="paragraph" w:styleId="186">
    <w:name w:val="toc 7"/>
    <w:basedOn w:val="791"/>
    <w:next w:val="791"/>
    <w:uiPriority w:val="39"/>
    <w:unhideWhenUsed/>
    <w:pPr>
      <w:ind w:left="1701" w:right="0" w:firstLine="0"/>
      <w:spacing w:after="57"/>
    </w:pPr>
  </w:style>
  <w:style w:type="paragraph" w:styleId="187">
    <w:name w:val="toc 8"/>
    <w:basedOn w:val="791"/>
    <w:next w:val="791"/>
    <w:uiPriority w:val="39"/>
    <w:unhideWhenUsed/>
    <w:pPr>
      <w:ind w:left="1984" w:right="0" w:firstLine="0"/>
      <w:spacing w:after="57"/>
    </w:pPr>
  </w:style>
  <w:style w:type="paragraph" w:styleId="188">
    <w:name w:val="toc 9"/>
    <w:basedOn w:val="791"/>
    <w:next w:val="791"/>
    <w:uiPriority w:val="39"/>
    <w:unhideWhenUsed/>
    <w:pPr>
      <w:ind w:left="2268" w:right="0" w:firstLine="0"/>
      <w:spacing w:after="57"/>
    </w:pPr>
  </w:style>
  <w:style w:type="paragraph" w:styleId="189">
    <w:name w:val="TOC Heading"/>
    <w:uiPriority w:val="39"/>
    <w:unhideWhenUsed/>
  </w:style>
  <w:style w:type="paragraph" w:styleId="190">
    <w:name w:val="table of figures"/>
    <w:basedOn w:val="791"/>
    <w:next w:val="791"/>
    <w:uiPriority w:val="99"/>
    <w:unhideWhenUsed/>
    <w:pPr>
      <w:spacing w:after="0" w:afterAutospacing="0"/>
    </w:pPr>
  </w:style>
  <w:style w:type="paragraph" w:styleId="791" w:default="1">
    <w:name w:val="Normal"/>
    <w:next w:val="791"/>
    <w:link w:val="791"/>
    <w:qFormat/>
    <w:pPr>
      <w:jc w:val="both"/>
      <w:widowControl w:val="off"/>
    </w:pPr>
    <w:rPr>
      <w:rFonts w:eastAsia="楷体_GB2312"/>
      <w:sz w:val="26"/>
      <w:lang w:val="en-US" w:eastAsia="zh-CN" w:bidi="ar-SA"/>
    </w:rPr>
  </w:style>
  <w:style w:type="paragraph" w:styleId="792">
    <w:name w:val="标题 1"/>
    <w:basedOn w:val="791"/>
    <w:next w:val="791"/>
    <w:link w:val="791"/>
    <w:uiPriority w:val="9"/>
    <w:qFormat/>
    <w:pPr>
      <w:keepLines/>
      <w:keepNext/>
      <w:spacing w:before="340" w:after="330" w:line="578" w:lineRule="auto"/>
      <w:outlineLvl w:val="0"/>
    </w:pPr>
    <w:rPr>
      <w:b/>
      <w:sz w:val="44"/>
    </w:rPr>
  </w:style>
  <w:style w:type="paragraph" w:styleId="793">
    <w:name w:val="标题 2"/>
    <w:basedOn w:val="791"/>
    <w:next w:val="791"/>
    <w:link w:val="797"/>
    <w:uiPriority w:val="9"/>
    <w:qFormat/>
    <w:pPr>
      <w:keepLines/>
      <w:keepNext/>
      <w:spacing w:before="260" w:after="260" w:line="416" w:lineRule="auto"/>
      <w:outlineLvl w:val="1"/>
    </w:pPr>
    <w:rPr>
      <w:rFonts w:ascii="Cambria" w:hAnsi="Cambria" w:eastAsia="宋体"/>
      <w:b/>
      <w:bCs/>
      <w:sz w:val="32"/>
      <w:szCs w:val="32"/>
    </w:rPr>
  </w:style>
  <w:style w:type="paragraph" w:styleId="794">
    <w:name w:val="标题 3"/>
    <w:basedOn w:val="791"/>
    <w:next w:val="791"/>
    <w:link w:val="798"/>
    <w:qFormat/>
    <w:pPr>
      <w:keepLines/>
      <w:keepNext/>
      <w:spacing w:before="260" w:after="260" w:line="416" w:lineRule="auto"/>
      <w:outlineLvl w:val="2"/>
    </w:pPr>
    <w:rPr>
      <w:b/>
      <w:bCs/>
      <w:sz w:val="32"/>
      <w:szCs w:val="32"/>
    </w:rPr>
  </w:style>
  <w:style w:type="character" w:styleId="795">
    <w:name w:val="默认段落字体"/>
    <w:next w:val="795"/>
    <w:link w:val="791"/>
    <w:unhideWhenUsed/>
  </w:style>
  <w:style w:type="table" w:styleId="796">
    <w:name w:val="普通表格"/>
    <w:next w:val="796"/>
    <w:link w:val="791"/>
    <w:uiPriority w:val="99"/>
    <w:unhideWhenUsed/>
    <w:tblPr/>
  </w:style>
  <w:style w:type="character" w:styleId="797">
    <w:name w:val="标题 2 字符"/>
    <w:next w:val="797"/>
    <w:link w:val="793"/>
    <w:uiPriority w:val="9"/>
    <w:qFormat/>
    <w:rPr>
      <w:rFonts w:ascii="Cambria" w:hAnsi="Cambria" w:eastAsia="宋体" w:cs="Times New Roman"/>
      <w:b/>
      <w:bCs/>
      <w:sz w:val="32"/>
      <w:szCs w:val="32"/>
    </w:rPr>
  </w:style>
  <w:style w:type="character" w:styleId="798">
    <w:name w:val="标题 3 字符"/>
    <w:next w:val="798"/>
    <w:link w:val="794"/>
    <w:qFormat/>
    <w:rPr>
      <w:rFonts w:eastAsia="楷体_GB2312"/>
      <w:b/>
      <w:bCs/>
      <w:sz w:val="32"/>
      <w:szCs w:val="32"/>
    </w:rPr>
  </w:style>
  <w:style w:type="paragraph" w:styleId="799">
    <w:name w:val="目录 7"/>
    <w:next w:val="791"/>
    <w:link w:val="791"/>
    <w:qFormat/>
    <w:pPr>
      <w:ind w:left="2125"/>
      <w:jc w:val="both"/>
    </w:pPr>
    <w:rPr>
      <w:sz w:val="21"/>
      <w:lang w:val="en-US" w:eastAsia="zh-CN" w:bidi="ar-SA"/>
    </w:rPr>
  </w:style>
  <w:style w:type="paragraph" w:styleId="800">
    <w:name w:val="正文缩进"/>
    <w:basedOn w:val="791"/>
    <w:next w:val="791"/>
    <w:link w:val="801"/>
    <w:unhideWhenUsed/>
    <w:pPr>
      <w:ind w:firstLine="420"/>
      <w:jc w:val="left"/>
    </w:pPr>
    <w:rPr>
      <w:sz w:val="24"/>
    </w:rPr>
  </w:style>
  <w:style w:type="character" w:styleId="801">
    <w:name w:val="正文缩进 字符"/>
    <w:next w:val="801"/>
    <w:link w:val="800"/>
    <w:rPr>
      <w:rFonts w:eastAsia="楷体_GB2312"/>
      <w:sz w:val="24"/>
    </w:rPr>
  </w:style>
  <w:style w:type="paragraph" w:styleId="802">
    <w:name w:val="文档结构图"/>
    <w:basedOn w:val="791"/>
    <w:next w:val="802"/>
    <w:link w:val="803"/>
    <w:uiPriority w:val="99"/>
    <w:unhideWhenUsed/>
    <w:rPr>
      <w:rFonts w:ascii="宋体" w:eastAsia="宋体"/>
      <w:sz w:val="18"/>
      <w:szCs w:val="18"/>
    </w:rPr>
  </w:style>
  <w:style w:type="character" w:styleId="803">
    <w:name w:val="文档结构图 字符"/>
    <w:next w:val="803"/>
    <w:link w:val="802"/>
    <w:uiPriority w:val="99"/>
    <w:semiHidden/>
    <w:rPr>
      <w:rFonts w:ascii="宋体"/>
      <w:sz w:val="18"/>
      <w:szCs w:val="18"/>
    </w:rPr>
  </w:style>
  <w:style w:type="paragraph" w:styleId="804">
    <w:name w:val="批注文字"/>
    <w:basedOn w:val="791"/>
    <w:next w:val="804"/>
    <w:link w:val="805"/>
    <w:semiHidden/>
    <w:pPr>
      <w:jc w:val="left"/>
    </w:pPr>
  </w:style>
  <w:style w:type="character" w:styleId="805">
    <w:name w:val="批注文字 字符"/>
    <w:next w:val="805"/>
    <w:link w:val="804"/>
    <w:semiHidden/>
    <w:rPr>
      <w:rFonts w:eastAsia="楷体_GB2312"/>
      <w:sz w:val="26"/>
    </w:rPr>
  </w:style>
  <w:style w:type="paragraph" w:styleId="806">
    <w:name w:val="正文文本 3"/>
    <w:basedOn w:val="791"/>
    <w:next w:val="806"/>
    <w:link w:val="791"/>
    <w:uiPriority w:val="99"/>
    <w:unhideWhenUsed/>
    <w:pPr>
      <w:jc w:val="center"/>
    </w:pPr>
    <w:rPr>
      <w:rFonts w:ascii="宋体" w:hAnsi="宋体"/>
    </w:rPr>
  </w:style>
  <w:style w:type="paragraph" w:styleId="807">
    <w:name w:val="正文文本"/>
    <w:basedOn w:val="791"/>
    <w:next w:val="800"/>
    <w:link w:val="791"/>
    <w:uiPriority w:val="99"/>
    <w:unhideWhenUsed/>
    <w:rPr>
      <w:rFonts w:ascii="楷体_GB2312" w:eastAsia="楷体_GB2312"/>
      <w:b/>
      <w:bCs/>
      <w:sz w:val="28"/>
      <w:szCs w:val="20"/>
    </w:rPr>
  </w:style>
  <w:style w:type="paragraph" w:styleId="808">
    <w:name w:val="正文文本缩进"/>
    <w:basedOn w:val="791"/>
    <w:next w:val="791"/>
    <w:link w:val="809"/>
    <w:uiPriority w:val="99"/>
    <w:unhideWhenUsed/>
    <w:pPr>
      <w:ind w:firstLine="570"/>
    </w:pPr>
    <w:rPr>
      <w:rFonts w:ascii="宋体" w:eastAsia="宋体"/>
      <w:sz w:val="28"/>
    </w:rPr>
  </w:style>
  <w:style w:type="character" w:styleId="809">
    <w:name w:val="正文文本缩进 字符1"/>
    <w:next w:val="809"/>
    <w:link w:val="808"/>
    <w:uiPriority w:val="99"/>
    <w:rPr>
      <w:rFonts w:ascii="宋体"/>
      <w:sz w:val="28"/>
    </w:rPr>
  </w:style>
  <w:style w:type="paragraph" w:styleId="810">
    <w:name w:val="列表编号 3"/>
    <w:basedOn w:val="792"/>
    <w:next w:val="791"/>
    <w:link w:val="791"/>
    <w:uiPriority w:val="99"/>
    <w:unhideWhenUsed/>
    <w:pPr>
      <w:numPr>
        <w:ilvl w:val="0"/>
        <w:numId w:val="1"/>
      </w:numPr>
      <w:tabs>
        <w:tab w:val="left" w:pos="1200" w:leader="none"/>
      </w:tabs>
    </w:pPr>
  </w:style>
  <w:style w:type="paragraph" w:styleId="811">
    <w:name w:val="目录 3"/>
    <w:basedOn w:val="791"/>
    <w:next w:val="791"/>
    <w:link w:val="791"/>
    <w:uiPriority w:val="39"/>
    <w:unhideWhenUsed/>
    <w:pPr>
      <w:ind w:left="840"/>
    </w:pPr>
  </w:style>
  <w:style w:type="paragraph" w:styleId="812">
    <w:name w:val="纯文本"/>
    <w:basedOn w:val="791"/>
    <w:next w:val="812"/>
    <w:link w:val="813"/>
    <w:unhideWhenUsed/>
    <w:rPr>
      <w:rFonts w:ascii="宋体" w:hAnsi="Courier New"/>
    </w:rPr>
  </w:style>
  <w:style w:type="character" w:styleId="813">
    <w:name w:val="纯文本 字符"/>
    <w:next w:val="813"/>
    <w:link w:val="812"/>
    <w:rPr>
      <w:rFonts w:ascii="宋体" w:hAnsi="Courier New" w:eastAsia="楷体_GB2312"/>
      <w:sz w:val="26"/>
    </w:rPr>
  </w:style>
  <w:style w:type="paragraph" w:styleId="814">
    <w:name w:val="列表项目符号 5"/>
    <w:basedOn w:val="792"/>
    <w:next w:val="815"/>
    <w:link w:val="791"/>
    <w:uiPriority w:val="99"/>
    <w:unhideWhenUsed/>
    <w:pPr>
      <w:numPr>
        <w:ilvl w:val="0"/>
        <w:numId w:val="2"/>
      </w:numPr>
      <w:tabs>
        <w:tab w:val="left" w:pos="2040" w:leader="none"/>
      </w:tabs>
    </w:pPr>
  </w:style>
  <w:style w:type="paragraph" w:styleId="815">
    <w:name w:val="正文首行缩进1"/>
    <w:next w:val="810"/>
    <w:link w:val="791"/>
    <w:qFormat/>
    <w:pPr>
      <w:ind w:left="420" w:firstLine="2724"/>
      <w:spacing w:after="120" w:line="360" w:lineRule="auto"/>
    </w:pPr>
    <w:rPr>
      <w:rFonts w:ascii="Calibri" w:hAnsi="Calibri" w:eastAsia="宋体" w:cs="宋体"/>
      <w:sz w:val="21"/>
      <w:szCs w:val="22"/>
      <w:lang w:val="en-US" w:eastAsia="zh-CN" w:bidi="ar-SA"/>
    </w:rPr>
  </w:style>
  <w:style w:type="paragraph" w:styleId="816">
    <w:name w:val="日期"/>
    <w:basedOn w:val="791"/>
    <w:next w:val="791"/>
    <w:link w:val="791"/>
    <w:uiPriority w:val="99"/>
    <w:unhideWhenUsed/>
    <w:rPr>
      <w:rFonts w:ascii="宋体" w:hAnsi="宋体"/>
      <w:sz w:val="24"/>
    </w:rPr>
  </w:style>
  <w:style w:type="paragraph" w:styleId="817">
    <w:name w:val="正文文本缩进 2"/>
    <w:basedOn w:val="791"/>
    <w:next w:val="817"/>
    <w:link w:val="818"/>
    <w:uiPriority w:val="99"/>
    <w:unhideWhenUsed/>
    <w:pPr>
      <w:ind w:left="420"/>
      <w:spacing w:after="120" w:line="480" w:lineRule="auto"/>
    </w:pPr>
  </w:style>
  <w:style w:type="character" w:styleId="818">
    <w:name w:val="正文文本缩进 2 字符"/>
    <w:next w:val="818"/>
    <w:link w:val="817"/>
    <w:uiPriority w:val="99"/>
    <w:semiHidden/>
    <w:rPr>
      <w:rFonts w:eastAsia="楷体_GB2312"/>
      <w:sz w:val="26"/>
    </w:rPr>
  </w:style>
  <w:style w:type="paragraph" w:styleId="819">
    <w:name w:val="批注框文本"/>
    <w:basedOn w:val="791"/>
    <w:next w:val="821"/>
    <w:link w:val="820"/>
    <w:rPr>
      <w:sz w:val="18"/>
      <w:szCs w:val="18"/>
    </w:rPr>
  </w:style>
  <w:style w:type="character" w:styleId="820">
    <w:name w:val="批注框文本 字符"/>
    <w:next w:val="820"/>
    <w:link w:val="819"/>
    <w:rPr>
      <w:rFonts w:eastAsia="楷体_GB2312"/>
      <w:sz w:val="18"/>
      <w:szCs w:val="18"/>
    </w:rPr>
  </w:style>
  <w:style w:type="paragraph" w:styleId="821">
    <w:name w:val="正文缩进1"/>
    <w:next w:val="791"/>
    <w:link w:val="791"/>
    <w:qFormat/>
    <w:pPr>
      <w:ind w:left="3400"/>
      <w:jc w:val="both"/>
    </w:pPr>
    <w:rPr>
      <w:sz w:val="21"/>
      <w:lang w:val="en-US" w:eastAsia="zh-CN" w:bidi="ar-SA"/>
    </w:rPr>
  </w:style>
  <w:style w:type="paragraph" w:styleId="822">
    <w:name w:val="页脚"/>
    <w:basedOn w:val="791"/>
    <w:next w:val="822"/>
    <w:link w:val="823"/>
    <w:uiPriority w:val="99"/>
    <w:unhideWhenUsed/>
    <w:qFormat/>
    <w:pPr>
      <w:jc w:val="left"/>
      <w:tabs>
        <w:tab w:val="center" w:pos="4153" w:leader="none"/>
        <w:tab w:val="right" w:pos="8306" w:leader="none"/>
      </w:tabs>
    </w:pPr>
    <w:rPr>
      <w:sz w:val="18"/>
    </w:rPr>
  </w:style>
  <w:style w:type="character" w:styleId="823">
    <w:name w:val="页脚 字符"/>
    <w:next w:val="823"/>
    <w:link w:val="822"/>
    <w:uiPriority w:val="99"/>
    <w:rPr>
      <w:rFonts w:eastAsia="楷体_GB2312"/>
      <w:sz w:val="18"/>
    </w:rPr>
  </w:style>
  <w:style w:type="paragraph" w:styleId="824">
    <w:name w:val="寄信人地址"/>
    <w:basedOn w:val="791"/>
    <w:next w:val="824"/>
    <w:link w:val="791"/>
    <w:qFormat/>
    <w:rPr>
      <w:rFonts w:ascii="Arial" w:hAnsi="Arial" w:eastAsia="楷体_GB2312"/>
      <w:sz w:val="26"/>
    </w:rPr>
  </w:style>
  <w:style w:type="paragraph" w:styleId="825">
    <w:name w:val="页眉"/>
    <w:basedOn w:val="791"/>
    <w:next w:val="825"/>
    <w:link w:val="826"/>
    <w:uiPriority w:val="99"/>
    <w:unhideWhenUsed/>
    <w:qFormat/>
    <w:pPr>
      <w:jc w:val="center"/>
      <w:tabs>
        <w:tab w:val="center" w:pos="4153" w:leader="none"/>
        <w:tab w:val="right" w:pos="8306" w:leader="none"/>
      </w:tabs>
      <w:pBdr>
        <w:bottom w:val="none" w:color="000000" w:sz="0" w:space="1"/>
      </w:pBdr>
    </w:pPr>
    <w:rPr>
      <w:sz w:val="18"/>
    </w:rPr>
  </w:style>
  <w:style w:type="character" w:styleId="826">
    <w:name w:val="页眉 字符"/>
    <w:next w:val="826"/>
    <w:link w:val="825"/>
    <w:uiPriority w:val="99"/>
    <w:rPr>
      <w:rFonts w:eastAsia="楷体_GB2312"/>
      <w:sz w:val="18"/>
    </w:rPr>
  </w:style>
  <w:style w:type="paragraph" w:styleId="827">
    <w:name w:val="目录 1"/>
    <w:basedOn w:val="791"/>
    <w:next w:val="791"/>
    <w:link w:val="791"/>
    <w:uiPriority w:val="39"/>
    <w:unhideWhenUsed/>
    <w:qFormat/>
    <w:pPr>
      <w:jc w:val="left"/>
    </w:pPr>
    <w:rPr>
      <w:sz w:val="24"/>
    </w:rPr>
  </w:style>
  <w:style w:type="paragraph" w:styleId="828">
    <w:name w:val="副标题"/>
    <w:basedOn w:val="791"/>
    <w:next w:val="828"/>
    <w:link w:val="829"/>
    <w:qFormat/>
    <w:pPr>
      <w:jc w:val="center"/>
      <w:spacing w:before="240" w:after="60" w:line="312" w:lineRule="auto"/>
      <w:outlineLvl w:val="1"/>
    </w:pPr>
    <w:rPr>
      <w:rFonts w:ascii="Arial" w:hAnsi="Arial" w:eastAsia="宋体"/>
      <w:b/>
      <w:bCs/>
      <w:sz w:val="32"/>
      <w:szCs w:val="32"/>
    </w:rPr>
  </w:style>
  <w:style w:type="character" w:styleId="829">
    <w:name w:val="副标题 字符"/>
    <w:next w:val="829"/>
    <w:link w:val="828"/>
    <w:rPr>
      <w:rFonts w:ascii="Arial" w:hAnsi="Arial" w:cs="Arial"/>
      <w:b/>
      <w:bCs/>
      <w:sz w:val="32"/>
      <w:szCs w:val="32"/>
    </w:rPr>
  </w:style>
  <w:style w:type="paragraph" w:styleId="830">
    <w:name w:val="正文文本缩进 3"/>
    <w:basedOn w:val="791"/>
    <w:next w:val="830"/>
    <w:link w:val="791"/>
    <w:uiPriority w:val="99"/>
    <w:unhideWhenUsed/>
    <w:pPr>
      <w:ind w:left="420"/>
      <w:jc w:val="left"/>
      <w:spacing w:after="120"/>
      <w:widowControl/>
    </w:pPr>
    <w:rPr>
      <w:rFonts w:eastAsia="宋体"/>
      <w:sz w:val="16"/>
      <w:szCs w:val="16"/>
    </w:rPr>
  </w:style>
  <w:style w:type="paragraph" w:styleId="831">
    <w:name w:val="目录 2"/>
    <w:basedOn w:val="791"/>
    <w:next w:val="791"/>
    <w:link w:val="791"/>
    <w:uiPriority w:val="39"/>
    <w:unhideWhenUsed/>
    <w:pPr>
      <w:ind w:left="420"/>
    </w:pPr>
  </w:style>
  <w:style w:type="paragraph" w:styleId="832">
    <w:name w:val="目录 9"/>
    <w:basedOn w:val="791"/>
    <w:next w:val="791"/>
    <w:link w:val="791"/>
    <w:semiHidden/>
    <w:pPr>
      <w:ind w:left="3360"/>
    </w:pPr>
  </w:style>
  <w:style w:type="paragraph" w:styleId="833">
    <w:name w:val="普通(网站)"/>
    <w:basedOn w:val="791"/>
    <w:next w:val="833"/>
    <w:link w:val="791"/>
    <w:unhideWhenUsed/>
    <w:qFormat/>
    <w:pPr>
      <w:jc w:val="left"/>
      <w:spacing w:before="100" w:beforeAutospacing="1" w:after="100" w:afterAutospacing="1"/>
      <w:widowControl/>
    </w:pPr>
    <w:rPr>
      <w:rFonts w:ascii="宋体" w:hAnsi="宋体" w:cs="宋体"/>
      <w:sz w:val="24"/>
    </w:rPr>
  </w:style>
  <w:style w:type="paragraph" w:styleId="834">
    <w:name w:val="索引 1"/>
    <w:basedOn w:val="791"/>
    <w:next w:val="791"/>
    <w:link w:val="791"/>
    <w:semiHidden/>
    <w:qFormat/>
  </w:style>
  <w:style w:type="paragraph" w:styleId="835">
    <w:name w:val="批注主题"/>
    <w:basedOn w:val="804"/>
    <w:next w:val="804"/>
    <w:link w:val="791"/>
    <w:semiHidden/>
    <w:qFormat/>
    <w:rPr>
      <w:b/>
      <w:bCs/>
    </w:rPr>
  </w:style>
  <w:style w:type="paragraph" w:styleId="836">
    <w:name w:val="正文首行缩进"/>
    <w:basedOn w:val="807"/>
    <w:next w:val="791"/>
    <w:link w:val="791"/>
    <w:uiPriority w:val="99"/>
    <w:unhideWhenUsed/>
    <w:qFormat/>
    <w:pPr>
      <w:ind w:firstLine="420"/>
    </w:pPr>
  </w:style>
  <w:style w:type="paragraph" w:styleId="837">
    <w:name w:val="正文首行缩进 2"/>
    <w:basedOn w:val="808"/>
    <w:next w:val="837"/>
    <w:link w:val="838"/>
    <w:uiPriority w:val="99"/>
    <w:unhideWhenUsed/>
    <w:pPr>
      <w:ind w:left="420" w:firstLine="420"/>
      <w:spacing w:after="120"/>
    </w:pPr>
  </w:style>
  <w:style w:type="character" w:styleId="838">
    <w:name w:val="正文文本首行缩进 2 字符"/>
    <w:next w:val="838"/>
    <w:link w:val="837"/>
    <w:uiPriority w:val="99"/>
  </w:style>
  <w:style w:type="table" w:styleId="839">
    <w:name w:val="网格型"/>
    <w:basedOn w:val="796"/>
    <w:next w:val="839"/>
    <w:link w:val="791"/>
    <w:unhideWhenUsed/>
    <w:qFormat/>
    <w:pPr>
      <w:jc w:val="both"/>
      <w:widowControl w:val="off"/>
    </w:pPr>
    <w:tblPr/>
  </w:style>
  <w:style w:type="character" w:styleId="840">
    <w:name w:val="要点"/>
    <w:next w:val="840"/>
    <w:link w:val="791"/>
    <w:uiPriority w:val="22"/>
    <w:qFormat/>
    <w:rPr>
      <w:b/>
      <w:bCs/>
    </w:rPr>
  </w:style>
  <w:style w:type="character" w:styleId="841">
    <w:name w:val="页码"/>
    <w:next w:val="841"/>
    <w:link w:val="791"/>
    <w:unhideWhenUsed/>
    <w:qFormat/>
  </w:style>
  <w:style w:type="character" w:styleId="842">
    <w:name w:val="已访问的超链接"/>
    <w:next w:val="842"/>
    <w:link w:val="791"/>
    <w:uiPriority w:val="99"/>
    <w:unhideWhenUsed/>
    <w:rPr>
      <w:color w:val="07519a"/>
      <w:u w:val="none"/>
    </w:rPr>
  </w:style>
  <w:style w:type="character" w:styleId="843">
    <w:name w:val="强调"/>
    <w:next w:val="843"/>
    <w:link w:val="791"/>
    <w:uiPriority w:val="20"/>
    <w:qFormat/>
    <w:rPr>
      <w:i w:val="0"/>
      <w:iCs w:val="0"/>
    </w:rPr>
  </w:style>
  <w:style w:type="character" w:styleId="844">
    <w:name w:val="HTML 定义"/>
    <w:next w:val="844"/>
    <w:link w:val="791"/>
    <w:uiPriority w:val="99"/>
    <w:unhideWhenUsed/>
    <w:rPr>
      <w:i w:val="0"/>
      <w:iCs w:val="0"/>
    </w:rPr>
  </w:style>
  <w:style w:type="character" w:styleId="845">
    <w:name w:val="HTML 变量"/>
    <w:next w:val="845"/>
    <w:link w:val="791"/>
    <w:uiPriority w:val="99"/>
    <w:unhideWhenUsed/>
    <w:rPr>
      <w:i w:val="0"/>
      <w:iCs w:val="0"/>
      <w:color w:val="666666"/>
      <w:sz w:val="18"/>
      <w:szCs w:val="18"/>
      <w:shd w:val="clear" w:color="auto" w:fill="ffffff"/>
    </w:rPr>
  </w:style>
  <w:style w:type="character" w:styleId="846">
    <w:name w:val="超链接"/>
    <w:next w:val="846"/>
    <w:link w:val="791"/>
    <w:uiPriority w:val="99"/>
    <w:unhideWhenUsed/>
    <w:rPr>
      <w:color w:val="07519a"/>
      <w:u w:val="none"/>
    </w:rPr>
  </w:style>
  <w:style w:type="character" w:styleId="847">
    <w:name w:val="HTML 代码"/>
    <w:next w:val="847"/>
    <w:link w:val="791"/>
    <w:uiPriority w:val="99"/>
    <w:unhideWhenUsed/>
    <w:rPr>
      <w:rFonts w:ascii="serif" w:hAnsi="serif" w:eastAsia="serif" w:cs="serif"/>
      <w:sz w:val="21"/>
      <w:szCs w:val="21"/>
    </w:rPr>
  </w:style>
  <w:style w:type="character" w:styleId="848">
    <w:name w:val="批注引用"/>
    <w:next w:val="848"/>
    <w:link w:val="791"/>
    <w:uiPriority w:val="99"/>
    <w:semiHidden/>
    <w:rPr>
      <w:sz w:val="21"/>
      <w:szCs w:val="21"/>
    </w:rPr>
  </w:style>
  <w:style w:type="character" w:styleId="849">
    <w:name w:val="HTML 引文"/>
    <w:next w:val="849"/>
    <w:link w:val="791"/>
    <w:uiPriority w:val="99"/>
    <w:unhideWhenUsed/>
    <w:rPr>
      <w:i w:val="0"/>
      <w:iCs w:val="0"/>
    </w:rPr>
  </w:style>
  <w:style w:type="character" w:styleId="850">
    <w:name w:val="HTML 键盘"/>
    <w:next w:val="850"/>
    <w:link w:val="791"/>
    <w:uiPriority w:val="99"/>
    <w:unhideWhenUsed/>
    <w:rPr>
      <w:rFonts w:ascii="serif" w:hAnsi="serif" w:eastAsia="serif" w:cs="serif"/>
      <w:sz w:val="21"/>
      <w:szCs w:val="21"/>
    </w:rPr>
  </w:style>
  <w:style w:type="character" w:styleId="851">
    <w:name w:val="HTML 样本"/>
    <w:next w:val="851"/>
    <w:link w:val="791"/>
    <w:uiPriority w:val="99"/>
    <w:unhideWhenUsed/>
    <w:rPr>
      <w:rFonts w:ascii="serif" w:hAnsi="serif" w:eastAsia="serif" w:cs="serif"/>
      <w:sz w:val="21"/>
      <w:szCs w:val="21"/>
    </w:rPr>
  </w:style>
  <w:style w:type="paragraph" w:styleId="852">
    <w:name w:val="目录 51"/>
    <w:next w:val="791"/>
    <w:link w:val="791"/>
    <w:qFormat/>
    <w:pPr>
      <w:ind w:left="1275"/>
      <w:jc w:val="both"/>
    </w:pPr>
    <w:rPr>
      <w:sz w:val="21"/>
      <w:lang w:val="en-US" w:eastAsia="zh-CN" w:bidi="ar-SA"/>
    </w:rPr>
  </w:style>
  <w:style w:type="character" w:styleId="853">
    <w:name w:val="fontstrikethrough"/>
    <w:next w:val="853"/>
    <w:link w:val="791"/>
    <w:rPr>
      <w:strike/>
    </w:rPr>
  </w:style>
  <w:style w:type="character" w:styleId="854">
    <w:name w:val="Plain Text Char Char"/>
    <w:next w:val="854"/>
    <w:link w:val="855"/>
    <w:rPr>
      <w:rFonts w:ascii="宋体" w:hAnsi="Courier New" w:eastAsia="楷体_GB2312"/>
      <w:sz w:val="26"/>
      <w:lang w:val="en-US" w:eastAsia="zh-CN" w:bidi="ar-SA"/>
    </w:rPr>
  </w:style>
  <w:style w:type="paragraph" w:styleId="855">
    <w:name w:val="Plain Text"/>
    <w:basedOn w:val="791"/>
    <w:next w:val="855"/>
    <w:link w:val="854"/>
    <w:rPr>
      <w:rFonts w:ascii="宋体" w:hAnsi="Courier New"/>
    </w:rPr>
  </w:style>
  <w:style w:type="character" w:styleId="856">
    <w:name w:val="bds_nopic1"/>
    <w:next w:val="856"/>
    <w:link w:val="791"/>
  </w:style>
  <w:style w:type="character" w:styleId="857">
    <w:name w:val="正文文本缩进 字符"/>
    <w:next w:val="857"/>
    <w:link w:val="791"/>
    <w:uiPriority w:val="99"/>
    <w:rPr>
      <w:rFonts w:ascii="宋体"/>
      <w:sz w:val="28"/>
    </w:rPr>
  </w:style>
  <w:style w:type="character" w:styleId="858">
    <w:name w:val="font81"/>
    <w:next w:val="858"/>
    <w:link w:val="791"/>
    <w:rPr>
      <w:rFonts w:ascii="宋体" w:hAnsi="宋体" w:eastAsia="宋体" w:cs="宋体"/>
      <w:b/>
      <w:color w:val="000000"/>
      <w:sz w:val="24"/>
      <w:szCs w:val="24"/>
      <w:u w:val="none"/>
    </w:rPr>
  </w:style>
  <w:style w:type="character" w:styleId="859">
    <w:name w:val="fontborder"/>
    <w:next w:val="859"/>
    <w:link w:val="791"/>
  </w:style>
  <w:style w:type="character" w:styleId="860">
    <w:name w:val="bds_more"/>
    <w:next w:val="860"/>
    <w:link w:val="791"/>
  </w:style>
  <w:style w:type="character" w:styleId="861">
    <w:name w:val="font51"/>
    <w:next w:val="861"/>
    <w:link w:val="791"/>
    <w:rPr>
      <w:rFonts w:hint="eastAsia" w:ascii="宋体" w:hAnsi="宋体" w:eastAsia="宋体" w:cs="宋体"/>
      <w:b/>
      <w:color w:val="000000"/>
      <w:sz w:val="24"/>
      <w:szCs w:val="24"/>
      <w:u w:val="none"/>
    </w:rPr>
  </w:style>
  <w:style w:type="character" w:styleId="862">
    <w:name w:val="font11"/>
    <w:next w:val="862"/>
    <w:link w:val="791"/>
    <w:rPr>
      <w:rFonts w:hint="eastAsia" w:ascii="宋体" w:hAnsi="宋体" w:eastAsia="宋体" w:cs="宋体"/>
      <w:b/>
      <w:color w:val="000000"/>
      <w:sz w:val="20"/>
      <w:szCs w:val="20"/>
      <w:u w:val="none"/>
    </w:rPr>
  </w:style>
  <w:style w:type="character" w:styleId="863">
    <w:name w:val="font21"/>
    <w:next w:val="863"/>
    <w:link w:val="791"/>
    <w:qFormat/>
    <w:rPr>
      <w:rFonts w:ascii="Arial" w:hAnsi="Arial" w:cs="Arial"/>
      <w:color w:val="000000"/>
      <w:sz w:val="20"/>
      <w:szCs w:val="20"/>
      <w:u w:val="none"/>
    </w:rPr>
  </w:style>
  <w:style w:type="character" w:styleId="864">
    <w:name w:val="正文首行缩进 2 Char1"/>
    <w:next w:val="864"/>
    <w:link w:val="791"/>
  </w:style>
  <w:style w:type="character" w:styleId="865">
    <w:name w:val="font71"/>
    <w:next w:val="865"/>
    <w:link w:val="791"/>
    <w:rPr>
      <w:rFonts w:ascii="宋体" w:hAnsi="宋体" w:eastAsia="宋体" w:cs="宋体"/>
      <w:b/>
      <w:color w:val="000000"/>
      <w:sz w:val="24"/>
      <w:szCs w:val="24"/>
      <w:u w:val="none"/>
    </w:rPr>
  </w:style>
  <w:style w:type="character" w:styleId="866">
    <w:name w:val="bds_nopic2"/>
    <w:next w:val="866"/>
    <w:link w:val="791"/>
  </w:style>
  <w:style w:type="character" w:styleId="867">
    <w:name w:val="font12"/>
    <w:next w:val="867"/>
    <w:link w:val="791"/>
    <w:rPr>
      <w:rFonts w:hint="eastAsia" w:ascii="宋体" w:hAnsi="宋体" w:eastAsia="宋体" w:cs="宋体"/>
      <w:b/>
      <w:color w:val="000000"/>
      <w:sz w:val="20"/>
      <w:szCs w:val="20"/>
      <w:u w:val="none"/>
    </w:rPr>
  </w:style>
  <w:style w:type="character" w:styleId="868">
    <w:name w:val="font111"/>
    <w:next w:val="868"/>
    <w:link w:val="791"/>
    <w:rPr>
      <w:rFonts w:hint="eastAsia" w:ascii="宋体" w:hAnsi="宋体" w:eastAsia="宋体" w:cs="宋体"/>
      <w:color w:val="000000"/>
      <w:sz w:val="20"/>
      <w:szCs w:val="20"/>
      <w:u w:val="none"/>
    </w:rPr>
  </w:style>
  <w:style w:type="character" w:styleId="869">
    <w:name w:val="font112"/>
    <w:next w:val="869"/>
    <w:link w:val="791"/>
    <w:rPr>
      <w:rFonts w:hint="eastAsia" w:ascii="宋体" w:hAnsi="宋体" w:eastAsia="宋体" w:cs="宋体"/>
      <w:color w:val="000000"/>
      <w:sz w:val="20"/>
      <w:szCs w:val="20"/>
      <w:u w:val="none"/>
    </w:rPr>
  </w:style>
  <w:style w:type="character" w:styleId="870">
    <w:name w:val="Plain Text Char1"/>
    <w:next w:val="870"/>
    <w:link w:val="871"/>
    <w:qFormat/>
    <w:rPr>
      <w:rFonts w:ascii="宋体" w:hAnsi="Courier New" w:eastAsia="楷体_GB2312"/>
      <w:sz w:val="26"/>
    </w:rPr>
  </w:style>
  <w:style w:type="paragraph" w:styleId="871">
    <w:name w:val="纯文本1"/>
    <w:basedOn w:val="791"/>
    <w:next w:val="871"/>
    <w:link w:val="870"/>
    <w:qFormat/>
    <w:rPr>
      <w:rFonts w:ascii="宋体" w:hAnsi="Courier New"/>
    </w:rPr>
  </w:style>
  <w:style w:type="character" w:styleId="872">
    <w:name w:val="bds_more1"/>
    <w:next w:val="872"/>
    <w:link w:val="791"/>
    <w:rPr>
      <w:rFonts w:hint="eastAsia" w:ascii="宋体" w:hAnsi="宋体" w:eastAsia="宋体" w:cs="宋体"/>
    </w:rPr>
  </w:style>
  <w:style w:type="character" w:styleId="873">
    <w:name w:val="font41"/>
    <w:next w:val="873"/>
    <w:link w:val="791"/>
    <w:rPr>
      <w:rFonts w:hint="eastAsia" w:ascii="宋体" w:hAnsi="宋体" w:eastAsia="宋体" w:cs="宋体"/>
      <w:b/>
      <w:color w:val="000000"/>
      <w:sz w:val="24"/>
      <w:szCs w:val="24"/>
      <w:u w:val="none"/>
    </w:rPr>
  </w:style>
  <w:style w:type="character" w:styleId="874">
    <w:name w:val="bds_nopic"/>
    <w:next w:val="874"/>
    <w:link w:val="791"/>
  </w:style>
  <w:style w:type="character" w:styleId="875">
    <w:name w:val="font01"/>
    <w:next w:val="875"/>
    <w:link w:val="791"/>
    <w:rPr>
      <w:rFonts w:hint="eastAsia" w:ascii="宋体" w:hAnsi="宋体" w:eastAsia="宋体" w:cs="宋体"/>
      <w:color w:val="000000"/>
      <w:sz w:val="20"/>
      <w:szCs w:val="20"/>
      <w:u w:val="none"/>
    </w:rPr>
  </w:style>
  <w:style w:type="character" w:styleId="876">
    <w:name w:val="font61"/>
    <w:next w:val="876"/>
    <w:link w:val="791"/>
    <w:rPr>
      <w:rFonts w:hint="eastAsia" w:ascii="宋体" w:hAnsi="宋体" w:eastAsia="宋体" w:cs="宋体"/>
      <w:b/>
      <w:color w:val="000000"/>
      <w:sz w:val="20"/>
      <w:szCs w:val="20"/>
      <w:u w:val="none"/>
    </w:rPr>
  </w:style>
  <w:style w:type="character" w:styleId="877">
    <w:name w:val="_正文段落 Char"/>
    <w:next w:val="877"/>
    <w:link w:val="878"/>
    <w:qFormat/>
    <w:rPr>
      <w:rFonts w:ascii="宋体" w:hAnsi="宋体"/>
      <w:sz w:val="24"/>
      <w:szCs w:val="24"/>
    </w:rPr>
  </w:style>
  <w:style w:type="paragraph" w:styleId="878">
    <w:name w:val="_正文段落"/>
    <w:basedOn w:val="791"/>
    <w:next w:val="878"/>
    <w:link w:val="877"/>
    <w:qFormat/>
    <w:pPr>
      <w:ind w:firstLine="480"/>
      <w:spacing w:line="360" w:lineRule="auto"/>
    </w:pPr>
    <w:rPr>
      <w:rFonts w:ascii="宋体" w:hAnsi="宋体" w:eastAsia="宋体"/>
      <w:sz w:val="24"/>
      <w:szCs w:val="24"/>
    </w:rPr>
  </w:style>
  <w:style w:type="character" w:styleId="879">
    <w:name w:val="bds_more2"/>
    <w:next w:val="879"/>
    <w:link w:val="791"/>
  </w:style>
  <w:style w:type="paragraph" w:styleId="880">
    <w:name w:val="_Style 11"/>
    <w:basedOn w:val="808"/>
    <w:next w:val="836"/>
    <w:link w:val="791"/>
    <w:unhideWhenUsed/>
    <w:qFormat/>
    <w:pPr>
      <w:ind w:left="0" w:firstLine="420"/>
      <w:spacing w:after="0" w:line="360" w:lineRule="exact"/>
    </w:pPr>
    <w:rPr>
      <w:rFonts w:ascii="Times New Roman" w:hAnsi="Times New Roman" w:cs="Times New Roman"/>
    </w:rPr>
  </w:style>
  <w:style w:type="paragraph" w:styleId="881">
    <w:name w:val="列表段落"/>
    <w:basedOn w:val="791"/>
    <w:next w:val="881"/>
    <w:link w:val="791"/>
    <w:uiPriority w:val="34"/>
    <w:qFormat/>
    <w:pPr>
      <w:ind w:firstLine="420"/>
    </w:pPr>
  </w:style>
  <w:style w:type="paragraph" w:styleId="882">
    <w:name w:val=" Char Char4"/>
    <w:basedOn w:val="791"/>
    <w:next w:val="791"/>
    <w:link w:val="791"/>
    <w:pPr>
      <w:spacing w:line="360" w:lineRule="auto"/>
      <w:shd w:val="clear" w:color="auto" w:fill="000080"/>
    </w:pPr>
  </w:style>
  <w:style w:type="paragraph" w:styleId="883">
    <w:name w:val="正文 A"/>
    <w:next w:val="883"/>
    <w:link w:val="791"/>
    <w:qFormat/>
    <w:pPr>
      <w:jc w:val="both"/>
      <w:widowControl w:val="off"/>
      <w:framePr w:wrap="around" w:vAnchor="margin" w:hAnchor="text" w:yAlign="top"/>
    </w:pPr>
    <w:rPr>
      <w:rFonts w:hAnsi="Arial Unicode MS" w:eastAsia="Arial Unicode MS" w:cs="Arial Unicode MS"/>
      <w:color w:val="000000"/>
      <w:sz w:val="21"/>
      <w:szCs w:val="21"/>
      <w:lang w:val="en-US" w:eastAsia="zh-CN" w:bidi="ar-SA"/>
    </w:rPr>
  </w:style>
  <w:style w:type="paragraph" w:styleId="884">
    <w:name w:val="font7"/>
    <w:basedOn w:val="791"/>
    <w:next w:val="884"/>
    <w:link w:val="791"/>
    <w:pPr>
      <w:jc w:val="left"/>
      <w:spacing w:before="100" w:beforeAutospacing="1" w:after="100" w:afterAutospacing="1"/>
      <w:widowControl/>
    </w:pPr>
    <w:rPr>
      <w:rFonts w:eastAsia="宋体"/>
      <w:sz w:val="20"/>
    </w:rPr>
  </w:style>
  <w:style w:type="paragraph" w:styleId="885">
    <w:name w:val="Plain Text1"/>
    <w:basedOn w:val="791"/>
    <w:next w:val="885"/>
    <w:link w:val="791"/>
    <w:rPr>
      <w:rFonts w:hint="eastAsia" w:ascii="宋体" w:hAnsi="Courier New"/>
    </w:rPr>
  </w:style>
  <w:style w:type="paragraph" w:styleId="886">
    <w:name w:val="Style1"/>
    <w:basedOn w:val="791"/>
    <w:next w:val="886"/>
    <w:link w:val="791"/>
    <w:qFormat/>
    <w:pPr>
      <w:ind w:left="0"/>
      <w:tabs>
        <w:tab w:val="left" w:pos="-720" w:leader="none"/>
      </w:tabs>
    </w:pPr>
    <w:rPr>
      <w:rFonts w:ascii="Times New Roman" w:hAnsi="Times New Roman" w:cs="Times New Roman"/>
      <w:spacing w:val="-3"/>
      <w:sz w:val="24"/>
      <w:szCs w:val="24"/>
      <w:lang w:val="en-AU" w:eastAsia="en-US"/>
    </w:rPr>
  </w:style>
  <w:style w:type="paragraph" w:styleId="887">
    <w:name w:val="目录 21"/>
    <w:next w:val="791"/>
    <w:link w:val="791"/>
    <w:qFormat/>
    <w:pPr>
      <w:jc w:val="both"/>
    </w:pPr>
    <w:rPr>
      <w:sz w:val="21"/>
      <w:lang w:val="en-US" w:eastAsia="zh-CN" w:bidi="ar-SA"/>
    </w:rPr>
  </w:style>
  <w:style w:type="paragraph" w:styleId="888">
    <w:name w:val="Andy_正文"/>
    <w:basedOn w:val="791"/>
    <w:next w:val="819"/>
    <w:link w:val="791"/>
    <w:qFormat/>
    <w:pPr>
      <w:ind w:firstLine="480"/>
      <w:spacing w:line="360" w:lineRule="auto"/>
    </w:pPr>
    <w:rPr>
      <w:rFonts w:ascii="Calibri"/>
      <w:sz w:val="24"/>
    </w:rPr>
  </w:style>
  <w:style w:type="paragraph" w:styleId="889">
    <w:name w:val="TableOfAuthoring1"/>
    <w:basedOn w:val="791"/>
    <w:next w:val="791"/>
    <w:link w:val="791"/>
    <w:qFormat/>
    <w:pPr>
      <w:ind w:left="420"/>
    </w:pPr>
    <w:rPr>
      <w:rFonts w:ascii="Calibri" w:hAnsi="Calibri" w:eastAsia="楷体_GB2312"/>
      <w:szCs w:val="24"/>
    </w:rPr>
  </w:style>
  <w:style w:type="paragraph" w:styleId="890">
    <w:name w:val="p18"/>
    <w:basedOn w:val="791"/>
    <w:next w:val="890"/>
    <w:link w:val="791"/>
    <w:pPr>
      <w:ind w:firstLine="420"/>
      <w:jc w:val="left"/>
      <w:widowControl/>
    </w:pPr>
    <w:rPr>
      <w:rFonts w:eastAsia="宋体"/>
      <w:sz w:val="24"/>
      <w:szCs w:val="24"/>
    </w:rPr>
  </w:style>
  <w:style w:type="paragraph" w:styleId="891">
    <w:name w:val="正文文本缩进11"/>
    <w:basedOn w:val="791"/>
    <w:next w:val="791"/>
    <w:link w:val="791"/>
    <w:qFormat/>
    <w:pPr>
      <w:ind w:firstLine="570"/>
    </w:pPr>
    <w:rPr>
      <w:rFonts w:ascii="宋体" w:eastAsia="宋体"/>
      <w:sz w:val="28"/>
    </w:rPr>
  </w:style>
  <w:style w:type="paragraph" w:styleId="892">
    <w:name w:val="纯文本2"/>
    <w:basedOn w:val="791"/>
    <w:next w:val="892"/>
    <w:link w:val="791"/>
    <w:qFormat/>
    <w:rPr>
      <w:rFonts w:ascii="宋体" w:hAnsi="Courier New" w:eastAsia="楷体_GB2312"/>
      <w:sz w:val="26"/>
      <w:szCs w:val="20"/>
    </w:rPr>
  </w:style>
  <w:style w:type="paragraph" w:styleId="893">
    <w:name w:val="03 正文"/>
    <w:basedOn w:val="791"/>
    <w:next w:val="893"/>
    <w:link w:val="791"/>
    <w:qFormat/>
    <w:pPr>
      <w:ind w:firstLine="420"/>
      <w:spacing w:line="500" w:lineRule="atLeast"/>
      <w:widowControl/>
    </w:pPr>
    <w:rPr>
      <w:szCs w:val="22"/>
    </w:rPr>
  </w:style>
  <w:style w:type="paragraph" w:styleId="894">
    <w:name w:val="段"/>
    <w:next w:val="791"/>
    <w:link w:val="791"/>
    <w:qFormat/>
    <w:pPr>
      <w:ind w:firstLine="200"/>
      <w:jc w:val="both"/>
    </w:pPr>
    <w:rPr>
      <w:rFonts w:ascii="宋体"/>
      <w:sz w:val="21"/>
      <w:lang w:val="en-US" w:eastAsia="zh-CN" w:bidi="ar-SA"/>
    </w:rPr>
  </w:style>
  <w:style w:type="paragraph" w:styleId="895">
    <w:name w:val="正文首行缩进两字符"/>
    <w:basedOn w:val="791"/>
    <w:next w:val="895"/>
    <w:link w:val="791"/>
    <w:pPr>
      <w:ind w:firstLine="200"/>
      <w:spacing w:line="360" w:lineRule="auto"/>
    </w:pPr>
    <w:rPr>
      <w:rFonts w:eastAsia="宋体"/>
      <w:sz w:val="21"/>
      <w:szCs w:val="24"/>
    </w:rPr>
  </w:style>
  <w:style w:type="paragraph" w:styleId="896">
    <w:name w:val="正文_1"/>
    <w:next w:val="896"/>
    <w:link w:val="791"/>
    <w:qFormat/>
    <w:pPr>
      <w:jc w:val="both"/>
      <w:widowControl w:val="off"/>
    </w:pPr>
    <w:rPr>
      <w:rFonts w:ascii="Calibri" w:hAnsi="Calibri"/>
      <w:sz w:val="21"/>
      <w:szCs w:val="22"/>
      <w:lang w:val="en-US" w:eastAsia="zh-CN" w:bidi="ar-SA"/>
    </w:rPr>
  </w:style>
  <w:style w:type="paragraph" w:styleId="897">
    <w:name w:val="首行缩进"/>
    <w:basedOn w:val="791"/>
    <w:next w:val="897"/>
    <w:link w:val="791"/>
    <w:qFormat/>
    <w:pPr>
      <w:ind w:firstLine="480"/>
    </w:pPr>
    <w:rPr>
      <w:szCs w:val="20"/>
      <w:lang w:val="zh-CN"/>
    </w:rPr>
  </w:style>
  <w:style w:type="paragraph" w:styleId="898">
    <w:name w:val="Char"/>
    <w:basedOn w:val="791"/>
    <w:next w:val="898"/>
    <w:link w:val="791"/>
    <w:rPr>
      <w:rFonts w:ascii="Tahoma" w:hAnsi="Tahoma" w:eastAsia="宋体"/>
      <w:sz w:val="24"/>
    </w:rPr>
  </w:style>
  <w:style w:type="paragraph" w:styleId="899">
    <w:name w:val="正文1"/>
    <w:basedOn w:val="791"/>
    <w:next w:val="791"/>
    <w:link w:val="791"/>
    <w:qFormat/>
    <w:pPr>
      <w:ind w:left="420" w:firstLine="527"/>
      <w:spacing w:before="120" w:line="360" w:lineRule="auto"/>
    </w:pPr>
    <w:rPr>
      <w:rFonts w:ascii="宋体" w:hAnsi="宋体"/>
    </w:rPr>
  </w:style>
  <w:style w:type="paragraph" w:styleId="900">
    <w:name w:val="_Style 1"/>
    <w:basedOn w:val="791"/>
    <w:next w:val="900"/>
    <w:link w:val="791"/>
    <w:uiPriority w:val="34"/>
    <w:qFormat/>
    <w:pPr>
      <w:ind w:firstLine="420"/>
    </w:pPr>
  </w:style>
  <w:style w:type="paragraph" w:styleId="901">
    <w:name w:val="Default"/>
    <w:next w:val="814"/>
    <w:link w:val="791"/>
    <w:uiPriority w:val="99"/>
    <w:qFormat/>
    <w:pPr>
      <w:ind w:firstLine="5120"/>
      <w:widowControl w:val="off"/>
    </w:pPr>
    <w:rPr>
      <w:rFonts w:ascii="Calibri" w:hAnsi="Calibri" w:eastAsia="宋体" w:cs="宋体"/>
      <w:sz w:val="21"/>
      <w:szCs w:val="22"/>
      <w:lang w:val="en-US" w:eastAsia="zh-CN" w:bidi="ar-SA"/>
    </w:rPr>
  </w:style>
  <w:style w:type="paragraph" w:styleId="902">
    <w:name w:val="正文文本1"/>
    <w:basedOn w:val="791"/>
    <w:next w:val="902"/>
    <w:link w:val="791"/>
    <w:uiPriority w:val="99"/>
    <w:unhideWhenUsed/>
    <w:qFormat/>
    <w:rPr>
      <w:rFonts w:ascii="楷体_GB2312"/>
      <w:b/>
      <w:bCs/>
      <w:sz w:val="28"/>
    </w:rPr>
  </w:style>
  <w:style w:type="paragraph" w:styleId="903">
    <w:name w:val="正文缩进111"/>
    <w:basedOn w:val="791"/>
    <w:next w:val="791"/>
    <w:link w:val="791"/>
    <w:qFormat/>
    <w:pPr>
      <w:ind w:firstLine="420"/>
      <w:jc w:val="left"/>
    </w:pPr>
    <w:rPr>
      <w:sz w:val="24"/>
    </w:rPr>
  </w:style>
  <w:style w:type="paragraph" w:styleId="904">
    <w:name w:val="正文文本缩进1"/>
    <w:basedOn w:val="791"/>
    <w:next w:val="791"/>
    <w:link w:val="791"/>
    <w:qFormat/>
    <w:pPr>
      <w:ind w:firstLine="570"/>
    </w:pPr>
    <w:rPr>
      <w:rFonts w:ascii="宋体" w:eastAsia="宋体"/>
      <w:sz w:val="28"/>
    </w:rPr>
  </w:style>
  <w:style w:type="paragraph" w:styleId="905">
    <w:name w:val="二级小标题"/>
    <w:basedOn w:val="791"/>
    <w:next w:val="905"/>
    <w:link w:val="791"/>
    <w:qFormat/>
    <w:rPr>
      <w:rFonts w:hint="eastAsia"/>
      <w:b/>
      <w:bCs/>
    </w:rPr>
  </w:style>
  <w:style w:type="table" w:styleId="906">
    <w:name w:val="网格型1"/>
    <w:next w:val="906"/>
    <w:link w:val="791"/>
    <w:qFormat/>
    <w:pPr>
      <w:jc w:val="both"/>
      <w:widowControl w:val="off"/>
    </w:pPr>
    <w:tblPr/>
  </w:style>
  <w:style w:type="paragraph" w:styleId="907">
    <w:name w:val="表格字体"/>
    <w:basedOn w:val="791"/>
    <w:next w:val="907"/>
    <w:link w:val="791"/>
    <w:qFormat/>
    <w:pPr>
      <w:spacing w:line="400" w:lineRule="exact"/>
      <w:widowControl/>
    </w:pPr>
    <w:rPr>
      <w:rFonts w:hint="eastAsia" w:cs="宋体"/>
      <w:bCs/>
      <w:color w:val="000000"/>
      <w:sz w:val="24"/>
      <w:szCs w:val="18"/>
    </w:rPr>
  </w:style>
  <w:style w:type="paragraph" w:styleId="908">
    <w:name w:val="备注"/>
    <w:basedOn w:val="791"/>
    <w:next w:val="908"/>
    <w:link w:val="791"/>
    <w:qFormat/>
    <w:pPr>
      <w:jc w:val="left"/>
      <w:spacing w:line="400" w:lineRule="exact"/>
      <w:widowControl/>
    </w:pPr>
    <w:rPr>
      <w:rFonts w:hint="eastAsia" w:ascii="宋体" w:hAnsi="宋体" w:cs="宋体"/>
      <w:b/>
      <w:color w:val="000000"/>
      <w:sz w:val="24"/>
      <w:szCs w:val="18"/>
    </w:rPr>
  </w:style>
  <w:style w:type="character" w:styleId="15898" w:default="1">
    <w:name w:val="Default Paragraph Font"/>
    <w:uiPriority w:val="1"/>
    <w:semiHidden/>
    <w:unhideWhenUsed/>
  </w:style>
  <w:style w:type="numbering" w:styleId="15899" w:default="1">
    <w:name w:val="No List"/>
    <w:uiPriority w:val="99"/>
    <w:semiHidden/>
    <w:unhideWhenUsed/>
  </w:style>
  <w:style w:type="table" w:styleId="1590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Manager/>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政 </dc:title>
  <dc:creator>we</dc:creator>
  <cp:lastModifiedBy>钟雅婷</cp:lastModifiedBy>
  <cp:revision>2</cp:revision>
  <dcterms:created xsi:type="dcterms:W3CDTF">2024-04-15T08:57:00Z</dcterms:created>
  <dcterms:modified xsi:type="dcterms:W3CDTF">2024-12-25T07:21:56Z</dcterms:modified>
</cp:coreProperties>
</file>