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Arial" w:hAnsi="Arial" w:eastAsia="Arial" w:cs="Arial"/>
          <w:b/>
          <w:color w:val="000000"/>
          <w:sz w:val="32"/>
        </w:rPr>
        <w:t xml:space="preserve">2025-2026</w:t>
      </w:r>
      <w:r>
        <w:rPr>
          <w:rFonts w:ascii="SimSun" w:hAnsi="SimSun" w:eastAsia="SimSun" w:cs="SimSun"/>
          <w:b/>
          <w:color w:val="000000"/>
          <w:sz w:val="32"/>
        </w:rPr>
        <w:t xml:space="preserve">年度市容秩序管理外包服务项目</w:t>
      </w:r>
      <w:r>
        <w:rPr>
          <w:rFonts w:ascii="Calibri" w:hAnsi="Calibri" w:eastAsia="Calibri" w:cs="Calibri"/>
          <w:b/>
          <w:color w:val="000000"/>
          <w:sz w:val="32"/>
        </w:rPr>
        <w:t xml:space="preserve">(</w:t>
      </w:r>
      <w:r>
        <w:rPr>
          <w:rFonts w:ascii="SimSun" w:hAnsi="SimSun" w:eastAsia="SimSun" w:cs="SimSun"/>
          <w:b/>
          <w:color w:val="000000"/>
          <w:sz w:val="32"/>
        </w:rPr>
        <w:t xml:space="preserve">文港路、科教城标段</w:t>
      </w:r>
      <w:r>
        <w:rPr>
          <w:rFonts w:ascii="Calibri" w:hAnsi="Calibri" w:eastAsia="Calibri" w:cs="Calibri"/>
          <w:b/>
          <w:color w:val="000000"/>
          <w:sz w:val="32"/>
        </w:rPr>
        <w:t xml:space="preserve">)</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6"/>
        </w:rPr>
        <w:t xml:space="preserve">JSZC-320992-KSPZ-G2025-0028</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b/>
          <w:color w:val="000000"/>
          <w:sz w:val="30"/>
        </w:rPr>
        <w:t xml:space="preserve">江苏省盐南高新技术产业开发区城市管理服务中心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代理机构：昆山品正建设顾问有限公司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9</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ind w:left="0" w:right="0" w:firstLine="0"/>
        <w:jc w:val="center"/>
        <w:spacing w:before="240" w:after="24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ind w:left="0" w:right="0" w:firstLine="0"/>
        <w:jc w:val="center"/>
        <w:spacing w:before="240" w:after="24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ind w:left="0" w:right="0" w:firstLine="0"/>
        <w:jc w:val="center"/>
        <w:spacing w:before="240" w:after="24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招标公告……………………………………3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投标人须知…………………………………7</w:t>
      </w:r>
      <w:r>
        <w:rPr>
          <w:rFonts w:ascii="SimSun" w:hAnsi="SimSun" w:eastAsia="SimSun" w:cs="SimSun"/>
          <w:color w:val="000000"/>
          <w:sz w:val="36"/>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合同文本……………………………………23</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采购需求……………………………………42</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评标方法与评标标准………………………46</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投标文件格式………………………………49</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rPr>
          <w:rFonts w:ascii="Calibri" w:hAnsi="Calibri" w:eastAsia="Calibri" w:cs="Calibri"/>
          <w:sz w:val="24"/>
        </w:rPr>
      </w:r>
      <w:r/>
    </w:p>
    <w:p>
      <w:pPr>
        <w:ind w:left="0" w:right="0" w:firstLine="480"/>
        <w:jc w:val="both"/>
        <w:spacing w:before="240" w:after="240" w:line="276"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240" w:after="240" w:line="276"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2025-2026年度市容秩序管理外包服务项目(文港路、科教城标段) </w:t>
      </w:r>
      <w:r>
        <w:rPr>
          <w:rFonts w:ascii="SimSun" w:hAnsi="SimSun" w:eastAsia="SimSun" w:cs="SimSun"/>
          <w:color w:val="000000"/>
          <w:sz w:val="24"/>
        </w:rPr>
        <w:t xml:space="preserve">招标项目的潜在投标人可在</w:t>
      </w:r>
      <w:r>
        <w:rPr>
          <w:rFonts w:ascii="SimSun" w:hAnsi="SimSun" w:eastAsia="SimSun" w:cs="SimSun"/>
          <w:color w:val="333333"/>
          <w:sz w:val="24"/>
          <w:highlight w:val="white"/>
        </w:rPr>
        <w:t xml:space="preserve">“苏采云”系统内免费下载（投标人必须在苏采云系统中获取采购文件，方能参与政府采购项目）</w:t>
      </w:r>
      <w:r>
        <w:rPr>
          <w:rFonts w:ascii="SimSun" w:hAnsi="SimSun" w:eastAsia="SimSun" w:cs="SimSun"/>
          <w:color w:val="000000"/>
          <w:sz w:val="24"/>
        </w:rPr>
        <w:t xml:space="preserve">，并于</w:t>
      </w:r>
      <w:r>
        <w:rPr>
          <w:rFonts w:ascii="SimSun" w:hAnsi="SimSun" w:eastAsia="SimSun" w:cs="SimSun"/>
          <w:color w:val="000000"/>
          <w:sz w:val="24"/>
          <w:u w:val="single"/>
        </w:rPr>
        <w:t xml:space="preserve">2025年11月18日09点00分（</w:t>
      </w:r>
      <w:r>
        <w:rPr>
          <w:rFonts w:ascii="SimSun" w:hAnsi="SimSun" w:eastAsia="SimSun" w:cs="SimSun"/>
          <w:color w:val="000000"/>
          <w:sz w:val="24"/>
        </w:rPr>
        <w:t xml:space="preserve">北京时间）前递交投标文件。</w:t>
      </w:r>
      <w:r/>
    </w:p>
    <w:p>
      <w:pPr>
        <w:ind w:left="0" w:right="0" w:firstLine="498"/>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333333"/>
          <w:sz w:val="24"/>
          <w:highlight w:val="white"/>
        </w:rPr>
        <w:t xml:space="preserve">JSZC-320992-KSPZ-G2025-0028</w:t>
      </w:r>
      <w:r/>
    </w:p>
    <w:p>
      <w:pPr>
        <w:ind w:left="0" w:right="0" w:firstLine="480"/>
        <w:spacing w:before="120" w:after="12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2.项目名称：2025-2026年度市容秩序管理外包服务项目(文港路、科教城标段)</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3.采购方式：公开招标</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4.预算金额：206.8万元</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5.最高限价：2068000.00元</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6.采购需求：2025-2026年度市容秩序管理外包服务项目(文港路、科教城标段)，具体详见招标文件采购需求。</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本项目服务期24个月，从2025年至2026年，合同一年一签，每年服务合同期满后并经采购人考核合格可续签本合同，续签一次；如经采购人考核不合格，采购人有权终止合同，重新组织招标。如因盐南高新技术产业开发区政府的城市管理工作管辖权的调整，采购人可无条件终止合同。注:服务期限内，经采购人考核服务质量达不到采购人要求或不服从采购人安排的，采购人有权终止合同)。</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8.质量要求：达到国家相关标准及招标人要求(详见招标人考核办法)。</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9.本项目不接受联合体投标。</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（1）投标人须是在中国境内注册，具有独立承担民事责任能力的法人企业。</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（2）投标人具有省级及以上公安部门核发的保安服务许可证。</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委托代理人、项目负责人及项目组成员必须为投标人本单位正式职工，投标时必须提供委托代理人、项目负责人及项目组成员投标人所在地人社部门出具缴纳的一年内至少一个月在本单位缴纳养老保险缴费记录证明并加盖投标单位公章。</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98"/>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1.时间：2025年11月18日</w:t>
      </w:r>
      <w:r>
        <w:rPr>
          <w:rFonts w:ascii="SimSun" w:hAnsi="SimSun" w:eastAsia="SimSun" w:cs="SimSun"/>
          <w:color w:val="000000"/>
          <w:sz w:val="24"/>
          <w:highlight w:val="white"/>
        </w:rPr>
        <w:t xml:space="preserve">9:00时</w:t>
      </w:r>
      <w:r>
        <w:rPr>
          <w:rFonts w:ascii="SimSun" w:hAnsi="SimSun" w:eastAsia="SimSun" w:cs="SimSun"/>
          <w:color w:val="000000"/>
          <w:sz w:val="24"/>
        </w:rPr>
        <w:t xml:space="preserve">（北京时间）</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 。</w:t>
      </w:r>
      <w:r/>
    </w:p>
    <w:p>
      <w:pPr>
        <w:ind w:left="0" w:right="0" w:firstLine="498"/>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自本公告发布之日起5个工作日。</w:t>
      </w:r>
      <w:r/>
    </w:p>
    <w:p>
      <w:pPr>
        <w:ind w:left="0" w:right="0" w:firstLine="498"/>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 </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 </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3.有关本次招标的事项若存在变动或修改，敬请及时关注盐城市政府采购代理机构在“中国政府采购网”“江苏政府采购网”“盐城市政府采购网”发布的更正公告。</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4.本次招标不收取投标保证金，不收取质量保证金。</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名称：江苏省盐南高新技术产业开发区城市管理服务中心</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地址：盐城市城南新区新龙广场6#楼</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 系 人：杨先生</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联系电话：13961990022</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名称：昆山品正建设顾问有限公司</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址：盐城市城南新区大宇花苑南区别墅95号</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 系 人：朱女士</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联系电话：13921889267</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 系 人：杨先生</w:t>
      </w:r>
      <w:r/>
    </w:p>
    <w:p>
      <w:pPr>
        <w:ind w:left="0" w:right="0" w:firstLine="560"/>
        <w:jc w:val="both"/>
        <w:spacing w:before="0" w:after="0" w:line="276"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联系电话：13961990022</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rPr>
        <w:t xml:space="preserve">投标人须知</w:t>
      </w:r>
      <w:r/>
    </w:p>
    <w:p>
      <w:pPr>
        <w:ind w:left="0" w:right="0" w:firstLine="498"/>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4.1投标人应自行承担所有与参加投标有关的费用，无论投标过程中的做法和结果如何，采购人在任何情况下均无义务和责任承担这些费用。</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中标代理服务费收取：本项目招标代理费及造价咨询费由中标单位支付，在领取中标通知书时向采购代理机构缴纳，按国家收费标准苏招协[2022]002号文收费标准及苏建价协[2022]7号文收费标准计取。此费用由投标人在投标报价中综合考虑，采购人不再支付除投标报价以外的任何费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ind w:left="0" w:right="0" w:firstLine="5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8.1在投标截止时间前，采购代理机构可以对招标文件进行修改。</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8.2采购代理机构有权按照法定的要求推迟投标截止日期和开标日期。</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w:t>
      </w:r>
      <w:r>
        <w:rPr>
          <w:rFonts w:ascii="SimSun" w:hAnsi="SimSun" w:eastAsia="SimSun" w:cs="SimSun"/>
          <w:color w:val="333333"/>
          <w:sz w:val="24"/>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82"/>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中国政府采购网”“江苏政府采购网”“盐城市政府采购网”发布的招标文件不一致，请以</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中国政府采购网”“江苏政府采购网”“盐城市政府采购网”发布的招标文件为准。</w:t>
      </w:r>
      <w:r/>
    </w:p>
    <w:p>
      <w:pPr>
        <w:numPr>
          <w:ilvl w:val="0"/>
          <w:numId w:val="5"/>
        </w:numPr>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证明投标人及投标标的符合招标文件规定的文件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11.1投标人应按照法律、法规、规章和规范性文件以及招标文件要求提交证明文件，证明其及投标标的符合招标文件规定。</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分项报价表，不仅应包括所有人员的工资、法定节假日加班费、休息日加班费、社保、公积金、福利费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人员工资及相关费用测算依据：所有人员工资不低于本市最低工资标准2486元/人每月（按照《关于进一步保障全省环卫行业工人合法权益的实施意见》月工资收入不得低于当地最低工资标准的110%的硬性规定）、</w:t>
      </w:r>
      <w:r/>
      <w:r>
        <w:rPr>
          <w:rFonts w:ascii="FangSong" w:hAnsi="FangSong" w:eastAsia="FangSong" w:cs="FangSong"/>
          <w:b/>
          <w:color w:val="000000"/>
          <w:sz w:val="28"/>
        </w:rPr>
        <w:t xml:space="preserve">社保费用应执行江苏省省人力资源社会保障厅、省财政厅、省医疗保障局、省税务局关于发布2025年度社会保险有关基数的通知，</w:t>
      </w:r>
      <w:r/>
      <w:r>
        <w:rPr>
          <w:rFonts w:ascii="SimSun" w:hAnsi="SimSun" w:eastAsia="SimSun" w:cs="SimSun"/>
          <w:b/>
          <w:color w:val="000000"/>
          <w:sz w:val="24"/>
        </w:rPr>
        <w:t xml:space="preserve">五险（缴费基数为</w:t>
      </w:r>
      <w:r>
        <w:rPr>
          <w:rFonts w:ascii="SimSun" w:hAnsi="SimSun" w:eastAsia="SimSun" w:cs="SimSun"/>
          <w:b/>
          <w:color w:val="000000"/>
          <w:sz w:val="24"/>
          <w:highlight w:val="yellow"/>
        </w:rPr>
        <w:t xml:space="preserve">4952元</w:t>
      </w:r>
      <w:r>
        <w:rPr>
          <w:rFonts w:ascii="SimSun" w:hAnsi="SimSun" w:eastAsia="SimSun" w:cs="SimSun"/>
          <w:b/>
          <w:color w:val="000000"/>
          <w:sz w:val="24"/>
        </w:rPr>
        <w:t xml:space="preserve">，养老保险16%、医疗保险8%、工伤保险0.7%、生育保险0.9%、失业保险0.5%及大病保险6元）按</w:t>
      </w:r>
      <w:r>
        <w:rPr>
          <w:rFonts w:ascii="SimSun" w:hAnsi="SimSun" w:eastAsia="SimSun" w:cs="SimSun"/>
          <w:b/>
          <w:color w:val="000000"/>
          <w:sz w:val="24"/>
          <w:highlight w:val="yellow"/>
        </w:rPr>
        <w:t xml:space="preserve">1298.47元</w:t>
      </w:r>
      <w:r>
        <w:rPr>
          <w:rFonts w:ascii="SimSun" w:hAnsi="SimSun" w:eastAsia="SimSun" w:cs="SimSun"/>
          <w:b/>
          <w:color w:val="000000"/>
          <w:sz w:val="24"/>
        </w:rPr>
        <w:t xml:space="preserve">/人/月测算，所有人员夏季高温津贴按国家相关规定执行，不低于1600元/人每年(400×4)，法定节假日加班费4052.41元/人/年（2260元/21.75天*3倍*13天），休息日加班费10806.44元/人/年（2260/21.75*2*52），住房公积金不得低</w:t>
      </w:r>
      <w:r>
        <w:rPr>
          <w:rFonts w:ascii="SimSun" w:hAnsi="SimSun" w:eastAsia="SimSun" w:cs="SimSun"/>
          <w:b/>
          <w:color w:val="000000"/>
          <w:sz w:val="24"/>
          <w:highlight w:val="yellow"/>
        </w:rPr>
        <w:t xml:space="preserve">于114元</w:t>
      </w:r>
      <w:r>
        <w:rPr>
          <w:rFonts w:ascii="SimSun" w:hAnsi="SimSun" w:eastAsia="SimSun" w:cs="SimSun"/>
          <w:b/>
          <w:color w:val="000000"/>
          <w:sz w:val="24"/>
        </w:rPr>
        <w:t xml:space="preserve">人/每月，各投标人统一按照6.72%缴纳法定税费，低于此费用的投标报价符合性审查不通过。</w:t>
      </w:r>
      <w:r/>
      <w:r/>
      <w:r>
        <w:rPr>
          <w:sz w:val="22"/>
        </w:rPr>
      </w:r>
    </w:p>
    <w:p>
      <w:pPr>
        <w:ind w:left="0" w:right="0" w:firstLine="48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法定节假日的加班工资（因行业的特殊性，采购人要求所有项目组成员在11天法定节假日全员上班；休息日人员按50%的比例上班，故按52个休息日测算人员加班费，且采购人将对工资、福利的发放，保险的缴纳，项目组成员上班出勤率等进行考核。）以不低于国家及本省相关规定测算，低于此费用的投标报价符合性审查不通过且作废标处理。(投标人需考虑每年最低工资增长产生的额外费用，由此产生的额外支出，甲方不作费用调整）。</w:t>
      </w:r>
      <w:r/>
    </w:p>
    <w:p>
      <w:pPr>
        <w:ind w:left="0" w:right="0" w:firstLine="48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12.4其它费用处理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招标文件未列明，而投标人认为必需的费用也需列入报价。</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12.5投标货币</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投标文件中的货物单价和总价无特殊规定的采用人民币报价，以元为单位标注。招标文件中另有规定的按规定执行。</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 项目单价按招标文件要求填报。</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276" w:lineRule="auto"/>
        <w:tabs>
          <w:tab w:val="left" w:pos="10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rPr>
          <w:rFonts w:ascii="SimSun" w:hAnsi="SimSun" w:eastAsia="SimSun" w:cs="SimSun"/>
          <w:i/>
          <w:color w:val="000000"/>
          <w:sz w:val="24"/>
          <w:u w:val="single"/>
        </w:rPr>
        <w:t xml:space="preserve">投标人上传电子投标文件的时间不得迟于招标公告中规定的投标截止时间。</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18.2采购人或采购代理机构可以按照规定，通过修改招标文件酌情延长投标截止时间，在此情况下，投标人的所有权利和义务以及投标人受制的截止时间均应以延长后新的截止时间为准。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19.1采购人或采购代理机构拒绝接收在其规定的投标截止时间后上传的任何投标文件。</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3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21.1采购人或采购代理机构将在招标公告中规定的时间和地点组织公开开标。投标人应当按照《操作手册》规定，参加开标活动和在苏采云系统规定的时间内对投标文件进行解密。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21.2开标仪式由采购代理机构组织。苏采云系统将自动对项目进行开标，并宣布各投标人名称和投标价格。</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22.1开标后，采购人或采购代理机构将立即组织评标委员会（以下简称评委会）进行评标。</w:t>
      </w:r>
      <w:r/>
    </w:p>
    <w:p>
      <w:pPr>
        <w:ind w:left="0"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22.3评委会独立工作，负责评审所有投标文件并确定中标候选人。</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23.3采购人或采购代理机构和评标委员会不向未中标的投标人解释未中标原因，也不公布评标过程中的相关细节。</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24.3接到评委会澄清、说明和补正要求的投标人如未按规定作出澄清、说明和补正，其风险由投标人自行承担。</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或采购代理机构将在苏采云系统中告知未通过资格审查或符合性审查的原因，评标结束后，采购人或采购代理机构将不再告知未通过资格审查和符合性审查的原因。</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25.6投标人在开、评标全过程中应保持通信畅通，及时登录苏采云系统查阅、答复相关信息，并安排专人与采购人或采购代理机构及评标委员会联系。</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26、无效投标条款和废标条款</w:t>
      </w:r>
      <w:r/>
    </w:p>
    <w:p>
      <w:pPr>
        <w:ind w:left="479"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26.1.1投标人在苏采云系统规定的时间内未成功解密电子投标文件的。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26.1.2投标人未按照招标文件要求上传电子投标文件的。</w:t>
      </w:r>
      <w:r/>
    </w:p>
    <w:p>
      <w:pPr>
        <w:ind w:left="479"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26.1.3同一投标人提交两个（含两个）以上不同的投标报价的。</w:t>
      </w:r>
      <w:r/>
    </w:p>
    <w:p>
      <w:pPr>
        <w:ind w:left="479"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26.1.4投标人不具备招标文件中规定资格要求的。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26.1.5投标人的报价超过了采购预算或最高限价的。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36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26.1.7不符合招标文件中规定的实质性要求和条件的（</w:t>
      </w:r>
      <w:r>
        <w:rPr>
          <w:rFonts w:ascii="SimSun" w:hAnsi="SimSun" w:eastAsia="SimSun" w:cs="SimSun"/>
          <w:i/>
          <w:color w:val="000000"/>
          <w:sz w:val="22"/>
          <w:u w:val="single"/>
        </w:rPr>
        <w:t xml:space="preserve">本招标文件中斜体且有下划线部分为实质性要求和条件）。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26.1.9投标文件含有采购人不能接受的附加条件的。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26.1.10投标人不能证明其报价合理性的，评标委员会应当将其作为无效投标处理。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（一）评审过程中出现下列情形之一的，评标委员会应当启动异常低价投标审查程序：</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1.投标报价低于采购项目预算50% 的，即投标报价&lt;采购项目预算×50%；</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2.投标报价低于采购项目最高限价45% 的，即投标报价&lt;采购项目最高限价×45%；</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3.评标委员会认定的供应商报价过低、有可能影响产品质量或者不能诚信履约的其他情形。</w:t>
      </w:r>
      <w:r/>
    </w:p>
    <w:p>
      <w:pPr>
        <w:ind w:left="0" w:right="0" w:firstLine="48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26.1.11投标文件未按照招标文件要求加盖CA电子公章的。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26.1.12其他法律、法规及本招标文件规定的属无效投标的情形。</w:t>
      </w:r>
      <w:r/>
    </w:p>
    <w:p>
      <w:pPr>
        <w:ind w:left="479"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44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w:t>
      </w:r>
      <w:r/>
    </w:p>
    <w:p>
      <w:pPr>
        <w:ind w:left="479"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26.2.2出现影响采购公正的违法、违规行为的。</w:t>
      </w:r>
      <w:r/>
    </w:p>
    <w:p>
      <w:pPr>
        <w:ind w:left="479"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44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26.2.4评标委员会认定招标文件存在歧义、重大缺陷导致评审工作无法进行。</w:t>
      </w:r>
      <w:r/>
    </w:p>
    <w:p>
      <w:pPr>
        <w:ind w:left="479"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26.2.5因苏采云系统系统故障原因造成开标不成功的。</w:t>
      </w:r>
      <w:r/>
    </w:p>
    <w:p>
      <w:pPr>
        <w:ind w:left="479"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27、确定中标单位</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27.3采购人或采购代理机构将在“中国政府采购网”“江苏政府采购网”“盐城市政府采购网”发布中标公告，公告期限为1个工作日。</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145" w:after="145"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2"/>
        <w:jc w:val="both"/>
        <w:spacing w:before="0" w:after="0" w:line="276"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276"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 人（含10 人）；</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60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276"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276"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 </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0" w:after="0" w:line="276"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32.8履约保证金政策</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预付款制度</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%（原则上不低于合同金额的30%）。在签订合同时，中标、成交供应商明确书面表示无需预付款或者主动要求降低预付款比例的，采购人可就预付款比例作相应调整。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38"/>
        <w:ind w:left="0" w:right="0" w:firstLine="0"/>
        <w:jc w:val="center"/>
        <w:spacing w:before="0" w:after="0" w:line="56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第三章合同条款及格式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以下为中标后签定本项目合同的通用条款，中标人不得提出实质性的修改，关于专用条款将由采购人与中标人结合本项目具体情况协商后签订。</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50"/>
        <w:gridCol w:w="7004"/>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50" w:type="dxa"/>
            <w:vAlign w:val="bottom"/>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00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50" w:type="dxa"/>
            <w:vAlign w:val="bottom"/>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00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甲、乙双方根据2025-2026年度市容秩序管理外包服务项目(文港路、科教城标段)公开招标的结果，签署本合同。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 项目概况：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1.1项目名称：2025-2026年度市容秩序管理外包服务项目(文港路、科教城标段)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1.2项目地点：盐南高新区境内。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时间：本项目服务期24个月，从2025年至2026年，合同一年一签，每年服务合同期满后并经采购人考核合格可续签本合同，续签一次；如经采购人考核不合格，采购人有权终止合同，重新组织招标。如因盐南高新技术产业开发区政府的城市管理工作管辖权的调整，采购人可无条件终止合同。注:服务期限内，经采购人考核服务质量达不到采购人要求或不服从采购人安排的，采购人有权终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1.4管理范围、人员配置及工作时间：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(一)管理范围：东至串场河、西至西环路、南至盐徐高速、北至盐渎路(含)。</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(二)人员配备要求：</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3"/>
        <w:gridCol w:w="1096"/>
        <w:gridCol w:w="926"/>
        <w:gridCol w:w="4847"/>
        <w:gridCol w:w="1134"/>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设置人数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具有大专以上学历，熟悉政府相关法律以及管理条例，负责市容环境管理服务的各项工作。项目经理要求年龄在30-55周岁，具有3年以上市容环境管理服务的工作经验，签订合同前需提供相关证明材料。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男性年龄要求在法律规定退休年龄前有劳动能力者，身体健康、品行良好、责任心强、无违法纪录，持证上岗，有5年以上相关工作经验。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路段长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男性年龄要求在法律规定退休年龄前有劳动能力者，身体健康、品行良好、责任心强、无违法纪录，高中以上学历。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vMerge w:val="restart"/>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队员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男性年龄要求在法律规定退休年龄前有劳动能力者，身体健康、品行良好、责任心强、无违法纪录，初中以上学历。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女性年龄要求在法律规定退休年龄前有劳动能力者，身体健康、品行良好、责任心强、无违法纪录，初中以上学历。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中标人必须按不少于上述人员的数量进行配置，否则采购人有权终止合同。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注：本项目所有员工都在计算范围内，所有人员实发工资每月不得低于3500元。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(三)工作时间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上班时间：夏季上午：6：00---晚上10：00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冬季上午：6：00---晚上9：00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可调配人员可用于早间、中午、晚间值班，保证上述时间段不能空岗。</w:t>
      </w:r>
      <w:r/>
    </w:p>
    <w:p>
      <w:pPr>
        <w:numPr>
          <w:ilvl w:val="0"/>
          <w:numId w:val="6"/>
        </w:numPr>
        <w:jc w:val="both"/>
        <w:spacing w:before="0" w:after="0" w:line="360" w:lineRule="auto"/>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装备要求：包含机动车2辆、执法纪录仪25台、二轮电动车20辆。装备所有权归中标人所有，使用权归采购人。</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注：所有装备安全由乙方负全部责任。</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工作服饰要求：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在工作出勤时间，应当根据季节时令，穿着统一的制式服装，佩戴统一的标志标识，并按规定佩戴帽徽、肩章、领花、臂章、胸徽、胸号等标志标识，不得佩戴与身份不符的其它标志标识或饰品。制式服装应当成套规范穿着，标配黑色皮带、黑色皮鞋，保持整洁完好，不得与便服混穿，不得披衣、敞怀、挽袖、卷裤腿。</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签订后10天内，乙方必须按照招投标文件清单中的车辆、员工工作服饰及设备配置要求将车辆及设备配置至甲方指定现场核查，征得甲方同意后，人员、车辆及其他装置持证上岗；乙方作业车辆需符合相关法律法规要求，车辆标记字样需通过甲方认可；当天工作结束后须将执法记录仪中相关数据及工作日志形成台账予以备份保存，随时供甲方查阅。如乙方不能满足上述要求及甲方管理，甲方有权终止合同，乙方所交纳的履约保证金作违约金不予退还。</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二、履约保证金、合同价款及支付: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2.1乙方交纳人民币合同金额的</w:t>
      </w:r>
      <w:r>
        <w:rPr>
          <w:rFonts w:ascii="SimSun" w:hAnsi="SimSun" w:eastAsia="SimSun" w:cs="SimSun"/>
          <w:color w:val="000000"/>
          <w:sz w:val="24"/>
          <w:u w:val="single"/>
        </w:rPr>
        <w:t xml:space="preserve">10</w:t>
      </w:r>
      <w:r>
        <w:rPr>
          <w:rFonts w:ascii="SimSun" w:hAnsi="SimSun" w:eastAsia="SimSun" w:cs="SimSun"/>
          <w:color w:val="000000"/>
          <w:sz w:val="24"/>
        </w:rPr>
        <w:t xml:space="preserve">%元作为本合同的履约保证金。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应当对AA评级及以上政府采购供应商（需提供信用管理部门备案的第三方信用报告）免收履约保证金或降低履约保证金缴纳比例。本项目约定为降低履约保证金缴纳比例，降低比例为合同金额的5%）</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2.2确需收取履约保证金的，履约保证金的缴纳形式：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如以履约保函（保险）形式缴纳履约保证金，供应商可通过政府采购电子履约保函（保险）平台（www.jsdzbh.com）在线申请履约保函（保险）。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2.3合同履行结束后，甲方应及时退还交纳的履约保证金。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2.4履约保证金的退还：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2.4.1方式：退还至投标人缴纳履约保证金的账户。如为保函，在到期时自行失效。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2.4.2时间：验收合格且采购人收到发票后30日内。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2.4.3条件：按合同要求全部履约完成并经采购人验收合格，且采购人收到中标人出具的发票。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2.4.4不予退还情形：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2.5合同总价款（大写）</w:t>
      </w:r>
      <w:r>
        <w:rPr>
          <w:rFonts w:ascii="SimSun" w:hAnsi="SimSun" w:eastAsia="SimSun" w:cs="SimSun"/>
          <w:color w:val="000000"/>
          <w:sz w:val="24"/>
          <w:u w:val="single"/>
        </w:rPr>
        <w:t xml:space="preserve">    </w:t>
      </w:r>
      <w:r>
        <w:rPr>
          <w:rFonts w:ascii="SimSun" w:hAnsi="SimSun" w:eastAsia="SimSun" w:cs="SimSun"/>
          <w:color w:val="000000"/>
          <w:sz w:val="24"/>
        </w:rPr>
        <w:t xml:space="preserve">元/年，￥</w:t>
      </w:r>
      <w:r>
        <w:rPr>
          <w:rFonts w:ascii="SimSun" w:hAnsi="SimSun" w:eastAsia="SimSun" w:cs="SimSun"/>
          <w:color w:val="000000"/>
          <w:sz w:val="24"/>
          <w:u w:val="single"/>
        </w:rPr>
        <w:t xml:space="preserve">        </w:t>
      </w:r>
      <w:r>
        <w:rPr>
          <w:rFonts w:ascii="SimSun" w:hAnsi="SimSun" w:eastAsia="SimSun" w:cs="SimSun"/>
          <w:color w:val="000000"/>
          <w:sz w:val="24"/>
        </w:rPr>
        <w:t xml:space="preserve">元/年。即中标月服务费为￥</w:t>
      </w:r>
      <w:r>
        <w:rPr>
          <w:rFonts w:ascii="SimSun" w:hAnsi="SimSun" w:eastAsia="SimSun" w:cs="SimSun"/>
          <w:color w:val="000000"/>
          <w:sz w:val="24"/>
          <w:u w:val="single"/>
        </w:rPr>
        <w:t xml:space="preserve">        </w:t>
      </w:r>
      <w:r>
        <w:rPr>
          <w:rFonts w:ascii="SimSun" w:hAnsi="SimSun" w:eastAsia="SimSun" w:cs="SimSun"/>
          <w:color w:val="000000"/>
          <w:sz w:val="24"/>
        </w:rPr>
        <w:t xml:space="preserve">元/月（中标月服务费=中标价/12）。</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2.6合同款支付办法：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（1）合同签订后支付30%作为预付款；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本合同开始后自第一个月起，甲方向乙方支付的每月服务费中扣除预付款的10%，直至预付款抵扣完毕。如本合同到期终止或提前解除后，预付款如有剩余，则乙方于双方合作终止之日7天内退还甲方，如乙方未按规定时间退还，甲方直接从履约保证金中扣除。每季度付款额按年中标价/4为基数（不足月费用按年度服务费用除以365日计），并扣除预付款的10%*3（预付款的扣除自合同开始后第一个月起，扣完为止）扣款，每季度次月25日前凭票支付上季度的费用，甲方收到发票10日内付清该笔发票金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注：1、按以上付款，无任何银行利息，一律通过银行结转。签订合同前双方约定开票方式，承包人必须按发包人要求的方式足额纳税；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2、项目付款前提供符合发包人要求的发票，税率按国家规定；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3、乙方需将每月人工工资账单明细、保险明细提供给甲方备案核查。</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三、甲方权利和义务：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3.1甲方委托</w:t>
      </w:r>
      <w:r>
        <w:rPr>
          <w:rFonts w:ascii="SimSun" w:hAnsi="SimSun" w:eastAsia="SimSun" w:cs="SimSun"/>
          <w:color w:val="000000"/>
          <w:sz w:val="24"/>
          <w:u w:val="single"/>
        </w:rPr>
        <w:t xml:space="preserve">      </w:t>
      </w:r>
      <w:r>
        <w:rPr>
          <w:rFonts w:ascii="SimSun" w:hAnsi="SimSun" w:eastAsia="SimSun" w:cs="SimSun"/>
          <w:color w:val="000000"/>
          <w:sz w:val="24"/>
        </w:rPr>
        <w:t xml:space="preserve">担任该项目的现场代表。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3.2甲方代表可委托有关具体管理人员，行使自己相应的权利和承担自己相应的职责，随时监督并对承包人进行考核，并可以在任何时候撤回，撤回和委托均应提前 1 天通知承包人。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3.3甲方有权对路段划分进行调整，工作量变化承包人需要服从突击任务安排，不再另外支付相关费用。</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四、承包人权利和义务：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4.1承包人委派担任该项目的项目负责人(承包人现场代表)。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4.2承包人应按约定时间和要求，完成以下工作：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(1)做好文明服务工作，保证服务场地符合城市管理的有关规定；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(2)项目服务中注意加强各项安全措施，杜绝安全事故的发生。承包人对安全事故负全责。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(3)中标人无条件服从管理考核办法中所有条款。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(4)项目服务结束，必须向委托人递交完整的资料一套。经甲方乙方双方初验。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五、违约责任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5.1乙方不服从甲方管理，甲方有权终止合同，乙方所交纳的履约保证金作违约金不予退还。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5.2乙方擅自转包的，甲方有权终止合同。同时乙方交纳的履约保证金作合同违约金不予退还。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5.3乙方在用工等方面如违反《中华人民共和国劳动合同法》及相关规定， 甲方终止本合同，同时视乙方为违约，所交纳履约保证金作违约金不予退回。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(1)乙方不按照规定发放工资、福利、缴纳保险等，在当月经费中扣除相关费用，补发当事人并处费用的200%的处罚。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(2)因上班期间发生的交通安全、工伤等意外事故由乙方自行负责处理并承担责任。乙方未按照有关规定处理，引起的矛盾由乙方承担，在次月经费中扣除相关费用并处产生费用的200%的处罚。</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六、安全责任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6.1公司搞好内部管理，加强安全生产教育，每月必须进行一次安全教育宣传、会议、检查、建立台账。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公司必须与职工签安全责任书，如出现安全事故，责任由乙方(承担)处理。</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七、合同的变更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如发生行政区域调整等不可抗力因素，无条件终止合同。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乙方在合同期内，工作未能按照甲方的要求完成任务并考核年内不合格的，无条件终止合同。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注：考核不合格是指每月扣款费用达到本月总费用的30%。</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八、争议的解决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本合同在履行过程中发生的争议，由双方当事人协商解决，协商不成的，按下列第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⑴提交  /  仲裁委员会(建设工程仲裁办事处)仲裁；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⑵依法向工程所在地人民法院起诉。</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color w:val="000000"/>
          <w:sz w:val="24"/>
        </w:rPr>
        <w:t xml:space="preserve">、双方约定合同份数：本合同共</w:t>
      </w:r>
      <w:r>
        <w:rPr>
          <w:rFonts w:ascii="SimSun" w:hAnsi="SimSun" w:eastAsia="SimSun" w:cs="SimSun"/>
          <w:color w:val="000000"/>
          <w:sz w:val="24"/>
          <w:u w:val="single"/>
        </w:rPr>
        <w:t xml:space="preserve">   </w:t>
      </w:r>
      <w:r>
        <w:rPr>
          <w:rFonts w:ascii="SimSun" w:hAnsi="SimSun" w:eastAsia="SimSun" w:cs="SimSun"/>
          <w:color w:val="000000"/>
          <w:sz w:val="24"/>
        </w:rPr>
        <w:t xml:space="preserve">页，壹式</w:t>
      </w:r>
      <w:r>
        <w:rPr>
          <w:rFonts w:ascii="SimSun" w:hAnsi="SimSun" w:eastAsia="SimSun" w:cs="SimSun"/>
          <w:color w:val="000000"/>
          <w:sz w:val="24"/>
          <w:u w:val="single"/>
        </w:rPr>
        <w:t xml:space="preserve">拾</w:t>
      </w:r>
      <w:r>
        <w:rPr>
          <w:rFonts w:ascii="SimSun" w:hAnsi="SimSun" w:eastAsia="SimSun" w:cs="SimSun"/>
          <w:color w:val="000000"/>
          <w:sz w:val="24"/>
        </w:rPr>
        <w:t xml:space="preserve">份，甲方</w:t>
      </w:r>
      <w:r>
        <w:rPr>
          <w:rFonts w:ascii="SimSun" w:hAnsi="SimSun" w:eastAsia="SimSun" w:cs="SimSun"/>
          <w:color w:val="000000"/>
          <w:sz w:val="24"/>
          <w:u w:val="single"/>
        </w:rPr>
        <w:t xml:space="preserve">伍</w:t>
      </w:r>
      <w:r>
        <w:rPr>
          <w:rFonts w:ascii="SimSun" w:hAnsi="SimSun" w:eastAsia="SimSun" w:cs="SimSun"/>
          <w:color w:val="000000"/>
          <w:sz w:val="24"/>
        </w:rPr>
        <w:t xml:space="preserve">份，乙方</w:t>
      </w:r>
      <w:r>
        <w:rPr>
          <w:rFonts w:ascii="SimSun" w:hAnsi="SimSun" w:eastAsia="SimSun" w:cs="SimSun"/>
          <w:color w:val="000000"/>
          <w:sz w:val="24"/>
          <w:u w:val="single"/>
        </w:rPr>
        <w:t xml:space="preserve">伍</w:t>
      </w:r>
      <w:r>
        <w:rPr>
          <w:rFonts w:ascii="SimSun" w:hAnsi="SimSun" w:eastAsia="SimSun" w:cs="SimSun"/>
          <w:color w:val="000000"/>
          <w:sz w:val="24"/>
        </w:rPr>
        <w:t xml:space="preserve">份。</w:t>
      </w:r>
      <w:r/>
    </w:p>
    <w:p>
      <w:pPr>
        <w:pStyle w:val="840"/>
        <w:ind w:left="0" w:right="0" w:firstLine="0"/>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8"/>
        <w:gridCol w:w="4686"/>
      </w:tblGrid>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6"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乙方：(章)</w:t>
            </w:r>
            <w:r/>
          </w:p>
        </w:tc>
      </w:tr>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6"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其委托代理人：(签字)</w:t>
            </w:r>
            <w:r/>
          </w:p>
        </w:tc>
      </w:tr>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bottom"/>
            <w:textDirection w:val="lrTb"/>
            <w:noWrap w:val="false"/>
          </w:tcPr>
          <w:p>
            <w:pPr>
              <w:ind w:left="0" w:right="0" w:firstLine="0"/>
              <w:jc w:val="right"/>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tab/>
              <w:t xml:space="preserve">月</w:t>
              <w:tab/>
              <w:t xml:space="preserve">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6" w:type="dxa"/>
            <w:vAlign w:val="bottom"/>
            <w:textDirection w:val="lrTb"/>
            <w:noWrap w:val="false"/>
          </w:tcPr>
          <w:p>
            <w:pPr>
              <w:ind w:left="0" w:right="0" w:firstLine="0"/>
              <w:jc w:val="right"/>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tab/>
              <w:t xml:space="preserve">月</w:t>
              <w:tab/>
              <w:t xml:space="preserve">  日</w:t>
            </w:r>
            <w:r/>
          </w:p>
        </w:tc>
      </w:tr>
    </w:tbl>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管理考核办法</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提升我区城市管理水平，促进我区市容秩序管理全面走向市场化规范化、制度化、常态化，结合我区实际，制定本办法。考核坚持问题导向和公平、公正、公开原则，坚持责、权、利相统一原则，坚持过程与结果并重原则，坚持奖惩并举原则。</w:t>
      </w:r>
      <w:r/>
    </w:p>
    <w:p>
      <w:pPr>
        <w:ind w:left="0" w:right="0" w:firstLine="6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一、组织实施</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市容秩序外包服务单位的考核由区城管局城管执法中队组织实施。同时接受区城管局督查协调科抽查。</w:t>
      </w:r>
      <w:r/>
    </w:p>
    <w:p>
      <w:pPr>
        <w:ind w:left="0" w:right="0" w:firstLine="6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二、考核方式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方式为日考核、周汇总、月打分，按当月实际扣分值计算，分值不记上限，每1分值扣管理费20元。由区城管局职能科室采取日常检查、随机抽查、跟踪督查的办法进行。每日定期对辖区范围内的市容秩序情况进行全面检查。同时，不定期进行随机抽查。对群众来信来访反映的市容秩序问题和网络舆情反映的热点难点问题，进行跟踪督查。</w:t>
      </w:r>
      <w:r/>
    </w:p>
    <w:p>
      <w:pPr>
        <w:ind w:left="0" w:right="0" w:firstLine="6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三、考核内容</w:t>
      </w:r>
      <w:r/>
    </w:p>
    <w:p>
      <w:pPr>
        <w:ind w:left="0" w:right="0" w:firstLine="6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1、及时发现、劝阻出店经营、占道经营、建章占道、乱泼污水、乱倒垃圾、乱披乱挂、乱堆乱放、乱搭乱建等影响市容环境卫生的行为。</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2、及时劝阻、引导流动商贩到指定的疏导点按时规范摆放或入店、入场经营；及时劝导放心早餐规范经营、按时收摊。</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3、对未经批准擅自设置门头店招、户外广告、落地灯箱的行为及时劝导；沿街派发商业性宣传品、户外走秀 使用高音喇叭叫卖以及从事促销、展览、咨询等活动劝阻。</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4、对不按规定占用盲道、人行道的机动车、非机动车乱停放行为及时进行劝阻，引导车主规范停车，做到集中定点有序停放。</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可视范围内的“牛皮癣”(包括建筑物、构筑物、地面、设施等表面张贴、刻画、涂写的非法广告及宣传品、通讯号码以及其所产生的污垢，各种非法张贴在公共信息广告张贴栏以外的纸质或胶纸等广告)加强巡查。</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6、对交通设施、道路路面、路灯设施、排(污)水设施、花坛、绿地、树木损坏等行为进行劝阻，并上报有关职能部门。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7、对乱倒生产、生活垃圾和建筑垃圾渣土进行劝阻，并上报有关职能部门。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8、对从事卜卦、算命、赌博、乞讨、卖艺等违法活动进行劝阻，并上报有关职能部门。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9、对擅自从事开挖道路、建筑物外部装修装饰、增设或者调整公共设施、乱拉乱接线等行为进行制止，并上报有关职能部门。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10、完成甲方交付的其它管理任务。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四、考核要求和考评细则</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1"/>
        <w:gridCol w:w="2773"/>
        <w:gridCol w:w="1256"/>
        <w:gridCol w:w="1191"/>
        <w:gridCol w:w="2244"/>
      </w:tblGrid>
      <w:tr>
        <w:trPr>
          <w:trHeight w:val="208"/>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8285" w:type="dxa"/>
            <w:vAlign w:val="center"/>
            <w:textDirection w:val="lrTb"/>
            <w:noWrap w:val="false"/>
          </w:tcPr>
          <w:p>
            <w:pPr>
              <w:ind w:left="0" w:right="0" w:firstLine="0"/>
              <w:jc w:val="center"/>
              <w:spacing w:before="157"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工作内容考核扣分表</w:t>
            </w:r>
            <w:r/>
          </w:p>
        </w:tc>
      </w:tr>
      <w:tr>
        <w:trPr>
          <w:trHeight w:val="53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扣分项目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对应</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流动摊点乱摆乱设（含烧烤摊点）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出店经营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车辆停放杂乱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店招及广告管理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不及时发现、劝阻和报告</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沿街散发小广告</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不及时发现、劝阻和报告</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城市“牛皮癣”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不及时清理</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占道修理或冲洗车辆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占用人行道（绿道）晾晒衣服等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占道堆放物料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噪音扰民</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污染城市道路</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不及时发现、报告</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擅自倾倒建筑或生活垃圾</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不及时发现、劝阻和报告</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流浪乞讨劝离</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不及时发现、劝阻</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《江苏省城市市容和环境卫生管理条例》中城市管理其它内容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不及时发现、汇报</w:t>
            </w:r>
            <w:r/>
          </w:p>
        </w:tc>
      </w:tr>
    </w:tbl>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（一）考核方式要求</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1、日常考核。由所属市容执法分队每日对市容管理服务路段，随机抽查，对照“考核分值表”进行日考核，并将考核结果次日上午通报，并签字确认，每1分值扣管理费20元。</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2、不择时全区域考核。由执法中队机动分队对照“考核分值表”每周检查一次，不择时对管理路段实施考核，双倍扣分，每1分值扣管理费20元。</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3、领导巡检。由区、局不定时检查，由执法中队对照“考核分值表”，单列“领导巡检扣分”，并由局督查协调科进行通报，3倍扣分，每1分值扣管理费,20元。</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(二)工作纪律及扣分标准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1、聘用人员按规定的工作时间准时上下班，不迟到，不早退(含开会)，上下班采取定位定点拍照上传方式，违反的扣所属公司管理1分/人次。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2、聘用人员上班期间必须按规定着装，保持衣帽整洁，并规范使用指定的装备及工具，违反的扣所属公司管理费2分/人次。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3、聘用人员按规定每周调休一天，每周将调休和上班考勤表报执法大队；不按规定调休或者履行请假手续的，扣管理费5分/人次。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4、聘用人员上班时间不得无故离岗、脱岗、串岗，不准吃零食、抽烟、饮酒，不做与工作无关的事，不聚集聊天，违反的扣管理费1分/人次。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5、因违反工作纪律受到群众投诉的一经查实，1次扣10分，情节严重造成恶劣影响的给予辞退。</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(三)督查考核</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中标单位必须在管理区域内设置1名项目负责人(此负责人不得从事其它单位其它项目)，中标单位必须严格按照要求配备约定的装备、设备等，确保市容秩序管理质量。</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按规定设置相应的管理人员，每天对当日工作情况进行整理，离职、入职人员次日上午及时向城管中队报备，并做好日常、学习、制度管理等相关工作台账，定期上报城管中队，违反的扣管理费10-50分/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2、中标单位必须对聘用人员实行岗前培训，并取得保安员证书，了解相关法律法规、工作内容等，考核中发现聘用人员对工作内容不了解或尚未取得保安员证书的，按情节严重程度扣管理费25-100分/人次。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3、城管分队每天通报考核情况，中标单位每天确认日常考核表，违反的扣管理费5分/次。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严格按合同要求聘用人员(以上报核准人数为准)，不缺人、不断档。同时，中标单位不得使用超龄人员，一经核实，同缺人、断档处理。违反的扣管理费3分/人次。缺人连续3次以上的(含3次)，扣管理费90分/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5、中标单位聘用人员对城管执法的考核无理取闹的，对考核人员谩骂打击报复的，扣管理费50分/人次。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6、在国家、省、市、区级考核中(如：大市区考核、第三方测评等)，如因服务路段问题造成考核排名靠后，扣20分；如造成重大影响的问题扣50分；并对考核中所涉及问题三倍扣分；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7、中标单位在迎查、迎检、保障等活动期间督查发现问题双倍扣分，领导发现问题3倍扣分，造成重大影响的问题点10倍扣分。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8、中标单位聘用人员若与市民发生严重争执，影响到城管形象的，扣所属管理费25分/次；在重大保障活动中失责、遭媒体曝光，严重影响到城管形象的，必须无条件辞退，并扣管理费50分/次。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9、若中标单位调用本项目里服务人员承接非本合同范围的项目，一经查实，扣管理费25-50分/次。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10、中标单位聘用人员上岗前必须取得保安员证书，若发现无证人员，扣管理费30分/人/次。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11、中标单位聘用人员工资发放必须严格按照相关法律法规进行发放，不得违规苛扣员工工资，养老、医疗等保险严格按照招标文件中要求实施，一经查实，扣管理费25-50分/人/次。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(四)奖励加分考核</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1、如因集中整治、违章拆除、道路保障等事宜，抽调公司人员，每人每次加2分(如涉及加班3小时内按每人每次2分；3小时以上每人每次3分)。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2、如因工作需要，抽调公司人员至其他路段加班，3小时内每人每次加分2分；3小时以上每人每次3分。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3、国家、省、市、区级考核中(如：大市区考核、第三方测评等)排名第一，外包服务公司奖励50分；服务单位完成交办任务受到区、市政府表扬的加20分-50分；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其他特殊交办事宜，在交办期限内完成交办任务加20分(难度大的问题加20-50分之间)。</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单位有拾金不昧、见义勇为等好人好事及其他管理工作上先进做法，经查证属实，被新闻媒体报道宣传的，(拾金不昧价值1000元以下的【含证卡文件】、3000元以下的、5000元以上)，所属服务单位按市级报道的分别加10分、20分、30分，获省级报道先进事迹的每次加50分，国家主流媒体(中央一套、人民日报、新华日报)报道的每次加100分；拾金不昧、见义勇为等好人好事有弄虚作假行为一经查实每起扣罚服务单位100分。被报道人员，公司须予以精神及物质奖励，年底评优评先，优先考虑。</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盐南高新区发展做出贡献的，比如提供有用土地招商信息及引进产业项目入户盐南高新区的每个加100分；引进楼宇企业纳税额达1万元以上10万元以下的每个加30分；10万元以上50万元以下的每个加50分；50万元以上的每个加100分，每递增10万元的加10分，并在下一轮报招中，评优评先，优先考虑。</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6、管理考核结果直接与服务单位服务费用挂钩兑现；奖励分值与每月督查考核扣分相结合，结算服务单位相关服务费用。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五、其它要求</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1、在合同期内，中标公司不得将项目分包或整体转包给任何单位和个人，否则，招标单位有权即刻终止合同，并要求中标方赔偿所有相应损失。</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2、中标公司所有员工身份证及相关资料必须在招标方备案。</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3、中标单位员工在管理服务过程中必须加强劳动保护，在工作中如发生意外人身伤亡事故，由中标公司自行处理，招标方概不负责。</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4、中标单位员工在管理服务时必须遵守招标方所有现场的管理规定，否则造成的后果一律由中标单位负责。</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5、甲方在项目实施过程中如需遇工作内容、工作范围等调整，对本考核办法进行修改，中标单位须无条件服从。</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6、管理考核结果直接与服务单位服务费用挂钩兑现；奖励分值与每月督查考核扣分相结合，结算服务单位相关服务费用。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7、中标单位提供一间固定办公场所。</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78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乙方：(章)</w:t>
            </w:r>
            <w:r/>
          </w:p>
        </w:tc>
      </w:tr>
      <w:tr>
        <w:trPr>
          <w:trHeight w:val="9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其委托代理人：(签字)</w:t>
            </w:r>
            <w:r/>
          </w:p>
        </w:tc>
      </w:tr>
      <w:tr>
        <w:trPr>
          <w:trHeight w:val="9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bottom"/>
            <w:textDirection w:val="lrTb"/>
            <w:noWrap w:val="false"/>
          </w:tcPr>
          <w:p>
            <w:pPr>
              <w:ind w:left="0" w:right="0" w:firstLine="25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tab/>
              <w:t xml:space="preserve">   月</w:t>
              <w:tab/>
              <w:t xml:space="preserve">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bottom"/>
            <w:textDirection w:val="lrTb"/>
            <w:noWrap w:val="false"/>
          </w:tcPr>
          <w:p>
            <w:pPr>
              <w:ind w:left="0" w:right="0" w:firstLine="25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w:t>
              <w:tab/>
              <w:t xml:space="preserve">月</w:t>
              <w:tab/>
              <w:t xml:space="preserve">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根据相关工程建设、廉政建设的规定，为做好工程建设中的党风廉政建设，保证工程建设高效优质，保证建设资金的安全和有效使用以及投资效益，(以下简称“甲方”)与(以下称“乙方”)，特订立如下合同。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第一条甲乙双方的权利和义务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(一)严格遵守党和国家有关法律法规的有关规定。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(二)严格执行合同文件，自觉按合同办事。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(三)双方的业务活动坚持公开、公正、诚信、透明的原则(除法律认定的商业秘密和合同文件另有规定之外)，不得损害国家和集体的利益，违反工程建设管理规章制度。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(四)建立健全廉政制度，开展廉政教育，设立廉政告示牌，公布举报电话，监督并认真查处违法违纪行为。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(五)发现对方在业务活动中有违反廉政规定的行为，有及时提醒对方纠正的权利和义务。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(六)发现对方严重违反本合同义务条款的行为，有向其上级有关部门举报，建议给予处理并要求告知处理结果的权利。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甲方的义务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(二)甲方工作人员不得参加乙方安排的宴请、健身、旅游及娱乐活动，不得接受乙方提供的通讯工具、交通工具和高档办公用品以及通信充值卡、加油卡等。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(三)甲方工作人员不得要求或者接受乙方为其汽车或住房装修、婚丧嫁娶活动、配偶子女的工作安排以及出国出境、旅游等提供方便等。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(四)甲方工作人员的配偶、子女不得从事与甲方工程有关的材料设备供应，工程分包、劳务等经济活动等。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(五)甲方及其工作人员不得以任何理由向乙方推荐分包单位，不得要求乙方购买合同规定外的材料和设备。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乙方义务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(二)乙方不得以任何理由安排上述人员参加宴请、健身、旅游及娱乐等活动。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(三)乙方不得为甲方单位和个人购置或提供通讯工具、交通工具和高档办公用品以及通信充值卡、加油卡等。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(四)乙方不得为上述人员提供汽车或住房等装修；不得为上述人员的婚丧嫁娶、配偶子女的工作安排以及出国出境、旅游等提供方便。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(五)乙方愿意以工程合同总工作量的1%作为廉政保证金。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第二条违约责任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(一)甲方及其工作人员违反本合同第一、二条，按管理权限，依据有关规定给予党纪、政纪或组织处理，涉嫌犯罪的，移交司法机关追究刑事责任；给乙方单位造成经济损失的，应予以赔偿。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第四条本合同有效期为甲乙双方签署之日起至该工程项目竣工验收后为止。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第五条本合同作为工程施工合同的附件，合同份数与本主合同的约定相同，与合同具有同等的法律效力，由双方法定代表人或其授权的代理人签署与加盖公章后生效，全部工程竣工验收后失效。</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乙方：(章)</w:t>
            </w:r>
            <w:r/>
          </w:p>
        </w:tc>
      </w:tr>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其委托代理人：(签字)</w:t>
            </w:r>
            <w:r/>
          </w:p>
        </w:tc>
      </w:tr>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bottom"/>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tab/>
              <w:t xml:space="preserve">月</w:t>
              <w:tab/>
              <w:t xml:space="preserve">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bottom"/>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tab/>
              <w:t xml:space="preserve">月</w:t>
              <w:tab/>
              <w:t xml:space="preserve">  日</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361"/>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61"/>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61"/>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shd w:val="nil" w:color="auto"/>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r/>
    </w:p>
    <w:p>
      <w:pPr>
        <w:ind w:left="0" w:right="0" w:firstLine="0"/>
        <w:jc w:val="center"/>
        <w:spacing w:before="0" w:after="0" w:line="519"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安全生产合同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b/>
          <w:color w:val="000000"/>
          <w:sz w:val="24"/>
          <w:u w:val="single"/>
        </w:rPr>
        <w:t xml:space="preserve">                                    </w:t>
      </w:r>
      <w:r>
        <w:rPr>
          <w:rFonts w:ascii="SimSun" w:hAnsi="SimSun" w:eastAsia="SimSun" w:cs="SimSun"/>
          <w:color w:val="000000"/>
          <w:sz w:val="24"/>
        </w:rPr>
        <w:t xml:space="preserve">合同的实施过程中创造安全、高效的施工环境，切实搞好本项目的安全管理工作，</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（以下简称“甲方”）与承包人</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（以下简称“乙方”）特此签订安全生产合同：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一、甲方职责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2、按照“安全第一、预防为主”和坚持“管生产必须管安全”的原则进行安全生产管理，做到生产与安全工作同时计划、布置、检查、总结和评比。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3、重要的安全设施必须坚持与主体工程“三同时”的原则，即：同时设计，审批，同时施工，同时验收，投入使用。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4、定期召开安全生产调度会，及时传达中央及地方有关安全生产的精神。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5、组织对乙方施工现场安全生产检查，监督乙方及时处理发现的各种安全隐患。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二、乙方职责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4、乙方在任何时候都应采取各种合理的预防措施，防止其员工发生任何违法、违禁、暴力或妨碍治安的行为。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7、操作人员上岗，必须按规定穿戴防护用品。施工负责人和安全检查员应随时检查劳动防护用品的穿戴情况，不按规定穿戴防护用品的人员不得上岗。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8、所有施工机具设备和高空作业的设备均应定期检查，并有安全员的签字记录，保证其经常处于完好状态；不合格的机具、设备和劳动保护用品严禁使用。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9、施工中采用新技术、新工艺、新设备、新材料时，必须制定相应的安全技术措施，施工现场必须具有相关的安全标志牌。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如因甲方或乙方违约造成安全事故，将依法追究责任。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本合同作为主合同附件，合同份数与本主合同的约定相同，与施工合同具有同等的法律效力，由双方法定代表人或其授权的代理人签署与加盖公章后生效，全部工程竣工验收后失效。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甲方单位：（盖章）乙方单位：（盖章）</w:t>
      </w:r>
      <w:r/>
    </w:p>
    <w:p>
      <w:pPr>
        <w:ind w:left="83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法定代表人：（签名）法定代表人：（签名）</w:t>
      </w:r>
      <w:r/>
    </w:p>
    <w:p>
      <w:pPr>
        <w:ind w:left="357"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或委托代理人：(签名)                 或委托代理人：(签名)</w:t>
      </w:r>
      <w:r/>
    </w:p>
    <w:p>
      <w:pPr>
        <w:ind w:left="0" w:right="0" w:firstLine="46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5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shd w:val="nil" w:color="auto"/>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shd w:val="nil" w:color="auto"/>
        <w:rPr>
          <w:rFonts w:ascii="SimHei" w:hAnsi="SimHei" w:eastAsia="SimHei" w:cs="SimHei"/>
          <w:color w:val="000000"/>
          <w:sz w:val="44"/>
          <w:szCs w:val="44"/>
          <w:highlight w:val="none"/>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240"/>
        <w:jc w:val="center"/>
        <w:spacing w:before="0" w:after="0" w:line="519" w:lineRule="atLeast"/>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Hei" w:hAnsi="SimHei" w:eastAsia="SimHei" w:cs="SimHei"/>
          <w:color w:val="000000"/>
          <w:sz w:val="44"/>
        </w:rPr>
        <w:t xml:space="preserve">第四章 采购需求</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 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1.1项目名称：2025-2026年度市容秩序管理外包服务项目(文港路、科教城标段)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1.2项目地点：盐南高新区境内。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时间：本项目服务期24个月，从2025年至2026年，合同一年一签，每年服务合同期满后并经采购人考核合格可续签本合同，续签一次；如经采购人考核不合格，采购人有权终止合同，重新组织招标。如因盐南高新技术产业开发区政府的城市管理工作管辖权的调整，采购人可无条件终止合同。注:服务期限内，经采购人考核服务质量达不到采购人要求或不服从采购人安排的，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1.4管理范围、人员配置及工作时间：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(一)管理范围：东至串场河、西至西环路、南至盐徐高速、北至盐渎路(含)。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(二)人员配备要求：</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3"/>
        <w:gridCol w:w="1214"/>
        <w:gridCol w:w="807"/>
        <w:gridCol w:w="4847"/>
        <w:gridCol w:w="113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设置人数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具有大专以上学历，熟悉政府相关法律以及管理条例，负责市容环境管理服务的各项工作。项目经理要求年龄在30-55周岁，具有3年以上市容环境管理服务的工作经验，签订合同前需提供相关证明材料。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男性年龄要求在法律规定退休年龄前有劳动能力者，身体健康、品行良好、责任心强、无违法纪录，持证上岗，有5年以上相关工作经验。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路段长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男性年龄要求在法律规定退休年龄前有劳动能力者，身体健康、品行良好、责任心强、无违法纪录，高中以上学历。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队员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男性年龄要求在法律规定退休年龄前有劳动能力者，身体健康、品行良好、责任心强、无违法纪录，初中以上学历。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女性年龄要求在法律规定退休年龄前有劳动能力者，身体健康、品行良好、责任心强、无违法纪录，初中以上学历。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中标人必须按不少于上述人员的数量进行配置，否则采购人有权终止合同。</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注：本项目所有员工都在计算范围内，所有人员实发工资每月不得低于3500元。</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(三)工作时间</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上班时间：夏季上午：6：00---晚上10：00</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冬季上午：6：00---晚上9：00</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可调配人员可用于早间、中午、晚间值班，保证上述时间段不能空岗。</w:t>
      </w:r>
      <w:r/>
    </w:p>
    <w:p>
      <w:pPr>
        <w:numPr>
          <w:ilvl w:val="0"/>
          <w:numId w:val="7"/>
        </w:numPr>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装备要求：包含机动车2辆、执法纪录仪25台、二轮电动车20辆。装备所有权归中标人所有，使用权归采购人。</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2、结算方式：采购人应结算金额按中标供应商合同价结算。</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三、价格部分要求</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1、采购人拒绝高于最高限价的投标报价。</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不仅应包括所有人员的工资、法定节假日加班费、休息日加班费、社保、公积金、福利费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p>
    <w:p>
      <w:pPr>
        <w:ind w:left="0" w:right="0" w:firstLine="0"/>
        <w:jc w:val="both"/>
        <w:spacing w:before="0" w:after="0"/>
        <w:rPr>
          <w:rFonts w:ascii="FZYaoTi" w:hAnsi="FZYaoTi" w:cs="FZYaoTi"/>
          <w:b w:val="0"/>
          <w:bCs w:val="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3、人员工资及相关费用测算依据：所有人员工资不低于本市最低工资标准2486元/人每月（按照《关于进一步保障全省环卫行业工人合法权益的实施意见》月工资收入不得低于当地最</w:t>
      </w:r>
      <w:r>
        <w:rPr>
          <w:rFonts w:ascii="STSong" w:hAnsi="STSong" w:eastAsia="STSong" w:cs="STSong"/>
          <w:color w:val="000000"/>
          <w:sz w:val="24"/>
        </w:rPr>
        <w:t xml:space="preserve">低工资标准的110%的硬性规定）、</w:t>
      </w:r>
      <w:r>
        <w:rPr>
          <w:rFonts w:ascii="STSong" w:hAnsi="STSong" w:eastAsia="STSong" w:cs="STSong"/>
          <w:b w:val="0"/>
          <w:bCs w:val="0"/>
          <w:color w:val="000000"/>
          <w:sz w:val="28"/>
        </w:rPr>
        <w:t xml:space="preserve">社保费用应执行江苏省省人力资源社会保障厅、省财政厅、省医疗保障局、省税务局关于发布2025年度社会保险有关基数的通知，</w:t>
      </w:r>
      <w:r>
        <w:rPr>
          <w:rFonts w:ascii="STSong" w:hAnsi="STSong" w:eastAsia="STSong" w:cs="STSong"/>
          <w:color w:val="000000"/>
          <w:sz w:val="24"/>
        </w:rPr>
        <w:t xml:space="preserve">五险</w:t>
      </w:r>
      <w:r>
        <w:rPr>
          <w:rFonts w:ascii="SimSun" w:hAnsi="SimSun" w:eastAsia="SimSun" w:cs="SimSun"/>
          <w:color w:val="000000"/>
          <w:sz w:val="24"/>
        </w:rPr>
        <w:t xml:space="preserve">（缴费基数为4952元，养老保险16%、医疗保险8%、工伤保险0.7%、生育保险0.9%、失业保险0.5%及大病保险6元）按1298.47元/人/月测算，所有人员夏季高</w:t>
      </w:r>
      <w:r>
        <w:rPr>
          <w:rFonts w:ascii="SimSun" w:hAnsi="SimSun" w:eastAsia="SimSun" w:cs="SimSun"/>
          <w:color w:val="000000"/>
          <w:sz w:val="24"/>
        </w:rPr>
        <w:t xml:space="preserve">温津贴按国家相关规定执行，不低于1600元/人每年(400×4)，法定节假日加班费4052.41元/人/年（2260元/21.75天*3倍*13天），休息日加班费10806.44元/人/年（2260/21.75*2*52），住房公积金不得低于114元人/每月，各投标人统一按照6.72%缴纳法定税费，低于此费用的投标报价符合性审查不通过。</w:t>
      </w:r>
      <w:r/>
      <w:r>
        <w:rPr>
          <w:rFonts w:ascii="FZYaoTi" w:hAnsi="FZYaoTi" w:cs="FZYaoTi"/>
          <w:b w:val="0"/>
          <w:bCs w:val="0"/>
          <w:sz w:val="22"/>
        </w:rPr>
      </w:r>
    </w:p>
    <w:p>
      <w:pPr>
        <w:ind w:left="0" w:right="0" w:firstLine="48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法定节假日的加班工资（因行业的特殊性，采购人要求所有项目组成员在11天法定节假日全员上班；休息日人员按50%的比例上班，故按52个休息日测算人员加班费，且采购人将对工资、福利的发放，保险的缴纳，项目组成员上班出勤率等进行考核。）以不低于国家及本省相关规定测算，低于此费用的投标报价符合性审查不通过且作废标处理。(投标人需考虑每年最低工资增长产生的额外费用，由此产生的额外支出，甲方不作费用调整）。</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四、技术部分要求</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自身实际情况与对本项目的理解，编制总体服务方案，至少包含对本项目的基本思路、服务理念、工作目标、日常管理标准、管理重点难点和措施、组织机构、人员配备、应急预案、设备设施配备情况5大项。服务方案内容清晰、全面、合理、可靠、结构完整优于项目需求的优先。</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五、服务水平要求</w:t>
      </w:r>
      <w:r/>
    </w:p>
    <w:p>
      <w:pPr>
        <w:ind w:left="0" w:right="0" w:firstLine="482"/>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项目组人员</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投标人安排的项目组成员具有高级及以上保安员证书的优先。</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2"/>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类似业绩</w:t>
      </w:r>
      <w:r/>
    </w:p>
    <w:p>
      <w:pPr>
        <w:ind w:left="0" w:right="0" w:firstLine="48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投标人需要具备丰富的相关经验，为确保本项目的顺利实施，投标人自2022年1月1日起至今（以合同签署日期为准）承担过类似秩序维护或市容管理服务项目的的优先。</w:t>
      </w:r>
      <w:r/>
    </w:p>
    <w:p>
      <w:pPr>
        <w:ind w:left="0" w:right="0" w:firstLine="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七、采购标的对应的中小企业划分标准所属行业一览表</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2"/>
        <w:gridCol w:w="5444"/>
        <w:gridCol w:w="2968"/>
      </w:tblGrid>
      <w:tr>
        <w:trPr>
          <w:trHeight w:val="6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2025-2026年度市容秩序管理外包服务项目(文港路、科教城标段)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8"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注：所有装备安全由乙方负全部责任。</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工作服饰要求：</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在工作出勤时间，应当根据季节时令，穿着统一的制式服装，佩戴统一的标志标识，并按规定佩戴帽徽、肩章、领花、臂章、胸徽、胸号等标志标识，不得佩戴与身份不符的其它标志标识或饰品。制式服装应当成套规范穿着，标配黑色皮带、黑色皮鞋，保持整洁完好，不得与便服混穿，不得披衣、敞怀、挽袖、卷裤腿。</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签订后10天内，乙方必须按照招投标文件清单中的车辆、员工工作服饰及设备配置要求将车辆及设备配置至甲方指定现场核查，征得甲方同意后，人员、车辆及其他装置持证上岗；乙方作业车辆需符合相关法律法规要求，车辆标记字样需通过甲方认可；当天工作结束后须将执法记录仪中相关数据及工作日志形成台账予以备份保存，随时供甲方查阅。如乙方不能满足上述要求及甲方管理，甲方有权终止合同，乙方所交纳的履约保证金作违约金不予退还。</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场所要求：中标单位自己需要提供一间固定办公室。</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1、及时发现、劝阻出店经营、占道经营、建章占道、乱泼污水、乱倒垃圾、乱披乱挂、乱堆乱放、乱搭乱建等影响市容环境卫生的行为。</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2、及时劝阻、引导流动商贩到指定的疏导点按时规范摆放或入店、入场经营；及时劝导放心早餐规范经营、按时收摊。</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3、对未经批准擅自设置门头店招、户外广告、落地灯箱的行为及时劝导；沿街派发商业性宣传品、户外走秀 使用高音喇叭叫卖以及从事促销、展览、咨询等活动劝阻。</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4、对不按规定占用盲道、人行道的机动车、非机动车乱停放行为及时进行劝阻，引导车主规范停车，做到集中定点有序停放。</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可视范围内的“牛皮癣”(包括建筑物、构筑物、地面、设施等表面张贴、刻画、涂写的非法广告及宣传品、通讯号码以及其所产生的污垢，各种非法张贴在公共信息广告张贴栏以外的纸质或胶纸等广告)加强巡查。</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6、对交通设施、道路路面、路灯设施、排(污)水设施、花坛、绿地、树木损坏等行为进行劝阻，并上报有关职能部门。</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7、对乱倒生产、生活垃圾和建筑垃圾渣土进行劝阻，并上报有关职能部门。</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8、对从事卜卦、算命、赌博、乞讨、卖艺等违法活动进行劝阻，并上报有关职能部门。</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9、对擅自从事开挖道路、建筑物外部装修装饰、增设或者调整公共设施、乱拉乱接线等行为进行制止，并上报有关职能部门。</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10、配合做好区、市级马拉松比赛、龙舟比赛、演艺活动等安检服务，赛事活动平面秩序维护、各类车辆的出入与停放管理、治安巡逻等安全保卫工作。</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11、完成甲方交付的其它管理任务。</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综合评分 </w:t>
      </w:r>
      <w:r>
        <w:rPr>
          <w:rFonts w:ascii="SimSun" w:hAnsi="SimSun" w:eastAsia="SimSun" w:cs="SimSun"/>
          <w:color w:val="000000"/>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（1）本项目不专门面向中小企业采购，对符合规定的小型和微型企业报价给予20%的扣除价格，用扣除后的价格参与评审。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本项目评分总分值为100分。</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
        <w:gridCol w:w="1182"/>
        <w:gridCol w:w="758"/>
        <w:gridCol w:w="6852"/>
      </w:tblGrid>
      <w:tr>
        <w:trPr>
          <w:trHeight w:val="48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序号</w:t>
            </w:r>
            <w:r>
              <w:rPr>
                <w:sz w:val="20"/>
                <w:szCs w:val="22"/>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left="0" w:right="0" w:firstLine="0"/>
              <w:jc w:val="center"/>
              <w:spacing w:before="0" w:after="0" w:line="400"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评分项目</w:t>
            </w:r>
            <w:r>
              <w:rPr>
                <w:sz w:val="20"/>
                <w:szCs w:val="22"/>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400"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分值</w:t>
            </w:r>
            <w:r>
              <w:rPr>
                <w:sz w:val="20"/>
                <w:szCs w:val="22"/>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52" w:type="dxa"/>
            <w:vAlign w:val="center"/>
            <w:textDirection w:val="lrTb"/>
            <w:noWrap w:val="false"/>
          </w:tcPr>
          <w:p>
            <w:pPr>
              <w:ind w:left="0" w:right="0" w:firstLine="420"/>
              <w:jc w:val="center"/>
              <w:spacing w:before="0" w:after="0" w:line="400"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评分标准</w:t>
            </w:r>
            <w:r>
              <w:rPr>
                <w:sz w:val="20"/>
                <w:szCs w:val="22"/>
              </w:rPr>
            </w:r>
            <w:r/>
          </w:p>
        </w:tc>
      </w:tr>
      <w:tr>
        <w:trPr>
          <w:trHeight w:val="18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1</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投标报价</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30分</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center"/>
            <w:textDirection w:val="lrTb"/>
            <w:noWrap w:val="false"/>
          </w:tcPr>
          <w:p>
            <w:pPr>
              <w:ind w:left="0" w:right="0" w:firstLine="420"/>
              <w:jc w:val="both"/>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价格分采用低价优先法计算，即满足采购文件要求且最后报价最低的投标报价为评标基准价，其价格分为满分。其他供应商的价格分统一按照下列公式计算：</w:t>
            </w:r>
            <w:r>
              <w:rPr>
                <w:sz w:val="20"/>
                <w:szCs w:val="22"/>
              </w:rPr>
            </w:r>
            <w:r/>
          </w:p>
          <w:p>
            <w:pPr>
              <w:ind w:left="0" w:right="0" w:firstLine="420"/>
              <w:jc w:val="both"/>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投标报价得分=(评标基准价／投标报价)×30(四舍五入后保留小数点后两位)。</w:t>
            </w:r>
            <w:r>
              <w:rPr>
                <w:sz w:val="20"/>
                <w:szCs w:val="22"/>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2</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投标人业绩</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4分</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top"/>
            <w:textDirection w:val="lrTb"/>
            <w:noWrap w:val="false"/>
          </w:tcPr>
          <w:p>
            <w:pPr>
              <w:ind w:left="0" w:right="0" w:firstLine="420"/>
              <w:jc w:val="both"/>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投标人自2022年1月1日以来(以合同签订时间为准)，承担过类似秩序维护或市容管理服务项目的，每提供一个得2分，本项最多得4分。</w:t>
            </w:r>
            <w:r>
              <w:rPr>
                <w:sz w:val="20"/>
                <w:szCs w:val="22"/>
              </w:rPr>
            </w:r>
            <w:r/>
          </w:p>
          <w:p>
            <w:pPr>
              <w:ind w:left="0" w:right="0" w:firstLine="420"/>
              <w:jc w:val="both"/>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注：(服务于同一个单位的只计一份业绩，以提供的合同原件扫描件并加盖投标单位公章为准，否则不得分)。</w:t>
            </w:r>
            <w:r>
              <w:rPr>
                <w:sz w:val="20"/>
                <w:szCs w:val="22"/>
              </w:rPr>
            </w:r>
            <w:r/>
          </w:p>
        </w:tc>
      </w:tr>
      <w:tr>
        <w:trPr>
          <w:trHeight w:val="1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3</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szCs w:val="22"/>
              </w:rPr>
              <w:t xml:space="preserve">项目负责人</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2分</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center"/>
            <w:textDirection w:val="lrTb"/>
            <w:noWrap w:val="false"/>
          </w:tcPr>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投标人拟派驻项目负责人，具有高级及以上保安员证书得1分，有安检员证书的加1分，本项最高得2分，不提供不得分。</w:t>
            </w:r>
            <w:r>
              <w:rPr>
                <w:sz w:val="20"/>
                <w:szCs w:val="22"/>
              </w:rPr>
            </w:r>
            <w:r/>
          </w:p>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(须提供地市级及以上公安机关或人力资源和社会保障厅颁发的保安员证书及安检员证书原件扫描件并加盖投标单位公章）</w:t>
            </w:r>
            <w:r>
              <w:rPr>
                <w:sz w:val="20"/>
                <w:szCs w:val="22"/>
              </w:rPr>
            </w:r>
            <w:r/>
          </w:p>
        </w:tc>
      </w:tr>
      <w:tr>
        <w:trPr>
          <w:trHeight w:val="17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4</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szCs w:val="22"/>
              </w:rPr>
              <w:t xml:space="preserve">投标人资信及综合实力</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2分</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center"/>
            <w:textDirection w:val="lrTb"/>
            <w:noWrap w:val="false"/>
          </w:tcPr>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投标人或项目负责人自2022年1月1日以来（以发证日期为准）获得省级及以上行政部门奖项的得2分，获得市级或县级行政部门奖项的得1分，以上得分以最高得分作为加分项并不重复加分，不提供不得分。</w:t>
            </w:r>
            <w:r>
              <w:rPr>
                <w:sz w:val="20"/>
                <w:szCs w:val="22"/>
              </w:rPr>
            </w:r>
            <w:r/>
          </w:p>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(此项不累计计分，以提供的最高荣誉证书或奖状或获奖文件原件扫描件并加盖投标单位公章为依据，否则不得分)</w:t>
            </w:r>
            <w:r>
              <w:rPr>
                <w:sz w:val="20"/>
                <w:szCs w:val="22"/>
              </w:rPr>
            </w:r>
            <w:r/>
          </w:p>
        </w:tc>
      </w:tr>
      <w:tr>
        <w:trPr>
          <w:trHeight w:val="9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5</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szCs w:val="22"/>
              </w:rPr>
              <w:t xml:space="preserve">供应商服务承诺</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2分</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center"/>
            <w:textDirection w:val="lrTb"/>
            <w:noWrap w:val="false"/>
          </w:tcPr>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根据投标人提供的服务承诺内容包括但不限于呼叫电话和响应时间、现场服务支持能力等完全响应承诺。（格式自拟，</w:t>
            </w:r>
            <w:r>
              <w:rPr>
                <w:rFonts w:ascii="SimSun" w:hAnsi="SimSun" w:eastAsia="SimSun" w:cs="SimSun"/>
                <w:color w:val="000000"/>
                <w:sz w:val="18"/>
                <w:szCs w:val="22"/>
              </w:rPr>
              <w:t xml:space="preserve">不提供不得分</w:t>
            </w:r>
            <w:r>
              <w:rPr>
                <w:rFonts w:ascii="SimSun" w:hAnsi="SimSun" w:eastAsia="SimSun" w:cs="SimSun"/>
                <w:color w:val="000000"/>
                <w:sz w:val="20"/>
                <w:szCs w:val="22"/>
              </w:rPr>
              <w:t xml:space="preserve">）</w:t>
            </w:r>
            <w:r>
              <w:rPr>
                <w:sz w:val="20"/>
                <w:szCs w:val="22"/>
              </w:rPr>
            </w:r>
            <w:r/>
          </w:p>
        </w:tc>
      </w:tr>
      <w:tr>
        <w:trPr>
          <w:trHeight w:val="12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 w:type="dxa"/>
            <w:vAlign w:val="center"/>
            <w:vMerge w:val="restart"/>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6</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2" w:type="dxa"/>
            <w:vAlign w:val="center"/>
            <w:vMerge w:val="restart"/>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项目实施方案</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vMerge w:val="restart"/>
            <w:textDirection w:val="lrTb"/>
            <w:noWrap w:val="false"/>
          </w:tcPr>
          <w:p>
            <w:pPr>
              <w:ind w:left="0" w:right="0" w:firstLine="0"/>
              <w:jc w:val="center"/>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60分</w:t>
            </w:r>
            <w:r>
              <w:rPr>
                <w:sz w:val="20"/>
                <w:szCs w:val="22"/>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center"/>
            <w:textDirection w:val="lrTb"/>
            <w:noWrap w:val="false"/>
          </w:tcPr>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1、针对本项目的基本思路、服务理念（12分）</w:t>
            </w:r>
            <w:r>
              <w:rPr>
                <w:sz w:val="20"/>
                <w:szCs w:val="22"/>
              </w:rPr>
            </w:r>
            <w:r/>
          </w:p>
          <w:p>
            <w:pPr>
              <w:ind w:left="0" w:right="0" w:firstLine="420"/>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评标委员会根据投标人对本项目的基本思路、服务理念的合理性、完整性、针对性及可操作性等方面进行评审。方案内容</w:t>
            </w:r>
            <w:r>
              <w:rPr>
                <w:rFonts w:ascii="SimSun" w:hAnsi="SimSun" w:eastAsia="SimSun" w:cs="SimSun"/>
                <w:color w:val="000000"/>
                <w:sz w:val="18"/>
                <w:szCs w:val="22"/>
              </w:rPr>
              <w:t xml:space="preserve">优于项目需求，得12分；满足项目需求，得10分</w:t>
            </w:r>
            <w:r>
              <w:rPr>
                <w:rFonts w:ascii="SimSun" w:hAnsi="SimSun" w:eastAsia="SimSun" w:cs="SimSun"/>
                <w:color w:val="000000"/>
                <w:sz w:val="20"/>
                <w:szCs w:val="22"/>
              </w:rPr>
              <w:t xml:space="preserve">；</w:t>
            </w:r>
            <w:r>
              <w:rPr>
                <w:rFonts w:ascii="SimSun" w:hAnsi="SimSun" w:eastAsia="SimSun" w:cs="SimSun"/>
                <w:color w:val="000000"/>
                <w:sz w:val="18"/>
                <w:szCs w:val="22"/>
              </w:rPr>
              <w:t xml:space="preserve">不满足或不提供得0分。</w:t>
            </w:r>
            <w:r>
              <w:rPr>
                <w:sz w:val="20"/>
                <w:szCs w:val="22"/>
              </w:rPr>
            </w:r>
            <w:r/>
          </w:p>
        </w:tc>
      </w:tr>
      <w:tr>
        <w:trPr>
          <w:trHeight w:val="171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center"/>
            <w:textDirection w:val="lrTb"/>
            <w:noWrap w:val="false"/>
          </w:tcPr>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2、工作目标、日常管理标准、管理重点难点和措施等方案（12分）</w:t>
            </w:r>
            <w:r>
              <w:rPr>
                <w:sz w:val="20"/>
                <w:szCs w:val="22"/>
              </w:rPr>
            </w:r>
            <w:r/>
          </w:p>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评标委员会根据投标人对本项目的工作目标、日常管理标准、管理重点难点和措施等方案的合理性、完整性、针对性及可操作性等方面进行评审。方案内容</w:t>
            </w:r>
            <w:r>
              <w:rPr>
                <w:rFonts w:ascii="SimSun" w:hAnsi="SimSun" w:eastAsia="SimSun" w:cs="SimSun"/>
                <w:color w:val="000000"/>
                <w:sz w:val="18"/>
                <w:szCs w:val="22"/>
              </w:rPr>
              <w:t xml:space="preserve">优于项目需求，得</w:t>
            </w:r>
            <w:r>
              <w:rPr>
                <w:rFonts w:ascii="SimSun" w:hAnsi="SimSun" w:eastAsia="SimSun" w:cs="SimSun"/>
                <w:color w:val="000000"/>
                <w:sz w:val="20"/>
                <w:szCs w:val="22"/>
              </w:rPr>
              <w:t xml:space="preserve">12</w:t>
            </w:r>
            <w:r>
              <w:rPr>
                <w:rFonts w:ascii="SimSun" w:hAnsi="SimSun" w:eastAsia="SimSun" w:cs="SimSun"/>
                <w:color w:val="000000"/>
                <w:sz w:val="18"/>
                <w:szCs w:val="22"/>
              </w:rPr>
              <w:t xml:space="preserve">分；满足项目需求，得10分</w:t>
            </w:r>
            <w:r>
              <w:rPr>
                <w:rFonts w:ascii="SimSun" w:hAnsi="SimSun" w:eastAsia="SimSun" w:cs="SimSun"/>
                <w:color w:val="000000"/>
                <w:sz w:val="20"/>
                <w:szCs w:val="22"/>
              </w:rPr>
              <w:t xml:space="preserve">；</w:t>
            </w:r>
            <w:r>
              <w:rPr>
                <w:rFonts w:ascii="SimSun" w:hAnsi="SimSun" w:eastAsia="SimSun" w:cs="SimSun"/>
                <w:color w:val="000000"/>
                <w:sz w:val="18"/>
                <w:szCs w:val="22"/>
              </w:rPr>
              <w:t xml:space="preserve">不满足或不提供得0分。</w:t>
            </w:r>
            <w:r>
              <w:rPr>
                <w:sz w:val="20"/>
                <w:szCs w:val="22"/>
              </w:rPr>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top"/>
            <w:textDirection w:val="lrTb"/>
            <w:noWrap w:val="false"/>
          </w:tcPr>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3、组织机构、人员配备（12分）</w:t>
            </w:r>
            <w:r>
              <w:rPr>
                <w:sz w:val="20"/>
                <w:szCs w:val="22"/>
              </w:rPr>
            </w:r>
            <w:r/>
          </w:p>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评标委员会根据投标人针对本项目组织机构设置、人员配备的科学性、合理性、完整性及可操作性等进行评审。方案内容</w:t>
            </w:r>
            <w:r>
              <w:rPr>
                <w:rFonts w:ascii="SimSun" w:hAnsi="SimSun" w:eastAsia="SimSun" w:cs="SimSun"/>
                <w:color w:val="000000"/>
                <w:sz w:val="18"/>
                <w:szCs w:val="22"/>
              </w:rPr>
              <w:t xml:space="preserve">优于项目需求，得</w:t>
            </w:r>
            <w:r>
              <w:rPr>
                <w:rFonts w:ascii="SimSun" w:hAnsi="SimSun" w:eastAsia="SimSun" w:cs="SimSun"/>
                <w:color w:val="000000"/>
                <w:sz w:val="20"/>
                <w:szCs w:val="22"/>
              </w:rPr>
              <w:t xml:space="preserve">12</w:t>
            </w:r>
            <w:r>
              <w:rPr>
                <w:rFonts w:ascii="SimSun" w:hAnsi="SimSun" w:eastAsia="SimSun" w:cs="SimSun"/>
                <w:color w:val="000000"/>
                <w:sz w:val="18"/>
                <w:szCs w:val="22"/>
              </w:rPr>
              <w:t xml:space="preserve">分；满足项目需求，得10分</w:t>
            </w:r>
            <w:r>
              <w:rPr>
                <w:rFonts w:ascii="SimSun" w:hAnsi="SimSun" w:eastAsia="SimSun" w:cs="SimSun"/>
                <w:color w:val="000000"/>
                <w:sz w:val="20"/>
                <w:szCs w:val="22"/>
              </w:rPr>
              <w:t xml:space="preserve">；</w:t>
            </w:r>
            <w:r>
              <w:rPr>
                <w:rFonts w:ascii="SimSun" w:hAnsi="SimSun" w:eastAsia="SimSun" w:cs="SimSun"/>
                <w:color w:val="000000"/>
                <w:sz w:val="18"/>
                <w:szCs w:val="22"/>
              </w:rPr>
              <w:t xml:space="preserve">不满足或不提供得0分。</w:t>
            </w:r>
            <w:r>
              <w:rPr>
                <w:sz w:val="20"/>
                <w:szCs w:val="22"/>
              </w:rPr>
            </w:r>
            <w:r/>
          </w:p>
        </w:tc>
      </w:tr>
      <w:tr>
        <w:trPr>
          <w:trHeight w:val="5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top"/>
            <w:textDirection w:val="lrTb"/>
            <w:noWrap w:val="false"/>
          </w:tcPr>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 4、应急预案(12分)</w:t>
            </w:r>
            <w:r>
              <w:rPr>
                <w:sz w:val="20"/>
                <w:szCs w:val="22"/>
              </w:rPr>
            </w:r>
            <w:r/>
          </w:p>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针对本项目提供完整详细面对恶劣天气方案、突发事件应急预案、节假日预案、重大活动及检查评比保障方案、文明城市、卫生城市等大检查突击性工作预案，要求可操作性强，保证及时性等方面进行评审。，方案内容</w:t>
            </w:r>
            <w:r>
              <w:rPr>
                <w:rFonts w:ascii="SimSun" w:hAnsi="SimSun" w:eastAsia="SimSun" w:cs="SimSun"/>
                <w:color w:val="000000"/>
                <w:sz w:val="18"/>
                <w:szCs w:val="22"/>
              </w:rPr>
              <w:t xml:space="preserve">优于项目需求，得</w:t>
            </w:r>
            <w:r>
              <w:rPr>
                <w:rFonts w:ascii="SimSun" w:hAnsi="SimSun" w:eastAsia="SimSun" w:cs="SimSun"/>
                <w:color w:val="000000"/>
                <w:sz w:val="20"/>
                <w:szCs w:val="22"/>
              </w:rPr>
              <w:t xml:space="preserve">12</w:t>
            </w:r>
            <w:r>
              <w:rPr>
                <w:rFonts w:ascii="SimSun" w:hAnsi="SimSun" w:eastAsia="SimSun" w:cs="SimSun"/>
                <w:color w:val="000000"/>
                <w:sz w:val="18"/>
                <w:szCs w:val="22"/>
              </w:rPr>
              <w:t xml:space="preserve">分；满足项目需求，得10分不满足或不提供得0分。</w:t>
            </w:r>
            <w:r>
              <w:rPr>
                <w:sz w:val="20"/>
                <w:szCs w:val="22"/>
              </w:rPr>
            </w:r>
            <w:r/>
          </w:p>
        </w:tc>
      </w:tr>
      <w:tr>
        <w:trPr>
          <w:trHeight w:val="133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52" w:type="dxa"/>
            <w:vAlign w:val="top"/>
            <w:textDirection w:val="lrTb"/>
            <w:noWrap w:val="false"/>
          </w:tcPr>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5、设备设施配备情况（12分）</w:t>
            </w:r>
            <w:r>
              <w:rPr>
                <w:sz w:val="20"/>
                <w:szCs w:val="22"/>
              </w:rPr>
            </w:r>
            <w:r/>
          </w:p>
          <w:p>
            <w:pPr>
              <w:ind w:left="0" w:right="0" w:firstLine="420"/>
              <w:spacing w:before="0" w:after="0" w:line="68" w:lineRule="atLeast"/>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2"/>
              </w:rPr>
              <w:t xml:space="preserve">评标委员会根据投标人经营、服务、调度等机构设置齐全情况以及所配备的设备设施及车辆情况进行评审。方案内容</w:t>
            </w:r>
            <w:r>
              <w:rPr>
                <w:rFonts w:ascii="SimSun" w:hAnsi="SimSun" w:eastAsia="SimSun" w:cs="SimSun"/>
                <w:color w:val="000000"/>
                <w:sz w:val="18"/>
                <w:szCs w:val="22"/>
              </w:rPr>
              <w:t xml:space="preserve">优于项目需求，得</w:t>
            </w:r>
            <w:r>
              <w:rPr>
                <w:rFonts w:ascii="SimSun" w:hAnsi="SimSun" w:eastAsia="SimSun" w:cs="SimSun"/>
                <w:color w:val="000000"/>
                <w:sz w:val="20"/>
                <w:szCs w:val="22"/>
              </w:rPr>
              <w:t xml:space="preserve">12</w:t>
            </w:r>
            <w:r>
              <w:rPr>
                <w:rFonts w:ascii="SimSun" w:hAnsi="SimSun" w:eastAsia="SimSun" w:cs="SimSun"/>
                <w:color w:val="000000"/>
                <w:sz w:val="18"/>
                <w:szCs w:val="22"/>
              </w:rPr>
              <w:t xml:space="preserve">分；满足项目需求，得10分</w:t>
            </w:r>
            <w:r>
              <w:rPr>
                <w:rFonts w:ascii="SimSun" w:hAnsi="SimSun" w:eastAsia="SimSun" w:cs="SimSun"/>
                <w:color w:val="000000"/>
                <w:sz w:val="20"/>
                <w:szCs w:val="22"/>
              </w:rPr>
              <w:t xml:space="preserve">；</w:t>
            </w:r>
            <w:r>
              <w:rPr>
                <w:rFonts w:ascii="SimSun" w:hAnsi="SimSun" w:eastAsia="SimSun" w:cs="SimSun"/>
                <w:color w:val="000000"/>
                <w:sz w:val="18"/>
                <w:szCs w:val="22"/>
              </w:rPr>
              <w:t xml:space="preserve">不满足或不提供得0分。</w:t>
            </w:r>
            <w:r>
              <w:rPr>
                <w:sz w:val="20"/>
                <w:szCs w:val="22"/>
              </w:rPr>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shd w:val="nil" w:color="auto"/>
        <w:rPr>
          <w:rFonts w:ascii="Calibri" w:hAnsi="Calibri" w:eastAsia="Calibri" w:cs="Calibri"/>
          <w:sz w:val="24"/>
          <w:szCs w:val="24"/>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二、上一年度的财务状况报告（至少提供资产负债表、利润表、现金流量表，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十六、技术方案、服务承诺、培训承诺等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rPr>
          <w:rFonts w:ascii="Calibri" w:hAnsi="Calibri" w:eastAsia="Calibri" w:cs="Calibri"/>
          <w:color w:val="000000"/>
          <w:sz w:val="24"/>
        </w:rPr>
        <w:t xml:space="preserve"> </w:t>
      </w:r>
      <w:r>
        <w:rPr>
          <w:rFonts w:ascii="Calibri" w:hAnsi="Calibri" w:eastAsia="Calibri" w:cs="Calibri"/>
          <w:sz w:val="22"/>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r/>
    </w:p>
    <w:p>
      <w:pPr>
        <w:ind w:left="0" w:right="0" w:firstLine="0"/>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法定代表人及被授权人身份证正反面：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采购人名称</w:t>
      </w:r>
      <w:r>
        <w:rPr>
          <w:rFonts w:ascii="Times New Roman" w:hAnsi="Times New Roman" w:eastAsia="Times New Roman" w:cs="Times New Roman"/>
          <w:color w:val="000000"/>
          <w:sz w:val="24"/>
          <w:u w:val="single"/>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九、中小企业声明函（服务）（分包号：**）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号）的规定，本公司（联合体）参加江苏省盐南高新技术产业开发区城市管理服务中心组织的</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的采购活动，服务全部由符合政策要求的中小企业承接。相关企业（含联合体中的中小企业、签订分包意向协议的中小企业）的具体情况如下：</w:t>
      </w:r>
      <w:r/>
    </w:p>
    <w:p>
      <w:pPr>
        <w:numPr>
          <w:ilvl w:val="0"/>
          <w:numId w:val="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十、残疾人福利性单位声明函（分包号：**）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自愿组成联合体，参加江苏省盐南高新技术产业开发区教育发展中心组织的采购编号为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十二、投标分项报价表</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95"/>
        <w:gridCol w:w="1421"/>
        <w:gridCol w:w="1509"/>
        <w:gridCol w:w="1211"/>
        <w:gridCol w:w="1658"/>
        <w:gridCol w:w="1301"/>
      </w:tblGrid>
      <w:tr>
        <w:trPr>
          <w:trHeight w:val="8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费用类别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月费用</w:t>
            </w:r>
            <w:r>
              <w:rPr>
                <w:rFonts w:ascii="Calibri" w:hAnsi="Calibri" w:eastAsia="Calibri" w:cs="Calibri"/>
                <w:b/>
                <w:color w:val="000000"/>
                <w:sz w:val="22"/>
              </w:rPr>
              <w:t xml:space="preserve">(</w:t>
            </w:r>
            <w:r>
              <w:rPr>
                <w:rFonts w:ascii="SimSun" w:hAnsi="SimSun" w:eastAsia="SimSun" w:cs="SimSun"/>
                <w:b/>
                <w:color w:val="000000"/>
                <w:sz w:val="22"/>
              </w:rPr>
              <w:t xml:space="preserve">元</w:t>
            </w:r>
            <w:r>
              <w:rPr>
                <w:rFonts w:ascii="Calibri" w:hAnsi="Calibri" w:eastAsia="Calibri" w:cs="Calibri"/>
                <w:b/>
                <w:color w:val="000000"/>
                <w:sz w:val="22"/>
              </w:rPr>
              <w:t xml:space="preserve">/</w:t>
            </w:r>
            <w:r>
              <w:rPr>
                <w:rFonts w:ascii="SimSun" w:hAnsi="SimSun" w:eastAsia="SimSun" w:cs="SimSun"/>
                <w:b/>
                <w:color w:val="000000"/>
                <w:sz w:val="22"/>
              </w:rPr>
              <w:t xml:space="preserve">年</w:t>
            </w:r>
            <w:r>
              <w:rPr>
                <w:rFonts w:ascii="Calibri" w:hAnsi="Calibri" w:eastAsia="Calibri" w:cs="Calibri"/>
                <w:b/>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年费用</w:t>
            </w:r>
            <w:r>
              <w:rPr>
                <w:rFonts w:ascii="Calibri" w:hAnsi="Calibri" w:eastAsia="Calibri" w:cs="Calibri"/>
                <w:b/>
                <w:color w:val="000000"/>
                <w:sz w:val="22"/>
              </w:rPr>
              <w:t xml:space="preserve">(</w:t>
            </w:r>
            <w:r>
              <w:rPr>
                <w:rFonts w:ascii="SimSun" w:hAnsi="SimSun" w:eastAsia="SimSun" w:cs="SimSun"/>
                <w:b/>
                <w:color w:val="000000"/>
                <w:sz w:val="22"/>
              </w:rPr>
              <w:t xml:space="preserve">元</w:t>
            </w:r>
            <w:r>
              <w:rPr>
                <w:rFonts w:ascii="Calibri" w:hAnsi="Calibri" w:eastAsia="Calibri" w:cs="Calibri"/>
                <w:b/>
                <w:color w:val="000000"/>
                <w:sz w:val="22"/>
              </w:rPr>
              <w:t xml:space="preserve">/</w:t>
            </w:r>
            <w:r>
              <w:rPr>
                <w:rFonts w:ascii="SimSun" w:hAnsi="SimSun" w:eastAsia="SimSun" w:cs="SimSun"/>
                <w:b/>
                <w:color w:val="000000"/>
                <w:sz w:val="22"/>
              </w:rPr>
              <w:t xml:space="preserve">年</w:t>
            </w:r>
            <w:r>
              <w:rPr>
                <w:rFonts w:ascii="Calibri" w:hAnsi="Calibri" w:eastAsia="Calibri" w:cs="Calibri"/>
                <w:b/>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合计（元</w:t>
            </w:r>
            <w:r>
              <w:rPr>
                <w:rFonts w:ascii="Calibri" w:hAnsi="Calibri" w:eastAsia="Calibri" w:cs="Calibri"/>
                <w:b/>
                <w:color w:val="000000"/>
                <w:sz w:val="22"/>
              </w:rPr>
              <w:t xml:space="preserve">/</w:t>
            </w:r>
            <w:r>
              <w:rPr>
                <w:rFonts w:ascii="SimSun" w:hAnsi="SimSun" w:eastAsia="SimSun" w:cs="SimSun"/>
                <w:b/>
                <w:color w:val="000000"/>
                <w:sz w:val="22"/>
              </w:rPr>
              <w:t xml:space="preserve">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法定节假日加班费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休息日加班费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福利（三节气福利）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体检费、服装费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皮卡车1辆、面包车1辆/(折旧算)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对讲执法记仪25台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二轮电动车20辆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税金、管理费、企业利润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税金费率统一按</w:t>
            </w:r>
            <w:r>
              <w:rPr>
                <w:rFonts w:ascii="Calibri" w:hAnsi="Calibri" w:eastAsia="Calibri" w:cs="Calibri"/>
                <w:color w:val="000000"/>
                <w:sz w:val="20"/>
              </w:rPr>
              <w:t xml:space="preserve">6.72%</w:t>
            </w:r>
            <w:r/>
          </w:p>
        </w:tc>
      </w:tr>
      <w:tr>
        <w:trPr>
          <w:trHeight w:val="49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所有人员的工资、法定节假日加班费、休息日加班费、社保、公积金、福利费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2. “投标分项报价表”中“投标总报价”数额应当与“开标一览表”中“投标总报价”数额一致。3.招标文件附件中招标清单</w:t>
      </w:r>
      <w:r>
        <w:rPr>
          <w:rFonts w:ascii="SimSun" w:hAnsi="SimSun" w:eastAsia="SimSun" w:cs="SimSun"/>
          <w:color w:val="000000"/>
          <w:sz w:val="24"/>
        </w:rPr>
        <w:t xml:space="preserve">需同时填写并上传。</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3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DengXian" w:hAnsi="DengXian" w:eastAsia="DengXian" w:cs="DengXi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6"/>
        <w:gridCol w:w="2581"/>
        <w:gridCol w:w="2194"/>
        <w:gridCol w:w="1694"/>
        <w:gridCol w:w="17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90"/>
        <w:gridCol w:w="2092"/>
        <w:gridCol w:w="2239"/>
        <w:gridCol w:w="1750"/>
        <w:gridCol w:w="24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left"/>
        <w:spacing w:before="240" w:after="24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240" w:after="24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51"/>
      </w:tblGrid>
      <w:tr>
        <w:trPr>
          <w:trHeight w:val="7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b/>
                <w:color w:val="000000"/>
                <w:sz w:val="24"/>
              </w:rPr>
              <w:t xml:space="preserve">人民币</w:t>
            </w:r>
            <w:r>
              <w:rPr>
                <w:rFonts w:ascii="Calibri" w:hAnsi="Calibri" w:eastAsia="Calibri" w:cs="Calibri"/>
                <w:b/>
                <w:color w:val="000000"/>
                <w:sz w:val="24"/>
              </w:rPr>
              <w:t xml:space="preserve">(</w:t>
            </w:r>
            <w:r>
              <w:rPr>
                <w:rFonts w:ascii="SimSun" w:hAnsi="SimSun" w:eastAsia="SimSun" w:cs="SimSun"/>
                <w:b/>
                <w:color w:val="000000"/>
                <w:sz w:val="24"/>
              </w:rPr>
              <w:t xml:space="preserve">大写</w:t>
            </w:r>
            <w:r>
              <w:rPr>
                <w:rFonts w:ascii="Calibri" w:hAnsi="Calibri" w:eastAsia="Calibri" w:cs="Calibri"/>
                <w:b/>
                <w:color w:val="000000"/>
                <w:sz w:val="24"/>
              </w:rPr>
              <w:t xml:space="preserve">)         </w:t>
            </w:r>
            <w:r>
              <w:rPr>
                <w:rFonts w:ascii="SimSun" w:hAnsi="SimSun" w:eastAsia="SimSun" w:cs="SimSun"/>
                <w:b/>
                <w:color w:val="000000"/>
                <w:sz w:val="24"/>
              </w:rPr>
              <w:t xml:space="preserve">元</w:t>
            </w:r>
            <w:r>
              <w:rPr>
                <w:rFonts w:ascii="Calibri" w:hAnsi="Calibri" w:eastAsia="Calibri" w:cs="Calibri"/>
                <w:b/>
                <w:color w:val="000000"/>
                <w:sz w:val="24"/>
              </w:rPr>
              <w:t xml:space="preserve">/</w:t>
            </w:r>
            <w:r>
              <w:rPr>
                <w:rFonts w:ascii="SimSun" w:hAnsi="SimSun" w:eastAsia="SimSun" w:cs="SimSun"/>
                <w:b/>
                <w:color w:val="000000"/>
                <w:sz w:val="24"/>
              </w:rPr>
              <w:t xml:space="preserve">年</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b/>
                <w:color w:val="000000"/>
                <w:sz w:val="24"/>
              </w:rPr>
              <w:t xml:space="preserve">人民币</w:t>
            </w:r>
            <w:r>
              <w:rPr>
                <w:rFonts w:ascii="Calibri" w:hAnsi="Calibri" w:eastAsia="Calibri" w:cs="Calibri"/>
                <w:b/>
                <w:color w:val="000000"/>
                <w:sz w:val="24"/>
              </w:rPr>
              <w:t xml:space="preserve">(</w:t>
            </w:r>
            <w:r>
              <w:rPr>
                <w:rFonts w:ascii="SimSun" w:hAnsi="SimSun" w:eastAsia="SimSun" w:cs="SimSun"/>
                <w:b/>
                <w:color w:val="000000"/>
                <w:sz w:val="24"/>
              </w:rPr>
              <w:t xml:space="preserve">大写</w:t>
            </w:r>
            <w:r>
              <w:rPr>
                <w:rFonts w:ascii="Calibri" w:hAnsi="Calibri" w:eastAsia="Calibri" w:cs="Calibri"/>
                <w:b/>
                <w:color w:val="000000"/>
                <w:sz w:val="24"/>
              </w:rPr>
              <w:t xml:space="preserve">)         </w:t>
            </w:r>
            <w:r>
              <w:rPr>
                <w:rFonts w:ascii="SimSun" w:hAnsi="SimSun" w:eastAsia="SimSun" w:cs="SimSun"/>
                <w:b/>
                <w:color w:val="000000"/>
                <w:sz w:val="24"/>
              </w:rPr>
              <w:t xml:space="preserve">元</w:t>
            </w:r>
            <w:r>
              <w:rPr>
                <w:rFonts w:ascii="Calibri" w:hAnsi="Calibri" w:eastAsia="Calibri" w:cs="Calibri"/>
                <w:b/>
                <w:color w:val="000000"/>
                <w:sz w:val="24"/>
              </w:rPr>
              <w:t xml:space="preserve">/</w:t>
            </w:r>
            <w:r>
              <w:rPr>
                <w:rFonts w:ascii="SimSun" w:hAnsi="SimSun" w:eastAsia="SimSun" w:cs="SimSun"/>
                <w:b/>
                <w:color w:val="000000"/>
                <w:sz w:val="24"/>
              </w:rPr>
              <w:t xml:space="preserve">年</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645"/>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ab/>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50" w:after="5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十六、技术方案、服务承诺、培训承诺等</w:t>
      </w:r>
      <w:r/>
    </w:p>
    <w:p>
      <w:pPr>
        <w:ind w:left="0" w:right="0" w:firstLine="0"/>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1600"/>
        <w:jc w:val="both"/>
        <w:spacing w:before="0" w:after="0" w:line="49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1600"/>
        <w:jc w:val="both"/>
        <w:spacing w:before="0" w:after="0" w:line="49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1600"/>
        <w:jc w:val="both"/>
        <w:spacing w:before="0" w:after="0" w:line="49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1600"/>
        <w:jc w:val="both"/>
        <w:spacing w:before="0" w:after="0" w:line="49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1600"/>
        <w:jc w:val="both"/>
        <w:spacing w:before="0" w:after="0" w:line="49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十七、盐城市政府采购事前信用承诺书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852"/>
        <w:spacing w:before="120" w:beforeAutospacing="0" w:after="120" w:afterAutospacing="0" w:line="360" w:lineRule="auto"/>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Song">
    <w:panose1 w:val="02010600040101010101"/>
  </w:font>
  <w:font w:name="SimHei">
    <w:panose1 w:val="02010609060101010101"/>
  </w:font>
  <w:font w:name="FangSong">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仿宋_GB2312">
    <w:panose1 w:val="02010609060101010101"/>
  </w:font>
  <w:font w:name="DengXian">
    <w:panose1 w:val="02010600030101010101"/>
  </w:font>
  <w:font w:name="黑体">
    <w:panose1 w:val="02010609060101010101"/>
  </w:font>
  <w:font w:name="Courier New">
    <w:panose1 w:val="02070309020205020404"/>
  </w:font>
  <w:font w:name="FZYaoTi">
    <w:panose1 w:val="0201060103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fldSimple w:instr="PAGE \* MERGEFORMAT">
      <w:r>
        <w:t xml:space="preserve">1</w:t>
      </w:r>
    </w:fldSimple>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41"/>
    <w:link w:val="838"/>
    <w:uiPriority w:val="9"/>
    <w:rPr>
      <w:rFonts w:ascii="Arial" w:hAnsi="Arial" w:eastAsia="Arial" w:cs="Arial"/>
      <w:sz w:val="40"/>
      <w:szCs w:val="40"/>
    </w:rPr>
  </w:style>
  <w:style w:type="character" w:styleId="667">
    <w:name w:val="Heading 2 Char"/>
    <w:basedOn w:val="841"/>
    <w:link w:val="839"/>
    <w:uiPriority w:val="9"/>
    <w:rPr>
      <w:rFonts w:ascii="Arial" w:hAnsi="Arial" w:eastAsia="Arial" w:cs="Arial"/>
      <w:sz w:val="34"/>
    </w:rPr>
  </w:style>
  <w:style w:type="character" w:styleId="668">
    <w:name w:val="Heading 3 Char"/>
    <w:basedOn w:val="841"/>
    <w:link w:val="840"/>
    <w:uiPriority w:val="9"/>
    <w:rPr>
      <w:rFonts w:ascii="Arial" w:hAnsi="Arial" w:eastAsia="Arial" w:cs="Arial"/>
      <w:sz w:val="30"/>
      <w:szCs w:val="30"/>
    </w:rPr>
  </w:style>
  <w:style w:type="paragraph" w:styleId="669">
    <w:name w:val="Heading 4"/>
    <w:basedOn w:val="837"/>
    <w:next w:val="837"/>
    <w:link w:val="670"/>
    <w:uiPriority w:val="9"/>
    <w:unhideWhenUsed/>
    <w:qFormat/>
    <w:pPr>
      <w:keepLines/>
      <w:keepNext/>
      <w:spacing w:before="320" w:after="200"/>
      <w:outlineLvl w:val="3"/>
    </w:pPr>
    <w:rPr>
      <w:rFonts w:ascii="Arial" w:hAnsi="Arial" w:eastAsia="Arial" w:cs="Arial"/>
      <w:b/>
      <w:bCs/>
      <w:sz w:val="26"/>
      <w:szCs w:val="26"/>
    </w:rPr>
  </w:style>
  <w:style w:type="character" w:styleId="670">
    <w:name w:val="Heading 4 Char"/>
    <w:basedOn w:val="841"/>
    <w:link w:val="669"/>
    <w:uiPriority w:val="9"/>
    <w:rPr>
      <w:rFonts w:ascii="Arial" w:hAnsi="Arial" w:eastAsia="Arial" w:cs="Arial"/>
      <w:b/>
      <w:bCs/>
      <w:sz w:val="26"/>
      <w:szCs w:val="26"/>
    </w:rPr>
  </w:style>
  <w:style w:type="paragraph" w:styleId="671">
    <w:name w:val="Heading 5"/>
    <w:basedOn w:val="837"/>
    <w:next w:val="837"/>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basedOn w:val="841"/>
    <w:link w:val="671"/>
    <w:uiPriority w:val="9"/>
    <w:rPr>
      <w:rFonts w:ascii="Arial" w:hAnsi="Arial" w:eastAsia="Arial" w:cs="Arial"/>
      <w:b/>
      <w:bCs/>
      <w:sz w:val="24"/>
      <w:szCs w:val="24"/>
    </w:rPr>
  </w:style>
  <w:style w:type="paragraph" w:styleId="673">
    <w:name w:val="Heading 6"/>
    <w:basedOn w:val="837"/>
    <w:next w:val="837"/>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basedOn w:val="841"/>
    <w:link w:val="673"/>
    <w:uiPriority w:val="9"/>
    <w:rPr>
      <w:rFonts w:ascii="Arial" w:hAnsi="Arial" w:eastAsia="Arial" w:cs="Arial"/>
      <w:b/>
      <w:bCs/>
      <w:sz w:val="22"/>
      <w:szCs w:val="22"/>
    </w:rPr>
  </w:style>
  <w:style w:type="paragraph" w:styleId="675">
    <w:name w:val="Heading 7"/>
    <w:basedOn w:val="837"/>
    <w:next w:val="837"/>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basedOn w:val="841"/>
    <w:link w:val="675"/>
    <w:uiPriority w:val="9"/>
    <w:rPr>
      <w:rFonts w:ascii="Arial" w:hAnsi="Arial" w:eastAsia="Arial" w:cs="Arial"/>
      <w:b/>
      <w:bCs/>
      <w:i/>
      <w:iCs/>
      <w:sz w:val="22"/>
      <w:szCs w:val="22"/>
    </w:rPr>
  </w:style>
  <w:style w:type="paragraph" w:styleId="677">
    <w:name w:val="Heading 8"/>
    <w:basedOn w:val="837"/>
    <w:next w:val="837"/>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basedOn w:val="841"/>
    <w:link w:val="677"/>
    <w:uiPriority w:val="9"/>
    <w:rPr>
      <w:rFonts w:ascii="Arial" w:hAnsi="Arial" w:eastAsia="Arial" w:cs="Arial"/>
      <w:i/>
      <w:iCs/>
      <w:sz w:val="22"/>
      <w:szCs w:val="22"/>
    </w:rPr>
  </w:style>
  <w:style w:type="paragraph" w:styleId="679">
    <w:name w:val="Heading 9"/>
    <w:basedOn w:val="837"/>
    <w:next w:val="837"/>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basedOn w:val="841"/>
    <w:link w:val="679"/>
    <w:uiPriority w:val="9"/>
    <w:rPr>
      <w:rFonts w:ascii="Arial" w:hAnsi="Arial" w:eastAsia="Arial" w:cs="Arial"/>
      <w:i/>
      <w:iCs/>
      <w:sz w:val="21"/>
      <w:szCs w:val="21"/>
    </w:rPr>
  </w:style>
  <w:style w:type="paragraph" w:styleId="681">
    <w:name w:val="List Paragraph"/>
    <w:basedOn w:val="837"/>
    <w:uiPriority w:val="34"/>
    <w:qFormat/>
    <w:pPr>
      <w:contextualSpacing/>
      <w:ind w:left="720"/>
    </w:pPr>
  </w:style>
  <w:style w:type="paragraph" w:styleId="682">
    <w:name w:val="No Spacing"/>
    <w:uiPriority w:val="1"/>
    <w:qFormat/>
    <w:pPr>
      <w:spacing w:before="0" w:after="0" w:line="240" w:lineRule="auto"/>
    </w:pPr>
  </w:style>
  <w:style w:type="paragraph" w:styleId="683">
    <w:name w:val="Title"/>
    <w:basedOn w:val="837"/>
    <w:next w:val="837"/>
    <w:link w:val="684"/>
    <w:uiPriority w:val="10"/>
    <w:qFormat/>
    <w:pPr>
      <w:contextualSpacing/>
      <w:spacing w:before="300" w:after="200"/>
    </w:pPr>
    <w:rPr>
      <w:sz w:val="48"/>
      <w:szCs w:val="48"/>
    </w:rPr>
  </w:style>
  <w:style w:type="character" w:styleId="684">
    <w:name w:val="Title Char"/>
    <w:basedOn w:val="841"/>
    <w:link w:val="683"/>
    <w:uiPriority w:val="10"/>
    <w:rPr>
      <w:sz w:val="48"/>
      <w:szCs w:val="48"/>
    </w:rPr>
  </w:style>
  <w:style w:type="paragraph" w:styleId="685">
    <w:name w:val="Subtitle"/>
    <w:basedOn w:val="837"/>
    <w:next w:val="837"/>
    <w:link w:val="686"/>
    <w:uiPriority w:val="11"/>
    <w:qFormat/>
    <w:pPr>
      <w:spacing w:before="200" w:after="200"/>
    </w:pPr>
    <w:rPr>
      <w:sz w:val="24"/>
      <w:szCs w:val="24"/>
    </w:rPr>
  </w:style>
  <w:style w:type="character" w:styleId="686">
    <w:name w:val="Subtitle Char"/>
    <w:basedOn w:val="841"/>
    <w:link w:val="685"/>
    <w:uiPriority w:val="11"/>
    <w:rPr>
      <w:sz w:val="24"/>
      <w:szCs w:val="24"/>
    </w:rPr>
  </w:style>
  <w:style w:type="paragraph" w:styleId="687">
    <w:name w:val="Quote"/>
    <w:basedOn w:val="837"/>
    <w:next w:val="837"/>
    <w:link w:val="688"/>
    <w:uiPriority w:val="29"/>
    <w:qFormat/>
    <w:pPr>
      <w:ind w:left="720" w:right="720"/>
    </w:pPr>
    <w:rPr>
      <w:i/>
    </w:rPr>
  </w:style>
  <w:style w:type="character" w:styleId="688">
    <w:name w:val="Quote Char"/>
    <w:link w:val="687"/>
    <w:uiPriority w:val="29"/>
    <w:rPr>
      <w:i/>
    </w:rPr>
  </w:style>
  <w:style w:type="paragraph" w:styleId="689">
    <w:name w:val="Intense Quote"/>
    <w:basedOn w:val="837"/>
    <w:next w:val="837"/>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41"/>
    <w:link w:val="850"/>
    <w:uiPriority w:val="99"/>
  </w:style>
  <w:style w:type="character" w:styleId="692">
    <w:name w:val="Footer Char"/>
    <w:basedOn w:val="841"/>
    <w:link w:val="849"/>
    <w:uiPriority w:val="99"/>
  </w:style>
  <w:style w:type="paragraph" w:styleId="693">
    <w:name w:val="Caption"/>
    <w:basedOn w:val="837"/>
    <w:next w:val="837"/>
    <w:uiPriority w:val="35"/>
    <w:semiHidden/>
    <w:unhideWhenUsed/>
    <w:qFormat/>
    <w:pPr>
      <w:spacing w:line="276" w:lineRule="auto"/>
    </w:pPr>
    <w:rPr>
      <w:b/>
      <w:bCs/>
      <w:color w:val="4f81bd" w:themeColor="accent1"/>
      <w:sz w:val="18"/>
      <w:szCs w:val="18"/>
    </w:rPr>
  </w:style>
  <w:style w:type="character" w:styleId="694">
    <w:name w:val="Caption Char"/>
    <w:basedOn w:val="693"/>
    <w:link w:val="849"/>
    <w:uiPriority w:val="99"/>
  </w:style>
  <w:style w:type="table" w:styleId="695">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1">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2">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3">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4">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5">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6">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3">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6">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7">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8">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9">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0">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1">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4">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5">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6">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7">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8">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7">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8">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9">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0">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1">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2">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4">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5">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6">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7">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8">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9">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1">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2">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3">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4">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5">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6">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basedOn w:val="837"/>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41"/>
    <w:uiPriority w:val="99"/>
    <w:unhideWhenUsed/>
    <w:rPr>
      <w:vertAlign w:val="superscript"/>
    </w:rPr>
  </w:style>
  <w:style w:type="paragraph" w:styleId="824">
    <w:name w:val="endnote text"/>
    <w:basedOn w:val="837"/>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41"/>
    <w:uiPriority w:val="99"/>
    <w:semiHidden/>
    <w:unhideWhenUsed/>
    <w:rPr>
      <w:vertAlign w:val="superscript"/>
    </w:rPr>
  </w:style>
  <w:style w:type="paragraph" w:styleId="827">
    <w:name w:val="toc 1"/>
    <w:basedOn w:val="837"/>
    <w:next w:val="837"/>
    <w:uiPriority w:val="39"/>
    <w:unhideWhenUsed/>
    <w:pPr>
      <w:ind w:left="0" w:right="0" w:firstLine="0"/>
      <w:spacing w:after="57"/>
    </w:pPr>
  </w:style>
  <w:style w:type="paragraph" w:styleId="828">
    <w:name w:val="toc 2"/>
    <w:basedOn w:val="837"/>
    <w:next w:val="837"/>
    <w:uiPriority w:val="39"/>
    <w:unhideWhenUsed/>
    <w:pPr>
      <w:ind w:left="283" w:right="0" w:firstLine="0"/>
      <w:spacing w:after="57"/>
    </w:pPr>
  </w:style>
  <w:style w:type="paragraph" w:styleId="829">
    <w:name w:val="toc 3"/>
    <w:basedOn w:val="837"/>
    <w:next w:val="837"/>
    <w:uiPriority w:val="39"/>
    <w:unhideWhenUsed/>
    <w:pPr>
      <w:ind w:left="567" w:right="0" w:firstLine="0"/>
      <w:spacing w:after="57"/>
    </w:pPr>
  </w:style>
  <w:style w:type="paragraph" w:styleId="830">
    <w:name w:val="toc 4"/>
    <w:basedOn w:val="837"/>
    <w:next w:val="837"/>
    <w:uiPriority w:val="39"/>
    <w:unhideWhenUsed/>
    <w:pPr>
      <w:ind w:left="850" w:right="0" w:firstLine="0"/>
      <w:spacing w:after="57"/>
    </w:pPr>
  </w:style>
  <w:style w:type="paragraph" w:styleId="831">
    <w:name w:val="toc 5"/>
    <w:basedOn w:val="837"/>
    <w:next w:val="837"/>
    <w:uiPriority w:val="39"/>
    <w:unhideWhenUsed/>
    <w:pPr>
      <w:ind w:left="1134" w:right="0" w:firstLine="0"/>
      <w:spacing w:after="57"/>
    </w:pPr>
  </w:style>
  <w:style w:type="paragraph" w:styleId="832">
    <w:name w:val="toc 7"/>
    <w:basedOn w:val="837"/>
    <w:next w:val="837"/>
    <w:uiPriority w:val="39"/>
    <w:unhideWhenUsed/>
    <w:pPr>
      <w:ind w:left="1701" w:right="0" w:firstLine="0"/>
      <w:spacing w:after="57"/>
    </w:pPr>
  </w:style>
  <w:style w:type="paragraph" w:styleId="833">
    <w:name w:val="toc 8"/>
    <w:basedOn w:val="837"/>
    <w:next w:val="837"/>
    <w:uiPriority w:val="39"/>
    <w:unhideWhenUsed/>
    <w:pPr>
      <w:ind w:left="1984" w:right="0" w:firstLine="0"/>
      <w:spacing w:after="57"/>
    </w:pPr>
  </w:style>
  <w:style w:type="paragraph" w:styleId="834">
    <w:name w:val="toc 9"/>
    <w:basedOn w:val="837"/>
    <w:next w:val="837"/>
    <w:uiPriority w:val="39"/>
    <w:unhideWhenUsed/>
    <w:pPr>
      <w:ind w:left="2268" w:right="0" w:firstLine="0"/>
      <w:spacing w:after="57"/>
    </w:pPr>
  </w:style>
  <w:style w:type="paragraph" w:styleId="835">
    <w:name w:val="TOC Heading"/>
    <w:uiPriority w:val="39"/>
    <w:unhideWhenUsed/>
  </w:style>
  <w:style w:type="paragraph" w:styleId="836">
    <w:name w:val="table of figures"/>
    <w:basedOn w:val="837"/>
    <w:next w:val="837"/>
    <w:uiPriority w:val="99"/>
    <w:unhideWhenUsed/>
    <w:pPr>
      <w:spacing w:after="0" w:afterAutospacing="0"/>
    </w:pPr>
  </w:style>
  <w:style w:type="paragraph" w:styleId="837" w:default="1">
    <w:name w:val="Normal"/>
    <w:link w:val="87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8">
    <w:name w:val="Heading 1"/>
    <w:basedOn w:val="837"/>
    <w:next w:val="837"/>
    <w:uiPriority w:val="9"/>
    <w:qFormat/>
    <w:pPr>
      <w:jc w:val="center"/>
      <w:keepNext/>
      <w:outlineLvl w:val="0"/>
    </w:pPr>
    <w:rPr>
      <w:rFonts w:ascii="楷体_GB2312" w:eastAsia="楷体_GB2312"/>
      <w:sz w:val="28"/>
      <w:szCs w:val="28"/>
    </w:rPr>
  </w:style>
  <w:style w:type="paragraph" w:styleId="839">
    <w:name w:val="Heading 2"/>
    <w:basedOn w:val="837"/>
    <w:next w:val="84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40">
    <w:name w:val="Heading 3"/>
    <w:basedOn w:val="837"/>
    <w:next w:val="837"/>
    <w:uiPriority w:val="0"/>
    <w:qFormat/>
    <w:pPr>
      <w:keepLines/>
      <w:keepNext/>
      <w:spacing w:before="260" w:after="260" w:line="416" w:lineRule="auto"/>
      <w:outlineLvl w:val="2"/>
    </w:pPr>
    <w:rPr>
      <w:b/>
      <w:bCs/>
      <w:sz w:val="32"/>
      <w:szCs w:val="32"/>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Normal Indent"/>
    <w:basedOn w:val="837"/>
    <w:uiPriority w:val="99"/>
    <w:qFormat/>
    <w:pPr>
      <w:ind w:firstLine="420"/>
    </w:pPr>
    <w:rPr>
      <w:szCs w:val="20"/>
    </w:rPr>
  </w:style>
  <w:style w:type="paragraph" w:styleId="844">
    <w:name w:val="annotation text"/>
    <w:basedOn w:val="837"/>
    <w:uiPriority w:val="0"/>
    <w:qFormat/>
    <w:pPr>
      <w:jc w:val="left"/>
    </w:pPr>
  </w:style>
  <w:style w:type="paragraph" w:styleId="845">
    <w:name w:val="Body Text Indent"/>
    <w:basedOn w:val="837"/>
    <w:next w:val="846"/>
    <w:uiPriority w:val="99"/>
    <w:qFormat/>
    <w:pPr>
      <w:ind w:firstLine="645"/>
    </w:pPr>
    <w:rPr>
      <w:rFonts w:ascii="楷体_GB2312" w:eastAsia="楷体_GB2312"/>
      <w:sz w:val="32"/>
      <w:szCs w:val="32"/>
    </w:rPr>
  </w:style>
  <w:style w:type="paragraph" w:styleId="846">
    <w:name w:val="envelope return"/>
    <w:basedOn w:val="837"/>
    <w:uiPriority w:val="0"/>
    <w:qFormat/>
    <w:rPr>
      <w:rFonts w:ascii="Arial" w:hAnsi="Arial"/>
    </w:rPr>
  </w:style>
  <w:style w:type="paragraph" w:styleId="847">
    <w:name w:val="Plain Text"/>
    <w:basedOn w:val="837"/>
    <w:uiPriority w:val="99"/>
    <w:qFormat/>
    <w:rPr>
      <w:rFonts w:ascii="宋体" w:hAnsi="Courier New" w:cs="Courier New"/>
    </w:rPr>
  </w:style>
  <w:style w:type="paragraph" w:styleId="848">
    <w:name w:val="Body Text Indent 2"/>
    <w:basedOn w:val="837"/>
    <w:uiPriority w:val="0"/>
    <w:qFormat/>
    <w:pPr>
      <w:ind w:left="-1" w:firstLine="480"/>
      <w:spacing w:line="400" w:lineRule="exact"/>
    </w:pPr>
    <w:rPr>
      <w:rFonts w:ascii="楷体_GB2312" w:eastAsia="楷体_GB2312"/>
      <w:sz w:val="24"/>
    </w:rPr>
  </w:style>
  <w:style w:type="paragraph" w:styleId="849">
    <w:name w:val="Footer"/>
    <w:basedOn w:val="837"/>
    <w:link w:val="864"/>
    <w:uiPriority w:val="0"/>
    <w:qFormat/>
    <w:pPr>
      <w:jc w:val="left"/>
      <w:tabs>
        <w:tab w:val="center" w:pos="4153" w:leader="none"/>
        <w:tab w:val="right" w:pos="8306" w:leader="none"/>
      </w:tabs>
    </w:pPr>
    <w:rPr>
      <w:sz w:val="18"/>
      <w:szCs w:val="18"/>
    </w:rPr>
  </w:style>
  <w:style w:type="paragraph" w:styleId="850">
    <w:name w:val="Header"/>
    <w:basedOn w:val="837"/>
    <w:link w:val="863"/>
    <w:uiPriority w:val="0"/>
    <w:qFormat/>
    <w:pPr>
      <w:jc w:val="center"/>
      <w:tabs>
        <w:tab w:val="center" w:pos="4153" w:leader="none"/>
        <w:tab w:val="right" w:pos="8306" w:leader="none"/>
      </w:tabs>
      <w:pBdr>
        <w:bottom w:val="single" w:color="auto" w:sz="6" w:space="1"/>
      </w:pBdr>
    </w:pPr>
    <w:rPr>
      <w:sz w:val="18"/>
      <w:szCs w:val="18"/>
    </w:rPr>
  </w:style>
  <w:style w:type="paragraph" w:styleId="851">
    <w:name w:val="toc 6"/>
    <w:basedOn w:val="837"/>
    <w:next w:val="837"/>
    <w:uiPriority w:val="39"/>
    <w:unhideWhenUsed/>
    <w:qFormat/>
    <w:pPr>
      <w:ind w:left="1417"/>
      <w:spacing w:after="57"/>
    </w:pPr>
  </w:style>
  <w:style w:type="paragraph" w:styleId="852">
    <w:name w:val="Normal (Web)"/>
    <w:basedOn w:val="837"/>
    <w:uiPriority w:val="0"/>
    <w:qFormat/>
    <w:pPr>
      <w:jc w:val="left"/>
      <w:spacing w:beforeAutospacing="1" w:afterAutospacing="1"/>
    </w:pPr>
    <w:rPr>
      <w:rFonts w:cs="Times New Roman"/>
      <w:sz w:val="24"/>
    </w:rPr>
  </w:style>
  <w:style w:type="paragraph" w:styleId="853">
    <w:name w:val="Body Text First Indent"/>
    <w:basedOn w:val="837"/>
    <w:next w:val="851"/>
    <w:uiPriority w:val="99"/>
    <w:qFormat/>
    <w:pPr>
      <w:ind w:firstLine="200"/>
      <w:spacing w:line="360" w:lineRule="auto"/>
    </w:pPr>
    <w:rPr>
      <w:rFonts w:ascii="宋体" w:hAnsi="宋体"/>
      <w:b/>
      <w:sz w:val="24"/>
      <w:szCs w:val="24"/>
    </w:rPr>
  </w:style>
  <w:style w:type="table" w:styleId="854">
    <w:name w:val="Table Grid"/>
    <w:basedOn w:val="8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55" w:customStyle="1">
    <w:name w:val="正文首行缩进 211"/>
    <w:basedOn w:val="856"/>
    <w:next w:val="858"/>
    <w:uiPriority w:val="99"/>
    <w:unhideWhenUsed/>
    <w:qFormat/>
    <w:pPr>
      <w:ind w:firstLine="420"/>
    </w:pPr>
  </w:style>
  <w:style w:type="paragraph" w:styleId="856" w:customStyle="1">
    <w:name w:val="正文文本缩进11"/>
    <w:basedOn w:val="837"/>
    <w:next w:val="857"/>
    <w:uiPriority w:val="99"/>
    <w:unhideWhenUsed/>
    <w:qFormat/>
    <w:pPr>
      <w:ind w:left="420"/>
      <w:spacing w:after="120"/>
    </w:pPr>
  </w:style>
  <w:style w:type="paragraph" w:styleId="857" w:customStyle="1">
    <w:name w:val="寄信人地址1"/>
    <w:basedOn w:val="837"/>
    <w:uiPriority w:val="99"/>
    <w:unhideWhenUsed/>
    <w:qFormat/>
    <w:rPr>
      <w:rFonts w:ascii="Arial" w:hAnsi="Arial"/>
    </w:rPr>
  </w:style>
  <w:style w:type="paragraph" w:styleId="858" w:customStyle="1">
    <w:name w:val="样式 标题 3 + (中文) 黑体 小四 非加粗 段前: 7.8 磅 段后: 0 磅 行距: 固定值 20 磅_0"/>
    <w:basedOn w:val="859"/>
    <w:uiPriority w:val="0"/>
    <w:qFormat/>
    <w:pPr>
      <w:spacing w:before="0" w:after="0" w:line="400" w:lineRule="exact"/>
    </w:pPr>
    <w:rPr>
      <w:rFonts w:ascii="Times New Roman" w:hAnsi="Times New Roman" w:eastAsia="黑体" w:cs="宋体"/>
      <w:b w:val="0"/>
      <w:bCs w:val="0"/>
      <w:sz w:val="21"/>
      <w:szCs w:val="20"/>
    </w:rPr>
  </w:style>
  <w:style w:type="paragraph" w:styleId="859" w:customStyle="1">
    <w:name w:val="标题 3_0"/>
    <w:basedOn w:val="860"/>
    <w:next w:val="861"/>
    <w:uiPriority w:val="0"/>
    <w:qFormat/>
    <w:pPr>
      <w:keepLines/>
      <w:keepNext/>
      <w:spacing w:before="260" w:after="260" w:line="416" w:lineRule="auto"/>
      <w:outlineLvl w:val="2"/>
    </w:pPr>
    <w:rPr>
      <w:rFonts w:ascii="Calibri" w:hAnsi="Calibri" w:eastAsia="宋体"/>
      <w:b/>
      <w:bCs/>
      <w:sz w:val="32"/>
      <w:szCs w:val="32"/>
    </w:rPr>
  </w:style>
  <w:style w:type="paragraph" w:styleId="860" w:customStyle="1">
    <w:name w:val="正文_0"/>
    <w:next w:val="855"/>
    <w:uiPriority w:val="0"/>
    <w:qFormat/>
    <w:pPr>
      <w:jc w:val="both"/>
      <w:widowControl w:val="off"/>
    </w:pPr>
    <w:rPr>
      <w:rFonts w:hint="default" w:ascii="Calibri" w:hAnsi="Calibri" w:eastAsia="仿宋_GB2312" w:cs="Times New Roman"/>
      <w:sz w:val="21"/>
      <w:szCs w:val="22"/>
      <w:lang w:val="en-US" w:eastAsia="zh-CN" w:bidi="ar-SA"/>
    </w:rPr>
  </w:style>
  <w:style w:type="paragraph" w:styleId="861" w:customStyle="1">
    <w:name w:val="正文_1"/>
    <w:next w:val="855"/>
    <w:uiPriority w:val="0"/>
    <w:qFormat/>
    <w:pPr>
      <w:jc w:val="both"/>
      <w:widowControl w:val="off"/>
    </w:pPr>
    <w:rPr>
      <w:rFonts w:hint="default" w:ascii="Calibri" w:hAnsi="Calibri" w:eastAsia="仿宋_GB2312" w:cs="Times New Roman"/>
      <w:sz w:val="21"/>
      <w:szCs w:val="22"/>
      <w:lang w:val="en-US" w:eastAsia="zh-CN" w:bidi="ar-SA"/>
    </w:rPr>
  </w:style>
  <w:style w:type="paragraph" w:styleId="862" w:customStyle="1">
    <w:name w:val="Default"/>
    <w:basedOn w:val="837"/>
    <w:uiPriority w:val="0"/>
    <w:semiHidden/>
    <w:qFormat/>
    <w:pPr>
      <w:jc w:val="left"/>
    </w:pPr>
    <w:rPr>
      <w:rFonts w:ascii="宋体" w:hAnsi="Calibri" w:cs="宋体"/>
      <w:color w:val="000000"/>
      <w:sz w:val="24"/>
    </w:rPr>
  </w:style>
  <w:style w:type="character" w:styleId="863" w:customStyle="1">
    <w:name w:val="页眉 Char"/>
    <w:basedOn w:val="841"/>
    <w:link w:val="850"/>
    <w:uiPriority w:val="0"/>
    <w:qFormat/>
    <w:rPr>
      <w:rFonts w:asciiTheme="minorHAnsi" w:hAnsiTheme="minorHAnsi" w:eastAsiaTheme="minorEastAsia" w:cstheme="minorBidi"/>
      <w:sz w:val="18"/>
      <w:szCs w:val="18"/>
    </w:rPr>
  </w:style>
  <w:style w:type="character" w:styleId="864" w:customStyle="1">
    <w:name w:val="页脚 Char"/>
    <w:basedOn w:val="841"/>
    <w:link w:val="849"/>
    <w:uiPriority w:val="0"/>
    <w:qFormat/>
    <w:rPr>
      <w:rFonts w:asciiTheme="minorHAnsi" w:hAnsiTheme="minorHAnsi" w:eastAsiaTheme="minorEastAsia" w:cstheme="minorBidi"/>
      <w:sz w:val="18"/>
      <w:szCs w:val="18"/>
    </w:rPr>
  </w:style>
  <w:style w:type="paragraph" w:styleId="865" w:customStyle="1">
    <w:name w:val="普通正文"/>
    <w:basedOn w:val="837"/>
    <w:uiPriority w:val="0"/>
    <w:qFormat/>
    <w:pPr>
      <w:ind w:firstLine="480"/>
      <w:jc w:val="left"/>
      <w:spacing w:before="120" w:after="120" w:line="360" w:lineRule="auto"/>
    </w:pPr>
    <w:rPr>
      <w:rFonts w:ascii="Arial" w:hAnsi="Arial" w:eastAsia="等线" w:cs="Arial"/>
      <w:sz w:val="24"/>
      <w:szCs w:val="24"/>
    </w:rPr>
  </w:style>
  <w:style w:type="paragraph" w:styleId="866" w:customStyle="1">
    <w:name w:val="正文首行缩进 21"/>
    <w:basedOn w:val="867"/>
    <w:uiPriority w:val="0"/>
    <w:qFormat/>
    <w:pPr>
      <w:ind w:firstLine="420"/>
    </w:pPr>
  </w:style>
  <w:style w:type="paragraph" w:styleId="867" w:customStyle="1">
    <w:name w:val="正文文本缩进1"/>
    <w:basedOn w:val="837"/>
    <w:uiPriority w:val="0"/>
    <w:qFormat/>
    <w:pPr>
      <w:ind w:left="420"/>
      <w:spacing w:after="120"/>
    </w:pPr>
  </w:style>
  <w:style w:type="paragraph" w:styleId="868" w:customStyle="1">
    <w:name w:val="普通(网站)1"/>
    <w:basedOn w:val="837"/>
    <w:uiPriority w:val="99"/>
    <w:qFormat/>
    <w:pPr>
      <w:jc w:val="left"/>
      <w:spacing w:beforeAutospacing="1" w:afterAutospacing="1"/>
    </w:pPr>
    <w:rPr>
      <w:rFonts w:cs="Times New Roman"/>
      <w:sz w:val="24"/>
    </w:rPr>
  </w:style>
  <w:style w:type="character" w:styleId="869" w:customStyle="1">
    <w:name w:val="NormalCharacter"/>
    <w:uiPriority w:val="0"/>
    <w:semiHidden/>
    <w:qFormat/>
  </w:style>
  <w:style w:type="character" w:styleId="870" w:customStyle="1">
    <w:name w:val="NormalCharacter1"/>
    <w:link w:val="837"/>
    <w:uiPriority w:val="0"/>
    <w:qFormat/>
    <w:rPr>
      <w:rFonts w:asciiTheme="minorHAnsi" w:hAnsiTheme="minorHAnsi" w:eastAsiaTheme="minorEastAsia" w:cstheme="minorBidi"/>
      <w:sz w:val="21"/>
      <w:szCs w:val="24"/>
      <w:lang w:val="en-US" w:eastAsia="zh-CN" w:bidi="ar-SA"/>
    </w:r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张森</cp:lastModifiedBy>
  <cp:revision>276</cp:revision>
  <dcterms:created xsi:type="dcterms:W3CDTF">2014-10-29T12:08:00Z</dcterms:created>
  <dcterms:modified xsi:type="dcterms:W3CDTF">2025-10-27T06:59:51Z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53A860F0258E48C2ACEC3085A78983E6_13</vt:lpwstr>
  </property>
  <property fmtid="{D5CDD505-2E9C-101B-9397-08002B2CF9AE}" pid="4" name="KSOTemplateDocerSaveRecord">
    <vt:lpwstr>eyJoZGlkIjoiOGI1ZGY1Zjg5YzE3NGZiMTMwOTdjNTYwMTg0NTk3MzEiLCJ1c2VySWQiOiIyNjAwNTMyMjIifQ==</vt:lpwstr>
  </property>
</Properties>
</file>