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标号：JSZC-320500-SZHR-G2024-0019</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pacing w:val="-6"/>
          <w:sz w:val="32"/>
        </w:rPr>
        <w:t xml:space="preserve">苏州市公共资源交易中心</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采购内容：农村产权交易平台运营服务</w:t>
      </w:r>
      <w:r/>
    </w:p>
    <w:p>
      <w:pPr>
        <w:ind w:left="0" w:right="0" w:firstLine="19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33650"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15415" name=""/>
                        <pic:cNvPicPr>
                          <a:picLocks noChangeAspect="1"/>
                        </pic:cNvPicPr>
                        <pic:nvPr/>
                      </pic:nvPicPr>
                      <pic:blipFill>
                        <a:blip r:embed="rId9"/>
                        <a:stretch/>
                      </pic:blipFill>
                      <pic:spPr bwMode="auto">
                        <a:xfrm>
                          <a:off x="0" y="0"/>
                          <a:ext cx="2533649"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9.5pt;height:141.0pt;mso-wrap-distance-left:0.0pt;mso-wrap-distance-top:0.0pt;mso-wrap-distance-right:0.0pt;mso-wrap-distance-bottom:0.0pt;" stroked="false">
                <v:path textboxrect="0,0,0,0"/>
                <v:imagedata r:id="rId9" o:title=""/>
              </v:shape>
            </w:pict>
          </mc:Fallback>
        </mc:AlternateContent>
      </w: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苏州和融招投标服务有限公司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二零二四年六月</w:t>
      </w:r>
      <w:r/>
    </w:p>
    <w:p>
      <w:pPr>
        <w:ind w:left="570" w:right="0" w:firstLine="0"/>
        <w:jc w:val="both"/>
        <w:spacing w:before="240" w:after="240" w:line="520" w:lineRule="atLeast"/>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尊敬的投标单位：请在制作投标文件之前，仔细阅读本招标文件的各项条款，并严格按要求制作和递交投标文件。谢谢合作！</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9"/>
        <w:gridCol w:w="833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内容规定</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采购内容：农村产权交易平台运营服务</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采购编号：JSZC-320500-SZHR-G2024-0019</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响应文件有效期为九十天（日历日）</w:t>
            </w:r>
            <w:r/>
          </w:p>
        </w:tc>
      </w:tr>
      <w:tr>
        <w:trPr>
          <w:trHeight w:val="4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采购预算：人民币柒佰万圆整（小写：7000000.00元）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投标保证金：根据(苏财购〔2020〕42号)文件取消收取投标保证金。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需提供《投标保证承诺书》（具体格式按苏财购告〔2020〕7号文件中的参考格式。</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网上报名时间：自采购公告发布之日起至2024年6月26日</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投标文件：投标截止时间前</w:t>
            </w:r>
            <w:r>
              <w:rPr>
                <w:rFonts w:ascii="SimSun" w:hAnsi="SimSun" w:eastAsia="SimSun" w:cs="SimSun"/>
                <w:b/>
                <w:color w:val="000000"/>
                <w:sz w:val="22"/>
              </w:rPr>
              <w:t xml:space="preserve">提交电子响应文件，</w:t>
            </w:r>
            <w:r>
              <w:rPr>
                <w:rFonts w:ascii="SimSun" w:hAnsi="SimSun" w:eastAsia="SimSun" w:cs="SimSun"/>
                <w:color w:val="000000"/>
                <w:sz w:val="22"/>
              </w:rPr>
              <w:t xml:space="preserve">同时提交纸质响应文件正本一份。</w:t>
            </w:r>
            <w:r/>
          </w:p>
        </w:tc>
      </w:tr>
      <w:tr>
        <w:trPr>
          <w:trHeight w:val="11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投标响应文件上传递交截止时间：2024年7月10日09：30整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投标时间：2024年7月10日09：30整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投标地点：苏州市姑苏区平泷路251号城市生活广场西楼五楼苏州市公共资源交易中心</w:t>
            </w:r>
            <w:r/>
          </w:p>
        </w:tc>
      </w:tr>
      <w:tr>
        <w:trPr>
          <w:trHeight w:val="1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代理服务费收费标准：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按苏州市政府采购网苏财购告【2017】19号公告收费标准结算，由中标人领取中标通知书时向采购代理机构一次性付清。中标服务费的收取按差额定率累进法计算。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收费标准：预算金额100万以下费率为预算金额的1.5%；预算金额100万元（含）－500万元部分，费率为该部分预算金额的1.1%；预算金额500万元（含）-1000万元部分，费率为该部分预算金额的0.8%；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账户名：苏州和融招投标服务有限公司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开户行：浦发银行苏州分行工业园区支行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账号：89040154740019751</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质疑按《政府采购质疑和投诉办法》规定，在法定时间内以书面形式向采购代理机构提出，本次采购项目要求供应商应当在法定质疑期内一次性提出针对同一采购程序环节的质疑。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接收质疑函的联系部门、联系电话和通讯地址等见本公告第七项本次招标联系事项。</w:t>
            </w:r>
            <w:r/>
          </w:p>
        </w:tc>
      </w:tr>
      <w:tr>
        <w:trPr>
          <w:trHeight w:val="1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出现下列情形之一的，为废标：</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（一）符合专业条件的响应单位或者对采购文件作实质响应的响应单位不足的；</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（二）出现影响采购公正的违法、违规行为的；</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（三）响应单位的报价均超过了采购预算，采购单位不能支付的；</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（四）因重大变故，采购任务取消的。</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1"/>
        </w:numPr>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招标公告</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第二章投标人须知</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第三章投标文件格式</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第四章招标书</w:t>
      </w:r>
      <w:r/>
    </w:p>
    <w:p>
      <w:pPr>
        <w:ind w:left="0" w:right="0" w:firstLine="0"/>
        <w:spacing w:before="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第六章评标办法及评分标准</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rPr>
          <w:rFonts w:ascii="SimSun" w:hAnsi="SimSun" w:eastAsia="SimSun" w:cs="SimSun"/>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r>
      <w:r>
        <w:rPr>
          <w:rFonts w:ascii="SimSun" w:hAnsi="SimSun" w:eastAsia="SimSun" w:cs="SimSun"/>
          <w:color w:val="000000"/>
          <w:sz w:val="28"/>
          <w:highlight w:val="none"/>
        </w:rPr>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农村产权交易平台运营服务</w:t>
      </w:r>
      <w:r>
        <w:rPr>
          <w:rFonts w:ascii="SimSun" w:hAnsi="SimSun" w:eastAsia="SimSun" w:cs="SimSun"/>
          <w:color w:val="000000"/>
          <w:sz w:val="24"/>
        </w:rPr>
        <w:t xml:space="preserve">采购项目的潜在供应商应在“苏采云”政府采购交易系统获取采购文件，并于</w:t>
      </w:r>
      <w:r>
        <w:rPr>
          <w:rFonts w:ascii="SimSun" w:hAnsi="SimSun" w:eastAsia="SimSun" w:cs="SimSun"/>
          <w:color w:val="000000"/>
          <w:sz w:val="24"/>
          <w:u w:val="single"/>
        </w:rPr>
        <w:t xml:space="preserve">2024年7月10日09：30</w:t>
      </w:r>
      <w:r>
        <w:rPr>
          <w:rFonts w:ascii="SimSun" w:hAnsi="SimSun" w:eastAsia="SimSun" w:cs="SimSun"/>
          <w:color w:val="000000"/>
          <w:sz w:val="24"/>
        </w:rPr>
        <w:t xml:space="preserve">（北京时间）前提交响应文件。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1、项目编号：JSZC-320500-SZHR-G2024-0019</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2、项目名称：农村产权交易平台运营服务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4、预算金额：700万元（人民币柒佰万元整）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负责协助苏州市公共资源交易中心（以下简称“市交易中心”）加强全市农村产权交易市场建设；运营和维护农村产权线上交易系统；为交易系统提供硬件支持；协助市交易中心为全市农村产权流转交易提供项目受理、信息公告、报名登记、竞价组织、资金结算、合同签订等服务；根据市交易中心要求开展创新业务；统计、分析农村产权交易数据，及时向监管部门提供交易数据等。(具体要求详见采购文件）</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6</w:t>
      </w:r>
      <w:r>
        <w:rPr>
          <w:rFonts w:ascii="SimSun" w:hAnsi="SimSun" w:eastAsia="SimSun" w:cs="SimSun"/>
          <w:color w:val="000000"/>
          <w:sz w:val="24"/>
        </w:rPr>
        <w:t xml:space="preserve">、</w:t>
      </w:r>
      <w:r>
        <w:rPr>
          <w:rFonts w:ascii="SimSun" w:hAnsi="SimSun" w:eastAsia="SimSun" w:cs="SimSun"/>
          <w:color w:val="000000"/>
          <w:spacing w:val="-3"/>
          <w:sz w:val="24"/>
        </w:rPr>
        <w:t xml:space="preserve">服务期限</w:t>
      </w:r>
      <w:r>
        <w:rPr>
          <w:rFonts w:ascii="SimSun" w:hAnsi="SimSun" w:eastAsia="SimSun" w:cs="SimSun"/>
          <w:color w:val="000000"/>
          <w:sz w:val="24"/>
        </w:rPr>
        <w:t xml:space="preserve">：2024年度。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w:t>
      </w:r>
      <w:r>
        <w:rPr>
          <w:rFonts w:ascii="SimSun" w:hAnsi="SimSun" w:eastAsia="SimSun" w:cs="SimSun"/>
          <w:color w:val="000000"/>
          <w:sz w:val="24"/>
          <w:u w:val="single"/>
        </w:rPr>
        <w:t xml:space="preserve">否</w:t>
      </w:r>
      <w:r>
        <w:rPr>
          <w:rFonts w:ascii="SimSun" w:hAnsi="SimSun" w:eastAsia="SimSun" w:cs="SimSun"/>
          <w:color w:val="000000"/>
          <w:sz w:val="24"/>
        </w:rPr>
        <w:t xml:space="preserve">（</w:t>
      </w:r>
      <w:r>
        <w:rPr>
          <w:rFonts w:ascii="SimSun" w:hAnsi="SimSun" w:eastAsia="SimSun" w:cs="SimSun"/>
          <w:i/>
          <w:color w:val="000000"/>
          <w:sz w:val="24"/>
        </w:rPr>
        <w:t xml:space="preserve">是/否</w:t>
      </w:r>
      <w:r>
        <w:rPr>
          <w:rFonts w:ascii="SimSun" w:hAnsi="SimSun" w:eastAsia="SimSun" w:cs="SimSun"/>
          <w:color w:val="000000"/>
          <w:sz w:val="24"/>
        </w:rPr>
        <w:t xml:space="preserve">）接受联合体。</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rPr>
        <w:t xml:space="preserve">本项目属于专门面向中小企业采购。本采购标的对应的中小企业划分标准所属行业为：租赁和商务服务业。</w:t>
      </w:r>
      <w:r>
        <w:rPr>
          <w:rFonts w:ascii="SimSun" w:hAnsi="SimSun" w:eastAsia="SimSun" w:cs="SimSun"/>
          <w:color w:val="000000"/>
          <w:sz w:val="24"/>
        </w:rPr>
        <w:t xml:space="preserve">投标供应商必须提供《中小企业声明函》或《残疾人福利性单位声明函》或由省级以上监狱管理局、戒毒管理局（含新疆生产建设兵团）出具的属于监狱企业的证明文件。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1）供应商单位负责人为同一人或者存在直接控股、管理关系的不同供应商，不得参加同一合同项下的政府采购活动。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2）法人的分支机构不得参加投标（除银行、保险、石油石化、电力、电信等行业特殊情况外）。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1、获取时间：</w:t>
      </w:r>
      <w:r>
        <w:rPr>
          <w:rFonts w:ascii="SimSun" w:hAnsi="SimSun" w:eastAsia="SimSun" w:cs="SimSun"/>
          <w:color w:val="000000"/>
          <w:sz w:val="24"/>
          <w:u w:val="single"/>
        </w:rPr>
        <w:t xml:space="preserve">自本公告发布之日起至2024年6月26日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2、获取方式：网上报名</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（1）申领CA证书</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w:t>
      </w:r>
      <w:r>
        <w:rPr>
          <w:rFonts w:ascii="SimSun" w:hAnsi="SimSun" w:eastAsia="SimSun" w:cs="SimSun"/>
          <w:color w:val="000000"/>
          <w:sz w:val="24"/>
        </w:rPr>
        <w:t xml:space="preserve">务服务中心4楼公共交易中心窗口，咨询电话：0512-69820834。</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（2）依法获取招标文件</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陆“苏采云”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w:t>
      </w:r>
      <w:r>
        <w:rPr>
          <w:rFonts w:ascii="SimSun" w:hAnsi="SimSun" w:eastAsia="SimSun" w:cs="SimSun"/>
          <w:color w:val="000000"/>
          <w:sz w:val="24"/>
        </w:rPr>
        <w:t xml:space="preserve">等原因使供应商权益受损的除外。</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考虑到熟悉“苏采云”系统、办理CA证书都需要一定的时间，请提早准备以免耽误招标采购活动。</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3、售价：免费。</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4、未依照招标公告要求获取招标文件的投标人，视为未参加该项政府采购活动，不具备对该政府采购项目提出质疑的法定权利。</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6、本项目获取招标文件截止日期之后仍可以下载招标文件，但截止日期之后下载的招标文件，视为非有效方式且不作为供应商权益受到损害的证明材料和依据。 </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7、制作电子投标文件：本项目采用电子网上招投标，请供应商插入CA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w:t>
      </w:r>
      <w:r>
        <w:rPr>
          <w:rFonts w:ascii="SimSun" w:hAnsi="SimSun" w:eastAsia="SimSun" w:cs="SimSun"/>
          <w:color w:val="000000"/>
          <w:sz w:val="24"/>
        </w:rPr>
        <w:t xml:space="preserve">承担全部责任。</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9、技术支持</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电子签章技术咨询服务电话：15380932027、15371015030 、13675197356、 13675197221</w:t>
      </w:r>
      <w:r/>
    </w:p>
    <w:p>
      <w:pPr>
        <w:ind w:left="57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“苏采云”平台技术咨询电话：0512-69820854、0519-86722802、13914088964、18261002950。QQ：3048755361、1315179389、895706745。</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四、投标文件提交</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1、截止时间：2024年7月10日9点30分整（北京时间）</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2、磋商地点：“苏采云”系统（网址：http://jszfcg.jsczt.cn/）“开标大厅”</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3、磋商方式：投标文件网上递交</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4、线上参加开标（开启）会方式：供应商登录“苏采云”系统，点击“开标大厅”，选择对应项目，点击进入不见面开标系统。</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rFonts w:ascii="SimSun" w:hAnsi="SimSun" w:eastAsia="SimSun" w:cs="SimSun"/>
          <w:b/>
          <w:color w:val="000000"/>
          <w:sz w:val="24"/>
          <w:highlight w:val="white"/>
        </w:rPr>
        <w:t xml:space="preserve">各投标单位的不同投标（响应）文件制作机器码一致，将做无效投标情形处理。</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6、本项目为不见面开标（开启）项目，开启阶段供应商在【解密环节】必须使用CA证书解密电子投标（响应）文件，如在“苏采云”系统规定的时间内未能成功解密的视为放弃参与本项目，投标无效。</w:t>
      </w:r>
      <w:r/>
    </w:p>
    <w:p>
      <w:pPr>
        <w:ind w:left="0" w:right="0" w:firstLine="48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7、请供应商确保电脑、系统及其他设备（视频输入输出设备等）无误，且开启直至项目结束始终保持系统在线状态。</w:t>
      </w:r>
      <w:r/>
    </w:p>
    <w:p>
      <w:pPr>
        <w:ind w:left="0" w:right="-946" w:firstLine="0"/>
        <w:spacing w:before="100" w:after="1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SimSun" w:hAnsi="SimSun" w:eastAsia="SimSun" w:cs="SimSun"/>
          <w:color w:val="000000"/>
          <w:sz w:val="24"/>
          <w:highlight w:val="white"/>
        </w:rPr>
        <w:t xml:space="preserve">5个工作日。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1、网上询问。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成功的供应商在下载招标文件后，对招标文件有疑问的，可在“苏州市公共资源交易平台”网上交易系统中进行询问，询问信息不显示询问人的相关资料。代理机构通过网上交易系统收到询问后以网上答复的方式予以解答，询问人通过系统查阅。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2、苏州市财政局政府采购管理处监督电话：0512-68616651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3、本公告同时在江苏省政府采购网、苏州市政府采购网上发布。</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名称：苏州市公共资源交易中心</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地址：苏州市平泷路251号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电话：0512-69820825</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名称：苏州和融招投标服务有限公司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联系地址：苏州市人民路3188号平江万达广场B幢1905</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联系电话：0512-65125118</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项目联系人：丁菊妹、夏莉琴、卢翊炆、张爱敏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电话：0512-65125118、 13338701718</w:t>
      </w:r>
      <w:r>
        <w:rPr>
          <w:rFonts w:ascii="SimSun" w:hAnsi="SimSun" w:eastAsia="SimSun" w:cs="SimSun"/>
          <w:b/>
          <w:color w:val="000000"/>
          <w:sz w:val="24"/>
        </w:rPr>
        <w:t xml:space="preserve">        </w:t>
      </w:r>
      <w:r/>
    </w:p>
    <w:p>
      <w:pPr>
        <w:ind w:left="0" w:right="0" w:firstLine="480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苏州和融招投标服务有限公司</w:t>
      </w:r>
      <w:r/>
    </w:p>
    <w:p>
      <w:pPr>
        <w:ind w:left="0" w:right="0" w:firstLine="48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2024年6月19日</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1.1本招标文件仅适用于苏州和融招投标服务有限公司组织的招标活动。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1.3本招标文件的解释权属于苏州和融招投标服务有限公司。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2.3投标人：指响应招标、参加投标竞争的法人、其他组织或者自然人。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2.8货物：系指乙方按招标采购文件规定，应向甲方提供的一切设备、备品、备件、工具、手册及其它有关技术资料和材料。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2.15产地：货物开采、生长、生产、最终制造、加工或提供服务的来源地。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2.17实质响应：满足有关本次采购标的、数量、质量、价款或者报酬、履行期限、履行地点和方式、违约责任和解决争议方法等要求。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2.19书面形式：指书面文字、合同书、信件和传真等可以有形地表现所载内容的形式。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2.20核心产品：根据本项目技术构成、产品价格比重等合理确定的产品。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3.合格投标人的一般条件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5.1指全权代表投标人参加投标活动并签署投标文件的人，如果投标人代表不是法人代表，须持有《法人代表授权委托书》（详见统一格式）。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48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6.2本次招标活动采购人和采购代理机构不收取标书工本费。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在获取招标文件后，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对于补充通知（包括更正公告），投标人通过“苏州市政府采购网”的“采购公告”自行查看项目的补充通知（包括更正公告）。补充通知（包括更正公告）将作为招标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9.4招标文件的澄清、修改、补充等内容均以苏州市政府采购网上发布的内容为准。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10.勘察现场（不涉及此条忽略）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10.3经采购人允许，投标人可为勘察目的进入采购人的项目现场，但投标人不得因此使采购人承担有关的责任和蒙受损失。投标人应承担勘察现场的责任和风险。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11.2本次招标文件要求供应商在法定质疑期内一次性提出针对同一采购程序环节的质疑，否则不予受理。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供应商提交的质疑函必须按照《政府采购供应商质疑函范本》要求的格式和内容进行填写。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11.5接收质疑函的方式：书面形式（当场送达或邮寄方式）。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质疑联系人：丁菊妹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联系电话：0512-65125118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现场递交或邮寄地址:苏州市人民路3188号平江万达广场B幢1905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12.1投标人应仔细阅读招标文件的所有内容，按招标文件的要求提供投标文件，并保证所提供的全部资料的真实性，以使其投标对招标文件作出实质性响应，否则，其投标可能被拒绝。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12.2无论是否递交投标文件，投标人都应将招标文件及以后的所有通知、文件等视为保密文件。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p>
    <w:p>
      <w:pPr>
        <w:ind w:left="0" w:right="0" w:firstLine="482"/>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知识产权</w:t>
      </w:r>
      <w:r/>
    </w:p>
    <w:p>
      <w:pPr>
        <w:ind w:left="0" w:right="0" w:firstLine="48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15.1投标书一（报价部分）(格式见第三章)：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15.1.2投标人《营业执照》副本复印件；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15.1.4投标人法定代表人身份证复印件；投标人授权代理人身份证复印件（如有授权）；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15.1.5开标一览表（统一格式，用于唱标）；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15.2投标书二（资格及技术部分）：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15.2.1关于资格文件的声明函（格式见第三章）；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15.2.2投标人情况表（格式见第三章）；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15.2.3投标单位满足条件的资格证明文件；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15.2.3.1良好的商业信誉和健全的财务会计制度证明。提供最近一期</w:t>
      </w:r>
      <w:r>
        <w:rPr>
          <w:rFonts w:ascii="SimSun" w:hAnsi="SimSun" w:eastAsia="SimSun" w:cs="SimSun"/>
          <w:b/>
          <w:color w:val="000000"/>
          <w:sz w:val="24"/>
        </w:rPr>
        <w:t xml:space="preserve">经审计</w:t>
      </w:r>
      <w:r>
        <w:rPr>
          <w:rFonts w:ascii="SimSun" w:hAnsi="SimSun" w:eastAsia="SimSun" w:cs="SimSun"/>
          <w:color w:val="000000"/>
          <w:sz w:val="24"/>
        </w:rPr>
        <w:t xml:space="preserve">的财务报告，其他组织、自然人及成立未满一年的法人应提供银行出具的资信证明；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15.2.4具备履行合同所必备的设备和专业技术能力的证明材料。（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15.2.5依法缴纳税收和社会保障资金的良好记录：提供最近一期的缴纳税收的凭据，最近一期的社会保险缴纳的凭据；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15.2.6参加政府采购活动前三年内在经营活动中没有重大违法记录的书面声明函（格式自拟）；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15.2.7</w:t>
      </w:r>
      <w:r>
        <w:rPr>
          <w:rFonts w:ascii="SimSun" w:hAnsi="SimSun" w:eastAsia="SimSun" w:cs="SimSun"/>
          <w:b/>
          <w:color w:val="000000"/>
          <w:sz w:val="24"/>
        </w:rPr>
        <w:t xml:space="preserve">《中小企业声明函》</w:t>
      </w:r>
      <w:r>
        <w:rPr>
          <w:rFonts w:ascii="SimSun" w:hAnsi="SimSun" w:eastAsia="SimSun" w:cs="SimSun"/>
          <w:color w:val="000000"/>
          <w:sz w:val="24"/>
        </w:rPr>
        <w:t xml:space="preserve">或</w:t>
      </w:r>
      <w:r>
        <w:rPr>
          <w:rFonts w:ascii="SimSun" w:hAnsi="SimSun" w:eastAsia="SimSun" w:cs="SimSun"/>
          <w:b/>
          <w:color w:val="000000"/>
          <w:sz w:val="24"/>
        </w:rPr>
        <w:t xml:space="preserve">《残疾人福利性单位声明函》</w:t>
      </w:r>
      <w:r>
        <w:rPr>
          <w:rFonts w:ascii="SimSun" w:hAnsi="SimSun" w:eastAsia="SimSun" w:cs="SimSun"/>
          <w:color w:val="000000"/>
          <w:sz w:val="24"/>
        </w:rPr>
        <w:t xml:space="preserve">或</w:t>
      </w:r>
      <w:r>
        <w:rPr>
          <w:rFonts w:ascii="SimSun" w:hAnsi="SimSun" w:eastAsia="SimSun" w:cs="SimSun"/>
          <w:b/>
          <w:color w:val="000000"/>
          <w:sz w:val="24"/>
        </w:rPr>
        <w:t xml:space="preserve">《监狱企业声明函》</w:t>
      </w:r>
      <w:r>
        <w:rPr>
          <w:rFonts w:ascii="SimSun" w:hAnsi="SimSun" w:eastAsia="SimSun" w:cs="SimSun"/>
          <w:color w:val="000000"/>
          <w:sz w:val="24"/>
        </w:rPr>
        <w:t xml:space="preserve">（格式见第三章）及相关证明文件；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15.2.8服务内容响应对照表及商务条款偏离表（见附件见格式）</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15.2.9针对本项目实施方案；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15.2.10服务期间人员配备方案（需提供人员的配备方案《项目组人员配备一览表》；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15.2.11投标单位完成类似项目业绩情况，并提供相关证明文件；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15.2.12类似业绩一览表（见附件格式）；</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15.2.13评分标准中所涉及的相关证明材料</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15.2.14供应商认为需要的其他技术文件或说明；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注1：投标人必须提交上述15.1.1—15.2.7款规定的资料，是作为对供应商资格审查、质疑身份认定的依据，投标人必须提供并加盖电子公章。否则，投标文件将被认定为不符合资格审查要求。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（2）制作电子投标文件时必须与投标文件制作软件目录一一对应，将相关资料上传至相应模块。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16.投标文件编制要求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16.1投标文件按统一格式、顺序编写。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16.2《开标一览表》为在开标仪式上唱标的内容，要求按格式填写，统一规范，不得自行增减内容。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除非合同中另有规定，投标人对《开标一览表》中的全部货物或服务的报价应包括完成所有采购内容以及本项目所需的劳务支出、保险、配套费用、税费及服务相关等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按《投标报价明细表》中的全部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17.4一项投标内容只允许一个报价，采购人或采购代理机构不接受任何有选择性的投标报价。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17.5投标文件报价中的单价和总价全部采用人民币表示，除非合同的特殊条款另有规定。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18.投标保证金（本项目不涉及）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19.1自投标截止日起</w:t>
      </w:r>
      <w:r>
        <w:rPr>
          <w:rFonts w:ascii="SimSun" w:hAnsi="SimSun" w:eastAsia="SimSun" w:cs="SimSun"/>
          <w:color w:val="000000"/>
          <w:sz w:val="24"/>
          <w:u w:val="single"/>
        </w:rPr>
        <w:t xml:space="preserve">90</w:t>
      </w:r>
      <w:r>
        <w:rPr>
          <w:rFonts w:ascii="SimSun" w:hAnsi="SimSun" w:eastAsia="SimSun" w:cs="SimSun"/>
          <w:color w:val="000000"/>
          <w:sz w:val="24"/>
        </w:rPr>
        <w:t xml:space="preserve">天内，投标书应保持有效。有效期短于这个规定期限的投标将被拒绝。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20.投标文件的制作、签署、上传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20.1本项目采用电子招投标形式，请供应商按照《苏采云系统供应商操作手册》进行制作、上传电子投标文件。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20.2制作电子投标文件时，应按照招标文件要求加盖投标人电子公章。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五、投标文件的递交、补充、修改和撤回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21.1投标人应当在在投标截止时间前制作并上传电子投标文件。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21.2投标人通过“苏采云”系统不见面开标大厅在线参与开标活动。（具体操作详见《苏采云系统供应商操作手册》。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22.1投标人应当在招标文件要求投标文件网上提交截止时间前，将投标文件完成提交（上传）。逾期提交（上传）的投标文件，采购人和采购代理机构拒绝接收。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22.2采购人和采购代理机构推迟投标截止时间时，将按本须知规定的更正公告的方式对外发布。在这种情况下，采购人、采购代理机构和投标人的权利和义务将受到新的截止期的约束。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22.3在投标截止时间止成功解密的投标文件少于三份，采购代理机构有权宣布本次招标失败。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23.投标文件的补充、修改和撤回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23.3.1公开招标采购项目开标结束后，采购人应当依法对投标人的资格进行审查，未通过资格审查的视为无效投标。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23.3.2.1查询时间：投标文件递交截止时间。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23.3.2.2查询渠道：采购代理机构会在接收投标文件截止时间后，登录信用中国网站（www.creditchina.gov.cn）和中国政府采购网（www.ccgp.gov.cn/）查询供应商的信用记录，并将查询结果递交评标委员会。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25.评标委员会或评标小组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25.2.4评标委员会根据全体评标成员签字的原始评标记录和评标结果编写评标报告。评标报告应当包括以下内容：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25.2.6配合采购人和采购代理机构答复投标人提出的质疑。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26.1公开开标后，直到宣布授予中标合同为止，凡属于审查、澄清、评价和比较投标的所有资料，有关授予合同的信息都不应向投标人或与评标无关的其他人泄露。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26.2在投标文件的审查、澄清、评价和比较以及授予合同的过程中，投标人对采购人、采购代理机构和评标委员会成员施加影响的任何行为，都将取消其中标资格。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27.1评标委员会应当对符合资格的投标人的投标文件进行符合性审查，以确定其是否满足招标文件的实质性要求。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投标文件有下列情况之一者评标委员会有权将其拒绝：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27.1.1投标人的投标文件未按照本须知规定制作的；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27.1.3与招标文件有重大偏离；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27.1.6投标人的报价只投了部分内容；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27.1.7投标人的投标文件出现了评标委员会认为不应当雷同的情况；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27.1.8其他被评委会认定无效的情况。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28.3投标人的澄清、说明或者补正不得超出投标文件的范围或者改变投标文件的实质性内容。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29.投标无效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29.1投标人存在下列情况之一的，投标无效: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（五）法律、法规和招标文件规定的其他无效情形。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29.2投标人应当遵循公平竞争的原则，不得恶意串通，不得妨碍其他投标人的竞争行为，不得损害采购人或者其他投标人的合法权益。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29.3有下列情形之一的，视为投标人串通投标，其投标无效：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（二）不同投标人委托同一单位或者个人办理投标事宜；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（三）不同投标人的投标文件载明的项目管理成员或者联系人员为同一人；</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（四）不同投标人的投标文件异常一致或者投标报价呈规律性差异；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30.1在招标过程中，出现下列情况之一的，应予废标：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30.1.1符合专业条件的供应商或者对招标文件作实质投标的供应商不足三家的；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30.2废标后，采购人和采购代理机构将把废标的理由通知所有投标人。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32.1评标委员会根据投标人资格审查情况，对投标文件进行评价和比较，按照评标办法和标准进行评标，并按采购人的委托向采购人推荐中标候选单位。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在同一采购环节，质疑一次性提出。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w:t>
      </w:r>
      <w:r>
        <w:rPr>
          <w:rFonts w:ascii="SimSun" w:hAnsi="SimSun" w:eastAsia="SimSun" w:cs="SimSun"/>
          <w:color w:val="000000"/>
          <w:sz w:val="24"/>
        </w:rPr>
        <w:t xml:space="preserve">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33.1采购人将把合同授予其投标文件在实质上响应招标文件要求和按本须知规定评选出的投标人。确定为中标的投标人必须具有实施本合同的能力和资源。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33.1确定出中标单位后在投标有效期截止前，采购代理机构将以书面形式通知中标的投标人其投标被接受。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33.2中标通知书将成为合同的组成部分。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33.3采购人或采购代理机构对未中标单位不承担解释未中标原因的义务。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34.1中标单位应按中标通知书中规定的时间和地点，由法定代表人或授权代理人与甲方代表签订合同。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34.2签订合同及合同条款应以招标文件和中标单位的投标文件及其澄清文件为依据。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本项目不涉及。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36.1中标单位须按前附表的规定计算并支付代理服务费，该费用应在领取中标通知书时付清。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36.2中标单位如果未按规定缴纳代理服务费，采购代理机构将保留诉讼的权利。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开票信息</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8"/>
        <w:gridCol w:w="39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报名人名称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36.4中标单位凭已缴纳代理服务费的银行回单至代理机构领取中标通知书、合同。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37.监督和公证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37.1有关监督部门将对招投标全过程进行监督。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37.2采购代理机构的招标过程将通过公证机关进行公证。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第三章 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，投标人的补充不得造成与本格式内容有实质性的违背。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附件1、（投标方）法定代表人授权委托书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（姓名）为我公司代理人，以本公司的名义参加苏州和融招投标服务有限公司组织实施的编号为</w:t>
      </w:r>
      <w:r>
        <w:rPr>
          <w:rFonts w:ascii="SimSun" w:hAnsi="SimSun" w:eastAsia="SimSun" w:cs="SimSun"/>
          <w:color w:val="000000"/>
          <w:sz w:val="24"/>
          <w:u w:val="single"/>
        </w:rPr>
        <w:t xml:space="preserve">JSZC-320500-SZHR-G2024-0019</w:t>
      </w:r>
      <w:r>
        <w:rPr>
          <w:rFonts w:ascii="SimSun" w:hAnsi="SimSun" w:eastAsia="SimSun" w:cs="SimSun"/>
          <w:color w:val="000000"/>
          <w:sz w:val="24"/>
        </w:rPr>
        <w:t xml:space="preserve">号的招标活动。代理人在开标、评标、合同招标过程中所签署的一切文件和处理与这有关的一切事务，我均予以承认。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附件2、投标函</w:t>
      </w:r>
      <w:r/>
    </w:p>
    <w:p>
      <w:pPr>
        <w:ind w:left="0" w:right="0" w:firstLine="0"/>
        <w:jc w:val="center"/>
        <w:spacing w:before="240" w:after="24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center"/>
        <w:spacing w:before="240" w:after="24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苏州和融招投标服务有限公司 </w:t>
      </w:r>
      <w:r>
        <w:rPr>
          <w:rFonts w:ascii="SimSun" w:hAnsi="SimSun" w:eastAsia="SimSun" w:cs="SimSun"/>
          <w:color w:val="000000"/>
          <w:sz w:val="24"/>
        </w:rPr>
        <w:t xml:space="preserve">：</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JSZC-320500-SZHR-G2024-0019 </w:t>
      </w:r>
      <w:r>
        <w:rPr>
          <w:rFonts w:ascii="SimSun" w:hAnsi="SimSun" w:eastAsia="SimSun" w:cs="SimSun"/>
          <w:color w:val="000000"/>
          <w:sz w:val="24"/>
        </w:rPr>
        <w:t xml:space="preserve">号招标文件，经仔细阅读和研究，我们决定参加投标。</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完成该项目的全部内容，我们的投标报价应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2、如果我们的投标书被接受，我们将严格履行招标文件中规定的每一项要求，按期、按质、按量履行合同的义务。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3、我们已详细审查全部招标文件，包括补充文件（更正公告）(如有)。我们完全理解并同意放弃对这方面有不明及误解的权利。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4、我们同意按招标文件中的规定，本投标书的有效期限为投标截止日起</w:t>
      </w:r>
      <w:r>
        <w:rPr>
          <w:rFonts w:ascii="SimSun" w:hAnsi="SimSun" w:eastAsia="SimSun" w:cs="SimSun"/>
          <w:color w:val="000000"/>
          <w:sz w:val="24"/>
          <w:u w:val="single"/>
        </w:rPr>
        <w:t xml:space="preserve">90</w:t>
      </w:r>
      <w:r>
        <w:rPr>
          <w:rFonts w:ascii="SimSun" w:hAnsi="SimSun" w:eastAsia="SimSun" w:cs="SimSun"/>
          <w:color w:val="000000"/>
          <w:sz w:val="24"/>
        </w:rPr>
        <w:t xml:space="preserve">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5、我们愿意提供采购人或采购代理机构在招标文件中要求的所有资料。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6、我们声明：我们在参加本次政府采购活动前3年内在经营活动中没有重大违法记录。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7、我们愿意遵守招标公告及招标文件中所列的收费标准。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8、我们承诺该项投标在开标后的全过程中保持有效，不作任何更改和变动。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9、如果我们中标，我们愿意按招标文件规定缴纳履约保证金及支付代理服务费；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10、我们承诺我公司符合招标文件投标人须知中“合格投标人的资格条件”的要求，若与真实情况不符，本公司愿意承担由此而产生的一切后果。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（3）对招标文件有不同意见的偏离说明；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附件</w:t>
      </w:r>
      <w:r>
        <w:rPr>
          <w:rFonts w:ascii="SimSun" w:hAnsi="SimSun" w:eastAsia="SimSun" w:cs="SimSun"/>
          <w:b/>
          <w:color w:val="000000"/>
          <w:sz w:val="24"/>
        </w:rPr>
        <w:t xml:space="preserve">3、开标一览表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分包号：价格单位：元</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30"/>
        <w:gridCol w:w="2686"/>
        <w:gridCol w:w="2235"/>
        <w:gridCol w:w="7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top"/>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农村产权交易平台运营服务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5" w:type="dxa"/>
            <w:vAlign w:val="top"/>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48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填写说明：1、开标一览表必须加盖投标人公章（复印件无效）。</w:t>
      </w:r>
      <w:r/>
    </w:p>
    <w:p>
      <w:pPr>
        <w:ind w:left="0" w:right="0" w:firstLine="105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2、如有分包，投标人投任何一个包的标的，都需有单独一页的开标一览表。</w:t>
      </w:r>
      <w:r/>
    </w:p>
    <w:p>
      <w:pPr>
        <w:ind w:left="0" w:right="0" w:firstLine="10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报价一次报定，本表中的报价为综合报价，该报价应包括完成所有采购内容以及本项目所需的劳务支出、保险、配套费用、税费及服务相关等所发生的全部费用以及投标人企业利润、税金和政策性文件规定及合同包含的所有风险、责任等各项应有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附件4、投标报价明细表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投标报价明细表</w:t>
      </w:r>
      <w:r/>
    </w:p>
    <w:p>
      <w:pPr>
        <w:ind w:left="0" w:right="0" w:firstLine="2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5"/>
        <w:gridCol w:w="2865"/>
        <w:gridCol w:w="2417"/>
        <w:gridCol w:w="1869"/>
      </w:tblGrid>
      <w:tr>
        <w:trPr>
          <w:trHeight w:val="523"/>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     额（元）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23"/>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3"/>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1"/>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8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注：投标单位可参照上述格式自制《投标报价汇总表》投标。该明细表各分项报价合计应当与“开标一览表”一致。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附件5、服务要求偏离表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691"/>
        <w:gridCol w:w="1842"/>
        <w:gridCol w:w="1701"/>
        <w:gridCol w:w="1701"/>
        <w:gridCol w:w="1560"/>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6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注：1、投标人应对照招标文件服务要求等要求，所投标的物与招标文件的规定有偏离的，应在此表中申明与技术要求条文的偏差和例外。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附件6、商务条款偏离表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2"/>
        <w:gridCol w:w="2126"/>
        <w:gridCol w:w="2552"/>
        <w:gridCol w:w="2572"/>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7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附件7、项目服务人员配备表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项目服务人员配备表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1"/>
        <w:gridCol w:w="1396"/>
        <w:gridCol w:w="741"/>
        <w:gridCol w:w="749"/>
        <w:gridCol w:w="748"/>
        <w:gridCol w:w="1504"/>
        <w:gridCol w:w="2679"/>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专业工作年限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拟在本项目中担任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6"/>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注：后附</w:t>
      </w:r>
      <w:r>
        <w:rPr>
          <w:rFonts w:ascii="SimSun" w:hAnsi="SimSun" w:eastAsia="SimSun" w:cs="SimSun"/>
          <w:color w:val="000000"/>
          <w:sz w:val="24"/>
        </w:rPr>
        <w:t xml:space="preserve">投标单位为上述人员缴纳的最近一个月的社保缴费证明（须有人员姓名并加盖社保部门章，非补缴）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附件8、企业类似业绩一览表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5"/>
        <w:gridCol w:w="1519"/>
        <w:gridCol w:w="1644"/>
        <w:gridCol w:w="1663"/>
        <w:gridCol w:w="1781"/>
        <w:gridCol w:w="16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业主单位及联系电话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注：提供材料详见评分标准。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投标人：（单位盖章）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苏州和融招投标服务有限公司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JSZC-320500-SZHR-G2024-0019</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99"/>
        <w:gridCol w:w="1457"/>
        <w:gridCol w:w="2049"/>
        <w:gridCol w:w="926"/>
      </w:tblGrid>
      <w:tr>
        <w:trPr>
          <w:trHeight w:val="3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21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中小企业声明函（服务类）</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 </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（项目名称：及采购编号：</w:t>
      </w:r>
      <w:r>
        <w:rPr>
          <w:rFonts w:ascii="SimSun" w:hAnsi="SimSun" w:eastAsia="SimSun" w:cs="SimSun"/>
          <w:color w:val="000000"/>
          <w:sz w:val="24"/>
        </w:rPr>
        <w:t xml:space="preserve">）项目采购活动，工程的施工单位全部为符合政策要求的中小企业（或者：服务全部由符合政策要求的中小企业承接）。相关企业（含联合体中的中小企业、签订分包意向协议的中小企业）的具体情况如下：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，属于（租赁和商务服务业）；承建（承接）企业为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，属于（租赁和商务服务业）；承建（承接）企业为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52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264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26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（4）、残疾人福利性单位声明函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单位的（项目名称 </w:t>
      </w:r>
      <w:r>
        <w:rPr>
          <w:rFonts w:ascii="SimSun" w:hAnsi="SimSun" w:eastAsia="SimSun" w:cs="SimSun"/>
          <w:color w:val="000000"/>
          <w:sz w:val="24"/>
          <w:u w:val="single"/>
        </w:rPr>
        <w:t xml:space="preserve">                        及</w:t>
      </w:r>
      <w:r>
        <w:rPr>
          <w:rFonts w:ascii="SimSun" w:hAnsi="SimSun" w:eastAsia="SimSun" w:cs="SimSun"/>
          <w:color w:val="000000"/>
          <w:sz w:val="24"/>
        </w:rPr>
        <w:t xml:space="preserve">招标编号</w:t>
      </w:r>
      <w:r>
        <w:rPr>
          <w:rFonts w:ascii="SimSun" w:hAnsi="SimSun" w:eastAsia="SimSun" w:cs="SimSun"/>
          <w:color w:val="000000"/>
          <w:sz w:val="24"/>
          <w:u w:val="single"/>
        </w:rPr>
        <w:t xml:space="preserve">                   号</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26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50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（5）、监狱企业声明函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监狱企业声明函</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司法部关于政府采购支持监狱企业发展有关问题的通知》（财库〔2014〕68号）的规定，本单位为符合条件的监狱企业，且本单位参加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单位的（项目名称 </w:t>
      </w:r>
      <w:r>
        <w:rPr>
          <w:rFonts w:ascii="SimSun" w:hAnsi="SimSun" w:eastAsia="SimSun" w:cs="SimSun"/>
          <w:color w:val="000000"/>
          <w:sz w:val="24"/>
          <w:u w:val="single"/>
        </w:rPr>
        <w:t xml:space="preserve">                        及</w:t>
      </w:r>
      <w:r>
        <w:rPr>
          <w:rFonts w:ascii="SimSun" w:hAnsi="SimSun" w:eastAsia="SimSun" w:cs="SimSun"/>
          <w:color w:val="000000"/>
          <w:sz w:val="24"/>
        </w:rPr>
        <w:t xml:space="preserve">招标编号</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号项目采购活动提供本单位制造的货物（由本单位承担工程/提供服务），或者提供其他监狱企业制造的货物（不包括使用非监狱企业注册商标的货物）。</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SimSun" w:hAnsi="SimSun" w:eastAsia="SimSun" w:cs="SimSun"/>
          <w:color w:val="000000"/>
          <w:sz w:val="24"/>
          <w:u w:val="single"/>
        </w:rPr>
        <w:t xml:space="preserve">                        </w:t>
      </w:r>
      <w:r/>
    </w:p>
    <w:p>
      <w:pPr>
        <w:ind w:left="0" w:right="0" w:firstLine="50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附件10、投标（响应）保证承诺书</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投标（响应）保证承诺书</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（采购代理机构名称）</w:t>
      </w:r>
      <w:r/>
    </w:p>
    <w:p>
      <w:pPr>
        <w:ind w:left="0" w:right="0" w:firstLine="6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（项目名称和采购编号）</w:t>
      </w:r>
      <w:r>
        <w:rPr>
          <w:rFonts w:ascii="SimSun" w:hAnsi="SimSun" w:eastAsia="SimSun" w:cs="SimSun"/>
          <w:color w:val="000000"/>
          <w:sz w:val="24"/>
        </w:rPr>
        <w:t xml:space="preserve">的投标（响应）,并做出如下承诺：</w:t>
      </w:r>
      <w:r/>
    </w:p>
    <w:p>
      <w:pPr>
        <w:ind w:left="0" w:right="0" w:firstLine="6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一、除不可抗力外，我单位如果发生以下行为，将在行为发生的10个工作日内，向贵方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支付本采购文件公布的预算金额（或最高限价）的2%作为违约赔偿金（数量不确定的单价采购须约定具体金额）。</w:t>
      </w:r>
      <w:r/>
    </w:p>
    <w:p>
      <w:pPr>
        <w:ind w:left="0" w:right="0" w:firstLine="555"/>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1.自投标（响应）截止时间至本项目发布中标（成交）公告为止，撤销投标（响应）；</w:t>
      </w:r>
      <w:r/>
    </w:p>
    <w:p>
      <w:pPr>
        <w:ind w:left="0" w:right="0" w:firstLine="555"/>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2.中标（成交）后不依法与采购人签订合同；</w:t>
      </w:r>
      <w:r/>
    </w:p>
    <w:p>
      <w:pPr>
        <w:ind w:left="0" w:right="0" w:firstLine="555"/>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3.中标（成交）后不按本采购文件规定向贵方缴纳采购代理费。</w:t>
      </w:r>
      <w:r/>
    </w:p>
    <w:p>
      <w:pPr>
        <w:ind w:left="0" w:right="0" w:firstLine="6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156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56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投标（响应）人：</w:t>
      </w:r>
      <w:r>
        <w:rPr>
          <w:rFonts w:ascii="SimSun" w:hAnsi="SimSun" w:eastAsia="SimSun" w:cs="SimSun"/>
          <w:color w:val="000000"/>
          <w:sz w:val="24"/>
          <w:u w:val="single"/>
        </w:rPr>
        <w:t xml:space="preserve">             </w:t>
      </w:r>
      <w:r>
        <w:rPr>
          <w:rFonts w:ascii="SimSun" w:hAnsi="SimSun" w:eastAsia="SimSun" w:cs="SimSun"/>
          <w:color w:val="000000"/>
          <w:sz w:val="24"/>
        </w:rPr>
        <w:t xml:space="preserve">（盖公章）</w:t>
      </w:r>
      <w:r/>
    </w:p>
    <w:p>
      <w:pPr>
        <w:ind w:left="162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162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w:t>
      </w:r>
      <w:r/>
    </w:p>
    <w:p>
      <w:pPr>
        <w:ind w:left="162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法定代表人或委托代理人(签字或签章)：</w:t>
      </w:r>
      <w:r>
        <w:rPr>
          <w:rFonts w:ascii="SimSun" w:hAnsi="SimSun" w:eastAsia="SimSun" w:cs="SimSun"/>
          <w:color w:val="000000"/>
          <w:sz w:val="24"/>
          <w:u w:val="single"/>
        </w:rPr>
        <w:t xml:space="preserve">            </w:t>
      </w:r>
      <w:r/>
    </w:p>
    <w:p>
      <w:pPr>
        <w:ind w:left="162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苏州和融招投标服务有限公司受</w:t>
      </w:r>
      <w:r>
        <w:rPr>
          <w:rFonts w:ascii="SimSun" w:hAnsi="SimSun" w:eastAsia="SimSun" w:cs="SimSun"/>
          <w:color w:val="000000"/>
          <w:sz w:val="24"/>
          <w:u w:val="single"/>
        </w:rPr>
        <w:t xml:space="preserve">苏州市公共资源交易中心</w:t>
      </w:r>
      <w:r>
        <w:rPr>
          <w:rFonts w:ascii="SimSun" w:hAnsi="SimSun" w:eastAsia="SimSun" w:cs="SimSun"/>
          <w:color w:val="000000"/>
          <w:sz w:val="24"/>
        </w:rPr>
        <w:t xml:space="preserve">的委托，就其所需的</w:t>
      </w:r>
      <w:r>
        <w:rPr>
          <w:rFonts w:ascii="SimSun" w:hAnsi="SimSun" w:eastAsia="SimSun" w:cs="SimSun"/>
          <w:color w:val="000000"/>
          <w:sz w:val="24"/>
          <w:u w:val="single"/>
        </w:rPr>
        <w:t xml:space="preserve">农村产权交易平台运营服务</w:t>
      </w:r>
      <w:r>
        <w:rPr>
          <w:rFonts w:ascii="SimSun" w:hAnsi="SimSun" w:eastAsia="SimSun" w:cs="SimSun"/>
          <w:color w:val="000000"/>
          <w:sz w:val="24"/>
        </w:rPr>
        <w:t xml:space="preserve">进行国内公开招标。欢迎有资格的供应商前来参加投标。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一、招标编号：</w:t>
      </w:r>
      <w:r>
        <w:rPr>
          <w:rFonts w:ascii="SimSun" w:hAnsi="SimSun" w:eastAsia="SimSun" w:cs="SimSun"/>
          <w:color w:val="000000"/>
          <w:sz w:val="24"/>
        </w:rPr>
        <w:t xml:space="preserve">JSZC-320500-SZHR-G2024-0019号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二、招标内容：</w:t>
      </w:r>
      <w:r>
        <w:rPr>
          <w:rFonts w:ascii="SimSun" w:hAnsi="SimSun" w:eastAsia="SimSun" w:cs="SimSun"/>
          <w:color w:val="000000"/>
          <w:sz w:val="24"/>
        </w:rPr>
        <w:t xml:space="preserve">农村产权交易平台运营服务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700万元（人民币柒佰万元整）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四、服务内容及要求：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协助苏州市公共资源交易中心（以下简称“市交易中心”）加强全市农村产权交易市场建设；运营和维护农村产权线上交易系统；为交易系统提供硬件支持；协助市交易中心为全市农村产权流转交易提供项目受理、信息公告、报名登记、竞价组织、资金结算、合同签订等服务；根据市交易中心要求开展创新业务；统计、分析农村产权交易数据，及时向监管部门提供交易数据等。</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项目目标和采购内容：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1、加强全市农村产权交易市场建设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农村产权流转交易体系，加强全市农村产权市场建设，提供规范性较强的办公场所、交易场所，配备业务人员，进行项目受理、咨询服务等交易服务。指导镇街道农村产权交易服务中心工作。明确交易入场条件，丰富交易品种，对全市农村产权流转交易市场进行监测评价。负责对各板块农村产权交易市场运营进行帮扶，同时协助开展对苏州市各区县农村产权交易市场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2、提供农村产权交易全流程服务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和维护农村产权线上交易系统，提供全流程交易服务。线上负责受理和审核交易申请和发布信息公告、受让登记、组织交易包括电子竞价会并出具交易结果证明，线下及时组织交易双方处理交易纠纷，修订和完善业务相关交易规则、实施办法等。实现各监管部门可通过互联网对平台交易各环节进行实时监控，协助各监管部门加强农村产权交易监管，及时提供交易数据统计，并且不定期对交易情况进行分析，可为监管部门及时提供所需相关交易情况，以便掌握交易是否存在异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3、提供资金结算服务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市交易中心监督指导下，做好各项资金结算服务；做好保证金的日常管理工作；专职结算人员记账，保证客户资金出入账及时高效；结算账目分明；结算账户专项专用，确保客户资金独立安全；提供线上结算服务，与银行互联互通，并支持多种结算方式；开展并推广数字人民币结算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4、开展农村产权相关金融服务建设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基于农村产权流转交易流程，为农村产权参与主体提供金融服务支持；设计和开发农村金融服务平台，提供线上和线下的多元化金融服务模式，投标单位需提供详细的农村产权金融服务建设方案。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5、提供农业科技成果转化服务。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平台土地资源、技术资源、资金资源的汇聚能力，建立集体经济组织、农业科技载体、社会资本多方共赢的农业技术转移和知识产权交易模式。投标单位提供对平台与苏州地区“三资”监管系统的互联互通的说明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6、软件需求说明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需采用全网运营模式，具备审批监督、线上报名、网络竞价、资金结算等全流程线上服务的功能模块；通过与苏州大市各区县资产监管系统互联互通，各监管部门可对资产的交易各环节进行实时监控，确保平台交易的公正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在系统管理方面，使用多种实时监督与风险控制手段，可以发生问题实时报警并启动应急机制。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交易系统稳定性、可靠性以及网络安全性，系统在系统容量、数据存储、负载均衡、接入模式的扩展性方面应不断更新完善；平台需配备业务系统以及数据库的冗余备份，确保数据安全。投标单位需提供详尽的网络安全保障方案和建立完善的系统信息保密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7、硬件需求说明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为确保交易平台的安全稳定运营，平台应配备不少于8台业务服务器。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8、本项目人员配备最低要求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5"/>
        <w:gridCol w:w="3373"/>
        <w:gridCol w:w="801"/>
        <w:gridCol w:w="338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人员要求</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业务受理和审核；交易管理和业务拓展；项目负责人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金融、管理专业，具有交易管理或统计、数据分析等相关工作经验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结算岗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保证金的进入、退出相关结算和对账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具备中级会计资格证书，具有交易资金结算相关工作经验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电子竞价系统安全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日常系统维护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业务需求分析及开发进度管理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计算机专业，熟悉在线实时交易、系统安全、数据库基本运维。</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风控和法务服务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日常法务风控支持；交易纠纷协调和处理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法律专业，熟悉农村产权交易相关规定，具有从事产权交易相关工作经验</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其他工作人员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日常行政工作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8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管理专业，具有交易相关工作经验</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9、统筹苏州各区县农村产权交易市场的监测评价工作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推动苏州全市农村产权交易市场高质量发展，规范农村各类产权交易行为，平台需通过日常工作监测、实地调研、系统数据复核等方式，依照监测评价标准，对苏州各区县农村产权交易市场开展监测评价，并定期形成评价报告报送主管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（三）服务期限：2024年度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五、有关要求：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实施质量必须严格按照国家规范及江苏省、苏州市相应地方规范、招标文件的技术规范的有关要求执行，如果在合同履行过程中有新的国家或行业（部）规范和标准出台的，则中标人应确保其合同产品达到并符合新的国家或行业（部）规范和标准，因此而增加的费用及风险由中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2、中标人在项目实施期间应无条件的接受采购人的监督管理，对采购人提出的质量问题应当在采购人指定的期限内整改，整改完毕后通知采购人检查验收，合格后书面报送采购人备案。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使用中标人中标的货物、技术、资料、服务或其他任何一部分时，享有无偿使用权，并免受第三方提出的侵犯其专利权、著作权、商标权或其它知识产权的起诉。如果第三方提出侵权指控，中标人应承担由此而引起的一切法律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4、与本次采购项目有关的质量、安全问题均由中标人负责，相关的人员、财产责任风险均由中标人承担。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所提供的服务能够至少达到以上要求，同时明确详细的服务方案。中标单位如在实施的过程中出现错误，误差，需负责及时更正直至采购人确认合格，中标单位在项目进行过程中产生的任何安全、损坏等责任事故一律由中标单位自行承担。</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2、响应单位必须承诺采购文件中提出的全部要求，如果其中某些条款不响应时，应在响应文件中逐条列出，未列出的视同响应。</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3、服务要求：供应商须为本项目提供每周5个工作日×12小时热线和长期免费服务支持；对采购人提出的服务要求，供应商须在接报后1小时内响应，2小时内到达现场，24小时内解决问题。 </w:t>
      </w:r>
      <w:r/>
    </w:p>
    <w:p>
      <w:pPr>
        <w:ind w:left="0" w:right="0" w:firstLine="4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w:t>
      </w:r>
      <w:r>
        <w:rPr>
          <w:rFonts w:ascii="SimSun" w:hAnsi="SimSun" w:eastAsia="SimSun" w:cs="SimSun"/>
          <w:color w:val="000000"/>
          <w:sz w:val="24"/>
        </w:rPr>
        <w:t xml:space="preserve">若中标人在服务期间发生下列行为之一的，采购人可解除服务合同，并扣除履约保证金。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（1）将承包的服务转包他人；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（2）因自身原因造成安全事故或重大损失；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（3）在承诺的期限内不能完成合同规定的工作，或服务有缺陷不予更正的。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5、在合同履行期间，因中标单位单方终止合同，或因中标单位的过失而终止合同，采购方重新组织招标。合同期内，如发现乙方有转包行为的，甲方有权终止合同并由乙方承担违约责任，违约金按照合同金额的</w:t>
      </w:r>
      <w:r>
        <w:rPr>
          <w:rFonts w:ascii="SimSun" w:hAnsi="SimSun" w:eastAsia="SimSun" w:cs="SimSun"/>
          <w:color w:val="000000"/>
          <w:sz w:val="24"/>
          <w:u w:val="single"/>
        </w:rPr>
        <w:t xml:space="preserve"> 5%进行计算，违约金不足以弥补损失的，乙方应当补足</w:t>
      </w:r>
      <w:r>
        <w:rPr>
          <w:rFonts w:ascii="SimSun" w:hAnsi="SimSun" w:eastAsia="SimSun" w:cs="SimSun"/>
          <w:color w:val="000000"/>
          <w:sz w:val="24"/>
        </w:rPr>
        <w:t xml:space="preserve">。乙方被解除合同后，甲方重新招标。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本项目属于</w:t>
      </w:r>
      <w:r>
        <w:rPr>
          <w:rFonts w:ascii="SimSun" w:hAnsi="SimSun" w:eastAsia="SimSun" w:cs="SimSun"/>
          <w:b/>
          <w:color w:val="000000"/>
          <w:sz w:val="24"/>
          <w:u w:val="single"/>
        </w:rPr>
        <w:t xml:space="preserve">专门面向</w:t>
      </w:r>
      <w:r>
        <w:rPr>
          <w:rFonts w:ascii="SimSun" w:hAnsi="SimSun" w:eastAsia="SimSun" w:cs="SimSun"/>
          <w:b/>
          <w:color w:val="000000"/>
          <w:sz w:val="24"/>
        </w:rPr>
        <w:t xml:space="preserve">中小企业采购。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SimSun" w:hAnsi="SimSun" w:eastAsia="SimSun" w:cs="SimSun"/>
          <w:b/>
          <w:color w:val="000000"/>
          <w:sz w:val="24"/>
        </w:rPr>
        <w:t xml:space="preserve">本项目为专门面向中小企业采购的项目，不再执行价格评审优惠的扶持政策。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投标人必须提供《中小企业声明函》</w:t>
      </w:r>
      <w:r>
        <w:rPr>
          <w:rFonts w:ascii="SimSun" w:hAnsi="SimSun" w:eastAsia="SimSun" w:cs="SimSun"/>
          <w:color w:val="000000"/>
          <w:sz w:val="24"/>
        </w:rPr>
        <w:t xml:space="preserve">或《残疾人福利性单位声明函》或由省级以上监狱管理局、戒毒管理局（含新疆生产建设兵团）出具的属于监狱企业的证明文件。服务类项目中供应商若使用退休人员，将不享受中小企业扶持政策。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根据《政府采购促进中小企业发展管理办法》（财库〔2020〕46号）及《中小企业划型标准规定》（工信部联企业〔2011〕300号），本采购标的对应的中小企业划分标准所属行业为：</w:t>
      </w:r>
      <w:r>
        <w:rPr>
          <w:rFonts w:ascii="SimSun" w:hAnsi="SimSun" w:eastAsia="SimSun" w:cs="SimSun"/>
          <w:b/>
          <w:color w:val="000000"/>
          <w:sz w:val="24"/>
          <w:u w:val="single"/>
        </w:rPr>
        <w:t xml:space="preserve">租赁和商务服务业</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（1）查询时间：投标文件提交截止时间。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统一登录苏州政府采购交易执行平台的“供应商信用查询”系统查询供应商的信用记录。苏州政府采购交易执行平台“供应商信用查询”系统实时提供来自中国政府采购网、信用中国、信用江苏、诚信苏州网站的相关主体信用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八、凡涉及招标文件的补充说明和修改，均以苏州市政府采购网最新通知为准。</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rPr>
          <w:rFonts w:ascii="SimSun" w:hAnsi="SimSun" w:eastAsia="SimSun" w:cs="SimSun"/>
          <w:b/>
          <w:color w:val="000000"/>
          <w:sz w:val="36"/>
        </w:rPr>
        <w:t xml:space="preserve">第五章 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甲方（采购人）：苏州市公共资源交易中心</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根据苏州和融招投标服务有限公司招标编号</w:t>
      </w:r>
      <w:r>
        <w:rPr>
          <w:rFonts w:ascii="SimSun" w:hAnsi="SimSun" w:eastAsia="SimSun" w:cs="SimSun"/>
          <w:color w:val="000000"/>
          <w:sz w:val="24"/>
          <w:u w:val="single"/>
        </w:rPr>
        <w:t xml:space="preserve">JSZC-320500-SZHR-G2024-0019</w:t>
      </w:r>
      <w:r>
        <w:rPr>
          <w:rFonts w:ascii="SimSun" w:hAnsi="SimSun" w:eastAsia="SimSun" w:cs="SimSun"/>
          <w:color w:val="000000"/>
          <w:sz w:val="24"/>
        </w:rPr>
        <w:t xml:space="preserve">号招标文件及该文件的投标文件和中标通知书，甲方和乙方就</w:t>
      </w:r>
      <w:r>
        <w:rPr>
          <w:rFonts w:ascii="SimSun" w:hAnsi="SimSun" w:eastAsia="SimSun" w:cs="SimSun"/>
          <w:color w:val="000000"/>
          <w:sz w:val="24"/>
          <w:u w:val="single"/>
        </w:rPr>
        <w:t xml:space="preserve">农村产权交易平台运营服务</w:t>
      </w:r>
      <w:r>
        <w:rPr>
          <w:rFonts w:ascii="SimSun" w:hAnsi="SimSun" w:eastAsia="SimSun" w:cs="SimSun"/>
          <w:color w:val="000000"/>
          <w:sz w:val="24"/>
        </w:rPr>
        <w:t xml:space="preserve">项目的相关事宜（以下简称“本项目”），协商一致，签订本合同，以兹共同遵守。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注：1、服务要求、内容和具体服务对象由甲方提供。</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中标通知书；</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乙方在投标过程中所作的其它承诺、声明、书面澄清等（若有）；</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乙方的投标文件；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 合同附件（若有）；</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以上文件与本合同具有同等法律效力，若文件之间存在歧义或不一致的，则按照上述编号优先次序进行解释；若上述文件与本合同内容不一致的，以本合同内容为准。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2、服务期限：2024年度。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二、合同价款和支付</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1、合同金额（含税）：</w:t>
      </w:r>
      <w:r>
        <w:rPr>
          <w:rFonts w:ascii="SimSun" w:hAnsi="SimSun" w:eastAsia="SimSun" w:cs="SimSun"/>
          <w:color w:val="000000"/>
          <w:sz w:val="24"/>
          <w:u w:val="single"/>
        </w:rPr>
        <w:t xml:space="preserve">                          </w:t>
      </w:r>
      <w:r>
        <w:rPr>
          <w:rFonts w:ascii="SimSun" w:hAnsi="SimSun" w:eastAsia="SimSun" w:cs="SimSun"/>
          <w:color w:val="000000"/>
          <w:sz w:val="24"/>
        </w:rPr>
        <w:t xml:space="preserve">（本次报价应包括完成所有采购内容以及本项目所需的劳务支出、保险、配套费用、税费及服务相关等所发生的全部费用以及投标人企业利润、税金和政策性文件规定及合同包含的所有风险、责任等各项应有费用，除非因特殊原因并经甲乙双方协商同意，甲方不再另行支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步骤：自本合同签订生效后，甲方在一个月内支付合同总价款的70%。在2024年11月下旬，支付合同总价款的30%。（甲方付款前，乙方应提供合法有效且符合甲方要求的发票，否则甲方有权迟延付款且不承担迟延付款的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3、付款方式：电汇。乙方账户信息如下：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三、针对本项目乙方所配备人员情况及服务承诺：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1、针对本项目所配备人员情况：详见乙方投标文件及招标文件要求；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2、针对本项目提供的后续服务承诺：详见乙方投标文件及招标文件要求。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四、人员保证与变更：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1、乙方应按采购文件中承诺的人员数量投入工作，在合同履行过程中应保持人员的相对稳定。数量确需调整，应报经甲方批准。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2、如果乙方的人员渎职或不能胜任工作或从事其他违法活动，甲方有权书面要求更换，乙方应立即派出具有同等或以上资历的人员替换。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3、若乙方的进度没有达到乙方响应文件中承诺的进度计划，甲方有权提出要求增加乙方人员，乙方应立即安排，其费用被认为已包含在合同价格之中。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1、在合同生效后，甲方无正当理由要求终止服务的，应向乙方偿付合同总价款的5%，作为违约金，违约金不足以补偿损失的，乙方有权要求甲方补足。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本合同约定提供相关服务、逾期提供服务或服务不当给甲方造成不良影响、损失的，应向甲方偿付合同总价款5%的违约金，违约金不足以补偿损失的甲方有权要求乙方补足，包括但不限于甲方为维权所支付的律师费、评估费、诉讼费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六、保密性：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密内容（包括技术信息和经营信息）：包括但不限于商业秘密、电脑程序、设计技术、专有技术、工艺、数据、业务和产品开发计划、与该披露方业务有关的客户的信息及其他信息，或该披露方从合作双方之外的某一方获悉的有关披露方的未公开的保密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2、涉密人员范围：所有涉及项目人员。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3、保密期限：自</w:t>
      </w:r>
      <w:r>
        <w:rPr>
          <w:rFonts w:ascii="SimSun" w:hAnsi="SimSun" w:eastAsia="SimSun" w:cs="SimSun"/>
          <w:color w:val="000000"/>
          <w:sz w:val="24"/>
          <w:u w:val="single"/>
        </w:rPr>
        <w:t xml:space="preserve">      </w:t>
      </w:r>
      <w:r>
        <w:rPr>
          <w:rFonts w:ascii="SimSun" w:hAnsi="SimSun" w:eastAsia="SimSun" w:cs="SimSun"/>
          <w:color w:val="000000"/>
          <w:sz w:val="24"/>
        </w:rPr>
        <w:t xml:space="preserve">之日起3年。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执行过程中，乙方提供的资料－－包括但不限于程序、文件、报告、说明、图表、观念、诀窍或技术均归乙方所有；除经乙方书面同意或为乙方提供维修或支持服务目的外，甲方不得再以任何形式向第三方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执行完毕后，乙方依据本合同及本合同附件向甲方提供的文件、报告、说明、图表等的知识产权均归甲方所有（但属于乙方或第三方的除外），除乙方根据上级部门或业务主管部门等有权机构工作要求提供前述信息、材料等情形外，乙方不得以任何形式使用或向第三方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保证所提供服务涉及到的知识产权是合法取得，并享有完整的知识产权，不会因为甲方的使用而被责令停止使用、追偿或要求赔偿损失，如出现此情况，一切经济和法律责任均由乙方承担。甲方提供的所有服务必须质量符合国际或国家通用标准，如出现质量问题，乙方负责修缮，发生的费用由乙方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3、合同的部分和全部都不得转让。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九、争议的解决：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 </w:t>
      </w:r>
      <w:r>
        <w:rPr>
          <w:rFonts w:ascii="SimSun" w:hAnsi="SimSun" w:eastAsia="SimSun" w:cs="SimSun"/>
          <w:color w:val="000000"/>
          <w:sz w:val="24"/>
          <w:u w:val="single"/>
        </w:rPr>
        <w:t xml:space="preserve">             </w:t>
      </w:r>
      <w:r>
        <w:rPr>
          <w:rFonts w:ascii="SimSun" w:hAnsi="SimSun" w:eastAsia="SimSun" w:cs="SimSun"/>
          <w:color w:val="000000"/>
          <w:sz w:val="24"/>
        </w:rPr>
        <w:t xml:space="preserve">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方式一：双方达成仲裁协议，向约定的仲裁委员会申请仲裁，本合同约定的仲裁委员会是</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方式二：向甲方所在地的人民法院起诉。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十一、合同的生效及份数：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1、合同生效：本合同自甲乙双方签字盖章之日起生效。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2、合同份数：本合同一式 陆 份，甲方三份、乙方二份，采购代理机构一份。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3、本合同文件使用中文书写、解释和说明。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4、本合同履行过程中产生的纪要、协议以及中标通知书、乙方投标文件和招标文件为本合同的附件，与合同具有同等效力。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5、未尽事宜：按《中华人民共和国民法典》、《中华人民共和国政府采购法》等规定解释。</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方：乙 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（公章或合同章）（公章或合同章）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甲方代表签字：乙方代表签字：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评分标准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方法采用综合评分法。即在投标文件满足招标文件全部实质性要求前提下，按照采购文件中规定的各项因素进行综合评审。评审因素及各比重如下：价格分值占总分值的比重为10%（权重），技术与质量及其它占90%（权重）。（保留小数点后2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2、综合评分的主要因素为：价格、技术水平、履约能力、售后服务等，对采购文件的响应程度，以及相应的商务标和技术标比重或者分值等。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评标委员会各成员独立对每个有效投标人的投标书（报价除外）进行评价、打分，对评委的评分（除价格分外）进行统计汇总，按算术平均方法计算出每个投标人的得分；报价得分直接计算取得，二者相加为投标人的总得分，综合得分最高者为预中标人。（保留小数点后2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rPr>
          <w:rFonts w:ascii="SimSun" w:hAnsi="SimSun" w:eastAsia="SimSun" w:cs="SimSun"/>
          <w:color w:val="000000"/>
          <w:sz w:val="24"/>
        </w:rPr>
        <w:t xml:space="preserve"> </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1.投标报价在采购预算价格以下的，为有效报价。超出此范围的报价为无效报价。</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2.价格分采用低价优先法计算，即满足招标文件要求且投标报价最低的报价为评审基准价。</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其他投标单位的价格分统一按照下列公式计算：</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投标报价得分=（评审基准价/投标报价）×价格权值×100（本次投标报价权值为10%）（保留小数点后二位）。</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（二）技术及其他分值（90分）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1.对项目服务方案的评价（65分）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（1）项目理解（10分）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项目背景理解的准确程度，需求分析的透彻程度的说明。对项目背景理解的准确程度高，需求分析透彻的得10分；对项目背景理解的准确程度较高，需求分析基本透彻的得6分；对项目背景理解的准确程度一般，需求分析不够透彻的得2分；与项目实际不符或未提供的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（2）平台系统运营方案（10分）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本项目现有功能分析说明方案。运营方案内容详细完整、技术可行性强、流程标准规范的得10分；运营方案内容较为完整、技术可行性较强、流程基本符合规范的得7分；运营方案内容简单笼统、技术可行性弱、流程规范性不足的得4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（3）网络安全保障方案（5分）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本项目网络安全保障内容和系统信息保密机制的说明。方案内容详细完整、技术可行性强、流程标准规范的得5分；方案内容较为完整、技术可行性较强、流程基本符合规范的得3分；方案内容简单笼统、技术可行性弱、流程规范性不足的得1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（4）三资监管系统互联方案（5分）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平台与苏州地区“三资”监管系统的互联互通的说明方案。方案内容详细完整、技术可行性强、流程标准规范的得5分；方案内容较为完整、技术可行性较强、流程基本符合规范的得3分；方案内容简单笼统、技术可行性弱、流程规范性不足的得1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（5）完善的管理办法、交易规则、相关配套的制度（10分）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单位对本项目管理办法、交易规则、相关配套的制度等说明。方案内容详细完整、技术可行性强、流程标准规范的得10分；方案内容较为完整、技术可行性较强、流程基本符合规范的得7分；方案内容简单笼统、技术可行性弱、流程规范性不足的得4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（6）提供对苏州市各区县农村产权交易市场考核流程和制度说明（5分）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苏州各区县农村产权交易市场考核流程和制度的说明。方案内容详细完整、技术可行性强、流程标准规范的得5分；方案内容较为完整、技术可行性较强、流程基本符合规范的得3分；方案内容简单笼统、技术可行性弱、流程规范性不足的得1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（7）农村产权金融服务建设方案（5分）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农村产权参与主体提供金融服务支持的相关工作方案和模式建设等说明。说明内容详细完整、技术可行性强、流程标准规范的得5分；方案内容较为完整、技术可行性较强、流程基本符合规范的得3分；方案内容简单笼统、技术可行性弱、流程规范性不足的得1分；未提供者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（8）人员配备（12分）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对项目人员配备的说明（包括但不限于人员数量、资历、专业资格和从业经验等）优于采购需求配备的得2分。其中具备中级会计师职称，有1人得2分，最多4分；具备国家技术转移专业人员能力等级技术经纪人证书，得3分；具备中国认证认可协会(CCAA)知识产权管理体系认证审核员培训合格证书，得3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注：上述人员须同时提供供应商为上述人员缴纳的最近一个月的社保缴费证明（须有人员姓名并加盖社保部门章，非补缴），否则对应项不得分。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硬件配备（3分）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投标单位需为平台配备不少于8台本地化业务服务器（少于8台为非实质性响应），能够提供服务器购买发票、维护保养服务相关方案和协议的得3分；提供承诺函购买的得1分；未提供相关证明材料不得分。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2.投标单位综合实力（25分）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（1）投标单位过往数字人民币结算金额，结算金额超过1亿元数字人民币，得1分；超过3亿元数字人民币，得3分；超过5亿元数字人民币，得5分。注：以上交易金额须同时提供对公钱包交易流水和明细。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（2）投标单位在苏州各县级市（区）设立分支机构和网点，符合要求1家得2分，最高不超过16分。</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注：以上分支机构和网点需提供股权关系证明、服务窗口照片、3名以上服务人员（相关人员最近一个月的社保缴费证明，须有人员姓名并加盖社保部门章，非补缴）；</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（3）投标单位获得金融管理部门批复经营得4分，需提供相关证明材料。</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注：1、针对评分标准中评分的每一条，投标人均应提供相关资料并作出相应说明供评委评判，不提供相关资料的视为不具备该项得分的条件，</w:t>
      </w:r>
      <w:r/>
    </w:p>
    <w:p>
      <w:pPr>
        <w:ind w:left="0" w:right="0" w:firstLine="43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2投标单位必须保证全部投标资料的真实性，如有虚假或对采购文件所要求说明的情况故隐瞒或虚报，视为不实质性投标文件，为无效投标，已成交的将取消资格。</w:t>
      </w:r>
      <w:r/>
    </w:p>
    <w:p>
      <w:pPr>
        <w:ind w:left="520" w:right="0" w:firstLine="420"/>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20" w:right="0" w:firstLine="420"/>
        <w:jc w:val="right"/>
        <w:spacing w:before="21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rPr>
          <w:rFonts w:ascii="Times New Roman" w:hAnsi="Times New Roman" w:eastAsia="Times New Roman" w:cs="Times New Roman"/>
          <w:sz w:val="22"/>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夏莉琴</cp:lastModifiedBy>
  <cp:revision>5</cp:revision>
  <dcterms:created xsi:type="dcterms:W3CDTF">2024-06-19T02:59:51Z</dcterms:created>
  <dcterms:modified xsi:type="dcterms:W3CDTF">2024-06-19T06:32:58Z</dcterms:modified>
</cp:coreProperties>
</file>