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消毒供应中心配套设备采购项目</w:t>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JSZC-320400-CTZB-G2025-0199</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常州市妇幼保健院</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4"/>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color w:val="000000"/>
          <w:sz w:val="32"/>
          <w:szCs w:val="32"/>
        </w:rPr>
        <w:t xml:space="preserve">第三章   资</w:t>
      </w:r>
      <w:bookmarkStart w:id="1" w:name="_Hlt100754117"/>
      <w:r>
        <w:rPr>
          <w:rStyle w:val="1147"/>
          <w:color w:val="000000"/>
          <w:sz w:val="32"/>
          <w:szCs w:val="32"/>
        </w:rPr>
        <w:t xml:space="preserve">格</w:t>
      </w:r>
      <w:bookmarkEnd w:id="1"/>
      <w:r>
        <w:rPr>
          <w:rStyle w:val="1147"/>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color w:val="000000"/>
          <w:sz w:val="32"/>
          <w:szCs w:val="32"/>
        </w:rPr>
        <w:t xml:space="preserve">第五章   采购</w:t>
      </w:r>
      <w:bookmarkStart w:id="2" w:name="_Hlt100754102"/>
      <w:r/>
      <w:bookmarkStart w:id="3" w:name="_Hlt100754103"/>
      <w:r>
        <w:rPr>
          <w:rStyle w:val="1147"/>
          <w:color w:val="000000"/>
          <w:sz w:val="32"/>
          <w:szCs w:val="32"/>
        </w:rPr>
        <w:t xml:space="preserve">需</w:t>
      </w:r>
      <w:bookmarkEnd w:id="2"/>
      <w:r/>
      <w:bookmarkEnd w:id="3"/>
      <w:r>
        <w:rPr>
          <w:rStyle w:val="1147"/>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33</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54</w:t>
      </w:r>
      <w:r>
        <w:rPr>
          <w:sz w:val="32"/>
          <w:szCs w:val="32"/>
        </w:rPr>
        <w:fldChar w:fldCharType="end"/>
        <w:fldChar w:fldCharType="end"/>
      </w:r>
      <w:r>
        <w:rPr>
          <w:b w:val="0"/>
          <w:sz w:val="32"/>
          <w:szCs w:val="32"/>
        </w:rPr>
      </w:r>
      <w:r/>
    </w:p>
    <w:p>
      <w:pPr>
        <w:pStyle w:val="1124"/>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60</w:t>
      </w:r>
      <w:r>
        <w:rPr>
          <w:sz w:val="32"/>
          <w:szCs w:val="32"/>
        </w:rPr>
        <w:fldChar w:fldCharType="end"/>
        <w:fldChar w:fldCharType="end"/>
      </w:r>
      <w:r>
        <w:rPr>
          <w:b w:val="0"/>
          <w:sz w:val="32"/>
          <w:szCs w:val="32"/>
        </w:rPr>
      </w:r>
      <w:r/>
    </w:p>
    <w:p>
      <w:pPr>
        <w:pStyle w:val="1124"/>
        <w:spacing w:line="720" w:lineRule="auto"/>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常州市妇幼保健院消毒供应中心配套设备采购项目的潜在投标人应在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rPr>
        <w:t xml:space="preserve">2</w:t>
      </w:r>
      <w:r>
        <w:rPr>
          <w:rFonts w:ascii="仿宋" w:hAnsi="仿宋" w:eastAsia="仿宋"/>
          <w:b/>
          <w:bCs/>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09月02日09点30分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5" w:name="_Toc35393621"/>
      <w:r/>
      <w:bookmarkStart w:id="6" w:name="_Toc35393790"/>
      <w:r/>
      <w:bookmarkStart w:id="7" w:name="_Toc28359079"/>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JSZC-320400-CTZB-G2025-0199</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常州市妇幼保健院消毒供应中心配套设备采购项目</w:t>
      </w:r>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1595万元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w:t>
      </w:r>
      <w:r>
        <w:rPr>
          <w:rFonts w:hint="eastAsia" w:ascii="仿宋" w:hAnsi="仿宋" w:eastAsia="仿宋"/>
          <w:sz w:val="32"/>
          <w:szCs w:val="32"/>
        </w:rPr>
        <w:t xml:space="preserve">1445万元</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6"/>
        <w:gridCol w:w="1699"/>
        <w:gridCol w:w="996"/>
        <w:gridCol w:w="4278"/>
      </w:tblGrid>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p>
          <w:p>
            <w:pPr>
              <w:pStyle w:val="1070"/>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p>
        </w:tc>
        <w:tc>
          <w:tcPr>
            <w:tcW w:w="2315" w:type="pct"/>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28"/>
                <w:szCs w:val="28"/>
              </w:rPr>
              <w:t xml:space="preserve">消毒供应中心配套设备</w:t>
            </w:r>
            <w:r>
              <w:rPr>
                <w:rFonts w:ascii="仿宋" w:hAnsi="仿宋" w:eastAsia="仿宋"/>
                <w:bCs/>
                <w:sz w:val="32"/>
                <w:szCs w:val="32"/>
              </w:rPr>
            </w:r>
            <w:r/>
          </w:p>
        </w:tc>
        <w:tc>
          <w:tcPr>
            <w:tcW w:w="920"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1595</w:t>
            </w:r>
            <w:r/>
          </w:p>
        </w:tc>
        <w:tc>
          <w:tcPr>
            <w:tcW w:w="539"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1批</w:t>
            </w:r>
            <w:r>
              <w:rPr>
                <w:rFonts w:ascii="仿宋" w:hAnsi="仿宋" w:eastAsia="仿宋"/>
                <w:bCs/>
                <w:sz w:val="32"/>
                <w:szCs w:val="32"/>
              </w:rPr>
            </w:r>
            <w:r/>
          </w:p>
        </w:tc>
        <w:tc>
          <w:tcPr>
            <w:tcW w:w="2315" w:type="pct"/>
            <w:vAlign w:val="center"/>
            <w:textDirection w:val="lrTb"/>
            <w:noWrap w:val="false"/>
          </w:tcPr>
          <w:p>
            <w:pPr>
              <w:pStyle w:val="1070"/>
              <w:rPr>
                <w:rFonts w:ascii="仿宋" w:hAnsi="仿宋" w:eastAsia="仿宋"/>
                <w:sz w:val="32"/>
                <w:szCs w:val="32"/>
              </w:rPr>
            </w:pPr>
            <w:r>
              <w:rPr>
                <w:rFonts w:hint="eastAsia" w:ascii="仿宋" w:hAnsi="仿宋" w:eastAsia="仿宋"/>
                <w:bCs/>
                <w:sz w:val="28"/>
                <w:szCs w:val="28"/>
              </w:rPr>
              <w:t xml:space="preserve">具体内容包括：设备（软件、配件）的制造（采购）、运输、装卸、安装、调试、测试、售后服务、技术培训等，直至通过采购单位及其他相关部门的验收以及质量保修、免费维保等全部工作。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合同履行期限：合同签订后60天内完成合同范围内所有设备的供货、安装调试。</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7.本项目是否接受联合体投标：□是  ■否。</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8.本项目是否接受进口产品投标：□是  ■否。</w:t>
      </w:r>
      <w:r/>
    </w:p>
    <w:p>
      <w:pPr>
        <w:pStyle w:val="1072"/>
        <w:ind w:firstLine="643"/>
        <w:jc w:val="left"/>
        <w:spacing w:before="0" w:line="360" w:lineRule="auto"/>
        <w:rPr>
          <w:rFonts w:ascii="仿宋" w:hAnsi="仿宋" w:eastAsia="仿宋"/>
          <w:sz w:val="32"/>
          <w:szCs w:val="32"/>
        </w:rPr>
      </w:pPr>
      <w:r/>
      <w:bookmarkStart w:id="10" w:name="_Toc35393791"/>
      <w:r/>
      <w:bookmarkStart w:id="11" w:name="_Toc28359080"/>
      <w:r/>
      <w:bookmarkStart w:id="12" w:name="_Toc35393622"/>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0"/>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（1）满足以下两项中任意一项要求：</w:t>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①投标人为所投产品制造商：具有有效期内的医疗器械生产许可证；</w:t>
      </w:r>
      <w:r/>
    </w:p>
    <w:p>
      <w:pPr>
        <w:pStyle w:val="1070"/>
        <w:ind w:firstLine="643"/>
        <w:spacing w:line="360" w:lineRule="auto"/>
        <w:tabs>
          <w:tab w:val="left" w:pos="900" w:leader="none"/>
          <w:tab w:val="left" w:pos="1134" w:leader="none"/>
          <w:tab w:val="left" w:pos="1589" w:leader="none"/>
          <w:tab w:val="left" w:pos="5521" w:leader="none"/>
        </w:tabs>
        <w:rPr>
          <w:rFonts w:ascii="仿宋" w:hAnsi="仿宋" w:eastAsia="仿宋"/>
          <w:b/>
          <w:sz w:val="32"/>
          <w:szCs w:val="32"/>
        </w:rPr>
      </w:pPr>
      <w:r>
        <w:rPr>
          <w:rFonts w:hint="eastAsia" w:ascii="仿宋" w:hAnsi="仿宋" w:eastAsia="仿宋"/>
          <w:b/>
          <w:sz w:val="32"/>
          <w:szCs w:val="32"/>
        </w:rPr>
        <w:t xml:space="preserve">②投标人为所投产品经销商：具有有效期内的医疗器械经营备案凭证。</w:t>
      </w:r>
      <w:r>
        <w:rPr>
          <w:rFonts w:ascii="仿宋" w:hAnsi="仿宋" w:eastAsia="仿宋"/>
          <w:b/>
          <w:sz w:val="32"/>
          <w:szCs w:val="32"/>
        </w:rPr>
      </w:r>
      <w:r/>
    </w:p>
    <w:p>
      <w:pPr>
        <w:pStyle w:val="1072"/>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ascii="仿宋" w:hAnsi="仿宋" w:eastAsia="仿宋" w:cs="宋体"/>
          <w:sz w:val="32"/>
          <w:szCs w:val="32"/>
        </w:rPr>
        <w:t xml:space="preserve">09</w:t>
      </w:r>
      <w:r>
        <w:rPr>
          <w:rFonts w:hint="eastAsia" w:ascii="仿宋" w:hAnsi="仿宋" w:eastAsia="仿宋"/>
          <w:sz w:val="32"/>
          <w:szCs w:val="32"/>
          <w:lang w:bidi="ar"/>
        </w:rPr>
        <w:t xml:space="preserve">点</w:t>
      </w:r>
      <w:r>
        <w:rPr>
          <w:rFonts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2" w:name="_Toc28359084"/>
      <w:r/>
      <w:bookmarkStart w:id="23" w:name="_Toc35393625"/>
      <w:r/>
      <w:bookmarkStart w:id="24" w:name="_Toc28359007"/>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8" w:name="_Toc28359085"/>
      <w:r/>
      <w:bookmarkStart w:id="29" w:name="_Toc35393627"/>
      <w:r/>
      <w:bookmarkStart w:id="30" w:name="_Toc35393796"/>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0"/>
        <w:ind w:firstLine="640"/>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称：常州市妇幼保健院 </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址：常州市钟楼区丁香路16号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联系方式：季先生 0519- 88581660</w:t>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81580192（转分机号6012）</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6" w:name="_Toc226965856"/>
      <w:r/>
      <w:bookmarkStart w:id="37" w:name="_Toc305158928"/>
      <w:r/>
      <w:bookmarkStart w:id="38" w:name="_Toc264969275"/>
      <w:r/>
      <w:bookmarkStart w:id="39" w:name="_Toc99301420"/>
      <w:r/>
      <w:bookmarkStart w:id="40" w:name="_Toc512937850"/>
      <w:r/>
      <w:bookmarkStart w:id="41" w:name="_Toc353825548"/>
      <w:r/>
      <w:bookmarkStart w:id="42" w:name="_Toc127161488"/>
      <w:r/>
      <w:bookmarkStart w:id="43" w:name="_Toc195842950"/>
      <w:r/>
      <w:bookmarkStart w:id="44" w:name="_Toc353873938"/>
      <w:r/>
      <w:bookmarkStart w:id="45" w:name="_Toc305158854"/>
      <w:r/>
      <w:bookmarkStart w:id="46" w:name="_Toc150774783"/>
      <w:r/>
      <w:bookmarkStart w:id="47" w:name="_Toc127151777"/>
      <w:r/>
      <w:bookmarkStart w:id="48" w:name="_Toc265228423"/>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9" w:name="_Toc520356144"/>
      <w:r/>
      <w:bookmarkStart w:id="50" w:name="_Toc151193617"/>
      <w:r/>
      <w:bookmarkStart w:id="51" w:name="_Toc142311021"/>
      <w:r/>
      <w:bookmarkStart w:id="52" w:name="_Toc151193907"/>
      <w:r/>
      <w:bookmarkStart w:id="53" w:name="_Toc127161433"/>
      <w:r/>
      <w:bookmarkStart w:id="54" w:name="_Toc151190146"/>
      <w:r/>
      <w:bookmarkStart w:id="55" w:name="_Toc226309763"/>
      <w:r/>
      <w:bookmarkStart w:id="56" w:name="_Toc149720812"/>
      <w:r/>
      <w:bookmarkStart w:id="57" w:name="_Toc164229360"/>
      <w:r/>
      <w:bookmarkStart w:id="58" w:name="_Toc150480757"/>
      <w:r/>
      <w:bookmarkStart w:id="59" w:name="_Toc127151720"/>
      <w:r/>
      <w:bookmarkStart w:id="60" w:name="_Toc164608788"/>
      <w:r/>
      <w:bookmarkStart w:id="61" w:name="_Toc164351613"/>
      <w:r/>
      <w:bookmarkStart w:id="62" w:name="_Toc226965709"/>
      <w:r/>
      <w:bookmarkStart w:id="63" w:name="_Toc150509270"/>
      <w:r/>
      <w:bookmarkStart w:id="64" w:name="_Toc195842884"/>
      <w:r/>
      <w:bookmarkStart w:id="65" w:name="_Toc226965792"/>
      <w:r/>
      <w:bookmarkStart w:id="66" w:name="_Toc151193689"/>
      <w:r/>
      <w:bookmarkStart w:id="67" w:name="_Toc151193833"/>
      <w:r/>
      <w:bookmarkStart w:id="68" w:name="_Toc150774724"/>
      <w:r/>
      <w:bookmarkStart w:id="69" w:name="_Toc164229214"/>
      <w:r/>
      <w:bookmarkStart w:id="70" w:name="_Toc150774619"/>
      <w:r/>
      <w:bookmarkStart w:id="71" w:name="_Toc127151519"/>
      <w:r/>
      <w:bookmarkStart w:id="72" w:name="_Toc164608633"/>
      <w:r/>
      <w:bookmarkStart w:id="73" w:name="_Toc151193761"/>
      <w:r/>
      <w:bookmarkStart w:id="74" w:name="_Toc226337215"/>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szCs w:val="24"/>
              </w:rPr>
              <w:t xml:space="preserve">□本项目_/_包为单一产品采购项目。</w:t>
            </w:r>
            <w:r/>
          </w:p>
          <w:p>
            <w:pPr>
              <w:pStyle w:val="1070"/>
              <w:jc w:val="left"/>
              <w:rPr>
                <w:rFonts w:hint="eastAsia" w:ascii="宋体" w:hAnsi="宋体" w:cs="宋体"/>
                <w:sz w:val="24"/>
              </w:rPr>
            </w:pPr>
            <w:r>
              <w:rPr>
                <w:rFonts w:hint="eastAsia" w:ascii="宋体" w:hAnsi="宋体" w:cs="宋体"/>
                <w:sz w:val="24"/>
              </w:rPr>
              <w:t xml:space="preserve">■本项目_01_包为非单一产品采购项目，核心产品为：</w:t>
            </w:r>
            <w:r>
              <w:rPr>
                <w:rFonts w:hint="eastAsia" w:ascii="宋体" w:hAnsi="宋体" w:cs="宋体"/>
                <w:b/>
                <w:sz w:val="24"/>
                <w:u w:val="single"/>
              </w:rPr>
              <w:t xml:space="preserve">_</w:t>
            </w:r>
            <w:r>
              <w:rPr>
                <w:rFonts w:ascii="宋体" w:hAnsi="宋体" w:cs="宋体"/>
                <w:b/>
                <w:sz w:val="24"/>
                <w:u w:val="single"/>
              </w:rPr>
              <w:t xml:space="preserve">洁净蒸汽灭菌器、</w:t>
            </w:r>
            <w:r>
              <w:rPr>
                <w:rFonts w:hint="eastAsia" w:ascii="宋体" w:hAnsi="宋体" w:cs="宋体"/>
                <w:b/>
                <w:sz w:val="24"/>
                <w:u w:val="single"/>
              </w:rPr>
              <w:t xml:space="preserve">低温等离子灭菌器_</w:t>
            </w:r>
            <w:r>
              <w:rPr>
                <w:rFonts w:hint="eastAsia" w:ascii="宋体" w:hAnsi="宋体" w:cs="宋体"/>
                <w:sz w:val="24"/>
              </w:rPr>
              <w:t xml:space="preserve">。</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8</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0</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81580192（转分机号6012）；</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■中标人</w:t>
            </w:r>
            <w:r/>
          </w:p>
          <w:p>
            <w:pPr>
              <w:pStyle w:val="1070"/>
              <w:jc w:val="left"/>
              <w:rPr>
                <w:rFonts w:hint="eastAsia" w:ascii="宋体" w:hAnsi="宋体" w:cs="宋体"/>
                <w:b/>
                <w:sz w:val="24"/>
              </w:rPr>
            </w:pPr>
            <w:r>
              <w:rPr>
                <w:rFonts w:hint="eastAsia" w:ascii="宋体" w:hAnsi="宋体" w:cs="宋体"/>
                <w:b/>
                <w:sz w:val="24"/>
              </w:rPr>
              <w:t xml:space="preserve">（二）收费标准：中标人须按其中标金额的0.8%计算并支付代理费。</w:t>
            </w:r>
            <w:r/>
          </w:p>
          <w:p>
            <w:pPr>
              <w:pStyle w:val="107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5" w:name="_Toc127151517"/>
      <w:r/>
      <w:bookmarkStart w:id="76" w:name="_Toc226965790"/>
      <w:r/>
      <w:bookmarkStart w:id="77" w:name="_Toc353873932"/>
      <w:r/>
      <w:bookmarkStart w:id="78" w:name="_Toc142311019"/>
      <w:r/>
      <w:bookmarkStart w:id="79" w:name="_Toc226337213"/>
      <w:r/>
      <w:bookmarkStart w:id="80" w:name="_Toc265228355"/>
      <w:r/>
      <w:bookmarkStart w:id="81" w:name="_Toc353873662"/>
      <w:r/>
      <w:bookmarkStart w:id="82" w:name="_Toc353825542"/>
      <w:r/>
      <w:bookmarkStart w:id="83" w:name="_Toc150774722"/>
      <w:r/>
      <w:bookmarkStart w:id="84" w:name="_Toc305158785"/>
      <w:r/>
      <w:bookmarkStart w:id="85" w:name="_Toc150480755"/>
      <w:r/>
      <w:bookmarkStart w:id="86" w:name="_Toc305158859"/>
      <w:r/>
      <w:bookmarkStart w:id="87" w:name="_Toc195842882"/>
      <w:r/>
      <w:bookmarkStart w:id="88" w:name="_Toc26496920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265228356"/>
      <w:r/>
      <w:bookmarkStart w:id="92" w:name="_Toc151193616"/>
      <w:r/>
      <w:bookmarkStart w:id="93" w:name="_Toc150509269"/>
      <w:r/>
      <w:bookmarkStart w:id="94" w:name="_Toc264969208"/>
      <w:r/>
      <w:bookmarkStart w:id="95" w:name="_Toc150774618"/>
      <w:r/>
      <w:bookmarkStart w:id="96" w:name="_Toc226309762"/>
      <w:r/>
      <w:bookmarkStart w:id="97" w:name="_Toc226337214"/>
      <w:r/>
      <w:bookmarkStart w:id="98" w:name="_Toc151190145"/>
      <w:r/>
      <w:bookmarkStart w:id="99" w:name="_Toc142311020"/>
      <w:r/>
      <w:bookmarkStart w:id="100" w:name="_Toc151193760"/>
      <w:r/>
      <w:bookmarkStart w:id="101" w:name="_Toc151193688"/>
      <w:r/>
      <w:bookmarkStart w:id="102" w:name="_Toc151193832"/>
      <w:r/>
      <w:bookmarkStart w:id="103" w:name="_Toc150480756"/>
      <w:r/>
      <w:bookmarkStart w:id="104" w:name="_Toc226965791"/>
      <w:r/>
      <w:bookmarkStart w:id="105" w:name="_Toc195842883"/>
      <w:r/>
      <w:bookmarkStart w:id="106" w:name="_Toc305158786"/>
      <w:r/>
      <w:bookmarkStart w:id="107" w:name="_Toc226965708"/>
      <w:r/>
      <w:bookmarkStart w:id="108" w:name="_Toc305158860"/>
      <w:r/>
      <w:bookmarkStart w:id="109" w:name="_Toc151193906"/>
      <w:r/>
      <w:bookmarkStart w:id="110" w:name="_Toc15077472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5228357"/>
      <w:r/>
      <w:bookmarkStart w:id="113" w:name="_Toc264969209"/>
      <w:r/>
      <w:bookmarkStart w:id="114" w:name="_Toc30515878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226965793"/>
      <w:r/>
      <w:bookmarkStart w:id="116" w:name="_Toc305158788"/>
      <w:r/>
      <w:bookmarkStart w:id="117" w:name="_Toc164351614"/>
      <w:r/>
      <w:bookmarkStart w:id="118" w:name="_Toc151193618"/>
      <w:r/>
      <w:bookmarkStart w:id="119" w:name="_Toc264969210"/>
      <w:r/>
      <w:bookmarkStart w:id="120" w:name="_Toc226309764"/>
      <w:r/>
      <w:bookmarkStart w:id="121" w:name="_Toc265228358"/>
      <w:r/>
      <w:bookmarkStart w:id="122" w:name="_Toc127161434"/>
      <w:r/>
      <w:bookmarkStart w:id="123" w:name="_Toc305158862"/>
      <w:r/>
      <w:bookmarkStart w:id="124" w:name="_Toc151193690"/>
      <w:r/>
      <w:bookmarkStart w:id="125" w:name="_Toc226965710"/>
      <w:r/>
      <w:bookmarkStart w:id="126" w:name="_Toc164229215"/>
      <w:r/>
      <w:bookmarkStart w:id="127" w:name="_Toc142311022"/>
      <w:r/>
      <w:bookmarkStart w:id="128" w:name="_Toc127151520"/>
      <w:r/>
      <w:bookmarkStart w:id="129" w:name="_Toc164229361"/>
      <w:r/>
      <w:bookmarkStart w:id="130" w:name="_Toc151190147"/>
      <w:r/>
      <w:bookmarkStart w:id="131" w:name="_Toc151193762"/>
      <w:r/>
      <w:bookmarkStart w:id="132" w:name="_Toc226337216"/>
      <w:r/>
      <w:bookmarkStart w:id="133" w:name="_Toc195842885"/>
      <w:r/>
      <w:bookmarkStart w:id="134" w:name="_Toc150774725"/>
      <w:r/>
      <w:bookmarkStart w:id="135" w:name="_Toc150774620"/>
      <w:r/>
      <w:bookmarkStart w:id="136" w:name="_Toc164608634"/>
      <w:r/>
      <w:bookmarkStart w:id="137" w:name="_Toc150480758"/>
      <w:r/>
      <w:bookmarkStart w:id="138" w:name="_Toc149720813"/>
      <w:r/>
      <w:bookmarkStart w:id="139" w:name="_Toc127151721"/>
      <w:r/>
      <w:bookmarkStart w:id="140" w:name="_Toc164608789"/>
      <w:r/>
      <w:bookmarkStart w:id="141" w:name="_Toc150509271"/>
      <w:r/>
      <w:bookmarkStart w:id="142" w:name="_Toc151193834"/>
      <w:r/>
      <w:bookmarkStart w:id="143" w:name="_Toc15119390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42311024"/>
      <w:r/>
      <w:bookmarkStart w:id="145" w:name="_Toc226309766"/>
      <w:r/>
      <w:bookmarkStart w:id="146" w:name="_Toc226965712"/>
      <w:r/>
      <w:bookmarkStart w:id="147" w:name="_Toc305158864"/>
      <w:r/>
      <w:bookmarkStart w:id="148" w:name="_Toc127151522"/>
      <w:r/>
      <w:bookmarkStart w:id="149" w:name="_Toc150509273"/>
      <w:r/>
      <w:bookmarkStart w:id="150" w:name="_Toc150774727"/>
      <w:r/>
      <w:bookmarkStart w:id="151" w:name="_Toc151193692"/>
      <w:r/>
      <w:bookmarkStart w:id="152" w:name="_Toc520356146"/>
      <w:r/>
      <w:bookmarkStart w:id="153" w:name="_Toc226337218"/>
      <w:r/>
      <w:bookmarkStart w:id="154" w:name="_Toc151193764"/>
      <w:r/>
      <w:bookmarkStart w:id="155" w:name="_Toc151193620"/>
      <w:r/>
      <w:bookmarkStart w:id="156" w:name="_Toc150480760"/>
      <w:r/>
      <w:bookmarkStart w:id="157" w:name="_Toc150774622"/>
      <w:r/>
      <w:bookmarkStart w:id="158" w:name="_Toc265228360"/>
      <w:r/>
      <w:bookmarkStart w:id="159" w:name="_Toc305158790"/>
      <w:r/>
      <w:bookmarkStart w:id="160" w:name="_Toc195842887"/>
      <w:r/>
      <w:bookmarkStart w:id="161" w:name="_Toc264969212"/>
      <w:r/>
      <w:bookmarkStart w:id="162" w:name="_Toc151193910"/>
      <w:r/>
      <w:bookmarkStart w:id="163" w:name="_Toc151190149"/>
      <w:r/>
      <w:bookmarkStart w:id="164" w:name="_Toc151193836"/>
      <w:r/>
      <w:bookmarkStart w:id="165" w:name="_Toc226965795"/>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6"/>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26309767"/>
      <w:r/>
      <w:bookmarkStart w:id="168" w:name="_Toc164229218"/>
      <w:r/>
      <w:bookmarkStart w:id="169" w:name="_Toc127161437"/>
      <w:r/>
      <w:bookmarkStart w:id="170" w:name="_Toc151193765"/>
      <w:r/>
      <w:bookmarkStart w:id="171" w:name="_Toc265228361"/>
      <w:r/>
      <w:bookmarkStart w:id="172" w:name="_Toc164351617"/>
      <w:r/>
      <w:bookmarkStart w:id="173" w:name="_Toc150509274"/>
      <w:r/>
      <w:bookmarkStart w:id="174" w:name="_Toc164229364"/>
      <w:r/>
      <w:bookmarkStart w:id="175" w:name="_Toc150774623"/>
      <w:r/>
      <w:bookmarkStart w:id="176" w:name="_Toc149720816"/>
      <w:r/>
      <w:bookmarkStart w:id="177" w:name="_Toc151190150"/>
      <w:r/>
      <w:bookmarkStart w:id="178" w:name="_Toc150480761"/>
      <w:r/>
      <w:bookmarkStart w:id="179" w:name="_Toc142311025"/>
      <w:r/>
      <w:bookmarkStart w:id="180" w:name="_Toc151193837"/>
      <w:r/>
      <w:bookmarkStart w:id="181" w:name="_Toc520356147"/>
      <w:r/>
      <w:bookmarkStart w:id="182" w:name="_Toc150774728"/>
      <w:r/>
      <w:bookmarkStart w:id="183" w:name="_Toc151193911"/>
      <w:r/>
      <w:bookmarkStart w:id="184" w:name="_Toc226337219"/>
      <w:r/>
      <w:bookmarkStart w:id="185" w:name="_Toc127151523"/>
      <w:r/>
      <w:bookmarkStart w:id="186" w:name="_Toc305158865"/>
      <w:r/>
      <w:bookmarkStart w:id="187" w:name="_Toc264969213"/>
      <w:r/>
      <w:bookmarkStart w:id="188" w:name="_Toc151193621"/>
      <w:r/>
      <w:bookmarkStart w:id="189" w:name="_Toc151193693"/>
      <w:r/>
      <w:bookmarkStart w:id="190" w:name="_Toc226965713"/>
      <w:r/>
      <w:bookmarkStart w:id="191" w:name="_Toc164608792"/>
      <w:r/>
      <w:bookmarkStart w:id="192" w:name="_Toc127151724"/>
      <w:r/>
      <w:bookmarkStart w:id="193" w:name="_Toc226965796"/>
      <w:r/>
      <w:bookmarkStart w:id="194" w:name="_Toc195842888"/>
      <w:r/>
      <w:bookmarkStart w:id="195" w:name="_Toc164608637"/>
      <w:r/>
      <w:bookmarkStart w:id="196" w:name="_Toc30515879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7" w:name="_Toc151193624"/>
      <w:r/>
      <w:bookmarkStart w:id="198" w:name="_Toc127151526"/>
      <w:r/>
      <w:bookmarkStart w:id="199" w:name="_Toc305158868"/>
      <w:r/>
      <w:bookmarkStart w:id="200" w:name="_Toc150509277"/>
      <w:r/>
      <w:bookmarkStart w:id="201" w:name="_Toc151193840"/>
      <w:r/>
      <w:bookmarkStart w:id="202" w:name="_Toc226337222"/>
      <w:r/>
      <w:bookmarkStart w:id="203" w:name="_Toc151190153"/>
      <w:r/>
      <w:bookmarkStart w:id="204" w:name="_Toc226965799"/>
      <w:r/>
      <w:bookmarkStart w:id="205" w:name="_Toc150480764"/>
      <w:r/>
      <w:bookmarkStart w:id="206" w:name="_Toc142311028"/>
      <w:r/>
      <w:bookmarkStart w:id="207" w:name="_Toc151193914"/>
      <w:r/>
      <w:bookmarkStart w:id="208" w:name="_Toc150774626"/>
      <w:r/>
      <w:bookmarkStart w:id="209" w:name="_Toc151193696"/>
      <w:r/>
      <w:bookmarkStart w:id="210" w:name="_Toc516367020"/>
      <w:r/>
      <w:bookmarkStart w:id="211" w:name="_Toc265228364"/>
      <w:r/>
      <w:bookmarkStart w:id="212" w:name="_Toc264969216"/>
      <w:r/>
      <w:bookmarkStart w:id="213" w:name="_Toc150774731"/>
      <w:r/>
      <w:bookmarkStart w:id="214" w:name="_Toc520356150"/>
      <w:r/>
      <w:bookmarkStart w:id="215" w:name="_Toc151193768"/>
      <w:r/>
      <w:bookmarkStart w:id="216" w:name="_Toc305158794"/>
      <w:r/>
      <w:bookmarkStart w:id="217" w:name="_Toc195842891"/>
      <w:r/>
      <w:bookmarkStart w:id="218" w:name="_Toc226309770"/>
      <w:r/>
      <w:bookmarkStart w:id="219" w:name="_Toc22696571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305158869"/>
      <w:r/>
      <w:bookmarkStart w:id="221" w:name="_Toc226337223"/>
      <w:r/>
      <w:bookmarkStart w:id="222" w:name="_Toc164351621"/>
      <w:r/>
      <w:bookmarkStart w:id="223" w:name="_Toc305158795"/>
      <w:r/>
      <w:bookmarkStart w:id="224" w:name="_Toc149720820"/>
      <w:r/>
      <w:bookmarkStart w:id="225" w:name="_Toc516367021"/>
      <w:r/>
      <w:bookmarkStart w:id="226" w:name="_Toc150480765"/>
      <w:r/>
      <w:bookmarkStart w:id="227" w:name="_Toc151193841"/>
      <w:r/>
      <w:bookmarkStart w:id="228" w:name="_Toc151193915"/>
      <w:r/>
      <w:bookmarkStart w:id="229" w:name="_Toc164608641"/>
      <w:r/>
      <w:bookmarkStart w:id="230" w:name="_Toc150774732"/>
      <w:r/>
      <w:bookmarkStart w:id="231" w:name="_Toc226965717"/>
      <w:r/>
      <w:bookmarkStart w:id="232" w:name="_Toc127161441"/>
      <w:r/>
      <w:bookmarkStart w:id="233" w:name="_Toc520356151"/>
      <w:r/>
      <w:bookmarkStart w:id="234" w:name="_Toc151193625"/>
      <w:r/>
      <w:bookmarkStart w:id="235" w:name="_Toc127151527"/>
      <w:r/>
      <w:bookmarkStart w:id="236" w:name="_Toc127151728"/>
      <w:r/>
      <w:bookmarkStart w:id="237" w:name="_Toc264969217"/>
      <w:r/>
      <w:bookmarkStart w:id="238" w:name="_Toc265228365"/>
      <w:r/>
      <w:bookmarkStart w:id="239" w:name="_Toc151190154"/>
      <w:r/>
      <w:bookmarkStart w:id="240" w:name="_Toc195842892"/>
      <w:r/>
      <w:bookmarkStart w:id="241" w:name="_Toc164229222"/>
      <w:r/>
      <w:bookmarkStart w:id="242" w:name="_Toc150774627"/>
      <w:r/>
      <w:bookmarkStart w:id="243" w:name="_Toc150509278"/>
      <w:r/>
      <w:bookmarkStart w:id="244" w:name="_Toc226309771"/>
      <w:r/>
      <w:bookmarkStart w:id="245" w:name="_Toc142311029"/>
      <w:r/>
      <w:bookmarkStart w:id="246" w:name="_Toc226965800"/>
      <w:r/>
      <w:bookmarkStart w:id="247" w:name="_Toc164608796"/>
      <w:r/>
      <w:bookmarkStart w:id="248" w:name="_Toc151193697"/>
      <w:r/>
      <w:bookmarkStart w:id="249" w:name="_Toc151193769"/>
      <w:r/>
      <w:bookmarkStart w:id="250" w:name="_Toc164229368"/>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0480766"/>
      <w:r/>
      <w:bookmarkStart w:id="252" w:name="_Toc195842893"/>
      <w:r/>
      <w:bookmarkStart w:id="253" w:name="_Toc226309772"/>
      <w:r/>
      <w:bookmarkStart w:id="254" w:name="_Toc164608797"/>
      <w:r/>
      <w:bookmarkStart w:id="255" w:name="_Toc127151729"/>
      <w:r/>
      <w:bookmarkStart w:id="256" w:name="_Toc150774733"/>
      <w:r/>
      <w:bookmarkStart w:id="257" w:name="_Toc151190155"/>
      <w:r/>
      <w:bookmarkStart w:id="258" w:name="_Toc516367022"/>
      <w:r/>
      <w:bookmarkStart w:id="259" w:name="_Ref467306676"/>
      <w:r/>
      <w:bookmarkStart w:id="260" w:name="_Ref467306195"/>
      <w:r/>
      <w:bookmarkStart w:id="261" w:name="_Toc151193626"/>
      <w:r/>
      <w:bookmarkStart w:id="262" w:name="_Toc151193770"/>
      <w:r/>
      <w:bookmarkStart w:id="263" w:name="_Toc305158796"/>
      <w:r/>
      <w:bookmarkStart w:id="264" w:name="_Toc150509279"/>
      <w:r/>
      <w:bookmarkStart w:id="265" w:name="_Toc305158870"/>
      <w:r/>
      <w:bookmarkStart w:id="266" w:name="_Toc264969218"/>
      <w:r/>
      <w:bookmarkStart w:id="267" w:name="_Toc142311030"/>
      <w:r/>
      <w:bookmarkStart w:id="268" w:name="_Toc151193916"/>
      <w:r/>
      <w:bookmarkStart w:id="269" w:name="_Toc164351622"/>
      <w:r/>
      <w:bookmarkStart w:id="270" w:name="_Toc520356152"/>
      <w:r/>
      <w:bookmarkStart w:id="271" w:name="_Toc265228366"/>
      <w:r/>
      <w:bookmarkStart w:id="272" w:name="_Toc127161442"/>
      <w:r/>
      <w:bookmarkStart w:id="273" w:name="_Toc127151528"/>
      <w:r/>
      <w:bookmarkStart w:id="274" w:name="_Toc164229223"/>
      <w:r/>
      <w:bookmarkStart w:id="275" w:name="_Toc226965718"/>
      <w:r/>
      <w:bookmarkStart w:id="276" w:name="_Toc151193842"/>
      <w:r/>
      <w:bookmarkStart w:id="277" w:name="_Toc164229369"/>
      <w:r/>
      <w:bookmarkStart w:id="278" w:name="_Toc150774628"/>
      <w:r/>
      <w:bookmarkStart w:id="279" w:name="_Toc151193698"/>
      <w:r/>
      <w:bookmarkStart w:id="280" w:name="_Toc226337224"/>
      <w:r/>
      <w:bookmarkStart w:id="281" w:name="_Toc164608642"/>
      <w:r/>
      <w:bookmarkStart w:id="282" w:name="_Toc149720821"/>
      <w:r/>
      <w:bookmarkStart w:id="283" w:name="_Toc226965801"/>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608799"/>
      <w:r/>
      <w:bookmarkStart w:id="286" w:name="_Toc151190157"/>
      <w:r/>
      <w:bookmarkStart w:id="287" w:name="_Toc195842895"/>
      <w:r/>
      <w:bookmarkStart w:id="288" w:name="_Toc142311032"/>
      <w:r/>
      <w:bookmarkStart w:id="289" w:name="_Toc150480768"/>
      <w:r/>
      <w:bookmarkStart w:id="290" w:name="_Toc164608644"/>
      <w:r/>
      <w:bookmarkStart w:id="291" w:name="_Toc164229371"/>
      <w:r/>
      <w:bookmarkStart w:id="292" w:name="_Toc150509281"/>
      <w:r/>
      <w:bookmarkStart w:id="293" w:name="_Toc151193844"/>
      <w:r/>
      <w:bookmarkStart w:id="294" w:name="_Toc127151530"/>
      <w:r/>
      <w:bookmarkStart w:id="295" w:name="_Toc151193772"/>
      <w:r/>
      <w:bookmarkStart w:id="296" w:name="_Toc164229225"/>
      <w:r/>
      <w:bookmarkStart w:id="297" w:name="_Toc164351624"/>
      <w:r/>
      <w:bookmarkStart w:id="298" w:name="_Toc150774735"/>
      <w:r/>
      <w:bookmarkStart w:id="299" w:name="_Toc149720823"/>
      <w:r/>
      <w:bookmarkStart w:id="300" w:name="_Toc151193918"/>
      <w:r/>
      <w:bookmarkStart w:id="301" w:name="_Toc520356155"/>
      <w:r/>
      <w:bookmarkStart w:id="302" w:name="_Toc127151731"/>
      <w:r/>
      <w:bookmarkStart w:id="303" w:name="_Toc151193700"/>
      <w:r/>
      <w:bookmarkStart w:id="304" w:name="_Toc127161444"/>
      <w:r/>
      <w:bookmarkStart w:id="305" w:name="_Toc151193628"/>
      <w:r/>
      <w:bookmarkStart w:id="306" w:name="_Toc1507746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64229226"/>
      <w:r/>
      <w:bookmarkStart w:id="308" w:name="_Toc127151531"/>
      <w:r/>
      <w:bookmarkStart w:id="309" w:name="_Toc151193845"/>
      <w:r/>
      <w:bookmarkStart w:id="310" w:name="_Toc164229372"/>
      <w:r/>
      <w:bookmarkStart w:id="311" w:name="_Toc151193919"/>
      <w:r/>
      <w:bookmarkStart w:id="312" w:name="_Toc226965721"/>
      <w:r/>
      <w:bookmarkStart w:id="313" w:name="_Toc195842896"/>
      <w:r/>
      <w:bookmarkStart w:id="314" w:name="_Toc151190158"/>
      <w:r/>
      <w:bookmarkStart w:id="315" w:name="_Toc150774631"/>
      <w:r/>
      <w:bookmarkStart w:id="316" w:name="_Toc226337227"/>
      <w:r/>
      <w:bookmarkStart w:id="317" w:name="_Toc150480769"/>
      <w:r/>
      <w:bookmarkStart w:id="318" w:name="_Toc164608645"/>
      <w:r/>
      <w:bookmarkStart w:id="319" w:name="_Toc164351625"/>
      <w:r/>
      <w:bookmarkStart w:id="320" w:name="_Toc164608800"/>
      <w:r/>
      <w:bookmarkStart w:id="321" w:name="_Toc150774736"/>
      <w:r/>
      <w:bookmarkStart w:id="322" w:name="_Toc127161445"/>
      <w:r/>
      <w:bookmarkStart w:id="323" w:name="_Toc150509282"/>
      <w:r/>
      <w:bookmarkStart w:id="324" w:name="_Toc264969221"/>
      <w:r/>
      <w:bookmarkStart w:id="325" w:name="_Ref467306513"/>
      <w:r/>
      <w:bookmarkStart w:id="326" w:name="_Toc226309775"/>
      <w:r/>
      <w:bookmarkStart w:id="327" w:name="_Toc520356156"/>
      <w:r/>
      <w:bookmarkStart w:id="328" w:name="_Toc151193701"/>
      <w:r/>
      <w:bookmarkStart w:id="329" w:name="_Toc265228369"/>
      <w:r/>
      <w:bookmarkStart w:id="330" w:name="_Toc305158799"/>
      <w:r/>
      <w:bookmarkStart w:id="331" w:name="_Toc149720824"/>
      <w:r/>
      <w:bookmarkStart w:id="332" w:name="_Toc305158873"/>
      <w:r/>
      <w:bookmarkStart w:id="333" w:name="_Toc226965804"/>
      <w:r/>
      <w:bookmarkStart w:id="334" w:name="_Toc151193629"/>
      <w:r/>
      <w:bookmarkStart w:id="335" w:name="_Toc151193773"/>
      <w:r/>
      <w:bookmarkStart w:id="336" w:name="_Toc142311033"/>
      <w:r/>
      <w:bookmarkStart w:id="337" w:name="_Toc127151732"/>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305158800"/>
      <w:r/>
      <w:bookmarkStart w:id="339" w:name="_Toc264969222"/>
      <w:r/>
      <w:bookmarkStart w:id="340" w:name="_Toc127151733"/>
      <w:r/>
      <w:bookmarkStart w:id="341" w:name="_Toc195842897"/>
      <w:r/>
      <w:bookmarkStart w:id="342" w:name="_Toc226337228"/>
      <w:r/>
      <w:bookmarkStart w:id="343" w:name="_Toc127151532"/>
      <w:r/>
      <w:bookmarkStart w:id="344" w:name="_Toc142311034"/>
      <w:r/>
      <w:bookmarkStart w:id="345" w:name="_Toc151193702"/>
      <w:r/>
      <w:bookmarkStart w:id="346" w:name="_Toc151193630"/>
      <w:r/>
      <w:bookmarkStart w:id="347" w:name="_Toc164608646"/>
      <w:r/>
      <w:bookmarkStart w:id="348" w:name="_Toc150480770"/>
      <w:r/>
      <w:bookmarkStart w:id="349" w:name="_Toc520356157"/>
      <w:r/>
      <w:bookmarkStart w:id="350" w:name="_Toc164229227"/>
      <w:r/>
      <w:bookmarkStart w:id="351" w:name="_Toc164351626"/>
      <w:r/>
      <w:bookmarkStart w:id="352" w:name="_Toc164229373"/>
      <w:r/>
      <w:bookmarkStart w:id="353" w:name="_Toc151193774"/>
      <w:r/>
      <w:bookmarkStart w:id="354" w:name="_Toc150774737"/>
      <w:r/>
      <w:bookmarkStart w:id="355" w:name="_Toc151190159"/>
      <w:r/>
      <w:bookmarkStart w:id="356" w:name="_Toc265228370"/>
      <w:r/>
      <w:bookmarkStart w:id="357" w:name="_Toc150774632"/>
      <w:r/>
      <w:bookmarkStart w:id="358" w:name="_Toc226309776"/>
      <w:r/>
      <w:bookmarkStart w:id="359" w:name="_Toc151193920"/>
      <w:r/>
      <w:bookmarkStart w:id="360" w:name="_Toc164608801"/>
      <w:r/>
      <w:bookmarkStart w:id="361" w:name="_Toc149720825"/>
      <w:r/>
      <w:bookmarkStart w:id="362" w:name="_Toc127161446"/>
      <w:r/>
      <w:bookmarkStart w:id="363" w:name="_Toc305158874"/>
      <w:r/>
      <w:bookmarkStart w:id="364" w:name="_Toc226965805"/>
      <w:r/>
      <w:bookmarkStart w:id="365" w:name="_Toc226965722"/>
      <w:r/>
      <w:bookmarkStart w:id="366" w:name="_Toc151193846"/>
      <w:r/>
      <w:bookmarkStart w:id="367" w:name="_Toc150509283"/>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608802"/>
      <w:r/>
      <w:bookmarkStart w:id="369" w:name="_Toc264969223"/>
      <w:r/>
      <w:bookmarkStart w:id="370" w:name="_Toc127151734"/>
      <w:r/>
      <w:bookmarkStart w:id="371" w:name="_Toc195842898"/>
      <w:r/>
      <w:bookmarkStart w:id="372" w:name="_Toc226965723"/>
      <w:r/>
      <w:bookmarkStart w:id="373" w:name="_Toc164608647"/>
      <w:r/>
      <w:bookmarkStart w:id="374" w:name="_Toc127151533"/>
      <w:r/>
      <w:bookmarkStart w:id="375" w:name="_Toc142311035"/>
      <w:r/>
      <w:bookmarkStart w:id="376" w:name="_Toc151193847"/>
      <w:r/>
      <w:bookmarkStart w:id="377" w:name="_Toc164229374"/>
      <w:r/>
      <w:bookmarkStart w:id="378" w:name="_Toc151193703"/>
      <w:r/>
      <w:bookmarkStart w:id="379" w:name="_Toc520356158"/>
      <w:r/>
      <w:bookmarkStart w:id="380" w:name="_Toc151193631"/>
      <w:r/>
      <w:bookmarkStart w:id="381" w:name="_Toc127161447"/>
      <w:r/>
      <w:bookmarkStart w:id="382" w:name="_Toc305158801"/>
      <w:r/>
      <w:bookmarkStart w:id="383" w:name="_Toc305158875"/>
      <w:r/>
      <w:bookmarkStart w:id="384" w:name="_Toc150774633"/>
      <w:r/>
      <w:bookmarkStart w:id="385" w:name="_Toc150480771"/>
      <w:r/>
      <w:bookmarkStart w:id="386" w:name="_Toc151190160"/>
      <w:r/>
      <w:bookmarkStart w:id="387" w:name="_Toc150509284"/>
      <w:r/>
      <w:bookmarkStart w:id="388" w:name="_Toc149720826"/>
      <w:r/>
      <w:bookmarkStart w:id="389" w:name="_Toc151193921"/>
      <w:r/>
      <w:bookmarkStart w:id="390" w:name="_Toc151193775"/>
      <w:r/>
      <w:bookmarkStart w:id="391" w:name="_Toc164351627"/>
      <w:r/>
      <w:bookmarkStart w:id="392" w:name="_Toc226337229"/>
      <w:r/>
      <w:bookmarkStart w:id="393" w:name="_Toc150774738"/>
      <w:r/>
      <w:bookmarkStart w:id="394" w:name="_Toc265228371"/>
      <w:r/>
      <w:bookmarkStart w:id="395" w:name="_Toc226309777"/>
      <w:r/>
      <w:bookmarkStart w:id="396" w:name="_Toc226965806"/>
      <w:r/>
      <w:bookmarkStart w:id="397" w:name="_Toc16422922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95842899"/>
      <w:r/>
      <w:bookmarkStart w:id="399" w:name="_Toc151193922"/>
      <w:r/>
      <w:bookmarkStart w:id="400" w:name="_Toc305158876"/>
      <w:r/>
      <w:bookmarkStart w:id="401" w:name="_Toc265228372"/>
      <w:r/>
      <w:bookmarkStart w:id="402" w:name="_Toc151193848"/>
      <w:r/>
      <w:bookmarkStart w:id="403" w:name="_Toc520356159"/>
      <w:r/>
      <w:bookmarkStart w:id="404" w:name="_Toc305158802"/>
      <w:r/>
      <w:bookmarkStart w:id="405" w:name="_Toc264969224"/>
      <w:r/>
      <w:bookmarkStart w:id="406" w:name="_Toc226965724"/>
      <w:r/>
      <w:bookmarkStart w:id="407" w:name="_Toc151193632"/>
      <w:r/>
      <w:bookmarkStart w:id="408" w:name="_Toc150480772"/>
      <w:r/>
      <w:bookmarkStart w:id="409" w:name="_Toc150774634"/>
      <w:r/>
      <w:bookmarkStart w:id="410" w:name="_Toc151193704"/>
      <w:r/>
      <w:bookmarkStart w:id="411" w:name="_Toc127151534"/>
      <w:r/>
      <w:bookmarkStart w:id="412" w:name="_Toc226965807"/>
      <w:r/>
      <w:bookmarkStart w:id="413" w:name="_Toc151193776"/>
      <w:r/>
      <w:bookmarkStart w:id="414" w:name="_Toc142311036"/>
      <w:r/>
      <w:bookmarkStart w:id="415" w:name="_Toc151190161"/>
      <w:r/>
      <w:bookmarkStart w:id="416" w:name="_Toc150774739"/>
      <w:r/>
      <w:bookmarkStart w:id="417" w:name="_Toc150509285"/>
      <w:r/>
      <w:bookmarkStart w:id="418" w:name="_Toc226337230"/>
      <w:r/>
      <w:bookmarkStart w:id="419" w:name="_Toc226309778"/>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49720828"/>
      <w:r/>
      <w:bookmarkStart w:id="421" w:name="_Toc151193777"/>
      <w:r/>
      <w:bookmarkStart w:id="422" w:name="_Toc164351629"/>
      <w:r/>
      <w:bookmarkStart w:id="423" w:name="_Toc150509286"/>
      <w:r/>
      <w:bookmarkStart w:id="424" w:name="_Toc151193705"/>
      <w:r/>
      <w:bookmarkStart w:id="425" w:name="_Toc150480773"/>
      <w:r/>
      <w:bookmarkStart w:id="426" w:name="_Toc150774635"/>
      <w:r/>
      <w:bookmarkStart w:id="427" w:name="_Toc164608649"/>
      <w:r/>
      <w:bookmarkStart w:id="428" w:name="_Toc520356160"/>
      <w:r/>
      <w:bookmarkStart w:id="429" w:name="_Toc305158877"/>
      <w:r/>
      <w:bookmarkStart w:id="430" w:name="_Toc226965725"/>
      <w:r/>
      <w:bookmarkStart w:id="431" w:name="_Toc127151535"/>
      <w:r/>
      <w:bookmarkStart w:id="432" w:name="_Toc127161449"/>
      <w:r/>
      <w:bookmarkStart w:id="433" w:name="_Toc226337231"/>
      <w:r/>
      <w:bookmarkStart w:id="434" w:name="_Toc150774740"/>
      <w:r/>
      <w:bookmarkStart w:id="435" w:name="_Toc305158803"/>
      <w:r/>
      <w:bookmarkStart w:id="436" w:name="_Toc151190162"/>
      <w:r/>
      <w:bookmarkStart w:id="437" w:name="_Toc151193849"/>
      <w:r/>
      <w:bookmarkStart w:id="438" w:name="_Toc127151736"/>
      <w:r/>
      <w:bookmarkStart w:id="439" w:name="_Toc226309779"/>
      <w:r/>
      <w:bookmarkStart w:id="440" w:name="_Toc151193633"/>
      <w:r/>
      <w:bookmarkStart w:id="441" w:name="_Toc164229376"/>
      <w:r/>
      <w:bookmarkStart w:id="442" w:name="_Toc142311037"/>
      <w:r/>
      <w:bookmarkStart w:id="443" w:name="_Toc164608804"/>
      <w:r/>
      <w:bookmarkStart w:id="444" w:name="_Toc164229230"/>
      <w:r/>
      <w:bookmarkStart w:id="445" w:name="_Toc151193923"/>
      <w:r/>
      <w:bookmarkStart w:id="446" w:name="_Toc226965808"/>
      <w:r/>
      <w:bookmarkStart w:id="447" w:name="_Toc265228373"/>
      <w:r/>
      <w:bookmarkStart w:id="448" w:name="_Toc264969225"/>
      <w:r/>
      <w:bookmarkStart w:id="449" w:name="_Toc195842900"/>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26965726"/>
      <w:r/>
      <w:bookmarkStart w:id="451" w:name="_Toc164229231"/>
      <w:r/>
      <w:bookmarkStart w:id="452" w:name="_Toc151193778"/>
      <w:r/>
      <w:bookmarkStart w:id="453" w:name="_Toc164608650"/>
      <w:r/>
      <w:bookmarkStart w:id="454" w:name="_Toc264969226"/>
      <w:r/>
      <w:bookmarkStart w:id="455" w:name="_Toc151193850"/>
      <w:r/>
      <w:bookmarkStart w:id="456" w:name="_Toc305158804"/>
      <w:r/>
      <w:bookmarkStart w:id="457" w:name="_Toc151193924"/>
      <w:r/>
      <w:bookmarkStart w:id="458" w:name="_Toc226309780"/>
      <w:r/>
      <w:bookmarkStart w:id="459" w:name="_Toc164608805"/>
      <w:r/>
      <w:bookmarkStart w:id="460" w:name="_Toc265228374"/>
      <w:r/>
      <w:bookmarkStart w:id="461" w:name="_Toc151193706"/>
      <w:r/>
      <w:bookmarkStart w:id="462" w:name="_Toc150774741"/>
      <w:r/>
      <w:bookmarkStart w:id="463" w:name="_Toc150509287"/>
      <w:r/>
      <w:bookmarkStart w:id="464" w:name="_Toc127161450"/>
      <w:r/>
      <w:bookmarkStart w:id="465" w:name="_Toc305158878"/>
      <w:r/>
      <w:bookmarkStart w:id="466" w:name="_Toc127151737"/>
      <w:r/>
      <w:bookmarkStart w:id="467" w:name="_Toc151193634"/>
      <w:r/>
      <w:bookmarkStart w:id="468" w:name="_Toc164351630"/>
      <w:r/>
      <w:bookmarkStart w:id="469" w:name="_Toc149720829"/>
      <w:r/>
      <w:bookmarkStart w:id="470" w:name="_Toc195842901"/>
      <w:r/>
      <w:bookmarkStart w:id="471" w:name="_Toc164229377"/>
      <w:r/>
      <w:bookmarkStart w:id="472" w:name="_Toc151190163"/>
      <w:r/>
      <w:bookmarkStart w:id="473" w:name="_Toc142311038"/>
      <w:r/>
      <w:bookmarkStart w:id="474" w:name="_Toc150480774"/>
      <w:r/>
      <w:bookmarkStart w:id="475" w:name="_Toc127151536"/>
      <w:r/>
      <w:bookmarkStart w:id="476" w:name="_Toc150774636"/>
      <w:r/>
      <w:bookmarkStart w:id="477" w:name="_Toc226337232"/>
      <w:r/>
      <w:bookmarkStart w:id="478" w:name="_Toc226965809"/>
      <w:r/>
      <w:bookmarkStart w:id="479" w:name="_Toc52035616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774637"/>
      <w:r/>
      <w:bookmarkStart w:id="481" w:name="_Toc164229378"/>
      <w:r/>
      <w:bookmarkStart w:id="482" w:name="_Toc305158805"/>
      <w:r/>
      <w:bookmarkStart w:id="483" w:name="_Toc164608651"/>
      <w:r/>
      <w:bookmarkStart w:id="484" w:name="_Toc151193707"/>
      <w:r/>
      <w:bookmarkStart w:id="485" w:name="_Toc226965727"/>
      <w:r/>
      <w:bookmarkStart w:id="486" w:name="_Toc150774742"/>
      <w:r/>
      <w:bookmarkStart w:id="487" w:name="_Toc151190164"/>
      <w:r/>
      <w:bookmarkStart w:id="488" w:name="_Toc195842902"/>
      <w:r/>
      <w:bookmarkStart w:id="489" w:name="_Toc520356162"/>
      <w:r/>
      <w:bookmarkStart w:id="490" w:name="_Toc127151537"/>
      <w:r/>
      <w:bookmarkStart w:id="491" w:name="_Toc164608806"/>
      <w:r/>
      <w:bookmarkStart w:id="492" w:name="_Toc164229232"/>
      <w:r/>
      <w:bookmarkStart w:id="493" w:name="_Toc264969227"/>
      <w:r/>
      <w:bookmarkStart w:id="494" w:name="_Toc149720830"/>
      <w:r/>
      <w:bookmarkStart w:id="495" w:name="_Toc127161451"/>
      <w:r/>
      <w:bookmarkStart w:id="496" w:name="_Toc150509288"/>
      <w:r/>
      <w:bookmarkStart w:id="497" w:name="_Toc150480775"/>
      <w:r/>
      <w:bookmarkStart w:id="498" w:name="_Toc151193779"/>
      <w:r/>
      <w:bookmarkStart w:id="499" w:name="_Toc164351631"/>
      <w:r/>
      <w:bookmarkStart w:id="500" w:name="_Toc265228375"/>
      <w:r/>
      <w:bookmarkStart w:id="501" w:name="_Toc127151738"/>
      <w:r/>
      <w:bookmarkStart w:id="502" w:name="_Toc142311039"/>
      <w:r/>
      <w:bookmarkStart w:id="503" w:name="_Toc151193925"/>
      <w:r/>
      <w:bookmarkStart w:id="504" w:name="_Toc151193635"/>
      <w:r/>
      <w:bookmarkStart w:id="505" w:name="_Toc226337233"/>
      <w:r/>
      <w:bookmarkStart w:id="506" w:name="_Toc151193851"/>
      <w:r/>
      <w:bookmarkStart w:id="507" w:name="_Toc226965810"/>
      <w:r/>
      <w:bookmarkStart w:id="508" w:name="_Toc226309781"/>
      <w:r/>
      <w:bookmarkStart w:id="509" w:name="_Toc30515887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0" w:name="_Toc150480776"/>
      <w:r/>
      <w:bookmarkStart w:id="511" w:name="_Toc150774638"/>
      <w:r/>
      <w:bookmarkStart w:id="512" w:name="_Toc151193636"/>
      <w:r/>
      <w:bookmarkStart w:id="513" w:name="_Toc150774743"/>
      <w:r/>
      <w:bookmarkStart w:id="514" w:name="_Toc520356163"/>
      <w:r/>
      <w:bookmarkStart w:id="515" w:name="_Toc226309782"/>
      <w:r/>
      <w:bookmarkStart w:id="516" w:name="_Toc151193708"/>
      <w:r/>
      <w:bookmarkStart w:id="517" w:name="_Toc151190165"/>
      <w:r/>
      <w:bookmarkStart w:id="518" w:name="_Toc151193926"/>
      <w:r/>
      <w:bookmarkStart w:id="519" w:name="_Toc305158806"/>
      <w:r/>
      <w:bookmarkStart w:id="520" w:name="_Toc142311040"/>
      <w:r/>
      <w:bookmarkStart w:id="521" w:name="_Toc151193852"/>
      <w:r/>
      <w:bookmarkStart w:id="522" w:name="_Toc305158880"/>
      <w:r/>
      <w:bookmarkStart w:id="523" w:name="_Toc127151538"/>
      <w:r/>
      <w:bookmarkStart w:id="524" w:name="_Toc226965811"/>
      <w:r/>
      <w:bookmarkStart w:id="525" w:name="_Toc195842903"/>
      <w:r/>
      <w:bookmarkStart w:id="526" w:name="_Toc226337234"/>
      <w:r/>
      <w:bookmarkStart w:id="527" w:name="_Toc264969228"/>
      <w:r/>
      <w:bookmarkStart w:id="528" w:name="_Toc150509289"/>
      <w:r/>
      <w:bookmarkStart w:id="529" w:name="_Toc226965728"/>
      <w:r/>
      <w:bookmarkStart w:id="530" w:name="_Toc151193780"/>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09783"/>
      <w:r/>
      <w:bookmarkStart w:id="533" w:name="_Toc195842904"/>
      <w:r/>
      <w:bookmarkStart w:id="534" w:name="_Toc151193853"/>
      <w:r/>
      <w:bookmarkStart w:id="535" w:name="_Toc305158881"/>
      <w:r/>
      <w:bookmarkStart w:id="536" w:name="_Toc142311041"/>
      <w:r/>
      <w:bookmarkStart w:id="537" w:name="_Toc164229380"/>
      <w:r/>
      <w:bookmarkStart w:id="538" w:name="_Toc226965812"/>
      <w:r/>
      <w:bookmarkStart w:id="539" w:name="_Toc150774744"/>
      <w:r/>
      <w:bookmarkStart w:id="540" w:name="_Toc127151740"/>
      <w:r/>
      <w:bookmarkStart w:id="541" w:name="_Toc226337235"/>
      <w:r/>
      <w:bookmarkStart w:id="542" w:name="_Toc164351633"/>
      <w:r/>
      <w:bookmarkStart w:id="543" w:name="_Toc264969229"/>
      <w:r/>
      <w:bookmarkStart w:id="544" w:name="_Toc151190166"/>
      <w:r/>
      <w:bookmarkStart w:id="545" w:name="_Toc150480777"/>
      <w:r/>
      <w:bookmarkStart w:id="546" w:name="_Toc520356164"/>
      <w:r/>
      <w:bookmarkStart w:id="547" w:name="_Toc226965729"/>
      <w:r/>
      <w:bookmarkStart w:id="548" w:name="_Toc150509290"/>
      <w:r/>
      <w:bookmarkStart w:id="549" w:name="_Toc265228377"/>
      <w:r/>
      <w:bookmarkStart w:id="550" w:name="_Toc164608808"/>
      <w:r/>
      <w:bookmarkStart w:id="551" w:name="_Toc164229234"/>
      <w:r/>
      <w:bookmarkStart w:id="552" w:name="_Toc150774639"/>
      <w:r/>
      <w:bookmarkStart w:id="553" w:name="_Toc305158807"/>
      <w:r/>
      <w:bookmarkStart w:id="554" w:name="_Toc164608653"/>
      <w:r/>
      <w:bookmarkStart w:id="555" w:name="_Toc151193927"/>
      <w:r/>
      <w:bookmarkStart w:id="556" w:name="_Toc149720832"/>
      <w:r/>
      <w:bookmarkStart w:id="557" w:name="_Toc151193781"/>
      <w:r/>
      <w:bookmarkStart w:id="558" w:name="_Toc127151539"/>
      <w:r/>
      <w:bookmarkStart w:id="559" w:name="_Toc151193637"/>
      <w:r/>
      <w:bookmarkStart w:id="560" w:name="_Toc151193709"/>
      <w:r/>
      <w:bookmarkStart w:id="561" w:name="_Toc1271614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0509291"/>
      <w:r/>
      <w:bookmarkStart w:id="564" w:name="_Toc151190167"/>
      <w:r/>
      <w:bookmarkStart w:id="565" w:name="_Toc151193638"/>
      <w:r/>
      <w:bookmarkStart w:id="566" w:name="_Toc150774640"/>
      <w:r/>
      <w:bookmarkStart w:id="567" w:name="_Toc164608809"/>
      <w:r/>
      <w:bookmarkStart w:id="568" w:name="_Toc127151540"/>
      <w:r/>
      <w:bookmarkStart w:id="569" w:name="_Toc226309784"/>
      <w:r/>
      <w:bookmarkStart w:id="570" w:name="_Toc305158808"/>
      <w:r/>
      <w:bookmarkStart w:id="571" w:name="_Toc127151741"/>
      <w:r/>
      <w:bookmarkStart w:id="572" w:name="_Toc150774745"/>
      <w:r/>
      <w:bookmarkStart w:id="573" w:name="_Toc164229381"/>
      <w:r/>
      <w:bookmarkStart w:id="574" w:name="_Toc151193854"/>
      <w:r/>
      <w:bookmarkStart w:id="575" w:name="_Toc127161454"/>
      <w:r/>
      <w:bookmarkStart w:id="576" w:name="_Toc164608654"/>
      <w:r/>
      <w:bookmarkStart w:id="577" w:name="_Toc226965813"/>
      <w:r/>
      <w:bookmarkStart w:id="578" w:name="_Toc142311042"/>
      <w:r/>
      <w:bookmarkStart w:id="579" w:name="_Toc226965730"/>
      <w:r/>
      <w:bookmarkStart w:id="580" w:name="_Toc151193782"/>
      <w:r/>
      <w:bookmarkStart w:id="581" w:name="_Toc305158882"/>
      <w:r/>
      <w:bookmarkStart w:id="582" w:name="_Toc265228378"/>
      <w:r/>
      <w:bookmarkStart w:id="583" w:name="_Toc150480778"/>
      <w:r/>
      <w:bookmarkStart w:id="584" w:name="_Toc164351634"/>
      <w:r/>
      <w:bookmarkStart w:id="585" w:name="_Toc149720833"/>
      <w:r/>
      <w:bookmarkStart w:id="586" w:name="_Toc195842905"/>
      <w:r/>
      <w:bookmarkStart w:id="587" w:name="_Toc226337236"/>
      <w:r/>
      <w:bookmarkStart w:id="588" w:name="_Toc164229235"/>
      <w:r/>
      <w:bookmarkStart w:id="589" w:name="_Toc264969230"/>
      <w:r/>
      <w:bookmarkStart w:id="590" w:name="_Toc151193928"/>
      <w:r/>
      <w:bookmarkStart w:id="591" w:name="_Toc15119371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4" w:name="_Toc150774750"/>
      <w:r/>
      <w:bookmarkStart w:id="595" w:name="_Toc264969235"/>
      <w:r/>
      <w:bookmarkStart w:id="596" w:name="_Toc305158813"/>
      <w:r/>
      <w:bookmarkStart w:id="597" w:name="_Toc151193715"/>
      <w:r/>
      <w:bookmarkStart w:id="598" w:name="_Toc127151545"/>
      <w:r/>
      <w:bookmarkStart w:id="599" w:name="_Toc151193787"/>
      <w:r/>
      <w:bookmarkStart w:id="600" w:name="_Toc195842910"/>
      <w:r/>
      <w:bookmarkStart w:id="601" w:name="_Toc142311047"/>
      <w:r/>
      <w:bookmarkStart w:id="602" w:name="_Toc226965735"/>
      <w:r/>
      <w:bookmarkStart w:id="603" w:name="_Toc151193643"/>
      <w:r/>
      <w:bookmarkStart w:id="604" w:name="_Toc150774645"/>
      <w:r/>
      <w:bookmarkStart w:id="605" w:name="_Toc151193933"/>
      <w:r/>
      <w:bookmarkStart w:id="606" w:name="_Toc151193859"/>
      <w:r/>
      <w:bookmarkStart w:id="607" w:name="_Toc226309789"/>
      <w:r/>
      <w:bookmarkStart w:id="608" w:name="_Toc226337241"/>
      <w:r/>
      <w:bookmarkStart w:id="609" w:name="_Toc151190172"/>
      <w:r/>
      <w:bookmarkStart w:id="610" w:name="_Toc226965818"/>
      <w:r/>
      <w:bookmarkStart w:id="611" w:name="_Toc150509296"/>
      <w:r/>
      <w:bookmarkStart w:id="612" w:name="_Toc305158887"/>
      <w:r/>
      <w:bookmarkStart w:id="613" w:name="_Toc150480783"/>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127151547"/>
      <w:r/>
      <w:bookmarkStart w:id="617" w:name="_Toc164229388"/>
      <w:r/>
      <w:bookmarkStart w:id="618" w:name="_Toc151193717"/>
      <w:r/>
      <w:bookmarkStart w:id="619" w:name="_Toc151190174"/>
      <w:r/>
      <w:bookmarkStart w:id="620" w:name="_Toc164229242"/>
      <w:r/>
      <w:bookmarkStart w:id="621" w:name="_Toc195842912"/>
      <w:r/>
      <w:bookmarkStart w:id="622" w:name="_Toc151193861"/>
      <w:r/>
      <w:bookmarkStart w:id="623" w:name="_Toc305158889"/>
      <w:r/>
      <w:bookmarkStart w:id="624" w:name="_Toc265228385"/>
      <w:r/>
      <w:bookmarkStart w:id="625" w:name="_Toc226337243"/>
      <w:r/>
      <w:bookmarkStart w:id="626" w:name="_Toc150774647"/>
      <w:r/>
      <w:bookmarkStart w:id="627" w:name="_Toc150774752"/>
      <w:r/>
      <w:bookmarkStart w:id="628" w:name="_Toc150480785"/>
      <w:r/>
      <w:bookmarkStart w:id="629" w:name="_Toc164608661"/>
      <w:r/>
      <w:bookmarkStart w:id="630" w:name="_Toc151193645"/>
      <w:r/>
      <w:bookmarkStart w:id="631" w:name="_Toc226965820"/>
      <w:r/>
      <w:bookmarkStart w:id="632" w:name="_Toc226309791"/>
      <w:r/>
      <w:bookmarkStart w:id="633" w:name="_Toc151193935"/>
      <w:r/>
      <w:bookmarkStart w:id="634" w:name="_Toc164351641"/>
      <w:r/>
      <w:bookmarkStart w:id="635" w:name="_Toc127151748"/>
      <w:r/>
      <w:bookmarkStart w:id="636" w:name="_Toc127161461"/>
      <w:r/>
      <w:bookmarkStart w:id="637" w:name="_Toc142311049"/>
      <w:r/>
      <w:bookmarkStart w:id="638" w:name="_Toc151193789"/>
      <w:r/>
      <w:bookmarkStart w:id="639" w:name="_Toc226965737"/>
      <w:r/>
      <w:bookmarkStart w:id="640" w:name="_Toc305158815"/>
      <w:r/>
      <w:bookmarkStart w:id="641" w:name="_Toc164608816"/>
      <w:r/>
      <w:bookmarkStart w:id="642" w:name="_Toc264969237"/>
      <w:r/>
      <w:bookmarkStart w:id="643" w:name="_Toc149720840"/>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64229390"/>
      <w:r/>
      <w:bookmarkStart w:id="645" w:name="_Toc150774754"/>
      <w:r/>
      <w:bookmarkStart w:id="646" w:name="_Toc151193937"/>
      <w:r/>
      <w:bookmarkStart w:id="647" w:name="_Toc305158817"/>
      <w:r/>
      <w:bookmarkStart w:id="648" w:name="_Toc150774649"/>
      <w:r/>
      <w:bookmarkStart w:id="649" w:name="_Toc226309793"/>
      <w:r/>
      <w:bookmarkStart w:id="650" w:name="_Toc164608663"/>
      <w:r/>
      <w:bookmarkStart w:id="651" w:name="_Toc150509300"/>
      <w:r/>
      <w:bookmarkStart w:id="652" w:name="_Toc520356176"/>
      <w:r/>
      <w:bookmarkStart w:id="653" w:name="_Ref467307090"/>
      <w:r/>
      <w:bookmarkStart w:id="654" w:name="_Ref467306425"/>
      <w:r/>
      <w:bookmarkStart w:id="655" w:name="_Toc150480787"/>
      <w:r/>
      <w:bookmarkStart w:id="656" w:name="_Toc127161463"/>
      <w:r/>
      <w:bookmarkStart w:id="657" w:name="_Toc127151750"/>
      <w:r/>
      <w:bookmarkStart w:id="658" w:name="_Toc164229244"/>
      <w:r/>
      <w:bookmarkStart w:id="659" w:name="_Toc142311051"/>
      <w:r/>
      <w:bookmarkStart w:id="660" w:name="_Toc151193719"/>
      <w:r/>
      <w:bookmarkStart w:id="661" w:name="_Toc305158891"/>
      <w:r/>
      <w:bookmarkStart w:id="662" w:name="_Toc164351643"/>
      <w:r/>
      <w:bookmarkStart w:id="663" w:name="_Toc265228387"/>
      <w:r/>
      <w:bookmarkStart w:id="664" w:name="_Toc226965822"/>
      <w:r/>
      <w:bookmarkStart w:id="665" w:name="_Toc164608818"/>
      <w:r/>
      <w:bookmarkStart w:id="666" w:name="_Toc151193791"/>
      <w:r/>
      <w:bookmarkStart w:id="667" w:name="_Toc151193863"/>
      <w:r/>
      <w:bookmarkStart w:id="668" w:name="_Toc195842914"/>
      <w:r/>
      <w:bookmarkStart w:id="669" w:name="_Toc151190176"/>
      <w:r/>
      <w:bookmarkStart w:id="670" w:name="_Toc149720842"/>
      <w:r/>
      <w:bookmarkStart w:id="671" w:name="_Toc151193647"/>
      <w:r/>
      <w:bookmarkStart w:id="672" w:name="_Toc264969239"/>
      <w:r/>
      <w:bookmarkStart w:id="673" w:name="_Toc226965739"/>
      <w:r/>
      <w:bookmarkStart w:id="674" w:name="_Toc226337245"/>
      <w:r/>
      <w:bookmarkStart w:id="675" w:name="_Toc127151549"/>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351644"/>
      <w:r/>
      <w:bookmarkStart w:id="677" w:name="_Toc151193938"/>
      <w:r/>
      <w:bookmarkStart w:id="678" w:name="_Ref467307062"/>
      <w:r/>
      <w:bookmarkStart w:id="679" w:name="_Toc305158892"/>
      <w:r/>
      <w:bookmarkStart w:id="680" w:name="_Toc150774755"/>
      <w:r/>
      <w:bookmarkStart w:id="681" w:name="_Toc226965823"/>
      <w:r/>
      <w:bookmarkStart w:id="682" w:name="_Toc150509301"/>
      <w:r/>
      <w:bookmarkStart w:id="683" w:name="_Toc151193864"/>
      <w:r/>
      <w:bookmarkStart w:id="684" w:name="_Toc264969240"/>
      <w:r/>
      <w:bookmarkStart w:id="685" w:name="_Toc226309794"/>
      <w:r/>
      <w:bookmarkStart w:id="686" w:name="_Toc164608819"/>
      <w:r/>
      <w:bookmarkStart w:id="687" w:name="_Toc151190177"/>
      <w:r/>
      <w:bookmarkStart w:id="688" w:name="_Toc305158818"/>
      <w:r/>
      <w:bookmarkStart w:id="689" w:name="_Toc151193792"/>
      <w:r/>
      <w:bookmarkStart w:id="690" w:name="_Toc151193720"/>
      <w:r/>
      <w:bookmarkStart w:id="691" w:name="_Toc164229245"/>
      <w:r/>
      <w:bookmarkStart w:id="692" w:name="_Toc195842915"/>
      <w:r/>
      <w:bookmarkStart w:id="693" w:name="_Toc520356175"/>
      <w:r/>
      <w:bookmarkStart w:id="694" w:name="_Toc127161464"/>
      <w:r/>
      <w:bookmarkStart w:id="695" w:name="_Toc226337246"/>
      <w:r/>
      <w:bookmarkStart w:id="696" w:name="_Toc149720843"/>
      <w:r/>
      <w:bookmarkStart w:id="697" w:name="_Ref467306377"/>
      <w:r/>
      <w:bookmarkStart w:id="698" w:name="_Toc150480788"/>
      <w:r/>
      <w:bookmarkStart w:id="699" w:name="_Toc142311052"/>
      <w:r/>
      <w:bookmarkStart w:id="700" w:name="_Toc226965740"/>
      <w:r/>
      <w:bookmarkStart w:id="701" w:name="_Ref467306978"/>
      <w:r/>
      <w:bookmarkStart w:id="702" w:name="_Toc150774650"/>
      <w:r/>
      <w:bookmarkStart w:id="703" w:name="_Toc265228388"/>
      <w:r/>
      <w:bookmarkStart w:id="704" w:name="_Toc127151550"/>
      <w:r/>
      <w:bookmarkStart w:id="705" w:name="_Toc127151751"/>
      <w:r/>
      <w:bookmarkStart w:id="706" w:name="_Toc164229391"/>
      <w:r/>
      <w:bookmarkStart w:id="707" w:name="_Ref467307204"/>
      <w:r/>
      <w:bookmarkStart w:id="708" w:name="_Toc151193648"/>
      <w:r/>
      <w:bookmarkStart w:id="709" w:name="_Toc16460866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color w:val="000000"/>
        </w:rPr>
        <w:t xml:space="preserve">http://gk</w:t>
      </w:r>
      <w:bookmarkStart w:id="710" w:name="_Hlt100654014"/>
      <w:r>
        <w:rPr>
          <w:rStyle w:val="1147"/>
          <w:rFonts w:hint="eastAsia" w:ascii="宋体" w:hAnsi="宋体" w:cs="宋体"/>
          <w:color w:val="000000"/>
        </w:rPr>
        <w:t xml:space="preserve">s</w:t>
      </w:r>
      <w:bookmarkEnd w:id="710"/>
      <w:r>
        <w:rPr>
          <w:rStyle w:val="1147"/>
          <w:rFonts w:hint="eastAsia" w:ascii="宋体" w:hAnsi="宋体" w:cs="宋体"/>
          <w:color w:val="000000"/>
        </w:rPr>
        <w:t xml:space="preserve">.m</w:t>
      </w:r>
      <w:bookmarkStart w:id="711" w:name="_Hlt100653993"/>
      <w:r/>
      <w:bookmarkStart w:id="712" w:name="_Hlt100653994"/>
      <w:r>
        <w:rPr>
          <w:rStyle w:val="1147"/>
          <w:rFonts w:hint="eastAsia" w:ascii="宋体" w:hAnsi="宋体" w:cs="宋体"/>
          <w:color w:val="000000"/>
        </w:rPr>
        <w:t xml:space="preserve">o</w:t>
      </w:r>
      <w:bookmarkEnd w:id="711"/>
      <w:r/>
      <w:bookmarkEnd w:id="712"/>
      <w:r>
        <w:rPr>
          <w:rStyle w:val="114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3" w:name="_Toc305158822"/>
      <w:r/>
      <w:bookmarkStart w:id="714" w:name="_Toc305158896"/>
      <w:r/>
      <w:bookmarkStart w:id="715" w:name="_Toc150480792"/>
      <w:r/>
      <w:bookmarkStart w:id="716" w:name="_Toc150774759"/>
      <w:r/>
      <w:bookmarkStart w:id="717" w:name="_Toc353873934"/>
      <w:r/>
      <w:bookmarkStart w:id="718" w:name="_Toc226965827"/>
      <w:r/>
      <w:bookmarkStart w:id="719" w:name="_Toc127151554"/>
      <w:r/>
      <w:bookmarkStart w:id="720" w:name="_Toc142311056"/>
      <w:r/>
      <w:bookmarkStart w:id="721" w:name="_Toc353873664"/>
      <w:r/>
      <w:bookmarkStart w:id="722" w:name="_Toc265228392"/>
      <w:r/>
      <w:bookmarkStart w:id="723" w:name="_Toc226337250"/>
      <w:r/>
      <w:bookmarkStart w:id="724" w:name="_Toc353825544"/>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107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6"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127161490"/>
      <w:r/>
      <w:bookmarkStart w:id="732" w:name="_Toc353873940"/>
      <w:r/>
      <w:bookmarkStart w:id="733" w:name="_Toc353825550"/>
      <w:r/>
      <w:bookmarkStart w:id="734" w:name="_Toc127151779"/>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51541"/>
      <w:r/>
      <w:bookmarkStart w:id="738" w:name="_Toc264969231"/>
      <w:r/>
      <w:bookmarkStart w:id="739" w:name="_Toc164229236"/>
      <w:r/>
      <w:bookmarkStart w:id="740" w:name="_Toc265228379"/>
      <w:r/>
      <w:bookmarkStart w:id="741" w:name="_Toc149720834"/>
      <w:r/>
      <w:bookmarkStart w:id="742" w:name="_Toc164229382"/>
      <w:r/>
      <w:bookmarkStart w:id="743" w:name="_Toc164608810"/>
      <w:r/>
      <w:bookmarkStart w:id="744" w:name="_Toc151193711"/>
      <w:r/>
      <w:bookmarkStart w:id="745" w:name="_Toc150774746"/>
      <w:r/>
      <w:bookmarkStart w:id="746" w:name="_Toc150774641"/>
      <w:r/>
      <w:bookmarkStart w:id="747" w:name="_Toc151193855"/>
      <w:r/>
      <w:bookmarkStart w:id="748" w:name="_Toc305158809"/>
      <w:r/>
      <w:bookmarkStart w:id="749" w:name="_Toc226965814"/>
      <w:r/>
      <w:bookmarkStart w:id="750" w:name="_Toc150509292"/>
      <w:r/>
      <w:bookmarkStart w:id="751" w:name="_Toc164608655"/>
      <w:r/>
      <w:bookmarkStart w:id="752" w:name="_Toc151190168"/>
      <w:r/>
      <w:bookmarkStart w:id="753" w:name="_Toc127151742"/>
      <w:r/>
      <w:bookmarkStart w:id="754" w:name="_Toc226965731"/>
      <w:r/>
      <w:bookmarkStart w:id="755" w:name="_Toc142311043"/>
      <w:r/>
      <w:bookmarkStart w:id="756" w:name="_Toc164351635"/>
      <w:r/>
      <w:bookmarkStart w:id="757" w:name="_Toc226337237"/>
      <w:r/>
      <w:bookmarkStart w:id="758" w:name="_Toc127161455"/>
      <w:r/>
      <w:bookmarkStart w:id="759" w:name="_Toc150480779"/>
      <w:r/>
      <w:bookmarkStart w:id="760" w:name="_Toc151193783"/>
      <w:r/>
      <w:bookmarkStart w:id="761" w:name="_Toc195842906"/>
      <w:r/>
      <w:bookmarkStart w:id="762" w:name="_Toc151193639"/>
      <w:r/>
      <w:bookmarkStart w:id="763" w:name="_Toc151193929"/>
      <w:r/>
      <w:bookmarkStart w:id="764" w:name="_Toc305158883"/>
      <w:r/>
      <w:bookmarkStart w:id="765" w:name="_Toc226309785"/>
      <w:r/>
      <w:bookmarkStart w:id="766" w:name="_Toc353825551"/>
      <w:r/>
      <w:bookmarkStart w:id="767" w:name="_Toc353873941"/>
      <w:r/>
      <w:bookmarkStart w:id="768" w:name="_Toc353825545"/>
      <w:r/>
      <w:bookmarkStart w:id="769" w:name="_Toc305158823"/>
      <w:r/>
      <w:bookmarkStart w:id="770" w:name="_Toc142311057"/>
      <w:r/>
      <w:bookmarkStart w:id="771" w:name="_Toc226965828"/>
      <w:r/>
      <w:bookmarkStart w:id="772" w:name="_Toc195842920"/>
      <w:r/>
      <w:bookmarkStart w:id="773" w:name="_Toc353873935"/>
      <w:r/>
      <w:bookmarkStart w:id="774" w:name="_Toc264969245"/>
      <w:r/>
      <w:bookmarkStart w:id="775" w:name="_Toc150774760"/>
      <w:r/>
      <w:bookmarkStart w:id="776" w:name="_Toc305158897"/>
      <w:r/>
      <w:bookmarkStart w:id="777" w:name="_Toc265228393"/>
      <w:r/>
      <w:bookmarkStart w:id="778" w:name="_Toc150480793"/>
      <w:r/>
      <w:bookmarkStart w:id="779" w:name="_Toc353873665"/>
      <w:r/>
      <w:bookmarkStart w:id="780" w:name="_Toc226337251"/>
      <w:r/>
      <w:bookmarkStart w:id="781" w:name="_Toc12715155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sz w:val="24"/>
              </w:rPr>
            </w:pPr>
            <w:r>
              <w:rPr>
                <w:rFonts w:hint="eastAsia" w:ascii="宋体" w:hAnsi="宋体"/>
                <w:sz w:val="24"/>
              </w:rPr>
              <w:t xml:space="preserve">根据江苏省财政厅《关于推动解决政府采购异常低价问题相关工作的通知》苏财购【</w:t>
            </w:r>
            <w:r>
              <w:rPr>
                <w:rFonts w:ascii="宋体" w:hAnsi="宋体"/>
                <w:sz w:val="24"/>
              </w:rPr>
              <w:t xml:space="preserve">2025</w:t>
            </w:r>
            <w:r>
              <w:rPr>
                <w:rFonts w:hint="eastAsia" w:ascii="宋体" w:hAnsi="宋体"/>
                <w:sz w:val="24"/>
              </w:rPr>
              <w:t xml:space="preserve">】</w:t>
            </w:r>
            <w:r>
              <w:rPr>
                <w:rFonts w:ascii="宋体" w:hAnsi="宋体"/>
                <w:sz w:val="24"/>
              </w:rPr>
              <w:t xml:space="preserve">62</w:t>
            </w:r>
            <w:r>
              <w:rPr>
                <w:rFonts w:hint="eastAsia" w:ascii="宋体" w:hAnsi="宋体"/>
                <w:sz w:val="24"/>
              </w:rPr>
              <w:t xml:space="preserve">号文件之规定：当评审过程中出现下列情形之一的，评审委员会应当启动异常低价投标（响应）审查程序：</w:t>
            </w:r>
            <w:r>
              <w:rPr>
                <w:rFonts w:ascii="宋体" w:hAnsi="宋体"/>
                <w:sz w:val="24"/>
              </w:rPr>
              <w:t xml:space="preserve"> </w:t>
            </w:r>
            <w:r>
              <w:rPr>
                <w:rFonts w:hint="eastAsia" w:ascii="宋体" w:hAnsi="宋体"/>
                <w:sz w:val="24"/>
              </w:rPr>
            </w:r>
            <w:r/>
          </w:p>
          <w:p>
            <w:pPr>
              <w:pStyle w:val="1070"/>
              <w:jc w:val="left"/>
              <w:widowControl/>
              <w:rPr>
                <w:rFonts w:hint="eastAsia" w:ascii="宋体" w:hAnsi="宋体"/>
                <w:sz w:val="24"/>
              </w:rPr>
            </w:pPr>
            <w:r>
              <w:rPr>
                <w:rFonts w:ascii="宋体" w:hAnsi="宋体"/>
                <w:sz w:val="24"/>
              </w:rPr>
              <w:t xml:space="preserve">1</w:t>
            </w:r>
            <w:r>
              <w:rPr>
                <w:rFonts w:hint="eastAsia" w:ascii="宋体" w:hAnsi="宋体"/>
                <w:sz w:val="24"/>
              </w:rPr>
              <w:t xml:space="preserve">、投标（响应）报价低于采购项目预算</w:t>
            </w:r>
            <w:r>
              <w:rPr>
                <w:rFonts w:ascii="宋体" w:hAnsi="宋体"/>
                <w:sz w:val="24"/>
              </w:rPr>
              <w:t xml:space="preserve">50%</w:t>
            </w:r>
            <w:r>
              <w:rPr>
                <w:rFonts w:hint="eastAsia" w:ascii="宋体" w:hAnsi="宋体"/>
                <w:sz w:val="24"/>
              </w:rPr>
              <w:t xml:space="preserve">的，即投标（响应）报价</w:t>
            </w:r>
            <w:r>
              <w:rPr>
                <w:rFonts w:ascii="宋体" w:hAnsi="宋体"/>
                <w:sz w:val="24"/>
              </w:rPr>
              <w:t xml:space="preserve">&lt;</w:t>
            </w:r>
            <w:r>
              <w:rPr>
                <w:rFonts w:hint="eastAsia" w:ascii="宋体" w:hAnsi="宋体"/>
                <w:sz w:val="24"/>
              </w:rPr>
              <w:t xml:space="preserve">采购项目预算×</w:t>
            </w:r>
            <w:r>
              <w:rPr>
                <w:rFonts w:ascii="宋体" w:hAnsi="宋体"/>
                <w:sz w:val="24"/>
              </w:rPr>
              <w:t xml:space="preserve">50%</w:t>
            </w:r>
            <w:r>
              <w:rPr>
                <w:rFonts w:hint="eastAsia" w:ascii="宋体" w:hAnsi="宋体"/>
                <w:sz w:val="24"/>
              </w:rPr>
              <w:t xml:space="preserve">；</w:t>
            </w:r>
            <w:r/>
          </w:p>
          <w:p>
            <w:pPr>
              <w:pStyle w:val="1070"/>
              <w:jc w:val="left"/>
              <w:widowControl/>
              <w:rPr>
                <w:rFonts w:hint="eastAsia" w:ascii="宋体" w:hAnsi="宋体"/>
                <w:sz w:val="24"/>
              </w:rPr>
            </w:pPr>
            <w:r>
              <w:rPr>
                <w:rFonts w:ascii="宋体" w:hAnsi="宋体"/>
                <w:sz w:val="24"/>
              </w:rPr>
              <w:t xml:space="preserve">2</w:t>
            </w:r>
            <w:r>
              <w:rPr>
                <w:rFonts w:hint="eastAsia" w:ascii="宋体" w:hAnsi="宋体"/>
                <w:sz w:val="24"/>
              </w:rPr>
              <w:t xml:space="preserve">、投标（响应）报价低于采购项目最高限价</w:t>
            </w:r>
            <w:r>
              <w:rPr>
                <w:rFonts w:ascii="宋体" w:hAnsi="宋体"/>
                <w:sz w:val="24"/>
              </w:rPr>
              <w:t xml:space="preserve">45%</w:t>
            </w:r>
            <w:r>
              <w:rPr>
                <w:rFonts w:hint="eastAsia" w:ascii="宋体" w:hAnsi="宋体"/>
                <w:sz w:val="24"/>
              </w:rPr>
              <w:t xml:space="preserve">的，即投</w:t>
            </w:r>
            <w:r>
              <w:rPr>
                <w:rFonts w:ascii="宋体" w:hAnsi="宋体"/>
                <w:sz w:val="24"/>
              </w:rPr>
              <w:t xml:space="preserve"> </w:t>
            </w:r>
            <w:r>
              <w:rPr>
                <w:rFonts w:hint="eastAsia" w:ascii="宋体" w:hAnsi="宋体"/>
                <w:sz w:val="24"/>
              </w:rPr>
              <w:t xml:space="preserve">标（响应）报价</w:t>
            </w:r>
            <w:r>
              <w:rPr>
                <w:rFonts w:ascii="宋体" w:hAnsi="宋体"/>
                <w:sz w:val="24"/>
              </w:rPr>
              <w:t xml:space="preserve">&lt;</w:t>
            </w:r>
            <w:r>
              <w:rPr>
                <w:rFonts w:hint="eastAsia" w:ascii="宋体" w:hAnsi="宋体"/>
                <w:sz w:val="24"/>
              </w:rPr>
              <w:t xml:space="preserve">采购项目最高限价×</w:t>
            </w:r>
            <w:r>
              <w:rPr>
                <w:rFonts w:ascii="宋体" w:hAnsi="宋体"/>
                <w:sz w:val="24"/>
              </w:rPr>
              <w:t xml:space="preserve">45%</w:t>
            </w:r>
            <w:r>
              <w:rPr>
                <w:rFonts w:hint="eastAsia" w:ascii="宋体" w:hAnsi="宋体"/>
                <w:sz w:val="24"/>
              </w:rPr>
              <w:t xml:space="preserve">；</w:t>
            </w:r>
            <w:r/>
          </w:p>
          <w:p>
            <w:pPr>
              <w:pStyle w:val="1070"/>
              <w:jc w:val="left"/>
              <w:widowControl/>
              <w:rPr>
                <w:rFonts w:hint="eastAsia" w:ascii="宋体" w:hAnsi="宋体"/>
                <w:sz w:val="24"/>
              </w:rPr>
            </w:pPr>
            <w:r>
              <w:rPr>
                <w:rFonts w:ascii="宋体" w:hAnsi="宋体"/>
                <w:sz w:val="24"/>
              </w:rPr>
              <w:t xml:space="preserve">3</w:t>
            </w:r>
            <w:r>
              <w:rPr>
                <w:rFonts w:hint="eastAsia" w:ascii="宋体" w:hAnsi="宋体"/>
                <w:sz w:val="24"/>
              </w:rPr>
              <w:t xml:space="preserve">、评审委员会认定的供应商报价过低、有可能影响产品质</w:t>
            </w:r>
            <w:r>
              <w:rPr>
                <w:rFonts w:ascii="宋体" w:hAnsi="宋体"/>
                <w:sz w:val="24"/>
              </w:rPr>
              <w:t xml:space="preserve"> </w:t>
            </w:r>
            <w:r>
              <w:rPr>
                <w:rFonts w:hint="eastAsia" w:ascii="宋体" w:hAnsi="宋体"/>
                <w:sz w:val="24"/>
              </w:rPr>
              <w:t xml:space="preserve">量或者不能诚信履约的其他情形。</w:t>
            </w:r>
            <w:r/>
          </w:p>
          <w:p>
            <w:pPr>
              <w:pStyle w:val="1070"/>
              <w:jc w:val="left"/>
              <w:widowControl/>
              <w:rPr>
                <w:rFonts w:hint="eastAsia" w:ascii="宋体" w:hAnsi="宋体" w:cs="宋体"/>
                <w:sz w:val="24"/>
              </w:rPr>
            </w:pPr>
            <w:r>
              <w:rPr>
                <w:rFonts w:hint="eastAsia" w:ascii="宋体" w:hAnsi="宋体"/>
                <w:sz w:val="24"/>
              </w:rPr>
              <w:t xml:space="preserve">启动异常低价投标（响应）审查后，评审委员会应当</w:t>
            </w:r>
            <w:r>
              <w:rPr>
                <w:rFonts w:ascii="宋体" w:hAnsi="宋体"/>
                <w:sz w:val="24"/>
              </w:rPr>
              <w:t xml:space="preserve"> </w:t>
            </w:r>
            <w:r>
              <w:rPr>
                <w:rFonts w:hint="eastAsia" w:ascii="宋体" w:hAnsi="宋体"/>
                <w:sz w:val="24"/>
              </w:rPr>
              <w:t xml:space="preserve">要求相关供应商在评标现场合理的时间内，提供项目具体成本测</w:t>
            </w:r>
            <w:r>
              <w:rPr>
                <w:rFonts w:ascii="宋体" w:hAnsi="宋体"/>
                <w:sz w:val="24"/>
              </w:rPr>
              <w:t xml:space="preserve"> </w:t>
            </w:r>
            <w:r>
              <w:rPr>
                <w:rFonts w:hint="eastAsia" w:ascii="宋体" w:hAnsi="宋体"/>
                <w:sz w:val="24"/>
              </w:rPr>
              <w:t xml:space="preserve">算等与报价合理性相关的书面说明及相关证明材料，对投标（响应）价格作出解释，由评审委员会结合同类产品在主要电商平台的价格、该行业当地薪资水平等情况，依据专业经验对供应商报</w:t>
            </w:r>
            <w:r>
              <w:rPr>
                <w:rFonts w:ascii="宋体" w:hAnsi="宋体"/>
                <w:sz w:val="24"/>
              </w:rPr>
              <w:t xml:space="preserve"> </w:t>
            </w:r>
            <w:r>
              <w:rPr>
                <w:rFonts w:hint="eastAsia" w:ascii="宋体" w:hAnsi="宋体"/>
                <w:sz w:val="24"/>
              </w:rPr>
              <w:t xml:space="preserve">价合理性进行判断。投标（响应）供应商不提供书面说明、证明</w:t>
            </w:r>
            <w:r>
              <w:rPr>
                <w:rFonts w:ascii="宋体" w:hAnsi="宋体"/>
                <w:sz w:val="24"/>
              </w:rPr>
              <w:t xml:space="preserve"> </w:t>
            </w:r>
            <w:r>
              <w:rPr>
                <w:rFonts w:hint="eastAsia" w:ascii="宋体" w:hAnsi="宋体"/>
                <w:sz w:val="24"/>
              </w:rPr>
              <w:t xml:space="preserve">材料，或者提供的书面说明、证明材料不能证明其报价合理性的，</w:t>
            </w:r>
            <w:r>
              <w:rPr>
                <w:rFonts w:ascii="宋体" w:hAnsi="宋体"/>
                <w:sz w:val="24"/>
              </w:rPr>
              <w:t xml:space="preserve"> </w:t>
            </w:r>
            <w:r>
              <w:rPr>
                <w:rFonts w:hint="eastAsia" w:ascii="宋体" w:hAnsi="宋体"/>
                <w:sz w:val="24"/>
              </w:rPr>
              <w:t xml:space="preserve">评审委员会应当将其作为无效投标（响应）处理。审查相关情况应当在评审报告中进行记录。</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27151546"/>
      <w:r/>
      <w:bookmarkStart w:id="784" w:name="_Toc195842911"/>
      <w:r/>
      <w:bookmarkStart w:id="785" w:name="_Toc150509297"/>
      <w:r/>
      <w:bookmarkStart w:id="786" w:name="_Toc127151747"/>
      <w:r/>
      <w:bookmarkStart w:id="787" w:name="_Toc265228384"/>
      <w:r/>
      <w:bookmarkStart w:id="788" w:name="_Toc305158888"/>
      <w:r/>
      <w:bookmarkStart w:id="789" w:name="_Toc142311048"/>
      <w:r/>
      <w:bookmarkStart w:id="790" w:name="_Toc520356170"/>
      <w:r/>
      <w:bookmarkStart w:id="791" w:name="_Toc151193716"/>
      <w:r/>
      <w:bookmarkStart w:id="792" w:name="_Toc226965819"/>
      <w:r/>
      <w:bookmarkStart w:id="793" w:name="_Toc150774646"/>
      <w:r/>
      <w:bookmarkStart w:id="794" w:name="_Toc151193860"/>
      <w:r/>
      <w:bookmarkStart w:id="795" w:name="_Toc150774751"/>
      <w:r/>
      <w:bookmarkStart w:id="796" w:name="_Toc151193934"/>
      <w:r/>
      <w:bookmarkStart w:id="797" w:name="_Toc164351640"/>
      <w:r/>
      <w:bookmarkStart w:id="798" w:name="_Toc164608815"/>
      <w:r/>
      <w:bookmarkStart w:id="799" w:name="_Toc164229387"/>
      <w:r/>
      <w:bookmarkStart w:id="800" w:name="_Toc150480784"/>
      <w:r/>
      <w:bookmarkStart w:id="801" w:name="_Toc164229241"/>
      <w:r/>
      <w:bookmarkStart w:id="802" w:name="_Toc149720839"/>
      <w:r/>
      <w:bookmarkStart w:id="803" w:name="_Toc127161460"/>
      <w:r/>
      <w:bookmarkStart w:id="804" w:name="_Toc226309790"/>
      <w:r/>
      <w:bookmarkStart w:id="805" w:name="_Toc226965736"/>
      <w:r/>
      <w:bookmarkStart w:id="806" w:name="_Toc164608660"/>
      <w:r/>
      <w:bookmarkStart w:id="807" w:name="_Toc264969236"/>
      <w:r/>
      <w:bookmarkStart w:id="808" w:name="_Ref467307010"/>
      <w:r/>
      <w:bookmarkStart w:id="809" w:name="_Toc151193644"/>
      <w:r/>
      <w:bookmarkStart w:id="810" w:name="_Toc151193788"/>
      <w:r/>
      <w:bookmarkStart w:id="811" w:name="_Toc305158814"/>
      <w:r/>
      <w:bookmarkStart w:id="812" w:name="_Toc226337242"/>
      <w:r/>
      <w:bookmarkStart w:id="813" w:name="_Toc151190173"/>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jc w:val="left"/>
        <w:widowControl/>
        <w:tabs>
          <w:tab w:val="left" w:pos="0" w:leader="none"/>
          <w:tab w:val="left" w:pos="567" w:leader="none"/>
        </w:tabs>
        <w:rPr>
          <w:rFonts w:ascii="宋体" w:hAnsi="宋体"/>
          <w:b/>
          <w:sz w:val="24"/>
        </w:rPr>
      </w:pPr>
      <w:r>
        <w:rPr>
          <w:rFonts w:ascii="宋体" w:hAnsi="宋体"/>
          <w:b/>
          <w:sz w:val="24"/>
        </w:rPr>
      </w:r>
      <w:r/>
    </w:p>
    <w:p>
      <w:pPr>
        <w:pStyle w:val="1070"/>
        <w:jc w:val="center"/>
        <w:spacing w:line="360" w:lineRule="auto"/>
        <w:tabs>
          <w:tab w:val="left" w:pos="360" w:leader="none"/>
          <w:tab w:val="left" w:pos="900" w:leader="none"/>
        </w:tabs>
        <w:rPr>
          <w:rFonts w:ascii="宋体" w:hAnsi="宋体"/>
          <w:b/>
          <w:sz w:val="24"/>
        </w:rPr>
        <w:sectPr>
          <w:footnotePr/>
          <w:endnotePr/>
          <w:type w:val="nextPage"/>
          <w:pgSz w:w="11907" w:h="16840" w:orient="portrait"/>
          <w:pgMar w:top="1418" w:right="1134" w:bottom="1418" w:left="1701" w:header="851" w:footer="851" w:gutter="0"/>
          <w:cols w:num="1" w:sep="0" w:space="720" w:equalWidth="1"/>
          <w:docGrid w:linePitch="360"/>
        </w:sectPr>
        <w:outlineLvl w:val="1"/>
      </w:pPr>
      <w:r>
        <w:rPr>
          <w:rFonts w:ascii="宋体" w:hAnsi="宋体"/>
          <w:b/>
          <w:sz w:val="24"/>
        </w:rPr>
      </w:r>
      <w:r/>
    </w:p>
    <w:p>
      <w:pPr>
        <w:pStyle w:val="1070"/>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二、评标标准</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12"/>
        <w:gridCol w:w="880"/>
        <w:gridCol w:w="3838"/>
        <w:gridCol w:w="2351"/>
      </w:tblGrid>
      <w:tr>
        <w:trPr/>
        <w:tc>
          <w:tcPr>
            <w:tcW w:w="432" w:type="pct"/>
            <w:vAlign w:val="center"/>
            <w:textDirection w:val="lrTb"/>
            <w:noWrap w:val="false"/>
          </w:tcPr>
          <w:p>
            <w:pPr>
              <w:pStyle w:val="1070"/>
              <w:ind w:firstLine="28"/>
              <w:jc w:val="center"/>
              <w:rPr>
                <w:rFonts w:ascii="宋体" w:hAnsi="宋体" w:cs="宋体"/>
                <w:b/>
                <w:sz w:val="24"/>
              </w:rPr>
            </w:pPr>
            <w:r>
              <w:rPr>
                <w:rFonts w:ascii="宋体" w:hAnsi="宋体" w:cs="宋体"/>
                <w:b/>
                <w:sz w:val="24"/>
              </w:rPr>
              <w:t xml:space="preserve">序号</w:t>
            </w:r>
            <w:r/>
          </w:p>
        </w:tc>
        <w:tc>
          <w:tcPr>
            <w:tcW w:w="759" w:type="pct"/>
            <w:vAlign w:val="center"/>
            <w:textDirection w:val="lrTb"/>
            <w:noWrap w:val="false"/>
          </w:tcPr>
          <w:p>
            <w:pPr>
              <w:pStyle w:val="1070"/>
              <w:ind w:firstLine="28"/>
              <w:jc w:val="center"/>
              <w:rPr>
                <w:rFonts w:ascii="宋体" w:hAnsi="宋体" w:cs="宋体"/>
                <w:b/>
                <w:sz w:val="24"/>
              </w:rPr>
            </w:pPr>
            <w:r>
              <w:rPr>
                <w:rFonts w:ascii="宋体" w:hAnsi="宋体" w:cs="宋体"/>
                <w:b/>
                <w:sz w:val="24"/>
              </w:rPr>
              <w:t xml:space="preserve">评分因素</w:t>
            </w:r>
            <w:r/>
          </w:p>
        </w:tc>
        <w:tc>
          <w:tcPr>
            <w:tcW w:w="474" w:type="pct"/>
            <w:vAlign w:val="center"/>
            <w:textDirection w:val="lrTb"/>
            <w:noWrap w:val="false"/>
          </w:tcPr>
          <w:p>
            <w:pPr>
              <w:pStyle w:val="1070"/>
              <w:ind w:firstLine="28"/>
              <w:jc w:val="center"/>
              <w:rPr>
                <w:rFonts w:ascii="宋体" w:hAnsi="宋体" w:cs="宋体"/>
                <w:b/>
                <w:sz w:val="24"/>
              </w:rPr>
            </w:pPr>
            <w:r>
              <w:rPr>
                <w:rFonts w:ascii="宋体" w:hAnsi="宋体" w:cs="宋体"/>
                <w:b/>
                <w:sz w:val="24"/>
              </w:rPr>
              <w:t xml:space="preserve">分值</w:t>
            </w:r>
            <w:r/>
          </w:p>
        </w:tc>
        <w:tc>
          <w:tcPr>
            <w:tcW w:w="2067" w:type="pct"/>
            <w:vAlign w:val="center"/>
            <w:textDirection w:val="lrTb"/>
            <w:noWrap w:val="false"/>
          </w:tcPr>
          <w:p>
            <w:pPr>
              <w:pStyle w:val="1070"/>
              <w:ind w:firstLine="28"/>
              <w:jc w:val="center"/>
              <w:rPr>
                <w:rFonts w:ascii="宋体" w:hAnsi="宋体" w:cs="宋体"/>
                <w:b/>
                <w:sz w:val="24"/>
              </w:rPr>
            </w:pPr>
            <w:r>
              <w:rPr>
                <w:rFonts w:ascii="宋体" w:hAnsi="宋体" w:cs="宋体"/>
                <w:b/>
                <w:sz w:val="24"/>
              </w:rPr>
              <w:t xml:space="preserve">评分标准</w:t>
            </w:r>
            <w:r/>
          </w:p>
        </w:tc>
        <w:tc>
          <w:tcPr>
            <w:tcW w:w="1266" w:type="pct"/>
            <w:vAlign w:val="center"/>
            <w:textDirection w:val="lrTb"/>
            <w:noWrap w:val="false"/>
          </w:tcPr>
          <w:p>
            <w:pPr>
              <w:pStyle w:val="1316"/>
              <w:spacing w:before="0" w:after="0" w:line="240" w:lineRule="auto"/>
              <w:rPr>
                <w:rFonts w:ascii="宋体" w:hAnsi="宋体" w:eastAsia="宋体" w:cs="宋体"/>
                <w:szCs w:val="24"/>
              </w:rPr>
            </w:pPr>
            <w:r>
              <w:rPr>
                <w:rFonts w:ascii="宋体" w:hAnsi="宋体" w:eastAsia="宋体" w:cs="宋体"/>
                <w:szCs w:val="24"/>
              </w:rPr>
              <w:t xml:space="preserve">说明</w:t>
            </w:r>
            <w:r/>
          </w:p>
        </w:tc>
      </w:tr>
      <w:tr>
        <w:trPr>
          <w:trHeight w:val="631"/>
        </w:trPr>
        <w:tc>
          <w:tcPr>
            <w:tcW w:w="432" w:type="pct"/>
            <w:vAlign w:val="center"/>
            <w:textDirection w:val="lrTb"/>
            <w:noWrap w:val="false"/>
          </w:tcPr>
          <w:p>
            <w:pPr>
              <w:pStyle w:val="1070"/>
              <w:ind w:firstLine="28"/>
              <w:jc w:val="center"/>
              <w:rPr>
                <w:rFonts w:ascii="宋体" w:hAnsi="宋体" w:cs="宋体"/>
                <w:b/>
                <w:sz w:val="24"/>
              </w:rPr>
            </w:pPr>
            <w:r>
              <w:rPr>
                <w:rFonts w:ascii="宋体" w:hAnsi="宋体" w:cs="宋体"/>
                <w:bCs/>
                <w:sz w:val="24"/>
              </w:rPr>
              <w:t xml:space="preserve">1</w:t>
            </w:r>
            <w:r>
              <w:rPr>
                <w:rFonts w:ascii="宋体" w:hAnsi="宋体" w:cs="宋体"/>
                <w:b/>
                <w:sz w:val="24"/>
              </w:rPr>
            </w:r>
            <w:r/>
          </w:p>
        </w:tc>
        <w:tc>
          <w:tcPr>
            <w:tcW w:w="759"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价格分</w:t>
            </w:r>
            <w:r/>
          </w:p>
        </w:tc>
        <w:tc>
          <w:tcPr>
            <w:tcW w:w="474"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30</w:t>
            </w:r>
            <w:r/>
          </w:p>
        </w:tc>
        <w:tc>
          <w:tcPr>
            <w:tcW w:w="2067" w:type="pct"/>
            <w:vAlign w:val="center"/>
            <w:textDirection w:val="lrTb"/>
            <w:noWrap w:val="false"/>
          </w:tcPr>
          <w:p>
            <w:pPr>
              <w:pStyle w:val="1070"/>
              <w:rPr>
                <w:rFonts w:ascii="宋体" w:hAnsi="宋体" w:cs="宋体"/>
                <w:sz w:val="24"/>
              </w:rPr>
            </w:pPr>
            <w:r>
              <w:rPr>
                <w:rFonts w:ascii="宋体" w:hAnsi="宋体" w:cs="宋体"/>
                <w:sz w:val="24"/>
              </w:rPr>
              <w:t xml:space="preserve">满足招标文件要求且投标价格最低的投标报价为评标基准价，其价格分为满分。其他投标人的价格分统一按照下列公式计算：</w:t>
            </w:r>
            <w:r/>
          </w:p>
          <w:p>
            <w:pPr>
              <w:pStyle w:val="1070"/>
              <w:rPr>
                <w:rFonts w:ascii="宋体" w:hAnsi="宋体" w:cs="宋体"/>
                <w:sz w:val="24"/>
              </w:rPr>
            </w:pPr>
            <w:r>
              <w:rPr>
                <w:rFonts w:ascii="宋体" w:hAnsi="宋体" w:cs="宋体"/>
                <w:sz w:val="24"/>
              </w:rPr>
              <w:t xml:space="preserve">投标报价得分＝（评标基准价/投标报价）×分值。</w:t>
            </w:r>
            <w:r/>
          </w:p>
        </w:tc>
        <w:tc>
          <w:tcPr>
            <w:tcW w:w="1266" w:type="pct"/>
            <w:vAlign w:val="center"/>
            <w:textDirection w:val="lrTb"/>
            <w:noWrap w:val="false"/>
          </w:tcPr>
          <w:p>
            <w:pPr>
              <w:pStyle w:val="1070"/>
              <w:ind w:left="-38"/>
              <w:rPr>
                <w:rFonts w:ascii="宋体" w:hAnsi="宋体" w:cs="宋体"/>
                <w:sz w:val="24"/>
              </w:rPr>
            </w:pPr>
            <w:r>
              <w:rPr>
                <w:rFonts w:ascii="宋体" w:hAnsi="宋体" w:cs="宋体"/>
                <w:sz w:val="24"/>
              </w:rPr>
              <w:t xml:space="preserve">此处投标报价指经过报价修正，及因落实政府采购政策进行价格调整后的报价。</w:t>
            </w:r>
            <w:r/>
          </w:p>
        </w:tc>
      </w:tr>
      <w:tr>
        <w:trPr/>
        <w:tc>
          <w:tcPr>
            <w:tcW w:w="432"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2</w:t>
            </w:r>
            <w:r/>
          </w:p>
        </w:tc>
        <w:tc>
          <w:tcPr>
            <w:tcW w:w="759"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主观分</w:t>
            </w:r>
            <w:r/>
          </w:p>
        </w:tc>
        <w:tc>
          <w:tcPr>
            <w:tcW w:w="474"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28</w:t>
            </w:r>
            <w:r/>
          </w:p>
        </w:tc>
        <w:tc>
          <w:tcPr>
            <w:tcW w:w="2067" w:type="pct"/>
            <w:vAlign w:val="center"/>
            <w:textDirection w:val="lrTb"/>
            <w:noWrap w:val="false"/>
          </w:tcPr>
          <w:p>
            <w:pPr>
              <w:pStyle w:val="1070"/>
              <w:spacing w:line="360" w:lineRule="exact"/>
              <w:rPr>
                <w:rFonts w:ascii="宋体" w:hAnsi="宋体" w:cs="宋体"/>
                <w:sz w:val="24"/>
              </w:rPr>
            </w:pPr>
            <w:r>
              <w:rPr>
                <w:rFonts w:ascii="宋体" w:hAnsi="宋体" w:cs="宋体"/>
                <w:sz w:val="24"/>
              </w:rPr>
            </w:r>
            <w:r/>
          </w:p>
        </w:tc>
        <w:tc>
          <w:tcPr>
            <w:tcW w:w="1266" w:type="pct"/>
            <w:vAlign w:val="center"/>
            <w:textDirection w:val="lrTb"/>
            <w:noWrap w:val="false"/>
          </w:tcPr>
          <w:p>
            <w:pPr>
              <w:pStyle w:val="1070"/>
              <w:ind w:firstLine="28"/>
              <w:jc w:val="center"/>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2.1</w:t>
            </w:r>
            <w:r/>
          </w:p>
        </w:tc>
        <w:tc>
          <w:tcPr>
            <w:tcW w:w="759"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rPr>
            </w:pPr>
            <w:r>
              <w:rPr>
                <w:rFonts w:hint="eastAsia" w:ascii="宋体" w:hAnsi="宋体" w:cs="宋体"/>
                <w:sz w:val="24"/>
              </w:rPr>
              <w:t xml:space="preserve">项目实施方案</w:t>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W w:w="2067"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t xml:space="preserve">根据</w:t>
            </w:r>
            <w:r>
              <w:rPr>
                <w:rFonts w:hint="eastAsia" w:ascii="宋体" w:hAnsi="宋体" w:cs="宋体"/>
                <w:sz w:val="24"/>
                <w:lang w:bidi="ar"/>
              </w:rPr>
              <w:t xml:space="preserve">投标人</w:t>
            </w:r>
            <w:r>
              <w:rPr>
                <w:rFonts w:hint="eastAsia" w:ascii="宋体" w:hAnsi="宋体" w:cs="宋体"/>
                <w:sz w:val="24"/>
              </w:rPr>
              <w:t xml:space="preserve">提供的项目实施方案内容的完整性及进度计划安排的合理性进行打分，包括但不限于</w:t>
            </w:r>
            <w:r>
              <w:rPr>
                <w:rFonts w:hint="eastAsia" w:ascii="宋体" w:hAnsi="宋体" w:cs="宋体"/>
                <w:sz w:val="24"/>
                <w:lang w:bidi="ar"/>
              </w:rPr>
              <w:t xml:space="preserve">投标人</w:t>
            </w:r>
            <w:r>
              <w:rPr>
                <w:rFonts w:hint="eastAsia" w:ascii="宋体" w:hAnsi="宋体" w:cs="宋体"/>
                <w:sz w:val="24"/>
              </w:rPr>
              <w:t xml:space="preserve">如何在成交后有效地组织技术和人员力量，按时保质地完成供货、安装验收等。</w:t>
            </w:r>
            <w:r/>
          </w:p>
          <w:p>
            <w:pPr>
              <w:pStyle w:val="1070"/>
              <w:spacing w:line="360" w:lineRule="exact"/>
              <w:rPr>
                <w:rFonts w:hint="eastAsia" w:ascii="宋体" w:hAnsi="宋体" w:cs="宋体"/>
                <w:sz w:val="24"/>
              </w:rPr>
            </w:pPr>
            <w:r>
              <w:rPr>
                <w:rFonts w:hint="eastAsia" w:ascii="宋体" w:hAnsi="宋体" w:cs="宋体"/>
                <w:sz w:val="24"/>
              </w:rPr>
              <w:t xml:space="preserve">实施方案内容完整、进度计划安排合理、优于采购人需求的得5分；</w:t>
            </w:r>
            <w:r/>
          </w:p>
          <w:p>
            <w:pPr>
              <w:pStyle w:val="1070"/>
              <w:spacing w:line="360" w:lineRule="exact"/>
              <w:rPr>
                <w:rFonts w:hint="eastAsia" w:ascii="宋体" w:hAnsi="宋体" w:cs="宋体"/>
                <w:sz w:val="24"/>
              </w:rPr>
            </w:pPr>
            <w:r>
              <w:rPr>
                <w:rFonts w:hint="eastAsia" w:ascii="宋体" w:hAnsi="宋体" w:cs="宋体"/>
                <w:sz w:val="24"/>
              </w:rPr>
              <w:t xml:space="preserve">实施方案内容较完整、进度计划安排较合理、满足采购人需求的得3分；</w:t>
            </w:r>
            <w:r/>
          </w:p>
          <w:p>
            <w:pPr>
              <w:pStyle w:val="1070"/>
              <w:spacing w:line="360" w:lineRule="exact"/>
              <w:rPr>
                <w:rFonts w:hint="eastAsia" w:ascii="宋体" w:hAnsi="宋体" w:cs="宋体"/>
                <w:sz w:val="24"/>
              </w:rPr>
            </w:pPr>
            <w:r>
              <w:rPr>
                <w:rFonts w:hint="eastAsia" w:ascii="宋体" w:hAnsi="宋体" w:cs="宋体"/>
                <w:sz w:val="24"/>
              </w:rPr>
              <w:t xml:space="preserve">实施方案内容较少、进度计划安排不合理、不能很好满足采购人需求的得1分；</w:t>
            </w:r>
            <w:r/>
          </w:p>
          <w:p>
            <w:pPr>
              <w:pStyle w:val="1070"/>
              <w:spacing w:line="360" w:lineRule="exact"/>
              <w:rPr>
                <w:rFonts w:hint="eastAsia" w:ascii="宋体" w:hAnsi="宋体" w:cs="宋体"/>
                <w:sz w:val="24"/>
              </w:rPr>
            </w:pPr>
            <w:r>
              <w:rPr>
                <w:rFonts w:hint="eastAsia" w:ascii="宋体" w:hAnsi="宋体" w:cs="宋体"/>
                <w:sz w:val="24"/>
              </w:rPr>
              <w:t xml:space="preserve">不提供不得分。</w:t>
            </w:r>
            <w:r/>
          </w:p>
        </w:tc>
        <w:tc>
          <w:tcPr>
            <w:tcW w:w="1266" w:type="pct"/>
            <w:vAlign w:val="center"/>
            <w:textDirection w:val="lrTb"/>
            <w:noWrap w:val="false"/>
          </w:tcPr>
          <w:p>
            <w:pPr>
              <w:pStyle w:val="1070"/>
              <w:jc w:val="left"/>
              <w:widowControl/>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2.2</w:t>
            </w:r>
            <w:r/>
          </w:p>
        </w:tc>
        <w:tc>
          <w:tcPr>
            <w:tcW w:w="759" w:type="pct"/>
            <w:vAlign w:val="center"/>
            <w:textDirection w:val="lrTb"/>
            <w:noWrap w:val="false"/>
          </w:tcPr>
          <w:p>
            <w:pPr>
              <w:pStyle w:val="1250"/>
              <w:jc w:val="center"/>
              <w:spacing w:line="360" w:lineRule="exact"/>
              <w:rPr>
                <w:rFonts w:hint="eastAsia" w:ascii="宋体" w:hAnsi="宋体" w:cs="宋体"/>
                <w:color w:val="000000"/>
                <w:lang w:val="zh-CN"/>
              </w:rPr>
            </w:pPr>
            <w:r>
              <w:rPr>
                <w:rFonts w:hint="eastAsia" w:ascii="宋体" w:hAnsi="宋体" w:cs="宋体"/>
                <w:color w:val="000000"/>
                <w:lang w:val="zh-CN"/>
              </w:rPr>
              <w:t xml:space="preserve">投标设备整体配置</w:t>
            </w:r>
            <w:r/>
          </w:p>
          <w:p>
            <w:pPr>
              <w:pStyle w:val="1250"/>
              <w:jc w:val="center"/>
              <w:spacing w:line="360" w:lineRule="exact"/>
              <w:rPr>
                <w:rFonts w:hint="eastAsia" w:ascii="宋体" w:hAnsi="宋体" w:cs="宋体"/>
                <w:color w:val="000000"/>
              </w:rPr>
            </w:pPr>
            <w:r>
              <w:rPr>
                <w:rFonts w:hint="eastAsia" w:ascii="宋体" w:hAnsi="宋体" w:cs="宋体"/>
                <w:color w:val="000000"/>
                <w:lang w:val="zh-CN"/>
              </w:rPr>
              <w:t xml:space="preserve">情况比较</w:t>
            </w:r>
            <w:r>
              <w:rPr>
                <w:rFonts w:hint="eastAsia" w:ascii="宋体" w:hAnsi="宋体" w:cs="宋体"/>
                <w:color w:val="000000"/>
              </w:rPr>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W w:w="2067" w:type="pct"/>
            <w:vAlign w:val="center"/>
            <w:textDirection w:val="lrTb"/>
            <w:noWrap w:val="false"/>
          </w:tcPr>
          <w:p>
            <w:pPr>
              <w:pStyle w:val="1070"/>
              <w:spacing w:line="360" w:lineRule="exact"/>
              <w:rPr>
                <w:rFonts w:hint="eastAsia" w:ascii="宋体" w:hAnsi="宋体" w:cs="宋体"/>
                <w:sz w:val="24"/>
                <w:lang w:val="zh-CN"/>
              </w:rPr>
            </w:pPr>
            <w:r>
              <w:rPr>
                <w:rFonts w:hint="eastAsia" w:ascii="宋体" w:hAnsi="宋体" w:cs="宋体"/>
                <w:sz w:val="24"/>
                <w:lang w:val="zh-CN"/>
              </w:rPr>
              <w:t xml:space="preserve">投标设备整体配置选型情况综合比较，针对本项目的投标产品配置选型合理、先进，且与项目需求的吻合度高，得</w:t>
            </w:r>
            <w:r>
              <w:rPr>
                <w:rFonts w:hint="eastAsia" w:ascii="宋体" w:hAnsi="宋体" w:cs="宋体"/>
                <w:sz w:val="24"/>
              </w:rPr>
              <w:t xml:space="preserve">5</w:t>
            </w:r>
            <w:r>
              <w:rPr>
                <w:rFonts w:hint="eastAsia" w:ascii="宋体" w:hAnsi="宋体" w:cs="宋体"/>
                <w:sz w:val="24"/>
                <w:lang w:val="zh-CN"/>
              </w:rPr>
              <w:t xml:space="preserve">分；</w:t>
            </w:r>
            <w:r/>
          </w:p>
          <w:p>
            <w:pPr>
              <w:pStyle w:val="1070"/>
              <w:spacing w:line="360" w:lineRule="exact"/>
              <w:rPr>
                <w:rFonts w:hint="eastAsia" w:ascii="宋体" w:hAnsi="宋体" w:cs="宋体"/>
                <w:sz w:val="24"/>
                <w:lang w:val="zh-CN"/>
              </w:rPr>
            </w:pPr>
            <w:r>
              <w:rPr>
                <w:rFonts w:hint="eastAsia" w:ascii="宋体" w:hAnsi="宋体" w:cs="宋体"/>
                <w:sz w:val="24"/>
                <w:lang w:val="zh-CN"/>
              </w:rPr>
              <w:t xml:space="preserve">针对本项目的投标产品配置选型一般、且与项目需求的吻合度一般，得</w:t>
            </w:r>
            <w:r>
              <w:rPr>
                <w:rFonts w:hint="eastAsia" w:ascii="宋体" w:hAnsi="宋体" w:cs="宋体"/>
                <w:sz w:val="24"/>
              </w:rPr>
              <w:t xml:space="preserve">3</w:t>
            </w:r>
            <w:r>
              <w:rPr>
                <w:rFonts w:hint="eastAsia" w:ascii="宋体" w:hAnsi="宋体" w:cs="宋体"/>
                <w:sz w:val="24"/>
                <w:lang w:val="zh-CN"/>
              </w:rPr>
              <w:t xml:space="preserve">分；</w:t>
            </w:r>
            <w:r/>
          </w:p>
          <w:p>
            <w:pPr>
              <w:pStyle w:val="1070"/>
              <w:spacing w:line="360" w:lineRule="exact"/>
              <w:rPr>
                <w:rFonts w:hint="eastAsia" w:ascii="宋体" w:hAnsi="宋体" w:cs="宋体"/>
                <w:sz w:val="24"/>
                <w:lang w:val="zh-CN"/>
              </w:rPr>
            </w:pPr>
            <w:r>
              <w:rPr>
                <w:rFonts w:hint="eastAsia" w:ascii="宋体" w:hAnsi="宋体" w:cs="宋体"/>
                <w:sz w:val="24"/>
                <w:lang w:val="zh-CN"/>
              </w:rPr>
              <w:t xml:space="preserve">针对本项目的投标产品配置选型差、且与项目需求的吻合度差，得1分；</w:t>
            </w:r>
            <w:r/>
          </w:p>
          <w:p>
            <w:pPr>
              <w:pStyle w:val="1070"/>
              <w:spacing w:line="360" w:lineRule="exact"/>
              <w:rPr>
                <w:rFonts w:hint="eastAsia" w:ascii="宋体" w:hAnsi="宋体" w:cs="宋体"/>
                <w:sz w:val="24"/>
              </w:rPr>
            </w:pPr>
            <w:r>
              <w:rPr>
                <w:rFonts w:hint="eastAsia" w:ascii="宋体" w:hAnsi="宋体" w:cs="宋体"/>
                <w:sz w:val="24"/>
                <w:lang w:val="zh-CN"/>
              </w:rPr>
              <w:t xml:space="preserve">其余不得分。</w:t>
            </w:r>
            <w:r>
              <w:rPr>
                <w:rFonts w:hint="eastAsia" w:ascii="宋体" w:hAnsi="宋体" w:cs="宋体"/>
                <w:sz w:val="24"/>
              </w:rPr>
            </w:r>
            <w:r/>
          </w:p>
        </w:tc>
        <w:tc>
          <w:tcPr>
            <w:tcW w:w="1266" w:type="pct"/>
            <w:vAlign w:val="center"/>
            <w:textDirection w:val="lrTb"/>
            <w:noWrap w:val="false"/>
          </w:tcPr>
          <w:p>
            <w:pPr>
              <w:pStyle w:val="1070"/>
              <w:jc w:val="left"/>
              <w:widowControl/>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2.3</w:t>
            </w:r>
            <w:r/>
          </w:p>
        </w:tc>
        <w:tc>
          <w:tcPr>
            <w:tcW w:w="759"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rPr>
            </w:pPr>
            <w:r>
              <w:rPr>
                <w:rFonts w:hint="eastAsia" w:ascii="宋体" w:hAnsi="宋体" w:cs="宋体"/>
                <w:sz w:val="24"/>
              </w:rPr>
              <w:t xml:space="preserve">产品质量保障方案</w:t>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W w:w="2067" w:type="pct"/>
            <w:vAlign w:val="center"/>
            <w:textDirection w:val="lrTb"/>
            <w:noWrap w:val="false"/>
          </w:tcPr>
          <w:p>
            <w:pPr>
              <w:pStyle w:val="1250"/>
              <w:spacing w:line="360" w:lineRule="exact"/>
              <w:rPr>
                <w:rFonts w:hint="eastAsia" w:ascii="宋体" w:hAnsi="宋体" w:cs="宋体"/>
                <w:color w:val="000000"/>
              </w:rPr>
            </w:pPr>
            <w:r>
              <w:rPr>
                <w:rFonts w:hint="eastAsia" w:ascii="宋体" w:hAnsi="宋体" w:cs="宋体"/>
                <w:color w:val="000000"/>
              </w:rPr>
              <w:t xml:space="preserve">投标人提供产品质量保障方案，包括货物质量保证、货物检验标准、货物来源渠道等。</w:t>
            </w:r>
            <w:r/>
          </w:p>
          <w:p>
            <w:pPr>
              <w:pStyle w:val="1070"/>
              <w:spacing w:line="360" w:lineRule="exact"/>
              <w:rPr>
                <w:rFonts w:hint="eastAsia" w:ascii="宋体" w:hAnsi="宋体" w:cs="宋体"/>
                <w:sz w:val="24"/>
              </w:rPr>
            </w:pPr>
            <w:r>
              <w:rPr>
                <w:rFonts w:hint="eastAsia" w:ascii="宋体" w:hAnsi="宋体" w:cs="宋体"/>
                <w:sz w:val="24"/>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p>
        </w:tc>
        <w:tc>
          <w:tcPr>
            <w:tcW w:w="1266" w:type="pct"/>
            <w:vAlign w:val="center"/>
            <w:textDirection w:val="lrTb"/>
            <w:noWrap w:val="false"/>
          </w:tcPr>
          <w:p>
            <w:pPr>
              <w:pStyle w:val="1070"/>
              <w:jc w:val="left"/>
              <w:widowControl/>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2.4</w:t>
            </w:r>
            <w:r/>
          </w:p>
        </w:tc>
        <w:tc>
          <w:tcPr>
            <w:tcW w:w="759" w:type="pct"/>
            <w:vAlign w:val="center"/>
            <w:textDirection w:val="lrTb"/>
            <w:noWrap w:val="false"/>
          </w:tcPr>
          <w:p>
            <w:pPr>
              <w:pStyle w:val="1250"/>
              <w:jc w:val="center"/>
              <w:spacing w:line="360" w:lineRule="exact"/>
              <w:rPr>
                <w:rFonts w:hint="eastAsia" w:ascii="宋体" w:hAnsi="宋体" w:cs="宋体"/>
                <w:color w:val="000000"/>
              </w:rPr>
            </w:pPr>
            <w:r>
              <w:rPr>
                <w:rFonts w:hint="eastAsia" w:ascii="宋体" w:hAnsi="宋体" w:cs="宋体"/>
                <w:color w:val="000000"/>
              </w:rPr>
              <w:t xml:space="preserve">培训方案</w:t>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W w:w="2067" w:type="pct"/>
            <w:vAlign w:val="center"/>
            <w:textDirection w:val="lrTb"/>
            <w:noWrap w:val="false"/>
          </w:tcPr>
          <w:p>
            <w:pPr>
              <w:pStyle w:val="1250"/>
              <w:spacing w:line="360" w:lineRule="exact"/>
              <w:rPr>
                <w:rFonts w:hint="eastAsia" w:ascii="宋体" w:hAnsi="宋体" w:cs="宋体"/>
                <w:color w:val="000000"/>
              </w:rPr>
            </w:pPr>
            <w:r>
              <w:rPr>
                <w:rFonts w:hint="eastAsia" w:ascii="宋体" w:hAnsi="宋体" w:cs="宋体"/>
                <w:color w:val="000000"/>
                <w:lang w:bidi="ar"/>
              </w:rPr>
              <w:t xml:space="preserve">投标人</w:t>
            </w:r>
            <w:r>
              <w:rPr>
                <w:rFonts w:hint="eastAsia" w:ascii="宋体" w:hAnsi="宋体" w:cs="宋体"/>
                <w:color w:val="000000"/>
              </w:rPr>
              <w:t xml:space="preserve">培训方案情况比较：包括培训步骤、培训计划、培训记录表等。</w:t>
            </w:r>
            <w:r/>
          </w:p>
          <w:p>
            <w:pPr>
              <w:pStyle w:val="1070"/>
              <w:spacing w:line="300" w:lineRule="exact"/>
              <w:rPr>
                <w:rFonts w:hint="eastAsia" w:ascii="宋体" w:hAnsi="宋体" w:cs="宋体"/>
                <w:sz w:val="24"/>
              </w:rPr>
            </w:pPr>
            <w:r>
              <w:rPr>
                <w:rFonts w:hint="eastAsia" w:ascii="宋体" w:hAnsi="宋体" w:cs="宋体"/>
                <w:sz w:val="24"/>
              </w:rPr>
              <w:t xml:space="preserve">培训方案详细具体，可行性高，优于项目需求的得5分；</w:t>
            </w:r>
            <w:r/>
          </w:p>
          <w:p>
            <w:pPr>
              <w:pStyle w:val="1070"/>
              <w:spacing w:line="300" w:lineRule="exact"/>
              <w:rPr>
                <w:rFonts w:hint="eastAsia" w:ascii="宋体" w:hAnsi="宋体" w:cs="宋体"/>
                <w:sz w:val="24"/>
              </w:rPr>
            </w:pPr>
            <w:r>
              <w:rPr>
                <w:rFonts w:hint="eastAsia" w:ascii="宋体" w:hAnsi="宋体" w:cs="宋体"/>
                <w:sz w:val="24"/>
              </w:rPr>
              <w:t xml:space="preserve">培训方案较为详细具体，可行性较高，满足项目需求的得3分；</w:t>
            </w:r>
            <w:r/>
          </w:p>
          <w:p>
            <w:pPr>
              <w:pStyle w:val="1070"/>
              <w:spacing w:line="300" w:lineRule="exact"/>
              <w:rPr>
                <w:rFonts w:hint="eastAsia" w:ascii="宋体" w:hAnsi="宋体" w:cs="宋体"/>
                <w:sz w:val="24"/>
              </w:rPr>
            </w:pPr>
            <w:r>
              <w:rPr>
                <w:rFonts w:hint="eastAsia" w:ascii="宋体" w:hAnsi="宋体" w:cs="宋体"/>
                <w:sz w:val="24"/>
              </w:rPr>
              <w:t xml:space="preserve">培训方案不够详细具体，可行性较低，不能完全满足项目需求的得1分；</w:t>
            </w:r>
            <w:r/>
          </w:p>
          <w:p>
            <w:pPr>
              <w:pStyle w:val="1250"/>
              <w:spacing w:line="360" w:lineRule="exact"/>
              <w:rPr>
                <w:rFonts w:hint="eastAsia" w:ascii="宋体" w:hAnsi="宋体" w:cs="宋体"/>
                <w:color w:val="000000"/>
              </w:rPr>
            </w:pPr>
            <w:r>
              <w:rPr>
                <w:rFonts w:hint="eastAsia" w:ascii="宋体" w:hAnsi="宋体" w:cs="宋体"/>
                <w:color w:val="000000"/>
              </w:rPr>
              <w:t xml:space="preserve">不提供不得分。</w:t>
            </w:r>
            <w:r/>
          </w:p>
        </w:tc>
        <w:tc>
          <w:tcPr>
            <w:tcW w:w="1266" w:type="pct"/>
            <w:vAlign w:val="center"/>
            <w:textDirection w:val="lrTb"/>
            <w:noWrap w:val="false"/>
          </w:tcPr>
          <w:p>
            <w:pPr>
              <w:pStyle w:val="1070"/>
              <w:jc w:val="left"/>
              <w:widowControl/>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2.5</w:t>
            </w:r>
            <w:r/>
          </w:p>
        </w:tc>
        <w:tc>
          <w:tcPr>
            <w:tcW w:w="759"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售后服务管理体系方案</w:t>
            </w:r>
            <w:r/>
          </w:p>
        </w:tc>
        <w:tc>
          <w:tcPr>
            <w:tcW w:w="47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2067" w:type="pct"/>
            <w:vAlign w:val="center"/>
            <w:textDirection w:val="lrTb"/>
            <w:noWrap w:val="false"/>
          </w:tcPr>
          <w:p>
            <w:pPr>
              <w:pStyle w:val="1070"/>
              <w:spacing w:line="300" w:lineRule="exact"/>
              <w:rPr>
                <w:rFonts w:hint="eastAsia" w:ascii="宋体" w:hAnsi="宋体" w:cs="宋体"/>
                <w:sz w:val="24"/>
              </w:rPr>
            </w:pPr>
            <w:r>
              <w:rPr>
                <w:rFonts w:hint="eastAsia" w:ascii="宋体" w:hAnsi="宋体" w:cs="宋体"/>
                <w:sz w:val="24"/>
              </w:rPr>
              <w:t xml:space="preserve">针对本项目制定的售后服务管理体系方案，包括售后服务人员、服务机制、响应时间、故障解决等内容的合理性和可行性。</w:t>
            </w:r>
            <w:r/>
          </w:p>
          <w:p>
            <w:pPr>
              <w:pStyle w:val="1070"/>
              <w:spacing w:line="300" w:lineRule="exact"/>
              <w:rPr>
                <w:rFonts w:hint="eastAsia" w:ascii="宋体" w:hAnsi="宋体" w:cs="宋体"/>
                <w:sz w:val="24"/>
              </w:rPr>
            </w:pPr>
            <w:r>
              <w:rPr>
                <w:rFonts w:hint="eastAsia" w:ascii="宋体" w:hAnsi="宋体" w:cs="宋体"/>
                <w:sz w:val="24"/>
              </w:rPr>
              <w:t xml:space="preserve">售后服务方案完整合理，可行性高，优于项目需求的得5分；</w:t>
            </w:r>
            <w:r/>
          </w:p>
          <w:p>
            <w:pPr>
              <w:pStyle w:val="1070"/>
              <w:spacing w:line="300" w:lineRule="exact"/>
              <w:rPr>
                <w:rFonts w:hint="eastAsia" w:ascii="宋体" w:hAnsi="宋体" w:cs="宋体"/>
                <w:sz w:val="24"/>
              </w:rPr>
            </w:pPr>
            <w:r>
              <w:rPr>
                <w:rFonts w:hint="eastAsia" w:ascii="宋体" w:hAnsi="宋体" w:cs="宋体"/>
                <w:sz w:val="24"/>
              </w:rPr>
              <w:t xml:space="preserve">售后服务方案较为完整合理，可行性较高，满足项目需求的得3分；</w:t>
            </w:r>
            <w:r/>
          </w:p>
          <w:p>
            <w:pPr>
              <w:pStyle w:val="1070"/>
              <w:spacing w:line="300" w:lineRule="exact"/>
              <w:rPr>
                <w:rFonts w:hint="eastAsia" w:ascii="宋体" w:hAnsi="宋体" w:cs="宋体"/>
                <w:sz w:val="24"/>
              </w:rPr>
            </w:pPr>
            <w:r>
              <w:rPr>
                <w:rFonts w:hint="eastAsia" w:ascii="宋体" w:hAnsi="宋体" w:cs="宋体"/>
                <w:sz w:val="24"/>
              </w:rPr>
              <w:t xml:space="preserve">售后服务方案不够完整合理，可行性较低，不能完全满足项目需求的得1分；</w:t>
            </w:r>
            <w:r/>
          </w:p>
          <w:p>
            <w:pPr>
              <w:pStyle w:val="1250"/>
              <w:spacing w:line="360" w:lineRule="exact"/>
              <w:rPr>
                <w:rFonts w:hint="eastAsia" w:ascii="宋体" w:hAnsi="宋体" w:cs="宋体"/>
                <w:color w:val="000000"/>
              </w:rPr>
            </w:pPr>
            <w:r>
              <w:rPr>
                <w:rFonts w:hint="eastAsia" w:ascii="宋体" w:hAnsi="宋体" w:cs="宋体"/>
                <w:color w:val="000000"/>
              </w:rPr>
              <w:t xml:space="preserve">不提供不得分。</w:t>
            </w:r>
            <w:r/>
          </w:p>
        </w:tc>
        <w:tc>
          <w:tcPr>
            <w:tcW w:w="1266" w:type="pct"/>
            <w:vAlign w:val="center"/>
            <w:textDirection w:val="lrTb"/>
            <w:noWrap w:val="false"/>
          </w:tcPr>
          <w:p>
            <w:pPr>
              <w:pStyle w:val="1070"/>
              <w:jc w:val="left"/>
              <w:widowControl/>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2.6</w:t>
            </w:r>
            <w:r/>
          </w:p>
        </w:tc>
        <w:tc>
          <w:tcPr>
            <w:tcW w:w="759" w:type="pct"/>
            <w:vAlign w:val="center"/>
            <w:textDirection w:val="lrTb"/>
            <w:noWrap w:val="false"/>
          </w:tcPr>
          <w:p>
            <w:pPr>
              <w:pStyle w:val="1250"/>
              <w:jc w:val="center"/>
              <w:spacing w:line="360" w:lineRule="exact"/>
              <w:rPr>
                <w:rFonts w:hint="eastAsia" w:ascii="宋体" w:hAnsi="宋体" w:cs="宋体"/>
                <w:color w:val="000000"/>
              </w:rPr>
            </w:pPr>
            <w:r>
              <w:rPr>
                <w:rFonts w:hint="eastAsia" w:ascii="宋体" w:hAnsi="宋体" w:cs="宋体"/>
                <w:color w:val="000000"/>
              </w:rPr>
              <w:t xml:space="preserve">质保期满后维保收费及内容比较</w:t>
            </w:r>
            <w:r>
              <w:rPr>
                <w:rFonts w:hint="eastAsia" w:ascii="宋体" w:hAnsi="宋体" w:cs="宋体"/>
                <w:color w:val="000000"/>
              </w:rPr>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3</w:t>
            </w:r>
            <w:r/>
          </w:p>
        </w:tc>
        <w:tc>
          <w:tcPr>
            <w:tcW w:w="2067" w:type="pct"/>
            <w:vAlign w:val="center"/>
            <w:textDirection w:val="lrTb"/>
            <w:noWrap w:val="false"/>
          </w:tcPr>
          <w:p>
            <w:pPr>
              <w:pStyle w:val="1070"/>
              <w:spacing w:line="300" w:lineRule="exact"/>
              <w:rPr>
                <w:rFonts w:hint="eastAsia" w:ascii="宋体" w:hAnsi="宋体" w:cs="宋体"/>
                <w:sz w:val="24"/>
              </w:rPr>
            </w:pPr>
            <w:r>
              <w:rPr>
                <w:rFonts w:hint="eastAsia" w:ascii="宋体" w:hAnsi="宋体" w:cs="宋体"/>
                <w:sz w:val="24"/>
              </w:rPr>
              <w:t xml:space="preserve">提供零配件和维修备品备件的供应保障和维保期满后维保收费及维保方案内容完整清晰的得3分；</w:t>
            </w:r>
            <w:r/>
          </w:p>
          <w:p>
            <w:pPr>
              <w:pStyle w:val="1070"/>
              <w:spacing w:line="300" w:lineRule="exact"/>
              <w:rPr>
                <w:rFonts w:hint="eastAsia" w:ascii="宋体" w:hAnsi="宋体" w:cs="宋体"/>
                <w:sz w:val="24"/>
              </w:rPr>
            </w:pPr>
            <w:r>
              <w:rPr>
                <w:rFonts w:hint="eastAsia" w:ascii="宋体" w:hAnsi="宋体" w:cs="宋体"/>
                <w:sz w:val="24"/>
              </w:rPr>
              <w:t xml:space="preserve">零配件和维修备品备件的供应保障和维保期满后维保收费及维保方案内容较完整的得2分；</w:t>
            </w:r>
            <w:r/>
          </w:p>
          <w:p>
            <w:pPr>
              <w:pStyle w:val="1070"/>
              <w:spacing w:line="300" w:lineRule="exact"/>
              <w:rPr>
                <w:rFonts w:hint="eastAsia" w:ascii="宋体" w:hAnsi="宋体" w:cs="宋体"/>
                <w:sz w:val="24"/>
              </w:rPr>
            </w:pPr>
            <w:r>
              <w:rPr>
                <w:rFonts w:hint="eastAsia" w:ascii="宋体" w:hAnsi="宋体" w:cs="宋体"/>
                <w:sz w:val="24"/>
              </w:rPr>
              <w:t xml:space="preserve">零配件和维修备品备件的供应保障和维保期满后维保收费及维保方案内容介绍简单的得1分；</w:t>
            </w:r>
            <w:r/>
          </w:p>
          <w:p>
            <w:pPr>
              <w:pStyle w:val="1070"/>
              <w:spacing w:line="300" w:lineRule="exact"/>
              <w:rPr>
                <w:rFonts w:hint="eastAsia" w:ascii="宋体" w:hAnsi="宋体" w:cs="宋体"/>
                <w:sz w:val="24"/>
              </w:rPr>
            </w:pPr>
            <w:r>
              <w:rPr>
                <w:rFonts w:hint="eastAsia" w:ascii="宋体" w:hAnsi="宋体" w:cs="宋体"/>
                <w:sz w:val="24"/>
              </w:rPr>
              <w:t xml:space="preserve">不提供不得分。</w:t>
            </w:r>
            <w:r/>
          </w:p>
        </w:tc>
        <w:tc>
          <w:tcPr>
            <w:tcW w:w="1266" w:type="pct"/>
            <w:vAlign w:val="center"/>
            <w:textDirection w:val="lrTb"/>
            <w:noWrap w:val="false"/>
          </w:tcPr>
          <w:p>
            <w:pPr>
              <w:pStyle w:val="1070"/>
              <w:ind w:firstLine="28"/>
              <w:jc w:val="center"/>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3</w:t>
            </w:r>
            <w:r/>
          </w:p>
        </w:tc>
        <w:tc>
          <w:tcPr>
            <w:tcW w:w="759"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客观分</w:t>
            </w:r>
            <w:r/>
          </w:p>
        </w:tc>
        <w:tc>
          <w:tcPr>
            <w:tcW w:w="474"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42</w:t>
            </w:r>
            <w:r/>
          </w:p>
        </w:tc>
        <w:tc>
          <w:tcPr>
            <w:tcW w:w="2067" w:type="pct"/>
            <w:vAlign w:val="center"/>
            <w:textDirection w:val="lrTb"/>
            <w:noWrap w:val="false"/>
          </w:tcPr>
          <w:p>
            <w:pPr>
              <w:pStyle w:val="1070"/>
              <w:spacing w:line="360" w:lineRule="exact"/>
              <w:rPr>
                <w:rFonts w:ascii="宋体" w:hAnsi="宋体" w:cs="宋体"/>
                <w:sz w:val="24"/>
              </w:rPr>
            </w:pPr>
            <w:r>
              <w:rPr>
                <w:rFonts w:ascii="宋体" w:hAnsi="宋体" w:cs="宋体"/>
                <w:sz w:val="24"/>
              </w:rPr>
            </w:r>
            <w:r/>
          </w:p>
        </w:tc>
        <w:tc>
          <w:tcPr>
            <w:tcW w:w="1266" w:type="pct"/>
            <w:vAlign w:val="center"/>
            <w:textDirection w:val="lrTb"/>
            <w:noWrap w:val="false"/>
          </w:tcPr>
          <w:p>
            <w:pPr>
              <w:pStyle w:val="1070"/>
              <w:ind w:firstLine="28"/>
              <w:jc w:val="center"/>
              <w:rPr>
                <w:rFonts w:ascii="宋体" w:hAnsi="宋体" w:cs="宋体"/>
                <w:sz w:val="24"/>
              </w:rPr>
            </w:pPr>
            <w:r>
              <w:rPr>
                <w:rFonts w:ascii="宋体" w:hAnsi="宋体" w:cs="宋体"/>
                <w:sz w:val="24"/>
              </w:rPr>
            </w:r>
            <w:r/>
          </w:p>
        </w:tc>
      </w:tr>
      <w:tr>
        <w:trPr/>
        <w:tc>
          <w:tcPr>
            <w:tcW w:w="432"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3.1</w:t>
            </w:r>
            <w:r/>
          </w:p>
        </w:tc>
        <w:tc>
          <w:tcPr>
            <w:tcW w:w="759"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技术部分</w:t>
            </w:r>
            <w:r/>
          </w:p>
        </w:tc>
        <w:tc>
          <w:tcPr>
            <w:tcW w:w="474"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35</w:t>
            </w:r>
            <w:r>
              <w:rPr>
                <w:rFonts w:ascii="宋体" w:hAnsi="宋体" w:cs="宋体"/>
                <w:sz w:val="24"/>
              </w:rPr>
            </w:r>
            <w:r/>
          </w:p>
        </w:tc>
        <w:tc>
          <w:tcPr>
            <w:tcW w:w="2067" w:type="pct"/>
            <w:vAlign w:val="center"/>
            <w:textDirection w:val="lrTb"/>
            <w:noWrap w:val="false"/>
          </w:tcPr>
          <w:p>
            <w:pPr>
              <w:pStyle w:val="1070"/>
              <w:spacing w:line="360" w:lineRule="exact"/>
              <w:rPr>
                <w:rFonts w:ascii="宋体" w:hAnsi="宋体" w:cs="宋体"/>
                <w:sz w:val="24"/>
              </w:rPr>
            </w:pPr>
            <w:r>
              <w:rPr>
                <w:rFonts w:ascii="宋体" w:hAnsi="宋体" w:cs="宋体"/>
                <w:sz w:val="24"/>
              </w:rPr>
              <w:t xml:space="preserve">技术要求的符合性，即对提供货物的技术参数、配置、性能是否符合或优于招标文件要求进行评价。符合技术要求的得3</w:t>
            </w:r>
            <w:r>
              <w:rPr>
                <w:rFonts w:hint="eastAsia" w:ascii="宋体" w:hAnsi="宋体" w:cs="宋体"/>
                <w:sz w:val="24"/>
              </w:rPr>
              <w:t xml:space="preserve">5</w:t>
            </w:r>
            <w:r>
              <w:rPr>
                <w:rFonts w:ascii="宋体" w:hAnsi="宋体" w:cs="宋体"/>
                <w:sz w:val="24"/>
              </w:rPr>
              <w:t xml:space="preserve">分；采购清单中带“▲”参数为重要参数，每有一项负偏离的，扣</w:t>
            </w:r>
            <w:r>
              <w:rPr>
                <w:rFonts w:hint="eastAsia" w:ascii="宋体" w:hAnsi="宋体" w:cs="宋体"/>
                <w:sz w:val="24"/>
              </w:rPr>
              <w:t xml:space="preserve">0.5</w:t>
            </w:r>
            <w:r>
              <w:rPr>
                <w:rFonts w:ascii="宋体" w:hAnsi="宋体" w:cs="宋体"/>
                <w:sz w:val="24"/>
              </w:rPr>
              <w:t xml:space="preserve">分；其他参数为一般参数，每有一项负偏离的，扣</w:t>
            </w:r>
            <w:r>
              <w:rPr>
                <w:rFonts w:hint="eastAsia" w:ascii="宋体" w:hAnsi="宋体" w:cs="宋体"/>
                <w:sz w:val="24"/>
              </w:rPr>
              <w:t xml:space="preserve">0</w:t>
            </w: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分；扣完为止。</w:t>
            </w:r>
            <w:r/>
          </w:p>
        </w:tc>
        <w:tc>
          <w:tcPr>
            <w:tcW w:w="1266" w:type="pct"/>
            <w:vAlign w:val="center"/>
            <w:textDirection w:val="lrTb"/>
            <w:noWrap w:val="false"/>
          </w:tcPr>
          <w:p>
            <w:pPr>
              <w:pStyle w:val="1070"/>
              <w:spacing w:line="360" w:lineRule="auto"/>
              <w:widowControl/>
              <w:tabs>
                <w:tab w:val="left" w:pos="1200" w:leader="none"/>
              </w:tabs>
              <w:rPr>
                <w:rFonts w:ascii="宋体" w:hAnsi="宋体" w:cs="宋体"/>
                <w:sz w:val="24"/>
              </w:rPr>
            </w:pPr>
            <w:r>
              <w:rPr>
                <w:rFonts w:ascii="宋体" w:hAnsi="宋体" w:cs="宋体"/>
                <w:b/>
                <w:sz w:val="24"/>
              </w:rPr>
              <w:t xml:space="preserve">注：投标文件中应提供技术参数的相关证明材料，包括不限于：产品样本或技术手册，检测报告，功能截图，生产厂家（国内总代理）出具的技术证明文件等（如厂家的产品使用说明书为英文版，请同时提供中文版），并注明对应条款供评标小组评判，否则评标小组有权视相应技术参数不响应采购要求。</w:t>
            </w:r>
            <w:r>
              <w:rPr>
                <w:rFonts w:ascii="宋体" w:hAnsi="宋体" w:cs="宋体"/>
                <w:sz w:val="24"/>
              </w:rPr>
            </w:r>
            <w:r/>
          </w:p>
        </w:tc>
      </w:tr>
      <w:tr>
        <w:trPr/>
        <w:tc>
          <w:tcPr>
            <w:tcW w:w="432"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3.2</w:t>
            </w:r>
            <w:r/>
          </w:p>
        </w:tc>
        <w:tc>
          <w:tcPr>
            <w:tcW w:w="759"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业绩</w:t>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2</w:t>
            </w:r>
            <w:r/>
          </w:p>
        </w:tc>
        <w:tc>
          <w:tcPr>
            <w:tcW w:w="2067" w:type="pct"/>
            <w:vAlign w:val="center"/>
            <w:textDirection w:val="lrTb"/>
            <w:noWrap w:val="false"/>
          </w:tcPr>
          <w:p>
            <w:pPr>
              <w:pStyle w:val="1250"/>
              <w:spacing w:line="360" w:lineRule="exact"/>
              <w:rPr>
                <w:rFonts w:ascii="宋体" w:hAnsi="宋体" w:cs="宋体"/>
                <w:b/>
                <w:color w:val="000000"/>
              </w:rPr>
            </w:pPr>
            <w:r>
              <w:rPr>
                <w:rFonts w:ascii="宋体" w:hAnsi="宋体" w:cs="宋体"/>
                <w:color w:val="000000"/>
              </w:rPr>
              <w:t xml:space="preserve">提供</w:t>
            </w:r>
            <w:r>
              <w:rPr>
                <w:rFonts w:hint="eastAsia" w:ascii="宋体" w:hAnsi="宋体" w:cs="宋体"/>
                <w:color w:val="000000"/>
              </w:rPr>
              <w:t xml:space="preserve">投标人或者制造商(含制造商其他代理商)</w:t>
            </w:r>
            <w:r>
              <w:rPr>
                <w:rFonts w:ascii="宋体" w:hAnsi="宋体" w:cs="宋体"/>
                <w:color w:val="000000"/>
              </w:rPr>
              <w:t xml:space="preserve">自202</w:t>
            </w:r>
            <w:r>
              <w:rPr>
                <w:rFonts w:hint="eastAsia" w:ascii="宋体" w:hAnsi="宋体" w:cs="宋体"/>
                <w:color w:val="000000"/>
              </w:rPr>
              <w:t xml:space="preserve">2</w:t>
            </w:r>
            <w:r>
              <w:rPr>
                <w:rFonts w:ascii="宋体" w:hAnsi="宋体" w:cs="宋体"/>
                <w:color w:val="000000"/>
              </w:rPr>
              <w:t xml:space="preserve">年1月1日以来在国内的销售合同</w:t>
            </w:r>
            <w:r>
              <w:rPr>
                <w:rFonts w:ascii="宋体" w:hAnsi="宋体" w:cs="宋体"/>
                <w:b/>
                <w:color w:val="000000"/>
              </w:rPr>
              <w:t xml:space="preserve">（合同内产品必须与投标</w:t>
            </w:r>
            <w:r>
              <w:rPr>
                <w:rFonts w:hint="eastAsia" w:ascii="宋体" w:hAnsi="宋体" w:cs="宋体"/>
                <w:b/>
                <w:color w:val="000000"/>
              </w:rPr>
              <w:t xml:space="preserve">核心</w:t>
            </w:r>
            <w:r>
              <w:rPr>
                <w:rFonts w:ascii="宋体" w:hAnsi="宋体" w:cs="宋体"/>
                <w:b/>
                <w:color w:val="000000"/>
              </w:rPr>
              <w:t xml:space="preserve">产品为同品牌同型号）</w:t>
            </w:r>
            <w:r>
              <w:rPr>
                <w:rFonts w:ascii="宋体" w:hAnsi="宋体" w:cs="宋体"/>
                <w:color w:val="000000"/>
              </w:rPr>
              <w:t xml:space="preserve">，每提供一份有效合同得1分，最多得</w:t>
            </w:r>
            <w:r>
              <w:rPr>
                <w:rFonts w:hint="eastAsia" w:ascii="宋体" w:hAnsi="宋体" w:cs="宋体"/>
                <w:color w:val="000000"/>
              </w:rPr>
              <w:t xml:space="preserve">2</w:t>
            </w:r>
            <w:r>
              <w:rPr>
                <w:rFonts w:ascii="宋体" w:hAnsi="宋体" w:cs="宋体"/>
                <w:color w:val="000000"/>
              </w:rPr>
              <w:t xml:space="preserve">分。</w:t>
            </w:r>
            <w:r>
              <w:rPr>
                <w:rFonts w:ascii="宋体" w:hAnsi="宋体" w:cs="宋体"/>
                <w:b/>
                <w:color w:val="000000"/>
              </w:rPr>
            </w:r>
            <w:r/>
          </w:p>
        </w:tc>
        <w:tc>
          <w:tcPr>
            <w:tcW w:w="1266" w:type="pct"/>
            <w:vAlign w:val="center"/>
            <w:textDirection w:val="lrTb"/>
            <w:noWrap w:val="false"/>
          </w:tcPr>
          <w:p>
            <w:pPr>
              <w:pStyle w:val="1070"/>
              <w:spacing w:line="360" w:lineRule="auto"/>
              <w:widowControl/>
              <w:tabs>
                <w:tab w:val="left" w:pos="1200" w:leader="none"/>
              </w:tabs>
              <w:rPr>
                <w:rFonts w:ascii="宋体" w:hAnsi="宋体" w:cs="宋体"/>
                <w:sz w:val="24"/>
              </w:rPr>
            </w:pPr>
            <w:r>
              <w:rPr>
                <w:rFonts w:ascii="宋体" w:hAnsi="宋体" w:cs="宋体"/>
                <w:sz w:val="24"/>
              </w:rPr>
              <w:t xml:space="preserve">提供合同扫描件</w:t>
            </w:r>
            <w:r/>
          </w:p>
        </w:tc>
      </w:tr>
      <w:tr>
        <w:trPr/>
        <w:tc>
          <w:tcPr>
            <w:tcW w:w="432"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3.3</w:t>
            </w:r>
            <w:r>
              <w:rPr>
                <w:rFonts w:ascii="宋体" w:hAnsi="宋体" w:cs="宋体"/>
                <w:sz w:val="24"/>
              </w:rPr>
            </w:r>
            <w:r/>
          </w:p>
        </w:tc>
        <w:tc>
          <w:tcPr>
            <w:tcW w:w="759"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认证证书</w:t>
            </w:r>
            <w:r>
              <w:rPr>
                <w:rFonts w:ascii="宋体" w:hAnsi="宋体" w:cs="宋体"/>
                <w:sz w:val="24"/>
              </w:rPr>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2</w:t>
            </w:r>
            <w:r/>
          </w:p>
        </w:tc>
        <w:tc>
          <w:tcPr>
            <w:tcW w:w="2067" w:type="pct"/>
            <w:vAlign w:val="center"/>
            <w:textDirection w:val="lrTb"/>
            <w:noWrap w:val="false"/>
          </w:tcPr>
          <w:p>
            <w:pPr>
              <w:pStyle w:val="1250"/>
              <w:spacing w:line="360" w:lineRule="exact"/>
              <w:rPr>
                <w:rFonts w:ascii="宋体" w:hAnsi="宋体" w:cs="宋体"/>
                <w:color w:val="000000"/>
              </w:rPr>
            </w:pPr>
            <w:r>
              <w:rPr>
                <w:rFonts w:hint="eastAsia" w:ascii="宋体" w:hAnsi="宋体" w:cs="宋体"/>
                <w:color w:val="000000"/>
              </w:rPr>
              <w:t xml:space="preserve">提供所投产品（核心产品）具有有效期内的CE认证证书，得2分。</w:t>
            </w:r>
            <w:r>
              <w:rPr>
                <w:rFonts w:ascii="宋体" w:hAnsi="宋体" w:cs="宋体"/>
                <w:color w:val="000000"/>
              </w:rPr>
            </w:r>
            <w:r/>
          </w:p>
        </w:tc>
        <w:tc>
          <w:tcPr>
            <w:tcW w:w="1266" w:type="pct"/>
            <w:vAlign w:val="center"/>
            <w:textDirection w:val="lrTb"/>
            <w:noWrap w:val="false"/>
          </w:tcPr>
          <w:p>
            <w:pPr>
              <w:pStyle w:val="1070"/>
              <w:spacing w:line="360" w:lineRule="auto"/>
              <w:widowControl/>
              <w:tabs>
                <w:tab w:val="left" w:pos="1200" w:leader="none"/>
              </w:tabs>
              <w:rPr>
                <w:rFonts w:ascii="宋体" w:hAnsi="宋体" w:cs="宋体"/>
                <w:sz w:val="24"/>
              </w:rPr>
            </w:pPr>
            <w:r>
              <w:rPr>
                <w:rFonts w:hint="eastAsia" w:ascii="宋体" w:hAnsi="宋体" w:cs="宋体"/>
                <w:sz w:val="24"/>
              </w:rPr>
              <w:t xml:space="preserve">提供证书扫描件</w:t>
            </w:r>
            <w:r>
              <w:rPr>
                <w:rFonts w:ascii="宋体" w:hAnsi="宋体" w:cs="宋体"/>
                <w:sz w:val="24"/>
              </w:rPr>
            </w:r>
            <w:r/>
          </w:p>
        </w:tc>
      </w:tr>
      <w:tr>
        <w:trPr/>
        <w:tc>
          <w:tcPr>
            <w:tcW w:w="432"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3.3</w:t>
            </w:r>
            <w:r/>
          </w:p>
        </w:tc>
        <w:tc>
          <w:tcPr>
            <w:tcW w:w="759"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质保期</w:t>
            </w:r>
            <w:r/>
          </w:p>
        </w:tc>
        <w:tc>
          <w:tcPr>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2</w:t>
            </w:r>
            <w:r/>
          </w:p>
        </w:tc>
        <w:tc>
          <w:tcPr>
            <w:tcW w:w="2067" w:type="pct"/>
            <w:vAlign w:val="center"/>
            <w:textDirection w:val="lrTb"/>
            <w:noWrap w:val="false"/>
          </w:tcPr>
          <w:p>
            <w:pPr>
              <w:pStyle w:val="1250"/>
              <w:spacing w:line="360" w:lineRule="exact"/>
              <w:rPr>
                <w:rFonts w:ascii="宋体" w:hAnsi="宋体" w:cs="宋体"/>
                <w:color w:val="000000"/>
              </w:rPr>
            </w:pPr>
            <w:r>
              <w:rPr>
                <w:rFonts w:ascii="宋体" w:hAnsi="宋体" w:cs="宋体"/>
                <w:color w:val="000000"/>
              </w:rPr>
              <w:t xml:space="preserve">投标产品的免费保修期满足招标文件要求的基础上，免费质保期整体延长1年，得</w:t>
            </w:r>
            <w:r>
              <w:rPr>
                <w:rFonts w:hint="eastAsia" w:ascii="宋体" w:hAnsi="宋体" w:cs="宋体"/>
                <w:color w:val="000000"/>
              </w:rPr>
              <w:t xml:space="preserve">1</w:t>
            </w:r>
            <w:r>
              <w:rPr>
                <w:rFonts w:ascii="宋体" w:hAnsi="宋体" w:cs="宋体"/>
                <w:color w:val="000000"/>
              </w:rPr>
              <w:t xml:space="preserve">分。本项最高得</w:t>
            </w:r>
            <w:r>
              <w:rPr>
                <w:rFonts w:hint="eastAsia" w:ascii="宋体" w:hAnsi="宋体" w:cs="宋体"/>
                <w:color w:val="000000"/>
              </w:rPr>
              <w:t xml:space="preserve">2</w:t>
            </w:r>
            <w:r>
              <w:rPr>
                <w:rFonts w:ascii="宋体" w:hAnsi="宋体" w:cs="宋体"/>
                <w:color w:val="000000"/>
              </w:rPr>
              <w:t xml:space="preserve">分。</w:t>
            </w:r>
            <w:r/>
          </w:p>
        </w:tc>
        <w:tc>
          <w:tcPr>
            <w:tcW w:w="1266" w:type="pct"/>
            <w:vAlign w:val="center"/>
            <w:textDirection w:val="lrTb"/>
            <w:noWrap w:val="false"/>
          </w:tcPr>
          <w:p>
            <w:pPr>
              <w:pStyle w:val="1070"/>
              <w:spacing w:line="360" w:lineRule="auto"/>
              <w:widowControl/>
              <w:tabs>
                <w:tab w:val="left" w:pos="1200" w:leader="none"/>
              </w:tabs>
              <w:rPr>
                <w:rFonts w:ascii="宋体" w:hAnsi="宋体" w:cs="宋体"/>
                <w:sz w:val="24"/>
              </w:rPr>
            </w:pPr>
            <w:r>
              <w:rPr>
                <w:rFonts w:ascii="宋体" w:hAnsi="宋体" w:cs="宋体"/>
                <w:sz w:val="24"/>
              </w:rPr>
              <w:t xml:space="preserve">提供服务承诺书，签字盖章有效</w:t>
            </w:r>
            <w:r/>
          </w:p>
        </w:tc>
      </w:tr>
      <w:tr>
        <w:trPr/>
        <w:tc>
          <w:tcPr>
            <w:tcW w:w="432"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3.4</w:t>
            </w:r>
            <w:r/>
          </w:p>
        </w:tc>
        <w:tc>
          <w:tcPr>
            <w:tcW w:w="759"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政府采购政策功能性得分</w:t>
            </w:r>
            <w:r/>
          </w:p>
        </w:tc>
        <w:tc>
          <w:tcPr>
            <w:tcW w:w="474"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067" w:type="pct"/>
            <w:vAlign w:val="center"/>
            <w:textDirection w:val="lrTb"/>
            <w:noWrap w:val="false"/>
          </w:tcPr>
          <w:p>
            <w:pPr>
              <w:pStyle w:val="1250"/>
              <w:spacing w:line="360" w:lineRule="exact"/>
              <w:rPr>
                <w:rFonts w:ascii="宋体" w:hAnsi="宋体" w:cs="宋体"/>
                <w:color w:val="000000"/>
              </w:rPr>
            </w:pPr>
            <w:r>
              <w:rPr>
                <w:rFonts w:ascii="宋体" w:hAnsi="宋体" w:cs="宋体"/>
                <w:color w:val="000000"/>
              </w:rPr>
              <w:t xml:space="preserve">投标主要产品属财政部和发改委公布的《节能产品政府采购品目清单》的，得</w:t>
            </w:r>
            <w:r>
              <w:rPr>
                <w:rFonts w:hint="eastAsia" w:ascii="宋体" w:hAnsi="宋体" w:cs="宋体"/>
                <w:color w:val="000000"/>
              </w:rPr>
              <w:t xml:space="preserve">0</w:t>
            </w:r>
            <w:r>
              <w:rPr>
                <w:rFonts w:ascii="宋体" w:hAnsi="宋体" w:cs="宋体"/>
                <w:color w:val="000000"/>
              </w:rPr>
              <w:t xml:space="preserve">.5分；投标主要产品属财政部和国家环境保护部公布的《环境标志产品政府采购品目清单》的，得</w:t>
            </w:r>
            <w:r>
              <w:rPr>
                <w:rFonts w:hint="eastAsia" w:ascii="宋体" w:hAnsi="宋体" w:cs="宋体"/>
                <w:color w:val="000000"/>
              </w:rPr>
              <w:t xml:space="preserve">0</w:t>
            </w:r>
            <w:r>
              <w:rPr>
                <w:rFonts w:ascii="宋体" w:hAnsi="宋体" w:cs="宋体"/>
                <w:color w:val="000000"/>
              </w:rPr>
              <w:t xml:space="preserve">.5分。提供国家确定的认证机构出具的、处于有效期之内的节能产品、环境标志产品认证证书。</w:t>
            </w:r>
            <w:r/>
          </w:p>
        </w:tc>
        <w:tc>
          <w:tcPr>
            <w:tcW w:w="1266" w:type="pct"/>
            <w:vAlign w:val="center"/>
            <w:textDirection w:val="lrTb"/>
            <w:noWrap w:val="false"/>
          </w:tcPr>
          <w:p>
            <w:pPr>
              <w:pStyle w:val="1070"/>
              <w:spacing w:line="360" w:lineRule="auto"/>
              <w:widowControl/>
              <w:tabs>
                <w:tab w:val="left" w:pos="1200" w:leader="none"/>
              </w:tabs>
              <w:rPr>
                <w:rFonts w:ascii="宋体" w:hAnsi="宋体" w:cs="宋体"/>
                <w:sz w:val="24"/>
              </w:rPr>
            </w:pPr>
            <w:r>
              <w:rPr>
                <w:rFonts w:ascii="宋体" w:hAnsi="宋体" w:cs="宋体"/>
                <w:sz w:val="24"/>
              </w:rPr>
            </w:r>
            <w:r/>
          </w:p>
        </w:tc>
      </w:tr>
      <w:tr>
        <w:trPr/>
        <w:tc>
          <w:tcPr>
            <w:gridSpan w:val="2"/>
            <w:tcW w:w="1192"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合计</w:t>
            </w:r>
            <w:r/>
          </w:p>
        </w:tc>
        <w:tc>
          <w:tcPr>
            <w:tcW w:w="474"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100</w:t>
            </w:r>
            <w:r/>
          </w:p>
        </w:tc>
        <w:tc>
          <w:tcPr>
            <w:gridSpan w:val="2"/>
            <w:tcW w:w="3333" w:type="pct"/>
            <w:vAlign w:val="center"/>
            <w:textDirection w:val="lrTb"/>
            <w:noWrap w:val="false"/>
          </w:tcPr>
          <w:p>
            <w:pPr>
              <w:pStyle w:val="1070"/>
              <w:rPr>
                <w:rFonts w:ascii="宋体" w:hAnsi="宋体" w:cs="宋体"/>
                <w:sz w:val="24"/>
              </w:rPr>
            </w:pPr>
            <w:r>
              <w:rPr>
                <w:rFonts w:ascii="宋体" w:hAnsi="宋体" w:cs="宋体"/>
                <w:sz w:val="24"/>
              </w:rPr>
            </w:r>
            <w:r/>
          </w:p>
        </w:tc>
      </w:tr>
    </w:tbl>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0"/>
        <w:contextualSpacing/>
        <w:jc w:val="left"/>
        <w:spacing w:line="360" w:lineRule="auto"/>
        <w:rPr>
          <w:rFonts w:ascii="宋体" w:hAnsi="宋体"/>
          <w:b/>
          <w:bCs/>
          <w:i/>
          <w:iCs/>
          <w:sz w:val="24"/>
        </w:rPr>
      </w:pPr>
      <w:r>
        <w:rPr>
          <w:rFonts w:hint="eastAsia" w:ascii="宋体" w:hAnsi="宋体"/>
          <w:b/>
          <w:bCs/>
          <w:i/>
          <w:iCs/>
          <w:sz w:val="24"/>
        </w:rPr>
        <w:t xml:space="preserve">（采购需求中标注“★”项条款，均为实质性要求，必须满足并项目，按要求提供有关材料，未响应或未按要求提供有关材料的，其投标无效。）</w:t>
      </w:r>
      <w:r>
        <w:rPr>
          <w:rFonts w:ascii="宋体" w:hAnsi="宋体"/>
          <w:b/>
          <w:bCs/>
          <w:i/>
          <w:iCs/>
          <w:sz w:val="24"/>
        </w:rPr>
      </w:r>
      <w:r/>
    </w:p>
    <w:p>
      <w:pPr>
        <w:pStyle w:val="1070"/>
        <w:ind w:firstLine="482"/>
        <w:jc w:val="left"/>
        <w:spacing w:line="360" w:lineRule="auto"/>
        <w:rPr>
          <w:rFonts w:ascii="宋体" w:hAnsi="宋体" w:cs="宋体"/>
          <w:b/>
          <w:sz w:val="24"/>
        </w:rPr>
      </w:pPr>
      <w:r>
        <w:rPr>
          <w:rFonts w:hint="eastAsia" w:ascii="宋体" w:hAnsi="宋体" w:cs="宋体"/>
          <w:b/>
          <w:sz w:val="24"/>
          <w:lang w:bidi="ar"/>
        </w:rPr>
        <w:t xml:space="preserve">一、项目概况</w:t>
      </w:r>
      <w:r>
        <w:rPr>
          <w:rFonts w:ascii="宋体" w:hAnsi="宋体" w:cs="宋体"/>
          <w:b/>
          <w:sz w:val="24"/>
        </w:rPr>
      </w:r>
      <w:r/>
    </w:p>
    <w:p>
      <w:pPr>
        <w:pStyle w:val="1070"/>
        <w:ind w:firstLine="480"/>
        <w:jc w:val="left"/>
        <w:spacing w:line="360" w:lineRule="auto"/>
        <w:rPr>
          <w:rFonts w:ascii="宋体" w:hAnsi="宋体" w:cs="宋体"/>
          <w:sz w:val="24"/>
        </w:rPr>
      </w:pPr>
      <w:r>
        <w:rPr>
          <w:rFonts w:hint="eastAsia" w:ascii="宋体" w:hAnsi="宋体" w:cs="宋体"/>
          <w:sz w:val="24"/>
          <w:lang w:bidi="ar"/>
        </w:rPr>
        <w:t xml:space="preserve">本项目为常州市妇幼保健院消毒供应中心配套设备采购项目，具体内容包括：设备的制造（采购）、运输、装卸、安装、调试、测试、售后服务、技术培训等，直至通过采购单位及其他相关部门的验收以及质量保修、免费维保等全部工作。</w:t>
      </w:r>
      <w:r>
        <w:rPr>
          <w:rFonts w:ascii="宋体" w:hAnsi="宋体" w:cs="宋体"/>
          <w:sz w:val="24"/>
        </w:rPr>
      </w:r>
      <w:r/>
    </w:p>
    <w:p>
      <w:pPr>
        <w:pStyle w:val="1070"/>
        <w:ind w:firstLine="482"/>
        <w:jc w:val="left"/>
        <w:spacing w:line="360" w:lineRule="auto"/>
        <w:rPr>
          <w:rFonts w:ascii="宋体" w:hAnsi="宋体" w:cs="宋体"/>
          <w:b/>
          <w:sz w:val="24"/>
        </w:rPr>
      </w:pPr>
      <w:r>
        <w:rPr>
          <w:rFonts w:hint="eastAsia" w:ascii="宋体" w:hAnsi="宋体" w:cs="宋体"/>
          <w:b/>
          <w:sz w:val="24"/>
          <w:lang w:bidi="ar"/>
        </w:rPr>
        <w:t xml:space="preserve">二、基本要求</w:t>
      </w:r>
      <w:r>
        <w:rPr>
          <w:rFonts w:ascii="宋体" w:hAnsi="宋体" w:cs="宋体"/>
          <w:b/>
          <w:sz w:val="24"/>
        </w:rPr>
      </w:r>
      <w:r/>
    </w:p>
    <w:p>
      <w:pPr>
        <w:pStyle w:val="1070"/>
        <w:ind w:firstLine="480"/>
        <w:jc w:val="left"/>
        <w:spacing w:line="360" w:lineRule="auto"/>
        <w:rPr>
          <w:rFonts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宋体"/>
          <w:sz w:val="24"/>
        </w:rPr>
      </w:r>
      <w:r/>
    </w:p>
    <w:p>
      <w:pPr>
        <w:pStyle w:val="1070"/>
        <w:ind w:firstLine="480"/>
        <w:jc w:val="left"/>
        <w:spacing w:line="360" w:lineRule="auto"/>
        <w:rPr>
          <w:rFonts w:ascii="宋体" w:hAnsi="宋体" w:cs="宋体"/>
          <w:sz w:val="24"/>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三、采购清单</w:t>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82"/>
        <w:gridCol w:w="527"/>
        <w:gridCol w:w="1852"/>
        <w:gridCol w:w="773"/>
        <w:gridCol w:w="828"/>
        <w:gridCol w:w="3481"/>
        <w:gridCol w:w="1245"/>
      </w:tblGrid>
      <w:tr>
        <w:trPr>
          <w:trHeight w:val="170"/>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70"/>
              <w:jc w:val="center"/>
              <w:widowControl/>
              <w:rPr>
                <w:rFonts w:hint="eastAsia" w:ascii="宋体" w:hAnsi="宋体" w:cs="宋体"/>
                <w:sz w:val="24"/>
              </w:rPr>
            </w:pPr>
            <w:r>
              <w:rPr>
                <w:rFonts w:hint="eastAsia" w:ascii="宋体" w:hAnsi="宋体" w:cs="宋体"/>
                <w:sz w:val="24"/>
                <w:lang w:bidi="ar"/>
              </w:rPr>
              <w:t xml:space="preserve">包号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设备名称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数量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单位</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widowControl/>
              <w:rPr>
                <w:rFonts w:ascii="宋体" w:hAnsi="宋体" w:cs="宋体"/>
                <w:b/>
                <w:bCs/>
                <w:i/>
                <w:iCs/>
                <w:sz w:val="24"/>
                <w:lang w:bidi="ar"/>
              </w:rPr>
            </w:pPr>
            <w:r>
              <w:rPr>
                <w:rFonts w:hint="eastAsia" w:ascii="宋体" w:hAnsi="宋体" w:cs="宋体"/>
                <w:b/>
                <w:bCs/>
                <w:i/>
                <w:iCs/>
                <w:sz w:val="24"/>
                <w:lang w:bidi="ar"/>
              </w:rPr>
              <w:t xml:space="preserve">★备注</w:t>
            </w:r>
            <w:r>
              <w:rPr>
                <w:rFonts w:ascii="宋体" w:hAnsi="宋体" w:cs="宋体"/>
                <w:b/>
                <w:bCs/>
                <w:i/>
                <w:iCs/>
                <w:sz w:val="24"/>
                <w:lang w:bidi="ar"/>
              </w:rPr>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tcPr>
          <w:p>
            <w:pPr>
              <w:pStyle w:val="1070"/>
              <w:jc w:val="center"/>
              <w:widowControl/>
              <w:rPr>
                <w:rFonts w:ascii="宋体" w:hAnsi="宋体" w:cs="宋体"/>
                <w:sz w:val="24"/>
              </w:rPr>
            </w:pPr>
            <w:r>
              <w:rPr>
                <w:rFonts w:hint="eastAsia" w:ascii="宋体" w:hAnsi="宋体" w:cs="宋体"/>
                <w:sz w:val="24"/>
                <w:lang w:bidi="ar"/>
              </w:rPr>
              <w:t xml:space="preserve">是否接受进口产品</w:t>
            </w:r>
            <w:r>
              <w:rPr>
                <w:rFonts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tcPr>
          <w:p>
            <w:pPr>
              <w:pStyle w:val="1070"/>
              <w:jc w:val="center"/>
              <w:widowControl/>
              <w:rPr>
                <w:rFonts w:hint="eastAsia" w:ascii="宋体" w:hAnsi="宋体" w:cs="宋体"/>
                <w:sz w:val="24"/>
              </w:rPr>
            </w:pPr>
            <w:r>
              <w:rPr>
                <w:rFonts w:hint="eastAsia" w:ascii="宋体" w:hAnsi="宋体" w:cs="宋体"/>
                <w:sz w:val="24"/>
                <w:lang w:bidi="ar"/>
              </w:rPr>
              <w:t xml:space="preserve">01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b/>
                <w:bCs/>
                <w:sz w:val="24"/>
              </w:rPr>
            </w:pPr>
            <w:r>
              <w:rPr>
                <w:rStyle w:val="1326"/>
                <w:rFonts w:ascii="宋体" w:hAnsi="宋体" w:eastAsia="宋体" w:cs="宋体"/>
                <w:color w:val="000000"/>
                <w:lang w:bidi="ar"/>
              </w:rPr>
              <w:t xml:space="preserve">洁净蒸汽灭菌器</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widowControl/>
              <w:rPr>
                <w:rFonts w:ascii="宋体" w:hAnsi="宋体" w:cs="宋体"/>
                <w:b/>
                <w:bCs/>
                <w:i/>
                <w:iCs/>
                <w:sz w:val="24"/>
                <w:lang w:bidi="ar"/>
              </w:rPr>
            </w:pPr>
            <w:r>
              <w:rPr>
                <w:rFonts w:hint="eastAsia" w:ascii="宋体" w:hAnsi="宋体" w:cs="宋体"/>
                <w:b/>
                <w:bCs/>
                <w:i/>
                <w:iCs/>
                <w:sz w:val="24"/>
                <w:lang w:bidi="ar"/>
              </w:rPr>
              <w:t xml:space="preserve">★提供有效的医疗器械注册证</w:t>
            </w:r>
            <w:r>
              <w:rPr>
                <w:rFonts w:ascii="宋体" w:hAnsi="宋体" w:cs="宋体"/>
                <w:b/>
                <w:bCs/>
                <w:i/>
                <w:iCs/>
                <w:sz w:val="24"/>
                <w:lang w:bidi="ar"/>
              </w:rPr>
            </w:r>
            <w:r/>
          </w:p>
        </w:tc>
        <w:tc>
          <w:tcPr>
            <w:tcBorders>
              <w:top w:val="single" w:color="000000" w:sz="4" w:space="0"/>
              <w:left w:val="single" w:color="000000" w:sz="4" w:space="0"/>
              <w:bottom w:val="single" w:color="000000" w:sz="4" w:space="0"/>
              <w:right w:val="single" w:color="000000" w:sz="4" w:space="0"/>
            </w:tcBorders>
            <w:tcW w:w="669" w:type="pct"/>
            <w:vAlign w:val="center"/>
            <w:vMerge w:val="restart"/>
            <w:textDirection w:val="lrTb"/>
            <w:noWrap/>
          </w:tcPr>
          <w:p>
            <w:pPr>
              <w:pStyle w:val="1070"/>
              <w:jc w:val="center"/>
              <w:widowControl/>
              <w:rPr>
                <w:rFonts w:hint="eastAsia" w:ascii="宋体" w:hAnsi="宋体" w:cs="宋体"/>
                <w:sz w:val="24"/>
              </w:rPr>
            </w:pPr>
            <w:r>
              <w:rPr>
                <w:rFonts w:hint="eastAsia" w:ascii="宋体" w:hAnsi="宋体" w:cs="宋体"/>
                <w:sz w:val="24"/>
                <w:lang w:bidi="ar"/>
              </w:rPr>
              <w:t xml:space="preserve">不接受进口产品</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清洗消毒器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lang w:bidi="ar"/>
              </w:rPr>
              <w:t xml:space="preserve">★提供有效的医疗器械注册证</w:t>
            </w: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大型清洗消毒器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ascii="宋体" w:hAnsi="宋体" w:cs="宋体"/>
                <w:b/>
                <w:bCs/>
                <w:i/>
                <w:iCs/>
                <w:sz w:val="24"/>
              </w:rPr>
            </w:pPr>
            <w:r>
              <w:rPr>
                <w:rFonts w:hint="eastAsia" w:ascii="宋体" w:hAnsi="宋体" w:cs="宋体"/>
                <w:b/>
                <w:bCs/>
                <w:i/>
                <w:iCs/>
                <w:sz w:val="24"/>
                <w:lang w:bidi="ar"/>
              </w:rPr>
              <w:t xml:space="preserve">★提供有效的医疗器械注册证或一类医疗器械备案凭证</w:t>
            </w:r>
            <w:r>
              <w:rPr>
                <w:rFonts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高温干燥柜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医用低温真空干燥柜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手工清洗槽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腔镜清洗工作站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lang w:bidi="ar"/>
              </w:rPr>
              <w:t xml:space="preserve">★提供有效的医疗器械注册证或一类医疗器械备案凭证</w:t>
            </w: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水处理系统（单级）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水处理系统（双级）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减压沸腾机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lang w:bidi="ar"/>
              </w:rPr>
              <w:t xml:space="preserve">★提供有效的医疗器械注册证或一类医疗器械备案凭证</w:t>
            </w: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封口打印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切割机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能量柱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1070"/>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信息管理与追溯系统（含供应室硬件）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环境安全监测报警系统一套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医用绝缘检测仪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快速生物阅读器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洁净气源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节能高效燃气洁净蒸汽发生器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智能电加热洁净蒸汽发生器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软水机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b/>
                <w:bCs/>
                <w:sz w:val="24"/>
              </w:rPr>
            </w:pPr>
            <w:r>
              <w:rPr>
                <w:rStyle w:val="1326"/>
                <w:rFonts w:ascii="宋体" w:hAnsi="宋体" w:eastAsia="宋体" w:cs="宋体"/>
                <w:color w:val="000000"/>
                <w:lang w:bidi="ar"/>
              </w:rPr>
              <w:t xml:space="preserve">低温等离子灭菌器</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lang w:bidi="ar"/>
              </w:rPr>
              <w:t xml:space="preserve">★提供有效的医疗器械注册证</w:t>
            </w: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环氧乙烷灭菌器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lang w:bidi="ar"/>
              </w:rPr>
              <w:t xml:space="preserve">★提供有效的医疗器械注册证</w:t>
            </w: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仓储物流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73" w:type="pct"/>
            <w:vAlign w:val="center"/>
            <w:textDirection w:val="lrTb"/>
            <w:noWrap/>
          </w:tcPr>
          <w:p>
            <w:pPr>
              <w:pStyle w:val="1070"/>
              <w:jc w:val="center"/>
              <w:rPr>
                <w:rFonts w:hint="eastAsia" w:ascii="宋体" w:hAnsi="宋体" w:cs="宋体"/>
                <w:b/>
                <w:bCs/>
                <w:i/>
                <w:iCs/>
                <w:sz w:val="24"/>
              </w:rPr>
            </w:pPr>
            <w:r>
              <w:rPr>
                <w:rFonts w:hint="eastAsia" w:ascii="宋体" w:hAnsi="宋体" w:cs="宋体"/>
                <w:b/>
                <w:bCs/>
                <w:i/>
                <w:iCs/>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tcPr>
          <w:p>
            <w:pPr>
              <w:pStyle w:val="1070"/>
              <w:jc w:val="center"/>
              <w:rPr>
                <w:rFonts w:hint="eastAsia" w:ascii="宋体" w:hAnsi="宋体" w:cs="宋体"/>
                <w:sz w:val="24"/>
              </w:rPr>
            </w:pPr>
            <w:r>
              <w:rPr>
                <w:rFonts w:hint="eastAsia" w:ascii="宋体" w:hAnsi="宋体" w:cs="宋体"/>
                <w:sz w:val="24"/>
              </w:rPr>
            </w:r>
            <w:r/>
          </w:p>
        </w:tc>
      </w:tr>
    </w:tbl>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四、技术要求</w:t>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491"/>
        <w:gridCol w:w="754"/>
        <w:gridCol w:w="8043"/>
      </w:tblGrid>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center"/>
              <w:widowControl/>
              <w:rPr>
                <w:rFonts w:hint="eastAsia" w:ascii="宋体" w:hAnsi="宋体" w:cs="宋体"/>
                <w:b/>
                <w:bCs/>
                <w:szCs w:val="21"/>
              </w:rPr>
            </w:pPr>
            <w:r>
              <w:rPr>
                <w:rFonts w:hint="eastAsia" w:ascii="宋体" w:hAnsi="宋体" w:cs="宋体"/>
                <w:b/>
                <w:bCs/>
                <w:szCs w:val="21"/>
                <w:lang w:bidi="ar"/>
              </w:rPr>
              <w:t xml:space="preserve">设备名称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center"/>
              <w:widowControl/>
              <w:rPr>
                <w:rFonts w:hint="eastAsia" w:ascii="宋体" w:hAnsi="宋体" w:cs="宋体"/>
                <w:b/>
                <w:bCs/>
                <w:szCs w:val="21"/>
              </w:rPr>
            </w:pPr>
            <w:r>
              <w:rPr>
                <w:rFonts w:hint="eastAsia" w:ascii="宋体" w:hAnsi="宋体" w:cs="宋体"/>
                <w:b/>
                <w:bCs/>
                <w:szCs w:val="21"/>
                <w:lang w:bidi="ar"/>
              </w:rPr>
              <w:t xml:space="preserve">技术参数</w:t>
            </w:r>
            <w:r>
              <w:rPr>
                <w:rFonts w:hint="eastAsia" w:ascii="宋体" w:hAnsi="宋体" w:cs="宋体"/>
                <w:b/>
                <w:bCs/>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b/>
                <w:bCs/>
                <w:szCs w:val="21"/>
              </w:rPr>
            </w:pPr>
            <w:r>
              <w:rPr>
                <w:rStyle w:val="1326"/>
                <w:rFonts w:ascii="宋体" w:hAnsi="宋体" w:eastAsia="宋体" w:cs="宋体"/>
                <w:color w:val="000000"/>
                <w:sz w:val="21"/>
                <w:szCs w:val="21"/>
                <w:lang w:bidi="ar"/>
              </w:rPr>
              <w:t xml:space="preserve">洁净蒸汽灭菌器</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▲1、柜体方形设计，内室容积≥1600L，需提供设备铭牌材料佐证</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2、控制器：主控制器采用PLC，配置≥8寸彩色触摸屏；前后双触摸屏，实时同步；</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3、内壳、夹套均采用≥6mm厚316L不锈钢材质,管道采用卫生级不锈钢材质卡箍式联结，主体结构为环形加强筋结构，设计寿命达到≥15年（或≥30000次灭菌循环）；</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4、最高工作温度≥136℃，设计温度≥144℃，设计压力≥0.29Mpa，安全阀开启压力≥0.26Mpa，设备抽真空下限≤-95kpa；</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5、具有节水降噪装置；</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▲6、自带蒸汽品质提升装置，提高蒸汽干度（需提供实物照片并加盖公章）；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▲7、灭菌器主体采用底部中凹结构，内室前后2个下沉漏斗形排水口（需提供实物照片），实现低温无压排水，排水温度≤65℃（提供说明书关键页或显示屏实际显示照片并加盖公章）；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▲8、设备装载方式：采用地坑装载方式进行装卸载操作，需提供证明材料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▲9、门通过同步带驱动门板电动左右平移，且采用压缩气密封，密封门胶条为圆形且安置于柜体内；需提供证明材料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10、泵：采用单级直连式水环真空泵；</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▲11、程序数量：≥32套程序，可根据用户需求自由编辑程序。（提供说明书关键页及实物照片并加盖公章）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12、预真空方式：应具备负压脉动、跨压脉动、正压脉动，用户可根据需求自由编辑多脉动组合方式。（提供说明书关键页及现场实物照片并加盖公章）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13、低温无压排水：（需提供原理图和排水箱实物图）</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14、换热装置：板式换热器。（需提供板式换热器安装在设备上实物照片）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15、数据保存具备≥3种方式：内置热敏打印机，使用长效热敏纸；显示屏存储：运行数据可存储在显示屏内，存储数据量≥6年/12000次灭菌循环；</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电脑存储：可通过选配电脑监控软件，将程序运行的电子数据永久保存、重复打印、随时查看。</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16、设备标配消毒车地坑装载，消毒车间距可调。</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▲17、整机安装宽度（含维修空间）≤1800mm；设备自带一体式检修舱，单台无需另配检修门（提供证明材料并加盖公章）；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▲18、整机灭菌工艺符合ASME认证，提供认证证书</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19、管路自带保温层，减少散热。需提供实物照片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20、程序运行时间：标准循环：≤55分钟。需提供运行打印记录照片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21、标准循环脉动次数：3次负压脉动，1次跨压脉动，3次正压脉动。脉动次数设定范围：0～99次可设。提供打印曲线图及触摸屏设置照片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22、三套总配置要求：主机3台、消毒车3辆</w:t>
            </w:r>
            <w:r/>
          </w:p>
          <w:p>
            <w:pPr>
              <w:pStyle w:val="1070"/>
              <w:jc w:val="left"/>
              <w:widowControl/>
              <w:rPr>
                <w:rFonts w:ascii="宋体" w:hAnsi="宋体" w:cs="宋体"/>
                <w:szCs w:val="21"/>
                <w:lang w:bidi="ar"/>
              </w:rPr>
            </w:pPr>
            <w:r>
              <w:rPr>
                <w:rFonts w:hint="eastAsia" w:ascii="宋体" w:hAnsi="宋体" w:cs="宋体"/>
                <w:b/>
                <w:bCs/>
                <w:i/>
                <w:iCs/>
                <w:sz w:val="24"/>
                <w:lang w:eastAsia="en-US"/>
              </w:rPr>
              <w:t xml:space="preserve">★</w:t>
            </w:r>
            <w:r>
              <w:rPr>
                <w:rFonts w:hint="eastAsia" w:ascii="宋体" w:hAnsi="宋体" w:cs="宋体"/>
                <w:b/>
                <w:bCs/>
                <w:i/>
                <w:iCs/>
                <w:szCs w:val="21"/>
                <w:lang w:bidi="ar"/>
              </w:rPr>
              <w:t xml:space="preserve">23、压力表、安全阀标配：一备一用。</w:t>
            </w:r>
            <w:r>
              <w:rPr>
                <w:rFonts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清洗消毒器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1、容积≥520L</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▲2、舱体材质：≥1.5mm厚316L不锈钢镜面板（提供材质证明材料）；不锈钢清洗架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3、对接口：清洗架注水口位于清洗腔体的侧面</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4、观察灯：舱体具有照明系统</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5、密封门：门厚度≥22mm。自动下开门，双门通道型、双门可实现互锁。防爆玻璃门，关门遇障碍可自动返回，门采用主动压紧方式（气缸压紧）</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6、快速预热双水箱设计，双风机供风，双级加热系统（需提供实物照片）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▲7、提供所投产品的卫生安全评价报告（消毒效果检测报告）、EMC电磁兼容检验报告。</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▲8、提供所投产品通过达芬奇器械清洗认证报告</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9、循环泵为不锈钢泵体，流量≥1100L/分钟（提供设备配备的循环泵流量有效证明材料）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10、气动阀，口径≥2寸（提供设备配备的气动阀口径有效证明材料）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11、空气过滤器：≥H13级，效率≥99.99%，过滤精度≤0.5 um；（提供设备配备的空气过滤器有效证明材料）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▲12、变频清洗：具备。可实现软启动，根据不同清洗器械和不同的酶液变频清洗。（提供显示屏设置界面和产品彩页并加盖公章）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14、控制器：主控制器采用PLC，配置≥8寸彩色触摸屏；前后双触摸屏，实时同步；程序数量≥30套，至少包含9套预置程序、21套自定义程序</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▲15、运行标准程序时间≤28分钟，标准程序包含清洗、漂洗一、漂洗二、消毒、干燥全过程，提供运行全流程的打印记录证明材料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16、纯水能耗：单次运行设备运行≤100L/循环，且纯水耗水量≤25L/步</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▲17、批次最大器械装载量：≥18个标准器械托盘480*250*50mm，提供证明材料</w:t>
            </w:r>
            <w:r/>
          </w:p>
          <w:p>
            <w:pPr>
              <w:pStyle w:val="1070"/>
              <w:jc w:val="left"/>
              <w:widowControl/>
              <w:rPr>
                <w:rFonts w:hint="eastAsia" w:ascii="宋体" w:hAnsi="宋体" w:cs="宋体"/>
                <w:szCs w:val="21"/>
              </w:rPr>
            </w:pPr>
            <w:r>
              <w:rPr>
                <w:rFonts w:hint="eastAsia" w:ascii="宋体" w:hAnsi="宋体" w:cs="宋体"/>
                <w:szCs w:val="21"/>
                <w:lang w:bidi="ar"/>
              </w:rPr>
              <w:t xml:space="preserve">18、三套配置要求：主机3台、4层器械清洗架3个；搬运车6个；标准器械托盘36个；</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大型清洗消毒器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▲1、自动左右平移门,双门通道型，清洗舱容积≥5000L；设备面宽度≤2400mm，提供证明材料；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2、舱体采用≥2mm厚304L不锈钢材质，清洗架采用316L不锈钢材质，外装饰罩采用304不锈钢拉丝板材质；</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▲3、具备清洗架自动倾斜一定角度的功能，以消除清洗物品中的积水，可实现带轮手推车无障碍进入清洗舱；</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4、门采用主动气缸压紧方式，密封可靠,开门后有自动搭桥动作，自动填补密封门留下的空隙；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▲5、可预置≥5套程序，自定义≥5套程序，根据需要进行程序编辑，提供显示屏照片或说明书关键页并加盖公章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▲6、喷淋方式：清洗舱内部两侧壁有多排可以自动左右摆动的喷头，消除清洗死角，提供证明材料；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7、采用蒸汽加热和电加热两级加热干燥方式，能消除因环境温度变化而对干燥效果的影响，同时加快干燥速度；</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8、核心阀件为金属材料，采用双扬程≥30m的不锈钢循环泵，排水阀门采用口径≥2寸的不锈钢气动阀控制；（提供设备配备的循环泵、气动阀口径有效证明材料）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9、空气过滤器精度≤0.3um，过滤等级≥H13级（≥99 %），A级精度温度传感器采集温度，显示精确度0.1℃；</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10、采用≥2个预热水箱，减少清洗及消毒用水的加热时间；</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11、采用PLC作为主控制器，前后各配置一个≥10寸彩色触摸屏，可动态的显示运行状态及参数，参数可通过热敏打印机自动打印过程曲线、并记录起始值；</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12、具有节能设计，可回收漂洗阶段用水，用于下一步清洗使用；</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▲13、运行时间≤50分钟(车架清洗程序)，提供证明材料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14、耗水量：≤120L/步</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▲15、提供该产品的卫生安全评价报告</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▲16、电磁兼容性检测报告：提供国家认可的具有资质的第三方检测机构出具的检测报告</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17、安装方式：地坑安装</w:t>
            </w:r>
            <w:r/>
          </w:p>
          <w:p>
            <w:pPr>
              <w:pStyle w:val="1070"/>
              <w:jc w:val="left"/>
              <w:widowControl/>
              <w:rPr>
                <w:rFonts w:hint="eastAsia" w:ascii="宋体" w:hAnsi="宋体" w:cs="宋体"/>
                <w:szCs w:val="21"/>
              </w:rPr>
            </w:pPr>
            <w:r>
              <w:rPr>
                <w:rFonts w:hint="eastAsia" w:ascii="宋体" w:hAnsi="宋体" w:cs="宋体"/>
                <w:szCs w:val="21"/>
                <w:lang w:bidi="ar"/>
              </w:rPr>
              <w:t xml:space="preserve">18、配置：主机1台、4层多功能清洗架 1个</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高温干燥柜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327"/>
              <w:ind w:firstLine="0"/>
              <w:rPr>
                <w:rFonts w:hint="eastAsia" w:ascii="宋体" w:hAnsi="宋体" w:eastAsia="宋体"/>
                <w:sz w:val="21"/>
                <w:szCs w:val="21"/>
              </w:rPr>
            </w:pPr>
            <w:r>
              <w:rPr>
                <w:rFonts w:hint="eastAsia" w:ascii="宋体" w:hAnsi="宋体" w:eastAsia="宋体"/>
                <w:sz w:val="21"/>
                <w:szCs w:val="21"/>
              </w:rPr>
              <w:t xml:space="preserve">1、容积：≥500L。</w:t>
            </w:r>
            <w:r/>
          </w:p>
          <w:p>
            <w:pPr>
              <w:pStyle w:val="1327"/>
              <w:ind w:firstLine="0"/>
              <w:rPr>
                <w:rFonts w:hint="eastAsia" w:ascii="宋体" w:hAnsi="宋体" w:eastAsia="宋体"/>
                <w:sz w:val="21"/>
                <w:szCs w:val="21"/>
              </w:rPr>
            </w:pPr>
            <w:r>
              <w:rPr>
                <w:rFonts w:hint="eastAsia" w:ascii="宋体" w:hAnsi="宋体" w:eastAsia="宋体"/>
                <w:sz w:val="21"/>
                <w:szCs w:val="21"/>
              </w:rPr>
              <w:t xml:space="preserve">2、外观要求：整体不锈钢外观，带侧部热风循环功能；显示屏和控制面板位于侧维修门处，操作高度正对操作者。</w:t>
            </w:r>
            <w:r/>
          </w:p>
          <w:p>
            <w:pPr>
              <w:pStyle w:val="1327"/>
              <w:ind w:firstLine="0"/>
              <w:rPr>
                <w:rFonts w:hint="eastAsia" w:ascii="宋体" w:hAnsi="宋体" w:eastAsia="宋体"/>
                <w:sz w:val="21"/>
                <w:szCs w:val="21"/>
              </w:rPr>
            </w:pPr>
            <w:r>
              <w:rPr>
                <w:rFonts w:hint="eastAsia" w:ascii="宋体" w:hAnsi="宋体" w:eastAsia="宋体"/>
                <w:sz w:val="21"/>
                <w:szCs w:val="21"/>
              </w:rPr>
              <w:t xml:space="preserve">3、外罩、柜体采用优质SUS304不锈钢拉丝板，板材厚度≥1.2mm；密封门门板采用优质SUS304不锈钢拉丝板，板材厚度≥2mm</w:t>
            </w:r>
            <w:r/>
          </w:p>
          <w:p>
            <w:pPr>
              <w:pStyle w:val="1327"/>
              <w:ind w:firstLine="0"/>
              <w:rPr>
                <w:rFonts w:hint="eastAsia" w:ascii="宋体" w:hAnsi="宋体" w:eastAsia="宋体"/>
                <w:sz w:val="21"/>
                <w:szCs w:val="21"/>
              </w:rPr>
            </w:pPr>
            <w:r>
              <w:rPr>
                <w:rFonts w:hint="eastAsia" w:ascii="宋体" w:hAnsi="宋体" w:eastAsia="宋体"/>
                <w:sz w:val="21"/>
                <w:szCs w:val="21"/>
              </w:rPr>
              <w:t xml:space="preserve">4、腔体结构：干燥腔采用拼接方式成型（非焊接方式），整体变形小。舱体高度≥1600mm，满足各类导管的长度要求。</w:t>
            </w:r>
            <w:r/>
          </w:p>
          <w:p>
            <w:pPr>
              <w:pStyle w:val="1327"/>
              <w:ind w:firstLine="0"/>
              <w:rPr>
                <w:rFonts w:hint="eastAsia" w:ascii="宋体" w:hAnsi="宋体" w:eastAsia="宋体"/>
                <w:sz w:val="21"/>
                <w:szCs w:val="21"/>
              </w:rPr>
            </w:pPr>
            <w:r>
              <w:rPr>
                <w:rFonts w:hint="eastAsia" w:ascii="宋体" w:hAnsi="宋体" w:eastAsia="宋体"/>
                <w:sz w:val="21"/>
                <w:szCs w:val="21"/>
              </w:rPr>
              <w:t xml:space="preserve">5、密封门要求：门体中部采用双层中空钢化玻璃结构，采用手动连杆锁，密封门固定采用上下转轴方式，隐藏式结构，转轴整体置于设备内部，开关闭合顺畅无阻滞。</w:t>
            </w:r>
            <w:r/>
          </w:p>
          <w:p>
            <w:pPr>
              <w:pStyle w:val="1327"/>
              <w:ind w:firstLine="0"/>
              <w:rPr>
                <w:rFonts w:hint="eastAsia" w:ascii="宋体" w:hAnsi="宋体" w:eastAsia="宋体"/>
                <w:sz w:val="21"/>
                <w:szCs w:val="21"/>
              </w:rPr>
            </w:pPr>
            <w:r>
              <w:rPr>
                <w:rFonts w:hint="eastAsia" w:ascii="宋体" w:hAnsi="宋体" w:eastAsia="宋体"/>
                <w:sz w:val="21"/>
                <w:szCs w:val="21"/>
              </w:rPr>
              <w:t xml:space="preserve">6、门密封要求：密封锁杆作用点位于门体上部和下部，整体受力均匀，保证密封效果。密封胶条嵌于密封门内板处，采用圆弧形中空结构。</w:t>
            </w:r>
            <w:r/>
          </w:p>
          <w:p>
            <w:pPr>
              <w:pStyle w:val="1327"/>
              <w:ind w:firstLine="0"/>
              <w:rPr>
                <w:rFonts w:hint="eastAsia" w:ascii="宋体" w:hAnsi="宋体" w:eastAsia="宋体"/>
                <w:sz w:val="21"/>
                <w:szCs w:val="21"/>
              </w:rPr>
            </w:pPr>
            <w:r>
              <w:rPr>
                <w:rFonts w:hint="eastAsia" w:ascii="宋体" w:hAnsi="宋体" w:eastAsia="宋体"/>
                <w:sz w:val="21"/>
                <w:szCs w:val="21"/>
              </w:rPr>
              <w:t xml:space="preserve">7、维修门要求：采用优质SUS304不锈钢拉丝；上下双磁吸闭合方式。</w:t>
            </w:r>
            <w:r/>
          </w:p>
          <w:p>
            <w:pPr>
              <w:pStyle w:val="1327"/>
              <w:ind w:firstLine="0"/>
              <w:rPr>
                <w:rFonts w:hint="eastAsia" w:ascii="宋体" w:hAnsi="宋体" w:eastAsia="宋体"/>
                <w:sz w:val="21"/>
                <w:szCs w:val="21"/>
              </w:rPr>
            </w:pPr>
            <w:r>
              <w:rPr>
                <w:rFonts w:hint="eastAsia" w:ascii="宋体" w:hAnsi="宋体" w:eastAsia="宋体"/>
                <w:sz w:val="21"/>
                <w:szCs w:val="21"/>
              </w:rPr>
              <w:t xml:space="preserve">8.风机要求：采用交流离心风机，电容感应启动，风机风量≥570m³/h，最大静压≥450Pa，噪音≤72dB，风机数量≥3个。与风机出风口联接，采用锥形结构设计。</w:t>
            </w:r>
            <w:r/>
          </w:p>
          <w:p>
            <w:pPr>
              <w:pStyle w:val="1327"/>
              <w:ind w:firstLine="0"/>
              <w:rPr>
                <w:rFonts w:hint="eastAsia" w:ascii="宋体" w:hAnsi="宋体" w:eastAsia="宋体"/>
                <w:sz w:val="21"/>
                <w:szCs w:val="21"/>
              </w:rPr>
            </w:pPr>
            <w:r>
              <w:rPr>
                <w:rFonts w:hint="eastAsia" w:ascii="宋体" w:hAnsi="宋体" w:eastAsia="宋体"/>
                <w:sz w:val="21"/>
                <w:szCs w:val="21"/>
              </w:rPr>
              <w:t xml:space="preserve">9、过热保护：设备具有加热系统故障检测、保护、报警功能。保护阶段，程序停止运行，排出故障后，方可正常使用</w:t>
            </w:r>
            <w:r/>
          </w:p>
          <w:p>
            <w:pPr>
              <w:pStyle w:val="1327"/>
              <w:ind w:firstLine="0"/>
              <w:rPr>
                <w:rFonts w:hint="eastAsia" w:ascii="宋体" w:hAnsi="宋体" w:eastAsia="宋体"/>
                <w:sz w:val="21"/>
                <w:szCs w:val="21"/>
              </w:rPr>
            </w:pPr>
            <w:r>
              <w:rPr>
                <w:rFonts w:hint="eastAsia" w:ascii="宋体" w:hAnsi="宋体" w:eastAsia="宋体"/>
                <w:sz w:val="21"/>
                <w:szCs w:val="21"/>
              </w:rPr>
              <w:t xml:space="preserve">10、进风加热系统过滤器要求：采用HEPA高效空气过滤器，过滤精度</w:t>
            </w:r>
            <w:r>
              <w:rPr>
                <w:rFonts w:hint="eastAsia" w:ascii="宋体" w:hAnsi="宋体" w:eastAsia="宋体"/>
                <w:sz w:val="21"/>
                <w:szCs w:val="21"/>
                <w:lang w:bidi="ar"/>
              </w:rPr>
              <w:t xml:space="preserve">≤</w:t>
            </w:r>
            <w:r>
              <w:rPr>
                <w:rFonts w:hint="eastAsia" w:ascii="宋体" w:hAnsi="宋体" w:eastAsia="宋体"/>
                <w:sz w:val="21"/>
                <w:szCs w:val="21"/>
              </w:rPr>
              <w:t xml:space="preserve">0.3μm，滤褶方向应垂直于地面，符合高效过滤器的安装要求。</w:t>
            </w:r>
            <w:r/>
          </w:p>
          <w:p>
            <w:pPr>
              <w:pStyle w:val="1327"/>
              <w:ind w:firstLine="0"/>
              <w:rPr>
                <w:rFonts w:hint="eastAsia" w:ascii="宋体" w:hAnsi="宋体" w:eastAsia="宋体"/>
                <w:sz w:val="21"/>
                <w:szCs w:val="21"/>
              </w:rPr>
            </w:pPr>
            <w:r>
              <w:rPr>
                <w:rFonts w:hint="eastAsia" w:ascii="宋体" w:hAnsi="宋体" w:eastAsia="宋体"/>
                <w:sz w:val="21"/>
                <w:szCs w:val="21"/>
              </w:rPr>
              <w:t xml:space="preserve">11、加热箱要求：采用电加热方式，箱体盘型结构，加热管数量≥3根，设备整体加热功率≥9kVA，加热箱加装温度探头，精准测量空气温度，加热管含过热保护。加热箱外部粘贴隔热保温层，采用橡塑海绵。</w:t>
            </w:r>
            <w:r/>
          </w:p>
          <w:p>
            <w:pPr>
              <w:pStyle w:val="1327"/>
              <w:ind w:firstLine="0"/>
              <w:rPr>
                <w:rFonts w:hint="eastAsia" w:ascii="宋体" w:hAnsi="宋体" w:eastAsia="宋体"/>
                <w:sz w:val="21"/>
                <w:szCs w:val="21"/>
              </w:rPr>
            </w:pPr>
            <w:r>
              <w:rPr>
                <w:rFonts w:hint="eastAsia" w:ascii="宋体" w:hAnsi="宋体" w:eastAsia="宋体"/>
                <w:sz w:val="21"/>
                <w:szCs w:val="21"/>
              </w:rPr>
              <w:t xml:space="preserve">12、侧加热箱要求：采用整体加热箱结构，电加热方式，集成过热保护警报功能，电热管数量≥3根。</w:t>
            </w:r>
            <w:r/>
          </w:p>
          <w:p>
            <w:pPr>
              <w:pStyle w:val="1327"/>
              <w:ind w:firstLine="0"/>
              <w:rPr>
                <w:rFonts w:hint="eastAsia" w:ascii="宋体" w:hAnsi="宋体" w:eastAsia="宋体"/>
                <w:sz w:val="21"/>
                <w:szCs w:val="21"/>
              </w:rPr>
            </w:pPr>
            <w:r>
              <w:rPr>
                <w:rFonts w:hint="eastAsia" w:ascii="宋体" w:hAnsi="宋体" w:eastAsia="宋体"/>
                <w:sz w:val="21"/>
                <w:szCs w:val="21"/>
              </w:rPr>
              <w:t xml:space="preserve">13、控制系统要求：≥5寸高清液晶屏显示，触摸感应按键控制。</w:t>
            </w:r>
            <w:r/>
          </w:p>
          <w:p>
            <w:pPr>
              <w:pStyle w:val="1327"/>
              <w:ind w:firstLine="0"/>
              <w:rPr>
                <w:rFonts w:hint="eastAsia" w:ascii="宋体" w:hAnsi="宋体" w:eastAsia="宋体"/>
                <w:sz w:val="21"/>
                <w:szCs w:val="21"/>
              </w:rPr>
            </w:pPr>
            <w:r>
              <w:rPr>
                <w:rFonts w:hint="eastAsia" w:ascii="宋体" w:hAnsi="宋体" w:eastAsia="宋体"/>
                <w:sz w:val="21"/>
                <w:szCs w:val="21"/>
              </w:rPr>
              <w:t xml:space="preserve">14、定时功能：设备具有定时开关机功能和长时间待机关机功能。</w:t>
            </w:r>
            <w:r/>
          </w:p>
          <w:p>
            <w:pPr>
              <w:pStyle w:val="1327"/>
              <w:ind w:firstLine="0"/>
              <w:rPr>
                <w:rFonts w:hint="eastAsia" w:ascii="宋体" w:hAnsi="宋体" w:eastAsia="宋体"/>
                <w:sz w:val="21"/>
                <w:szCs w:val="21"/>
              </w:rPr>
            </w:pPr>
            <w:r>
              <w:rPr>
                <w:rFonts w:hint="eastAsia" w:ascii="宋体" w:hAnsi="宋体" w:eastAsia="宋体"/>
                <w:sz w:val="21"/>
                <w:szCs w:val="21"/>
              </w:rPr>
              <w:t xml:space="preserve">▲15、程序要求：内置≥10套程序，≥4套默认程序（导管、器械、玻璃器皿、湿化瓶），干燥温度设置范围40℃～90℃，干燥时间设置范围0～999min，各运行参数可调。</w:t>
            </w:r>
            <w:r/>
          </w:p>
          <w:p>
            <w:pPr>
              <w:pStyle w:val="1327"/>
              <w:ind w:firstLine="0"/>
              <w:rPr>
                <w:rFonts w:hint="eastAsia" w:ascii="宋体" w:hAnsi="宋体" w:eastAsia="宋体"/>
                <w:sz w:val="21"/>
                <w:szCs w:val="21"/>
              </w:rPr>
            </w:pPr>
            <w:r>
              <w:rPr>
                <w:rFonts w:hint="eastAsia" w:ascii="宋体" w:hAnsi="宋体" w:eastAsia="宋体"/>
                <w:sz w:val="21"/>
                <w:szCs w:val="21"/>
              </w:rPr>
              <w:t xml:space="preserve">▲16、装载容量：满载一次可处理≥18个DIN标准器械托盘或≥64根导管或≥38个湿化瓶。</w:t>
            </w:r>
            <w:r/>
          </w:p>
          <w:p>
            <w:pPr>
              <w:pStyle w:val="1070"/>
              <w:jc w:val="left"/>
              <w:widowControl/>
              <w:rPr>
                <w:rFonts w:hint="eastAsia" w:ascii="宋体" w:hAnsi="宋体" w:cs="宋体"/>
                <w:szCs w:val="21"/>
              </w:rPr>
            </w:pPr>
            <w:r>
              <w:rPr>
                <w:rFonts w:hint="eastAsia" w:ascii="宋体" w:hAnsi="宋体" w:cs="宋体"/>
                <w:szCs w:val="21"/>
              </w:rPr>
              <w:t xml:space="preserve">17、配置：主机1台、格栅9个、DIN标准器械托盘9个、导管干燥架1个、湿化瓶干燥架1个、积水盒1个</w:t>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医用低温真空干燥柜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327"/>
              <w:ind w:firstLine="0"/>
              <w:rPr>
                <w:rFonts w:hint="eastAsia" w:ascii="宋体" w:hAnsi="宋体" w:eastAsia="宋体"/>
                <w:sz w:val="21"/>
                <w:szCs w:val="21"/>
              </w:rPr>
            </w:pPr>
            <w:r>
              <w:rPr>
                <w:rFonts w:hint="eastAsia" w:ascii="宋体" w:hAnsi="宋体" w:eastAsia="宋体"/>
                <w:sz w:val="21"/>
                <w:szCs w:val="21"/>
              </w:rPr>
              <w:t xml:space="preserve">▲1、容积≥100L，舱体结构为方形舱体，上下双舱体，分开独立运行，单舱一次可装载2个标配器械托盘的器械，≥700mm超长舱体深度，适合较长硬镜类负载的干燥；</w:t>
            </w:r>
            <w:r>
              <w:rPr>
                <w:rFonts w:hint="eastAsia" w:ascii="宋体" w:hAnsi="宋体" w:eastAsia="宋体"/>
                <w:sz w:val="21"/>
                <w:szCs w:val="21"/>
                <w:lang w:bidi="ar"/>
              </w:rPr>
              <w:t xml:space="preserve">提供证明材料</w:t>
            </w:r>
            <w:r>
              <w:rPr>
                <w:rFonts w:hint="eastAsia" w:ascii="宋体" w:hAnsi="宋体" w:eastAsia="宋体"/>
                <w:sz w:val="21"/>
                <w:szCs w:val="21"/>
              </w:rPr>
            </w:r>
            <w:r/>
          </w:p>
          <w:p>
            <w:pPr>
              <w:pStyle w:val="1327"/>
              <w:ind w:firstLine="0"/>
              <w:rPr>
                <w:rFonts w:hint="eastAsia" w:ascii="宋体" w:hAnsi="宋体" w:eastAsia="宋体"/>
                <w:sz w:val="21"/>
                <w:szCs w:val="21"/>
              </w:rPr>
            </w:pPr>
            <w:r>
              <w:rPr>
                <w:rFonts w:hint="eastAsia" w:ascii="宋体" w:hAnsi="宋体" w:eastAsia="宋体"/>
                <w:sz w:val="21"/>
                <w:szCs w:val="21"/>
              </w:rPr>
              <w:t xml:space="preserve">▲2、材质要求舱体采用铝合金防锈板拼接成型，阳极氧化处理；外观材质整体全不锈钢拉丝外罩外观。</w:t>
            </w:r>
            <w:r>
              <w:rPr>
                <w:rFonts w:hint="eastAsia" w:ascii="宋体" w:hAnsi="宋体" w:eastAsia="宋体"/>
                <w:sz w:val="21"/>
                <w:szCs w:val="21"/>
                <w:lang w:bidi="ar"/>
              </w:rPr>
              <w:t xml:space="preserve">提供证明材料</w:t>
            </w:r>
            <w:r>
              <w:rPr>
                <w:rFonts w:hint="eastAsia" w:ascii="宋体" w:hAnsi="宋体" w:eastAsia="宋体"/>
                <w:sz w:val="21"/>
                <w:szCs w:val="21"/>
              </w:rPr>
            </w:r>
            <w:r/>
          </w:p>
          <w:p>
            <w:pPr>
              <w:pStyle w:val="1327"/>
              <w:ind w:firstLine="0"/>
              <w:rPr>
                <w:rFonts w:hint="eastAsia" w:ascii="宋体" w:hAnsi="宋体" w:eastAsia="宋体"/>
                <w:sz w:val="21"/>
                <w:szCs w:val="21"/>
              </w:rPr>
            </w:pPr>
            <w:r>
              <w:rPr>
                <w:rFonts w:hint="eastAsia" w:ascii="宋体" w:hAnsi="宋体" w:eastAsia="宋体"/>
                <w:sz w:val="21"/>
                <w:szCs w:val="21"/>
              </w:rPr>
              <w:t xml:space="preserve">3、柜体壁面加热方式采用PTC加热膜；采用粘胶纤维保温层，厚度≥10mm，外覆绝缘布；</w:t>
            </w:r>
            <w:r/>
          </w:p>
          <w:p>
            <w:pPr>
              <w:pStyle w:val="1327"/>
              <w:ind w:firstLine="0"/>
              <w:rPr>
                <w:rFonts w:hint="eastAsia" w:ascii="宋体" w:hAnsi="宋体" w:eastAsia="宋体"/>
                <w:sz w:val="21"/>
                <w:szCs w:val="21"/>
              </w:rPr>
            </w:pPr>
            <w:r>
              <w:rPr>
                <w:rFonts w:hint="eastAsia" w:ascii="宋体" w:hAnsi="宋体" w:eastAsia="宋体"/>
                <w:sz w:val="21"/>
                <w:szCs w:val="21"/>
              </w:rPr>
              <w:t xml:space="preserve">4、门锁为电动锁，可自动检测门关位，门框采用铝合金；门罩采用不锈钢拉丝板；</w:t>
            </w:r>
            <w:r/>
          </w:p>
          <w:p>
            <w:pPr>
              <w:pStyle w:val="1327"/>
              <w:ind w:firstLine="0"/>
              <w:rPr>
                <w:rFonts w:hint="eastAsia" w:ascii="宋体" w:hAnsi="宋体" w:eastAsia="宋体"/>
                <w:sz w:val="21"/>
                <w:szCs w:val="21"/>
              </w:rPr>
            </w:pPr>
            <w:r>
              <w:rPr>
                <w:rFonts w:hint="eastAsia" w:ascii="宋体" w:hAnsi="宋体" w:eastAsia="宋体"/>
                <w:sz w:val="21"/>
                <w:szCs w:val="21"/>
              </w:rPr>
              <w:t xml:space="preserve">5、门胶条采用医用硅橡胶模压而成；门密封要求≥12mm钢化玻璃密封，高透视窗；</w:t>
            </w:r>
            <w:r/>
          </w:p>
          <w:p>
            <w:pPr>
              <w:pStyle w:val="1327"/>
              <w:ind w:firstLine="0"/>
              <w:rPr>
                <w:rFonts w:hint="eastAsia" w:ascii="宋体" w:hAnsi="宋体" w:eastAsia="宋体"/>
                <w:sz w:val="21"/>
                <w:szCs w:val="21"/>
              </w:rPr>
            </w:pPr>
            <w:r>
              <w:rPr>
                <w:rFonts w:hint="eastAsia" w:ascii="宋体" w:hAnsi="宋体" w:eastAsia="宋体"/>
                <w:sz w:val="21"/>
                <w:szCs w:val="21"/>
              </w:rPr>
              <w:t xml:space="preserve">6、配备高效真空泵、抽空阀和回空阀为电磁阀；</w:t>
            </w:r>
            <w:r/>
          </w:p>
          <w:p>
            <w:pPr>
              <w:pStyle w:val="1327"/>
              <w:ind w:firstLine="0"/>
              <w:rPr>
                <w:rFonts w:hint="eastAsia" w:ascii="宋体" w:hAnsi="宋体" w:eastAsia="宋体"/>
                <w:sz w:val="21"/>
                <w:szCs w:val="21"/>
              </w:rPr>
            </w:pPr>
            <w:r>
              <w:rPr>
                <w:rFonts w:hint="eastAsia" w:ascii="宋体" w:hAnsi="宋体" w:eastAsia="宋体"/>
                <w:sz w:val="21"/>
                <w:szCs w:val="21"/>
              </w:rPr>
              <w:t xml:space="preserve">7、具有加热系统故障检测、保护、报警功能；过滤器采用高效空气过滤器，过滤精度≤0.3μm，有效阻隔空气中的粉尘颗粒等进入干燥舱体内；</w:t>
            </w:r>
            <w:r/>
          </w:p>
          <w:p>
            <w:pPr>
              <w:pStyle w:val="1327"/>
              <w:ind w:firstLine="0"/>
              <w:rPr>
                <w:rFonts w:hint="eastAsia" w:ascii="宋体" w:hAnsi="宋体" w:eastAsia="宋体"/>
                <w:sz w:val="21"/>
                <w:szCs w:val="21"/>
              </w:rPr>
            </w:pPr>
            <w:r>
              <w:rPr>
                <w:rFonts w:hint="eastAsia" w:ascii="宋体" w:hAnsi="宋体" w:eastAsia="宋体"/>
                <w:sz w:val="21"/>
                <w:szCs w:val="21"/>
              </w:rPr>
              <w:t xml:space="preserve">▲8、控制系统采用≥7寸彩色触摸屏，可显示舱壁温度、舱内压力、运行时间、报警信息等参数；可一键启动，具有故障自动检测功能，内置≥8套程序，≥4套默认程序，操作人员可根据需求自行调节参数；</w:t>
            </w:r>
            <w:r>
              <w:rPr>
                <w:rFonts w:hint="eastAsia" w:ascii="宋体" w:hAnsi="宋体" w:eastAsia="宋体"/>
                <w:sz w:val="21"/>
                <w:szCs w:val="21"/>
                <w:lang w:bidi="ar"/>
              </w:rPr>
              <w:t xml:space="preserve">提供证明材料</w:t>
            </w:r>
            <w:r>
              <w:rPr>
                <w:rFonts w:hint="eastAsia" w:ascii="宋体" w:hAnsi="宋体" w:eastAsia="宋体"/>
                <w:sz w:val="21"/>
                <w:szCs w:val="21"/>
              </w:rPr>
            </w:r>
            <w:r/>
          </w:p>
          <w:p>
            <w:pPr>
              <w:pStyle w:val="1327"/>
              <w:ind w:firstLine="0"/>
              <w:rPr>
                <w:rFonts w:hint="eastAsia" w:ascii="宋体" w:hAnsi="宋体" w:eastAsia="宋体"/>
                <w:sz w:val="21"/>
                <w:szCs w:val="21"/>
              </w:rPr>
            </w:pPr>
            <w:r>
              <w:rPr>
                <w:rFonts w:hint="eastAsia" w:ascii="宋体" w:hAnsi="宋体" w:eastAsia="宋体"/>
                <w:sz w:val="21"/>
                <w:szCs w:val="21"/>
              </w:rPr>
              <w:t xml:space="preserve">9、电源采用AC220V/50Hz，功率 ≤3kW；</w:t>
            </w:r>
            <w:r/>
          </w:p>
          <w:p>
            <w:pPr>
              <w:pStyle w:val="1070"/>
              <w:jc w:val="left"/>
              <w:widowControl/>
              <w:rPr>
                <w:rFonts w:hint="eastAsia" w:ascii="宋体" w:hAnsi="宋体" w:cs="宋体"/>
                <w:szCs w:val="21"/>
              </w:rPr>
            </w:pPr>
            <w:r>
              <w:rPr>
                <w:rFonts w:hint="eastAsia" w:ascii="宋体" w:hAnsi="宋体" w:cs="宋体"/>
                <w:szCs w:val="21"/>
              </w:rPr>
              <w:t xml:space="preserve">10、配置要求：主机 1台，器械托盘（680×300×50）4个</w:t>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手工清洗槽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327"/>
              <w:ind w:firstLine="0"/>
              <w:rPr>
                <w:rFonts w:hint="eastAsia" w:ascii="宋体" w:hAnsi="宋体" w:eastAsia="宋体"/>
                <w:sz w:val="21"/>
                <w:szCs w:val="21"/>
              </w:rPr>
            </w:pPr>
            <w:r>
              <w:rPr>
                <w:rFonts w:hint="eastAsia" w:ascii="宋体" w:hAnsi="宋体" w:eastAsia="宋体"/>
                <w:sz w:val="21"/>
                <w:szCs w:val="21"/>
              </w:rPr>
              <w:t xml:space="preserve">1、适用于精密、复杂器械的清洗和有机物污染较重器械的初步处理，应配备预处理蒸汽清洗、酶洗、超声、终末、湿热消毒（A0＞3000）和干燥台。</w:t>
            </w:r>
            <w:r/>
          </w:p>
          <w:p>
            <w:pPr>
              <w:pStyle w:val="1327"/>
              <w:ind w:firstLine="0"/>
              <w:rPr>
                <w:rFonts w:hint="eastAsia" w:ascii="宋体" w:hAnsi="宋体" w:eastAsia="宋体"/>
                <w:sz w:val="21"/>
                <w:szCs w:val="21"/>
              </w:rPr>
            </w:pPr>
            <w:r>
              <w:rPr>
                <w:rFonts w:hint="eastAsia" w:ascii="宋体" w:hAnsi="宋体" w:eastAsia="宋体"/>
                <w:sz w:val="21"/>
                <w:szCs w:val="21"/>
              </w:rPr>
              <w:t xml:space="preserve">▲2、材质要求：台面及背板采用SUS304优质不锈钢，槽体采用316L不锈钢，超声槽厚度≥2mm，其余槽体厚度≥1.5mm；提供产品材质证明佐证材料：</w:t>
            </w:r>
            <w:r/>
          </w:p>
          <w:p>
            <w:pPr>
              <w:pStyle w:val="1327"/>
              <w:ind w:firstLine="0"/>
              <w:rPr>
                <w:rFonts w:hint="eastAsia" w:ascii="宋体" w:hAnsi="宋体" w:eastAsia="宋体"/>
                <w:sz w:val="21"/>
                <w:szCs w:val="21"/>
              </w:rPr>
            </w:pPr>
            <w:r>
              <w:rPr>
                <w:rFonts w:hint="eastAsia" w:ascii="宋体" w:hAnsi="宋体" w:eastAsia="宋体"/>
                <w:sz w:val="21"/>
                <w:szCs w:val="21"/>
              </w:rPr>
              <w:t xml:space="preserve">3、采用分段式柜体，柜体底部设有可移动脚轮，并配有升降地脚；支架选用全优质SUS304不锈钢材质，厚度≥1.2mm；柜门采用SUS304优质不锈钢，复合门结构；门为对开式结构，门铰链采用阻尼铰链；柜体底板采用SUS304不锈钢材质，厚度≥1.2mm。</w:t>
            </w:r>
            <w:r/>
          </w:p>
          <w:p>
            <w:pPr>
              <w:pStyle w:val="1327"/>
              <w:ind w:firstLine="0"/>
              <w:rPr>
                <w:rFonts w:hint="eastAsia" w:ascii="宋体" w:hAnsi="宋体" w:eastAsia="宋体"/>
                <w:sz w:val="21"/>
                <w:szCs w:val="21"/>
              </w:rPr>
            </w:pPr>
            <w:r>
              <w:rPr>
                <w:rFonts w:hint="eastAsia" w:ascii="宋体" w:hAnsi="宋体" w:eastAsia="宋体"/>
                <w:sz w:val="21"/>
                <w:szCs w:val="21"/>
              </w:rPr>
              <w:t xml:space="preserve">4、沥水台面四周采用滚筋结构中间低四周高。台面高度≥850mm；槽盖材质要求：采用304不锈钢整体成型，配置密封条；清洗槽规格尺寸要求：≥长600*宽500*高260mm。</w:t>
            </w:r>
            <w:r/>
          </w:p>
          <w:p>
            <w:pPr>
              <w:pStyle w:val="1327"/>
              <w:ind w:firstLine="0"/>
              <w:rPr>
                <w:rFonts w:hint="eastAsia" w:ascii="宋体" w:hAnsi="宋体" w:eastAsia="宋体"/>
                <w:sz w:val="21"/>
                <w:szCs w:val="21"/>
              </w:rPr>
            </w:pPr>
            <w:r>
              <w:rPr>
                <w:rFonts w:hint="eastAsia" w:ascii="宋体" w:hAnsi="宋体" w:eastAsia="宋体"/>
                <w:sz w:val="21"/>
                <w:szCs w:val="21"/>
              </w:rPr>
              <w:t xml:space="preserve">▲5.蒸汽清洗机：采用与设备一体式的设计，液晶显示屏，显示屏实时显示蒸汽压力值及水位、加热等状态，非按键膜按键；蒸汽压力值可设定，设定范围为0-0.55Mpa；具备干烧报警、全自动注水、进水超时报警功能；蒸汽清洗机容积≥5L、功率要求≤3.5kVA 。</w:t>
            </w:r>
            <w:r/>
          </w:p>
          <w:p>
            <w:pPr>
              <w:pStyle w:val="1327"/>
              <w:ind w:firstLine="0"/>
              <w:rPr>
                <w:rFonts w:hint="eastAsia" w:ascii="宋体" w:hAnsi="宋体" w:eastAsia="宋体"/>
                <w:sz w:val="21"/>
                <w:szCs w:val="21"/>
              </w:rPr>
            </w:pPr>
            <w:r>
              <w:rPr>
                <w:rFonts w:hint="eastAsia" w:ascii="宋体" w:hAnsi="宋体" w:eastAsia="宋体"/>
                <w:sz w:val="21"/>
                <w:szCs w:val="21"/>
              </w:rPr>
              <w:t xml:space="preserve">6、蒸汽清洗机喷蒸汽系统要求：手柄按键式操作，且只有在“喷蒸汽”状态下，按键才起到喷蒸汽作用；蒸汽产生量与蒸汽压力值呈正相关；连续喷气40min内，无任何异常；连续喷气时最后压力稳定值应≥0.28Mpa。</w:t>
            </w:r>
            <w:r/>
          </w:p>
          <w:p>
            <w:pPr>
              <w:pStyle w:val="1327"/>
              <w:ind w:firstLine="0"/>
              <w:rPr>
                <w:rFonts w:hint="eastAsia" w:ascii="宋体" w:hAnsi="宋体" w:eastAsia="宋体"/>
                <w:sz w:val="21"/>
                <w:szCs w:val="21"/>
              </w:rPr>
            </w:pPr>
            <w:r>
              <w:rPr>
                <w:rFonts w:hint="eastAsia" w:ascii="宋体" w:hAnsi="宋体" w:eastAsia="宋体"/>
                <w:sz w:val="21"/>
                <w:szCs w:val="21"/>
              </w:rPr>
              <w:t xml:space="preserve">7.超声波清洗机：容积≥80L；液晶显示屏，中文操作界面，具有报警信息显示功能；具有故障自动检测功能；具有自动加热系统；超声频率40kHZ/80kHZ，其清洗的频率高低，可根据清洗工作需要进行切换；超声功率≤1.5kVA。清洗舱材质≥2.0mm，厚304不锈钢镜面板，快速管路设计：U型排水管路含排水泵，排水时间≤4min；具备进水电磁阀、排水泵；</w:t>
            </w:r>
            <w:r/>
          </w:p>
          <w:p>
            <w:pPr>
              <w:pStyle w:val="1327"/>
              <w:ind w:firstLine="0"/>
              <w:rPr>
                <w:rFonts w:hint="eastAsia" w:ascii="宋体" w:hAnsi="宋体" w:eastAsia="宋体"/>
                <w:sz w:val="21"/>
                <w:szCs w:val="21"/>
              </w:rPr>
            </w:pPr>
            <w:r>
              <w:rPr>
                <w:rFonts w:hint="eastAsia" w:ascii="宋体" w:hAnsi="宋体" w:eastAsia="宋体"/>
                <w:sz w:val="21"/>
                <w:szCs w:val="21"/>
              </w:rPr>
              <w:t xml:space="preserve">8.具备可升降防护装置，防护罩材质采用透明亚克力，板材厚度≥8mm</w:t>
            </w:r>
            <w:r/>
          </w:p>
          <w:p>
            <w:pPr>
              <w:pStyle w:val="1327"/>
              <w:ind w:firstLine="0"/>
              <w:rPr>
                <w:rFonts w:hint="eastAsia" w:ascii="宋体" w:hAnsi="宋体" w:eastAsia="宋体"/>
                <w:sz w:val="21"/>
                <w:szCs w:val="21"/>
              </w:rPr>
            </w:pPr>
            <w:r>
              <w:rPr>
                <w:rFonts w:hint="eastAsia" w:ascii="宋体" w:hAnsi="宋体" w:eastAsia="宋体"/>
                <w:sz w:val="21"/>
                <w:szCs w:val="21"/>
              </w:rPr>
              <w:t xml:space="preserve">9.煮沸：容积≥80L；液晶显示屏，具有报警信息显示功能；具有故障自动检测功能；按键操作，一键启动方便快捷；具有自动加热系统。温度可调并可保存。</w:t>
            </w:r>
            <w:r/>
          </w:p>
          <w:p>
            <w:pPr>
              <w:pStyle w:val="1327"/>
              <w:ind w:firstLine="0"/>
              <w:rPr>
                <w:rFonts w:hint="eastAsia" w:ascii="宋体" w:hAnsi="宋体" w:eastAsia="宋体"/>
                <w:sz w:val="21"/>
                <w:szCs w:val="21"/>
              </w:rPr>
            </w:pPr>
            <w:r>
              <w:rPr>
                <w:rFonts w:hint="eastAsia" w:ascii="宋体" w:hAnsi="宋体" w:eastAsia="宋体"/>
                <w:sz w:val="21"/>
                <w:szCs w:val="21"/>
              </w:rPr>
              <w:t xml:space="preserve">10、高压清洗喷枪：枪体采用SUS304不锈钢，配备不少于八个清洗喷嘴，清洗喷嘴与枪体之间可以任意更换，适合不同类型的内镜管道，对内镜管道及手术器械管壁进行彻底冲洗；耐受压力0-0.7MPa。高压气枪枪体采用SUS304不锈钢，配备不少于八个清洗喷嘴，耐受压力0-0.7MPa。</w:t>
            </w:r>
            <w:r/>
          </w:p>
          <w:p>
            <w:pPr>
              <w:pStyle w:val="1327"/>
              <w:ind w:firstLine="0"/>
              <w:rPr>
                <w:rFonts w:hint="eastAsia" w:ascii="宋体" w:hAnsi="宋体" w:eastAsia="宋体"/>
                <w:sz w:val="21"/>
                <w:szCs w:val="21"/>
              </w:rPr>
            </w:pPr>
            <w:r>
              <w:rPr>
                <w:rFonts w:hint="eastAsia" w:ascii="宋体" w:hAnsi="宋体" w:eastAsia="宋体"/>
                <w:sz w:val="21"/>
                <w:szCs w:val="21"/>
              </w:rPr>
              <w:t xml:space="preserve">11、供排水系统、不锈钢水龙头、不锈钢落水器要求：优质SUS304不锈钢材质水龙头，采用陶瓷阀芯和出水嘴的起泡器过滤件，360度旋转式设计，有冷热水接口，冷热水开关独立控制，多层防腐防锈处理；304优质高压编织供水软管及管件。</w:t>
            </w:r>
            <w:r/>
          </w:p>
          <w:p>
            <w:pPr>
              <w:pStyle w:val="1327"/>
              <w:ind w:firstLine="0"/>
              <w:rPr>
                <w:rFonts w:hint="eastAsia" w:ascii="宋体" w:hAnsi="宋体" w:eastAsia="宋体"/>
                <w:sz w:val="21"/>
                <w:szCs w:val="21"/>
              </w:rPr>
            </w:pPr>
            <w:r>
              <w:rPr>
                <w:rFonts w:hint="eastAsia" w:ascii="宋体" w:hAnsi="宋体" w:eastAsia="宋体"/>
                <w:sz w:val="21"/>
                <w:szCs w:val="21"/>
              </w:rPr>
              <w:t xml:space="preserve">12、不锈钢落水器：与不锈钢水龙头SUS304不锈钢落水器，密封圈采用橡胶。排水采用螺纹软管式结构。</w:t>
            </w:r>
            <w:r/>
          </w:p>
          <w:p>
            <w:pPr>
              <w:pStyle w:val="1327"/>
              <w:ind w:firstLine="0"/>
              <w:rPr>
                <w:rFonts w:hint="eastAsia" w:ascii="宋体" w:hAnsi="宋体" w:eastAsia="宋体"/>
                <w:sz w:val="21"/>
                <w:szCs w:val="21"/>
              </w:rPr>
            </w:pPr>
            <w:r>
              <w:rPr>
                <w:rFonts w:hint="eastAsia" w:ascii="宋体" w:hAnsi="宋体" w:eastAsia="宋体"/>
                <w:sz w:val="21"/>
                <w:szCs w:val="21"/>
              </w:rPr>
              <w:t xml:space="preserve">13、其他附件要求：超声篮筐：采用不锈钢丝网式结构，超声筐格架：采用SUS304不锈钢焊接结构</w:t>
            </w:r>
            <w:r/>
          </w:p>
          <w:p>
            <w:pPr>
              <w:pStyle w:val="1070"/>
              <w:jc w:val="left"/>
              <w:widowControl/>
              <w:rPr>
                <w:rFonts w:hint="eastAsia" w:ascii="宋体" w:hAnsi="宋体" w:cs="宋体"/>
                <w:szCs w:val="21"/>
              </w:rPr>
            </w:pPr>
            <w:r>
              <w:rPr>
                <w:rFonts w:hint="eastAsia" w:ascii="宋体" w:hAnsi="宋体" w:cs="宋体"/>
                <w:szCs w:val="21"/>
              </w:rPr>
              <w:t xml:space="preserve">▲14、配置：五槽主机3套，折叠水龙头12个；拉伸水龙头3；防护系统3个；落地式超声系统（双频）2个；煮沸系统2个；超声篮筐2个；格架2个；蒸汽清洗机2个；超声盖板4个；高压喷枪10个；酶洗灌流系统3套。</w:t>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腔镜清洗工作站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327"/>
              <w:ind w:firstLine="0"/>
              <w:rPr>
                <w:rFonts w:hint="eastAsia" w:ascii="宋体" w:hAnsi="宋体" w:eastAsia="宋体"/>
                <w:sz w:val="21"/>
                <w:szCs w:val="21"/>
              </w:rPr>
            </w:pPr>
            <w:r>
              <w:rPr>
                <w:rFonts w:hint="eastAsia" w:ascii="宋体" w:hAnsi="宋体" w:eastAsia="宋体"/>
                <w:sz w:val="21"/>
                <w:szCs w:val="21"/>
              </w:rPr>
              <w:t xml:space="preserve">1、清洗槽、干燥台应采用高分子复合材料（ABS+亚克力PMMA）整体吸塑成型，板材厚度≥4mm，细菌附着率低。在1%NaOH溶液中浸泡≥72小时无可视变化，在5% H2SO4溶液中浸泡≥72小时无可视变化（需提供佐证材料）；</w:t>
            </w:r>
            <w:r/>
          </w:p>
          <w:p>
            <w:pPr>
              <w:pStyle w:val="1327"/>
              <w:ind w:firstLine="0"/>
              <w:rPr>
                <w:rFonts w:hint="eastAsia" w:ascii="宋体" w:hAnsi="宋体" w:eastAsia="宋体"/>
                <w:sz w:val="21"/>
                <w:szCs w:val="21"/>
              </w:rPr>
            </w:pPr>
            <w:r>
              <w:rPr>
                <w:rFonts w:hint="eastAsia" w:ascii="宋体" w:hAnsi="宋体" w:eastAsia="宋体"/>
                <w:sz w:val="21"/>
                <w:szCs w:val="21"/>
              </w:rPr>
              <w:t xml:space="preserve">2、清洗槽形状采用“前后高中间低”的防泛水设计，槽面向内侧倾斜3-5度，后端向内侧倾斜3-5度，前端设计有半径≥100MM的大圆弧。内侧底部设计有“米”字型凸起；</w:t>
            </w:r>
            <w:r/>
          </w:p>
          <w:p>
            <w:pPr>
              <w:pStyle w:val="1327"/>
              <w:ind w:firstLine="0"/>
              <w:rPr>
                <w:rFonts w:hint="eastAsia" w:ascii="宋体" w:hAnsi="宋体" w:eastAsia="宋体"/>
                <w:sz w:val="21"/>
                <w:szCs w:val="21"/>
              </w:rPr>
            </w:pPr>
            <w:r>
              <w:rPr>
                <w:rFonts w:hint="eastAsia" w:ascii="宋体" w:hAnsi="宋体" w:eastAsia="宋体"/>
                <w:sz w:val="21"/>
                <w:szCs w:val="21"/>
              </w:rPr>
              <w:t xml:space="preserve">3、台面支架选用≥1.5mm厚度不锈钢；柜门材质采用厚度≥1.2mm的彩色钢化玻璃；柜体底板材水龙头整体采用304不锈钢材质，可360度旋转，多层防腐防锈处理，陶瓷阀芯和出水嘴的起泡器过滤件，有冷热水接口，冷热水开关独立控制</w:t>
            </w:r>
            <w:r/>
          </w:p>
          <w:p>
            <w:pPr>
              <w:pStyle w:val="1327"/>
              <w:ind w:firstLine="0"/>
              <w:rPr>
                <w:rFonts w:hint="eastAsia" w:ascii="宋体" w:hAnsi="宋体" w:eastAsia="宋体"/>
                <w:sz w:val="21"/>
                <w:szCs w:val="21"/>
              </w:rPr>
            </w:pPr>
            <w:r>
              <w:rPr>
                <w:rFonts w:hint="eastAsia" w:ascii="宋体" w:hAnsi="宋体" w:eastAsia="宋体"/>
                <w:sz w:val="21"/>
                <w:szCs w:val="21"/>
              </w:rPr>
              <w:t xml:space="preserve">4、排污型水质处理器外罩采用不锈钢材料，具备排污功能，打开泄水球阀即可方便强有力的冲洗杂质，无需更换滤芯，落水器采用复合材料，密封圈采用橡胶；</w:t>
            </w:r>
            <w:r/>
          </w:p>
          <w:p>
            <w:pPr>
              <w:pStyle w:val="1327"/>
              <w:ind w:firstLine="0"/>
              <w:rPr>
                <w:rFonts w:hint="eastAsia" w:ascii="宋体" w:hAnsi="宋体" w:eastAsia="宋体"/>
                <w:sz w:val="21"/>
                <w:szCs w:val="21"/>
              </w:rPr>
            </w:pPr>
            <w:r>
              <w:rPr>
                <w:rFonts w:hint="eastAsia" w:ascii="宋体" w:hAnsi="宋体" w:eastAsia="宋体"/>
                <w:sz w:val="21"/>
                <w:szCs w:val="21"/>
              </w:rPr>
              <w:t xml:space="preserve">5、全自动循环灌注系统采用隐藏式后置设计，注水注气系统采用分离式设计，快速插接头设计；工作电压12V，工作压力0.2～0.3MPa；水枪、气枪要求其枪体应采用304不锈钢，耐受压力0-0.7MPa；</w:t>
            </w:r>
            <w:r/>
          </w:p>
          <w:p>
            <w:pPr>
              <w:pStyle w:val="1327"/>
              <w:ind w:firstLine="0"/>
              <w:rPr>
                <w:rFonts w:hint="eastAsia" w:ascii="宋体" w:hAnsi="宋体" w:eastAsia="宋体"/>
                <w:sz w:val="21"/>
                <w:szCs w:val="21"/>
              </w:rPr>
            </w:pPr>
            <w:r>
              <w:rPr>
                <w:rFonts w:hint="eastAsia" w:ascii="宋体" w:hAnsi="宋体" w:eastAsia="宋体"/>
                <w:sz w:val="21"/>
                <w:szCs w:val="21"/>
              </w:rPr>
              <w:t xml:space="preserve">6、控制器应采用液晶中文显示屏，各流程功能均有微电脑控制，采用触摸控制按键（非按键膜按键），具备对多条内镜分别定时、倒计时功能，计时时间设定范围为0~60min,计时装置的误差不大于±2.5%；</w:t>
            </w:r>
            <w:r/>
          </w:p>
          <w:p>
            <w:pPr>
              <w:pStyle w:val="1327"/>
              <w:ind w:firstLine="0"/>
              <w:rPr>
                <w:rFonts w:hint="eastAsia" w:ascii="宋体" w:hAnsi="宋体" w:eastAsia="宋体"/>
                <w:sz w:val="21"/>
                <w:szCs w:val="21"/>
              </w:rPr>
            </w:pPr>
            <w:r>
              <w:rPr>
                <w:rFonts w:hint="eastAsia" w:ascii="宋体" w:hAnsi="宋体" w:eastAsia="宋体"/>
                <w:sz w:val="21"/>
                <w:szCs w:val="21"/>
              </w:rPr>
              <w:t xml:space="preserve">7、自动供酶系统采用蠕动泵自动添加清洗酶，实现准确配比，配带液位检测功能，清洗酶用完后，可自动报警提示，进酶量≥5mL/s，供酶时间0-99min可调，清洗液不足可在控制屏报警提示；</w:t>
            </w:r>
            <w:r/>
          </w:p>
          <w:p>
            <w:pPr>
              <w:pStyle w:val="1327"/>
              <w:ind w:firstLine="0"/>
              <w:rPr>
                <w:rFonts w:hint="eastAsia" w:ascii="宋体" w:hAnsi="宋体" w:eastAsia="宋体"/>
                <w:sz w:val="21"/>
                <w:szCs w:val="21"/>
              </w:rPr>
            </w:pPr>
            <w:r>
              <w:rPr>
                <w:rFonts w:hint="eastAsia" w:ascii="宋体" w:hAnsi="宋体" w:eastAsia="宋体"/>
                <w:sz w:val="21"/>
                <w:szCs w:val="21"/>
              </w:rPr>
              <w:t xml:space="preserve">▲8、供气系统包含医用级洁净气源，集成无油空气压缩机、气体处理及气体过滤功能于一身。过滤精度0.01微米，产气量≥150L/min；具备实时自动排水功能，使得储气罐内无污水；内置中心气体处理器要求设有注气压力调节器（不高于0.02MPa）,可调范围0.15～0.6MPa；</w:t>
            </w:r>
            <w:r/>
          </w:p>
          <w:p>
            <w:pPr>
              <w:pStyle w:val="1070"/>
              <w:jc w:val="left"/>
              <w:widowControl/>
              <w:rPr>
                <w:rFonts w:hint="eastAsia" w:ascii="宋体" w:hAnsi="宋体" w:cs="宋体"/>
                <w:szCs w:val="21"/>
              </w:rPr>
            </w:pPr>
            <w:r>
              <w:rPr>
                <w:rFonts w:hint="eastAsia" w:ascii="宋体" w:hAnsi="宋体" w:cs="宋体"/>
                <w:szCs w:val="21"/>
              </w:rPr>
              <w:t xml:space="preserve">▲9、配置：5槽1台主机2套、水枪5把、气枪3把、水龙头9个、酒精灌注系统1个、全自动内镜测漏器1个、自动供酶2个、内嵌式超声波清洗1个</w:t>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水处理系统（单级）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rPr>
                <w:rFonts w:hint="eastAsia" w:ascii="宋体" w:hAnsi="宋体" w:cs="宋体"/>
                <w:szCs w:val="21"/>
              </w:rPr>
            </w:pPr>
            <w:r>
              <w:rPr>
                <w:rFonts w:hint="eastAsia" w:ascii="宋体" w:hAnsi="宋体" w:cs="宋体"/>
                <w:szCs w:val="21"/>
              </w:rPr>
              <w:t xml:space="preserve">1、源水水质：市政自来水管网水源。</w:t>
            </w:r>
            <w:r/>
          </w:p>
          <w:p>
            <w:pPr>
              <w:pStyle w:val="1070"/>
              <w:rPr>
                <w:rFonts w:hint="eastAsia" w:ascii="宋体" w:hAnsi="宋体" w:cs="宋体"/>
                <w:szCs w:val="21"/>
              </w:rPr>
            </w:pPr>
            <w:r>
              <w:rPr>
                <w:rFonts w:hint="eastAsia" w:ascii="宋体" w:hAnsi="宋体" w:cs="宋体"/>
                <w:szCs w:val="21"/>
              </w:rPr>
              <w:t xml:space="preserve">2、产品水用途：用于医院消毒供应中心的单舱清洗机、多舱清洗机、清洗槽、外车清洗、清洗喷枪、超声波、热水器、洗眼器、酸化水机等。</w:t>
            </w:r>
            <w:r/>
          </w:p>
          <w:p>
            <w:pPr>
              <w:pStyle w:val="1070"/>
              <w:rPr>
                <w:rFonts w:hint="eastAsia" w:ascii="宋体" w:hAnsi="宋体" w:cs="宋体"/>
                <w:szCs w:val="21"/>
              </w:rPr>
            </w:pPr>
            <w:r>
              <w:rPr>
                <w:rFonts w:hint="eastAsia" w:ascii="宋体" w:hAnsi="宋体" w:cs="宋体"/>
                <w:szCs w:val="21"/>
              </w:rPr>
              <w:t xml:space="preserve">3、工作范围：水处理间进水口至纯水箱/泵出水口之间的管道、阀门、仪表、设备等。</w:t>
            </w:r>
            <w:r/>
          </w:p>
          <w:p>
            <w:pPr>
              <w:pStyle w:val="1070"/>
              <w:rPr>
                <w:rFonts w:hint="eastAsia" w:ascii="宋体" w:hAnsi="宋体" w:cs="宋体"/>
                <w:szCs w:val="21"/>
              </w:rPr>
            </w:pPr>
            <w:r>
              <w:rPr>
                <w:rFonts w:hint="eastAsia" w:ascii="宋体" w:hAnsi="宋体" w:cs="宋体"/>
                <w:szCs w:val="21"/>
              </w:rPr>
              <w:t xml:space="preserve">4、产水量： ≥3000L/h    </w:t>
            </w:r>
            <w:r/>
          </w:p>
          <w:p>
            <w:pPr>
              <w:pStyle w:val="1070"/>
              <w:rPr>
                <w:rFonts w:hint="eastAsia" w:ascii="宋体" w:hAnsi="宋体" w:cs="宋体"/>
                <w:szCs w:val="21"/>
              </w:rPr>
            </w:pPr>
            <w:r>
              <w:rPr>
                <w:rFonts w:hint="eastAsia" w:ascii="宋体" w:hAnsi="宋体" w:cs="宋体"/>
                <w:szCs w:val="21"/>
              </w:rPr>
              <w:t xml:space="preserve">▲5、产水水质标准：产水水质满足《WS310.1-2016医院消毒供应中心管理 第1部分：管理规范》第10条10.1中清洗用纯化水应符合电导率≤15us/cm(25℃)的规定。（提供通过CMA认证的第三方检测机构出具的检测报告）</w:t>
            </w:r>
            <w:r/>
          </w:p>
          <w:p>
            <w:pPr>
              <w:pStyle w:val="1070"/>
              <w:rPr>
                <w:rFonts w:hint="eastAsia" w:ascii="宋体" w:hAnsi="宋体" w:cs="宋体"/>
                <w:szCs w:val="21"/>
              </w:rPr>
            </w:pPr>
            <w:r>
              <w:rPr>
                <w:rFonts w:hint="eastAsia" w:ascii="宋体" w:hAnsi="宋体" w:cs="宋体"/>
                <w:szCs w:val="21"/>
              </w:rPr>
              <w:t xml:space="preserve">6、系统采用全自动控制，系统相关设备受液位联锁控制自动运行。实时在线显示设备运行状态（水质、流量、压力等），整个控制系统具备自动功能（自动制水、自动冲洗、原水缺水/水箱满水自动停机等）。</w:t>
            </w:r>
            <w:r/>
          </w:p>
          <w:p>
            <w:pPr>
              <w:pStyle w:val="1070"/>
              <w:rPr>
                <w:rFonts w:hint="eastAsia" w:ascii="宋体" w:hAnsi="宋体" w:cs="宋体"/>
                <w:szCs w:val="21"/>
              </w:rPr>
            </w:pPr>
            <w:r>
              <w:rPr>
                <w:rFonts w:hint="eastAsia" w:ascii="宋体" w:hAnsi="宋体" w:cs="宋体"/>
                <w:szCs w:val="21"/>
              </w:rPr>
              <w:t xml:space="preserve">7、主要工艺流程：采用“预处理+单级反渗透+纯水恒压供水”工艺。</w:t>
            </w:r>
            <w:r/>
          </w:p>
          <w:p>
            <w:pPr>
              <w:pStyle w:val="1070"/>
              <w:rPr>
                <w:rFonts w:hint="eastAsia" w:ascii="宋体" w:hAnsi="宋体" w:cs="宋体"/>
                <w:szCs w:val="21"/>
              </w:rPr>
            </w:pPr>
            <w:r>
              <w:rPr>
                <w:rFonts w:hint="eastAsia" w:ascii="宋体" w:hAnsi="宋体" w:cs="宋体"/>
                <w:szCs w:val="21"/>
              </w:rPr>
              <w:t xml:space="preserve">8、运行方式：系统相关设备受“水箱液位+压力+流量”联锁控制自动运行。</w:t>
            </w:r>
            <w:r/>
          </w:p>
          <w:p>
            <w:pPr>
              <w:pStyle w:val="1070"/>
              <w:rPr>
                <w:rFonts w:hint="eastAsia" w:ascii="宋体" w:hAnsi="宋体" w:cs="宋体"/>
                <w:szCs w:val="21"/>
              </w:rPr>
            </w:pPr>
            <w:r>
              <w:rPr>
                <w:rFonts w:hint="eastAsia" w:ascii="宋体" w:hAnsi="宋体" w:cs="宋体"/>
                <w:szCs w:val="21"/>
              </w:rPr>
              <w:t xml:space="preserve">9、系统具有应急控制措施：可自动手动相互切换模式协调运行，保证设备正常制水。</w:t>
            </w:r>
            <w:r/>
          </w:p>
          <w:p>
            <w:pPr>
              <w:pStyle w:val="1070"/>
              <w:rPr>
                <w:rFonts w:hint="eastAsia" w:ascii="宋体" w:hAnsi="宋体" w:cs="宋体"/>
                <w:szCs w:val="21"/>
              </w:rPr>
            </w:pPr>
            <w:r>
              <w:rPr>
                <w:rFonts w:hint="eastAsia" w:ascii="宋体" w:hAnsi="宋体" w:cs="宋体"/>
                <w:szCs w:val="21"/>
              </w:rPr>
              <w:t xml:space="preserve">10、系统采用纯水专用UPVC管道，为了采用节省使用空间和美观，主机设备采用304不锈钢一体化机架，集成反渗透及供水系统。</w:t>
            </w:r>
            <w:r/>
          </w:p>
          <w:p>
            <w:pPr>
              <w:pStyle w:val="1070"/>
              <w:rPr>
                <w:rFonts w:hint="eastAsia" w:ascii="宋体" w:hAnsi="宋体" w:cs="宋体"/>
                <w:szCs w:val="21"/>
              </w:rPr>
            </w:pPr>
            <w:r>
              <w:rPr>
                <w:rFonts w:hint="eastAsia" w:ascii="宋体" w:hAnsi="宋体" w:cs="宋体"/>
                <w:szCs w:val="21"/>
              </w:rPr>
              <w:t xml:space="preserve">11、预处理系统：配备多介质过滤器，活性炭过滤器，软化装置，精密过滤器，及相关辅助设备组成，预处理可实现自动正洗、反洗，再生。  </w:t>
            </w:r>
            <w:r/>
          </w:p>
          <w:p>
            <w:pPr>
              <w:pStyle w:val="1070"/>
              <w:rPr>
                <w:rFonts w:hint="eastAsia" w:ascii="宋体" w:hAnsi="宋体" w:cs="宋体"/>
                <w:szCs w:val="21"/>
              </w:rPr>
            </w:pPr>
            <w:r>
              <w:rPr>
                <w:rFonts w:hint="eastAsia" w:ascii="宋体" w:hAnsi="宋体" w:cs="宋体"/>
                <w:szCs w:val="21"/>
              </w:rPr>
              <w:t xml:space="preserve">12、预处理罐及控制阀选用pentair品牌。 </w:t>
            </w:r>
            <w:r/>
          </w:p>
          <w:p>
            <w:pPr>
              <w:pStyle w:val="1070"/>
              <w:rPr>
                <w:rFonts w:hint="eastAsia" w:ascii="宋体" w:hAnsi="宋体" w:cs="宋体"/>
                <w:szCs w:val="21"/>
              </w:rPr>
            </w:pPr>
            <w:r>
              <w:rPr>
                <w:rFonts w:hint="eastAsia" w:ascii="宋体" w:hAnsi="宋体" w:cs="宋体"/>
                <w:szCs w:val="21"/>
              </w:rPr>
              <w:t xml:space="preserve">13、反渗透系统：具有运行冲洗、定时冲洗、手动冲洗等功能。   </w:t>
            </w:r>
            <w:r/>
          </w:p>
          <w:p>
            <w:pPr>
              <w:pStyle w:val="1070"/>
              <w:rPr>
                <w:rFonts w:hint="eastAsia" w:ascii="宋体" w:hAnsi="宋体" w:cs="宋体"/>
                <w:szCs w:val="21"/>
              </w:rPr>
            </w:pPr>
            <w:r>
              <w:rPr>
                <w:rFonts w:hint="eastAsia" w:ascii="宋体" w:hAnsi="宋体" w:cs="宋体"/>
                <w:szCs w:val="21"/>
              </w:rPr>
              <w:t xml:space="preserve">14、反渗透系统采用反渗透膜元件（材质：芳香型聚酰胺复合膜 形式：卷式）。</w:t>
            </w:r>
            <w:r/>
          </w:p>
          <w:p>
            <w:pPr>
              <w:pStyle w:val="1070"/>
              <w:rPr>
                <w:rFonts w:hint="eastAsia" w:ascii="宋体" w:hAnsi="宋体" w:cs="宋体"/>
                <w:szCs w:val="21"/>
              </w:rPr>
            </w:pPr>
            <w:r>
              <w:rPr>
                <w:rFonts w:hint="eastAsia" w:ascii="宋体" w:hAnsi="宋体" w:cs="宋体"/>
                <w:szCs w:val="21"/>
              </w:rPr>
              <w:t xml:space="preserve">15、纯水水箱：用于储备反渗透产水，水箱装有液位控制器，通过液位控制器实现反渗透装置和纯水外输送泵的起停。</w:t>
            </w:r>
            <w:r/>
          </w:p>
          <w:p>
            <w:pPr>
              <w:pStyle w:val="1070"/>
              <w:rPr>
                <w:rFonts w:hint="eastAsia" w:ascii="宋体" w:hAnsi="宋体" w:cs="宋体"/>
                <w:szCs w:val="21"/>
              </w:rPr>
            </w:pPr>
            <w:r>
              <w:rPr>
                <w:rFonts w:hint="eastAsia" w:ascii="宋体" w:hAnsi="宋体" w:cs="宋体"/>
                <w:szCs w:val="21"/>
              </w:rPr>
              <w:t xml:space="preserve">16、纯水供水采用恒定压力输出方式，不得低于用水设备的最低工作流量及压力要求。</w:t>
            </w:r>
            <w:r/>
          </w:p>
          <w:p>
            <w:pPr>
              <w:pStyle w:val="1070"/>
              <w:rPr>
                <w:rFonts w:hint="eastAsia" w:ascii="宋体" w:hAnsi="宋体" w:cs="宋体"/>
                <w:szCs w:val="21"/>
              </w:rPr>
            </w:pPr>
            <w:r>
              <w:rPr>
                <w:rFonts w:hint="eastAsia" w:ascii="宋体" w:hAnsi="宋体" w:cs="宋体"/>
                <w:szCs w:val="21"/>
              </w:rPr>
              <w:t xml:space="preserve">17、具备开机自检、缺水保护报警、停电自动复位、水箱满水后自动停机、高水压、过载保护等功能。RO膜自动冲洗，水质在线监测系统，可即时测量产水水质。 </w:t>
            </w:r>
            <w:r/>
          </w:p>
          <w:p>
            <w:pPr>
              <w:pStyle w:val="1070"/>
              <w:rPr>
                <w:rFonts w:hint="eastAsia" w:ascii="宋体" w:hAnsi="宋体" w:cs="宋体"/>
                <w:szCs w:val="21"/>
              </w:rPr>
            </w:pPr>
            <w:r>
              <w:rPr>
                <w:rFonts w:hint="eastAsia" w:ascii="宋体" w:hAnsi="宋体" w:cs="宋体"/>
                <w:szCs w:val="21"/>
              </w:rPr>
              <w:t xml:space="preserve">18、产水设有流量计，以监视并调节运行出水量及系统水利用率。</w:t>
            </w:r>
            <w:r/>
          </w:p>
          <w:p>
            <w:pPr>
              <w:pStyle w:val="1070"/>
              <w:rPr>
                <w:rFonts w:hint="eastAsia" w:ascii="宋体" w:hAnsi="宋体" w:cs="宋体"/>
                <w:szCs w:val="21"/>
              </w:rPr>
            </w:pPr>
            <w:r>
              <w:rPr>
                <w:rFonts w:hint="eastAsia" w:ascii="宋体" w:hAnsi="宋体" w:cs="宋体"/>
                <w:szCs w:val="21"/>
              </w:rPr>
              <w:t xml:space="preserve">19、电导仪连续监测实时在线显示产水的水质。</w:t>
            </w:r>
            <w:r/>
          </w:p>
          <w:p>
            <w:pPr>
              <w:pStyle w:val="1070"/>
              <w:rPr>
                <w:rFonts w:hint="eastAsia" w:ascii="宋体" w:hAnsi="宋体" w:cs="宋体"/>
                <w:szCs w:val="21"/>
              </w:rPr>
            </w:pPr>
            <w:r>
              <w:rPr>
                <w:rFonts w:hint="eastAsia" w:ascii="宋体" w:hAnsi="宋体" w:cs="宋体"/>
                <w:szCs w:val="21"/>
              </w:rPr>
              <w:t xml:space="preserve">20、提供设备详细配置，并列出品名、规格、数量、生产厂家等内容。</w:t>
            </w:r>
            <w:r/>
          </w:p>
          <w:p>
            <w:pPr>
              <w:pStyle w:val="1070"/>
              <w:rPr>
                <w:rFonts w:hint="eastAsia" w:ascii="宋体" w:hAnsi="宋体" w:cs="宋体"/>
                <w:szCs w:val="21"/>
                <w:lang w:bidi="ar"/>
              </w:rPr>
            </w:pPr>
            <w:r>
              <w:rPr>
                <w:rFonts w:hint="eastAsia" w:ascii="宋体" w:hAnsi="宋体" w:cs="宋体"/>
                <w:szCs w:val="21"/>
              </w:rPr>
              <w:t xml:space="preserve">21、提供所投产品的技术图纸（例如提供“工艺流程系统图”、“水处理设备机房平面布局图”）。</w:t>
            </w:r>
            <w:r>
              <w:rPr>
                <w:rFonts w:hint="eastAsia" w:ascii="宋体" w:hAnsi="宋体" w:cs="宋体"/>
                <w:szCs w:val="21"/>
                <w:lang w:bidi="ar"/>
              </w:rPr>
            </w:r>
            <w:r/>
          </w:p>
          <w:p>
            <w:pPr>
              <w:pStyle w:val="1070"/>
              <w:jc w:val="left"/>
              <w:widowControl/>
              <w:rPr>
                <w:rFonts w:hint="eastAsia" w:ascii="宋体" w:hAnsi="宋体" w:cs="宋体"/>
                <w:szCs w:val="21"/>
              </w:rPr>
            </w:pPr>
            <w:r>
              <w:rPr>
                <w:rFonts w:hint="eastAsia" w:ascii="宋体" w:hAnsi="宋体" w:cs="宋体"/>
                <w:szCs w:val="21"/>
              </w:rPr>
              <w:t xml:space="preserve">22、配置要求：</w:t>
            </w:r>
            <w:r>
              <w:rPr>
                <w:rFonts w:hint="eastAsia" w:ascii="宋体" w:hAnsi="宋体" w:cs="宋体"/>
                <w:szCs w:val="21"/>
                <w:shd w:val="clear" w:color="auto" w:fill="ffffff"/>
              </w:rPr>
              <w:t xml:space="preserve">主机1套、3000L纯水箱1套</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水处理系统（双级）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rPr>
                <w:rFonts w:hint="eastAsia" w:ascii="宋体" w:hAnsi="宋体" w:cs="宋体"/>
                <w:szCs w:val="21"/>
              </w:rPr>
            </w:pPr>
            <w:r>
              <w:rPr>
                <w:rFonts w:hint="eastAsia" w:ascii="宋体" w:hAnsi="宋体" w:cs="宋体"/>
                <w:szCs w:val="21"/>
              </w:rPr>
              <w:t xml:space="preserve">1.源水水质：市政自来水管网水源。</w:t>
            </w:r>
            <w:r/>
          </w:p>
          <w:p>
            <w:pPr>
              <w:pStyle w:val="1070"/>
              <w:rPr>
                <w:rFonts w:hint="eastAsia" w:ascii="宋体" w:hAnsi="宋体" w:cs="宋体"/>
                <w:szCs w:val="21"/>
              </w:rPr>
            </w:pPr>
            <w:r>
              <w:rPr>
                <w:rFonts w:hint="eastAsia" w:ascii="宋体" w:hAnsi="宋体" w:cs="宋体"/>
                <w:szCs w:val="21"/>
              </w:rPr>
              <w:t xml:space="preserve">2.产品水用途：用于医院消毒供应中心的单舱清洗机、多舱清洗机、清洗槽、外车清洗、清洗喷枪、超声波、热水器、洗眼器、酸化水机、蒸汽灭菌器、纯蒸汽发生器等。</w:t>
            </w:r>
            <w:r/>
          </w:p>
          <w:p>
            <w:pPr>
              <w:pStyle w:val="1070"/>
              <w:rPr>
                <w:rFonts w:hint="eastAsia" w:ascii="宋体" w:hAnsi="宋体" w:cs="宋体"/>
                <w:szCs w:val="21"/>
              </w:rPr>
            </w:pPr>
            <w:r>
              <w:rPr>
                <w:rFonts w:hint="eastAsia" w:ascii="宋体" w:hAnsi="宋体" w:cs="宋体"/>
                <w:szCs w:val="21"/>
              </w:rPr>
              <w:t xml:space="preserve">3.工作范围：水处理间进水口至纯水箱/泵出水口之间的管道、阀门、仪表、设备等。</w:t>
            </w:r>
            <w:r/>
          </w:p>
          <w:p>
            <w:pPr>
              <w:pStyle w:val="1070"/>
              <w:rPr>
                <w:rFonts w:hint="eastAsia" w:ascii="宋体" w:hAnsi="宋体" w:cs="宋体"/>
                <w:szCs w:val="21"/>
              </w:rPr>
            </w:pPr>
            <w:r>
              <w:rPr>
                <w:rFonts w:hint="eastAsia" w:ascii="宋体" w:hAnsi="宋体" w:cs="宋体"/>
                <w:szCs w:val="21"/>
              </w:rPr>
              <w:t xml:space="preserve">4、产水量： ≥3000L/h </w:t>
            </w:r>
            <w:r/>
          </w:p>
          <w:p>
            <w:pPr>
              <w:pStyle w:val="1070"/>
              <w:rPr>
                <w:rFonts w:hint="eastAsia" w:ascii="宋体" w:hAnsi="宋体" w:cs="宋体"/>
                <w:szCs w:val="21"/>
              </w:rPr>
            </w:pPr>
            <w:r>
              <w:rPr>
                <w:rFonts w:hint="eastAsia" w:ascii="宋体" w:hAnsi="宋体" w:cs="宋体"/>
                <w:szCs w:val="21"/>
              </w:rPr>
              <w:t xml:space="preserve">▲5.产水水质标准：产水水质满足《WS310.1-2016医院消毒供应中心管理 第1部分：管理规范》第10条10.2中灭菌蒸汽供给水电导率≤5us/cm(25℃)的规定。（提供通过CMA认证的第三方检测机构出具的检测报告）</w:t>
            </w:r>
            <w:r/>
          </w:p>
          <w:p>
            <w:pPr>
              <w:pStyle w:val="1070"/>
              <w:rPr>
                <w:rFonts w:hint="eastAsia" w:ascii="宋体" w:hAnsi="宋体" w:cs="宋体"/>
                <w:szCs w:val="21"/>
              </w:rPr>
            </w:pPr>
            <w:r>
              <w:rPr>
                <w:rFonts w:hint="eastAsia" w:ascii="宋体" w:hAnsi="宋体" w:cs="宋体"/>
                <w:szCs w:val="21"/>
              </w:rPr>
              <w:t xml:space="preserve">6.主要工艺流程：采用“预处理+双级反渗透+纯水恒压供水”工艺。</w:t>
            </w:r>
            <w:r/>
          </w:p>
          <w:p>
            <w:pPr>
              <w:pStyle w:val="1070"/>
              <w:rPr>
                <w:rFonts w:hint="eastAsia" w:ascii="宋体" w:hAnsi="宋体" w:cs="宋体"/>
                <w:szCs w:val="21"/>
              </w:rPr>
            </w:pPr>
            <w:r>
              <w:rPr>
                <w:rFonts w:hint="eastAsia" w:ascii="宋体" w:hAnsi="宋体" w:cs="宋体"/>
                <w:szCs w:val="21"/>
              </w:rPr>
              <w:t xml:space="preserve">7.控制系统采用全自动控制，实时显示设备工艺流程、各部件运行状态以及水质等。控制系统具备自动功能（自动制水、自动冲洗、原水缺水/水箱满水自动停机等），同时具备手动功能，可手动控制设备原件运行。</w:t>
            </w:r>
            <w:r/>
          </w:p>
          <w:p>
            <w:pPr>
              <w:pStyle w:val="1070"/>
              <w:rPr>
                <w:rFonts w:hint="eastAsia" w:ascii="宋体" w:hAnsi="宋体" w:cs="宋体"/>
                <w:szCs w:val="21"/>
              </w:rPr>
            </w:pPr>
            <w:r>
              <w:rPr>
                <w:rFonts w:hint="eastAsia" w:ascii="宋体" w:hAnsi="宋体" w:cs="宋体"/>
                <w:szCs w:val="21"/>
              </w:rPr>
              <w:t xml:space="preserve">8.运行方式：系统相关设备受“水箱液位+压力+流量”联锁控制自动运行。</w:t>
            </w:r>
            <w:r/>
          </w:p>
          <w:p>
            <w:pPr>
              <w:pStyle w:val="1070"/>
              <w:rPr>
                <w:rFonts w:hint="eastAsia" w:ascii="宋体" w:hAnsi="宋体" w:cs="宋体"/>
                <w:szCs w:val="21"/>
              </w:rPr>
            </w:pPr>
            <w:r>
              <w:rPr>
                <w:rFonts w:hint="eastAsia" w:ascii="宋体" w:hAnsi="宋体" w:cs="宋体"/>
                <w:szCs w:val="21"/>
              </w:rPr>
              <w:t xml:space="preserve">9.系统具有应急控制措施：可自动手动相互切换模式协调运行，保证设备正常制水。</w:t>
            </w:r>
            <w:r/>
          </w:p>
          <w:p>
            <w:pPr>
              <w:pStyle w:val="1070"/>
              <w:rPr>
                <w:rFonts w:hint="eastAsia" w:ascii="宋体" w:hAnsi="宋体" w:cs="宋体"/>
                <w:szCs w:val="21"/>
              </w:rPr>
            </w:pPr>
            <w:r>
              <w:rPr>
                <w:rFonts w:hint="eastAsia" w:ascii="宋体" w:hAnsi="宋体" w:cs="宋体"/>
                <w:szCs w:val="21"/>
              </w:rPr>
              <w:t xml:space="preserve">10.系统采用专用UPVC管道，管路系统采用无死角设计，降低微生物污染风险。</w:t>
            </w:r>
            <w:r/>
          </w:p>
          <w:p>
            <w:pPr>
              <w:pStyle w:val="1070"/>
              <w:rPr>
                <w:rFonts w:hint="eastAsia" w:ascii="宋体" w:hAnsi="宋体" w:cs="宋体"/>
                <w:szCs w:val="21"/>
              </w:rPr>
            </w:pPr>
            <w:r>
              <w:rPr>
                <w:rFonts w:hint="eastAsia" w:ascii="宋体" w:hAnsi="宋体" w:cs="宋体"/>
                <w:szCs w:val="21"/>
              </w:rPr>
              <w:t xml:space="preserve">11.为节省使用空间、方便操作，设备主机集成在不锈钢机架中。</w:t>
            </w:r>
            <w:r/>
          </w:p>
          <w:p>
            <w:pPr>
              <w:pStyle w:val="1070"/>
              <w:rPr>
                <w:rFonts w:hint="eastAsia" w:ascii="宋体" w:hAnsi="宋体" w:cs="宋体"/>
                <w:szCs w:val="21"/>
              </w:rPr>
            </w:pPr>
            <w:r>
              <w:rPr>
                <w:rFonts w:hint="eastAsia" w:ascii="宋体" w:hAnsi="宋体" w:cs="宋体"/>
                <w:szCs w:val="21"/>
              </w:rPr>
              <w:t xml:space="preserve">12.预处理系统：配备石英砂过滤器，活性炭过滤器，软化装置，精密过滤器，及相关辅助设备组成，预处理可实现自动正洗、反洗，再生。</w:t>
            </w:r>
            <w:r/>
          </w:p>
          <w:p>
            <w:pPr>
              <w:pStyle w:val="1070"/>
              <w:jc w:val="left"/>
              <w:widowControl/>
              <w:rPr>
                <w:rFonts w:hint="eastAsia" w:ascii="宋体" w:hAnsi="宋体" w:cs="宋体"/>
                <w:szCs w:val="21"/>
                <w:lang w:bidi="ar"/>
              </w:rPr>
            </w:pPr>
            <w:r>
              <w:rPr>
                <w:rFonts w:hint="eastAsia" w:ascii="宋体" w:hAnsi="宋体" w:cs="宋体"/>
                <w:szCs w:val="21"/>
              </w:rPr>
              <w:t xml:space="preserve">13.预处理罐及控制阀选用pentair品牌</w:t>
            </w:r>
            <w:r>
              <w:rPr>
                <w:rFonts w:hint="eastAsia" w:ascii="宋体" w:hAnsi="宋体" w:cs="宋体"/>
                <w:szCs w:val="21"/>
                <w:lang w:bidi="ar"/>
              </w:rPr>
              <w:t xml:space="preserve">。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14.反渗透系统：具有运行冲洗、定时冲洗、手动冲洗等功能。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15.反渗透系统采用反渗透膜元件（材质：芳香型聚酰胺复合膜 形式：卷式）。</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16.纯水水箱：用于储备反渗透产水，水箱装有液位控制器，通过液位控制器实现反渗透装置和纯水外输送泵的起停。</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17.纯水供水采用变频恒定压力输出方式，水压稳定。</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18.具备开机自检、缺水保护报警、停电自动复位、水箱满水后自动停机、高水压、过载保护等功能。RO膜自动冲洗，水质在线监测系统，可即时测量产水水质。</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19.配备防抽扁和漏水保护等双重安全防护，当单一保护失效时可保证设备及环境安全。</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20.产水设有流量计，以监视并调节运行出水量及系统水利用率。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21. 电导率仪连续监测实时在线显示产水的水质。</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22.提供设备详细配置，并列出品名、规格、数量、生产厂家等内容。</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23.</w:t>
            </w:r>
            <w:r>
              <w:rPr>
                <w:rFonts w:hint="eastAsia" w:ascii="宋体" w:hAnsi="宋体" w:cs="宋体"/>
                <w:szCs w:val="21"/>
              </w:rPr>
              <w:t xml:space="preserve">提供所投产品的技术图纸（例如提供“工艺流程系统图”、“水处理设备机房平面布局图”）。</w:t>
            </w:r>
            <w:r>
              <w:rPr>
                <w:rFonts w:hint="eastAsia" w:ascii="宋体" w:hAnsi="宋体" w:cs="宋体"/>
                <w:szCs w:val="21"/>
                <w:lang w:bidi="ar"/>
              </w:rPr>
            </w:r>
            <w:r/>
          </w:p>
          <w:p>
            <w:pPr>
              <w:pStyle w:val="1070"/>
              <w:jc w:val="left"/>
              <w:widowControl/>
              <w:rPr>
                <w:rFonts w:hint="eastAsia" w:ascii="宋体" w:hAnsi="宋体" w:cs="宋体"/>
                <w:szCs w:val="21"/>
              </w:rPr>
            </w:pPr>
            <w:r>
              <w:rPr>
                <w:rFonts w:hint="eastAsia" w:ascii="宋体" w:hAnsi="宋体" w:cs="宋体"/>
                <w:szCs w:val="21"/>
                <w:lang w:bidi="ar"/>
              </w:rPr>
              <w:t xml:space="preserve">24.配置要求：主机1套、3000L纯水箱1套</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减压沸腾机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pPr>
            <w:r>
              <w:rPr>
                <w:rFonts w:hint="eastAsia" w:ascii="宋体" w:hAnsi="宋体" w:cs="宋体"/>
                <w:szCs w:val="21"/>
                <w:lang w:bidi="ar"/>
              </w:rPr>
              <w:t xml:space="preserve">1. 清洗舱容积≥150L</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 装载量：10个DIN标准器械托盘（480×250×50mm）或8个微创器械托盘（580mm×250mm×60mm），设备面宽≤1200mm以便于安装；提供佐证材料。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 装载方式：置于托盘内堆叠摆放或直接置于槽内清洗，清洗管腔器械无需对接</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 舱体结构采用环形加强筋夹套结构（需提供佐证材料，如实物照片），清洗舱至少采用≥5mm厚316Ti不锈钢材质，密封门采用304不锈钢材质，管路系统采用卫生级304不锈钢材质；</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▲5.配置前后双门，可自动开门，门采用压缩气密封方式，矩形玻璃视窗面积应≥200cm²，提供实物照片并加盖公章；</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 采用蒸汽加热方式；器械程序运行周期≤70分钟</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7. 设备具有超声清洗功能，且超声波功率可调：根据不同液位自动调整超声功率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8. 清洗方式：真空超声清洗+脉动真空清洗</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9. 干燥方式：真空干燥+热风干燥+夹层热辐射相结合。</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10. 使用寿命≥10年或15000次循环</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▲11.消毒程序A0值大于3000水平，提供证明材料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12. 传感器：为保障设备可靠运行，压力变送器，温度探头，液位探针等各类传感器≥10个，提供传感器的使用说明清单</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▲13. 具有≥10套预置程序，≥18套自定义程序。流程控制：清洗、漂洗、消毒、干燥全过程由控制器自动控制，提供证明材料</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▲14. 电磁兼容性检测报告：提供国家认可的具有资质的第三方检测机构出具的检测报告</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▲15、非按键式操作显示屏，主控制系统采用PLC控制，可耐高温，前后各配置一个≥7英寸双彩色触摸屏，可显示设备运行状态及参数，可通过打印机打印参数，并记录起始值；</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16. 记录方式具备2种：设备内置打印机，可将程序运行过程中的相关信息打印出来，支持曲线打印，记录A0值等关键信息 ；外置打印机记录：可通过选配电脑监控软件，将程序运行数据永久保存，并通过外置打印机随时打印记录。</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▲17. 提供所投产品通过达芬奇器械清洗认证报告。</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▲18、提供省级以上疾控部门出具的依据清洗消毒器行业标准《YY/T 0734-清洗消毒器》提供的清洗效果检测报告、卫生安全评价报告。</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19、主体内室工作压力：-0.1~0Mpa</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20、安全保护：具备超温保护装置；防干烧保护装置；风压低保护装置；门障碍保护装置；</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电机过流保护装置；真空泵超时保护；真空泵过载保护。</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21、换热装置：板式换热器，换热效率高，使用寿命长。需提供板式换热器安装在设备上实物照片</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22、压缩气压力检测装置：具备。若气源低于0.5MPA，自动报警。需提供压缩气压力检测装置实物照片</w:t>
            </w:r>
            <w:r/>
          </w:p>
          <w:p>
            <w:pPr>
              <w:pStyle w:val="1070"/>
              <w:jc w:val="left"/>
              <w:widowControl/>
              <w:rPr>
                <w:rFonts w:hint="eastAsia" w:ascii="宋体" w:hAnsi="宋体" w:cs="宋体"/>
                <w:szCs w:val="21"/>
              </w:rPr>
            </w:pPr>
            <w:r>
              <w:rPr>
                <w:rFonts w:hint="eastAsia" w:ascii="宋体" w:hAnsi="宋体" w:cs="宋体"/>
                <w:szCs w:val="21"/>
                <w:lang w:bidi="ar"/>
              </w:rPr>
              <w:t xml:space="preserve">23. 主要配置：主机1台、外搬运车2辆、清洗架1个、清洗篮筐580×250×60mm 8个。</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封口打印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1、封口速度：10±0.5m/min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2、电源：220V±10%  50Hz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3、封纹宽度：12mm±1mm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4、切割长度：50mm±1mm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5、全自动切割封口一体机，不锈钢外壳，≥7寸彩色触控屏操作；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6、中文界面、单片机控制、升温快、控温精度高±1%； 自动进行热封，可实现切割、热封和切封组合三种工作模式；适用纸塑卷袋和特卫强卷袋自动连续切割封口。</w:t>
            </w:r>
            <w:r/>
          </w:p>
          <w:p>
            <w:pPr>
              <w:pStyle w:val="1070"/>
              <w:jc w:val="left"/>
              <w:widowControl/>
              <w:rPr>
                <w:rFonts w:hint="eastAsia" w:ascii="宋体" w:hAnsi="宋体" w:cs="宋体"/>
                <w:szCs w:val="21"/>
              </w:rPr>
            </w:pPr>
            <w:r>
              <w:rPr>
                <w:rFonts w:hint="eastAsia" w:ascii="宋体" w:hAnsi="宋体" w:cs="宋体"/>
                <w:szCs w:val="21"/>
                <w:lang w:bidi="ar"/>
              </w:rPr>
              <w:t xml:space="preserve">7、配置：主机2台、电源线2根。</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切割机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1、304不锈钢架、铝合金导轨、铝合金刀头、新型切割结构；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2、单手操作、双向切割，带割纸定位、高锰钢刀片；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3、双层割纸机</w:t>
            </w:r>
            <w:r/>
          </w:p>
          <w:p>
            <w:pPr>
              <w:pStyle w:val="1070"/>
              <w:jc w:val="left"/>
              <w:widowControl/>
              <w:rPr>
                <w:rFonts w:hint="eastAsia" w:ascii="宋体" w:hAnsi="宋体" w:cs="宋体"/>
                <w:szCs w:val="21"/>
              </w:rPr>
            </w:pPr>
            <w:r>
              <w:rPr>
                <w:rFonts w:hint="eastAsia" w:ascii="宋体" w:hAnsi="宋体" w:cs="宋体"/>
                <w:szCs w:val="21"/>
                <w:lang w:bidi="ar"/>
              </w:rPr>
              <w:t xml:space="preserve">4、配置：主机1台</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能量柱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tcPr>
          <w:p>
            <w:pPr>
              <w:pStyle w:val="1070"/>
              <w:jc w:val="left"/>
              <w:widowControl/>
              <w:rPr>
                <w:rFonts w:hint="eastAsia" w:ascii="宋体" w:hAnsi="宋体" w:cs="宋体"/>
                <w:szCs w:val="21"/>
                <w:lang w:bidi="ar"/>
              </w:rPr>
            </w:pPr>
            <w:r>
              <w:rPr>
                <w:rFonts w:hint="eastAsia" w:ascii="宋体" w:hAnsi="宋体" w:cs="宋体"/>
                <w:szCs w:val="21"/>
                <w:lang w:bidi="ar"/>
              </w:rPr>
              <w:t xml:space="preserve">1、主体铝合金,其余不锈钢、ABS塑料,持续性耐腐蚀,防锈；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外形结构美观,带搁板,使用方便集成电源、网络、压缩气等外部资源接口可安装一体机、打印机、扫描枪、热风干燥枪等，单台配置要求：主体×1，五孔插座×6，网络接口×2，气源接口×2，搁板×1，A104壁挂升降支架×1；可调节压力气枪2把；具备4台电脑可安装空间。</w:t>
            </w:r>
            <w:r/>
          </w:p>
          <w:p>
            <w:pPr>
              <w:pStyle w:val="1070"/>
              <w:jc w:val="left"/>
              <w:widowControl/>
              <w:rPr>
                <w:rFonts w:hint="eastAsia" w:ascii="宋体" w:hAnsi="宋体" w:cs="宋体"/>
                <w:szCs w:val="21"/>
              </w:rPr>
            </w:pPr>
            <w:r>
              <w:rPr>
                <w:rFonts w:hint="eastAsia" w:ascii="宋体" w:hAnsi="宋体" w:cs="宋体"/>
                <w:szCs w:val="21"/>
                <w:lang w:bidi="ar"/>
              </w:rPr>
              <w:t xml:space="preserve">3、配置：主体×2，五孔插座×12，网络接口×4，气源接口×4，搁板×2，A104壁挂升降支架×2；可调节压力气枪4把。</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信息管理与追溯系统（含供应室硬件）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产品功能模块：回收管理、清洗管理、配装管理、灭菌管理、发放管理、仓库管理、临床/手术室管理、设备管理、监测管理、外来器械管理、质控管理、追溯管理、CSSD管理、报表中心、消息中心、基础数据管理、组织管理等。系统功能符合卫生部医院消毒供应中心规范。</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满足中华人民共和国卫生行业标准WS310-2016《医院消毒供应中心第1部分：管理规范》、《医院消毒供应中心第2部分：清洗消毒及灭菌技术操作规范》、《医院消毒供应中心第3部分：清洗消毒及灭菌效果监测标准》。</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3.系统支持重复使用的诊疗器械、器具和物品（以下简称器械）处理及使用流程的信息记录功能。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4.系统支持器械处理及使用全流程语音提示功能。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5.系统支持主要清洗灭菌设备实时监控功能。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6.系统具备对外服务功能，支持服务对象的离线和在线对接功能。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7.系统具备与外来器械厂家的离线和在线对接功能。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▲8.系统将清洗灭菌设备连接到网络中，可实时查看设备运行数据和报警数据。</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▲9.系统具备质量控制和预警功能，关键环节可提示工作人员正确操作。</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10.软件功能参数要求</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11.回收管理：支持器械回收信息的记录，包含回收人、接收人、回收时间、回收科室、回收器械、数量等信息；支持扫描回收</w:t>
            </w:r>
            <w:r>
              <w:rPr>
                <w:rFonts w:hint="eastAsia" w:ascii="宋体" w:hAnsi="宋体" w:cs="宋体"/>
                <w:szCs w:val="21"/>
                <w:lang w:bidi="ar"/>
              </w:rPr>
              <w:t xml:space="preserve">、请领回收、外来器械回收多种回收方式；支持扫描枪扫描条码回收；支持PDA扫描条码回收；支持人工录入回收；支持根据请领单回收；支持器械科室判断、支持重复判断；支持器械包及包内器械的图片显示，支持多张图片显示；支持包内器械列表显示；支持器械丢失损坏登记，固定器械包未进行器械补全操作，下次处理仍显示丢失损坏；支持器械加急登记，支持器械感染登记；支持外来器械回收功能，支持外来器械分包，支持外来器械费用录入，支持外来器械二次反洗登记，支持外来器械病人手术信息调取，支持根据条码自动获取厂家录入的信息；支持回收明细管理。</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12.清洗管理：支持器械清洗信息的记录，包含登记人、清洗人、清洗机、清洗架、清洗批次号、登记时间、清洗时间等；支持手工清洗登记，支持机械清洗登记；支持扫描枪扫描条码清洗登记；支持PDA扫描条码清洗登记；支持人工选择清洗登记；支持分步清洗登记功能，实现手工清洗每一步骤的精细记录；支持清洗设备运行开始、运行结束后自动改变器械包清洗状态功能；支持清洗方式判断；支持批量器械清洗检查 支持每批次清洗器械查询功能；支持外来器械二次反洗后取走登记；支持清洗设备运行数据实时显示，支持清洗设备运行数据报表和趋势图查看。</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13.配装管理：支持器械配装信息的记录，包含器械检查人、配装人、核对人、配装时间等；支持扫描枪扫描条码自动打印条码；支持器械包及包内器械的图片显示，支持多张图片显示；支持包内器械列表显示；支持器械丢失损坏登记，固定器械包未进行器械补全操作，下次处理仍显示丢失损坏；支持配装拍照功能；支持单个器械清洗质量登记功能；支持一维、二维码并支持多种标签样式；支持打印管理功能，支持重复打印；支持配装明细管理。</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14.灭菌管理：支持器械灭菌信息的记录，包含登记人、灭菌员、灭菌器、灭菌批次、灭菌时间、检查人、检查时间等；支持扫描枪扫描条码灭菌登记；支持PDA扫描条码灭菌登记；支持人工选择灭菌登记；支持灭菌方式判断；支持灭菌设备运行开始、运行结束后自动改变器械包灭菌状态功能；支持批量器械灭菌检查；支持灭菌设备运行数据实时显示，支持灭菌设备运行数据报表和趋势图查看；支持每批次灭菌器械查询功能；支持关联批次功能并记录日志。</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15.发放管理：支持器械发放信息的记录，包含发放人、下送人、发放科室、发放器械、数量等；支持常规发放、请领发放、对比发放等多种发放方式；支持扫描枪扫描条码发放；支持PDA扫描条码发放；支持人工录入发放；支持根据请领单发放；支持发放时有效期判断，支持发放时生物监测结果判断，支持发放时晾放时间判断；支持发放单打印；支持发放明细管理。</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16.仓库管理：支持多仓库管理，可管理器械、耗材、一次性物品等；支持入库、出库、退库等仓库管理功能；支持库存管理功能，支持有效期预警功能；支持报损、报溢、调入、调出功能；支持库存查询、出入库查询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17.外来器械管理：支持外来器械登记功能；支持外来器械分包、支持外来器械费用录入、厂家信息录入、病人信息录入等功能；支持外来器械扫描回收条码后自动登记反洗功能；支持外来器械二次反洗查询功能；支持外来器械信息表打印功能；支持外来器械厂家对接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18.监测管理：支持清洗机监测登记功能；支持压力蒸汽灭菌器监测登记功能；支持等离子灭菌器监测登记功能；支持环氧乙烷灭菌器监测登记功能；支持过氧乙酸灭菌器监测登记功能；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19.临床/手术室管理：支持医用包手术室全流程运转过程的信息记录；支持手术室接收医用包登记及查询功能；支持医用包出库到手术房间登记及查询功能；支持手术房间接收器械登记及查询功能；支持术前检查登记及查询功能；支持病人使用器械登记及查询功能；支持术后清点登记及查询功能；支持医用包交接登记及查询功能；支持医用包申领功能；支持一次性物品申领功能；支持医用包加急处理登记功能；支持病人信息对接功能，支持CSSD系统使用登记、手麻系统使用登记等多种接口方式，支持病人使用信息回传，实现多个系统都能查询使用信息。</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▲20。质控管理：支持质控登记功能；支持质控统计功能；支持质控分析功能；支持清洗质量管理功能，支持多种分析方式，支持多种图表显示。支持配装质量管理功能；支持灭菌质量管理功能。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21追溯管理：支持消毒包追溯查询功能，可查询器械整个处理流程信息，可直接查询器械清洗灭菌报表及趋势图，可查询器械使用病人的信息；支持消毒包日志查询功能，可查询器械处理流程完整日志；支持召回管理，可根据条码或批次，查询同一批次的器械信息及去向，可查询上次生物监测合格后的器械信息及去向。</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22日常管理：支持排班管理；支持人员培训管理；支持在线考试；支持文件上传；支持系统日志查询；</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23报表管理：支持申领统计、回收统计、清洗统计、配装统计、发放统计；支持工作量统计；支持费用统计；支持定制统计。</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24消息中心：支持CSSD发布公告、发送信息；支持新请领物品提醒；支持待回收物品提醒；支持库存有效期提醒。</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▲25集中展示管理：支持各区域工作情况展示；支持设备运行情况展示；支持当日手术信息展示；支持人员排班情况展示。（提供产品能集中展示屏幕截图材料证明）</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▲26.具备数据显示功能：可在交互式一体机的大屏上展示。</w:t>
            </w:r>
            <w:r/>
          </w:p>
          <w:p>
            <w:pPr>
              <w:pStyle w:val="1070"/>
              <w:jc w:val="left"/>
              <w:widowControl/>
              <w:rPr>
                <w:rFonts w:hint="eastAsia" w:ascii="宋体" w:hAnsi="宋体" w:cs="宋体"/>
                <w:szCs w:val="21"/>
              </w:rPr>
            </w:pPr>
            <w:r>
              <w:rPr>
                <w:rFonts w:hint="eastAsia" w:ascii="宋体" w:hAnsi="宋体" w:cs="宋体"/>
                <w:szCs w:val="21"/>
                <w:lang w:bidi="ar"/>
              </w:rPr>
              <w:t xml:space="preserve">▲27.配置：追溯软件系统1套、配套处理终端5台、配套标签打印机5台、扫码枪10个、屏幕不小于85寸交互式一体机1台。</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环境安全监测报警系统一套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环境浓度安全监测报警系统主要包括两部分：带显示功能的浓度检测报警器和报警控制主机。报警器分为过氧化氢浓度检测报警器、环氧乙烷浓度检测报警器；报警控制主机采用先进的处理器技术作为控制单元，通过远距离无线通讯技术采集浓度检测报警器的浓度信息，最终完成浓度数据的显示、报警、输出、控制等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浓度检测报警器可实时检测环境气体浓度并通过无线传输方式将浓度数据传送给报警控制主机。报警控制主机对浓度数据进行存储和分析处理，可分别计算出15分钟浓度加权平均值和8小时浓度加权平均值，并对超出安全限值的测量通道进行报警处理。浓度检测报警器报警后会触发继电器工作，进而可启动排气扇，及时对环境通风换气，降低环境的气体浓度。</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3.安全性高：报警控制主机和浓度检测报警器均可报警，双重报警更安全。</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4.存储容量大：报警控制主机内置大容量存储单元，可存储百万级别历史数据，支持USB数据导出功能。</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5.信号传输准确：报警控制主机和浓度检测报警器通过无线数字化方式传输数据，数据无失真、信号传输更准确。</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6.组网方便：报警控制主机支持智能一键扫描添加周围可用的浓度检测报警器，系统组网更方便。</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7.安装方便：报警控制主机和浓度检测报警器仅需供电即可，无需布置信号传输线缆。</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8.报警联动:若环境气体浓度过高，会自动启动排风扇，降低环境气体浓度。</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9.自检功能，报警控制主机和浓度检测报警器都具有自检功能，协助用户及时发现故障。</w:t>
            </w:r>
            <w:r/>
          </w:p>
          <w:p>
            <w:pPr>
              <w:pStyle w:val="1070"/>
              <w:jc w:val="left"/>
              <w:widowControl/>
              <w:rPr>
                <w:rFonts w:hint="eastAsia" w:ascii="宋体" w:hAnsi="宋体" w:cs="宋体"/>
                <w:szCs w:val="21"/>
              </w:rPr>
            </w:pPr>
            <w:r>
              <w:rPr>
                <w:rFonts w:hint="eastAsia" w:ascii="宋体" w:hAnsi="宋体" w:cs="宋体"/>
                <w:szCs w:val="21"/>
                <w:lang w:bidi="ar"/>
              </w:rPr>
              <w:t xml:space="preserve">10、配置：主机1台、过氧化氢浓度检测报警器探头1个、环氧乙烷浓度检测报警器探头1个</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医用绝缘检测仪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070"/>
              <w:jc w:val="left"/>
              <w:widowControl/>
              <w:rPr>
                <w:rFonts w:hint="eastAsia" w:ascii="宋体" w:hAnsi="宋体" w:cs="宋体"/>
                <w:szCs w:val="21"/>
                <w:lang w:bidi="ar"/>
              </w:rPr>
            </w:pPr>
            <w:r>
              <w:rPr>
                <w:rFonts w:hint="eastAsia" w:ascii="宋体" w:hAnsi="宋体" w:cs="宋体"/>
                <w:szCs w:val="21"/>
                <w:lang w:bidi="ar"/>
              </w:rPr>
              <w:t xml:space="preserve">1、用途：为医院消毒供应中心、手术室和内镜室等科室现场对有源医疗器械进行绝缘或通断检测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2、输出电压0～5000 V可调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3、输出电流＜0.1 mA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4、工作时间≥48h ，配件齐全，具有十个及以上的附件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5、≥2.5寸彩色触控屏，触摸操作界面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6、可预先设置4个常用测量电压模式，满足常规器械的检测需要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7、具有高压测试时间设置功能，可根据实际需要在2～20秒内设置高压可持续时间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8、具有高压放电时间连续2～20秒可调，可根据探测要求预置放电时间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9、具有声、光、影三种方式同时报警提示  </w:t>
            </w:r>
            <w:r/>
          </w:p>
          <w:p>
            <w:pPr>
              <w:pStyle w:val="1070"/>
              <w:jc w:val="left"/>
              <w:widowControl/>
              <w:rPr>
                <w:rFonts w:hint="eastAsia" w:ascii="宋体" w:hAnsi="宋体" w:cs="宋体"/>
                <w:szCs w:val="21"/>
                <w:lang w:bidi="ar"/>
              </w:rPr>
            </w:pPr>
            <w:r>
              <w:rPr>
                <w:rFonts w:hint="eastAsia" w:ascii="宋体" w:hAnsi="宋体" w:cs="宋体"/>
                <w:szCs w:val="21"/>
                <w:lang w:bidi="ar"/>
              </w:rPr>
              <w:t xml:space="preserve">10、具有休眠功能</w:t>
            </w:r>
            <w:r/>
          </w:p>
          <w:p>
            <w:pPr>
              <w:pStyle w:val="1070"/>
              <w:jc w:val="left"/>
              <w:widowControl/>
              <w:rPr>
                <w:rFonts w:hint="eastAsia" w:ascii="宋体" w:hAnsi="宋体" w:cs="宋体"/>
                <w:szCs w:val="21"/>
              </w:rPr>
            </w:pPr>
            <w:r>
              <w:rPr>
                <w:rFonts w:hint="eastAsia" w:ascii="宋体" w:hAnsi="宋体" w:cs="宋体"/>
                <w:szCs w:val="21"/>
                <w:lang w:bidi="ar"/>
              </w:rPr>
              <w:t xml:space="preserve">11、配置：主机1台、检测用附件1套和铝制包1个。</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快速生物阅读器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166"/>
              <w:ind w:firstLine="0"/>
              <w:rPr>
                <w:rFonts w:hint="eastAsia" w:ascii="宋体" w:hAnsi="宋体" w:cs="宋体"/>
                <w:szCs w:val="21"/>
                <w:lang w:bidi="ar"/>
              </w:rPr>
            </w:pPr>
            <w:r>
              <w:rPr>
                <w:rFonts w:hint="eastAsia" w:ascii="宋体" w:hAnsi="宋体" w:cs="宋体"/>
                <w:szCs w:val="21"/>
                <w:lang w:bidi="ar"/>
              </w:rPr>
              <w:t xml:space="preserve">1、高低温通用阅读器：10孔设计，可同时培养10支生物指示剂，1-5个孔可培养压力蒸汽灭菌0.5小时极速生物指示剂，6-10孔可培养过氧化氢低温等离子灭菌0.5小时极速生物指示剂。一体化棕色遮光盖设计，有效避免外部光线对监测准确度的影响。采用PID算法控制，温度检测精度≤0.1℃，温度控制精度±1℃，确保最佳培养温度  </w:t>
            </w:r>
            <w:r/>
          </w:p>
          <w:p>
            <w:pPr>
              <w:pStyle w:val="1166"/>
              <w:ind w:firstLine="0"/>
              <w:rPr>
                <w:rFonts w:hint="eastAsia" w:ascii="宋体" w:hAnsi="宋体" w:cs="宋体"/>
                <w:szCs w:val="21"/>
                <w:lang w:bidi="ar"/>
              </w:rPr>
            </w:pPr>
            <w:r>
              <w:rPr>
                <w:rFonts w:hint="eastAsia" w:ascii="宋体" w:hAnsi="宋体" w:cs="宋体"/>
                <w:szCs w:val="21"/>
                <w:lang w:bidi="ar"/>
              </w:rPr>
              <w:t xml:space="preserve">2、环氧乙烷阅读器：10孔设计，可同时培养10支生物指示剂，培养时间≤3h。一体化深色遮光盖设计，有效避免外部光线对监测灵敏度的影响。配置≥7英寸触摸屏进行人机交互，突出显示培养倒计时、生物监测结果，中文操作界面，可随时查询培养记录。  </w:t>
            </w:r>
            <w:r/>
          </w:p>
          <w:p>
            <w:pPr>
              <w:pStyle w:val="1166"/>
              <w:ind w:firstLine="0"/>
              <w:rPr>
                <w:rFonts w:hint="eastAsia" w:ascii="宋体" w:hAnsi="宋体" w:cs="宋体"/>
                <w:szCs w:val="21"/>
                <w:lang w:bidi="ar"/>
              </w:rPr>
            </w:pPr>
            <w:r>
              <w:rPr>
                <w:rFonts w:hint="eastAsia" w:ascii="宋体" w:hAnsi="宋体" w:cs="宋体"/>
                <w:szCs w:val="21"/>
                <w:lang w:bidi="ar"/>
              </w:rPr>
              <w:t xml:space="preserve">3、听觉和视觉报警，监测到生物培养结束、操作不当、设备故障时，快速提醒工作人员。</w:t>
            </w:r>
            <w:r/>
          </w:p>
          <w:p>
            <w:pPr>
              <w:pStyle w:val="1070"/>
              <w:jc w:val="left"/>
              <w:widowControl/>
              <w:rPr>
                <w:rFonts w:hint="eastAsia" w:ascii="宋体" w:hAnsi="宋体" w:cs="宋体"/>
                <w:szCs w:val="21"/>
              </w:rPr>
            </w:pPr>
            <w:r>
              <w:rPr>
                <w:rFonts w:hint="eastAsia" w:ascii="宋体" w:hAnsi="宋体" w:cs="宋体"/>
                <w:szCs w:val="21"/>
                <w:lang w:bidi="ar"/>
              </w:rPr>
              <w:t xml:space="preserve">4、配置：高低温通用阅读器2台、环氧乙烷阅读器1台。</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洁净气源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166"/>
              <w:ind w:firstLine="0"/>
              <w:rPr>
                <w:rFonts w:hint="eastAsia" w:ascii="宋体" w:hAnsi="宋体" w:cs="宋体"/>
                <w:szCs w:val="21"/>
                <w:lang w:bidi="ar"/>
              </w:rPr>
            </w:pPr>
            <w:r>
              <w:rPr>
                <w:rFonts w:hint="eastAsia" w:ascii="宋体" w:hAnsi="宋体" w:cs="宋体"/>
                <w:szCs w:val="21"/>
                <w:lang w:bidi="ar"/>
              </w:rPr>
              <w:t xml:space="preserve">▲1、每分钟产气量≥800L洁净气源，采用PLC控制器。提供材料证明</w:t>
            </w:r>
            <w:r/>
          </w:p>
          <w:p>
            <w:pPr>
              <w:pStyle w:val="1166"/>
              <w:ind w:firstLine="0"/>
              <w:rPr>
                <w:rFonts w:hint="eastAsia" w:ascii="宋体" w:hAnsi="宋体" w:cs="宋体"/>
                <w:szCs w:val="21"/>
                <w:lang w:bidi="ar"/>
              </w:rPr>
            </w:pPr>
            <w:r>
              <w:rPr>
                <w:rFonts w:hint="eastAsia" w:ascii="宋体" w:hAnsi="宋体" w:cs="宋体"/>
                <w:szCs w:val="21"/>
                <w:lang w:bidi="ar"/>
              </w:rPr>
              <w:t xml:space="preserve">2、具备数据记录功能；</w:t>
            </w:r>
            <w:r/>
          </w:p>
          <w:p>
            <w:pPr>
              <w:pStyle w:val="1166"/>
              <w:ind w:firstLine="0"/>
              <w:rPr>
                <w:rFonts w:hint="eastAsia" w:ascii="宋体" w:hAnsi="宋体" w:cs="宋体"/>
                <w:szCs w:val="21"/>
                <w:lang w:bidi="ar"/>
              </w:rPr>
            </w:pPr>
            <w:r>
              <w:rPr>
                <w:rFonts w:hint="eastAsia" w:ascii="宋体" w:hAnsi="宋体" w:cs="宋体"/>
                <w:szCs w:val="21"/>
                <w:lang w:bidi="ar"/>
              </w:rPr>
              <w:t xml:space="preserve">3、采用净化干燥技术对空气进行净化处理，净化吸附剂采用医用级，特性稳定且可连续运行；</w:t>
            </w:r>
            <w:r/>
          </w:p>
          <w:p>
            <w:pPr>
              <w:pStyle w:val="1166"/>
              <w:ind w:firstLine="0"/>
              <w:rPr>
                <w:rFonts w:hint="eastAsia" w:ascii="宋体" w:hAnsi="宋体" w:cs="宋体"/>
                <w:szCs w:val="21"/>
                <w:lang w:bidi="ar"/>
              </w:rPr>
            </w:pPr>
            <w:r>
              <w:rPr>
                <w:rFonts w:hint="eastAsia" w:ascii="宋体" w:hAnsi="宋体" w:cs="宋体"/>
                <w:szCs w:val="21"/>
                <w:lang w:bidi="ar"/>
              </w:rPr>
              <w:t xml:space="preserve">▲4、配有后冷却系统、液态水分离器、粉尘过滤器、0.01μm精密过滤器以及内洁净存储罐等单元组成；提供材料证明</w:t>
            </w:r>
            <w:r/>
          </w:p>
          <w:p>
            <w:pPr>
              <w:pStyle w:val="1070"/>
              <w:jc w:val="left"/>
              <w:widowControl/>
              <w:rPr>
                <w:rFonts w:hint="eastAsia" w:ascii="宋体" w:hAnsi="宋体" w:cs="宋体"/>
                <w:szCs w:val="21"/>
              </w:rPr>
            </w:pPr>
            <w:r>
              <w:rPr>
                <w:rFonts w:hint="eastAsia" w:ascii="宋体" w:hAnsi="宋体" w:cs="宋体"/>
                <w:szCs w:val="21"/>
                <w:lang w:bidi="ar"/>
              </w:rPr>
              <w:t xml:space="preserve">5、配置：主机1台</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节能高效燃气洁净蒸汽发生器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166"/>
              <w:ind w:firstLine="0"/>
              <w:rPr>
                <w:rFonts w:hint="eastAsia" w:ascii="宋体" w:hAnsi="宋体" w:cs="宋体"/>
                <w:szCs w:val="21"/>
                <w:lang w:bidi="ar"/>
              </w:rPr>
            </w:pPr>
            <w:r>
              <w:rPr>
                <w:rFonts w:hint="eastAsia" w:ascii="宋体" w:hAnsi="宋体" w:cs="宋体"/>
                <w:szCs w:val="21"/>
                <w:lang w:bidi="ar"/>
              </w:rPr>
              <w:t xml:space="preserve">1、采用冷凝燃气模块蒸汽源机，分布式PLC控制系统</w:t>
            </w:r>
            <w:r/>
          </w:p>
          <w:p>
            <w:pPr>
              <w:pStyle w:val="1166"/>
              <w:ind w:firstLine="0"/>
              <w:rPr>
                <w:rFonts w:hint="eastAsia" w:ascii="宋体" w:hAnsi="宋体" w:cs="宋体"/>
                <w:szCs w:val="21"/>
                <w:lang w:bidi="ar"/>
              </w:rPr>
            </w:pPr>
            <w:r>
              <w:rPr>
                <w:rFonts w:hint="eastAsia" w:ascii="宋体" w:hAnsi="宋体" w:cs="宋体"/>
                <w:szCs w:val="21"/>
                <w:lang w:bidi="ar"/>
              </w:rPr>
              <w:t xml:space="preserve">▲2、≥7寸高分辩率液晶触摸显示屏人机交互界面；</w:t>
            </w:r>
            <w:r/>
          </w:p>
          <w:p>
            <w:pPr>
              <w:pStyle w:val="1166"/>
              <w:ind w:firstLine="0"/>
              <w:rPr>
                <w:rFonts w:hint="eastAsia" w:ascii="宋体" w:hAnsi="宋体" w:cs="宋体"/>
                <w:szCs w:val="21"/>
                <w:lang w:bidi="ar"/>
              </w:rPr>
            </w:pPr>
            <w:r>
              <w:rPr>
                <w:rFonts w:hint="eastAsia" w:ascii="宋体" w:hAnsi="宋体" w:cs="宋体"/>
                <w:szCs w:val="21"/>
                <w:lang w:bidi="ar"/>
              </w:rPr>
              <w:t xml:space="preserve">3、不锈钢SUS304内胆及管路；</w:t>
            </w:r>
            <w:r/>
          </w:p>
          <w:p>
            <w:pPr>
              <w:pStyle w:val="1166"/>
              <w:ind w:firstLine="0"/>
              <w:rPr>
                <w:rFonts w:hint="eastAsia" w:ascii="宋体" w:hAnsi="宋体" w:cs="宋体"/>
                <w:szCs w:val="21"/>
                <w:lang w:bidi="ar"/>
              </w:rPr>
            </w:pPr>
            <w:r>
              <w:rPr>
                <w:rFonts w:hint="eastAsia" w:ascii="宋体" w:hAnsi="宋体" w:cs="宋体"/>
                <w:szCs w:val="21"/>
                <w:lang w:bidi="ar"/>
              </w:rPr>
              <w:t xml:space="preserve">▲4、水容积＜30L；</w:t>
            </w:r>
            <w:r/>
          </w:p>
          <w:p>
            <w:pPr>
              <w:pStyle w:val="1166"/>
              <w:ind w:firstLine="0"/>
              <w:rPr>
                <w:rFonts w:hint="eastAsia" w:ascii="宋体" w:hAnsi="宋体" w:cs="宋体"/>
                <w:szCs w:val="21"/>
                <w:lang w:bidi="ar"/>
              </w:rPr>
            </w:pPr>
            <w:r>
              <w:rPr>
                <w:rFonts w:hint="eastAsia" w:ascii="宋体" w:hAnsi="宋体" w:cs="宋体"/>
                <w:szCs w:val="21"/>
                <w:lang w:bidi="ar"/>
              </w:rPr>
              <w:t xml:space="preserve">▲5、额定蒸汽产量：≥1000Kg/小时；天然气消耗约≤85m³/h；</w:t>
            </w:r>
            <w:r/>
          </w:p>
          <w:p>
            <w:pPr>
              <w:pStyle w:val="1166"/>
              <w:ind w:firstLine="0"/>
              <w:rPr>
                <w:rFonts w:hint="eastAsia" w:ascii="宋体" w:hAnsi="宋体" w:cs="宋体"/>
                <w:szCs w:val="21"/>
                <w:lang w:bidi="ar"/>
              </w:rPr>
            </w:pPr>
            <w:r>
              <w:rPr>
                <w:rFonts w:hint="eastAsia" w:ascii="宋体" w:hAnsi="宋体" w:cs="宋体"/>
                <w:szCs w:val="21"/>
                <w:lang w:bidi="ar"/>
              </w:rPr>
              <w:t xml:space="preserve">6、可按实际适用功率，切投加热模块数量，灵活调节功率；</w:t>
            </w:r>
            <w:r/>
          </w:p>
          <w:p>
            <w:pPr>
              <w:pStyle w:val="1166"/>
              <w:ind w:firstLine="0"/>
              <w:rPr>
                <w:rFonts w:hint="eastAsia" w:ascii="宋体" w:hAnsi="宋体" w:cs="宋体"/>
                <w:szCs w:val="21"/>
                <w:lang w:bidi="ar"/>
              </w:rPr>
            </w:pPr>
            <w:r>
              <w:rPr>
                <w:rFonts w:hint="eastAsia" w:ascii="宋体" w:hAnsi="宋体" w:cs="宋体"/>
                <w:szCs w:val="21"/>
                <w:lang w:bidi="ar"/>
              </w:rPr>
              <w:t xml:space="preserve">7、额定工作压力≥0.7Mpa（可调）；</w:t>
            </w:r>
            <w:r/>
          </w:p>
          <w:p>
            <w:pPr>
              <w:pStyle w:val="1166"/>
              <w:ind w:firstLine="0"/>
              <w:rPr>
                <w:rFonts w:hint="eastAsia" w:ascii="宋体" w:hAnsi="宋体" w:cs="宋体"/>
                <w:szCs w:val="21"/>
                <w:lang w:bidi="ar"/>
              </w:rPr>
            </w:pPr>
            <w:r>
              <w:rPr>
                <w:rFonts w:hint="eastAsia" w:ascii="宋体" w:hAnsi="宋体" w:cs="宋体"/>
                <w:szCs w:val="21"/>
                <w:lang w:bidi="ar"/>
              </w:rPr>
              <w:t xml:space="preserve">8、额定热效率≥98.8%，饱和蒸汽温度171℃（可调）；</w:t>
            </w:r>
            <w:r/>
          </w:p>
          <w:p>
            <w:pPr>
              <w:pStyle w:val="1166"/>
              <w:ind w:firstLine="0"/>
              <w:rPr>
                <w:rFonts w:hint="eastAsia" w:ascii="宋体" w:hAnsi="宋体" w:cs="宋体"/>
                <w:szCs w:val="21"/>
                <w:lang w:bidi="ar"/>
              </w:rPr>
            </w:pPr>
            <w:r>
              <w:rPr>
                <w:rFonts w:hint="eastAsia" w:ascii="宋体" w:hAnsi="宋体" w:cs="宋体"/>
                <w:szCs w:val="21"/>
                <w:lang w:bidi="ar"/>
              </w:rPr>
              <w:t xml:space="preserve">9、设计使用寿命≥15年；</w:t>
            </w:r>
            <w:r/>
          </w:p>
          <w:p>
            <w:pPr>
              <w:pStyle w:val="1166"/>
              <w:ind w:firstLine="0"/>
              <w:rPr>
                <w:rFonts w:hint="eastAsia" w:ascii="宋体" w:hAnsi="宋体" w:cs="宋体"/>
                <w:szCs w:val="21"/>
                <w:lang w:bidi="ar"/>
              </w:rPr>
            </w:pPr>
            <w:r>
              <w:rPr>
                <w:rFonts w:hint="eastAsia" w:ascii="宋体" w:hAnsi="宋体" w:cs="宋体"/>
                <w:szCs w:val="21"/>
                <w:lang w:bidi="ar"/>
              </w:rPr>
              <w:t xml:space="preserve">▲10、各种报警保护功能，能通过智能云服务管控平台自动发送手机短信或者手机APP推送故障信息。提供证明材料</w:t>
            </w:r>
            <w:r/>
          </w:p>
          <w:p>
            <w:pPr>
              <w:pStyle w:val="1166"/>
              <w:ind w:firstLine="0"/>
              <w:rPr>
                <w:rFonts w:hint="eastAsia" w:ascii="宋体" w:hAnsi="宋体" w:cs="宋体"/>
                <w:szCs w:val="21"/>
              </w:rPr>
            </w:pPr>
            <w:r>
              <w:rPr>
                <w:rFonts w:hint="eastAsia" w:ascii="宋体" w:hAnsi="宋体" w:cs="宋体"/>
                <w:szCs w:val="21"/>
                <w:lang w:bidi="ar"/>
              </w:rPr>
              <w:t xml:space="preserve">11、配置：主机2台</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智能电加热洁净蒸汽发生器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166"/>
              <w:ind w:firstLine="0"/>
              <w:rPr>
                <w:rFonts w:hint="eastAsia" w:ascii="宋体" w:hAnsi="宋体" w:cs="宋体"/>
                <w:szCs w:val="21"/>
                <w:lang w:bidi="ar"/>
              </w:rPr>
            </w:pPr>
            <w:r>
              <w:rPr>
                <w:rFonts w:hint="eastAsia" w:ascii="宋体" w:hAnsi="宋体" w:cs="宋体"/>
                <w:szCs w:val="21"/>
                <w:lang w:bidi="ar"/>
              </w:rPr>
              <w:t xml:space="preserve">▲1、全自动智能电加热蒸汽发生器，≥360KW；额定蒸汽产量：≥500Kg/小时；</w:t>
            </w:r>
            <w:r/>
          </w:p>
          <w:p>
            <w:pPr>
              <w:pStyle w:val="1166"/>
              <w:ind w:firstLine="0"/>
              <w:rPr>
                <w:rFonts w:hint="eastAsia" w:ascii="宋体" w:hAnsi="宋体" w:cs="宋体"/>
                <w:szCs w:val="21"/>
                <w:lang w:bidi="ar"/>
              </w:rPr>
            </w:pPr>
            <w:r>
              <w:rPr>
                <w:rFonts w:hint="eastAsia" w:ascii="宋体" w:hAnsi="宋体" w:cs="宋体"/>
                <w:szCs w:val="21"/>
                <w:lang w:bidi="ar"/>
              </w:rPr>
              <w:t xml:space="preserve">2、不锈钢SUS304内胆及管路；</w:t>
            </w:r>
            <w:r/>
          </w:p>
          <w:p>
            <w:pPr>
              <w:pStyle w:val="1166"/>
              <w:ind w:firstLine="0"/>
              <w:rPr>
                <w:rFonts w:hint="eastAsia" w:ascii="宋体" w:hAnsi="宋体" w:cs="宋体"/>
                <w:szCs w:val="21"/>
                <w:lang w:bidi="ar"/>
              </w:rPr>
            </w:pPr>
            <w:r>
              <w:rPr>
                <w:rFonts w:hint="eastAsia" w:ascii="宋体" w:hAnsi="宋体" w:cs="宋体"/>
                <w:szCs w:val="21"/>
                <w:lang w:bidi="ar"/>
              </w:rPr>
              <w:t xml:space="preserve">▲3、水容积＜30L；</w:t>
            </w:r>
            <w:r/>
          </w:p>
          <w:p>
            <w:pPr>
              <w:pStyle w:val="1166"/>
              <w:ind w:firstLine="0"/>
              <w:rPr>
                <w:rFonts w:hint="eastAsia" w:ascii="宋体" w:hAnsi="宋体" w:cs="宋体"/>
                <w:szCs w:val="21"/>
                <w:lang w:bidi="ar"/>
              </w:rPr>
            </w:pPr>
            <w:r>
              <w:rPr>
                <w:rFonts w:hint="eastAsia" w:ascii="宋体" w:hAnsi="宋体" w:cs="宋体"/>
                <w:szCs w:val="21"/>
                <w:lang w:bidi="ar"/>
              </w:rPr>
              <w:t xml:space="preserve">4、额定工作压力≥0.7Mpa；额定热效率≥98.8%；</w:t>
            </w:r>
            <w:r/>
          </w:p>
          <w:p>
            <w:pPr>
              <w:pStyle w:val="1166"/>
              <w:ind w:firstLine="0"/>
              <w:rPr>
                <w:rFonts w:hint="eastAsia" w:ascii="宋体" w:hAnsi="宋体" w:cs="宋体"/>
                <w:szCs w:val="21"/>
                <w:lang w:bidi="ar"/>
              </w:rPr>
            </w:pPr>
            <w:r>
              <w:rPr>
                <w:rFonts w:hint="eastAsia" w:ascii="宋体" w:hAnsi="宋体" w:cs="宋体"/>
                <w:szCs w:val="21"/>
                <w:lang w:bidi="ar"/>
              </w:rPr>
              <w:t xml:space="preserve">5、设计使用寿命≥15年；</w:t>
            </w:r>
            <w:r/>
          </w:p>
          <w:p>
            <w:pPr>
              <w:pStyle w:val="1166"/>
              <w:ind w:firstLine="0"/>
              <w:rPr>
                <w:rFonts w:hint="eastAsia" w:ascii="宋体" w:hAnsi="宋体" w:cs="宋体"/>
                <w:szCs w:val="21"/>
                <w:lang w:bidi="ar"/>
              </w:rPr>
            </w:pPr>
            <w:r>
              <w:rPr>
                <w:rFonts w:hint="eastAsia" w:ascii="宋体" w:hAnsi="宋体" w:cs="宋体"/>
                <w:szCs w:val="21"/>
                <w:lang w:bidi="ar"/>
              </w:rPr>
              <w:t xml:space="preserve">6、自带汽水分离器、水电分离系统；材质符合现行蒸汽发生器标准；</w:t>
            </w:r>
            <w:r/>
          </w:p>
          <w:p>
            <w:pPr>
              <w:pStyle w:val="1166"/>
              <w:ind w:firstLine="0"/>
              <w:rPr>
                <w:rFonts w:hint="eastAsia" w:ascii="宋体" w:hAnsi="宋体" w:cs="宋体"/>
                <w:szCs w:val="21"/>
                <w:lang w:bidi="ar"/>
              </w:rPr>
            </w:pPr>
            <w:r>
              <w:rPr>
                <w:rFonts w:hint="eastAsia" w:ascii="宋体" w:hAnsi="宋体" w:cs="宋体"/>
                <w:szCs w:val="21"/>
                <w:lang w:bidi="ar"/>
              </w:rPr>
              <w:t xml:space="preserve">7、所有电气设备均设短路过载、过流保护装置，并配置运行信号输出及故障报警；</w:t>
            </w:r>
            <w:r/>
          </w:p>
          <w:p>
            <w:pPr>
              <w:pStyle w:val="1166"/>
              <w:ind w:firstLine="0"/>
              <w:rPr>
                <w:rFonts w:hint="eastAsia" w:ascii="宋体" w:hAnsi="宋体" w:cs="宋体"/>
                <w:szCs w:val="21"/>
                <w:lang w:bidi="ar"/>
              </w:rPr>
            </w:pPr>
            <w:r>
              <w:rPr>
                <w:rFonts w:hint="eastAsia" w:ascii="宋体" w:hAnsi="宋体" w:cs="宋体"/>
                <w:szCs w:val="21"/>
                <w:lang w:bidi="ar"/>
              </w:rPr>
              <w:t xml:space="preserve">8、防干烧功能、压力保护功能、过热保护功能；</w:t>
            </w:r>
            <w:r/>
          </w:p>
          <w:p>
            <w:pPr>
              <w:pStyle w:val="1166"/>
              <w:ind w:firstLine="0"/>
              <w:rPr>
                <w:rFonts w:hint="eastAsia" w:ascii="宋体" w:hAnsi="宋体" w:cs="宋体"/>
                <w:szCs w:val="21"/>
                <w:lang w:bidi="ar"/>
              </w:rPr>
            </w:pPr>
            <w:r>
              <w:rPr>
                <w:rFonts w:hint="eastAsia" w:ascii="宋体" w:hAnsi="宋体" w:cs="宋体"/>
                <w:szCs w:val="21"/>
                <w:lang w:bidi="ar"/>
              </w:rPr>
              <w:t xml:space="preserve">▲9、能通过智能云服务管控平台自动发送手机短信或者手机APP推送故障信息。提供证明材料</w:t>
            </w:r>
            <w:r/>
          </w:p>
          <w:p>
            <w:pPr>
              <w:pStyle w:val="1166"/>
              <w:ind w:firstLine="0"/>
              <w:rPr>
                <w:rFonts w:hint="eastAsia" w:ascii="宋体" w:hAnsi="宋体" w:cs="宋体"/>
                <w:szCs w:val="21"/>
              </w:rPr>
            </w:pPr>
            <w:r>
              <w:rPr>
                <w:rFonts w:hint="eastAsia" w:ascii="宋体" w:hAnsi="宋体" w:cs="宋体"/>
                <w:szCs w:val="21"/>
                <w:lang w:bidi="ar"/>
              </w:rPr>
              <w:t xml:space="preserve">10、配置：主机1台。</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软水机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166"/>
              <w:ind w:firstLine="0"/>
              <w:rPr>
                <w:rFonts w:hint="eastAsia" w:ascii="宋体" w:hAnsi="宋体" w:cs="宋体"/>
                <w:szCs w:val="21"/>
                <w:lang w:bidi="ar"/>
              </w:rPr>
            </w:pPr>
            <w:r>
              <w:rPr>
                <w:rFonts w:hint="eastAsia" w:ascii="宋体" w:hAnsi="宋体" w:cs="宋体"/>
                <w:szCs w:val="21"/>
                <w:lang w:bidi="ar"/>
              </w:rPr>
              <w:t xml:space="preserve">1、出水量≥6000L/h，</w:t>
            </w:r>
            <w:r/>
          </w:p>
          <w:p>
            <w:pPr>
              <w:pStyle w:val="1166"/>
              <w:ind w:firstLine="0"/>
              <w:rPr>
                <w:rFonts w:hint="eastAsia" w:ascii="宋体" w:hAnsi="宋体" w:cs="宋体"/>
                <w:szCs w:val="21"/>
                <w:lang w:bidi="ar"/>
              </w:rPr>
            </w:pPr>
            <w:r>
              <w:rPr>
                <w:rFonts w:hint="eastAsia" w:ascii="宋体" w:hAnsi="宋体" w:cs="宋体"/>
                <w:szCs w:val="21"/>
                <w:lang w:bidi="ar"/>
              </w:rPr>
              <w:t xml:space="preserve">2、产水量≥6000L/h，出水硬度≤0.03mmol/L；</w:t>
            </w:r>
            <w:r/>
          </w:p>
          <w:p>
            <w:pPr>
              <w:pStyle w:val="1166"/>
              <w:ind w:firstLine="0"/>
              <w:rPr>
                <w:rFonts w:hint="eastAsia" w:ascii="宋体" w:hAnsi="宋体" w:cs="宋体"/>
                <w:szCs w:val="21"/>
                <w:lang w:bidi="ar"/>
              </w:rPr>
            </w:pPr>
            <w:r>
              <w:rPr>
                <w:rFonts w:hint="eastAsia" w:ascii="宋体" w:hAnsi="宋体" w:cs="宋体"/>
                <w:szCs w:val="21"/>
                <w:lang w:bidi="ar"/>
              </w:rPr>
              <w:t xml:space="preserve">3、配备满足需求的水箱，软化罐≥300L，盐箱≥300L。</w:t>
            </w:r>
            <w:r/>
          </w:p>
          <w:p>
            <w:pPr>
              <w:pStyle w:val="1166"/>
              <w:ind w:firstLine="0"/>
              <w:rPr>
                <w:rFonts w:hint="eastAsia" w:ascii="宋体" w:hAnsi="宋体" w:cs="宋体"/>
                <w:szCs w:val="21"/>
                <w:lang w:bidi="ar"/>
              </w:rPr>
            </w:pPr>
            <w:r>
              <w:rPr>
                <w:rFonts w:hint="eastAsia" w:ascii="宋体" w:hAnsi="宋体" w:cs="宋体"/>
                <w:szCs w:val="21"/>
                <w:lang w:bidi="ar"/>
              </w:rPr>
              <w:t xml:space="preserve">4、运行方式：全自动运行，滤料：阳离子钠型交换树脂001×7，盐耗：≤160g/L，水利用率：＞90%；</w:t>
            </w:r>
            <w:r/>
          </w:p>
          <w:p>
            <w:pPr>
              <w:pStyle w:val="1166"/>
              <w:ind w:firstLine="0"/>
              <w:rPr>
                <w:rFonts w:hint="eastAsia" w:ascii="宋体" w:hAnsi="宋体" w:cs="宋体"/>
                <w:szCs w:val="21"/>
                <w:lang w:bidi="ar"/>
              </w:rPr>
            </w:pPr>
            <w:r>
              <w:rPr>
                <w:rFonts w:hint="eastAsia" w:ascii="宋体" w:hAnsi="宋体" w:cs="宋体"/>
                <w:szCs w:val="21"/>
                <w:lang w:bidi="ar"/>
              </w:rPr>
              <w:t xml:space="preserve">5、运行方式：流量时间控制，全自动连续运行，进出水压力损耗基本为零。</w:t>
            </w:r>
            <w:r/>
          </w:p>
          <w:p>
            <w:pPr>
              <w:pStyle w:val="1166"/>
              <w:ind w:firstLine="0"/>
              <w:rPr>
                <w:rFonts w:hint="eastAsia" w:ascii="宋体" w:hAnsi="宋体" w:cs="宋体"/>
                <w:szCs w:val="21"/>
                <w:lang w:bidi="ar"/>
              </w:rPr>
            </w:pPr>
            <w:r>
              <w:rPr>
                <w:rFonts w:hint="eastAsia" w:ascii="宋体" w:hAnsi="宋体" w:cs="宋体"/>
                <w:szCs w:val="21"/>
                <w:lang w:bidi="ar"/>
              </w:rPr>
              <w:t xml:space="preserve">6、出水稳定：采用全自动控制阀，其控制核心为一个集成控制器，通过精确计算，准确控制再生时间和程度，即使在出水量变化较大也不影响出水质量，确保用水设备安全运行。</w:t>
            </w:r>
            <w:r/>
          </w:p>
          <w:p>
            <w:pPr>
              <w:pStyle w:val="1166"/>
              <w:ind w:firstLine="0"/>
              <w:rPr>
                <w:rFonts w:hint="eastAsia" w:ascii="宋体" w:hAnsi="宋体" w:cs="宋体"/>
                <w:szCs w:val="21"/>
                <w:lang w:bidi="ar"/>
              </w:rPr>
            </w:pPr>
            <w:r>
              <w:rPr>
                <w:rFonts w:hint="eastAsia" w:ascii="宋体" w:hAnsi="宋体" w:cs="宋体"/>
                <w:szCs w:val="21"/>
                <w:lang w:bidi="ar"/>
              </w:rPr>
              <w:t xml:space="preserve">7、自动化程度高：既可在无人值班的条件下运行，现场的管理只需一人定期补充高纯度氯化钠即可。</w:t>
            </w:r>
            <w:r/>
          </w:p>
          <w:p>
            <w:pPr>
              <w:pStyle w:val="1166"/>
              <w:ind w:firstLine="0"/>
              <w:rPr>
                <w:rFonts w:hint="eastAsia" w:ascii="宋体" w:hAnsi="宋体" w:cs="宋体"/>
                <w:szCs w:val="21"/>
                <w:lang w:bidi="ar"/>
              </w:rPr>
            </w:pPr>
            <w:r>
              <w:rPr>
                <w:rFonts w:hint="eastAsia" w:ascii="宋体" w:hAnsi="宋体" w:cs="宋体"/>
                <w:szCs w:val="21"/>
                <w:lang w:bidi="ar"/>
              </w:rPr>
              <w:t xml:space="preserve">8、运行费用低：软化器日常运转的费用一般为电耗、盐耗、人工费用和维护费用。扩容方便：整体玻璃钢缠绕的软化床、模塑的控制器、紧凑的布置。</w:t>
            </w:r>
            <w:r/>
          </w:p>
          <w:p>
            <w:pPr>
              <w:pStyle w:val="1070"/>
              <w:jc w:val="left"/>
              <w:widowControl/>
              <w:rPr>
                <w:rFonts w:hint="eastAsia" w:ascii="宋体" w:hAnsi="宋体" w:cs="宋体"/>
                <w:szCs w:val="21"/>
              </w:rPr>
            </w:pPr>
            <w:r>
              <w:rPr>
                <w:rFonts w:hint="eastAsia" w:ascii="宋体" w:hAnsi="宋体" w:cs="宋体"/>
                <w:szCs w:val="21"/>
                <w:lang w:bidi="ar"/>
              </w:rPr>
              <w:t xml:space="preserve">9、配置：主机1台、软化罐1套、全自动控制阀1套、离子树脂1套、上下布水器1套、盐箱1个、系统管件1套。</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b/>
                <w:bCs/>
                <w:szCs w:val="21"/>
              </w:rPr>
            </w:pPr>
            <w:r>
              <w:rPr>
                <w:rStyle w:val="1326"/>
                <w:rFonts w:ascii="宋体" w:hAnsi="宋体" w:eastAsia="宋体" w:cs="宋体"/>
                <w:color w:val="000000"/>
                <w:sz w:val="21"/>
                <w:szCs w:val="21"/>
                <w:lang w:bidi="ar"/>
              </w:rPr>
              <w:t xml:space="preserve">低温等离子灭菌器</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166"/>
              <w:ind w:firstLine="0"/>
              <w:rPr>
                <w:rFonts w:hint="eastAsia" w:ascii="宋体" w:hAnsi="宋体" w:cs="宋体"/>
                <w:szCs w:val="21"/>
                <w:lang w:bidi="ar"/>
              </w:rPr>
            </w:pPr>
            <w:r>
              <w:rPr>
                <w:rFonts w:hint="eastAsia" w:ascii="宋体" w:hAnsi="宋体" w:cs="宋体"/>
                <w:szCs w:val="21"/>
                <w:lang w:bidi="ar"/>
              </w:rPr>
              <w:t xml:space="preserve">▲1.总容积：≥160L，提供设备铭牌材料佐证</w:t>
            </w:r>
            <w:r/>
          </w:p>
          <w:p>
            <w:pPr>
              <w:pStyle w:val="1166"/>
              <w:ind w:firstLine="0"/>
              <w:rPr>
                <w:rFonts w:hint="eastAsia" w:ascii="宋体" w:hAnsi="宋体" w:cs="宋体"/>
                <w:szCs w:val="21"/>
                <w:lang w:bidi="ar"/>
              </w:rPr>
            </w:pPr>
            <w:r>
              <w:rPr>
                <w:rFonts w:hint="eastAsia" w:ascii="宋体" w:hAnsi="宋体" w:cs="宋体"/>
                <w:szCs w:val="21"/>
                <w:lang w:bidi="ar"/>
              </w:rPr>
              <w:t xml:space="preserve">▲2.设备使用年限≥10年，需提供设备铭牌材料佐证</w:t>
            </w:r>
            <w:r/>
          </w:p>
          <w:p>
            <w:pPr>
              <w:pStyle w:val="1166"/>
              <w:ind w:firstLine="0"/>
              <w:rPr>
                <w:rFonts w:hint="eastAsia" w:ascii="宋体" w:hAnsi="宋体" w:cs="宋体"/>
                <w:szCs w:val="21"/>
                <w:lang w:bidi="ar"/>
              </w:rPr>
            </w:pPr>
            <w:r>
              <w:rPr>
                <w:rFonts w:hint="eastAsia" w:ascii="宋体" w:hAnsi="宋体" w:cs="宋体"/>
                <w:szCs w:val="21"/>
                <w:lang w:bidi="ar"/>
              </w:rPr>
              <w:t xml:space="preserve">3.腔体结构为矩形腔体材质采用航空铝材，厚度≥16mm，具有导热性能，保证过氧化氢保持100%气态。</w:t>
            </w:r>
            <w:r/>
          </w:p>
          <w:p>
            <w:pPr>
              <w:pStyle w:val="1166"/>
              <w:ind w:firstLine="0"/>
              <w:rPr>
                <w:rFonts w:hint="eastAsia" w:ascii="宋体" w:hAnsi="宋体" w:cs="宋体"/>
                <w:szCs w:val="21"/>
                <w:lang w:bidi="ar"/>
              </w:rPr>
            </w:pPr>
            <w:r>
              <w:rPr>
                <w:rFonts w:hint="eastAsia" w:ascii="宋体" w:hAnsi="宋体" w:cs="宋体"/>
                <w:szCs w:val="21"/>
                <w:lang w:bidi="ar"/>
              </w:rPr>
              <w:t xml:space="preserve">4.电极网采用铝合金材料,钣金成型，厚度≥2mm。</w:t>
            </w:r>
            <w:r/>
          </w:p>
          <w:p>
            <w:pPr>
              <w:pStyle w:val="1166"/>
              <w:ind w:firstLine="0"/>
              <w:rPr>
                <w:rFonts w:hint="eastAsia" w:ascii="宋体" w:hAnsi="宋体" w:cs="宋体"/>
                <w:szCs w:val="21"/>
                <w:lang w:bidi="ar"/>
              </w:rPr>
            </w:pPr>
            <w:r>
              <w:rPr>
                <w:rFonts w:hint="eastAsia" w:ascii="宋体" w:hAnsi="宋体" w:cs="宋体"/>
                <w:szCs w:val="21"/>
                <w:lang w:bidi="ar"/>
              </w:rPr>
              <w:t xml:space="preserve">5.腔体温度控制探头数量：≥1个，高精度温度探头，分辨率为0.1℃，准确检测和控制灭菌温度。</w:t>
            </w:r>
            <w:r/>
          </w:p>
          <w:p>
            <w:pPr>
              <w:pStyle w:val="1166"/>
              <w:ind w:firstLine="0"/>
              <w:rPr>
                <w:rFonts w:hint="eastAsia" w:ascii="宋体" w:hAnsi="宋体" w:cs="宋体"/>
                <w:szCs w:val="21"/>
                <w:lang w:bidi="ar"/>
              </w:rPr>
            </w:pPr>
            <w:r>
              <w:rPr>
                <w:rFonts w:hint="eastAsia" w:ascii="宋体" w:hAnsi="宋体" w:cs="宋体"/>
                <w:szCs w:val="21"/>
                <w:lang w:bidi="ar"/>
              </w:rPr>
              <w:t xml:space="preserve">6.主体保温：≥20mm橡塑海绵，具有导热系数低、防火性能好、抗老化能力强、无毒环保和质地柔软等特点。</w:t>
            </w:r>
            <w:r/>
          </w:p>
          <w:p>
            <w:pPr>
              <w:pStyle w:val="1166"/>
              <w:ind w:firstLine="0"/>
              <w:rPr>
                <w:rFonts w:hint="eastAsia" w:ascii="宋体" w:hAnsi="宋体" w:cs="宋体"/>
                <w:szCs w:val="21"/>
                <w:lang w:bidi="ar"/>
              </w:rPr>
            </w:pPr>
            <w:r>
              <w:rPr>
                <w:rFonts w:hint="eastAsia" w:ascii="宋体" w:hAnsi="宋体" w:cs="宋体"/>
                <w:szCs w:val="21"/>
                <w:lang w:bidi="ar"/>
              </w:rPr>
              <w:t xml:space="preserve">7.门开启方式：采用顶杆驱动式电动升降门。</w:t>
            </w:r>
            <w:r/>
          </w:p>
          <w:p>
            <w:pPr>
              <w:pStyle w:val="1166"/>
              <w:ind w:firstLine="0"/>
              <w:rPr>
                <w:rFonts w:hint="eastAsia" w:ascii="宋体" w:hAnsi="宋体" w:cs="宋体"/>
                <w:szCs w:val="21"/>
                <w:lang w:bidi="ar"/>
              </w:rPr>
            </w:pPr>
            <w:r>
              <w:rPr>
                <w:rFonts w:hint="eastAsia" w:ascii="宋体" w:hAnsi="宋体" w:cs="宋体"/>
                <w:szCs w:val="21"/>
                <w:lang w:bidi="ar"/>
              </w:rPr>
              <w:t xml:space="preserve">8.门板加热功能：加热膜数量≥2个，门板温度维持在50±2℃，防止过氧化氢气体冷凝，影响灭菌效果。</w:t>
            </w:r>
            <w:r/>
          </w:p>
          <w:p>
            <w:pPr>
              <w:pStyle w:val="1166"/>
              <w:ind w:firstLine="0"/>
              <w:rPr>
                <w:rFonts w:hint="eastAsia" w:ascii="宋体" w:hAnsi="宋体" w:cs="宋体"/>
                <w:szCs w:val="21"/>
                <w:lang w:bidi="ar"/>
              </w:rPr>
            </w:pPr>
            <w:r>
              <w:rPr>
                <w:rFonts w:hint="eastAsia" w:ascii="宋体" w:hAnsi="宋体" w:cs="宋体"/>
                <w:szCs w:val="21"/>
                <w:lang w:bidi="ar"/>
              </w:rPr>
              <w:t xml:space="preserve">9.门板温度控制探头数量：≥1个，高精度温度探头，分辨率为≤0.1℃，准确检测和控制灭菌温度。</w:t>
            </w:r>
            <w:r/>
          </w:p>
          <w:p>
            <w:pPr>
              <w:pStyle w:val="1166"/>
              <w:ind w:firstLine="0"/>
              <w:rPr>
                <w:rFonts w:hint="eastAsia" w:ascii="宋体" w:hAnsi="宋体" w:cs="宋体"/>
                <w:szCs w:val="21"/>
                <w:lang w:bidi="ar"/>
              </w:rPr>
            </w:pPr>
            <w:r>
              <w:rPr>
                <w:rFonts w:hint="eastAsia" w:ascii="宋体" w:hAnsi="宋体" w:cs="宋体"/>
                <w:szCs w:val="21"/>
                <w:lang w:bidi="ar"/>
              </w:rPr>
              <w:t xml:space="preserve">10.门障碍开关：具有门障碍开关功能，当碰触障碍开关时，门自动下降，防止夹伤操作者和夹坏物品。</w:t>
            </w:r>
            <w:r/>
          </w:p>
          <w:p>
            <w:pPr>
              <w:pStyle w:val="1166"/>
              <w:ind w:firstLine="0"/>
              <w:rPr>
                <w:rFonts w:hint="eastAsia" w:ascii="宋体" w:hAnsi="宋体" w:cs="宋体"/>
                <w:szCs w:val="21"/>
                <w:lang w:bidi="ar"/>
              </w:rPr>
            </w:pPr>
            <w:r>
              <w:rPr>
                <w:rFonts w:hint="eastAsia" w:ascii="宋体" w:hAnsi="宋体" w:cs="宋体"/>
                <w:szCs w:val="21"/>
                <w:lang w:bidi="ar"/>
              </w:rPr>
              <w:t xml:space="preserve">11.脚踏开关：具有脚踏开门功能，当操作者双手占用时，可用脚控制门的开关。</w:t>
            </w:r>
            <w:r/>
          </w:p>
          <w:p>
            <w:pPr>
              <w:pStyle w:val="1166"/>
              <w:ind w:firstLine="0"/>
              <w:rPr>
                <w:rFonts w:hint="eastAsia" w:ascii="宋体" w:hAnsi="宋体" w:cs="宋体"/>
                <w:szCs w:val="21"/>
                <w:lang w:bidi="ar"/>
              </w:rPr>
            </w:pPr>
            <w:r>
              <w:rPr>
                <w:rFonts w:hint="eastAsia" w:ascii="宋体" w:hAnsi="宋体" w:cs="宋体"/>
                <w:szCs w:val="21"/>
                <w:lang w:bidi="ar"/>
              </w:rPr>
              <w:t xml:space="preserve">12.真空泵：采用真空度且耐H2O2腐蚀的旋片式真空泵。有真空泵相序保护器，防止设备供电相序变化，导致真空泵反转向灭菌室反油。采用高真空挡板电磁阀控制抽空管路，泄漏率＜1.3×10-7Pa*L*S-1。</w:t>
            </w:r>
            <w:r/>
          </w:p>
          <w:p>
            <w:pPr>
              <w:pStyle w:val="1166"/>
              <w:ind w:firstLine="0"/>
              <w:rPr>
                <w:rFonts w:hint="eastAsia" w:ascii="宋体" w:hAnsi="宋体" w:cs="宋体"/>
                <w:szCs w:val="21"/>
                <w:lang w:bidi="ar"/>
              </w:rPr>
            </w:pPr>
            <w:r>
              <w:rPr>
                <w:rFonts w:hint="eastAsia" w:ascii="宋体" w:hAnsi="宋体" w:cs="宋体"/>
                <w:szCs w:val="21"/>
                <w:lang w:bidi="ar"/>
              </w:rPr>
              <w:t xml:space="preserve">13.过氧化氢加注方式：采用卡匣式加注。</w:t>
            </w:r>
            <w:r/>
          </w:p>
          <w:p>
            <w:pPr>
              <w:pStyle w:val="1166"/>
              <w:ind w:firstLine="0"/>
              <w:rPr>
                <w:rFonts w:hint="eastAsia" w:ascii="宋体" w:hAnsi="宋体" w:cs="宋体"/>
                <w:szCs w:val="21"/>
                <w:lang w:bidi="ar"/>
              </w:rPr>
            </w:pPr>
            <w:r>
              <w:rPr>
                <w:rFonts w:hint="eastAsia" w:ascii="宋体" w:hAnsi="宋体" w:cs="宋体"/>
                <w:szCs w:val="21"/>
                <w:lang w:bidi="ar"/>
              </w:rPr>
              <w:t xml:space="preserve">▲14.过氧化氢卡匣：卡匣胶囊式，每个卡匣12个胶囊，H2O2用量误差＜1%，PH＜2.6，54℃放置14d含量下降率＜3.1%，提供国家认可的具有资质的第三方检测机构出具的检测报告。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15.胶囊计数记忆功能：卡匣安装后，自动计算胶囊使用个数，并提示剩余胶囊个数和可运行全循环的次数。</w:t>
            </w:r>
            <w:r/>
          </w:p>
          <w:p>
            <w:pPr>
              <w:pStyle w:val="1166"/>
              <w:ind w:firstLine="0"/>
              <w:rPr>
                <w:rFonts w:hint="eastAsia" w:ascii="宋体" w:hAnsi="宋体" w:cs="宋体"/>
                <w:szCs w:val="21"/>
                <w:lang w:bidi="ar"/>
              </w:rPr>
            </w:pPr>
            <w:r>
              <w:rPr>
                <w:rFonts w:hint="eastAsia" w:ascii="宋体" w:hAnsi="宋体" w:cs="宋体"/>
                <w:szCs w:val="21"/>
                <w:lang w:bidi="ar"/>
              </w:rPr>
              <w:t xml:space="preserve">16.胶囊灌装量：5ml，误差＜1%。</w:t>
            </w:r>
            <w:r/>
          </w:p>
          <w:p>
            <w:pPr>
              <w:pStyle w:val="1166"/>
              <w:ind w:firstLine="0"/>
              <w:rPr>
                <w:rFonts w:hint="eastAsia" w:ascii="宋体" w:hAnsi="宋体" w:cs="宋体"/>
                <w:szCs w:val="21"/>
                <w:lang w:bidi="ar"/>
              </w:rPr>
            </w:pPr>
            <w:r>
              <w:rPr>
                <w:rFonts w:hint="eastAsia" w:ascii="宋体" w:hAnsi="宋体" w:cs="宋体"/>
                <w:szCs w:val="21"/>
                <w:lang w:bidi="ar"/>
              </w:rPr>
              <w:t xml:space="preserve">17.加注控制阀门：采用电磁阀，并提供原产地生产证明。</w:t>
            </w:r>
            <w:r/>
          </w:p>
          <w:p>
            <w:pPr>
              <w:pStyle w:val="1166"/>
              <w:ind w:firstLine="0"/>
              <w:rPr>
                <w:rFonts w:hint="eastAsia" w:ascii="宋体" w:hAnsi="宋体" w:cs="宋体"/>
                <w:szCs w:val="21"/>
                <w:lang w:bidi="ar"/>
              </w:rPr>
            </w:pPr>
            <w:r>
              <w:rPr>
                <w:rFonts w:hint="eastAsia" w:ascii="宋体" w:hAnsi="宋体" w:cs="宋体"/>
                <w:szCs w:val="21"/>
                <w:lang w:bidi="ar"/>
              </w:rPr>
              <w:t xml:space="preserve">▲18.过氧化氢提纯功能：具有过氧化氢提纯功能，过氧化氢提纯后浓度＞95%，提供国家认可的具有资质的第三方检测机构出具的检测报告。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19.压力传感器数量：产品设置压力传感器数量≥3个，其中检测内室压力传感器≥2个，提纯器和灭菌内室压力传感器独立设置。</w:t>
            </w:r>
            <w:r/>
          </w:p>
          <w:p>
            <w:pPr>
              <w:pStyle w:val="1166"/>
              <w:ind w:firstLine="0"/>
              <w:rPr>
                <w:rFonts w:hint="eastAsia" w:ascii="宋体" w:hAnsi="宋体" w:cs="宋体"/>
                <w:szCs w:val="21"/>
                <w:lang w:bidi="ar"/>
              </w:rPr>
            </w:pPr>
            <w:r>
              <w:rPr>
                <w:rFonts w:hint="eastAsia" w:ascii="宋体" w:hAnsi="宋体" w:cs="宋体"/>
                <w:szCs w:val="21"/>
                <w:lang w:bidi="ar"/>
              </w:rPr>
              <w:t xml:space="preserve">▲20.可实时显示过氧化氢浓度和低温等离子电压。提供佐证材料</w:t>
            </w:r>
            <w:r/>
          </w:p>
          <w:p>
            <w:pPr>
              <w:pStyle w:val="1166"/>
              <w:ind w:firstLine="0"/>
              <w:rPr>
                <w:rFonts w:hint="eastAsia" w:ascii="宋体" w:hAnsi="宋体" w:cs="宋体"/>
                <w:szCs w:val="21"/>
                <w:lang w:bidi="ar"/>
              </w:rPr>
            </w:pPr>
            <w:r>
              <w:rPr>
                <w:rFonts w:hint="eastAsia" w:ascii="宋体" w:hAnsi="宋体" w:cs="宋体"/>
                <w:szCs w:val="21"/>
                <w:lang w:bidi="ar"/>
              </w:rPr>
              <w:t xml:space="preserve">▲21.过氧化氢过滤器：产品具有排气过氧化氢气体过滤系统，周围空气中过氧化氢浓度＜0.6mg/m³，提供国家认可的具有资质的第三方检测机构出具的检测报告。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22.空气过滤器：过滤精度≤0.2μm。</w:t>
            </w:r>
            <w:r/>
          </w:p>
          <w:p>
            <w:pPr>
              <w:pStyle w:val="1166"/>
              <w:ind w:firstLine="0"/>
              <w:rPr>
                <w:rFonts w:hint="eastAsia" w:ascii="宋体" w:hAnsi="宋体" w:cs="宋体"/>
                <w:szCs w:val="21"/>
                <w:lang w:bidi="ar"/>
              </w:rPr>
            </w:pPr>
            <w:r>
              <w:rPr>
                <w:rFonts w:hint="eastAsia" w:ascii="宋体" w:hAnsi="宋体" w:cs="宋体"/>
                <w:szCs w:val="21"/>
                <w:lang w:bidi="ar"/>
              </w:rPr>
              <w:t xml:space="preserve">23.等离子电源：采用晶体管控制电源，功率≤500W，解析能力强，灭菌后聚四氟乙烯管腔中H2O2残留量＜0.003mg/cm²,不锈钢中残留量＜0.01mg/cm², 提供国家认可的具有资质的第三方检测机构出具的检测报告。系统实时监测电源功率与记录，自动判断与处理电源异常故障。</w:t>
            </w:r>
            <w:r/>
          </w:p>
          <w:p>
            <w:pPr>
              <w:pStyle w:val="1166"/>
              <w:ind w:firstLine="0"/>
              <w:rPr>
                <w:rFonts w:hint="eastAsia" w:ascii="宋体" w:hAnsi="宋体" w:cs="宋体"/>
                <w:szCs w:val="21"/>
                <w:lang w:bidi="ar"/>
              </w:rPr>
            </w:pPr>
            <w:r>
              <w:rPr>
                <w:rFonts w:hint="eastAsia" w:ascii="宋体" w:hAnsi="宋体" w:cs="宋体"/>
                <w:szCs w:val="21"/>
                <w:lang w:bidi="ar"/>
              </w:rPr>
              <w:t xml:space="preserve">24.打印机：采用微型热敏打印机：程序名称、灭菌日期、灭菌锅次、灭菌起始结束时间和灭菌过程的压力、温度、阶段时间、电源功率和结束状态等信息。</w:t>
            </w:r>
            <w:r/>
          </w:p>
          <w:p>
            <w:pPr>
              <w:pStyle w:val="1166"/>
              <w:ind w:firstLine="0"/>
              <w:rPr>
                <w:rFonts w:hint="eastAsia" w:ascii="宋体" w:hAnsi="宋体" w:cs="宋体"/>
                <w:szCs w:val="21"/>
                <w:lang w:bidi="ar"/>
              </w:rPr>
            </w:pPr>
            <w:r>
              <w:rPr>
                <w:rFonts w:hint="eastAsia" w:ascii="宋体" w:hAnsi="宋体" w:cs="宋体"/>
                <w:szCs w:val="21"/>
                <w:lang w:bidi="ar"/>
              </w:rPr>
              <w:t xml:space="preserve">▲25.软镜循环：具有软式内镜专用灭菌程序，能对内径1mm长度1000mm管腔的软式内窥镜灭菌，并提供国家认可的具有资质的第三方检测机构出具的检测报告。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26.采用PLC控制系统，≥10寸触摸屏，而非按键式操作显示屏；温度，压力，时间，循环模式，过程阶段、胶囊使用数量和报警信息等，并提供实际界面照片。</w:t>
            </w:r>
            <w:r/>
          </w:p>
          <w:p>
            <w:pPr>
              <w:pStyle w:val="1166"/>
              <w:ind w:firstLine="0"/>
              <w:rPr>
                <w:rFonts w:hint="eastAsia" w:ascii="宋体" w:hAnsi="宋体" w:cs="宋体"/>
                <w:szCs w:val="21"/>
                <w:lang w:bidi="ar"/>
              </w:rPr>
            </w:pPr>
            <w:r>
              <w:rPr>
                <w:rFonts w:hint="eastAsia" w:ascii="宋体" w:hAnsi="宋体" w:cs="宋体"/>
                <w:szCs w:val="21"/>
                <w:lang w:bidi="ar"/>
              </w:rPr>
              <w:t xml:space="preserve">27.电磁兼容性检测报告：提供国家认可的具有资质的第三方检测机构出具的检测报告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28.毒理学检测：灭菌后对细胞无毒性，确保对病员及操作人员无残留危害，提供国家认可的具有资质的第三方检测机构出具的检测报告。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29.倒计时显示：具有倒计时显示功能，可根据装载情况自动调整剩余时间，能够使操作者更加合理的安排工作时间。</w:t>
            </w:r>
            <w:r/>
          </w:p>
          <w:p>
            <w:pPr>
              <w:pStyle w:val="1166"/>
              <w:ind w:firstLine="0"/>
              <w:rPr>
                <w:rFonts w:hint="eastAsia" w:ascii="宋体" w:hAnsi="宋体" w:cs="宋体"/>
                <w:szCs w:val="21"/>
                <w:lang w:bidi="ar"/>
              </w:rPr>
            </w:pPr>
            <w:r>
              <w:rPr>
                <w:rFonts w:hint="eastAsia" w:ascii="宋体" w:hAnsi="宋体" w:cs="宋体"/>
                <w:szCs w:val="21"/>
                <w:lang w:bidi="ar"/>
              </w:rPr>
              <w:t xml:space="preserve">▲30.灭菌能力：聚四氟乙烯管腔直径≥1mm,长度≥4000mm；不锈钢管腔直径≥0.7mm,长度≥600mm；提供国家认可的具有资质的第三方检测机构出具的检测报告。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▲31.可对达芬奇机器人内镜器械灭菌，提供达芬奇机器人内镜器械灭菌认证证书。</w:t>
            </w:r>
            <w:r/>
          </w:p>
          <w:p>
            <w:pPr>
              <w:pStyle w:val="1166"/>
              <w:ind w:firstLine="0"/>
              <w:rPr>
                <w:rFonts w:hint="eastAsia" w:ascii="宋体" w:hAnsi="宋体" w:cs="宋体"/>
                <w:szCs w:val="21"/>
                <w:lang w:bidi="ar"/>
              </w:rPr>
            </w:pPr>
            <w:r>
              <w:rPr>
                <w:rFonts w:hint="eastAsia" w:ascii="宋体" w:hAnsi="宋体" w:cs="宋体"/>
                <w:szCs w:val="21"/>
                <w:lang w:bidi="ar"/>
              </w:rPr>
              <w:t xml:space="preserve">32.程序数量：根据灭菌物品特点，设置多个灭菌程序，具有对医疗器械的表面、管腔的灭菌程序和软式内镜的灭菌程序。</w:t>
            </w:r>
            <w:r/>
          </w:p>
          <w:p>
            <w:pPr>
              <w:pStyle w:val="1166"/>
              <w:ind w:firstLine="0"/>
              <w:rPr>
                <w:rFonts w:hint="eastAsia" w:ascii="宋体" w:hAnsi="宋体" w:cs="宋体"/>
                <w:szCs w:val="21"/>
                <w:lang w:bidi="ar"/>
              </w:rPr>
            </w:pPr>
            <w:r>
              <w:rPr>
                <w:rFonts w:hint="eastAsia" w:ascii="宋体" w:hAnsi="宋体" w:cs="宋体"/>
                <w:szCs w:val="21"/>
                <w:lang w:bidi="ar"/>
              </w:rPr>
              <w:t xml:space="preserve">33.程序运行时间：全循环≤52分钟；软镜循环≤42分钟；管腔循环≤55min；快速循环≤26分钟。</w:t>
            </w:r>
            <w:r/>
          </w:p>
          <w:p>
            <w:pPr>
              <w:pStyle w:val="1166"/>
              <w:ind w:firstLine="0"/>
              <w:rPr>
                <w:rFonts w:hint="eastAsia" w:ascii="宋体" w:hAnsi="宋体" w:cs="宋体"/>
                <w:szCs w:val="21"/>
                <w:lang w:bidi="ar"/>
              </w:rPr>
            </w:pPr>
            <w:r>
              <w:rPr>
                <w:rFonts w:hint="eastAsia" w:ascii="宋体" w:hAnsi="宋体" w:cs="宋体"/>
                <w:szCs w:val="21"/>
                <w:lang w:bidi="ar"/>
              </w:rPr>
              <w:t xml:space="preserve">▲34.兼容性查询：具备动态更新的器械兼容性查询系统网站（提供系统网址和器械兼容性查询截图），提供该系统兼容性查询结果盖章文件（兼容器械数量≥200种，体现不同器械品牌和型号兼容性）</w:t>
            </w:r>
            <w:r/>
          </w:p>
          <w:p>
            <w:pPr>
              <w:pStyle w:val="1070"/>
              <w:jc w:val="left"/>
              <w:widowControl/>
              <w:rPr>
                <w:rFonts w:hint="eastAsia" w:ascii="宋体" w:hAnsi="宋体" w:cs="宋体"/>
                <w:szCs w:val="21"/>
              </w:rPr>
            </w:pPr>
            <w:r>
              <w:rPr>
                <w:rFonts w:hint="eastAsia" w:ascii="宋体" w:hAnsi="宋体" w:cs="宋体"/>
                <w:szCs w:val="21"/>
                <w:lang w:bidi="ar"/>
              </w:rPr>
              <w:t xml:space="preserve">35.配置：主机1台、不锈钢篮筐2个。</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环氧乙烷灭菌器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p>
            <w:pPr>
              <w:pStyle w:val="1166"/>
              <w:ind w:firstLine="0"/>
              <w:rPr>
                <w:rFonts w:hint="eastAsia" w:ascii="宋体" w:hAnsi="宋体" w:cs="宋体"/>
                <w:szCs w:val="21"/>
                <w:lang w:bidi="ar"/>
              </w:rPr>
            </w:pPr>
            <w:r>
              <w:rPr>
                <w:rFonts w:hint="eastAsia" w:ascii="宋体" w:hAnsi="宋体" w:cs="宋体"/>
                <w:szCs w:val="21"/>
                <w:lang w:bidi="ar"/>
              </w:rPr>
              <w:t xml:space="preserve">▲1.灭菌器容积≥225L，需提供设备铭牌材料佐证 </w:t>
            </w:r>
            <w:r/>
          </w:p>
          <w:p>
            <w:pPr>
              <w:pStyle w:val="1166"/>
              <w:ind w:firstLine="0"/>
              <w:rPr>
                <w:rFonts w:hint="eastAsia" w:ascii="宋体" w:hAnsi="宋体" w:cs="宋体"/>
                <w:szCs w:val="21"/>
                <w:lang w:bidi="ar"/>
              </w:rPr>
            </w:pPr>
            <w:r>
              <w:rPr>
                <w:rFonts w:hint="eastAsia" w:ascii="宋体" w:hAnsi="宋体" w:cs="宋体"/>
                <w:szCs w:val="21"/>
                <w:lang w:bidi="ar"/>
              </w:rPr>
              <w:t xml:space="preserve">▲2.设备使用年限≥10年，需提供设备铭牌材料佐证</w:t>
            </w:r>
            <w:r/>
          </w:p>
          <w:p>
            <w:pPr>
              <w:pStyle w:val="1166"/>
              <w:ind w:firstLine="0"/>
              <w:rPr>
                <w:rFonts w:hint="eastAsia" w:ascii="宋体" w:hAnsi="宋体" w:cs="宋体"/>
                <w:szCs w:val="21"/>
                <w:lang w:bidi="ar"/>
              </w:rPr>
            </w:pPr>
            <w:r>
              <w:rPr>
                <w:rFonts w:hint="eastAsia" w:ascii="宋体" w:hAnsi="宋体" w:cs="宋体"/>
                <w:szCs w:val="21"/>
                <w:lang w:bidi="ar"/>
              </w:rPr>
              <w:t xml:space="preserve">3.采用优质航空铝材，厚度≥16mm，具有优越的导热性能，保证环氧乙烷保持100%气态。</w:t>
            </w:r>
            <w:r/>
          </w:p>
          <w:p>
            <w:pPr>
              <w:pStyle w:val="1166"/>
              <w:ind w:firstLine="0"/>
              <w:rPr>
                <w:rFonts w:hint="eastAsia" w:ascii="宋体" w:hAnsi="宋体" w:cs="宋体"/>
                <w:szCs w:val="21"/>
                <w:lang w:bidi="ar"/>
              </w:rPr>
            </w:pPr>
            <w:r>
              <w:rPr>
                <w:rFonts w:hint="eastAsia" w:ascii="宋体" w:hAnsi="宋体" w:cs="宋体"/>
                <w:szCs w:val="21"/>
                <w:lang w:bidi="ar"/>
              </w:rPr>
              <w:t xml:space="preserve">4.腔体温度控制探头数量≥2，高精度温度探头，分辨率为0.1℃，准确检测和控制灭菌温度。</w:t>
            </w:r>
            <w:r/>
          </w:p>
          <w:p>
            <w:pPr>
              <w:pStyle w:val="1166"/>
              <w:ind w:firstLine="0"/>
              <w:rPr>
                <w:rFonts w:hint="eastAsia" w:ascii="宋体" w:hAnsi="宋体" w:cs="宋体"/>
                <w:szCs w:val="21"/>
                <w:lang w:bidi="ar"/>
              </w:rPr>
            </w:pPr>
            <w:r>
              <w:rPr>
                <w:rFonts w:hint="eastAsia" w:ascii="宋体" w:hAnsi="宋体" w:cs="宋体"/>
                <w:szCs w:val="21"/>
                <w:lang w:bidi="ar"/>
              </w:rPr>
              <w:t xml:space="preserve">5、主体保温：保温棉采用阻燃纤维及硅胶布材质，具有导热系数低、防火性能好、维修拆装方便、抗老化能力强、无毒环保等特点。</w:t>
            </w:r>
            <w:r/>
          </w:p>
          <w:p>
            <w:pPr>
              <w:pStyle w:val="1166"/>
              <w:ind w:firstLine="0"/>
              <w:rPr>
                <w:rFonts w:hint="eastAsia" w:ascii="宋体" w:hAnsi="宋体" w:cs="宋体"/>
                <w:szCs w:val="21"/>
                <w:lang w:bidi="ar"/>
              </w:rPr>
            </w:pPr>
            <w:r>
              <w:rPr>
                <w:rFonts w:hint="eastAsia" w:ascii="宋体" w:hAnsi="宋体" w:cs="宋体"/>
                <w:szCs w:val="21"/>
                <w:lang w:bidi="ar"/>
              </w:rPr>
              <w:t xml:space="preserve">6.门开启方式：自动升降门；门材质采用优质铝材5052，厚度≥20mm</w:t>
            </w:r>
            <w:r/>
          </w:p>
          <w:p>
            <w:pPr>
              <w:pStyle w:val="1166"/>
              <w:ind w:firstLine="0"/>
              <w:rPr>
                <w:rFonts w:hint="eastAsia" w:ascii="宋体" w:hAnsi="宋体" w:cs="宋体"/>
                <w:szCs w:val="21"/>
                <w:lang w:bidi="ar"/>
              </w:rPr>
            </w:pPr>
            <w:r>
              <w:rPr>
                <w:rFonts w:hint="eastAsia" w:ascii="宋体" w:hAnsi="宋体" w:cs="宋体"/>
                <w:szCs w:val="21"/>
                <w:lang w:bidi="ar"/>
              </w:rPr>
              <w:t xml:space="preserve">7.环氧乙烷灭菌器+分解器，将有害气体分解为二氧化碳和水。</w:t>
            </w:r>
            <w:r/>
          </w:p>
          <w:p>
            <w:pPr>
              <w:pStyle w:val="1166"/>
              <w:ind w:firstLine="0"/>
              <w:rPr>
                <w:rFonts w:hint="eastAsia" w:ascii="宋体" w:hAnsi="宋体" w:cs="宋体"/>
                <w:szCs w:val="21"/>
                <w:lang w:bidi="ar"/>
              </w:rPr>
            </w:pPr>
            <w:r>
              <w:rPr>
                <w:rFonts w:hint="eastAsia" w:ascii="宋体" w:hAnsi="宋体" w:cs="宋体"/>
                <w:szCs w:val="21"/>
                <w:lang w:bidi="ar"/>
              </w:rPr>
              <w:t xml:space="preserve">8.门板加热功能：带加热膜，确保门板温度和内室温度一致，使灭菌物品受热均匀</w:t>
            </w:r>
            <w:r/>
          </w:p>
          <w:p>
            <w:pPr>
              <w:pStyle w:val="1166"/>
              <w:ind w:firstLine="0"/>
              <w:rPr>
                <w:rFonts w:hint="eastAsia" w:ascii="宋体" w:hAnsi="宋体" w:cs="宋体"/>
                <w:szCs w:val="21"/>
                <w:lang w:bidi="ar"/>
              </w:rPr>
            </w:pPr>
            <w:r>
              <w:rPr>
                <w:rFonts w:hint="eastAsia" w:ascii="宋体" w:hAnsi="宋体" w:cs="宋体"/>
                <w:szCs w:val="21"/>
                <w:lang w:bidi="ar"/>
              </w:rPr>
              <w:t xml:space="preserve">能满足软式内镜灭菌处理的要求</w:t>
            </w:r>
            <w:r/>
          </w:p>
          <w:p>
            <w:pPr>
              <w:pStyle w:val="1166"/>
              <w:ind w:firstLine="0"/>
              <w:rPr>
                <w:rFonts w:hint="eastAsia" w:ascii="宋体" w:hAnsi="宋体" w:cs="宋体"/>
                <w:szCs w:val="21"/>
                <w:lang w:bidi="ar"/>
              </w:rPr>
            </w:pPr>
            <w:r>
              <w:rPr>
                <w:rFonts w:hint="eastAsia" w:ascii="宋体" w:hAnsi="宋体" w:cs="宋体"/>
                <w:szCs w:val="21"/>
                <w:lang w:bidi="ar"/>
              </w:rPr>
              <w:t xml:space="preserve">9.门板温度控制探头数量≥1，高精度温度探头，分辨率为0.1℃，准确检测和控制灭菌温度。</w:t>
            </w:r>
            <w:r/>
          </w:p>
          <w:p>
            <w:pPr>
              <w:pStyle w:val="1166"/>
              <w:ind w:firstLine="0"/>
              <w:rPr>
                <w:rFonts w:hint="eastAsia" w:ascii="宋体" w:hAnsi="宋体" w:cs="宋体"/>
                <w:szCs w:val="21"/>
                <w:lang w:bidi="ar"/>
              </w:rPr>
            </w:pPr>
            <w:r>
              <w:rPr>
                <w:rFonts w:hint="eastAsia" w:ascii="宋体" w:hAnsi="宋体" w:cs="宋体"/>
                <w:szCs w:val="21"/>
                <w:lang w:bidi="ar"/>
              </w:rPr>
              <w:t xml:space="preserve">10.具有门障碍开关功能。</w:t>
            </w:r>
            <w:r/>
          </w:p>
          <w:p>
            <w:pPr>
              <w:pStyle w:val="1166"/>
              <w:ind w:firstLine="0"/>
              <w:rPr>
                <w:rFonts w:hint="eastAsia" w:ascii="宋体" w:hAnsi="宋体" w:cs="宋体"/>
                <w:szCs w:val="21"/>
                <w:lang w:bidi="ar"/>
              </w:rPr>
            </w:pPr>
            <w:r>
              <w:rPr>
                <w:rFonts w:hint="eastAsia" w:ascii="宋体" w:hAnsi="宋体" w:cs="宋体"/>
                <w:szCs w:val="21"/>
                <w:lang w:bidi="ar"/>
              </w:rPr>
              <w:t xml:space="preserve">11.真空系统：采用无油真空泵，流量130L/min，无需外置压缩气源系统；</w:t>
            </w:r>
            <w:r/>
          </w:p>
          <w:p>
            <w:pPr>
              <w:pStyle w:val="1166"/>
              <w:ind w:firstLine="0"/>
              <w:rPr>
                <w:rFonts w:hint="eastAsia" w:ascii="宋体" w:hAnsi="宋体" w:cs="宋体"/>
                <w:szCs w:val="21"/>
                <w:lang w:bidi="ar"/>
              </w:rPr>
            </w:pPr>
            <w:r>
              <w:rPr>
                <w:rFonts w:hint="eastAsia" w:ascii="宋体" w:hAnsi="宋体" w:cs="宋体"/>
                <w:szCs w:val="21"/>
                <w:lang w:bidi="ar"/>
              </w:rPr>
              <w:t xml:space="preserve">12.采用气动阀，压缩气0.4-0.7MPa，动作400万次无故障</w:t>
            </w:r>
            <w:r/>
          </w:p>
          <w:p>
            <w:pPr>
              <w:pStyle w:val="1166"/>
              <w:ind w:firstLine="0"/>
              <w:rPr>
                <w:rFonts w:hint="eastAsia" w:ascii="宋体" w:hAnsi="宋体" w:cs="宋体"/>
                <w:szCs w:val="21"/>
                <w:lang w:bidi="ar"/>
              </w:rPr>
            </w:pPr>
            <w:r>
              <w:rPr>
                <w:rFonts w:hint="eastAsia" w:ascii="宋体" w:hAnsi="宋体" w:cs="宋体"/>
                <w:szCs w:val="21"/>
                <w:lang w:bidi="ar"/>
              </w:rPr>
              <w:t xml:space="preserve">13.产品设置压力传感器：数量2个，当压力传感器1故障时,压力传感器2自动开始工作，保证设备安全性和操作者的安全；测量范围0-0.1MPa，精度0.25%</w:t>
            </w:r>
            <w:r/>
          </w:p>
          <w:p>
            <w:pPr>
              <w:pStyle w:val="1166"/>
              <w:ind w:firstLine="0"/>
              <w:rPr>
                <w:rFonts w:hint="eastAsia" w:ascii="宋体" w:hAnsi="宋体" w:cs="宋体"/>
                <w:szCs w:val="21"/>
                <w:lang w:bidi="ar"/>
              </w:rPr>
            </w:pPr>
            <w:r>
              <w:rPr>
                <w:rFonts w:hint="eastAsia" w:ascii="宋体" w:hAnsi="宋体" w:cs="宋体"/>
                <w:szCs w:val="21"/>
                <w:lang w:bidi="ar"/>
              </w:rPr>
              <w:t xml:space="preserve">14.采用PLC控制系统，≥8寸触摸屏，而非按键式操作显示屏；中文显示灭菌过程的温度，压力，湿度，时间，循环模式，过程阶段，报警信息提示等，并提供实际界面照片。</w:t>
            </w:r>
            <w:r/>
          </w:p>
          <w:p>
            <w:pPr>
              <w:pStyle w:val="1166"/>
              <w:ind w:firstLine="0"/>
              <w:rPr>
                <w:rFonts w:hint="eastAsia" w:ascii="宋体" w:hAnsi="宋体" w:cs="宋体"/>
                <w:szCs w:val="21"/>
                <w:lang w:bidi="ar"/>
              </w:rPr>
            </w:pPr>
            <w:r>
              <w:rPr>
                <w:rFonts w:hint="eastAsia" w:ascii="宋体" w:hAnsi="宋体" w:cs="宋体"/>
                <w:szCs w:val="21"/>
                <w:lang w:bidi="ar"/>
              </w:rPr>
              <w:t xml:space="preserve">15.打印方式：具有曲线打印、报表打印、结论式打印三种方式，可重复打印上一锅次记录，并提供打印样品。</w:t>
            </w:r>
            <w:r/>
          </w:p>
          <w:p>
            <w:pPr>
              <w:pStyle w:val="1166"/>
              <w:ind w:firstLine="0"/>
              <w:rPr>
                <w:rFonts w:hint="eastAsia" w:ascii="宋体" w:hAnsi="宋体" w:cs="宋体"/>
                <w:szCs w:val="21"/>
                <w:lang w:bidi="ar"/>
              </w:rPr>
            </w:pPr>
            <w:r>
              <w:rPr>
                <w:rFonts w:hint="eastAsia" w:ascii="宋体" w:hAnsi="宋体" w:cs="宋体"/>
                <w:szCs w:val="21"/>
                <w:lang w:bidi="ar"/>
              </w:rPr>
              <w:t xml:space="preserve">16.打印记录内容：程序名称、灭菌日期、灭菌起始结束时间和灭菌过程的压力、温度、湿度和阶段时间,报警代码等信息，并提供打印样品。</w:t>
            </w:r>
            <w:r/>
          </w:p>
          <w:p>
            <w:pPr>
              <w:pStyle w:val="1166"/>
              <w:ind w:firstLine="0"/>
              <w:rPr>
                <w:rFonts w:hint="eastAsia" w:ascii="宋体" w:hAnsi="宋体" w:cs="宋体"/>
                <w:szCs w:val="21"/>
                <w:lang w:bidi="ar"/>
              </w:rPr>
            </w:pPr>
            <w:r>
              <w:rPr>
                <w:rFonts w:hint="eastAsia" w:ascii="宋体" w:hAnsi="宋体" w:cs="宋体"/>
                <w:szCs w:val="21"/>
                <w:lang w:bidi="ar"/>
              </w:rPr>
              <w:t xml:space="preserve">17.设有37℃和55℃两种程序，未运行程序前可随时切换灭菌温度,方便用户及时针对灭菌物品选择合适的灭菌温度。</w:t>
            </w:r>
            <w:r/>
          </w:p>
          <w:p>
            <w:pPr>
              <w:pStyle w:val="1166"/>
              <w:ind w:firstLine="0"/>
              <w:rPr>
                <w:rFonts w:hint="eastAsia" w:ascii="宋体" w:hAnsi="宋体" w:cs="宋体"/>
                <w:szCs w:val="21"/>
                <w:lang w:bidi="ar"/>
              </w:rPr>
            </w:pPr>
            <w:r>
              <w:rPr>
                <w:rFonts w:hint="eastAsia" w:ascii="宋体" w:hAnsi="宋体" w:cs="宋体"/>
                <w:szCs w:val="21"/>
                <w:lang w:bidi="ar"/>
              </w:rPr>
              <w:t xml:space="preserve">18.断电记忆保持功能：停电后可以记忆灭菌信息，待恢复供电后继续工作无须重新启动程序。</w:t>
            </w:r>
            <w:r/>
          </w:p>
          <w:p>
            <w:pPr>
              <w:pStyle w:val="1166"/>
              <w:ind w:firstLine="0"/>
              <w:rPr>
                <w:rFonts w:hint="eastAsia" w:ascii="宋体" w:hAnsi="宋体" w:cs="宋体"/>
                <w:szCs w:val="21"/>
                <w:lang w:bidi="ar"/>
              </w:rPr>
            </w:pPr>
            <w:r>
              <w:rPr>
                <w:rFonts w:hint="eastAsia" w:ascii="宋体" w:hAnsi="宋体" w:cs="宋体"/>
                <w:szCs w:val="21"/>
                <w:lang w:bidi="ar"/>
              </w:rPr>
              <w:t xml:space="preserve">19.开门通风功能：灭菌完成后，15分钟后开门,则按开门按钮后,进行一次通风处理,避免操作人员接触物品残留环氧乙烷。</w:t>
            </w:r>
            <w:r/>
          </w:p>
          <w:p>
            <w:pPr>
              <w:pStyle w:val="1166"/>
              <w:ind w:firstLine="0"/>
              <w:rPr>
                <w:rFonts w:hint="eastAsia" w:ascii="宋体" w:hAnsi="宋体" w:cs="宋体"/>
                <w:szCs w:val="21"/>
                <w:lang w:bidi="ar"/>
              </w:rPr>
            </w:pPr>
            <w:r>
              <w:rPr>
                <w:rFonts w:hint="eastAsia" w:ascii="宋体" w:hAnsi="宋体" w:cs="宋体"/>
                <w:szCs w:val="21"/>
                <w:lang w:bidi="ar"/>
              </w:rPr>
              <w:t xml:space="preserve">▲20.负压工作系统:负压循环过程安全可靠，机器运行期间和灭菌结束后环境环氧乙烷浓度分别小于0.840mg/m³和0.160mg/m³，并提供国家认可的具有资质的第三方检测机构出具的检测报告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21.器械中环氧乙烷残留量检测报告：提供国家认可的具有资质的第三方检测机构出具的检测报告；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22.电磁兼容性检测报告：提供国家认可的具有资质的第三方检测机构出具的检测报告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▲23.环氧乙烷尾气处理器净化效果:废气中环氧乙烷浓度低于120mg/m³，具有CMA认证资格的第三方检测机构出具的检测报告</w:t>
            </w:r>
            <w:r/>
          </w:p>
          <w:p>
            <w:pPr>
              <w:pStyle w:val="1166"/>
              <w:ind w:firstLine="0"/>
              <w:rPr>
                <w:rFonts w:hint="eastAsia" w:ascii="宋体" w:hAnsi="宋体" w:cs="宋体"/>
                <w:szCs w:val="21"/>
                <w:lang w:bidi="ar"/>
              </w:rPr>
            </w:pPr>
            <w:r>
              <w:rPr>
                <w:rFonts w:hint="eastAsia" w:ascii="宋体" w:hAnsi="宋体" w:cs="宋体"/>
                <w:szCs w:val="21"/>
                <w:lang w:bidi="ar"/>
              </w:rPr>
              <w:t xml:space="preserve">24.尾气处理器具备开机自检功能</w:t>
            </w:r>
            <w:r/>
          </w:p>
          <w:p>
            <w:pPr>
              <w:pStyle w:val="1166"/>
              <w:ind w:firstLine="0"/>
              <w:rPr>
                <w:rFonts w:hint="eastAsia" w:ascii="宋体" w:hAnsi="宋体" w:cs="宋体"/>
                <w:szCs w:val="21"/>
                <w:lang w:bidi="ar"/>
              </w:rPr>
            </w:pPr>
            <w:r>
              <w:rPr>
                <w:rFonts w:hint="eastAsia" w:ascii="宋体" w:hAnsi="宋体" w:cs="宋体"/>
                <w:szCs w:val="21"/>
                <w:lang w:bidi="ar"/>
              </w:rPr>
              <w:t xml:space="preserve">25.尾气处理器自我监测系统：分解过程中自动监测设备运行状况，出现故障停止分解，转应急状态处理</w:t>
            </w:r>
            <w:r/>
          </w:p>
          <w:p>
            <w:pPr>
              <w:pStyle w:val="1166"/>
              <w:ind w:firstLine="0"/>
              <w:rPr>
                <w:rFonts w:hint="eastAsia" w:ascii="宋体" w:hAnsi="宋体" w:cs="宋体"/>
                <w:szCs w:val="21"/>
                <w:lang w:bidi="ar"/>
              </w:rPr>
            </w:pPr>
            <w:r>
              <w:rPr>
                <w:rFonts w:hint="eastAsia" w:ascii="宋体" w:hAnsi="宋体" w:cs="宋体"/>
                <w:szCs w:val="21"/>
                <w:lang w:bidi="ar"/>
              </w:rPr>
              <w:t xml:space="preserve">26.尾气处理器全自动控制：一键式启动，与灭菌器联动控制自动运行，操作简单，只需启动灭菌器尾气处理器自动运行</w:t>
            </w:r>
            <w:r/>
          </w:p>
          <w:p>
            <w:pPr>
              <w:pStyle w:val="1166"/>
              <w:ind w:firstLine="0"/>
              <w:rPr>
                <w:rFonts w:hint="eastAsia" w:ascii="宋体" w:hAnsi="宋体" w:cs="宋体"/>
                <w:szCs w:val="21"/>
                <w:lang w:bidi="ar"/>
              </w:rPr>
            </w:pPr>
            <w:r>
              <w:rPr>
                <w:rFonts w:hint="eastAsia" w:ascii="宋体" w:hAnsi="宋体" w:cs="宋体"/>
                <w:szCs w:val="21"/>
                <w:lang w:bidi="ar"/>
              </w:rPr>
              <w:t xml:space="preserve">▲27.尾气处理器自动提示更换催化剂功能（提供屏幕照片材料佐证）</w:t>
            </w:r>
            <w:r/>
          </w:p>
          <w:p>
            <w:pPr>
              <w:pStyle w:val="1166"/>
              <w:ind w:firstLine="0"/>
              <w:rPr>
                <w:rFonts w:hint="eastAsia" w:ascii="宋体" w:hAnsi="宋体" w:cs="宋体"/>
                <w:szCs w:val="21"/>
                <w:lang w:bidi="ar"/>
              </w:rPr>
            </w:pPr>
            <w:r>
              <w:rPr>
                <w:rFonts w:hint="eastAsia" w:ascii="宋体" w:hAnsi="宋体" w:cs="宋体"/>
                <w:szCs w:val="21"/>
                <w:lang w:bidi="ar"/>
              </w:rPr>
              <w:t xml:space="preserve">28.尾气处理器排气浓度实时监测</w:t>
            </w:r>
            <w:r/>
          </w:p>
          <w:p>
            <w:pPr>
              <w:pStyle w:val="1166"/>
              <w:ind w:firstLine="0"/>
              <w:rPr>
                <w:rFonts w:hint="eastAsia" w:ascii="宋体" w:hAnsi="宋体" w:cs="宋体"/>
                <w:szCs w:val="21"/>
                <w:lang w:bidi="ar"/>
              </w:rPr>
            </w:pPr>
            <w:r>
              <w:rPr>
                <w:rFonts w:hint="eastAsia" w:ascii="宋体" w:hAnsi="宋体" w:cs="宋体"/>
                <w:szCs w:val="21"/>
                <w:lang w:bidi="ar"/>
              </w:rPr>
              <w:t xml:space="preserve">▲29.交互方式：环氧乙烷灭菌器的触摸屏会实时显示温度、风速、运行阶段等运行参数（无需再用专门显示器），支持在环氧乙烷触摸屏界面上实现对尾气处理器的参数设置、运行查看、历史报警查看、耗材使用情况等功能（提供屏幕照片材料佐证）</w:t>
            </w:r>
            <w:r/>
          </w:p>
          <w:p>
            <w:pPr>
              <w:pStyle w:val="1166"/>
              <w:ind w:firstLine="0"/>
              <w:rPr>
                <w:rFonts w:hint="eastAsia" w:ascii="宋体" w:hAnsi="宋体" w:cs="宋体"/>
                <w:szCs w:val="21"/>
                <w:lang w:bidi="ar"/>
              </w:rPr>
            </w:pPr>
            <w:r>
              <w:rPr>
                <w:rFonts w:hint="eastAsia" w:ascii="宋体" w:hAnsi="宋体" w:cs="宋体"/>
                <w:szCs w:val="21"/>
                <w:lang w:bidi="ar"/>
              </w:rPr>
              <w:t xml:space="preserve">30.安装方式：室内安装或室外安装</w:t>
            </w:r>
            <w:r/>
          </w:p>
          <w:p>
            <w:pPr>
              <w:pStyle w:val="1166"/>
              <w:ind w:firstLine="0"/>
              <w:rPr>
                <w:rFonts w:hint="eastAsia" w:ascii="宋体" w:hAnsi="宋体" w:cs="宋体"/>
                <w:szCs w:val="21"/>
                <w:lang w:bidi="ar"/>
              </w:rPr>
            </w:pPr>
            <w:r>
              <w:rPr>
                <w:rFonts w:hint="eastAsia" w:ascii="宋体" w:hAnsi="宋体" w:cs="宋体"/>
                <w:szCs w:val="21"/>
                <w:lang w:bidi="ar"/>
              </w:rPr>
              <w:t xml:space="preserve">31.尾气处理器远程控制：可在100米处远程控制尾气处理器</w:t>
            </w:r>
            <w:r/>
          </w:p>
          <w:p>
            <w:pPr>
              <w:pStyle w:val="1070"/>
              <w:jc w:val="left"/>
              <w:widowControl/>
              <w:rPr>
                <w:rFonts w:hint="eastAsia" w:ascii="宋体" w:hAnsi="宋体" w:cs="宋体"/>
                <w:szCs w:val="21"/>
              </w:rPr>
            </w:pPr>
            <w:r>
              <w:rPr>
                <w:rFonts w:hint="eastAsia" w:ascii="宋体" w:hAnsi="宋体" w:cs="宋体"/>
                <w:szCs w:val="21"/>
                <w:lang w:bidi="ar"/>
              </w:rPr>
              <w:t xml:space="preserve">32.配置：环氧乙烷灭菌器主机一台、不锈钢篮筐3个、解毒器1台</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pStyle w:val="1070"/>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1070"/>
              <w:jc w:val="left"/>
              <w:widowControl/>
              <w:rPr>
                <w:rFonts w:hint="eastAsia" w:ascii="宋体" w:hAnsi="宋体" w:cs="宋体"/>
                <w:szCs w:val="21"/>
              </w:rPr>
            </w:pPr>
            <w:r>
              <w:rPr>
                <w:rFonts w:hint="eastAsia" w:ascii="宋体" w:hAnsi="宋体" w:cs="宋体"/>
                <w:szCs w:val="21"/>
                <w:lang w:bidi="ar"/>
              </w:rPr>
              <w:t xml:space="preserve">仓储物流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8" w:type="pct"/>
            <w:vAlign w:val="center"/>
            <w:textDirection w:val="lrTb"/>
            <w:noWrap w:val="false"/>
          </w:tcPr>
          <w:tbl>
            <w:tblPr>
              <w:tblW w:w="4998"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715"/>
              <w:gridCol w:w="894"/>
              <w:gridCol w:w="938"/>
              <w:gridCol w:w="5267"/>
            </w:tblGrid>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参数要求</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清洗工作台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2、底部带疏列式隔板；</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3、底部带4寸万向轮(含刹)×2，4寸万向轮×2，方便移动；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4、尺寸1800×1100×800mm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器械检查打包台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2.配置：LED灯×2，顶隔板×1，斜口篮筐×6，翻转储物盒×4组，5孔插座×9，网线接口×2，开关×2，气源座×2，4寸万向轮(含刹)×4，双层抽屉x2；</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3.尺寸2000×1300×1800/850mm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气枪（可调节压力）</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1、枪体采用SUS304不锈钢，配备八个螺旋式清洗喷嘴，清洗喷嘴与枪体之间可以任意更换，适合不同类型的内镜管道，对内镜管道及手术器械管壁进行彻底冲洗；耐受压力0-0.75MPa；</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2、手握轻便，开、关、水压、气压的调节完全由喷枪扳手控制，带有八个常用喷头、可分别用于水冲洗和压缩空气干燥； </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包布检查打包台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1.材质：台面理化板，其余不锈钢；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2.配置：内嵌式检查灯×1，4寸万向轮(含刹)×4；3.带光源</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4.尺寸2000×1300×850mm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多功能台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2.配置：LED灯×1，斜口篮筐×3，翻转储物盒×2组，5孔插座×7，网线接口×1，开关×1，气源座×1，4寸万向轮(含刹)×4；</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3.尺寸2000×800×1800/850mm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器械检查放大镜</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带光源，多角度，放大倍数 5倍。</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精益物品存放柜</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1、材质304不锈钢；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2、双门，对开门；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3、柜门带透视窗，美观整洁，方便柜内物品的观察</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4、2套器械双面挂架，挂架可抽拉，每套挂架配套10层挂杆，每层挂杆最多放10个挂钩；</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5、配置闩锁；</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6、尺寸：960×660×1800 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包布车</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1、不锈钢材质；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2、3列横架，结构简单，造型美观；</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3、可存放不同规格的包布或包装纸；</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4、底部带4寸万向轮(含刹)×2，4寸万向轮×2，方便移动；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5、尺寸： 1025×385×910mm。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电动升降传递窗</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2、电动升降、按钮控制、操作简单方便；</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3、采用钢化玻璃视窗、透明度高、整洁美观；</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4、外形尺寸：930×100×1660mm，通道尺寸：710×790mm。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trike/>
                      <w:szCs w:val="21"/>
                      <w:lang w:bidi="ar"/>
                    </w:rPr>
                  </w:pPr>
                  <w:r>
                    <w:rPr>
                      <w:rFonts w:hint="eastAsia" w:ascii="宋体" w:hAnsi="宋体" w:cs="宋体"/>
                      <w:szCs w:val="21"/>
                      <w:lang w:bidi="ar"/>
                    </w:rPr>
                    <w:t xml:space="preserve">10</w:t>
                  </w:r>
                  <w:r>
                    <w:rPr>
                      <w:rFonts w:hint="eastAsia" w:ascii="宋体" w:hAnsi="宋体" w:cs="宋体"/>
                      <w:strike/>
                      <w:szCs w:val="21"/>
                      <w:lang w:bidi="ar"/>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trike/>
                      <w:szCs w:val="21"/>
                      <w:lang w:bidi="ar"/>
                    </w:rPr>
                  </w:pPr>
                  <w:r>
                    <w:rPr>
                      <w:rFonts w:hint="eastAsia" w:ascii="宋体" w:hAnsi="宋体" w:cs="宋体"/>
                      <w:szCs w:val="21"/>
                      <w:lang w:bidi="ar"/>
                    </w:rPr>
                    <w:t xml:space="preserve">智能洗手盆</w:t>
                  </w:r>
                  <w:r>
                    <w:rPr>
                      <w:rFonts w:hint="eastAsia" w:ascii="宋体" w:hAnsi="宋体" w:cs="宋体"/>
                      <w:strike/>
                      <w:szCs w:val="21"/>
                      <w:lang w:bidi="ar"/>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trike/>
                      <w:szCs w:val="21"/>
                      <w:lang w:bidi="ar"/>
                    </w:rPr>
                  </w:pPr>
                  <w:r>
                    <w:rPr>
                      <w:rFonts w:hint="eastAsia" w:ascii="宋体" w:hAnsi="宋体" w:cs="宋体"/>
                      <w:szCs w:val="21"/>
                      <w:lang w:bidi="ar"/>
                    </w:rPr>
                    <w:t xml:space="preserve">3</w:t>
                  </w:r>
                  <w:r>
                    <w:rPr>
                      <w:rFonts w:hint="eastAsia" w:ascii="宋体" w:hAnsi="宋体" w:cs="宋体"/>
                      <w:strike/>
                      <w:szCs w:val="21"/>
                      <w:lang w:bidi="ar"/>
                    </w:rPr>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1.防溅水设计；</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2.集成皂液、出水、手消功能，感应出液，集中完成手部的清洗、消毒；</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3.盆体材质：陶瓷；</w:t>
                  </w:r>
                  <w:r/>
                </w:p>
                <w:p>
                  <w:pPr>
                    <w:pStyle w:val="1070"/>
                    <w:jc w:val="left"/>
                    <w:spacing w:line="360" w:lineRule="atLeast"/>
                    <w:widowControl/>
                    <w:rPr>
                      <w:rFonts w:hint="eastAsia" w:ascii="宋体" w:hAnsi="宋体" w:cs="宋体"/>
                      <w:strike/>
                      <w:szCs w:val="21"/>
                      <w:lang w:bidi="ar"/>
                    </w:rPr>
                  </w:pPr>
                  <w:r>
                    <w:rPr>
                      <w:rFonts w:hint="eastAsia" w:ascii="宋体" w:hAnsi="宋体" w:cs="宋体"/>
                      <w:szCs w:val="21"/>
                      <w:lang w:bidi="ar"/>
                    </w:rPr>
                    <w:t xml:space="preserve">4.700 x 618（W×D、单人位）</w:t>
                  </w:r>
                  <w:r>
                    <w:rPr>
                      <w:rFonts w:hint="eastAsia" w:ascii="宋体" w:hAnsi="宋体" w:cs="宋体"/>
                      <w:szCs w:val="21"/>
                    </w:rPr>
                    <w:t xml:space="preserve">（±10mm）</w:t>
                  </w:r>
                  <w:r>
                    <w:rPr>
                      <w:rFonts w:hint="eastAsia" w:ascii="宋体" w:hAnsi="宋体" w:cs="宋体"/>
                      <w:szCs w:val="21"/>
                      <w:lang w:bidi="ar"/>
                    </w:rPr>
                    <w:t xml:space="preserve">，壁挂式水龙头</w:t>
                  </w:r>
                  <w:r>
                    <w:rPr>
                      <w:rFonts w:hint="eastAsia" w:ascii="宋体" w:hAnsi="宋体" w:cs="宋体"/>
                      <w:strike/>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接收台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2、单侧带3个抽屉和1个橱柜，方便物品存放；</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3、尺寸：1100×600×800mm</w:t>
                  </w:r>
                  <w:r>
                    <w:rPr>
                      <w:rFonts w:hint="eastAsia" w:ascii="宋体" w:hAnsi="宋体" w:cs="宋体"/>
                      <w:szCs w:val="21"/>
                    </w:rPr>
                    <w:t xml:space="preserve">（±10mm）</w:t>
                  </w:r>
                  <w:r>
                    <w:rPr>
                      <w:rFonts w:hint="eastAsia" w:ascii="宋体" w:hAnsi="宋体" w:cs="宋体"/>
                      <w:szCs w:val="21"/>
                      <w:lang w:bidi="ar"/>
                    </w:rPr>
                    <w:t xml:space="preserve">；</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器械柜</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2、双门，外开门；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3、标配4层平板隔板，5层空间，层距300mm（搁板间距可调）；</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4、柜门带玻璃视窗，美观整洁，方便柜内物品的观察；</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5、单块搁板的最大承重为：40Kg；</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6、尺寸：1200×450×1750mm</w:t>
                  </w:r>
                  <w:r>
                    <w:rPr>
                      <w:rFonts w:hint="eastAsia" w:ascii="宋体" w:hAnsi="宋体" w:cs="宋体"/>
                      <w:szCs w:val="21"/>
                    </w:rPr>
                    <w:t xml:space="preserve">（±10mm）</w:t>
                  </w:r>
                  <w:r>
                    <w:rPr>
                      <w:rFonts w:hint="eastAsia" w:ascii="宋体" w:hAnsi="宋体" w:cs="宋体"/>
                      <w:szCs w:val="21"/>
                      <w:lang w:bidi="ar"/>
                    </w:rPr>
                    <w:t xml:space="preserve">。</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贮槽平台车</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1、304不锈钢材质；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2、上下双槽结构，结构轻巧，推拉方便，便于各种物品的运输；</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3、槽体的深度100mm</w:t>
                  </w:r>
                  <w:r>
                    <w:rPr>
                      <w:rFonts w:hint="eastAsia" w:ascii="宋体" w:hAnsi="宋体" w:cs="宋体"/>
                      <w:szCs w:val="21"/>
                    </w:rPr>
                    <w:t xml:space="preserve">（±10mm）</w:t>
                  </w:r>
                  <w:r>
                    <w:rPr>
                      <w:rFonts w:hint="eastAsia" w:ascii="宋体" w:hAnsi="宋体" w:cs="宋体"/>
                      <w:szCs w:val="21"/>
                      <w:lang w:bidi="ar"/>
                    </w:rPr>
                    <w:t xml:space="preserve">；</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4、底部带脚轮，方便移动；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5、单槽的最大承重为：≥35Kg，车子的最大承重为:≥70Kg；</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6、尺寸：900×500×940mm</w:t>
                  </w:r>
                  <w:r>
                    <w:rPr>
                      <w:rFonts w:hint="eastAsia" w:ascii="宋体" w:hAnsi="宋体" w:cs="宋体"/>
                      <w:szCs w:val="21"/>
                    </w:rPr>
                    <w:t xml:space="preserve">（±10mm）</w:t>
                  </w:r>
                  <w:r>
                    <w:rPr>
                      <w:rFonts w:hint="eastAsia" w:ascii="宋体" w:hAnsi="宋体" w:cs="宋体"/>
                      <w:szCs w:val="21"/>
                      <w:lang w:bidi="ar"/>
                    </w:rPr>
                    <w:t xml:space="preserve">。       </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密封下送车</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1、不锈钢材质；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2、门带有密封胶条，密封性好；</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3、门能旋转至270°，节约空间；</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4、内置搁板x1，高度可调；</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5、车体采用一体化焊接，车体运行时噪音小；</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6、底部带6寸万向轮×2，6寸定向轮×2，方便移动。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7、采用连杆锁，操作简单灵活，门锁与把手功能集成；</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8、车底盘四角安装有尼龙防撞块</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9.外形尺寸：1060×690×1050mm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电动密封下送车（尺寸满足配送需求）</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1、锈钢材质，配置充电电池、电动机、控制系统；</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2、前轮定向充气驱动轮，后轮万向轮；</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3、内置一层可拆卸隔板，顶部安装采围栏，；</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4、配置液晶显示屏，实时显示剩余电量；</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5、配置急停开关；</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6、电机配置断电自锁功能；</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7、底部四周配有防撞块；</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8、充电时间约≤10h；</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9、额定载重≥200kg满载续航时间≥3.5h；</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10、满载续航里程≥20km</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11、满载额定爬坡角度≥13°；</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12、前进速度0~3m/s范围内可调。</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13.外形尺寸：1220×690×1300mm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包布车</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1、不锈钢材质；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2、4列横架，结构简单，造型美观；</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3、可存放不同规格的包布或包装纸；</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4、底部带4寸万向轮(含刹)×2，4寸万向轮×2，方便移动；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5、带无纺布压块，防止运输途中，无纺布脱落；</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6、外形尺寸：1360×540×1055mm</w:t>
                  </w:r>
                  <w:r>
                    <w:rPr>
                      <w:rFonts w:hint="eastAsia" w:ascii="宋体" w:hAnsi="宋体" w:cs="宋体"/>
                      <w:szCs w:val="21"/>
                    </w:rPr>
                    <w:t xml:space="preserve">（±10mm）</w:t>
                  </w:r>
                  <w:r>
                    <w:rPr>
                      <w:rFonts w:hint="eastAsia" w:ascii="宋体" w:hAnsi="宋体" w:cs="宋体"/>
                      <w:szCs w:val="21"/>
                      <w:lang w:bidi="ar"/>
                    </w:rPr>
                    <w:t xml:space="preserve">。</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电脑工作台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2.配置：键盘托×1，抽屉×1，主机存放柜×1；</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3.外形尺寸：1100×600×800mm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污物接收台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2、底部带一层搁板；</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3、底部4寸万向轮(含刹)×2，4寸万向轮×2；</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4、外形尺寸：1100×600×800mm</w:t>
                  </w:r>
                  <w:r>
                    <w:rPr>
                      <w:rFonts w:hint="eastAsia" w:ascii="宋体" w:hAnsi="宋体" w:cs="宋体"/>
                      <w:szCs w:val="21"/>
                    </w:rPr>
                    <w:t xml:space="preserve">（±10mm）</w:t>
                  </w:r>
                  <w:r>
                    <w:rPr>
                      <w:rFonts w:hint="eastAsia" w:ascii="宋体" w:hAnsi="宋体" w:cs="宋体"/>
                      <w:szCs w:val="21"/>
                      <w:lang w:bidi="ar"/>
                    </w:rPr>
                    <w:t xml:space="preserve">；  </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洗眼器</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1、公称压力：≤1.0Mpa；</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2、工作压力：0.2~0.4Mpa；</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3、洗眼流量：≥11.4L/min。</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内镜转运车</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1.车体使用全钢质结构，表面喷塑处理，两层盘式装载，四方向旋转脚轮，带脚轮锁</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2.前后均可推拉，承载容器可单独进行消毒，可同时运送多条不同品牌内镜及多种手术器械，避免与污染后的器材造成交叉感染。</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各类清洗篮筐、精密器械篮筐</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清洗篮筐、精密器械篮筐</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灭菌篮筐</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1.材质304不锈钢</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2.外形尺寸：585×395×200mm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灭菌消毒内车</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1.可与灭菌器配套使用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2.全不锈钢支架结构，层间距可调节，电抛光处理。</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3.尺寸：980×1460×1370mm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高压水枪（洗车间）</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1.工作流量5-6.5L/min</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2.压力6.5-10MPa</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清洗架转运车</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1.可与全自动清洗机配套使用</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2.全不锈钢支架结构。</w:t>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电动污车（尺寸满足配送需求）</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1、不锈钢材质，配置充电电池、电动机、控制系统；</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2、前轮定向充气驱动轮，后轮万向轮；</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3、内置一层可拆卸隔板，顶部安装采围栏，；</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4、配置液晶显示屏，实时显示剩余电量；</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5、配置急停开关；</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6、电机配置断电自锁功能；</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7、底部四周配有防撞块；</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8、充电时间≤10h；</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9、额定载重≥200kg满载续航时间≥3.5h；</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10、满载续航里程≥20km</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11、满载额定爬坡角度≥13°；</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12、前进速度0~3m/s范围内可调。</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13、尺寸1400×725×1220/1230×615×860mm</w:t>
                  </w:r>
                  <w:r>
                    <w:rPr>
                      <w:rFonts w:hint="eastAsia" w:ascii="宋体" w:hAnsi="宋体" w:cs="宋体"/>
                      <w:szCs w:val="21"/>
                    </w:rPr>
                    <w:t xml:space="preserve">（±10mm）</w:t>
                  </w:r>
                  <w:r>
                    <w:rPr>
                      <w:rFonts w:hint="eastAsia" w:ascii="宋体" w:hAnsi="宋体" w:cs="宋体"/>
                      <w:szCs w:val="21"/>
                      <w:lang w:bidi="ar"/>
                    </w:rPr>
                  </w:r>
                  <w:r/>
                </w:p>
              </w:tc>
            </w:tr>
            <w:tr>
              <w:trPr>
                <w:trHeight w:val="17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自动卸载架</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▲1、配置中央调度系统，技术要求如下：</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1-1用于消毒供应中心各区域物流机器人的地图管理、工作任务管理，实现物品运行、设备装载卸载自动化管理；</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1-2中央控制平台在清洗架运送中，可监测清洗架存储区是否有清洗架库存，可提醒有没有可用清洗架；对清洗架装载、卸载与回传进行调度；</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1-3中央控制平台在灭菌车运送功能中，可对包装区灭菌车存储区域进行站点监测，可提醒有没有可用灭菌车，对灭菌车装载、卸载与回传进行调度；</w:t>
                  </w:r>
                  <w:r/>
                </w:p>
                <w:p>
                  <w:pPr>
                    <w:pStyle w:val="1070"/>
                    <w:jc w:val="left"/>
                    <w:spacing w:line="360" w:lineRule="atLeast"/>
                    <w:widowControl/>
                    <w:rPr>
                      <w:rFonts w:hint="eastAsia" w:ascii="宋体" w:hAnsi="宋体" w:cs="宋体"/>
                      <w:szCs w:val="21"/>
                    </w:rPr>
                  </w:pPr>
                  <w:r>
                    <w:rPr>
                      <w:rFonts w:hint="eastAsia" w:ascii="宋体" w:hAnsi="宋体" w:cs="宋体"/>
                      <w:szCs w:val="21"/>
                      <w:lang w:bidi="ar"/>
                    </w:rPr>
                    <w:t xml:space="preserve">1-4可与清洗消毒、消毒灭菌设备，物流机器人智能交互；规划物流机器人运行数据及路线，工作节拍；可自动识别转运车，自动识别灭菌层架；</w:t>
                  </w:r>
                  <w:r>
                    <w:rPr>
                      <w:rFonts w:hint="eastAsia" w:ascii="宋体" w:hAnsi="宋体" w:cs="宋体"/>
                      <w:szCs w:val="21"/>
                    </w:rPr>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▲2、配置料架监控系统，技术要求如下:</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2-1系统探测准确率≥95%；</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2-2系统传输延时≤3s；</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2-3调度端可通过协议订阅各个探测器节点的数据；</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2-4网络室内覆盖范围≥2000m2；</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2-5支持电池电量检测，调度端可查看；</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2-6网关支持上下行，跳频通信，≥8个上行通道，≥1个下行通道,1个网关可连接100-200个节点，自动星形组网，采用分时轮询数据通信，防止数据相互冲突；</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▲3、配置灭菌物流机器人（2个）:可实现灭菌车自动转运的物流机器人，技术要求如下：</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3-1采用激光导航，无磁条、二维码等辅助定位措施，测距精度≤±5mm；</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3-2采用双电机差速驱动，驱动力矩大，传动效率高，配合电磁刹，重复到位精度≤±5mm；</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3-3采用滚珠丝杠顶升机构；</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3-4采用免维护磷酸铁锂电池，具备闲时自动充电功能；</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3-5可显示机器人的各种状态，可显示实时电量，具备多色频闪报警灯及蜂鸣报警装置；</w:t>
                  </w:r>
                  <w:r/>
                </w:p>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▲4、配置配套自动充电桩（2个）:采用国标插座，输入电压185V~255V，最大输出电压54.6±0.2V，输出电流15A±5%；</w:t>
                  </w:r>
                  <w:r/>
                </w:p>
              </w:tc>
            </w:tr>
          </w:tbl>
          <w:p>
            <w:pPr>
              <w:pStyle w:val="1070"/>
              <w:jc w:val="left"/>
              <w:widowControl/>
              <w:rPr>
                <w:rFonts w:hint="eastAsia" w:ascii="宋体" w:hAnsi="宋体" w:cs="宋体"/>
                <w:szCs w:val="21"/>
              </w:rPr>
            </w:pPr>
            <w:r>
              <w:rPr>
                <w:rFonts w:hint="eastAsia" w:ascii="宋体" w:hAnsi="宋体" w:cs="宋体"/>
                <w:szCs w:val="21"/>
              </w:rPr>
            </w:r>
            <w:r/>
          </w:p>
        </w:tc>
      </w:tr>
    </w:tbl>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五、报价要求</w:t>
      </w:r>
      <w:r/>
    </w:p>
    <w:p>
      <w:pPr>
        <w:pStyle w:val="1070"/>
        <w:ind w:firstLine="482"/>
        <w:jc w:val="left"/>
        <w:spacing w:line="360" w:lineRule="auto"/>
        <w:rPr>
          <w:rFonts w:hint="eastAsia" w:ascii="宋体" w:hAnsi="宋体"/>
          <w:b/>
          <w:sz w:val="24"/>
          <w:lang w:bidi="ar"/>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投标报价应包括招标文件所确定的采购范围相应设备（软件、配件）供货、包装、运输、保险、辅助设备、安装调试、管理、维护（包括质保期内的一切维修、保养、更换零部件、人工等）、劳务、培训、验收、办公设备、设备、工具、耗材、运送工具及耗材、利润、风险、税金及政策性文件规定等各项应有费用，</w:t>
      </w:r>
      <w:r>
        <w:rPr>
          <w:rFonts w:hint="eastAsia" w:ascii="宋体" w:hAnsi="宋体" w:cs="宋体"/>
          <w:b/>
          <w:bCs/>
          <w:sz w:val="24"/>
          <w:lang w:bidi="ar"/>
        </w:rPr>
        <w:t xml:space="preserve">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sz w:val="24"/>
          <w:lang w:bidi="ar"/>
        </w:rPr>
        <w:t xml:space="preserve">。</w:t>
      </w:r>
      <w:r>
        <w:rPr>
          <w:rFonts w:hint="eastAsia" w:ascii="宋体" w:hAnsi="宋体"/>
          <w:b/>
          <w:sz w:val="24"/>
          <w:lang w:bidi="ar"/>
        </w:rPr>
      </w:r>
      <w:r/>
    </w:p>
    <w:p>
      <w:pPr>
        <w:pStyle w:val="1070"/>
        <w:ind w:firstLine="482"/>
        <w:jc w:val="left"/>
        <w:spacing w:line="360" w:lineRule="auto"/>
        <w:rPr>
          <w:rFonts w:hint="eastAsia" w:ascii="宋体" w:hAnsi="宋体"/>
          <w:b/>
          <w:i/>
          <w:iCs/>
          <w:sz w:val="24"/>
          <w:lang w:bidi="ar"/>
        </w:rPr>
      </w:pPr>
      <w:r>
        <w:rPr>
          <w:rFonts w:hint="eastAsia" w:ascii="宋体" w:hAnsi="宋体"/>
          <w:b/>
          <w:i/>
          <w:iCs/>
          <w:sz w:val="24"/>
          <w:lang w:bidi="ar"/>
        </w:rPr>
        <w:t xml:space="preserve">★其他报价要求（实质性要求，必须满足，提供承诺函加盖公章）：</w:t>
      </w:r>
      <w:r/>
    </w:p>
    <w:p>
      <w:pPr>
        <w:pStyle w:val="1070"/>
        <w:ind w:firstLine="482"/>
        <w:jc w:val="left"/>
        <w:spacing w:line="360" w:lineRule="auto"/>
        <w:rPr>
          <w:rFonts w:hint="eastAsia" w:ascii="宋体" w:hAnsi="宋体"/>
          <w:b/>
          <w:i/>
          <w:iCs/>
          <w:sz w:val="24"/>
          <w:lang w:bidi="ar"/>
        </w:rPr>
      </w:pPr>
      <w:r>
        <w:rPr>
          <w:rFonts w:hint="eastAsia" w:ascii="宋体" w:hAnsi="宋体"/>
          <w:b/>
          <w:i/>
          <w:iCs/>
          <w:sz w:val="24"/>
          <w:lang w:bidi="ar"/>
        </w:rPr>
        <w:t xml:space="preserve">①所有设备（软件、配件）标注使用年限，开放数据端口监控，报价包含信息端口接入费（追溯系统和HIS等）。</w:t>
      </w:r>
      <w:r/>
    </w:p>
    <w:p>
      <w:pPr>
        <w:pStyle w:val="1070"/>
        <w:ind w:firstLine="482"/>
        <w:jc w:val="left"/>
        <w:spacing w:line="360" w:lineRule="auto"/>
        <w:rPr>
          <w:rFonts w:hint="eastAsia" w:ascii="宋体" w:hAnsi="宋体"/>
          <w:b/>
          <w:i/>
          <w:iCs/>
          <w:sz w:val="24"/>
          <w:lang w:bidi="ar"/>
        </w:rPr>
      </w:pPr>
      <w:r>
        <w:rPr>
          <w:rFonts w:hint="eastAsia" w:ascii="宋体" w:hAnsi="宋体"/>
          <w:b/>
          <w:i/>
          <w:iCs/>
          <w:sz w:val="24"/>
          <w:lang w:bidi="ar"/>
        </w:rPr>
        <w:t xml:space="preserve">②设备质保期内提供免费检测。洁净蒸汽灭菌器：除日常维护保养须一年一次年度检测（WS310.3-2016)；清洗消毒器：除日常维护保养须一年一次年度检测（WS310.3-2016)；大型清洗消毒器：除日常维护保养须一年一次年度检测（WS310.3-2016)；环氧乙烷灭菌器：除日常维护保养参照产品说明书定期检测（GB 18279现行）。</w:t>
      </w:r>
      <w:r/>
    </w:p>
    <w:p>
      <w:pPr>
        <w:pStyle w:val="1070"/>
        <w:ind w:firstLine="482"/>
        <w:jc w:val="left"/>
        <w:spacing w:line="360" w:lineRule="auto"/>
        <w:rPr>
          <w:rFonts w:ascii="宋体" w:hAnsi="宋体"/>
          <w:b/>
          <w:i/>
          <w:iCs/>
          <w:sz w:val="24"/>
          <w:lang w:bidi="ar"/>
        </w:rPr>
      </w:pPr>
      <w:r>
        <w:rPr>
          <w:rFonts w:hint="eastAsia" w:ascii="宋体" w:hAnsi="宋体"/>
          <w:b/>
          <w:i/>
          <w:iCs/>
          <w:sz w:val="24"/>
          <w:lang w:bidi="ar"/>
        </w:rPr>
        <w:t xml:space="preserve">③供应商承诺产品出保后，全保费用不超过中标价格的5%。</w:t>
      </w:r>
      <w:r>
        <w:rPr>
          <w:rFonts w:ascii="宋体" w:hAnsi="宋体"/>
          <w:b/>
          <w:i/>
          <w:iCs/>
          <w:sz w:val="24"/>
          <w:lang w:bidi="ar"/>
        </w:rPr>
      </w:r>
      <w:r/>
    </w:p>
    <w:p>
      <w:pPr>
        <w:pStyle w:val="1070"/>
        <w:ind w:firstLine="482"/>
        <w:jc w:val="left"/>
        <w:spacing w:line="360" w:lineRule="auto"/>
        <w:rPr>
          <w:rFonts w:ascii="宋体" w:hAnsi="宋体" w:cs="宋体"/>
          <w:b/>
          <w:sz w:val="24"/>
        </w:rPr>
      </w:pPr>
      <w:r>
        <w:rPr>
          <w:rFonts w:hint="eastAsia" w:ascii="宋体" w:hAnsi="宋体" w:cs="宋体"/>
          <w:b/>
          <w:sz w:val="24"/>
          <w:lang w:bidi="ar"/>
        </w:rPr>
        <w:t xml:space="preserve">六、交货期及交货地点</w:t>
      </w:r>
      <w:r>
        <w:rPr>
          <w:rFonts w:ascii="宋体" w:hAnsi="宋体" w:cs="宋体"/>
          <w:b/>
          <w:sz w:val="24"/>
        </w:rPr>
      </w:r>
      <w:r/>
    </w:p>
    <w:p>
      <w:pPr>
        <w:pStyle w:val="1070"/>
        <w:ind w:firstLine="480"/>
        <w:jc w:val="left"/>
        <w:spacing w:line="360" w:lineRule="auto"/>
        <w:rPr>
          <w:rFonts w:ascii="宋体" w:hAnsi="宋体" w:cs="宋体"/>
          <w:sz w:val="24"/>
          <w:lang w:bidi="ar"/>
        </w:rPr>
      </w:pPr>
      <w:r>
        <w:rPr>
          <w:rFonts w:hint="eastAsia" w:ascii="宋体" w:hAnsi="宋体" w:cs="宋体"/>
          <w:sz w:val="24"/>
          <w:lang w:bidi="ar"/>
        </w:rPr>
        <w:t xml:space="preserve">1.交货日期：合同签订后60天内完成合同范围内所有设备的供货、安装调试。</w:t>
      </w:r>
      <w:r>
        <w:rPr>
          <w:rFonts w:ascii="宋体" w:hAnsi="宋体" w:cs="宋体"/>
          <w:sz w:val="24"/>
          <w:lang w:bidi="ar"/>
        </w:rPr>
      </w:r>
      <w:r/>
    </w:p>
    <w:p>
      <w:pPr>
        <w:pStyle w:val="1070"/>
        <w:ind w:firstLine="482"/>
        <w:jc w:val="left"/>
        <w:spacing w:line="360" w:lineRule="auto"/>
        <w:rPr>
          <w:rFonts w:hint="eastAsia" w:ascii="宋体" w:hAnsi="宋体" w:cs="宋体"/>
          <w:sz w:val="24"/>
          <w:lang w:bidi="ar"/>
        </w:rPr>
      </w:pPr>
      <w:r>
        <w:rPr>
          <w:rFonts w:hint="eastAsia" w:ascii="宋体" w:hAnsi="宋体" w:cs="宋体"/>
          <w:sz w:val="24"/>
          <w:lang w:bidi="ar"/>
        </w:rPr>
        <w:t xml:space="preserve">2.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p>
    <w:p>
      <w:pPr>
        <w:pStyle w:val="1070"/>
        <w:ind w:firstLine="482"/>
        <w:jc w:val="left"/>
        <w:spacing w:line="360" w:lineRule="auto"/>
        <w:rPr>
          <w:rFonts w:ascii="宋体" w:hAnsi="宋体" w:cs="宋体"/>
          <w:b/>
          <w:sz w:val="24"/>
        </w:rPr>
      </w:pPr>
      <w:r>
        <w:rPr>
          <w:rFonts w:hint="eastAsia" w:ascii="宋体" w:hAnsi="宋体" w:cs="宋体"/>
          <w:b/>
          <w:sz w:val="24"/>
          <w:lang w:bidi="ar"/>
        </w:rPr>
        <w:t xml:space="preserve">七、验收标准</w:t>
      </w:r>
      <w:r>
        <w:rPr>
          <w:rFonts w:ascii="宋体" w:hAnsi="宋体" w:cs="宋体"/>
          <w:b/>
          <w:sz w:val="24"/>
        </w:rPr>
      </w:r>
      <w:r/>
    </w:p>
    <w:p>
      <w:pPr>
        <w:pStyle w:val="1070"/>
        <w:ind w:firstLine="480"/>
        <w:jc w:val="left"/>
        <w:spacing w:line="360" w:lineRule="auto"/>
        <w:rPr>
          <w:rFonts w:ascii="宋体" w:hAnsi="宋体" w:cs="宋体"/>
          <w:sz w:val="24"/>
        </w:rPr>
      </w:pPr>
      <w:r>
        <w:rPr>
          <w:rFonts w:hint="eastAsia" w:ascii="宋体" w:hAnsi="宋体" w:cs="宋体"/>
          <w:sz w:val="24"/>
          <w:lang w:bidi="ar"/>
        </w:rPr>
        <w:t xml:space="preserve">1.产品到达交货地点后，采购人和中标人在2日内共同检验产品数量、质量等状况，由中标人负责并承担相关费用，采购人应积极配合。中标单位进行安装调试并经过性能测试后，由采购人组织联合验收小组验收。验收合格后，双方在《验收报告》上签字确认。</w:t>
      </w:r>
      <w:r>
        <w:rPr>
          <w:rFonts w:ascii="宋体" w:hAnsi="宋体" w:cs="宋体"/>
          <w:sz w:val="24"/>
        </w:rPr>
      </w:r>
      <w:r/>
    </w:p>
    <w:p>
      <w:pPr>
        <w:pStyle w:val="1070"/>
        <w:ind w:firstLine="480"/>
        <w:jc w:val="left"/>
        <w:spacing w:line="360" w:lineRule="auto"/>
        <w:rPr>
          <w:rFonts w:ascii="宋体" w:hAnsi="宋体" w:cs="宋体"/>
          <w:sz w:val="24"/>
        </w:rPr>
      </w:pPr>
      <w:r>
        <w:rPr>
          <w:rFonts w:hint="eastAsia" w:ascii="宋体" w:hAnsi="宋体" w:cs="宋体"/>
          <w:sz w:val="24"/>
          <w:lang w:bidi="ar"/>
        </w:rPr>
        <w:t xml:space="preserve">2.对产品的外观或质量问题，采购人应在发现和应当发现之日起30日内向中标人提出书面异议，中标人在接到书面异议后，应当在2日内负责处理。采购人逾期提出的，对所交产品视为符合合同的规定。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宋体"/>
          <w:sz w:val="24"/>
        </w:rPr>
      </w:r>
      <w:r/>
    </w:p>
    <w:p>
      <w:pPr>
        <w:pStyle w:val="1070"/>
        <w:ind w:firstLine="482"/>
        <w:jc w:val="left"/>
        <w:spacing w:line="360" w:lineRule="auto"/>
        <w:rPr>
          <w:rFonts w:hint="eastAsia" w:ascii="宋体" w:hAnsi="宋体" w:cs="宋体"/>
          <w:sz w:val="24"/>
          <w:lang w:bidi="ar"/>
        </w:rPr>
      </w:pPr>
      <w:r>
        <w:rPr>
          <w:rFonts w:hint="eastAsia" w:ascii="宋体" w:hAnsi="宋体" w:cs="宋体"/>
          <w:sz w:val="24"/>
          <w:lang w:bidi="ar"/>
        </w:rPr>
        <w:t xml:space="preserve">3.经双方共同验收，产品性能参数达不到采购合同要求的，采购人可以拒收，并可以解除合同。</w:t>
      </w:r>
      <w:r/>
    </w:p>
    <w:p>
      <w:pPr>
        <w:pStyle w:val="1070"/>
        <w:ind w:firstLine="482"/>
        <w:jc w:val="left"/>
        <w:spacing w:line="360" w:lineRule="auto"/>
        <w:rPr>
          <w:rFonts w:ascii="宋体" w:hAnsi="宋体" w:cs="宋体"/>
          <w:b/>
          <w:sz w:val="24"/>
        </w:rPr>
      </w:pPr>
      <w:r>
        <w:rPr>
          <w:rFonts w:hint="eastAsia" w:ascii="宋体" w:hAnsi="宋体" w:cs="宋体"/>
          <w:b/>
          <w:sz w:val="24"/>
          <w:lang w:bidi="ar"/>
        </w:rPr>
        <w:t xml:space="preserve">八、质保期及售后服务</w:t>
      </w:r>
      <w:r>
        <w:rPr>
          <w:rFonts w:ascii="宋体" w:hAnsi="宋体" w:cs="宋体"/>
          <w:b/>
          <w:sz w:val="24"/>
        </w:rPr>
      </w:r>
      <w:r/>
    </w:p>
    <w:p>
      <w:pPr>
        <w:pStyle w:val="1070"/>
        <w:ind w:firstLine="482"/>
        <w:jc w:val="left"/>
        <w:spacing w:line="360" w:lineRule="auto"/>
        <w:rPr>
          <w:rFonts w:ascii="宋体" w:hAnsi="宋体" w:cs="宋体"/>
          <w:b/>
          <w:sz w:val="24"/>
          <w:lang w:bidi="ar"/>
        </w:rPr>
      </w:pPr>
      <w:r>
        <w:rPr>
          <w:rFonts w:hint="eastAsia" w:ascii="宋体" w:hAnsi="宋体" w:cs="宋体"/>
          <w:b/>
          <w:sz w:val="24"/>
          <w:lang w:bidi="ar"/>
        </w:rPr>
        <w:t xml:space="preserve">（一）质保期：</w:t>
      </w:r>
      <w:r>
        <w:rPr>
          <w:rFonts w:ascii="宋体" w:hAnsi="宋体" w:cs="宋体"/>
          <w:b/>
          <w:sz w:val="24"/>
          <w:lang w:bidi="ar"/>
        </w:rPr>
      </w:r>
      <w:r/>
    </w:p>
    <w:p>
      <w:pPr>
        <w:pStyle w:val="1070"/>
        <w:ind w:firstLine="482"/>
        <w:jc w:val="left"/>
        <w:spacing w:line="360" w:lineRule="auto"/>
        <w:rPr>
          <w:rFonts w:ascii="宋体" w:hAnsi="宋体" w:cs="宋体"/>
          <w:sz w:val="24"/>
          <w:lang w:bidi="ar"/>
        </w:rPr>
      </w:pPr>
      <w:r>
        <w:rPr>
          <w:rFonts w:hint="eastAsia" w:ascii="宋体" w:hAnsi="宋体" w:cs="宋体"/>
          <w:sz w:val="24"/>
          <w:lang w:bidi="ar"/>
        </w:rPr>
        <w:t xml:space="preserve">投标人报价时须承诺所供货物免费质保期</w:t>
      </w:r>
      <w:r>
        <w:rPr>
          <w:rFonts w:hint="eastAsia" w:ascii="宋体" w:hAnsi="宋体" w:cs="宋体"/>
          <w:b/>
          <w:sz w:val="24"/>
          <w:lang w:bidi="ar"/>
        </w:rPr>
        <w:t xml:space="preserve">不少于3年</w:t>
      </w:r>
      <w:r>
        <w:rPr>
          <w:rFonts w:hint="eastAsia" w:ascii="宋体" w:hAnsi="宋体" w:cs="宋体"/>
          <w:sz w:val="24"/>
          <w:lang w:bidi="ar"/>
        </w:rPr>
        <w:t xml:space="preserve">（自验收报告签字确认日起，开始进入质保期）。</w:t>
      </w:r>
      <w:r>
        <w:rPr>
          <w:rFonts w:ascii="宋体" w:hAnsi="宋体" w:cs="宋体"/>
          <w:sz w:val="24"/>
          <w:lang w:bidi="ar"/>
        </w:rPr>
      </w:r>
      <w:r/>
    </w:p>
    <w:p>
      <w:pPr>
        <w:pStyle w:val="1070"/>
        <w:ind w:firstLine="482"/>
        <w:jc w:val="left"/>
        <w:spacing w:line="360" w:lineRule="auto"/>
        <w:rPr>
          <w:rFonts w:ascii="宋体" w:hAnsi="宋体" w:cs="宋体"/>
          <w:sz w:val="24"/>
        </w:rPr>
      </w:pPr>
      <w:r>
        <w:rPr>
          <w:rFonts w:hint="eastAsia" w:ascii="宋体" w:hAnsi="宋体" w:cs="宋体"/>
          <w:sz w:val="24"/>
          <w:lang w:bidi="ar"/>
        </w:rPr>
        <w:t xml:space="preserve">中标单位对质保期内所发生的设备维护、维修、更换等一切费用负责。提供设备关键配件清单（包括但不限于名称、型号、参考价格等）</w:t>
      </w:r>
      <w:r>
        <w:rPr>
          <w:rFonts w:ascii="宋体" w:hAnsi="宋体" w:cs="宋体"/>
          <w:sz w:val="24"/>
        </w:rPr>
      </w:r>
      <w:r/>
    </w:p>
    <w:p>
      <w:pPr>
        <w:pStyle w:val="1070"/>
        <w:ind w:firstLine="482"/>
        <w:jc w:val="left"/>
        <w:spacing w:line="360" w:lineRule="auto"/>
        <w:rPr>
          <w:rFonts w:ascii="宋体" w:hAnsi="宋体" w:cs="宋体"/>
          <w:b/>
          <w:sz w:val="24"/>
        </w:rPr>
      </w:pPr>
      <w:r>
        <w:rPr>
          <w:rFonts w:hint="eastAsia" w:ascii="宋体" w:hAnsi="宋体" w:cs="宋体"/>
          <w:b/>
          <w:sz w:val="24"/>
          <w:lang w:bidi="ar"/>
        </w:rPr>
        <w:t xml:space="preserve">（二）售后服务</w:t>
      </w:r>
      <w:r>
        <w:rPr>
          <w:rFonts w:ascii="宋体" w:hAnsi="宋体" w:cs="宋体"/>
          <w:b/>
          <w:sz w:val="24"/>
        </w:rPr>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1.质保期内享有人工上门免费更换维修服务。质保期外，投标人提供能完善的后续服务，保证零配件的供给。</w:t>
      </w:r>
      <w:r/>
    </w:p>
    <w:p>
      <w:pPr>
        <w:pStyle w:val="1070"/>
        <w:ind w:firstLine="482"/>
        <w:jc w:val="left"/>
        <w:spacing w:line="360" w:lineRule="auto"/>
        <w:rPr>
          <w:rFonts w:hint="eastAsia" w:ascii="宋体" w:hAnsi="宋体" w:cs="宋体"/>
          <w:sz w:val="24"/>
        </w:rPr>
      </w:pPr>
      <w:r>
        <w:rPr>
          <w:rFonts w:hint="eastAsia" w:ascii="宋体" w:hAnsi="宋体" w:cs="宋体"/>
          <w:b/>
          <w:sz w:val="24"/>
          <w:lang w:bidi="ar"/>
        </w:rPr>
        <w:t xml:space="preserve">2.</w:t>
      </w:r>
      <w:r>
        <w:rPr>
          <w:rFonts w:hint="eastAsia" w:ascii="宋体" w:hAnsi="宋体" w:cs="宋体"/>
          <w:sz w:val="24"/>
          <w:lang w:bidi="ar"/>
        </w:rPr>
        <w:t xml:space="preserve">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3.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4. 投标人应按照国家有关法律法规和“三包”规定以及响应文件中的“售后服务承诺”提供服务。</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5.因投标人所提供的产品，造成采购人设备损坏或其他损失，以及其他第三方损失的，一经核实，投标人必须赔偿采购人或第三方因此造成的所有损失。</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6.投标人所提供货物必须是全新未使用的并符合国家有关技术标准。</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7.投标人应在交付货物的同时向采购人提供产品全套随机资料一套（包括但不限于含产品合格证书、使用维护说明书、验收报告书、原厂保修单等）。根据采购人要求免费提供并安装操作应用软件。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8.终身提供应用技术服务，设备出现故障时保证24小时内服务维修响应。</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9.质保期过后，对于货物维修只收取基本材料备件费，不收取工时费。</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10.备件要求：</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（1）投标人应设置备件库，存入所有必须的备件，保证必要时可以及时供应技术及维修服务。</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（2）投标人应配置工程技术人员，随时提供开箱验货、安装、调试或维修等服务。</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（三）人员培训</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2.对采购人员工进行设备安全培训。</w:t>
      </w:r>
      <w:r>
        <w:rPr>
          <w:rFonts w:hint="eastAsia" w:ascii="宋体" w:hAnsi="宋体" w:cs="宋体"/>
          <w:sz w:val="24"/>
        </w:rPr>
      </w:r>
      <w:r/>
    </w:p>
    <w:p>
      <w:pPr>
        <w:pStyle w:val="1070"/>
        <w:ind w:firstLine="480"/>
        <w:jc w:val="left"/>
        <w:spacing w:line="360" w:lineRule="auto"/>
        <w:rPr>
          <w:rFonts w:ascii="宋体" w:hAnsi="宋体" w:cs="宋体"/>
          <w:sz w:val="24"/>
        </w:rPr>
      </w:pPr>
      <w:r>
        <w:rPr>
          <w:rFonts w:hint="eastAsia" w:ascii="宋体" w:hAnsi="宋体" w:cs="宋体"/>
          <w:sz w:val="24"/>
          <w:lang w:bidi="ar"/>
        </w:rPr>
        <w:t xml:space="preserve">3.中标人应免费提供一定数量的培训资料。</w:t>
      </w:r>
      <w:r>
        <w:rPr>
          <w:rFonts w:ascii="宋体" w:hAnsi="宋体" w:cs="宋体"/>
          <w:sz w:val="24"/>
        </w:rPr>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九、付款方式（以合同签订为准）</w:t>
      </w:r>
      <w:r/>
    </w:p>
    <w:p>
      <w:pPr>
        <w:pStyle w:val="1166"/>
        <w:contextualSpacing/>
        <w:ind w:left="-2" w:firstLine="480"/>
        <w:jc w:val="left"/>
        <w:spacing w:line="360" w:lineRule="auto"/>
        <w:tabs>
          <w:tab w:val="left" w:pos="567" w:leader="none"/>
        </w:tabs>
        <w:rPr>
          <w:rFonts w:ascii="宋体" w:hAnsi="宋体"/>
          <w:sz w:val="24"/>
          <w:szCs w:val="24"/>
        </w:rPr>
      </w:pPr>
      <w:r>
        <w:rPr>
          <w:rFonts w:hint="eastAsia" w:ascii="宋体" w:hAnsi="宋体"/>
          <w:sz w:val="24"/>
          <w:szCs w:val="24"/>
        </w:rPr>
        <w:t xml:space="preserve">1.合同签订后预付合同金额15%的货款；</w:t>
      </w:r>
      <w:r>
        <w:rPr>
          <w:rFonts w:ascii="宋体" w:hAnsi="宋体"/>
          <w:sz w:val="24"/>
          <w:szCs w:val="24"/>
        </w:rPr>
      </w:r>
      <w:r/>
    </w:p>
    <w:p>
      <w:pPr>
        <w:pStyle w:val="1166"/>
        <w:contextualSpacing/>
        <w:ind w:left="-2" w:firstLine="480"/>
        <w:jc w:val="left"/>
        <w:spacing w:line="360" w:lineRule="auto"/>
        <w:tabs>
          <w:tab w:val="left" w:pos="567" w:leader="none"/>
        </w:tabs>
        <w:rPr>
          <w:rFonts w:ascii="宋体" w:hAnsi="宋体"/>
          <w:sz w:val="24"/>
          <w:szCs w:val="24"/>
        </w:rPr>
      </w:pPr>
      <w:r>
        <w:rPr>
          <w:rFonts w:hint="eastAsia" w:ascii="宋体" w:hAnsi="宋体"/>
          <w:sz w:val="24"/>
          <w:szCs w:val="24"/>
        </w:rPr>
        <w:t xml:space="preserve">2.设备安装、调试、验收合格、培训指导完成、正常使用、完成入库手续支付合同金额的65%货款；</w:t>
      </w:r>
      <w:r>
        <w:rPr>
          <w:rFonts w:ascii="宋体" w:hAnsi="宋体"/>
          <w:sz w:val="24"/>
          <w:szCs w:val="24"/>
        </w:rPr>
      </w:r>
      <w:r/>
    </w:p>
    <w:p>
      <w:pPr>
        <w:pStyle w:val="1166"/>
        <w:contextualSpacing/>
        <w:ind w:left="-2" w:firstLine="480"/>
        <w:jc w:val="left"/>
        <w:spacing w:line="360" w:lineRule="auto"/>
        <w:tabs>
          <w:tab w:val="left" w:pos="567" w:leader="none"/>
        </w:tabs>
        <w:rPr>
          <w:rFonts w:ascii="宋体" w:hAnsi="宋体"/>
          <w:sz w:val="24"/>
          <w:szCs w:val="24"/>
        </w:rPr>
      </w:pPr>
      <w:r>
        <w:rPr>
          <w:rFonts w:hint="eastAsia" w:ascii="宋体" w:hAnsi="宋体"/>
          <w:sz w:val="24"/>
          <w:szCs w:val="24"/>
        </w:rPr>
        <w:t xml:space="preserve">3.完成入库手续12个月后凭终期验收合格报告付清20%余款（无息）。</w:t>
      </w:r>
      <w:r>
        <w:rPr>
          <w:rFonts w:ascii="宋体" w:hAnsi="宋体"/>
          <w:sz w:val="24"/>
          <w:szCs w:val="24"/>
        </w:rPr>
      </w:r>
      <w:r/>
    </w:p>
    <w:p>
      <w:pPr>
        <w:pStyle w:val="1166"/>
        <w:contextualSpacing/>
        <w:ind w:firstLine="480"/>
        <w:jc w:val="left"/>
        <w:spacing w:line="360" w:lineRule="auto"/>
        <w:rPr>
          <w:rFonts w:ascii="宋体" w:hAnsi="宋体"/>
          <w:sz w:val="24"/>
          <w:szCs w:val="24"/>
        </w:rPr>
      </w:pPr>
      <w:r>
        <w:rPr>
          <w:rFonts w:ascii="宋体" w:hAnsi="宋体"/>
          <w:sz w:val="24"/>
          <w:szCs w:val="24"/>
        </w:rPr>
      </w:r>
      <w:r/>
    </w:p>
    <w:p>
      <w:pPr>
        <w:pStyle w:val="1070"/>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10"/>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110"/>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85"/>
        <w:ind w:firstLine="456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1110"/>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10"/>
        <w:ind w:firstLine="482"/>
        <w:spacing w:line="360" w:lineRule="auto"/>
        <w:rPr>
          <w:rFonts w:hAnsi="宋体" w:cs="宋体"/>
          <w:b/>
          <w:sz w:val="24"/>
          <w:szCs w:val="24"/>
        </w:rPr>
      </w:pPr>
      <w:r>
        <w:rPr>
          <w:rFonts w:hAnsi="宋体" w:cs="宋体"/>
          <w:b/>
          <w:sz w:val="24"/>
          <w:szCs w:val="24"/>
        </w:rPr>
        <w:t xml:space="preserve">第一条 合同标的</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pct"/>
            <w:vAlign w:val="center"/>
            <w:textDirection w:val="lrTb"/>
            <w:noWrap w:val="false"/>
          </w:tcPr>
          <w:p>
            <w:pPr>
              <w:pStyle w:val="1070"/>
              <w:jc w:val="center"/>
              <w:spacing w:line="360" w:lineRule="exact"/>
              <w:rPr>
                <w:rFonts w:ascii="宋体" w:hAnsi="宋体"/>
                <w:sz w:val="24"/>
              </w:rPr>
            </w:pPr>
            <w:r>
              <w:rPr>
                <w:rFonts w:ascii="宋体" w:hAnsi="宋体"/>
                <w:sz w:val="24"/>
              </w:rPr>
              <w:t xml:space="preserve">设备名称</w:t>
            </w:r>
            <w:r/>
          </w:p>
        </w:tc>
        <w:tc>
          <w:tcPr>
            <w:tcW w:w="595" w:type="pct"/>
            <w:vAlign w:val="center"/>
            <w:textDirection w:val="lrTb"/>
            <w:noWrap w:val="false"/>
          </w:tcPr>
          <w:p>
            <w:pPr>
              <w:pStyle w:val="1070"/>
              <w:jc w:val="center"/>
              <w:spacing w:line="360" w:lineRule="exact"/>
              <w:rPr>
                <w:rFonts w:ascii="宋体" w:hAnsi="宋体"/>
                <w:sz w:val="24"/>
              </w:rPr>
            </w:pPr>
            <w:r>
              <w:rPr>
                <w:rFonts w:ascii="宋体" w:hAnsi="宋体"/>
                <w:sz w:val="24"/>
              </w:rPr>
              <w:t xml:space="preserve">品牌</w:t>
            </w:r>
            <w:r/>
          </w:p>
        </w:tc>
        <w:tc>
          <w:tcPr>
            <w:tcW w:w="874" w:type="pct"/>
            <w:vAlign w:val="center"/>
            <w:textDirection w:val="lrTb"/>
            <w:noWrap w:val="false"/>
          </w:tcPr>
          <w:p>
            <w:pPr>
              <w:pStyle w:val="1070"/>
              <w:jc w:val="center"/>
              <w:spacing w:line="360" w:lineRule="exact"/>
              <w:rPr>
                <w:rFonts w:ascii="宋体" w:hAnsi="宋体"/>
                <w:sz w:val="24"/>
              </w:rPr>
            </w:pPr>
            <w:r>
              <w:rPr>
                <w:rFonts w:ascii="宋体" w:hAnsi="宋体"/>
                <w:sz w:val="24"/>
              </w:rPr>
              <w:t xml:space="preserve">规格型号</w:t>
            </w:r>
            <w:r/>
          </w:p>
        </w:tc>
        <w:tc>
          <w:tcPr>
            <w:tcW w:w="643" w:type="pct"/>
            <w:vAlign w:val="center"/>
            <w:textDirection w:val="lrTb"/>
            <w:noWrap w:val="false"/>
          </w:tcPr>
          <w:p>
            <w:pPr>
              <w:pStyle w:val="1070"/>
              <w:jc w:val="center"/>
              <w:spacing w:line="360" w:lineRule="exact"/>
              <w:rPr>
                <w:rFonts w:ascii="宋体" w:hAnsi="宋体"/>
                <w:sz w:val="24"/>
              </w:rPr>
            </w:pPr>
            <w:r>
              <w:rPr>
                <w:rFonts w:ascii="宋体" w:hAnsi="宋体"/>
                <w:sz w:val="24"/>
              </w:rPr>
              <w:t xml:space="preserve">数  量</w:t>
            </w:r>
            <w:r/>
          </w:p>
        </w:tc>
        <w:tc>
          <w:tcPr>
            <w:tcW w:w="767" w:type="pct"/>
            <w:vAlign w:val="center"/>
            <w:textDirection w:val="lrTb"/>
            <w:noWrap w:val="false"/>
          </w:tcPr>
          <w:p>
            <w:pPr>
              <w:pStyle w:val="1070"/>
              <w:jc w:val="center"/>
              <w:spacing w:line="360" w:lineRule="exact"/>
              <w:rPr>
                <w:rFonts w:ascii="宋体" w:hAnsi="宋体"/>
                <w:sz w:val="24"/>
              </w:rPr>
            </w:pPr>
            <w:r>
              <w:rPr>
                <w:rFonts w:ascii="宋体" w:hAnsi="宋体"/>
                <w:sz w:val="24"/>
              </w:rPr>
              <w:t xml:space="preserve">单价（元）</w:t>
            </w:r>
            <w:r/>
          </w:p>
        </w:tc>
        <w:tc>
          <w:tcPr>
            <w:tcW w:w="1006" w:type="pct"/>
            <w:vAlign w:val="center"/>
            <w:textDirection w:val="lrTb"/>
            <w:noWrap w:val="false"/>
          </w:tcPr>
          <w:p>
            <w:pPr>
              <w:pStyle w:val="1070"/>
              <w:jc w:val="center"/>
              <w:spacing w:line="360" w:lineRule="exact"/>
              <w:rPr>
                <w:rFonts w:ascii="宋体" w:hAnsi="宋体"/>
                <w:sz w:val="24"/>
              </w:rPr>
            </w:pPr>
            <w:r>
              <w:rPr>
                <w:rFonts w:ascii="宋体" w:hAnsi="宋体"/>
                <w:sz w:val="24"/>
              </w:rPr>
              <w:t xml:space="preserve">成交总价（元）</w:t>
            </w:r>
            <w:r/>
          </w:p>
        </w:tc>
      </w:tr>
      <w:tr>
        <w:trPr>
          <w:trHeight w:val="600"/>
        </w:trPr>
        <w:tc>
          <w:tcPr>
            <w:tcW w:w="1112"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r>
            <w:r/>
          </w:p>
        </w:tc>
        <w:tc>
          <w:tcPr>
            <w:tcW w:w="595"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874"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643"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767"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1006"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r>
      <w:tr>
        <w:trPr>
          <w:trHeight w:val="600"/>
        </w:trPr>
        <w:tc>
          <w:tcPr>
            <w:tcW w:w="1112"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r>
            <w:r/>
          </w:p>
        </w:tc>
        <w:tc>
          <w:tcPr>
            <w:tcW w:w="595"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874"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643"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767"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1006"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r>
      <w:tr>
        <w:trPr>
          <w:trHeight w:val="600"/>
        </w:trPr>
        <w:tc>
          <w:tcPr>
            <w:tcW w:w="1112"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t xml:space="preserve">……</w:t>
            </w:r>
            <w:r/>
          </w:p>
        </w:tc>
        <w:tc>
          <w:tcPr>
            <w:tcW w:w="595"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874"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643"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767"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c>
          <w:tcPr>
            <w:tcW w:w="1006" w:type="pct"/>
            <w:vAlign w:val="center"/>
            <w:textDirection w:val="lrTb"/>
            <w:noWrap w:val="false"/>
          </w:tcPr>
          <w:p>
            <w:pPr>
              <w:pStyle w:val="1070"/>
              <w:jc w:val="center"/>
              <w:spacing w:line="360" w:lineRule="exact"/>
              <w:rPr>
                <w:rFonts w:ascii="宋体" w:hAnsi="宋体"/>
                <w:b/>
                <w:sz w:val="24"/>
              </w:rPr>
            </w:pPr>
            <w:r>
              <w:rPr>
                <w:rFonts w:ascii="宋体" w:hAnsi="宋体"/>
                <w:b/>
                <w:sz w:val="24"/>
              </w:rPr>
            </w:r>
            <w:r/>
          </w:p>
        </w:tc>
      </w:tr>
      <w:tr>
        <w:trPr/>
        <w:tc>
          <w:tcPr>
            <w:gridSpan w:val="6"/>
            <w:tcW w:w="5000" w:type="pct"/>
            <w:vAlign w:val="center"/>
            <w:textDirection w:val="lrTb"/>
            <w:noWrap w:val="false"/>
          </w:tcPr>
          <w:p>
            <w:pPr>
              <w:pStyle w:val="1070"/>
              <w:jc w:val="left"/>
              <w:spacing w:line="360" w:lineRule="exact"/>
              <w:widowControl/>
              <w:rPr>
                <w:rFonts w:ascii="宋体" w:hAnsi="宋体"/>
                <w:sz w:val="24"/>
              </w:rPr>
            </w:pPr>
            <w:r>
              <w:rPr>
                <w:rFonts w:ascii="宋体" w:hAnsi="宋体"/>
                <w:sz w:val="24"/>
              </w:rPr>
              <w:t xml:space="preserve">总价（大写）：</w:t>
            </w:r>
            <w:r>
              <w:rPr>
                <w:rFonts w:ascii="宋体" w:hAnsi="宋体"/>
                <w:b/>
                <w:sz w:val="24"/>
              </w:rPr>
              <w:t xml:space="preserve">人民币  万   仟  佰  圆整</w:t>
            </w:r>
            <w:r>
              <w:rPr>
                <w:rFonts w:ascii="宋体" w:hAnsi="宋体"/>
                <w:sz w:val="24"/>
              </w:rPr>
            </w:r>
            <w:r/>
          </w:p>
        </w:tc>
      </w:tr>
    </w:tbl>
    <w:p>
      <w:pPr>
        <w:pStyle w:val="1110"/>
        <w:ind w:firstLine="482"/>
        <w:spacing w:line="360" w:lineRule="auto"/>
        <w:rPr>
          <w:rFonts w:hAnsi="宋体" w:cs="宋体"/>
          <w:b/>
          <w:sz w:val="24"/>
          <w:szCs w:val="24"/>
        </w:rPr>
      </w:pPr>
      <w:r>
        <w:rPr>
          <w:rFonts w:hAnsi="宋体" w:cs="宋体"/>
          <w:b/>
          <w:sz w:val="24"/>
          <w:szCs w:val="24"/>
        </w:rPr>
        <w:t xml:space="preserve">第二条 合同价格</w:t>
      </w:r>
      <w:r/>
    </w:p>
    <w:p>
      <w:pPr>
        <w:pStyle w:val="1110"/>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w:t>
      </w:r>
      <w:r>
        <w:rPr>
          <w:rFonts w:hAnsi="宋体" w:cs="宋体"/>
          <w:b/>
          <w:sz w:val="24"/>
          <w:szCs w:val="24"/>
        </w:rPr>
        <w:t xml:space="preserve">元（小写       ）。 </w:t>
      </w:r>
      <w:r/>
    </w:p>
    <w:p>
      <w:pPr>
        <w:pStyle w:val="1070"/>
        <w:ind w:firstLine="480"/>
        <w:spacing w:line="360" w:lineRule="auto"/>
        <w:tabs>
          <w:tab w:val="left" w:pos="284" w:leader="none"/>
        </w:tabs>
        <w:rPr>
          <w:rFonts w:ascii="宋体" w:hAnsi="宋体" w:cs="宋体"/>
          <w:sz w:val="24"/>
        </w:rPr>
      </w:pPr>
      <w:r>
        <w:rPr>
          <w:rFonts w:hint="eastAsia" w:ascii="宋体" w:hAnsi="宋体" w:cs="宋体"/>
          <w:sz w:val="24"/>
        </w:rPr>
        <w:t xml:space="preserve">本合同总价款包括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w:t>
      </w:r>
      <w:r>
        <w:rPr>
          <w:rFonts w:hint="eastAsia" w:ascii="宋体" w:hAnsi="宋体" w:cs="宋体"/>
          <w:b/>
          <w:bCs/>
          <w:sz w:val="24"/>
        </w:rPr>
        <w:t xml:space="preserve">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sz w:val="24"/>
        </w:rPr>
      </w:r>
      <w:r/>
    </w:p>
    <w:p>
      <w:pPr>
        <w:pStyle w:val="1110"/>
        <w:ind w:firstLine="482"/>
        <w:spacing w:line="360" w:lineRule="auto"/>
        <w:rPr>
          <w:rFonts w:hAnsi="宋体" w:cs="宋体"/>
          <w:b/>
          <w:sz w:val="24"/>
          <w:szCs w:val="24"/>
        </w:rPr>
      </w:pPr>
      <w:r>
        <w:rPr>
          <w:rFonts w:hAnsi="宋体" w:cs="宋体"/>
          <w:b/>
          <w:sz w:val="24"/>
          <w:szCs w:val="24"/>
        </w:rPr>
        <w:t xml:space="preserve">第三条 组成本合同的有关文件</w:t>
      </w:r>
      <w:r/>
    </w:p>
    <w:p>
      <w:pPr>
        <w:pStyle w:val="1110"/>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10"/>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10"/>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070"/>
        <w:ind w:firstLine="482"/>
        <w:spacing w:line="360" w:lineRule="auto"/>
        <w:rPr>
          <w:rFonts w:ascii="宋体" w:hAnsi="宋体" w:cs="宋体"/>
          <w:b/>
          <w:sz w:val="24"/>
        </w:rPr>
      </w:pPr>
      <w:r>
        <w:rPr>
          <w:rFonts w:hint="eastAsia" w:ascii="宋体" w:hAnsi="宋体" w:cs="宋体"/>
          <w:b/>
          <w:sz w:val="24"/>
        </w:rPr>
        <w:t xml:space="preserve">第四条 权利保证</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第五条 质量保证</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sz w:val="24"/>
        </w:rPr>
      </w:r>
      <w:r/>
    </w:p>
    <w:p>
      <w:pPr>
        <w:pStyle w:val="1110"/>
        <w:ind w:firstLine="480"/>
        <w:spacing w:line="360" w:lineRule="auto"/>
        <w:rPr>
          <w:rFonts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070"/>
        <w:ind w:firstLine="482"/>
        <w:spacing w:line="360" w:lineRule="auto"/>
        <w:rPr>
          <w:rFonts w:ascii="宋体" w:hAnsi="宋体" w:cs="宋体"/>
          <w:b/>
          <w:sz w:val="24"/>
        </w:rPr>
      </w:pPr>
      <w:r>
        <w:rPr>
          <w:rFonts w:hint="eastAsia" w:ascii="宋体" w:hAnsi="宋体" w:cs="宋体"/>
          <w:b/>
          <w:sz w:val="24"/>
        </w:rPr>
        <w:t xml:space="preserve">第六条 包装要求</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2.每一包装单元内应附详细的装箱单和质量合格凭证。</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3.乙方保证货物不存在危及人身及财产安全的产品缺陷，否则应承担全部法律责任。</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第七条 交货和验收</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天内将货物安装调试完毕交付甲方正常使用，地点由甲方指定。招标文件有约定的，从其约定。</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a.重新调试直至合格为止；</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b.要求乙方对货物进行免费更换，然后重新调试直至合格为止。</w:t>
      </w:r>
      <w:r>
        <w:rPr>
          <w:rFonts w:ascii="宋体" w:hAnsi="宋体" w:cs="宋体"/>
          <w:sz w:val="24"/>
        </w:rPr>
      </w:r>
      <w:r/>
    </w:p>
    <w:p>
      <w:pPr>
        <w:pStyle w:val="1110"/>
        <w:ind w:firstLine="480"/>
        <w:spacing w:line="360" w:lineRule="auto"/>
        <w:rPr>
          <w:rFonts w:hAnsi="宋体" w:cs="宋体"/>
          <w:b/>
          <w:sz w:val="24"/>
          <w:szCs w:val="24"/>
        </w:rPr>
      </w:pPr>
      <w:r>
        <w:rPr>
          <w:rFonts w:hAnsi="宋体" w:cs="宋体"/>
          <w:sz w:val="24"/>
          <w:szCs w:val="24"/>
        </w:rPr>
        <w:t xml:space="preserve">甲方因乙方原因所产生的所有费用均由乙方负担。</w:t>
      </w:r>
      <w:r>
        <w:rPr>
          <w:rFonts w:hAnsi="宋体" w:cs="宋体"/>
          <w:b/>
          <w:sz w:val="24"/>
          <w:szCs w:val="24"/>
        </w:rPr>
      </w:r>
      <w:r/>
    </w:p>
    <w:p>
      <w:pPr>
        <w:pStyle w:val="1070"/>
        <w:ind w:firstLine="482"/>
        <w:spacing w:line="360" w:lineRule="auto"/>
        <w:rPr>
          <w:rFonts w:ascii="宋体" w:hAnsi="宋体" w:cs="宋体"/>
          <w:b/>
          <w:sz w:val="24"/>
        </w:rPr>
      </w:pPr>
      <w:r>
        <w:rPr>
          <w:rFonts w:hint="eastAsia" w:ascii="宋体" w:hAnsi="宋体" w:cs="宋体"/>
          <w:b/>
          <w:sz w:val="24"/>
        </w:rPr>
        <w:t xml:space="preserve">第八条 合同款结算及支付</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0"/>
        <w:ind w:firstLine="482"/>
        <w:spacing w:line="360" w:lineRule="auto"/>
        <w:rPr>
          <w:rFonts w:hint="eastAsia" w:ascii="宋体" w:hAnsi="宋体" w:cs="宋体"/>
          <w:b/>
          <w:bCs/>
          <w:sz w:val="24"/>
        </w:rPr>
      </w:pPr>
      <w:r>
        <w:rPr>
          <w:rFonts w:hint="eastAsia" w:ascii="宋体" w:hAnsi="宋体" w:cs="宋体"/>
          <w:b/>
          <w:bCs/>
          <w:sz w:val="24"/>
        </w:rPr>
        <w:t xml:space="preserve">3.结算原则：固定总价</w:t>
      </w:r>
      <w:r/>
    </w:p>
    <w:p>
      <w:pPr>
        <w:pStyle w:val="1070"/>
        <w:ind w:firstLine="482"/>
        <w:spacing w:line="360" w:lineRule="auto"/>
        <w:rPr>
          <w:rFonts w:hint="eastAsia" w:ascii="宋体" w:hAnsi="宋体" w:cs="宋体"/>
          <w:sz w:val="24"/>
        </w:rPr>
      </w:pPr>
      <w:r>
        <w:rPr>
          <w:rFonts w:hint="eastAsia" w:ascii="宋体" w:hAnsi="宋体" w:cs="宋体"/>
          <w:b/>
          <w:bCs/>
          <w:sz w:val="24"/>
        </w:rPr>
        <w:t xml:space="preserve">4.付款方式：</w:t>
      </w:r>
      <w:r>
        <w:rPr>
          <w:rFonts w:hint="eastAsia"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第九条 伴随服务／售后服务</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2.除前款规定外，乙方还应提供下列服务：</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（1）货物的现场安装、调试或启动监督；</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（2）就货物的安装、启动、运行及维护等对甲方人员进行免费培训。</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3.若招标文件中不包含有关伴随服务或售后服务的承诺，双方作如下约定：</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3.2 所购货物按乙方投标承诺提供免费维护和质量保证，保修费用计入总价。</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3.3 保修期内，乙方负责对其提供的货物整机进行维修和系统维护，不再收取任何费用，但不可抗力（如火灾、雷击等）造成的故障除外。</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3.4 货物故障报修的响应时间按乙方投标承诺执行。</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3.5 若货物故障在检修工作小时后仍无法排除，乙方应在小时内免费提供不低于故障货物规格型号档次的备用货物供甲方使用，直至故障货物修复。</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3.6 所有货物保修服务方式均为乙方上门保修，即由乙方派员到货物使用现场维修，由此产生的一切费用均由乙方承担。</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3.7 保修期后的货物维护由双方协商再定。</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4. 本项目免费保修期为</w:t>
      </w:r>
      <w:r>
        <w:rPr>
          <w:rFonts w:hint="eastAsia" w:ascii="宋体" w:hAnsi="宋体" w:cs="宋体"/>
          <w:sz w:val="24"/>
          <w:u w:val="single"/>
        </w:rPr>
        <w:t xml:space="preserve">       </w:t>
      </w:r>
      <w:r>
        <w:rPr>
          <w:rFonts w:hint="eastAsia" w:ascii="宋体" w:hAnsi="宋体" w:cs="宋体"/>
          <w:sz w:val="24"/>
        </w:rPr>
        <w:t xml:space="preserve">年。自产品验收合格之日起计算。</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第十条 违约责任</w:t>
      </w:r>
      <w:r>
        <w:rPr>
          <w:rFonts w:ascii="宋体" w:hAnsi="宋体" w:cs="宋体"/>
          <w:b/>
          <w:sz w:val="24"/>
        </w:rPr>
      </w:r>
      <w:r/>
    </w:p>
    <w:p>
      <w:pPr>
        <w:pStyle w:val="107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如乙方不能</w:t>
      </w:r>
      <w:r>
        <w:rPr>
          <w:rFonts w:ascii="宋体" w:hAnsi="宋体"/>
          <w:sz w:val="24"/>
        </w:rPr>
        <w:t xml:space="preserve">按时</w:t>
      </w:r>
      <w:r>
        <w:rPr>
          <w:rFonts w:hint="eastAsia" w:ascii="宋体" w:hAnsi="宋体"/>
          <w:sz w:val="24"/>
        </w:rPr>
        <w:t xml:space="preserve">交付货物完成安装调试的，每逾期</w:t>
      </w:r>
      <w:r>
        <w:rPr>
          <w:rFonts w:ascii="宋体" w:hAnsi="宋体"/>
          <w:sz w:val="24"/>
        </w:rPr>
        <w:t xml:space="preserve">1</w:t>
      </w:r>
      <w:r>
        <w:rPr>
          <w:rFonts w:hint="eastAsia" w:ascii="宋体" w:hAnsi="宋体"/>
          <w:sz w:val="24"/>
        </w:rPr>
        <w:t xml:space="preserve">天，乙方向甲方偿付合同总额</w:t>
      </w:r>
      <w:r>
        <w:rPr>
          <w:rFonts w:ascii="宋体" w:hAnsi="宋体"/>
          <w:sz w:val="24"/>
        </w:rPr>
        <w:t xml:space="preserve">5</w:t>
      </w:r>
      <w:r>
        <w:rPr>
          <w:rFonts w:hint="eastAsia" w:ascii="宋体" w:hAnsi="宋体"/>
          <w:sz w:val="24"/>
        </w:rPr>
        <w:t xml:space="preserve">‰的违约金</w:t>
      </w:r>
      <w:r>
        <w:rPr>
          <w:rFonts w:ascii="宋体" w:hAnsi="宋体"/>
          <w:sz w:val="24"/>
        </w:rPr>
        <w:t xml:space="preserve">；</w:t>
      </w:r>
      <w:r>
        <w:rPr>
          <w:rFonts w:hint="eastAsia" w:ascii="宋体" w:hAnsi="宋体"/>
          <w:sz w:val="24"/>
        </w:rPr>
        <w:t xml:space="preserve">乙方</w:t>
      </w:r>
      <w:r>
        <w:rPr>
          <w:rFonts w:ascii="宋体" w:hAnsi="宋体"/>
          <w:sz w:val="24"/>
        </w:rPr>
        <w:t xml:space="preserve">逾期交付货物或完成安装调试超过10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含</w:t>
      </w:r>
      <w:r>
        <w:rPr>
          <w:rFonts w:ascii="宋体" w:hAnsi="宋体"/>
          <w:sz w:val="24"/>
        </w:rPr>
        <w:t xml:space="preserve">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甲方有权解除合同，</w:t>
      </w:r>
      <w:r>
        <w:rPr>
          <w:rFonts w:ascii="宋体" w:hAnsi="宋体"/>
          <w:sz w:val="24"/>
        </w:rPr>
        <w:t xml:space="preserve">同时有权要求乙方按照</w:t>
      </w:r>
      <w:r>
        <w:rPr>
          <w:rFonts w:hint="eastAsia" w:ascii="宋体" w:hAnsi="宋体"/>
          <w:sz w:val="24"/>
        </w:rPr>
        <w:t xml:space="preserve">合同总价</w:t>
      </w:r>
      <w:r>
        <w:rPr>
          <w:rFonts w:ascii="宋体" w:hAnsi="宋体"/>
          <w:sz w:val="24"/>
        </w:rPr>
        <w:t xml:space="preserve">5%</w:t>
      </w:r>
      <w:r>
        <w:rPr>
          <w:rFonts w:hint="eastAsia" w:ascii="宋体" w:hAnsi="宋体"/>
          <w:sz w:val="24"/>
        </w:rPr>
        <w:t xml:space="preserve">的</w:t>
      </w:r>
      <w:r>
        <w:rPr>
          <w:rFonts w:ascii="宋体" w:hAnsi="宋体"/>
          <w:sz w:val="24"/>
        </w:rPr>
        <w:t xml:space="preserve">标准支付</w:t>
      </w:r>
      <w:r>
        <w:rPr>
          <w:rFonts w:hint="eastAsia" w:ascii="宋体" w:hAnsi="宋体"/>
          <w:sz w:val="24"/>
        </w:rPr>
        <w:t xml:space="preserve">违约金</w:t>
      </w:r>
      <w:r>
        <w:rPr>
          <w:rFonts w:ascii="宋体" w:hAnsi="宋体"/>
          <w:sz w:val="24"/>
        </w:rPr>
        <w:t xml:space="preserve">，</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rPr>
          <w:rFonts w:ascii="宋体" w:hAnsi="宋体"/>
          <w:sz w:val="24"/>
        </w:rPr>
      </w:r>
      <w:r/>
    </w:p>
    <w:p>
      <w:pPr>
        <w:pStyle w:val="1070"/>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甲方未按合同规定的期限向乙方支付货款的，每逾期</w:t>
      </w:r>
      <w:r>
        <w:rPr>
          <w:rFonts w:ascii="宋体" w:hAnsi="宋体"/>
          <w:sz w:val="24"/>
        </w:rPr>
        <w:t xml:space="preserve">1</w:t>
      </w:r>
      <w:r>
        <w:rPr>
          <w:rFonts w:hint="eastAsia" w:ascii="宋体" w:hAnsi="宋体"/>
          <w:sz w:val="24"/>
        </w:rPr>
        <w:t xml:space="preserve">天甲方向乙方偿付欠款总额的</w:t>
      </w:r>
      <w:r>
        <w:rPr>
          <w:rFonts w:ascii="宋体" w:hAnsi="宋体"/>
          <w:sz w:val="24"/>
        </w:rPr>
        <w:t xml:space="preserve">5</w:t>
      </w:r>
      <w:r>
        <w:rPr>
          <w:rFonts w:hint="eastAsia" w:ascii="宋体" w:hAnsi="宋体"/>
          <w:sz w:val="24"/>
        </w:rPr>
        <w:t xml:space="preserve">‰滞纳金，但累计滞纳金总额不超过欠款总额的</w:t>
      </w:r>
      <w:r>
        <w:rPr>
          <w:rFonts w:ascii="宋体" w:hAnsi="宋体"/>
          <w:sz w:val="24"/>
        </w:rPr>
        <w:t xml:space="preserve">5% </w:t>
      </w:r>
      <w:r>
        <w:rPr>
          <w:rFonts w:hint="eastAsia" w:ascii="宋体" w:hAnsi="宋体"/>
          <w:sz w:val="24"/>
        </w:rPr>
        <w:t xml:space="preserve">。</w:t>
      </w:r>
      <w:r>
        <w:rPr>
          <w:rFonts w:ascii="宋体" w:hAnsi="宋体"/>
          <w:sz w:val="24"/>
        </w:rPr>
      </w:r>
      <w:r/>
    </w:p>
    <w:p>
      <w:pPr>
        <w:pStyle w:val="107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乙方所交付的货物品种、型号、规格不符合合同规定的，甲方有权拒收</w:t>
      </w:r>
      <w:r>
        <w:rPr>
          <w:rFonts w:ascii="宋体" w:hAnsi="宋体"/>
          <w:sz w:val="24"/>
        </w:rPr>
        <w:t xml:space="preserve">，</w:t>
      </w:r>
      <w:r>
        <w:rPr>
          <w:rFonts w:hint="eastAsia" w:ascii="宋体" w:hAnsi="宋体"/>
          <w:sz w:val="24"/>
        </w:rPr>
        <w:t xml:space="preserve">同时</w:t>
      </w:r>
      <w:r>
        <w:rPr>
          <w:rFonts w:ascii="宋体" w:hAnsi="宋体"/>
          <w:sz w:val="24"/>
        </w:rPr>
        <w:t xml:space="preserve">有权解除合同，</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在乙方承诺的或国家规定的质量保证期内（取两者中最长的期限），如经乙方两次维修或更换，货物仍不能达到合同约定的质量标准、运行效果的，甲方有权</w:t>
      </w:r>
      <w:r>
        <w:rPr>
          <w:rFonts w:ascii="宋体" w:hAnsi="宋体"/>
          <w:sz w:val="24"/>
        </w:rPr>
        <w:t xml:space="preserve">要求</w:t>
      </w:r>
      <w:r>
        <w:rPr>
          <w:rFonts w:hint="eastAsia" w:ascii="宋体" w:hAnsi="宋体"/>
          <w:sz w:val="24"/>
        </w:rPr>
        <w:t xml:space="preserve">退货，乙方应退回全部货款，</w:t>
      </w:r>
      <w:r>
        <w:rPr>
          <w:rFonts w:ascii="宋体" w:hAnsi="宋体"/>
          <w:sz w:val="24"/>
        </w:rPr>
        <w:t xml:space="preserve">同时甲方有权</w:t>
      </w:r>
      <w:r>
        <w:rPr>
          <w:rFonts w:hint="eastAsia" w:ascii="宋体" w:hAnsi="宋体"/>
          <w:sz w:val="24"/>
        </w:rPr>
        <w:t xml:space="preserve">向</w:t>
      </w:r>
      <w:r>
        <w:rPr>
          <w:rFonts w:ascii="宋体" w:hAnsi="宋体"/>
          <w:sz w:val="24"/>
        </w:rPr>
        <w:t xml:space="preserve">乙方主张违约金</w:t>
      </w:r>
      <w:r>
        <w:rPr>
          <w:rFonts w:hint="eastAsia" w:ascii="宋体" w:hAnsi="宋体"/>
          <w:sz w:val="24"/>
        </w:rPr>
        <w:t xml:space="preserve">，</w:t>
      </w:r>
      <w:r>
        <w:rPr>
          <w:rFonts w:ascii="宋体" w:hAnsi="宋体"/>
          <w:sz w:val="24"/>
        </w:rPr>
        <w:t xml:space="preserve">若仍不足以弥补甲方损失，</w:t>
      </w:r>
      <w:r>
        <w:rPr>
          <w:rFonts w:hint="eastAsia" w:ascii="宋体" w:hAnsi="宋体"/>
          <w:sz w:val="24"/>
        </w:rPr>
        <w:t xml:space="preserve">则乙方还须赔偿甲方因此遭受的</w:t>
      </w:r>
      <w:r>
        <w:rPr>
          <w:rFonts w:ascii="宋体" w:hAnsi="宋体"/>
          <w:sz w:val="24"/>
        </w:rPr>
        <w:t xml:space="preserve">所有</w:t>
      </w:r>
      <w:r>
        <w:rPr>
          <w:rFonts w:hint="eastAsia" w:ascii="宋体" w:hAnsi="宋体"/>
          <w:sz w:val="24"/>
        </w:rPr>
        <w:t xml:space="preserve">损失。</w:t>
      </w:r>
      <w:r>
        <w:rPr>
          <w:rFonts w:ascii="宋体" w:hAnsi="宋体"/>
          <w:sz w:val="24"/>
        </w:rPr>
      </w:r>
      <w:r/>
    </w:p>
    <w:p>
      <w:pPr>
        <w:pStyle w:val="1070"/>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乙方未按本合同的规定和“服务承诺”提供伴随服务</w:t>
      </w:r>
      <w:r>
        <w:rPr>
          <w:rFonts w:ascii="宋体" w:hAnsi="宋体"/>
          <w:sz w:val="24"/>
        </w:rPr>
        <w:t xml:space="preserve">/</w:t>
      </w:r>
      <w:r>
        <w:rPr>
          <w:rFonts w:hint="eastAsia" w:ascii="宋体" w:hAnsi="宋体"/>
          <w:sz w:val="24"/>
        </w:rPr>
        <w:t xml:space="preserve">售后服务的，</w:t>
      </w:r>
      <w:r>
        <w:rPr>
          <w:rFonts w:ascii="宋体" w:hAnsi="宋体"/>
          <w:sz w:val="24"/>
        </w:rPr>
        <w:t xml:space="preserve">甲方有权提前解除本合同，</w:t>
      </w:r>
      <w:r>
        <w:rPr>
          <w:rFonts w:hint="eastAsia" w:ascii="宋体" w:hAnsi="宋体"/>
          <w:sz w:val="24"/>
        </w:rPr>
        <w:t xml:space="preserve">同时</w:t>
      </w:r>
      <w:r>
        <w:rPr>
          <w:rFonts w:ascii="宋体" w:hAnsi="宋体"/>
          <w:sz w:val="24"/>
        </w:rPr>
        <w:t xml:space="preserve">乙方</w:t>
      </w:r>
      <w:r>
        <w:rPr>
          <w:rFonts w:hint="eastAsia" w:ascii="宋体" w:hAnsi="宋体"/>
          <w:sz w:val="24"/>
        </w:rPr>
        <w:t xml:space="preserve">应按合同总价款的</w:t>
      </w:r>
      <w:r>
        <w:rPr>
          <w:rFonts w:ascii="宋体" w:hAnsi="宋体"/>
          <w:sz w:val="24"/>
        </w:rPr>
        <w:t xml:space="preserve">5 %</w:t>
      </w:r>
      <w:r>
        <w:rPr>
          <w:rFonts w:hint="eastAsia" w:ascii="宋体" w:hAnsi="宋体"/>
          <w:sz w:val="24"/>
        </w:rPr>
        <w:t xml:space="preserve">向甲方承担违约责任。</w:t>
      </w:r>
      <w:r>
        <w:rPr>
          <w:rFonts w:ascii="宋体" w:hAnsi="宋体"/>
          <w:sz w:val="24"/>
        </w:rPr>
      </w:r>
      <w:r/>
    </w:p>
    <w:p>
      <w:pPr>
        <w:pStyle w:val="1070"/>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sz w:val="24"/>
        </w:rPr>
      </w:r>
      <w:r/>
    </w:p>
    <w:p>
      <w:pPr>
        <w:pStyle w:val="1070"/>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乙方投标属虚假承诺，或经权威部门监测提供的货物不能满足招标文件要求，或是由于乙方的过错造成合同无法继续履行的，乙方应向甲方支付不少于合同总价</w:t>
      </w:r>
      <w:r>
        <w:rPr>
          <w:rFonts w:ascii="宋体" w:hAnsi="宋体"/>
          <w:sz w:val="24"/>
        </w:rPr>
        <w:t xml:space="preserve">30%违约</w:t>
      </w:r>
      <w:r>
        <w:rPr>
          <w:rFonts w:hint="eastAsia" w:ascii="宋体" w:hAnsi="宋体"/>
          <w:sz w:val="24"/>
        </w:rPr>
        <w:t xml:space="preserve">金</w:t>
      </w:r>
      <w:r>
        <w:rPr>
          <w:rFonts w:ascii="宋体" w:hAnsi="宋体"/>
          <w:sz w:val="24"/>
        </w:rPr>
        <w:t xml:space="preserve">，</w:t>
      </w:r>
      <w:r>
        <w:rPr>
          <w:rFonts w:hint="eastAsia" w:ascii="宋体" w:hAnsi="宋体"/>
          <w:sz w:val="24"/>
        </w:rPr>
        <w:t xml:space="preserve">若</w:t>
      </w:r>
      <w:r>
        <w:rPr>
          <w:rFonts w:ascii="宋体" w:hAnsi="宋体"/>
          <w:sz w:val="24"/>
        </w:rPr>
        <w:t xml:space="preserve">该违约金</w:t>
      </w:r>
      <w:r>
        <w:rPr>
          <w:rFonts w:hint="eastAsia" w:ascii="宋体" w:hAnsi="宋体"/>
          <w:sz w:val="24"/>
        </w:rPr>
        <w:t xml:space="preserve">不足以</w:t>
      </w:r>
      <w:r>
        <w:rPr>
          <w:rFonts w:ascii="宋体" w:hAnsi="宋体"/>
          <w:sz w:val="24"/>
        </w:rPr>
        <w:t xml:space="preserve">弥补甲方损失，</w:t>
      </w:r>
      <w:r>
        <w:rPr>
          <w:rFonts w:hint="eastAsia" w:ascii="宋体" w:hAnsi="宋体"/>
          <w:sz w:val="24"/>
        </w:rPr>
        <w:t xml:space="preserve">则应当</w:t>
      </w:r>
      <w:r>
        <w:rPr>
          <w:rFonts w:ascii="宋体" w:hAnsi="宋体"/>
          <w:sz w:val="24"/>
        </w:rPr>
        <w:t xml:space="preserve">赔偿甲方所有损失</w:t>
      </w:r>
      <w:r>
        <w:rPr>
          <w:rFonts w:hint="eastAsia" w:ascii="宋体" w:hAnsi="宋体"/>
          <w:sz w:val="24"/>
        </w:rPr>
        <w:t xml:space="preserve">。</w:t>
      </w:r>
      <w:r>
        <w:rPr>
          <w:rFonts w:ascii="宋体" w:hAnsi="宋体"/>
          <w:sz w:val="24"/>
        </w:rPr>
      </w:r>
      <w:r/>
    </w:p>
    <w:p>
      <w:pPr>
        <w:pStyle w:val="1070"/>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其他未尽事宜，以《民法典》等有关法律法规规定为准，无相关规定的，双方协商解决。</w:t>
      </w:r>
      <w:r>
        <w:rPr>
          <w:rFonts w:ascii="宋体" w:hAnsi="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第十一条 合同的变更和终止</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2.除发生法律规定的不能预见、不能避免并不能克服的客观情况外，甲乙双方不得放弃或拒绝履行合同。乙方放弃或拒绝履行合同，承担相应的违约责任。</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第十二条 合同的转让</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第十三条 不可抗力</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1070"/>
        <w:ind w:firstLine="480"/>
        <w:spacing w:line="360" w:lineRule="auto"/>
        <w:rPr>
          <w:rFonts w:ascii="宋体" w:hAnsi="宋体"/>
          <w:sz w:val="24"/>
        </w:rPr>
      </w:pPr>
      <w:r>
        <w:rPr>
          <w:rFonts w:ascii="宋体" w:hAnsi="宋体"/>
          <w:sz w:val="24"/>
        </w:rPr>
        <w:t xml:space="preserve">乙方</w:t>
      </w:r>
      <w:r>
        <w:rPr>
          <w:rFonts w:hint="eastAsia" w:ascii="宋体" w:hAnsi="宋体"/>
          <w:sz w:val="24"/>
        </w:rPr>
        <w:t xml:space="preserve">交付</w:t>
      </w:r>
      <w:r>
        <w:rPr>
          <w:rFonts w:ascii="宋体" w:hAnsi="宋体"/>
          <w:sz w:val="24"/>
        </w:rPr>
        <w:t xml:space="preserve">货物后，甲方发现</w:t>
      </w:r>
      <w:r>
        <w:rPr>
          <w:rFonts w:hint="eastAsia" w:ascii="宋体" w:hAnsi="宋体"/>
          <w:sz w:val="24"/>
        </w:rPr>
        <w:t xml:space="preserve">货物</w:t>
      </w:r>
      <w:r>
        <w:rPr>
          <w:rFonts w:ascii="宋体" w:hAnsi="宋体"/>
          <w:sz w:val="24"/>
        </w:rPr>
        <w:t xml:space="preserve">的</w:t>
      </w:r>
      <w:r>
        <w:rPr>
          <w:rFonts w:hint="eastAsia" w:ascii="宋体" w:hAnsi="宋体"/>
          <w:sz w:val="24"/>
        </w:rPr>
        <w:t xml:space="preserve">质量</w:t>
      </w:r>
      <w:r>
        <w:rPr>
          <w:rFonts w:ascii="宋体" w:hAnsi="宋体"/>
          <w:sz w:val="24"/>
        </w:rPr>
        <w:t xml:space="preserve">与合同内容不符或证实</w:t>
      </w:r>
      <w:r>
        <w:rPr>
          <w:rFonts w:hint="eastAsia" w:ascii="宋体" w:hAnsi="宋体"/>
          <w:sz w:val="24"/>
        </w:rPr>
        <w:t xml:space="preserve">货物存在</w:t>
      </w:r>
      <w:r>
        <w:rPr>
          <w:rFonts w:ascii="宋体" w:hAnsi="宋体"/>
          <w:sz w:val="24"/>
        </w:rPr>
        <w:t xml:space="preserve">缺陷的</w:t>
      </w:r>
      <w:r>
        <w:rPr>
          <w:rFonts w:hint="eastAsia" w:ascii="宋体" w:hAnsi="宋体"/>
          <w:sz w:val="24"/>
        </w:rPr>
        <w:t xml:space="preserve">（</w:t>
      </w:r>
      <w:r>
        <w:rPr>
          <w:rFonts w:ascii="宋体" w:hAnsi="宋体"/>
          <w:sz w:val="24"/>
        </w:rPr>
        <w:t xml:space="preserve">包括潜在缺陷</w:t>
      </w:r>
      <w:r>
        <w:rPr>
          <w:rFonts w:hint="eastAsia" w:ascii="宋体" w:hAnsi="宋体"/>
          <w:sz w:val="24"/>
        </w:rPr>
        <w:t xml:space="preserve">）</w:t>
      </w:r>
      <w:r>
        <w:rPr>
          <w:rFonts w:ascii="宋体" w:hAnsi="宋体"/>
          <w:sz w:val="24"/>
        </w:rPr>
        <w:t xml:space="preserve">，乙方应在收到甲方索赔通知后3</w:t>
      </w:r>
      <w:r>
        <w:rPr>
          <w:rFonts w:hint="eastAsia" w:ascii="宋体" w:hAnsi="宋体"/>
          <w:sz w:val="24"/>
        </w:rPr>
        <w:t xml:space="preserve">日</w:t>
      </w:r>
      <w:r>
        <w:rPr>
          <w:rFonts w:ascii="宋体" w:hAnsi="宋体"/>
          <w:sz w:val="24"/>
        </w:rPr>
        <w:t xml:space="preserve">内到甲方</w:t>
      </w:r>
      <w:r>
        <w:rPr>
          <w:rFonts w:hint="eastAsia" w:ascii="宋体" w:hAnsi="宋体"/>
          <w:sz w:val="24"/>
        </w:rPr>
        <w:t xml:space="preserve">处</w:t>
      </w:r>
      <w:r>
        <w:rPr>
          <w:rFonts w:ascii="宋体" w:hAnsi="宋体"/>
          <w:sz w:val="24"/>
        </w:rPr>
        <w:t xml:space="preserve">，</w:t>
      </w:r>
      <w:r>
        <w:rPr>
          <w:rFonts w:hint="eastAsia" w:ascii="宋体" w:hAnsi="宋体"/>
          <w:sz w:val="24"/>
        </w:rPr>
        <w:t xml:space="preserve">商量</w:t>
      </w:r>
      <w:r>
        <w:rPr>
          <w:rFonts w:ascii="宋体" w:hAnsi="宋体"/>
          <w:sz w:val="24"/>
        </w:rPr>
        <w:t xml:space="preserve">解决货物</w:t>
      </w:r>
      <w:r>
        <w:rPr>
          <w:rFonts w:hint="eastAsia" w:ascii="宋体" w:hAnsi="宋体"/>
          <w:sz w:val="24"/>
        </w:rPr>
        <w:t xml:space="preserve">质量</w:t>
      </w:r>
      <w:r>
        <w:rPr>
          <w:rFonts w:ascii="宋体" w:hAnsi="宋体"/>
          <w:sz w:val="24"/>
        </w:rPr>
        <w:t xml:space="preserve">或缺陷问题。若乙方未</w:t>
      </w:r>
      <w:r>
        <w:rPr>
          <w:rFonts w:hint="eastAsia" w:ascii="宋体" w:hAnsi="宋体"/>
          <w:sz w:val="24"/>
        </w:rPr>
        <w:t xml:space="preserve">在</w:t>
      </w:r>
      <w:r>
        <w:rPr>
          <w:rFonts w:ascii="宋体" w:hAnsi="宋体"/>
          <w:sz w:val="24"/>
        </w:rPr>
        <w:t xml:space="preserve">上述约定时间</w:t>
      </w:r>
      <w:r>
        <w:rPr>
          <w:rFonts w:hint="eastAsia" w:ascii="宋体" w:hAnsi="宋体"/>
          <w:sz w:val="24"/>
        </w:rPr>
        <w:t xml:space="preserve">内</w:t>
      </w:r>
      <w:r>
        <w:rPr>
          <w:rFonts w:ascii="宋体" w:hAnsi="宋体"/>
          <w:sz w:val="24"/>
        </w:rPr>
        <w:t xml:space="preserve">到场解决，</w:t>
      </w:r>
      <w:r>
        <w:rPr>
          <w:rFonts w:hint="eastAsia" w:ascii="宋体" w:hAnsi="宋体"/>
          <w:sz w:val="24"/>
        </w:rPr>
        <w:t xml:space="preserve">因此</w:t>
      </w:r>
      <w:r>
        <w:rPr>
          <w:rFonts w:ascii="宋体" w:hAnsi="宋体"/>
          <w:sz w:val="24"/>
        </w:rPr>
        <w:t xml:space="preserve">产生的损失以及扩大损失全部由乙方承担，</w:t>
      </w:r>
      <w:r>
        <w:rPr>
          <w:rFonts w:hint="eastAsia" w:ascii="宋体" w:hAnsi="宋体"/>
          <w:sz w:val="24"/>
        </w:rPr>
        <w:t xml:space="preserve">甲方</w:t>
      </w:r>
      <w:r>
        <w:rPr>
          <w:rFonts w:ascii="宋体" w:hAnsi="宋体"/>
          <w:sz w:val="24"/>
        </w:rPr>
        <w:t xml:space="preserve">有权选择</w:t>
      </w:r>
      <w:r>
        <w:rPr>
          <w:rFonts w:hint="eastAsia" w:ascii="宋体" w:hAnsi="宋体"/>
          <w:sz w:val="24"/>
        </w:rPr>
        <w:t xml:space="preserve">解除</w:t>
      </w:r>
      <w:r>
        <w:rPr>
          <w:rFonts w:ascii="宋体" w:hAnsi="宋体"/>
          <w:sz w:val="24"/>
        </w:rPr>
        <w:t xml:space="preserve">合同，</w:t>
      </w:r>
      <w:r>
        <w:rPr>
          <w:rFonts w:hint="eastAsia" w:ascii="宋体" w:hAnsi="宋体"/>
          <w:sz w:val="24"/>
        </w:rPr>
        <w:t xml:space="preserve">要求退还</w:t>
      </w:r>
      <w:r>
        <w:rPr>
          <w:rFonts w:ascii="宋体" w:hAnsi="宋体"/>
          <w:sz w:val="24"/>
        </w:rPr>
        <w:t xml:space="preserve">全部货物，</w:t>
      </w:r>
      <w:r>
        <w:rPr>
          <w:rFonts w:hint="eastAsia" w:ascii="宋体" w:hAnsi="宋体"/>
          <w:sz w:val="24"/>
        </w:rPr>
        <w:t xml:space="preserve">返还</w:t>
      </w:r>
      <w:r>
        <w:rPr>
          <w:rFonts w:ascii="宋体" w:hAnsi="宋体"/>
          <w:sz w:val="24"/>
        </w:rPr>
        <w:t xml:space="preserve">所有货款，</w:t>
      </w:r>
      <w:r>
        <w:rPr>
          <w:rFonts w:hint="eastAsia" w:ascii="宋体" w:hAnsi="宋体"/>
          <w:sz w:val="24"/>
        </w:rPr>
        <w:t xml:space="preserve">并</w:t>
      </w:r>
      <w:r>
        <w:rPr>
          <w:rFonts w:ascii="宋体" w:hAnsi="宋体"/>
          <w:sz w:val="24"/>
        </w:rPr>
        <w:t xml:space="preserve">有权按照合同总额5%</w:t>
      </w:r>
      <w:r>
        <w:rPr>
          <w:rFonts w:hint="eastAsia" w:ascii="宋体" w:hAnsi="宋体"/>
          <w:sz w:val="24"/>
        </w:rPr>
        <w:t xml:space="preserve">标准</w:t>
      </w:r>
      <w:r>
        <w:rPr>
          <w:rFonts w:ascii="宋体" w:hAnsi="宋体"/>
          <w:sz w:val="24"/>
        </w:rPr>
        <w:t xml:space="preserve">向乙方主张违约金；</w:t>
      </w:r>
      <w:r>
        <w:rPr>
          <w:rFonts w:hint="eastAsia" w:ascii="宋体" w:hAnsi="宋体"/>
          <w:sz w:val="24"/>
        </w:rPr>
        <w:t xml:space="preserve">或者</w:t>
      </w:r>
      <w:r>
        <w:rPr>
          <w:rFonts w:ascii="宋体" w:hAnsi="宋体"/>
          <w:sz w:val="24"/>
        </w:rPr>
        <w:t xml:space="preserve">有权安排第三方</w:t>
      </w:r>
      <w:r>
        <w:rPr>
          <w:rFonts w:hint="eastAsia" w:ascii="宋体" w:hAnsi="宋体"/>
          <w:sz w:val="24"/>
        </w:rPr>
        <w:t xml:space="preserve">解决</w:t>
      </w:r>
      <w:r>
        <w:rPr>
          <w:rFonts w:ascii="宋体" w:hAnsi="宋体"/>
          <w:sz w:val="24"/>
        </w:rPr>
        <w:t xml:space="preserve">货物质量或缺陷问题，</w:t>
      </w:r>
      <w:r>
        <w:rPr>
          <w:rFonts w:hint="eastAsia" w:ascii="宋体" w:hAnsi="宋体"/>
          <w:sz w:val="24"/>
        </w:rPr>
        <w:t xml:space="preserve">因此</w:t>
      </w:r>
      <w:r>
        <w:rPr>
          <w:rFonts w:ascii="宋体" w:hAnsi="宋体"/>
          <w:sz w:val="24"/>
        </w:rPr>
        <w:t xml:space="preserve">产生</w:t>
      </w:r>
      <w:r>
        <w:rPr>
          <w:rFonts w:hint="eastAsia" w:ascii="宋体" w:hAnsi="宋体"/>
          <w:sz w:val="24"/>
        </w:rPr>
        <w:t xml:space="preserve">的</w:t>
      </w:r>
      <w:r>
        <w:rPr>
          <w:rFonts w:ascii="宋体" w:hAnsi="宋体"/>
          <w:sz w:val="24"/>
        </w:rPr>
        <w:t xml:space="preserve">所有费用全部由乙方承担，</w:t>
      </w:r>
      <w:r>
        <w:rPr>
          <w:rFonts w:hint="eastAsia" w:ascii="宋体" w:hAnsi="宋体"/>
          <w:sz w:val="24"/>
        </w:rPr>
        <w:t xml:space="preserve">甲方可以</w:t>
      </w:r>
      <w:r>
        <w:rPr>
          <w:rFonts w:ascii="宋体" w:hAnsi="宋体"/>
          <w:sz w:val="24"/>
        </w:rPr>
        <w:t xml:space="preserve">在应付乙方的货款中直接扣除，</w:t>
      </w:r>
      <w:r>
        <w:rPr>
          <w:rFonts w:hint="eastAsia" w:ascii="宋体" w:hAnsi="宋体"/>
          <w:sz w:val="24"/>
        </w:rPr>
        <w:t xml:space="preserve">同时</w:t>
      </w:r>
      <w:r>
        <w:rPr>
          <w:rFonts w:ascii="宋体" w:hAnsi="宋体"/>
          <w:sz w:val="24"/>
        </w:rPr>
        <w:t xml:space="preserve">甲方有权按照合同总额5%</w:t>
      </w:r>
      <w:r>
        <w:rPr>
          <w:rFonts w:hint="eastAsia" w:ascii="宋体" w:hAnsi="宋体"/>
          <w:sz w:val="24"/>
        </w:rPr>
        <w:t xml:space="preserve">标准</w:t>
      </w:r>
      <w:r>
        <w:rPr>
          <w:rFonts w:ascii="宋体" w:hAnsi="宋体"/>
          <w:sz w:val="24"/>
        </w:rPr>
        <w:t xml:space="preserve">向乙方主张违约金</w:t>
      </w:r>
      <w:r>
        <w:rPr>
          <w:rFonts w:hint="eastAsia" w:ascii="宋体" w:hAnsi="宋体"/>
          <w:sz w:val="24"/>
        </w:rPr>
        <w:t xml:space="preserve">。</w:t>
      </w:r>
      <w:r>
        <w:rPr>
          <w:rFonts w:ascii="宋体" w:hAnsi="宋体"/>
          <w:sz w:val="24"/>
        </w:rPr>
        <w:t xml:space="preserve">若上述违约金不足以弥补甲方直接损失和</w:t>
      </w:r>
      <w:r>
        <w:rPr>
          <w:rFonts w:hint="eastAsia" w:ascii="宋体" w:hAnsi="宋体"/>
          <w:sz w:val="24"/>
        </w:rPr>
        <w:t xml:space="preserve">间接</w:t>
      </w:r>
      <w:r>
        <w:rPr>
          <w:rFonts w:ascii="宋体" w:hAnsi="宋体"/>
          <w:sz w:val="24"/>
        </w:rPr>
        <w:t xml:space="preserve">损失，</w:t>
      </w:r>
      <w:r>
        <w:rPr>
          <w:rFonts w:hint="eastAsia" w:ascii="宋体" w:hAnsi="宋体"/>
          <w:sz w:val="24"/>
        </w:rPr>
        <w:t xml:space="preserve">则</w:t>
      </w:r>
      <w:r>
        <w:rPr>
          <w:rFonts w:ascii="宋体" w:hAnsi="宋体"/>
          <w:sz w:val="24"/>
        </w:rPr>
        <w:t xml:space="preserve">乙方应赔偿</w:t>
      </w:r>
      <w:r>
        <w:rPr>
          <w:rFonts w:hint="eastAsia" w:ascii="宋体" w:hAnsi="宋体"/>
          <w:sz w:val="24"/>
        </w:rPr>
        <w:t xml:space="preserve">甲方</w:t>
      </w:r>
      <w:r>
        <w:rPr>
          <w:rFonts w:ascii="宋体" w:hAnsi="宋体"/>
          <w:sz w:val="24"/>
        </w:rPr>
        <w:t xml:space="preserve">所有损失。</w:t>
      </w:r>
      <w:r/>
    </w:p>
    <w:p>
      <w:pPr>
        <w:pStyle w:val="1070"/>
        <w:spacing w:line="360" w:lineRule="auto"/>
        <w:rPr>
          <w:rFonts w:ascii="宋体" w:hAnsi="宋体" w:cs="宋体"/>
          <w:sz w:val="24"/>
        </w:rPr>
      </w:pPr>
      <w:r>
        <w:rPr>
          <w:rFonts w:hint="eastAsia" w:ascii="宋体" w:hAnsi="宋体" w:cs="宋体"/>
          <w:sz w:val="24"/>
        </w:rPr>
        <w:t xml:space="preserve">    甲方因主张上述权利而支出的所有合理费用，包括但不限于律师费、诉讼费、鉴定费、差旅费、保函费等，均由乙方承担。</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第十五条 争议的解决</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（1）向甲方所在地有人民法院提起诉讼；</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3、在法院审理和仲裁期间，除有争议部分外，本合同其他部分应继续履行。</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第十六条 诚实信用 </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第十七条 合同生效及其他</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70"/>
        <w:jc w:val="left"/>
        <w:spacing w:line="360" w:lineRule="auto"/>
        <w:rPr>
          <w:rFonts w:ascii="宋体" w:hAnsi="宋体" w:cs="宋体"/>
          <w:b/>
          <w:bCs/>
          <w:sz w:val="24"/>
        </w:rPr>
      </w:pPr>
      <w:r>
        <w:rPr>
          <w:rFonts w:ascii="宋体" w:hAnsi="宋体" w:cs="宋体"/>
          <w:b/>
          <w:bCs/>
          <w:sz w:val="24"/>
        </w:rPr>
      </w:r>
      <w:r/>
    </w:p>
    <w:p>
      <w:pPr>
        <w:pStyle w:val="1070"/>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070"/>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070"/>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070"/>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070"/>
        <w:spacing w:line="360" w:lineRule="auto"/>
        <w:rPr>
          <w:rFonts w:ascii="宋体" w:hAnsi="宋体" w:cs="宋体"/>
          <w:sz w:val="24"/>
        </w:rPr>
      </w:pPr>
      <w:r>
        <w:rPr>
          <w:rFonts w:hint="eastAsia" w:ascii="宋体" w:hAnsi="宋体" w:cs="宋体"/>
          <w:sz w:val="24"/>
        </w:rPr>
        <w:t xml:space="preserve">电话：             传真：                电话：            传真：</w:t>
      </w:r>
      <w:r>
        <w:rPr>
          <w:rFonts w:ascii="宋体" w:hAnsi="宋体" w:cs="宋体"/>
          <w:sz w:val="24"/>
        </w:rPr>
      </w:r>
      <w:r/>
    </w:p>
    <w:p>
      <w:pPr>
        <w:pStyle w:val="1070"/>
        <w:spacing w:line="360" w:lineRule="auto"/>
        <w:rPr>
          <w:rFonts w:ascii="宋体" w:hAnsi="宋体" w:cs="宋体"/>
          <w:sz w:val="24"/>
        </w:rPr>
      </w:pPr>
      <w:r>
        <w:rPr>
          <w:rFonts w:hint="eastAsia" w:ascii="宋体" w:hAnsi="宋体"/>
          <w:b/>
          <w:sz w:val="36"/>
          <w:szCs w:val="36"/>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开户银行：        账号：</w:t>
      </w:r>
      <w:r>
        <w:rPr>
          <w:rFonts w:ascii="宋体" w:hAnsi="宋体" w:cs="宋体"/>
          <w:sz w:val="24"/>
        </w:rPr>
      </w:r>
      <w:r/>
    </w:p>
    <w:p>
      <w:pPr>
        <w:pStyle w:val="1070"/>
        <w:spacing w:line="360" w:lineRule="auto"/>
        <w:rPr>
          <w:rFonts w:ascii="宋体" w:hAnsi="宋体" w:cs="宋体"/>
          <w:sz w:val="24"/>
        </w:rPr>
      </w:pPr>
      <w:r>
        <w:rPr>
          <w:rFonts w:ascii="宋体" w:hAnsi="宋体"/>
          <w:b/>
          <w:sz w:val="36"/>
          <w:szCs w:val="36"/>
        </w:rPr>
        <w:br w:type="page" w:clear="all"/>
      </w:r>
      <w:r>
        <w:rPr>
          <w:rFonts w:ascii="宋体" w:hAnsi="宋体" w:cs="宋体"/>
          <w:sz w:val="24"/>
        </w:rPr>
      </w:r>
      <w:r/>
    </w:p>
    <w:p>
      <w:pPr>
        <w:pStyle w:val="1070"/>
        <w:jc w:val="center"/>
        <w:spacing w:line="360" w:lineRule="auto"/>
        <w:rPr>
          <w:rFonts w:ascii="宋体" w:hAnsi="宋体"/>
          <w:b/>
          <w:sz w:val="36"/>
          <w:szCs w:val="36"/>
        </w:rPr>
        <w:outlineLvl w:val="0"/>
      </w:pPr>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p>
    <w:p>
      <w:pPr>
        <w:pStyle w:val="107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致：常州市城投建设工程招标有限公司</w:t>
      </w:r>
      <w:r>
        <w:rPr>
          <w:rFonts w:hAnsi="宋体"/>
        </w:rPr>
      </w:r>
      <w:r/>
    </w:p>
    <w:p>
      <w:pPr>
        <w:pStyle w:val="108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                                            投标人：（加盖公章）</w:t>
      </w:r>
      <w:r>
        <w:rPr>
          <w:rFonts w:hAnsi="宋体"/>
        </w:rPr>
      </w:r>
      <w:r/>
    </w:p>
    <w:p>
      <w:pPr>
        <w:pStyle w:val="1085"/>
        <w:ind w:firstLine="480"/>
        <w:spacing w:line="460" w:lineRule="exact"/>
        <w:rPr>
          <w:rFonts w:hAnsi="宋体"/>
        </w:rPr>
      </w:pPr>
      <w:r>
        <w:rPr>
          <w:rFonts w:hint="eastAsia" w:hAnsi="宋体"/>
        </w:rPr>
        <w:t xml:space="preserve">                                           法定代表人（或单位负责人）签字或盖章：</w:t>
      </w:r>
      <w:r>
        <w:rPr>
          <w:rFonts w:hAnsi="宋体"/>
        </w:rPr>
      </w:r>
      <w:r/>
    </w:p>
    <w:p>
      <w:pPr>
        <w:pStyle w:val="1085"/>
        <w:ind w:firstLine="492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0"/>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widowControl/>
        <w:rPr>
          <w:rFonts w:hint="eastAsia" w:ascii="宋体" w:hAnsi="宋体"/>
          <w:sz w:val="24"/>
        </w:rPr>
      </w:pPr>
      <w:r>
        <w:rPr>
          <w:rFonts w:hint="eastAsia" w:ascii="宋体" w:hAnsi="宋体"/>
          <w:sz w:val="24"/>
        </w:rPr>
      </w:r>
      <w:r/>
    </w:p>
    <w:p>
      <w:pPr>
        <w:pStyle w:val="1070"/>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Ref467988698"/>
      <w:r/>
      <w:bookmarkStart w:id="818" w:name="_Toc150774761"/>
      <w:r/>
      <w:bookmarkStart w:id="819" w:name="_Toc150480794"/>
      <w:r/>
      <w:bookmarkStart w:id="820" w:name="_Toc195842921"/>
      <w:r/>
      <w:bookmarkStart w:id="821" w:name="_Toc226309800"/>
      <w:r/>
      <w:bookmarkStart w:id="822" w:name="_Toc142311058"/>
      <w:r/>
      <w:bookmarkStart w:id="823" w:name="_Toc480942349"/>
      <w:r/>
      <w:bookmarkStart w:id="824" w:name="_Toc127151556"/>
      <w:r/>
      <w:bookmarkStart w:id="825" w:name="_Toc226337252"/>
      <w:r/>
      <w:bookmarkStart w:id="826" w:name="_Toc226965829"/>
      <w:r/>
      <w:bookmarkStart w:id="827" w:name="_Toc520356217"/>
      <w:r/>
      <w:bookmarkStart w:id="828" w:name="_Toc226965746"/>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29" w:name="_Hlt520355938"/>
      <w:r/>
      <w:bookmarkEnd w:id="829"/>
      <w:r/>
      <w:bookmarkStart w:id="830" w:name="_Hlt520356243"/>
      <w:r/>
      <w:bookmarkEnd w:id="830"/>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4"/>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2"/>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31" w:name="_Hlt520343000"/>
      <w:r/>
      <w:bookmarkEnd w:id="831"/>
      <w:r/>
      <w:bookmarkStart w:id="832" w:name="_Hlt520350918"/>
      <w:r/>
      <w:bookmarkEnd w:id="832"/>
      <w:r/>
      <w:bookmarkStart w:id="833" w:name="_Hlt520273711"/>
      <w:r/>
      <w:bookmarkEnd w:id="833"/>
      <w:r/>
      <w:bookmarkStart w:id="834" w:name="_Hlt520274393"/>
      <w:r/>
      <w:bookmarkEnd w:id="834"/>
      <w:r/>
      <w:bookmarkStart w:id="835" w:name="_Hlt520343392"/>
      <w:r/>
      <w:bookmarkEnd w:id="835"/>
      <w:r/>
      <w:bookmarkStart w:id="836" w:name="_Hlt520274407"/>
      <w:r/>
      <w:bookmarkEnd w:id="836"/>
      <w:r/>
      <w:bookmarkStart w:id="837" w:name="_Hlt520274121"/>
      <w:r/>
      <w:bookmarkEnd w:id="837"/>
      <w:r/>
      <w:bookmarkStart w:id="838" w:name="_Hlt520274065"/>
      <w:r/>
      <w:bookmarkEnd w:id="838"/>
      <w:r/>
      <w:bookmarkStart w:id="839" w:name="_Hlt520271212"/>
      <w:r/>
      <w:bookmarkEnd w:id="839"/>
      <w:r/>
      <w:bookmarkStart w:id="840" w:name="_Hlt520355504"/>
      <w:r/>
      <w:bookmarkEnd w:id="840"/>
      <w:r/>
      <w:bookmarkStart w:id="841" w:name="_Toc150774762"/>
      <w:r/>
      <w:bookmarkStart w:id="842" w:name="_Toc265228395"/>
      <w:r/>
      <w:bookmarkStart w:id="843" w:name="_Toc305158825"/>
      <w:r/>
      <w:bookmarkStart w:id="844" w:name="_Toc142311059"/>
      <w:r/>
      <w:bookmarkStart w:id="845" w:name="_Toc127151557"/>
      <w:r/>
      <w:bookmarkStart w:id="846" w:name="_Toc150480795"/>
      <w:r/>
      <w:bookmarkStart w:id="847" w:name="_Toc520356218"/>
      <w:r/>
      <w:bookmarkStart w:id="848" w:name="_Ref467988705"/>
      <w:r/>
      <w:bookmarkStart w:id="849" w:name="_Toc226965747"/>
      <w:r/>
      <w:bookmarkStart w:id="850" w:name="_Toc226309801"/>
      <w:r/>
      <w:bookmarkStart w:id="851" w:name="_Toc195842922"/>
      <w:r/>
      <w:bookmarkStart w:id="852" w:name="_Toc226337253"/>
      <w:r/>
      <w:bookmarkStart w:id="853" w:name="_Toc480942350"/>
      <w:r/>
      <w:bookmarkStart w:id="854" w:name="_Toc305158899"/>
      <w:r/>
      <w:bookmarkStart w:id="855" w:name="_Toc264969247"/>
      <w:r/>
      <w:bookmarkStart w:id="856" w:name="_Toc22696583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57" w:name="_Toc305158900"/>
      <w:r/>
      <w:bookmarkStart w:id="858" w:name="_Toc226965831"/>
      <w:r/>
      <w:bookmarkStart w:id="859" w:name="_Toc164608827"/>
      <w:r/>
      <w:bookmarkStart w:id="860" w:name="_Toc195842923"/>
      <w:r/>
      <w:bookmarkStart w:id="861" w:name="_Toc226965748"/>
      <w:r/>
      <w:bookmarkStart w:id="862" w:name="_Toc265228396"/>
      <w:r/>
      <w:bookmarkStart w:id="863" w:name="_Toc305158826"/>
      <w:r/>
      <w:bookmarkStart w:id="864" w:name="_Toc226309802"/>
      <w:r/>
      <w:bookmarkStart w:id="865" w:name="_Toc164608672"/>
      <w:r/>
      <w:bookmarkStart w:id="866" w:name="_Toc264969248"/>
      <w:r/>
      <w:bookmarkStart w:id="867" w:name="_Toc226337254"/>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0"/>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68" w:name="_Toc150774763"/>
      <w:r/>
      <w:bookmarkStart w:id="869" w:name="_Toc305158901"/>
      <w:r/>
      <w:bookmarkStart w:id="870" w:name="_Toc226965832"/>
      <w:r/>
      <w:bookmarkStart w:id="871" w:name="_Toc150480796"/>
      <w:r/>
      <w:bookmarkStart w:id="872" w:name="_Toc264969249"/>
      <w:r/>
      <w:bookmarkStart w:id="873" w:name="_Toc142311060"/>
      <w:r/>
      <w:bookmarkStart w:id="874" w:name="_Toc226337255"/>
      <w:r/>
      <w:bookmarkStart w:id="875" w:name="_Toc226309803"/>
      <w:r/>
      <w:bookmarkStart w:id="876" w:name="_Toc226965749"/>
      <w:r/>
      <w:bookmarkStart w:id="877" w:name="_Toc305158827"/>
      <w:r/>
      <w:bookmarkStart w:id="878" w:name="_Toc195842924"/>
      <w:r/>
      <w:bookmarkStart w:id="879" w:name="_Toc265228397"/>
      <w:r/>
      <w:bookmarkStart w:id="880" w:name="_Toc127151558"/>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hint="eastAsia" w:ascii="宋体" w:hAnsi="宋体"/>
          <w:b/>
          <w:sz w:val="36"/>
          <w:szCs w:val="36"/>
        </w:rPr>
      </w:pPr>
      <w:r>
        <w:rPr>
          <w:rFonts w:hint="eastAsia" w:ascii="宋体" w:hAnsi="宋体"/>
          <w:b/>
          <w:sz w:val="36"/>
          <w:szCs w:val="36"/>
        </w:rPr>
        <w:t xml:space="preserve">投标分项报价表（包01）</w:t>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998"/>
        <w:gridCol w:w="907"/>
        <w:gridCol w:w="1380"/>
        <w:gridCol w:w="1378"/>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80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b/>
                <w:bCs/>
                <w:sz w:val="24"/>
              </w:rPr>
            </w:pPr>
            <w:r>
              <w:rPr>
                <w:rStyle w:val="1326"/>
                <w:rFonts w:ascii="宋体" w:hAnsi="宋体" w:eastAsia="宋体" w:cs="宋体"/>
                <w:color w:val="000000"/>
                <w:lang w:bidi="ar"/>
              </w:rPr>
              <w:t xml:space="preserve">洁净蒸汽灭菌器</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清洗消毒器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大型清洗消毒器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高温干燥柜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医用低温真空干燥柜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手工清洗槽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腔镜清洗工作站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水处理系统（单级）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水处理系统（双级）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减压沸腾机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封口打印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切割机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能量柱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信息管理与追溯系统（含供应室硬件）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环境安全监测报警系统一套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医用绝缘检测仪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快速生物阅读器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洁净气源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节能高效燃气洁净蒸汽发生器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智能电加热洁净蒸汽发生器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软水机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b/>
                <w:bCs/>
                <w:sz w:val="24"/>
              </w:rPr>
            </w:pPr>
            <w:r>
              <w:rPr>
                <w:rStyle w:val="1326"/>
                <w:rFonts w:ascii="宋体" w:hAnsi="宋体" w:eastAsia="宋体" w:cs="宋体"/>
                <w:color w:val="000000"/>
                <w:lang w:bidi="ar"/>
              </w:rPr>
              <w:t xml:space="preserve">低温等离子灭菌器</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环氧乙烷灭菌器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center"/>
              <w:spacing w:line="360" w:lineRule="auto"/>
              <w:widowControl/>
              <w:rPr>
                <w:rFonts w:ascii="宋体" w:hAnsi="宋体" w:cs="Arial"/>
                <w:b/>
                <w:bCs/>
                <w:sz w:val="24"/>
              </w:rPr>
            </w:pPr>
            <w:r>
              <w:rPr>
                <w:rFonts w:hint="eastAsia" w:ascii="宋体" w:hAnsi="宋体" w:cs="宋体"/>
                <w:sz w:val="24"/>
                <w:lang w:bidi="ar"/>
              </w:rPr>
              <w:t xml:space="preserve">仓储物流</w:t>
            </w: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widowControl/>
              <w:rPr>
                <w:rFonts w:ascii="宋体" w:hAnsi="宋体" w:cs="Arial"/>
                <w:sz w:val="24"/>
              </w:rPr>
            </w:pPr>
            <w:r>
              <w:rPr>
                <w:rFonts w:hint="eastAsia" w:ascii="宋体" w:hAnsi="宋体" w:cs="宋体"/>
                <w:sz w:val="24"/>
                <w:lang w:bidi="ar"/>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widowControl/>
              <w:rPr>
                <w:rFonts w:ascii="宋体" w:hAnsi="宋体" w:cs="Arial"/>
                <w:sz w:val="24"/>
              </w:rPr>
            </w:pPr>
            <w:r>
              <w:rPr>
                <w:rFonts w:hint="eastAsia" w:ascii="宋体" w:hAnsi="宋体" w:cs="宋体"/>
                <w:sz w:val="24"/>
                <w:lang w:bidi="ar"/>
              </w:rPr>
              <w:t xml:space="preserve">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清洗工作台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器械检查打包台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气枪（可调节压力）</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包布检查打包台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多功能台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器械检查放大镜</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精益物品存放柜</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包布车</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电动升降传递窗</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trike/>
                <w:szCs w:val="21"/>
                <w:lang w:bidi="ar"/>
              </w:rPr>
            </w:pPr>
            <w:r>
              <w:rPr>
                <w:rFonts w:hint="eastAsia" w:ascii="宋体" w:hAnsi="宋体" w:cs="宋体"/>
                <w:szCs w:val="21"/>
                <w:lang w:bidi="ar"/>
              </w:rPr>
              <w:t xml:space="preserve">24.10</w:t>
            </w:r>
            <w:r>
              <w:rPr>
                <w:rFonts w:hint="eastAsia" w:ascii="宋体" w:hAnsi="宋体" w:cs="宋体"/>
                <w:strike/>
                <w:szCs w:val="21"/>
                <w:lang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trike/>
                <w:szCs w:val="21"/>
                <w:lang w:bidi="ar"/>
              </w:rPr>
            </w:pPr>
            <w:r>
              <w:rPr>
                <w:rFonts w:hint="eastAsia" w:ascii="宋体" w:hAnsi="宋体" w:cs="宋体"/>
                <w:szCs w:val="21"/>
                <w:lang w:bidi="ar"/>
              </w:rPr>
              <w:t xml:space="preserve">智能洗手盆</w:t>
            </w:r>
            <w:r>
              <w:rPr>
                <w:rFonts w:hint="eastAsia" w:ascii="宋体" w:hAnsi="宋体" w:cs="宋体"/>
                <w:strike/>
                <w:szCs w:val="21"/>
                <w:lang w:bidi="ar"/>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trike/>
                <w:szCs w:val="21"/>
                <w:lang w:bidi="ar"/>
              </w:rPr>
            </w:pPr>
            <w:r>
              <w:rPr>
                <w:rFonts w:hint="eastAsia" w:ascii="宋体" w:hAnsi="宋体" w:cs="宋体"/>
                <w:szCs w:val="21"/>
                <w:lang w:bidi="ar"/>
              </w:rPr>
              <w:t xml:space="preserve">3</w:t>
            </w:r>
            <w:r>
              <w:rPr>
                <w:rFonts w:hint="eastAsia" w:ascii="宋体" w:hAnsi="宋体" w:cs="宋体"/>
                <w:strike/>
                <w:szCs w:val="21"/>
                <w:lang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24.11</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接收台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24.12</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器械柜</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24.13</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贮槽平台车</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24.14</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密封下送车</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24.15</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电动密封下送车（尺寸满足配送需求）</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24.16</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包布车</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24.17</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电脑工作台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24.18</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污物接收台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24.19</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洗眼器</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24.20</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内镜转运车</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24.21</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各类清洗篮筐、精密器械篮筐</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24.22</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灭菌篮筐</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24.23</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灭菌消毒内车</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24.24</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高压水枪（洗车间）</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24.25</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清洗架转运车</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24.26</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电动污车（尺寸满足配送需求）</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24.27</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107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自动卸载架</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tLeast"/>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center"/>
        <w:spacing w:line="360" w:lineRule="exact"/>
        <w:rPr>
          <w:rFonts w:hint="eastAsia" w:ascii="宋体" w:hAnsi="宋体"/>
          <w:b/>
          <w:sz w:val="36"/>
          <w:szCs w:val="36"/>
        </w:rPr>
      </w:pPr>
      <w:r>
        <w:rPr>
          <w:rFonts w:hint="eastAsia" w:ascii="宋体" w:hAnsi="宋体"/>
          <w:b/>
          <w:sz w:val="36"/>
          <w:szCs w:val="36"/>
        </w:rPr>
      </w:r>
      <w:r/>
    </w:p>
    <w:p>
      <w:pPr>
        <w:pStyle w:val="1070"/>
        <w:jc w:val="center"/>
        <w:spacing w:line="360" w:lineRule="exact"/>
        <w:rPr>
          <w:rFonts w:hint="eastAsia" w:ascii="宋体" w:hAnsi="宋体"/>
          <w:b/>
          <w:sz w:val="36"/>
          <w:szCs w:val="36"/>
        </w:rPr>
      </w:pPr>
      <w:r>
        <w:rPr>
          <w:rFonts w:hint="eastAsia" w:ascii="宋体" w:hAnsi="宋体"/>
          <w:b/>
          <w:sz w:val="36"/>
          <w:szCs w:val="36"/>
        </w:rPr>
      </w:r>
      <w:r/>
    </w:p>
    <w:p>
      <w:pPr>
        <w:pStyle w:val="1070"/>
        <w:spacing w:line="360" w:lineRule="exact"/>
        <w:rPr>
          <w:rFonts w:hint="eastAsia" w:ascii="宋体" w:hAnsi="宋体"/>
          <w:b/>
          <w:sz w:val="36"/>
          <w:szCs w:val="36"/>
        </w:rPr>
      </w:pPr>
      <w:r>
        <w:rPr>
          <w:rFonts w:hint="eastAsia" w:ascii="宋体" w:hAnsi="宋体"/>
          <w:b/>
          <w:sz w:val="36"/>
          <w:szCs w:val="36"/>
        </w:rPr>
      </w:r>
      <w:r/>
    </w:p>
    <w:p>
      <w:pPr>
        <w:pStyle w:val="1070"/>
        <w:spacing w:line="360" w:lineRule="auto"/>
        <w:rPr>
          <w:rFonts w:ascii="宋体" w:hAnsi="宋体"/>
          <w:b/>
          <w:sz w:val="24"/>
          <w:szCs w:val="20"/>
        </w:rPr>
        <w:outlineLvl w:val="2"/>
      </w:pPr>
      <w:r>
        <w:rPr>
          <w:rFonts w:ascii="宋体" w:hAnsi="宋体"/>
          <w:b/>
          <w:i/>
          <w:sz w:val="24"/>
        </w:rPr>
        <w:br w:type="page" w:clear="all"/>
      </w:r>
      <w:bookmarkStart w:id="881" w:name="_Toc305158904"/>
      <w:r/>
      <w:bookmarkStart w:id="882" w:name="_Toc150480798"/>
      <w:r/>
      <w:bookmarkStart w:id="883" w:name="_Toc226337258"/>
      <w:r/>
      <w:bookmarkStart w:id="884" w:name="_Toc226965752"/>
      <w:r/>
      <w:bookmarkStart w:id="885" w:name="_Toc226965835"/>
      <w:r/>
      <w:bookmarkStart w:id="886" w:name="_Toc150774765"/>
      <w:r/>
      <w:bookmarkStart w:id="887" w:name="_Toc127151562"/>
      <w:r/>
      <w:bookmarkStart w:id="888" w:name="_Toc195842927"/>
      <w:r/>
      <w:bookmarkStart w:id="889" w:name="_Toc264969252"/>
      <w:r/>
      <w:bookmarkStart w:id="890" w:name="_Toc305158830"/>
      <w:r/>
      <w:bookmarkStart w:id="891" w:name="_Toc226309806"/>
      <w:r/>
      <w:bookmarkStart w:id="892" w:name="_Toc265228400"/>
      <w:r/>
      <w:bookmarkStart w:id="893" w:name="_Toc142311062"/>
      <w:r/>
      <w:bookmarkStart w:id="894" w:name="_Toc150480797"/>
      <w:r/>
      <w:bookmarkStart w:id="895" w:name="_Toc226309805"/>
      <w:r/>
      <w:bookmarkStart w:id="896" w:name="_Toc226337257"/>
      <w:r/>
      <w:bookmarkStart w:id="897" w:name="_Toc264969251"/>
      <w:r/>
      <w:bookmarkStart w:id="898" w:name="_Toc142311061"/>
      <w:r/>
      <w:bookmarkStart w:id="899" w:name="_Toc226965834"/>
      <w:r/>
      <w:bookmarkStart w:id="900" w:name="_Toc226965751"/>
      <w:r/>
      <w:bookmarkStart w:id="901" w:name="_Toc150774764"/>
      <w:r/>
      <w:bookmarkStart w:id="902" w:name="_Toc265228399"/>
      <w:r/>
      <w:bookmarkStart w:id="903" w:name="_Toc305158829"/>
      <w:r/>
      <w:bookmarkStart w:id="904" w:name="_Toc127151561"/>
      <w:r/>
      <w:bookmarkStart w:id="905" w:name="_Toc305158903"/>
      <w:r/>
      <w:bookmarkStart w:id="906" w:name="_Toc195842926"/>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spacing w:line="360" w:lineRule="auto"/>
        <w:rPr>
          <w:rFonts w:ascii="宋体" w:hAnsi="宋体"/>
          <w:sz w:val="24"/>
          <w:szCs w:val="20"/>
        </w:rPr>
        <w:outlineLvl w:val="2"/>
      </w:pPr>
      <w:r>
        <w:rPr>
          <w:rFonts w:ascii="宋体" w:hAnsi="宋体"/>
          <w:sz w:val="24"/>
        </w:rPr>
        <w:br w:type="page" w:clear="all"/>
      </w:r>
      <w:r>
        <w:rPr>
          <w:rFonts w:ascii="宋体" w:hAnsi="宋体"/>
          <w:sz w:val="24"/>
          <w:szCs w:val="20"/>
        </w:rPr>
      </w:r>
      <w:r/>
    </w:p>
    <w:p>
      <w:pPr>
        <w:pStyle w:val="1070"/>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12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szCs w:val="20"/>
        </w:rPr>
        <w:outlineLvl w:val="2"/>
      </w:pPr>
      <w:r>
        <w:rPr>
          <w:rFonts w:hint="eastAsia" w:ascii="宋体" w:hAnsi="宋体"/>
          <w:b/>
          <w:sz w:val="24"/>
        </w:rPr>
        <w:t xml:space="preserve">13</w:t>
      </w:r>
      <w:r>
        <w:rPr>
          <w:rFonts w:ascii="宋体" w:hAnsi="宋体"/>
          <w:b/>
          <w:sz w:val="24"/>
        </w:rPr>
        <w:t xml:space="preserve">  招标文件要求提供或投标人认为应附的其他材料</w:t>
      </w:r>
      <w:r>
        <w:rPr>
          <w:rFonts w:ascii="宋体" w:hAnsi="宋体"/>
          <w:b/>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4"/>
      </w:rPr>
      <w:framePr w:wrap="around" w:vAnchor="text" w:hAnchor="margin" w:y="1"/>
    </w:pPr>
    <w:r>
      <w:rPr>
        <w:rStyle w:val="1144"/>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5"/>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5"/>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2"/>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80"/>
      <w:isLgl w:val="false"/>
      <w:suff w:val="tab"/>
      <w:lvlText w:val="%1"/>
      <w:lvlJc w:val="left"/>
      <w:pPr>
        <w:pStyle w:val="1070"/>
        <w:ind w:left="680" w:hanging="680"/>
      </w:pPr>
      <w:rPr>
        <w:rFonts w:hint="eastAsia" w:ascii="宋体" w:hAnsi="宋体" w:eastAsia="宋体"/>
      </w:rPr>
    </w:lvl>
    <w:lvl w:ilvl="1">
      <w:start w:val="1"/>
      <w:numFmt w:val="decimal"/>
      <w:pStyle w:val="1281"/>
      <w:isLgl w:val="false"/>
      <w:suff w:val="tab"/>
      <w:lvlText w:val="%1.%2"/>
      <w:lvlJc w:val="left"/>
      <w:pPr>
        <w:pStyle w:val="1070"/>
        <w:ind w:left="851" w:hanging="851"/>
      </w:pPr>
      <w:rPr>
        <w:rFonts w:hint="eastAsia" w:ascii="宋体" w:hAnsi="宋体" w:eastAsia="宋体"/>
        <w:color w:val="000000"/>
      </w:rPr>
    </w:lvl>
    <w:lvl w:ilvl="2">
      <w:start w:val="1"/>
      <w:numFmt w:val="decimal"/>
      <w:pStyle w:val="1282"/>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3"/>
    <w:qFormat/>
    <w:pPr>
      <w:jc w:val="center"/>
      <w:keepLines/>
      <w:keepNext/>
      <w:spacing w:before="240" w:after="120" w:line="300" w:lineRule="auto"/>
      <w:outlineLvl w:val="0"/>
    </w:pPr>
    <w:rPr>
      <w:rFonts w:ascii="宋体"/>
      <w:b/>
      <w:sz w:val="32"/>
      <w:szCs w:val="20"/>
    </w:rPr>
  </w:style>
  <w:style w:type="paragraph" w:styleId="1072">
    <w:name w:val="标题 2"/>
    <w:basedOn w:val="1070"/>
    <w:next w:val="1085"/>
    <w:link w:val="1084"/>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5"/>
    <w:link w:val="1087"/>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8"/>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9"/>
    <w:qFormat/>
    <w:pPr>
      <w:keepLines/>
      <w:keepNext/>
      <w:spacing w:before="280" w:after="290" w:line="376" w:lineRule="atLeast"/>
      <w:outlineLvl w:val="4"/>
    </w:pPr>
    <w:rPr>
      <w:b/>
      <w:sz w:val="28"/>
      <w:szCs w:val="20"/>
    </w:rPr>
  </w:style>
  <w:style w:type="paragraph" w:styleId="1076">
    <w:name w:val="标题 6"/>
    <w:basedOn w:val="1070"/>
    <w:next w:val="1070"/>
    <w:link w:val="1090"/>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1"/>
    <w:qFormat/>
    <w:pPr>
      <w:keepLines/>
      <w:keepNext/>
      <w:spacing w:before="240" w:after="64" w:line="320" w:lineRule="atLeast"/>
      <w:outlineLvl w:val="6"/>
    </w:pPr>
    <w:rPr>
      <w:b/>
      <w:sz w:val="24"/>
      <w:szCs w:val="20"/>
    </w:rPr>
  </w:style>
  <w:style w:type="paragraph" w:styleId="1078">
    <w:name w:val="标题 8"/>
    <w:basedOn w:val="1070"/>
    <w:next w:val="1070"/>
    <w:link w:val="1092"/>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3"/>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character" w:styleId="1083">
    <w:name w:val="标题 1 字符"/>
    <w:next w:val="1083"/>
    <w:link w:val="1071"/>
    <w:qFormat/>
    <w:rPr>
      <w:rFonts w:ascii="宋体"/>
      <w:b/>
      <w:sz w:val="32"/>
    </w:rPr>
  </w:style>
  <w:style w:type="character" w:styleId="1084">
    <w:name w:val="标题 2 字符"/>
    <w:next w:val="1084"/>
    <w:link w:val="1072"/>
    <w:qFormat/>
    <w:rPr>
      <w:rFonts w:ascii="Arial" w:hAnsi="Arial" w:eastAsia="黑体"/>
      <w:b/>
      <w:sz w:val="30"/>
      <w:lang w:val="en-US" w:eastAsia="zh-CN" w:bidi="ar-SA"/>
    </w:rPr>
  </w:style>
  <w:style w:type="paragraph" w:styleId="1085">
    <w:name w:val="正文缩进"/>
    <w:basedOn w:val="1070"/>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3"/>
    <w:qFormat/>
    <w:rPr>
      <w:rFonts w:ascii="宋体" w:eastAsia="宋体"/>
      <w:b/>
      <w:sz w:val="24"/>
      <w:u w:val="single"/>
      <w:lang w:val="en-US" w:eastAsia="zh-CN" w:bidi="ar-SA"/>
    </w:rPr>
  </w:style>
  <w:style w:type="character" w:styleId="1088">
    <w:name w:val="标题 4 字符"/>
    <w:next w:val="1088"/>
    <w:link w:val="1074"/>
    <w:qFormat/>
    <w:rPr>
      <w:rFonts w:ascii="Arial" w:hAnsi="Arial" w:eastAsia="黑体"/>
      <w:b/>
      <w:sz w:val="28"/>
    </w:rPr>
  </w:style>
  <w:style w:type="character" w:styleId="1089">
    <w:name w:val="标题 5 字符"/>
    <w:next w:val="1089"/>
    <w:link w:val="1075"/>
    <w:qFormat/>
    <w:rPr>
      <w:b/>
      <w:sz w:val="28"/>
    </w:rPr>
  </w:style>
  <w:style w:type="character" w:styleId="1090">
    <w:name w:val="标题 6 字符"/>
    <w:next w:val="1090"/>
    <w:link w:val="1076"/>
    <w:qFormat/>
    <w:rPr>
      <w:rFonts w:ascii="Arial" w:hAnsi="Arial" w:eastAsia="黑体"/>
      <w:b/>
      <w:sz w:val="24"/>
    </w:rPr>
  </w:style>
  <w:style w:type="character" w:styleId="1091">
    <w:name w:val="标题 7 字符"/>
    <w:next w:val="1091"/>
    <w:link w:val="1077"/>
    <w:qFormat/>
    <w:rPr>
      <w:b/>
      <w:sz w:val="24"/>
    </w:rPr>
  </w:style>
  <w:style w:type="character" w:styleId="1092">
    <w:name w:val="标题 8 字符"/>
    <w:next w:val="1092"/>
    <w:link w:val="1078"/>
    <w:qFormat/>
    <w:rPr>
      <w:rFonts w:ascii="Arial" w:hAnsi="Arial" w:eastAsia="黑体"/>
      <w:sz w:val="24"/>
    </w:rPr>
  </w:style>
  <w:style w:type="character" w:styleId="1093">
    <w:name w:val="标题 9 字符"/>
    <w:next w:val="1093"/>
    <w:link w:val="1079"/>
    <w:qFormat/>
    <w:rPr>
      <w:rFonts w:ascii="Arial" w:hAnsi="Arial" w:eastAsia="黑体"/>
      <w:sz w:val="21"/>
    </w:rPr>
  </w:style>
  <w:style w:type="paragraph" w:styleId="1094">
    <w:name w:val="目录 7"/>
    <w:basedOn w:val="1070"/>
    <w:next w:val="1070"/>
    <w:link w:val="1070"/>
    <w:qFormat/>
    <w:pPr>
      <w:ind w:left="2520"/>
    </w:pPr>
  </w:style>
  <w:style w:type="paragraph" w:styleId="1095">
    <w:name w:val="题注"/>
    <w:basedOn w:val="1070"/>
    <w:next w:val="1070"/>
    <w:link w:val="1070"/>
    <w:qFormat/>
    <w:pPr>
      <w:spacing w:line="480" w:lineRule="auto"/>
    </w:pPr>
    <w:rPr>
      <w:rFonts w:ascii="华文中宋" w:hAnsi="华文中宋" w:eastAsia="华文中宋"/>
      <w:sz w:val="36"/>
      <w:szCs w:val="20"/>
    </w:rPr>
  </w:style>
  <w:style w:type="paragraph" w:styleId="1096">
    <w:name w:val="文档结构图"/>
    <w:basedOn w:val="1070"/>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0"/>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0"/>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0"/>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寄信人地址"/>
    <w:basedOn w:val="1070"/>
    <w:next w:val="1121"/>
    <w:link w:val="1070"/>
    <w:uiPriority w:val="99"/>
    <w:unhideWhenUsed/>
    <w:qFormat/>
    <w:rPr>
      <w:rFonts w:ascii="Arial" w:hAnsi="Arial"/>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8"/>
    <w:next w:val="1098"/>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4"/>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1"/>
    <w:next w:val="1141"/>
    <w:link w:val="1070"/>
    <w:uiPriority w:val="39"/>
    <w:qFormat/>
    <w:tblPr/>
  </w:style>
  <w:style w:type="table" w:styleId="1142">
    <w:name w:val="中等深浅网格 1 - 着色 2"/>
    <w:basedOn w:val="1081"/>
    <w:next w:val="1142"/>
    <w:link w:val="1070"/>
    <w:qFormat/>
    <w:rPr>
      <w:sz w:val="21"/>
      <w:szCs w:val="24"/>
    </w:rPr>
    <w:tblPr/>
  </w:style>
  <w:style w:type="character" w:styleId="1143">
    <w:name w:val="要点"/>
    <w:next w:val="1143"/>
    <w:link w:val="1070"/>
    <w:qFormat/>
    <w:rPr>
      <w:b/>
      <w:bCs/>
    </w:rPr>
  </w:style>
  <w:style w:type="character" w:styleId="1144">
    <w:name w:val="页码"/>
    <w:next w:val="1144"/>
    <w:link w:val="1070"/>
    <w:qFormat/>
  </w:style>
  <w:style w:type="character" w:styleId="1145">
    <w:name w:val="访问过的超链接"/>
    <w:next w:val="1145"/>
    <w:link w:val="1070"/>
    <w:qFormat/>
    <w:rPr>
      <w:color w:val="800080"/>
      <w:u w:val="single"/>
    </w:rPr>
  </w:style>
  <w:style w:type="character" w:styleId="1146">
    <w:name w:val="强调"/>
    <w:next w:val="1146"/>
    <w:link w:val="1070"/>
    <w:qFormat/>
    <w:rPr>
      <w:color w:val="cc0033"/>
    </w:rPr>
  </w:style>
  <w:style w:type="character" w:styleId="1147">
    <w:name w:val="超链接"/>
    <w:next w:val="1147"/>
    <w:link w:val="1070"/>
    <w:uiPriority w:val="99"/>
    <w:qFormat/>
    <w:rPr>
      <w:color w:val="0000ff"/>
      <w:u w:val="single"/>
    </w:rPr>
  </w:style>
  <w:style w:type="character" w:styleId="1148">
    <w:name w:val="批注引用"/>
    <w:next w:val="1148"/>
    <w:link w:val="1070"/>
    <w:uiPriority w:val="99"/>
    <w:qFormat/>
    <w:rPr>
      <w:sz w:val="21"/>
      <w:szCs w:val="21"/>
    </w:rPr>
  </w:style>
  <w:style w:type="character" w:styleId="1149">
    <w:name w:val="HTML 引文"/>
    <w:next w:val="1149"/>
    <w:link w:val="1070"/>
    <w:qFormat/>
    <w:rPr>
      <w:i/>
      <w:iCs/>
    </w:rPr>
  </w:style>
  <w:style w:type="character" w:styleId="1150">
    <w:name w:val="批注文字 字符"/>
    <w:next w:val="1150"/>
    <w:link w:val="1070"/>
    <w:uiPriority w:val="99"/>
    <w:qFormat/>
    <w:rPr>
      <w:rFonts w:ascii="Times New Roman" w:hAnsi="Times New Roman" w:eastAsia="宋体" w:cs="Times New Roman"/>
      <w:sz w:val="24"/>
      <w:lang w:val="en-US" w:eastAsia="zh-CN" w:bidi="ar-SA"/>
    </w:rPr>
  </w:style>
  <w:style w:type="character" w:styleId="1151">
    <w:name w:val="c21"/>
    <w:next w:val="1151"/>
    <w:link w:val="1070"/>
    <w:qFormat/>
    <w:rPr>
      <w:rFonts w:ascii="ˎ̥" w:hAnsi="ˎ̥"/>
      <w:color w:val="000000"/>
      <w:sz w:val="20"/>
      <w:szCs w:val="20"/>
      <w:u w:val="none"/>
    </w:rPr>
  </w:style>
  <w:style w:type="character" w:styleId="1152">
    <w:name w:val="title4"/>
    <w:next w:val="1152"/>
    <w:link w:val="1070"/>
    <w:qFormat/>
    <w:rPr>
      <w:b/>
      <w:bCs/>
      <w:color w:val="1d87b3"/>
      <w:sz w:val="15"/>
      <w:szCs w:val="15"/>
    </w:rPr>
  </w:style>
  <w:style w:type="character" w:styleId="1153">
    <w:name w:val="标题 2 Char Char"/>
    <w:next w:val="1153"/>
    <w:link w:val="1070"/>
    <w:qFormat/>
    <w:rPr>
      <w:rFonts w:ascii="Arial" w:hAnsi="Arial" w:eastAsia="黑体"/>
      <w:b/>
      <w:bCs/>
      <w:sz w:val="32"/>
      <w:szCs w:val="32"/>
      <w:lang w:val="en-US" w:eastAsia="zh-CN" w:bidi="ar-SA"/>
    </w:rPr>
  </w:style>
  <w:style w:type="character" w:styleId="1154">
    <w:name w:val="black1"/>
    <w:next w:val="1154"/>
    <w:link w:val="1070"/>
    <w:qFormat/>
    <w:rPr>
      <w:color w:val="000000"/>
    </w:rPr>
  </w:style>
  <w:style w:type="character" w:styleId="1155">
    <w:name w:val="street-address"/>
    <w:next w:val="1155"/>
    <w:link w:val="1070"/>
    <w:qFormat/>
  </w:style>
  <w:style w:type="character" w:styleId="1156">
    <w:name w:val="locality"/>
    <w:next w:val="1156"/>
    <w:link w:val="1070"/>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0"/>
    <w:next w:val="1158"/>
    <w:link w:val="1157"/>
    <w:qFormat/>
    <w:pPr>
      <w:ind w:firstLine="480"/>
      <w:spacing w:line="480" w:lineRule="exact"/>
    </w:pPr>
    <w:rPr>
      <w:rFonts w:ascii="宋体" w:hAnsi="宋体"/>
      <w:sz w:val="24"/>
    </w:rPr>
  </w:style>
  <w:style w:type="character" w:styleId="1159">
    <w:name w:val="Char Char11"/>
    <w:next w:val="1159"/>
    <w:link w:val="1070"/>
    <w:qFormat/>
    <w:rPr>
      <w:rFonts w:ascii="宋体" w:eastAsia="宋体"/>
      <w:b/>
      <w:sz w:val="24"/>
      <w:u w:val="single"/>
      <w:lang w:val="en-US" w:eastAsia="zh-CN" w:bidi="ar-SA"/>
    </w:rPr>
  </w:style>
  <w:style w:type="character" w:styleId="1160">
    <w:name w:val="txt"/>
    <w:next w:val="1160"/>
    <w:link w:val="1070"/>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0"/>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0"/>
    <w:qFormat/>
    <w:rPr>
      <w:rFonts w:ascii="宋体" w:hAnsi="Courier New" w:eastAsia="宋体"/>
      <w:sz w:val="21"/>
      <w:lang w:val="en-US" w:eastAsia="zh-CN" w:bidi="ar-SA"/>
    </w:rPr>
  </w:style>
  <w:style w:type="character" w:styleId="1164">
    <w:name w:val="chanpin1"/>
    <w:next w:val="1164"/>
    <w:link w:val="1070"/>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0"/>
    <w:next w:val="1166"/>
    <w:link w:val="1165"/>
    <w:uiPriority w:val="34"/>
    <w:qFormat/>
    <w:pPr>
      <w:ind w:firstLine="420"/>
    </w:pPr>
    <w:rPr>
      <w:rFonts w:ascii="Calibri" w:hAnsi="Calibri"/>
      <w:szCs w:val="22"/>
    </w:rPr>
  </w:style>
  <w:style w:type="character" w:styleId="1167">
    <w:name w:val="标题 3 Char Char"/>
    <w:next w:val="1167"/>
    <w:link w:val="1070"/>
    <w:qFormat/>
    <w:rPr>
      <w:rFonts w:eastAsia="宋体"/>
      <w:b/>
      <w:bCs/>
      <w:sz w:val="32"/>
      <w:szCs w:val="32"/>
      <w:lang w:val="en-US" w:eastAsia="zh-CN" w:bidi="ar-SA"/>
    </w:rPr>
  </w:style>
  <w:style w:type="character" w:styleId="1168">
    <w:name w:val="段1 Char"/>
    <w:next w:val="1168"/>
    <w:link w:val="1070"/>
    <w:qFormat/>
    <w:rPr>
      <w:rFonts w:ascii="宋体" w:eastAsia="宋体"/>
      <w:sz w:val="24"/>
      <w:lang w:val="en-US" w:eastAsia="zh-CN" w:bidi="ar-SA"/>
    </w:rPr>
  </w:style>
  <w:style w:type="character" w:styleId="1169">
    <w:name w:val="chanpin拷贝"/>
    <w:next w:val="1169"/>
    <w:link w:val="1070"/>
    <w:qFormat/>
  </w:style>
  <w:style w:type="character" w:styleId="1170">
    <w:name w:val="纯文本 Char1"/>
    <w:next w:val="1170"/>
    <w:link w:val="1070"/>
    <w:uiPriority w:val="99"/>
    <w:qFormat/>
    <w:rPr>
      <w:rFonts w:ascii="宋体" w:hAnsi="Courier New" w:eastAsia="宋体"/>
      <w:sz w:val="21"/>
      <w:lang w:val="en-US" w:eastAsia="zh-CN" w:bidi="ar-SA"/>
    </w:rPr>
  </w:style>
  <w:style w:type="character" w:styleId="1171">
    <w:name w:val="apple-style-span"/>
    <w:next w:val="1171"/>
    <w:link w:val="1070"/>
    <w:qFormat/>
    <w:rPr>
      <w:rFonts w:cs="Times New Roman"/>
    </w:rPr>
  </w:style>
  <w:style w:type="paragraph" w:styleId="1172">
    <w:name w:val="二级条标题"/>
    <w:basedOn w:val="1173"/>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0"/>
    <w:link w:val="1070"/>
    <w:qFormat/>
    <w:pPr>
      <w:numPr>
        <w:ilvl w:val="1"/>
      </w:numPr>
      <w:ind w:left="0" w:hanging="840"/>
      <w:tabs>
        <w:tab w:val="left" w:pos="360" w:leader="none"/>
        <w:tab w:val="left" w:pos="840" w:leader="none"/>
      </w:tabs>
      <w:outlineLvl w:val="1"/>
    </w:pPr>
  </w:style>
  <w:style w:type="paragraph" w:styleId="1174">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0"/>
    <w:next w:val="1175"/>
    <w:link w:val="1070"/>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0"/>
    <w:next w:val="1176"/>
    <w:link w:val="1070"/>
    <w:qFormat/>
    <w:rPr>
      <w:rFonts w:ascii="Tahoma" w:hAnsi="Tahoma"/>
      <w:sz w:val="24"/>
      <w:szCs w:val="20"/>
    </w:rPr>
  </w:style>
  <w:style w:type="paragraph" w:styleId="1177">
    <w:name w:val="Char3 Char Char Char"/>
    <w:basedOn w:val="1070"/>
    <w:next w:val="1177"/>
    <w:link w:val="1070"/>
    <w:qFormat/>
    <w:rPr>
      <w:rFonts w:ascii="Tahoma" w:hAnsi="Tahoma"/>
      <w:sz w:val="24"/>
      <w:szCs w:val="20"/>
    </w:rPr>
  </w:style>
  <w:style w:type="paragraph" w:styleId="1178">
    <w:name w:val="font6"/>
    <w:basedOn w:val="1070"/>
    <w:next w:val="1178"/>
    <w:link w:val="1070"/>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0"/>
    <w:qFormat/>
    <w:pPr>
      <w:numPr>
        <w:numId w:val="3"/>
      </w:numPr>
    </w:pPr>
  </w:style>
  <w:style w:type="paragraph" w:styleId="1180">
    <w:name w:val="项目编号1"/>
    <w:basedOn w:val="1070"/>
    <w:next w:val="1180"/>
    <w:link w:val="1070"/>
    <w:qFormat/>
    <w:pPr>
      <w:numPr>
        <w:ilvl w:val="0"/>
        <w:numId w:val="2"/>
      </w:numPr>
      <w:spacing w:before="100" w:beforeAutospacing="1" w:after="100" w:afterAutospacing="1" w:line="360" w:lineRule="auto"/>
    </w:pPr>
    <w:rPr>
      <w:sz w:val="24"/>
    </w:rPr>
  </w:style>
  <w:style w:type="paragraph" w:styleId="1181">
    <w:name w:val="图中文字"/>
    <w:basedOn w:val="1070"/>
    <w:next w:val="1181"/>
    <w:link w:val="1070"/>
    <w:qFormat/>
    <w:pPr>
      <w:jc w:val="center"/>
      <w:spacing w:line="0" w:lineRule="atLeast"/>
    </w:pPr>
    <w:rPr>
      <w:sz w:val="24"/>
      <w:szCs w:val="20"/>
    </w:rPr>
  </w:style>
  <w:style w:type="paragraph" w:styleId="1182">
    <w:name w:val="xl46"/>
    <w:basedOn w:val="1070"/>
    <w:next w:val="1182"/>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0"/>
    <w:next w:val="118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0"/>
    <w:next w:val="1184"/>
    <w:link w:val="1070"/>
    <w:qFormat/>
    <w:rPr>
      <w:rFonts w:ascii="Tahoma" w:hAnsi="Tahoma"/>
      <w:sz w:val="24"/>
      <w:szCs w:val="20"/>
    </w:rPr>
  </w:style>
  <w:style w:type="paragraph" w:styleId="1185">
    <w:name w:val="xl35"/>
    <w:basedOn w:val="1070"/>
    <w:next w:val="118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0"/>
    <w:next w:val="118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0"/>
    <w:next w:val="1188"/>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0"/>
    <w:next w:val="1189"/>
    <w:link w:val="1070"/>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0"/>
    <w:next w:val="1190"/>
    <w:link w:val="1070"/>
    <w:qFormat/>
    <w:pPr>
      <w:ind w:firstLine="200"/>
      <w:spacing w:line="360" w:lineRule="auto"/>
    </w:pPr>
    <w:rPr>
      <w:rFonts w:eastAsia="仿宋_GB2312"/>
      <w:sz w:val="24"/>
    </w:rPr>
  </w:style>
  <w:style w:type="paragraph" w:styleId="1191">
    <w:name w:val="xl38"/>
    <w:basedOn w:val="1070"/>
    <w:next w:val="119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0"/>
    <w:next w:val="1192"/>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0"/>
    <w:next w:val="1193"/>
    <w:link w:val="1070"/>
    <w:qFormat/>
    <w:pPr>
      <w:ind w:left="360" w:hanging="360"/>
      <w:jc w:val="left"/>
      <w:widowControl/>
    </w:pPr>
    <w:rPr>
      <w:rFonts w:ascii="宋体" w:hAnsi="宋体" w:cs="宋体"/>
      <w:b/>
      <w:bCs/>
      <w:color w:val="000000"/>
      <w:sz w:val="18"/>
      <w:szCs w:val="18"/>
    </w:rPr>
  </w:style>
  <w:style w:type="paragraph" w:styleId="1194">
    <w:name w:val="正文列项_数字"/>
    <w:basedOn w:val="1070"/>
    <w:next w:val="1194"/>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0"/>
    <w:next w:val="119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0"/>
    <w:next w:val="1196"/>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0"/>
    <w:next w:val="119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0"/>
    <w:next w:val="1198"/>
    <w:link w:val="1070"/>
    <w:qFormat/>
    <w:pPr>
      <w:jc w:val="left"/>
      <w:spacing w:before="100" w:beforeAutospacing="1" w:after="100" w:afterAutospacing="1"/>
      <w:widowControl/>
    </w:pPr>
    <w:rPr>
      <w:sz w:val="36"/>
      <w:szCs w:val="36"/>
    </w:rPr>
  </w:style>
  <w:style w:type="paragraph" w:styleId="1199">
    <w:name w:val="Char"/>
    <w:basedOn w:val="1070"/>
    <w:next w:val="1199"/>
    <w:link w:val="1070"/>
    <w:qFormat/>
    <w:pPr>
      <w:tabs>
        <w:tab w:val="left" w:pos="360" w:leader="none"/>
      </w:tabs>
    </w:pPr>
    <w:rPr>
      <w:sz w:val="24"/>
    </w:rPr>
  </w:style>
  <w:style w:type="paragraph" w:styleId="1200">
    <w:name w:val="Char Char Char Char Char Char Char Char Char Char Char Char Char Char Char Char"/>
    <w:basedOn w:val="1070"/>
    <w:next w:val="1200"/>
    <w:link w:val="1070"/>
    <w:qFormat/>
    <w:pPr>
      <w:jc w:val="center"/>
      <w:spacing w:after="160" w:line="240" w:lineRule="exact"/>
      <w:widowControl/>
    </w:pPr>
    <w:rPr>
      <w:rFonts w:ascii="宋体" w:hAnsi="宋体"/>
      <w:b/>
      <w:sz w:val="30"/>
      <w:szCs w:val="30"/>
      <w:lang w:eastAsia="en-US"/>
    </w:rPr>
  </w:style>
  <w:style w:type="paragraph" w:styleId="1201">
    <w:name w:val="xl45"/>
    <w:basedOn w:val="1070"/>
    <w:next w:val="1201"/>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0"/>
    <w:next w:val="1202"/>
    <w:link w:val="1070"/>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6"/>
    <w:next w:val="1203"/>
    <w:link w:val="1070"/>
    <w:qFormat/>
    <w:rPr>
      <w:rFonts w:ascii="Tahoma" w:hAnsi="Tahoma"/>
      <w:sz w:val="24"/>
    </w:rPr>
  </w:style>
  <w:style w:type="paragraph" w:styleId="1204">
    <w:name w:val="xl26"/>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0"/>
    <w:next w:val="120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0"/>
    <w:next w:val="1206"/>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0"/>
    <w:next w:val="1207"/>
    <w:link w:val="1070"/>
    <w:qFormat/>
    <w:pPr>
      <w:jc w:val="left"/>
    </w:pPr>
    <w:rPr>
      <w:rFonts w:ascii="宋体" w:hAnsi="宋体"/>
      <w:szCs w:val="20"/>
    </w:rPr>
  </w:style>
  <w:style w:type="paragraph" w:styleId="1208">
    <w:name w:val="Char1 Char Char Char1"/>
    <w:basedOn w:val="1070"/>
    <w:next w:val="1208"/>
    <w:link w:val="1070"/>
    <w:qFormat/>
    <w:rPr>
      <w:rFonts w:ascii="Tahoma" w:hAnsi="Tahoma" w:cs="仿宋_GB2312"/>
      <w:sz w:val="24"/>
      <w:szCs w:val="28"/>
    </w:rPr>
  </w:style>
  <w:style w:type="paragraph" w:styleId="1209">
    <w:name w:val="四级条标题"/>
    <w:basedOn w:val="1210"/>
    <w:next w:val="1070"/>
    <w:link w:val="1070"/>
    <w:qFormat/>
    <w:pPr>
      <w:numPr>
        <w:ilvl w:val="4"/>
      </w:numPr>
      <w:ind w:left="0" w:hanging="840"/>
      <w:tabs>
        <w:tab w:val="left" w:pos="360" w:leader="none"/>
        <w:tab w:val="left" w:pos="840" w:leader="none"/>
      </w:tabs>
      <w:outlineLvl w:val="4"/>
    </w:pPr>
  </w:style>
  <w:style w:type="paragraph" w:styleId="1210">
    <w:name w:val="三级条标题"/>
    <w:basedOn w:val="1172"/>
    <w:next w:val="1070"/>
    <w:link w:val="1070"/>
    <w:qFormat/>
    <w:pPr>
      <w:numPr>
        <w:ilvl w:val="3"/>
        <w:numId w:val="1"/>
      </w:numPr>
      <w:ind w:left="0" w:hanging="840"/>
      <w:tabs>
        <w:tab w:val="left" w:pos="360" w:leader="none"/>
        <w:tab w:val="left" w:pos="840" w:leader="none"/>
      </w:tabs>
      <w:outlineLvl w:val="3"/>
    </w:pPr>
  </w:style>
  <w:style w:type="paragraph" w:styleId="1211">
    <w:name w:val="??"/>
    <w:next w:val="1211"/>
    <w:link w:val="1070"/>
    <w:qFormat/>
    <w:pPr>
      <w:jc w:val="both"/>
      <w:widowControl w:val="off"/>
    </w:pPr>
    <w:rPr>
      <w:sz w:val="21"/>
      <w:lang w:val="en-US" w:eastAsia="en-US" w:bidi="ar-SA"/>
    </w:rPr>
  </w:style>
  <w:style w:type="paragraph" w:styleId="1212">
    <w:name w:val="样式 标题 2 + 宋体 五号 行距: 单倍行距"/>
    <w:basedOn w:val="1072"/>
    <w:next w:val="1212"/>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0"/>
    <w:next w:val="1213"/>
    <w:link w:val="1070"/>
    <w:qFormat/>
    <w:pPr>
      <w:ind w:firstLine="420"/>
    </w:pPr>
    <w:rPr>
      <w:rFonts w:ascii="Calibri" w:hAnsi="Calibri"/>
      <w:szCs w:val="22"/>
    </w:rPr>
  </w:style>
  <w:style w:type="paragraph" w:styleId="1214">
    <w:name w:val="项目符号1"/>
    <w:basedOn w:val="1215"/>
    <w:next w:val="1214"/>
    <w:link w:val="1070"/>
    <w:qFormat/>
    <w:pPr>
      <w:ind w:left="-25" w:firstLine="0"/>
    </w:pPr>
  </w:style>
  <w:style w:type="paragraph" w:styleId="1215">
    <w:name w:val="正文文本样式"/>
    <w:basedOn w:val="1070"/>
    <w:next w:val="1215"/>
    <w:link w:val="1070"/>
    <w:qFormat/>
    <w:pPr>
      <w:ind w:firstLine="482"/>
      <w:spacing w:line="360" w:lineRule="auto"/>
    </w:pPr>
    <w:rPr>
      <w:rFonts w:cs="宋体"/>
      <w:sz w:val="24"/>
      <w:szCs w:val="20"/>
    </w:rPr>
  </w:style>
  <w:style w:type="paragraph" w:styleId="1216">
    <w:name w:val="xl27"/>
    <w:basedOn w:val="1070"/>
    <w:next w:val="121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0"/>
    <w:next w:val="1217"/>
    <w:link w:val="1070"/>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0"/>
    <w:link w:val="1070"/>
    <w:qFormat/>
    <w:pPr>
      <w:numPr>
        <w:ilvl w:val="5"/>
      </w:numPr>
      <w:ind w:left="0" w:hanging="840"/>
      <w:tabs>
        <w:tab w:val="left" w:pos="360" w:leader="none"/>
        <w:tab w:val="left" w:pos="840" w:leader="none"/>
      </w:tabs>
      <w:outlineLvl w:val="5"/>
    </w:pPr>
  </w:style>
  <w:style w:type="paragraph" w:styleId="1219">
    <w:name w:val="xl49"/>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0"/>
    <w:next w:val="1220"/>
    <w:link w:val="1070"/>
    <w:qFormat/>
    <w:pPr>
      <w:spacing w:before="120" w:after="120" w:line="180" w:lineRule="auto"/>
    </w:pPr>
    <w:rPr>
      <w:rFonts w:ascii="Arial" w:hAnsi="Arial"/>
      <w:szCs w:val="20"/>
    </w:rPr>
  </w:style>
  <w:style w:type="paragraph" w:styleId="1221">
    <w:name w:val="xl33"/>
    <w:basedOn w:val="1070"/>
    <w:next w:val="122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0"/>
    <w:next w:val="122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0"/>
    <w:next w:val="1223"/>
    <w:link w:val="1070"/>
    <w:qFormat/>
    <w:rPr>
      <w:rFonts w:ascii="Tahoma" w:hAnsi="Tahoma"/>
      <w:sz w:val="24"/>
      <w:szCs w:val="20"/>
    </w:rPr>
  </w:style>
  <w:style w:type="paragraph" w:styleId="1224">
    <w:name w:val="xl44"/>
    <w:basedOn w:val="1070"/>
    <w:next w:val="1224"/>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0"/>
    <w:next w:val="1225"/>
    <w:link w:val="1070"/>
    <w:qFormat/>
    <w:pPr>
      <w:numPr>
        <w:ilvl w:val="0"/>
        <w:numId w:val="5"/>
      </w:numPr>
      <w:spacing w:before="120"/>
      <w:tabs>
        <w:tab w:val="left" w:pos="360" w:leader="none"/>
      </w:tabs>
    </w:pPr>
    <w:rPr>
      <w:rFonts w:ascii="宋体"/>
      <w:sz w:val="28"/>
      <w:szCs w:val="20"/>
    </w:rPr>
  </w:style>
  <w:style w:type="paragraph" w:styleId="1226">
    <w:name w:val="font9"/>
    <w:basedOn w:val="1070"/>
    <w:next w:val="1226"/>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0"/>
    <w:next w:val="1227"/>
    <w:link w:val="1070"/>
    <w:qFormat/>
    <w:rPr>
      <w:rFonts w:ascii="Tahoma" w:hAnsi="Tahoma"/>
      <w:sz w:val="24"/>
      <w:szCs w:val="20"/>
    </w:rPr>
  </w:style>
  <w:style w:type="paragraph" w:styleId="1228">
    <w:name w:val="Char Char Char Char Char Char Char Char Char Char"/>
    <w:basedOn w:val="1070"/>
    <w:next w:val="1228"/>
    <w:link w:val="1070"/>
    <w:qFormat/>
  </w:style>
  <w:style w:type="paragraph" w:styleId="1229">
    <w:name w:val="Char Char1 Char Char Char Char Char Char Char Char"/>
    <w:basedOn w:val="1070"/>
    <w:next w:val="1229"/>
    <w:link w:val="1070"/>
    <w:qFormat/>
    <w:pPr>
      <w:jc w:val="left"/>
      <w:spacing w:after="160" w:line="240" w:lineRule="exact"/>
      <w:widowControl/>
    </w:pPr>
    <w:rPr>
      <w:rFonts w:ascii="Verdana" w:hAnsi="Verdana"/>
      <w:sz w:val="20"/>
      <w:szCs w:val="20"/>
      <w:lang w:eastAsia="en-US"/>
    </w:rPr>
  </w:style>
  <w:style w:type="paragraph" w:styleId="1230">
    <w:name w:val="Char1"/>
    <w:basedOn w:val="1070"/>
    <w:next w:val="1230"/>
    <w:link w:val="1070"/>
    <w:qFormat/>
    <w:pPr>
      <w:tabs>
        <w:tab w:val="left" w:pos="360" w:leader="none"/>
      </w:tabs>
    </w:pPr>
    <w:rPr>
      <w:sz w:val="24"/>
    </w:rPr>
  </w:style>
  <w:style w:type="paragraph" w:styleId="1231">
    <w:name w:val="正文列项_字母"/>
    <w:basedOn w:val="1070"/>
    <w:next w:val="1231"/>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0"/>
    <w:next w:val="123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0"/>
    <w:next w:val="123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0"/>
    <w:next w:val="1234"/>
    <w:link w:val="1070"/>
    <w:qFormat/>
    <w:rPr>
      <w:rFonts w:ascii="Arial" w:hAnsi="Arial" w:cs="Arial"/>
      <w:szCs w:val="21"/>
    </w:rPr>
  </w:style>
  <w:style w:type="paragraph" w:styleId="1235">
    <w:name w:val="xl48"/>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0"/>
    <w:next w:val="123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0"/>
    <w:next w:val="1238"/>
    <w:link w:val="1070"/>
    <w:qFormat/>
    <w:rPr>
      <w:rFonts w:ascii="Tahoma" w:hAnsi="Tahoma"/>
      <w:sz w:val="24"/>
      <w:szCs w:val="20"/>
    </w:rPr>
  </w:style>
  <w:style w:type="paragraph" w:styleId="1239">
    <w:name w:val="xl50"/>
    <w:basedOn w:val="1070"/>
    <w:next w:val="1239"/>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0"/>
    <w:next w:val="1240"/>
    <w:link w:val="1070"/>
    <w:qFormat/>
    <w:pPr>
      <w:jc w:val="left"/>
    </w:pPr>
    <w:rPr>
      <w:sz w:val="24"/>
    </w:rPr>
  </w:style>
  <w:style w:type="paragraph" w:styleId="1241">
    <w:name w:val="Char Char Char1"/>
    <w:basedOn w:val="1070"/>
    <w:next w:val="1241"/>
    <w:link w:val="1070"/>
    <w:qFormat/>
    <w:rPr>
      <w:rFonts w:ascii="Tahoma" w:hAnsi="Tahoma"/>
      <w:sz w:val="24"/>
      <w:szCs w:val="20"/>
    </w:rPr>
  </w:style>
  <w:style w:type="paragraph" w:styleId="1242">
    <w:name w:val="Char Char Char Char Char Char Char1"/>
    <w:basedOn w:val="1070"/>
    <w:next w:val="1242"/>
    <w:link w:val="1070"/>
    <w:qFormat/>
    <w:pPr>
      <w:ind w:firstLine="200"/>
      <w:spacing w:line="360" w:lineRule="auto"/>
    </w:pPr>
    <w:rPr>
      <w:rFonts w:eastAsia="仿宋_GB2312"/>
      <w:sz w:val="24"/>
    </w:rPr>
  </w:style>
  <w:style w:type="paragraph" w:styleId="1243">
    <w:name w:val="xl51"/>
    <w:basedOn w:val="1070"/>
    <w:next w:val="1243"/>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0"/>
    <w:qFormat/>
    <w:pPr>
      <w:jc w:val="center"/>
      <w:spacing w:line="360" w:lineRule="auto"/>
    </w:pPr>
    <w:rPr>
      <w:sz w:val="24"/>
    </w:rPr>
  </w:style>
  <w:style w:type="paragraph" w:styleId="1245">
    <w:name w:val="xl24"/>
    <w:basedOn w:val="1070"/>
    <w:next w:val="124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0"/>
    <w:next w:val="1247"/>
    <w:link w:val="1070"/>
    <w:qFormat/>
    <w:pPr>
      <w:jc w:val="left"/>
      <w:widowControl/>
    </w:pPr>
    <w:rPr>
      <w:rFonts w:ascii="楷体_GB2312" w:eastAsia="楷体_GB2312" w:cs="Arial"/>
      <w:sz w:val="24"/>
    </w:rPr>
  </w:style>
  <w:style w:type="paragraph" w:styleId="1248">
    <w:name w:val="xl34"/>
    <w:basedOn w:val="1070"/>
    <w:next w:val="124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0"/>
    <w:next w:val="1249"/>
    <w:link w:val="1070"/>
    <w:qFormat/>
    <w:rPr>
      <w:rFonts w:ascii="Tahoma" w:hAnsi="Tahoma"/>
      <w:sz w:val="24"/>
      <w:szCs w:val="20"/>
    </w:rPr>
  </w:style>
  <w:style w:type="paragraph" w:styleId="1250">
    <w:name w:val="Default"/>
    <w:next w:val="1250"/>
    <w:link w:val="1070"/>
    <w:qFormat/>
    <w:pPr>
      <w:widowControl w:val="off"/>
    </w:pPr>
    <w:rPr>
      <w:rFonts w:ascii="Symbol" w:hAnsi="Symbol" w:cs="Symbol"/>
      <w:color w:val="000000"/>
      <w:sz w:val="24"/>
      <w:szCs w:val="24"/>
      <w:lang w:val="en-US" w:eastAsia="zh-CN" w:bidi="ar-SA"/>
    </w:rPr>
  </w:style>
  <w:style w:type="paragraph" w:styleId="1251">
    <w:name w:val="列出段落1"/>
    <w:basedOn w:val="1070"/>
    <w:next w:val="1251"/>
    <w:link w:val="1070"/>
    <w:qFormat/>
    <w:pPr>
      <w:ind w:firstLine="420"/>
    </w:pPr>
    <w:rPr>
      <w:rFonts w:ascii="Calibri" w:hAnsi="Calibri"/>
      <w:szCs w:val="22"/>
    </w:rPr>
  </w:style>
  <w:style w:type="paragraph" w:styleId="1252">
    <w:name w:val="default"/>
    <w:basedOn w:val="1070"/>
    <w:next w:val="1252"/>
    <w:link w:val="1070"/>
    <w:qFormat/>
    <w:pPr>
      <w:jc w:val="left"/>
      <w:spacing w:before="100" w:beforeAutospacing="1" w:after="100" w:afterAutospacing="1"/>
      <w:widowControl/>
    </w:pPr>
    <w:rPr>
      <w:rFonts w:ascii="宋体" w:hAnsi="宋体" w:cs="宋体"/>
      <w:sz w:val="24"/>
    </w:rPr>
  </w:style>
  <w:style w:type="paragraph" w:styleId="1253">
    <w:name w:val="字元 字元1"/>
    <w:basedOn w:val="1070"/>
    <w:next w:val="1253"/>
    <w:link w:val="1070"/>
    <w:qFormat/>
    <w:rPr>
      <w:rFonts w:ascii="Tahoma" w:hAnsi="Tahoma"/>
      <w:sz w:val="24"/>
      <w:szCs w:val="20"/>
    </w:rPr>
  </w:style>
  <w:style w:type="paragraph" w:styleId="1254">
    <w:name w:val="_Style 160"/>
    <w:next w:val="1254"/>
    <w:link w:val="1070"/>
    <w:qFormat/>
    <w:rPr>
      <w:sz w:val="21"/>
      <w:szCs w:val="24"/>
      <w:lang w:val="en-US" w:eastAsia="zh-CN" w:bidi="ar-SA"/>
    </w:rPr>
  </w:style>
  <w:style w:type="paragraph" w:styleId="1255">
    <w:name w:val="项目编号3"/>
    <w:basedOn w:val="1215"/>
    <w:next w:val="1255"/>
    <w:link w:val="1070"/>
    <w:qFormat/>
    <w:pPr>
      <w:numPr>
        <w:ilvl w:val="0"/>
        <w:numId w:val="6"/>
      </w:numPr>
    </w:pPr>
  </w:style>
  <w:style w:type="paragraph" w:styleId="1256">
    <w:name w:val="Char21"/>
    <w:basedOn w:val="1070"/>
    <w:next w:val="1256"/>
    <w:link w:val="1070"/>
    <w:qFormat/>
    <w:rPr>
      <w:rFonts w:ascii="Tahoma" w:hAnsi="Tahoma"/>
      <w:sz w:val="24"/>
      <w:szCs w:val="20"/>
    </w:rPr>
  </w:style>
  <w:style w:type="paragraph" w:styleId="1257">
    <w:name w:val="表格文字"/>
    <w:basedOn w:val="1104"/>
    <w:next w:val="1257"/>
    <w:link w:val="1070"/>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0"/>
    <w:next w:val="1258"/>
    <w:link w:val="1070"/>
    <w:qFormat/>
    <w:rPr>
      <w:rFonts w:ascii="宋体" w:hAnsi="宋体" w:cs="Courier New"/>
      <w:sz w:val="32"/>
      <w:szCs w:val="32"/>
    </w:rPr>
  </w:style>
  <w:style w:type="paragraph" w:styleId="1259">
    <w:name w:val="正文文本样式 加粗"/>
    <w:basedOn w:val="1215"/>
    <w:next w:val="1259"/>
    <w:link w:val="1070"/>
    <w:qFormat/>
    <w:rPr>
      <w:b/>
    </w:rPr>
  </w:style>
  <w:style w:type="paragraph" w:styleId="1260">
    <w:name w:val="Char2 Char Char Char Char Char Char"/>
    <w:basedOn w:val="1070"/>
    <w:next w:val="1260"/>
    <w:link w:val="1070"/>
    <w:qFormat/>
    <w:pPr>
      <w:jc w:val="center"/>
      <w:spacing w:line="400" w:lineRule="exact"/>
      <w:widowControl/>
    </w:pPr>
  </w:style>
  <w:style w:type="paragraph" w:styleId="1261">
    <w:name w:val="Char Char4"/>
    <w:basedOn w:val="1070"/>
    <w:next w:val="1261"/>
    <w:link w:val="1070"/>
    <w:qFormat/>
    <w:pPr>
      <w:jc w:val="center"/>
      <w:spacing w:line="400" w:lineRule="exact"/>
      <w:widowControl/>
    </w:pPr>
  </w:style>
  <w:style w:type="paragraph" w:styleId="1262">
    <w:name w:val="Char3 Char Char Char1"/>
    <w:basedOn w:val="1070"/>
    <w:next w:val="1262"/>
    <w:link w:val="1070"/>
    <w:qFormat/>
    <w:rPr>
      <w:rFonts w:ascii="Tahoma" w:hAnsi="Tahoma"/>
      <w:sz w:val="24"/>
      <w:szCs w:val="20"/>
    </w:rPr>
  </w:style>
  <w:style w:type="paragraph" w:styleId="1263">
    <w:name w:val="无间隔"/>
    <w:next w:val="1263"/>
    <w:link w:val="1070"/>
    <w:qFormat/>
    <w:pPr>
      <w:jc w:val="both"/>
      <w:widowControl w:val="off"/>
    </w:pPr>
    <w:rPr>
      <w:sz w:val="21"/>
      <w:szCs w:val="24"/>
      <w:lang w:val="en-US" w:eastAsia="zh-CN" w:bidi="ar-SA"/>
    </w:rPr>
  </w:style>
  <w:style w:type="paragraph" w:styleId="1264">
    <w:name w:val="22222222222222"/>
    <w:basedOn w:val="1070"/>
    <w:next w:val="1264"/>
    <w:link w:val="1070"/>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0"/>
    <w:next w:val="1267"/>
    <w:link w:val="1070"/>
    <w:qFormat/>
    <w:pPr>
      <w:spacing w:after="50" w:line="360" w:lineRule="auto"/>
    </w:pPr>
    <w:rPr>
      <w:sz w:val="24"/>
    </w:rPr>
  </w:style>
  <w:style w:type="paragraph" w:styleId="1268">
    <w:name w:val="xl23"/>
    <w:basedOn w:val="1070"/>
    <w:next w:val="1268"/>
    <w:link w:val="1070"/>
    <w:qFormat/>
    <w:pPr>
      <w:spacing w:before="100" w:beforeAutospacing="1" w:after="100" w:afterAutospacing="1" w:line="360" w:lineRule="auto"/>
      <w:widowControl/>
    </w:pPr>
    <w:rPr>
      <w:sz w:val="24"/>
      <w:szCs w:val="20"/>
    </w:rPr>
  </w:style>
  <w:style w:type="paragraph" w:styleId="1269">
    <w:name w:val="正文表格"/>
    <w:basedOn w:val="1070"/>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0"/>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1"/>
    <w:next w:val="1273"/>
    <w:link w:val="1070"/>
    <w:qFormat/>
    <w:pPr>
      <w:jc w:val="left"/>
    </w:pPr>
    <w:rPr>
      <w:sz w:val="24"/>
      <w:szCs w:val="24"/>
    </w:rPr>
  </w:style>
  <w:style w:type="paragraph" w:styleId="1274">
    <w:name w:val="正文小标题"/>
    <w:basedOn w:val="1070"/>
    <w:next w:val="1085"/>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5"/>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0"/>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0"/>
    <w:next w:val="1070"/>
    <w:link w:val="1070"/>
    <w:qFormat/>
    <w:pPr>
      <w:numPr>
        <w:ilvl w:val="0"/>
        <w:numId w:val="7"/>
      </w:numPr>
      <w:spacing w:line="300" w:lineRule="auto"/>
    </w:pPr>
    <w:rPr>
      <w:rFonts w:ascii="宋体" w:hAnsi="Calibri"/>
      <w:sz w:val="24"/>
      <w:szCs w:val="21"/>
    </w:rPr>
  </w:style>
  <w:style w:type="paragraph" w:styleId="1281">
    <w:name w:val="正文须知-2级"/>
    <w:basedOn w:val="1070"/>
    <w:next w:val="1281"/>
    <w:link w:val="1070"/>
    <w:qFormat/>
    <w:pPr>
      <w:numPr>
        <w:ilvl w:val="1"/>
        <w:numId w:val="7"/>
      </w:numPr>
      <w:spacing w:line="300" w:lineRule="auto"/>
    </w:pPr>
    <w:rPr>
      <w:rFonts w:ascii="宋体" w:hAnsi="Calibri"/>
      <w:sz w:val="24"/>
      <w:szCs w:val="21"/>
    </w:rPr>
  </w:style>
  <w:style w:type="paragraph" w:styleId="1282">
    <w:name w:val="正文须知-3级"/>
    <w:basedOn w:val="1070"/>
    <w:next w:val="1282"/>
    <w:link w:val="1070"/>
    <w:qFormat/>
    <w:pPr>
      <w:numPr>
        <w:ilvl w:val="2"/>
        <w:numId w:val="7"/>
      </w:numPr>
      <w:ind w:hanging="355"/>
      <w:spacing w:line="300" w:lineRule="auto"/>
    </w:pPr>
    <w:rPr>
      <w:rFonts w:ascii="宋体" w:hAnsi="Calibri"/>
      <w:sz w:val="24"/>
      <w:szCs w:val="21"/>
    </w:rPr>
  </w:style>
  <w:style w:type="character" w:styleId="1283">
    <w:name w:val="纯文本 字符"/>
    <w:next w:val="1283"/>
    <w:link w:val="1070"/>
    <w:uiPriority w:val="99"/>
    <w:qFormat/>
    <w:rPr>
      <w:rFonts w:ascii="宋体" w:hAnsi="Courier New" w:eastAsia="宋体" w:cs="Times New Roman"/>
      <w:sz w:val="21"/>
      <w:szCs w:val="21"/>
      <w:lang w:val="en-US" w:eastAsia="zh-CN" w:bidi="ar-SA"/>
    </w:rPr>
  </w:style>
  <w:style w:type="paragraph" w:styleId="1284">
    <w:name w:val="表格1"/>
    <w:basedOn w:val="1070"/>
    <w:next w:val="1284"/>
    <w:link w:val="1070"/>
    <w:qFormat/>
    <w:pPr>
      <w:ind w:firstLine="480"/>
      <w:jc w:val="center"/>
    </w:pPr>
    <w:rPr>
      <w:sz w:val="24"/>
      <w:szCs w:val="20"/>
    </w:rPr>
  </w:style>
  <w:style w:type="character" w:styleId="1285">
    <w:name w:val="纯文本 字符1"/>
    <w:next w:val="1285"/>
    <w:link w:val="1070"/>
    <w:qFormat/>
    <w:rPr>
      <w:rFonts w:ascii="宋体" w:hAnsi="Courier New"/>
    </w:rPr>
  </w:style>
  <w:style w:type="character" w:styleId="1286">
    <w:name w:val="bjh-p"/>
    <w:next w:val="1286"/>
    <w:link w:val="1070"/>
    <w:qFormat/>
  </w:style>
  <w:style w:type="paragraph" w:styleId="1287">
    <w:name w:val="无标题条"/>
    <w:next w:val="1070"/>
    <w:link w:val="1070"/>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0"/>
    <w:next w:val="1289"/>
    <w:link w:val="1288"/>
    <w:qFormat/>
    <w:pPr>
      <w:ind w:firstLine="480"/>
      <w:spacing w:line="360" w:lineRule="auto"/>
    </w:pPr>
    <w:rPr>
      <w:rFonts w:ascii="宋体" w:hAnsi="宋体"/>
      <w:sz w:val="24"/>
      <w:lang w:val="en-GB"/>
    </w:rPr>
  </w:style>
  <w:style w:type="character" w:styleId="1290">
    <w:name w:val="标题 3 Char"/>
    <w:next w:val="1290"/>
    <w:link w:val="1070"/>
    <w:qFormat/>
    <w:rPr>
      <w:rFonts w:ascii="宋体" w:eastAsia="宋体"/>
      <w:b/>
      <w:sz w:val="24"/>
      <w:u w:val="single"/>
      <w:lang w:val="en-US" w:eastAsia="zh-CN" w:bidi="ar-SA"/>
    </w:rPr>
  </w:style>
  <w:style w:type="character" w:styleId="1291">
    <w:name w:val="正文缩进 Char"/>
    <w:next w:val="1291"/>
    <w:link w:val="1070"/>
    <w:qFormat/>
    <w:rPr>
      <w:rFonts w:ascii="宋体" w:eastAsia="宋体"/>
      <w:sz w:val="24"/>
      <w:szCs w:val="24"/>
      <w:lang w:val="en-US" w:eastAsia="zh-CN" w:bidi="ar-SA"/>
    </w:rPr>
  </w:style>
  <w:style w:type="character" w:styleId="1292">
    <w:name w:val="Char Char111"/>
    <w:next w:val="1292"/>
    <w:link w:val="1070"/>
    <w:qFormat/>
    <w:rPr>
      <w:rFonts w:ascii="宋体" w:eastAsia="宋体"/>
      <w:b/>
      <w:sz w:val="24"/>
      <w:u w:val="single"/>
      <w:lang w:val="en-US" w:eastAsia="zh-CN" w:bidi="ar-SA"/>
    </w:rPr>
  </w:style>
  <w:style w:type="character" w:styleId="1293">
    <w:name w:val="正文文本缩进 Char"/>
    <w:next w:val="1293"/>
    <w:link w:val="1070"/>
    <w:qFormat/>
    <w:rPr>
      <w:rFonts w:eastAsia="宋体"/>
      <w:sz w:val="24"/>
      <w:szCs w:val="24"/>
      <w:lang w:val="en-US" w:eastAsia="zh-CN" w:bidi="ar-SA"/>
    </w:rPr>
  </w:style>
  <w:style w:type="character" w:styleId="1294">
    <w:name w:val="列出段落 Char"/>
    <w:next w:val="1294"/>
    <w:link w:val="1070"/>
    <w:qFormat/>
    <w:rPr>
      <w:rFonts w:ascii="Calibri" w:hAnsi="Calibri" w:eastAsia="宋体"/>
      <w:sz w:val="21"/>
      <w:szCs w:val="22"/>
      <w:lang w:val="en-US" w:eastAsia="zh-CN" w:bidi="ar-SA"/>
    </w:rPr>
  </w:style>
  <w:style w:type="character" w:styleId="1295">
    <w:name w:val="页眉 Char"/>
    <w:next w:val="1295"/>
    <w:link w:val="1070"/>
    <w:qFormat/>
    <w:rPr>
      <w:rFonts w:eastAsia="宋体"/>
      <w:sz w:val="18"/>
      <w:szCs w:val="18"/>
      <w:lang w:val="en-US" w:eastAsia="zh-CN" w:bidi="ar-SA"/>
    </w:rPr>
  </w:style>
  <w:style w:type="character" w:styleId="1296">
    <w:name w:val="标题 2 Char"/>
    <w:next w:val="1296"/>
    <w:link w:val="1070"/>
    <w:qFormat/>
    <w:rPr>
      <w:rFonts w:ascii="Arial" w:hAnsi="Arial" w:eastAsia="黑体"/>
      <w:b/>
      <w:sz w:val="30"/>
      <w:lang w:val="en-US" w:eastAsia="zh-CN" w:bidi="ar-SA"/>
    </w:rPr>
  </w:style>
  <w:style w:type="paragraph" w:styleId="1297">
    <w:name w:val="字元 字元2"/>
    <w:basedOn w:val="1070"/>
    <w:next w:val="1297"/>
    <w:link w:val="1070"/>
    <w:qFormat/>
    <w:rPr>
      <w:rFonts w:ascii="Tahoma" w:hAnsi="Tahoma"/>
      <w:sz w:val="24"/>
      <w:szCs w:val="20"/>
    </w:rPr>
  </w:style>
  <w:style w:type="paragraph" w:styleId="1298">
    <w:name w:val="Char3 Char Char Char2"/>
    <w:basedOn w:val="1070"/>
    <w:next w:val="1298"/>
    <w:link w:val="1070"/>
    <w:qFormat/>
    <w:rPr>
      <w:rFonts w:ascii="Tahoma" w:hAnsi="Tahoma"/>
      <w:sz w:val="24"/>
      <w:szCs w:val="20"/>
    </w:rPr>
  </w:style>
  <w:style w:type="paragraph" w:styleId="1299">
    <w:name w:val="正文文本缩进2"/>
    <w:basedOn w:val="1070"/>
    <w:next w:val="1299"/>
    <w:link w:val="1070"/>
    <w:qFormat/>
    <w:pPr>
      <w:ind w:firstLine="480"/>
      <w:spacing w:line="480" w:lineRule="exact"/>
    </w:pPr>
    <w:rPr>
      <w:rFonts w:ascii="宋体" w:hAnsi="宋体"/>
      <w:sz w:val="24"/>
      <w:lang w:val="zh-CN" w:eastAsia="zh-CN"/>
    </w:rPr>
  </w:style>
  <w:style w:type="paragraph" w:styleId="1300">
    <w:name w:val="Char3"/>
    <w:basedOn w:val="1070"/>
    <w:next w:val="1300"/>
    <w:link w:val="1070"/>
    <w:qFormat/>
    <w:pPr>
      <w:tabs>
        <w:tab w:val="left" w:pos="360" w:leader="none"/>
      </w:tabs>
    </w:pPr>
    <w:rPr>
      <w:sz w:val="24"/>
    </w:rPr>
  </w:style>
  <w:style w:type="paragraph" w:styleId="1301">
    <w:name w:val="Char Char Char Char Char Char Char Char Char Char Char Char Char Char Char Char1"/>
    <w:basedOn w:val="1070"/>
    <w:next w:val="1301"/>
    <w:link w:val="1070"/>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0"/>
    <w:next w:val="1302"/>
    <w:link w:val="1070"/>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0"/>
    <w:next w:val="1303"/>
    <w:link w:val="1070"/>
    <w:qFormat/>
    <w:pPr>
      <w:ind w:firstLine="420"/>
    </w:pPr>
    <w:rPr>
      <w:rFonts w:ascii="Calibri" w:hAnsi="Calibri"/>
      <w:szCs w:val="22"/>
    </w:rPr>
  </w:style>
  <w:style w:type="paragraph" w:styleId="1304">
    <w:name w:val="Char Char Char1 Char2"/>
    <w:basedOn w:val="1070"/>
    <w:next w:val="1304"/>
    <w:link w:val="1070"/>
    <w:qFormat/>
    <w:rPr>
      <w:rFonts w:ascii="Tahoma" w:hAnsi="Tahoma"/>
      <w:sz w:val="24"/>
      <w:szCs w:val="20"/>
    </w:rPr>
  </w:style>
  <w:style w:type="paragraph" w:styleId="1305">
    <w:name w:val="Char Char Char2"/>
    <w:basedOn w:val="1070"/>
    <w:next w:val="1305"/>
    <w:link w:val="1070"/>
    <w:qFormat/>
    <w:rPr>
      <w:rFonts w:ascii="Tahoma" w:hAnsi="Tahoma"/>
      <w:sz w:val="24"/>
      <w:szCs w:val="20"/>
    </w:rPr>
  </w:style>
  <w:style w:type="paragraph" w:styleId="1306">
    <w:name w:val="Char Char Char Char Char Char Char2"/>
    <w:basedOn w:val="1070"/>
    <w:next w:val="1306"/>
    <w:link w:val="1070"/>
    <w:qFormat/>
    <w:pPr>
      <w:ind w:firstLine="200"/>
      <w:spacing w:line="360" w:lineRule="auto"/>
    </w:pPr>
    <w:rPr>
      <w:rFonts w:eastAsia="仿宋_GB2312"/>
      <w:sz w:val="24"/>
    </w:rPr>
  </w:style>
  <w:style w:type="paragraph" w:styleId="1307">
    <w:name w:val="正文缩进2"/>
    <w:basedOn w:val="1070"/>
    <w:next w:val="1307"/>
    <w:link w:val="1070"/>
    <w:qFormat/>
    <w:pPr>
      <w:ind w:firstLine="567"/>
      <w:spacing w:line="480" w:lineRule="exact"/>
      <w:widowControl/>
    </w:pPr>
    <w:rPr>
      <w:rFonts w:ascii="宋体"/>
      <w:color w:val="000000"/>
      <w:sz w:val="28"/>
      <w:szCs w:val="20"/>
      <w:lang w:val="zh-CN" w:eastAsia="zh-CN"/>
    </w:rPr>
  </w:style>
  <w:style w:type="paragraph" w:styleId="1308">
    <w:name w:val="Revision"/>
    <w:next w:val="1308"/>
    <w:link w:val="1070"/>
    <w:qFormat/>
    <w:rPr>
      <w:sz w:val="21"/>
      <w:szCs w:val="24"/>
      <w:lang w:val="en-US" w:eastAsia="zh-CN" w:bidi="ar-SA"/>
    </w:rPr>
  </w:style>
  <w:style w:type="paragraph" w:styleId="1309">
    <w:name w:val="Char22"/>
    <w:basedOn w:val="1070"/>
    <w:next w:val="1309"/>
    <w:link w:val="1070"/>
    <w:qFormat/>
    <w:rPr>
      <w:rFonts w:ascii="Tahoma" w:hAnsi="Tahoma"/>
      <w:sz w:val="24"/>
      <w:szCs w:val="20"/>
    </w:rPr>
  </w:style>
  <w:style w:type="paragraph" w:styleId="1310">
    <w:name w:val="Char Char Char Char Char Char Char Char Char Char2"/>
    <w:basedOn w:val="1070"/>
    <w:next w:val="1310"/>
    <w:link w:val="1070"/>
    <w:qFormat/>
    <w:rPr>
      <w:rFonts w:ascii="宋体" w:hAnsi="宋体" w:cs="Courier New"/>
      <w:sz w:val="32"/>
      <w:szCs w:val="32"/>
    </w:rPr>
  </w:style>
  <w:style w:type="paragraph" w:styleId="1311">
    <w:name w:val="Char2 Char Char Char Char Char Char1"/>
    <w:basedOn w:val="1070"/>
    <w:next w:val="1311"/>
    <w:link w:val="1070"/>
    <w:qFormat/>
    <w:pPr>
      <w:jc w:val="center"/>
      <w:spacing w:line="400" w:lineRule="exact"/>
      <w:widowControl/>
    </w:pPr>
  </w:style>
  <w:style w:type="character" w:styleId="1312">
    <w:name w:val="页脚 Char"/>
    <w:next w:val="1312"/>
    <w:link w:val="1070"/>
    <w:qFormat/>
    <w:rPr>
      <w:rFonts w:ascii="宋体" w:eastAsia="宋体"/>
      <w:sz w:val="18"/>
      <w:lang w:val="en-US" w:eastAsia="zh-CN" w:bidi="ar-SA"/>
    </w:rPr>
  </w:style>
  <w:style w:type="paragraph" w:styleId="1313">
    <w:name w:val="Char Char41"/>
    <w:basedOn w:val="1070"/>
    <w:next w:val="1313"/>
    <w:link w:val="1070"/>
    <w:qFormat/>
    <w:pPr>
      <w:jc w:val="center"/>
      <w:spacing w:line="400" w:lineRule="exact"/>
      <w:widowControl/>
    </w:pPr>
  </w:style>
  <w:style w:type="character" w:styleId="1314">
    <w:name w:val="批注文字 Char"/>
    <w:next w:val="1314"/>
    <w:link w:val="1070"/>
    <w:uiPriority w:val="99"/>
    <w:qFormat/>
    <w:rPr>
      <w:sz w:val="21"/>
      <w:szCs w:val="24"/>
    </w:rPr>
  </w:style>
  <w:style w:type="character" w:styleId="1315">
    <w:name w:val="标题 Char"/>
    <w:next w:val="1315"/>
    <w:link w:val="1070"/>
    <w:qFormat/>
    <w:rPr>
      <w:b/>
      <w:sz w:val="32"/>
    </w:rPr>
  </w:style>
  <w:style w:type="paragraph" w:styleId="1316">
    <w:name w:val="图例"/>
    <w:basedOn w:val="1070"/>
    <w:next w:val="1316"/>
    <w:link w:val="1070"/>
    <w:qFormat/>
    <w:pPr>
      <w:jc w:val="center"/>
      <w:spacing w:before="120" w:after="120" w:line="360" w:lineRule="auto"/>
    </w:pPr>
    <w:rPr>
      <w:rFonts w:eastAsia="仿宋_GB2312"/>
      <w:b/>
      <w:sz w:val="24"/>
      <w:szCs w:val="20"/>
    </w:rPr>
  </w:style>
  <w:style w:type="table" w:styleId="1317">
    <w:name w:val="Table Normal"/>
    <w:next w:val="1317"/>
    <w:link w:val="1070"/>
    <w:uiPriority w:val="2"/>
    <w:unhideWhenUsed/>
    <w:qFormat/>
    <w:pPr>
      <w:widowControl w:val="off"/>
    </w:pPr>
    <w:rPr>
      <w:rFonts w:ascii="Calibri" w:hAnsi="Calibri"/>
      <w:sz w:val="22"/>
      <w:szCs w:val="22"/>
      <w:lang w:val="en-US" w:eastAsia="en-US" w:bidi="ar-SA"/>
    </w:rPr>
    <w:tblPr/>
  </w:style>
  <w:style w:type="paragraph" w:styleId="1318">
    <w:name w:val="Table Paragraph"/>
    <w:basedOn w:val="1070"/>
    <w:next w:val="1318"/>
    <w:link w:val="1070"/>
    <w:uiPriority w:val="1"/>
    <w:qFormat/>
    <w:pPr>
      <w:jc w:val="left"/>
    </w:pPr>
    <w:rPr>
      <w:rFonts w:ascii="宋体" w:hAnsi="宋体" w:cs="宋体"/>
      <w:sz w:val="22"/>
      <w:szCs w:val="22"/>
      <w:lang w:eastAsia="en-US"/>
    </w:rPr>
  </w:style>
  <w:style w:type="paragraph" w:styleId="1319">
    <w:name w:val="成文日期"/>
    <w:basedOn w:val="1070"/>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0"/>
    <w:uiPriority w:val="99"/>
    <w:unhideWhenUsed/>
    <w:rPr>
      <w:sz w:val="21"/>
      <w:szCs w:val="24"/>
      <w:lang w:val="en-US" w:eastAsia="zh-CN" w:bidi="ar-SA"/>
    </w:rPr>
  </w:style>
  <w:style w:type="character" w:styleId="1322">
    <w:name w:val="正文缩进 字符"/>
    <w:next w:val="1322"/>
    <w:link w:val="1070"/>
    <w:uiPriority w:val="99"/>
    <w:qFormat/>
    <w:rPr>
      <w:rFonts w:ascii="宋体" w:hAnsi="Times New Roman" w:eastAsia="宋体" w:cs="Times New Roman"/>
      <w:sz w:val="24"/>
    </w:rPr>
  </w:style>
  <w:style w:type="character" w:styleId="1323">
    <w:name w:val="正文文本 字符"/>
    <w:next w:val="1323"/>
    <w:link w:val="1070"/>
    <w:qFormat/>
    <w:rPr>
      <w:rFonts w:ascii="宋体" w:hAnsi="宋体"/>
      <w:sz w:val="24"/>
      <w:szCs w:val="24"/>
    </w:rPr>
  </w:style>
  <w:style w:type="paragraph" w:styleId="1324">
    <w:name w:val="纯文本1"/>
    <w:next w:val="1125"/>
    <w:link w:val="1070"/>
    <w:qFormat/>
    <w:pPr>
      <w:jc w:val="both"/>
      <w:widowControl w:val="off"/>
    </w:pPr>
    <w:rPr>
      <w:rFonts w:ascii="宋体" w:hAnsi="宋体"/>
      <w:sz w:val="26"/>
      <w:szCs w:val="24"/>
      <w:lang w:val="en-US" w:eastAsia="zh-CN" w:bidi="ar-SA"/>
    </w:rPr>
  </w:style>
  <w:style w:type="paragraph" w:styleId="1325">
    <w:name w:val="AONormal"/>
    <w:next w:val="1325"/>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6">
    <w:name w:val="font11"/>
    <w:next w:val="1326"/>
    <w:link w:val="1070"/>
    <w:rPr>
      <w:rFonts w:hint="eastAsia" w:ascii="仿宋" w:hAnsi="仿宋" w:eastAsia="仿宋" w:cs="仿宋"/>
      <w:b/>
      <w:bCs/>
      <w:color w:val="000000"/>
      <w:sz w:val="24"/>
      <w:szCs w:val="24"/>
      <w:u w:val="none"/>
    </w:rPr>
  </w:style>
  <w:style w:type="paragraph" w:styleId="1327">
    <w:name w:val="样式 首行缩进:  2 字符"/>
    <w:basedOn w:val="1070"/>
    <w:next w:val="1327"/>
    <w:link w:val="1070"/>
    <w:qFormat/>
    <w:pPr>
      <w:ind w:firstLine="560"/>
    </w:pPr>
    <w:rPr>
      <w:rFonts w:eastAsia="仿宋_GB2312" w:cs="宋体"/>
      <w:sz w:val="24"/>
      <w:szCs w:val="20"/>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18</cp:revision>
  <dcterms:created xsi:type="dcterms:W3CDTF">2022-05-30T08:08:00Z</dcterms:created>
  <dcterms:modified xsi:type="dcterms:W3CDTF">2025-08-13T06:02:59Z</dcterms:modified>
  <cp:version>1048576</cp:version>
</cp:coreProperties>
</file>