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5"/>
        <w:spacing w:before="120" w:beforeAutospacing="0" w:after="120" w:afterAutospacing="0" w:line="360" w:lineRule="auto"/>
        <w:rPr>
          <w:color w:val="auto"/>
        </w:rPr>
      </w:pPr>
      <w:r>
        <w:rPr>
          <w:color w:val="auto"/>
        </w:rPr>
        <w:t xml:space="preserve"> </w:t>
      </w:r>
      <w:r/>
    </w:p>
    <w:p>
      <w:pPr>
        <w:pStyle w:val="615"/>
        <w:spacing w:before="120" w:beforeAutospacing="0" w:after="120" w:afterAutospacing="0" w:line="360" w:lineRule="auto"/>
        <w:rPr>
          <w:color w:val="auto"/>
        </w:rPr>
      </w:pPr>
      <w:r>
        <w:rPr>
          <w:color w:val="auto"/>
        </w:rPr>
      </w:r>
      <w:r/>
    </w:p>
    <w:p>
      <w:pPr>
        <w:pStyle w:val="615"/>
        <w:jc w:val="center"/>
        <w:spacing w:before="120" w:beforeAutospacing="0" w:after="120" w:afterAutospacing="0" w:line="360" w:lineRule="auto"/>
        <w:rPr>
          <w:color w:val="auto"/>
        </w:rPr>
      </w:pPr>
      <w:r>
        <w:rPr>
          <w:rFonts w:ascii="Arial" w:hAnsi="Arial" w:cs="Arial"/>
          <w:b/>
          <w:color w:val="auto"/>
          <w:sz w:val="84"/>
          <w:szCs w:val="84"/>
        </w:rPr>
        <w:t xml:space="preserve">招 标 文 件</w:t>
      </w:r>
      <w:r/>
    </w:p>
    <w:p>
      <w:pPr>
        <w:pStyle w:val="615"/>
        <w:ind w:firstLine="643"/>
        <w:jc w:val="left"/>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615"/>
        <w:ind w:firstLine="643"/>
        <w:jc w:val="left"/>
        <w:spacing w:before="120" w:beforeAutospacing="0" w:after="120" w:afterAutospacing="0" w:line="360" w:lineRule="auto"/>
        <w:rPr>
          <w:rFonts w:hint="eastAsia" w:ascii="Arial" w:hAnsi="Arial" w:cs="Arial"/>
          <w:b/>
          <w:color w:val="auto"/>
          <w:sz w:val="32"/>
          <w:szCs w:val="32"/>
          <w:lang w:eastAsia="zh-CN"/>
        </w:rPr>
      </w:pPr>
      <w:r>
        <w:rPr>
          <w:rFonts w:ascii="Arial" w:hAnsi="Arial" w:cs="Arial"/>
          <w:b/>
          <w:color w:val="auto"/>
          <w:sz w:val="32"/>
          <w:szCs w:val="32"/>
        </w:rPr>
        <w:t xml:space="preserve">项目名称：</w:t>
      </w:r>
      <w:r>
        <w:rPr>
          <w:rFonts w:hint="eastAsia" w:ascii="Arial" w:hAnsi="Arial" w:cs="Arial"/>
          <w:b/>
          <w:color w:val="auto"/>
          <w:sz w:val="32"/>
          <w:szCs w:val="32"/>
          <w:lang w:eastAsia="zh-CN"/>
        </w:rPr>
        <w:t xml:space="preserve">东台市生态环境监测站点防洪影响评价</w:t>
      </w:r>
      <w:r/>
    </w:p>
    <w:p>
      <w:pPr>
        <w:pStyle w:val="615"/>
        <w:ind w:firstLine="643"/>
        <w:jc w:val="left"/>
        <w:spacing w:before="120" w:beforeAutospacing="0" w:after="120" w:afterAutospacing="0" w:line="360" w:lineRule="auto"/>
        <w:rPr>
          <w:rFonts w:hint="eastAsia" w:eastAsiaTheme="minorEastAsia"/>
          <w:color w:val="auto"/>
          <w:lang w:eastAsia="zh-CN"/>
        </w:rPr>
      </w:pPr>
      <w:r>
        <w:rPr>
          <w:rFonts w:hint="eastAsia" w:ascii="Arial" w:hAnsi="Arial" w:cs="Arial"/>
          <w:b/>
          <w:color w:val="auto"/>
          <w:sz w:val="32"/>
          <w:szCs w:val="32"/>
          <w:lang w:eastAsia="zh-CN"/>
        </w:rPr>
        <w:t xml:space="preserve">报告书编制项目</w:t>
      </w:r>
      <w:r/>
    </w:p>
    <w:p>
      <w:pPr>
        <w:pStyle w:val="615"/>
        <w:ind w:firstLine="643"/>
        <w:jc w:val="left"/>
        <w:spacing w:beforeAutospacing="0" w:afterAutospacing="0"/>
        <w:rPr>
          <w:rFonts w:hint="eastAsia" w:eastAsiaTheme="minorEastAsia"/>
          <w:color w:val="auto"/>
          <w:lang w:eastAsia="zh-CN"/>
        </w:rPr>
      </w:pPr>
      <w:r>
        <w:rPr>
          <w:rFonts w:ascii="Times New Roman" w:hAnsi="Times New Roman"/>
          <w:b/>
          <w:color w:val="auto"/>
          <w:sz w:val="32"/>
          <w:szCs w:val="32"/>
        </w:rPr>
        <w:t xml:space="preserve">项目编号：</w:t>
      </w:r>
      <w:r>
        <w:rPr>
          <w:rFonts w:hint="eastAsia" w:ascii="Times New Roman" w:hAnsi="Times New Roman"/>
          <w:b/>
          <w:color w:val="auto"/>
          <w:sz w:val="32"/>
          <w:szCs w:val="32"/>
          <w:lang w:eastAsia="zh-CN"/>
        </w:rPr>
        <w:t xml:space="preserve">JSZC-320981-JSRJ-G2024-0015</w:t>
      </w:r>
      <w:r/>
    </w:p>
    <w:p>
      <w:pPr>
        <w:pStyle w:val="615"/>
        <w:spacing w:beforeAutospacing="0" w:afterAutospacing="0" w:line="360" w:lineRule="auto"/>
        <w:rPr>
          <w:color w:val="auto"/>
        </w:rPr>
      </w:pPr>
      <w:r>
        <w:rPr>
          <w:color w:val="auto"/>
        </w:rPr>
        <w:t xml:space="preserve"> </w:t>
      </w:r>
      <w:r/>
    </w:p>
    <w:p>
      <w:pPr>
        <w:pStyle w:val="615"/>
        <w:spacing w:beforeAutospacing="0" w:afterAutospacing="0" w:line="360" w:lineRule="auto"/>
        <w:rPr>
          <w:color w:val="auto"/>
        </w:rPr>
      </w:pPr>
      <w:r>
        <w:rPr>
          <w:color w:val="auto"/>
        </w:rPr>
        <w:t xml:space="preserve"> </w:t>
      </w:r>
      <w:r/>
    </w:p>
    <w:p>
      <w:pPr>
        <w:pStyle w:val="615"/>
        <w:spacing w:beforeAutospacing="0" w:afterAutospacing="0" w:line="360" w:lineRule="auto"/>
        <w:rPr>
          <w:color w:val="auto"/>
        </w:rPr>
      </w:pPr>
      <w:r>
        <w:rPr>
          <w:color w:val="auto"/>
        </w:rPr>
        <w:t xml:space="preserve"> </w:t>
      </w:r>
      <w:r/>
    </w:p>
    <w:p>
      <w:pPr>
        <w:pStyle w:val="615"/>
        <w:spacing w:beforeAutospacing="0" w:afterAutospacing="0" w:line="360" w:lineRule="auto"/>
        <w:rPr>
          <w:color w:val="auto"/>
        </w:rPr>
      </w:pPr>
      <w:r>
        <w:rPr>
          <w:color w:val="auto"/>
        </w:rPr>
        <w:t xml:space="preserve"> </w:t>
      </w:r>
      <w:r/>
    </w:p>
    <w:p>
      <w:pPr>
        <w:pStyle w:val="615"/>
        <w:spacing w:beforeAutospacing="0" w:afterAutospacing="0" w:line="360" w:lineRule="auto"/>
        <w:rPr>
          <w:color w:val="auto"/>
        </w:rPr>
      </w:pPr>
      <w:r>
        <w:rPr>
          <w:color w:val="auto"/>
        </w:rPr>
        <w:t xml:space="preserve"> </w:t>
      </w:r>
      <w:r/>
    </w:p>
    <w:p>
      <w:pPr>
        <w:pStyle w:val="615"/>
        <w:spacing w:beforeAutospacing="0" w:afterAutospacing="0" w:line="360" w:lineRule="auto"/>
        <w:rPr>
          <w:color w:val="auto"/>
        </w:rPr>
      </w:pPr>
      <w:r>
        <w:rPr>
          <w:color w:val="auto"/>
        </w:rPr>
        <w:t xml:space="preserve"> </w:t>
      </w:r>
      <w:r/>
    </w:p>
    <w:p>
      <w:pPr>
        <w:pStyle w:val="615"/>
        <w:spacing w:beforeAutospacing="0" w:afterAutospacing="0" w:line="360" w:lineRule="auto"/>
        <w:rPr>
          <w:color w:val="auto"/>
        </w:rPr>
      </w:pPr>
      <w:r>
        <w:rPr>
          <w:color w:val="auto"/>
        </w:rPr>
        <w:t xml:space="preserve"> </w:t>
      </w:r>
      <w:r/>
    </w:p>
    <w:p>
      <w:pPr>
        <w:pStyle w:val="615"/>
        <w:ind w:firstLine="964"/>
        <w:jc w:val="left"/>
        <w:spacing w:before="120" w:beforeAutospacing="0" w:after="120" w:afterAutospacing="0" w:line="360" w:lineRule="auto"/>
        <w:rPr>
          <w:rFonts w:hint="eastAsia" w:ascii="Arial" w:hAnsi="Arial" w:cs="Arial"/>
          <w:b/>
          <w:color w:val="auto"/>
          <w:sz w:val="32"/>
          <w:szCs w:val="32"/>
        </w:rPr>
      </w:pPr>
      <w:r>
        <w:rPr>
          <w:rFonts w:hint="eastAsia" w:ascii="Arial" w:hAnsi="Arial" w:cs="Arial"/>
          <w:b/>
          <w:color w:val="auto"/>
          <w:sz w:val="32"/>
          <w:szCs w:val="32"/>
        </w:rPr>
      </w:r>
      <w:r/>
    </w:p>
    <w:p>
      <w:pPr>
        <w:pStyle w:val="615"/>
        <w:ind w:firstLine="964"/>
        <w:jc w:val="left"/>
        <w:spacing w:before="120" w:beforeAutospacing="0" w:after="120" w:afterAutospacing="0" w:line="360" w:lineRule="auto"/>
        <w:rPr>
          <w:rFonts w:hint="eastAsia" w:ascii="Arial" w:hAnsi="Arial" w:cs="Arial"/>
          <w:b/>
          <w:color w:val="auto"/>
          <w:sz w:val="32"/>
          <w:szCs w:val="32"/>
        </w:rPr>
      </w:pPr>
      <w:r>
        <w:rPr>
          <w:rFonts w:hint="eastAsia" w:ascii="Arial" w:hAnsi="Arial" w:cs="Arial"/>
          <w:b/>
          <w:color w:val="auto"/>
          <w:sz w:val="32"/>
          <w:szCs w:val="32"/>
        </w:rPr>
      </w:r>
      <w:r/>
    </w:p>
    <w:p>
      <w:pPr>
        <w:pStyle w:val="615"/>
        <w:ind w:firstLine="964"/>
        <w:jc w:val="left"/>
        <w:spacing w:before="120" w:beforeAutospacing="0" w:after="120" w:afterAutospacing="0" w:line="360" w:lineRule="auto"/>
        <w:rPr>
          <w:rFonts w:hint="eastAsia" w:ascii="Arial" w:hAnsi="Arial" w:cs="Arial"/>
          <w:b/>
          <w:color w:val="auto"/>
          <w:sz w:val="32"/>
          <w:szCs w:val="32"/>
          <w:lang w:eastAsia="zh-CN"/>
        </w:rPr>
      </w:pPr>
      <w:r>
        <w:rPr>
          <w:rFonts w:hint="eastAsia" w:ascii="Arial" w:hAnsi="Arial" w:cs="Arial"/>
          <w:b/>
          <w:color w:val="auto"/>
          <w:sz w:val="32"/>
          <w:szCs w:val="32"/>
        </w:rPr>
        <w:t xml:space="preserve">采购单位</w:t>
      </w:r>
      <w:r>
        <w:rPr>
          <w:rFonts w:hint="eastAsia" w:ascii="Arial" w:hAnsi="Arial" w:cs="Arial"/>
          <w:b/>
          <w:color w:val="auto"/>
          <w:sz w:val="32"/>
          <w:szCs w:val="32"/>
          <w:lang w:eastAsia="zh-CN"/>
        </w:rPr>
        <w:t xml:space="preserve">：盐城市东台生态环境局</w:t>
      </w:r>
      <w:r/>
    </w:p>
    <w:p>
      <w:pPr>
        <w:pStyle w:val="615"/>
        <w:ind w:firstLine="964"/>
        <w:jc w:val="left"/>
        <w:spacing w:before="120" w:beforeAutospacing="0" w:after="120" w:afterAutospacing="0" w:line="360" w:lineRule="auto"/>
        <w:rPr>
          <w:rFonts w:hint="default" w:ascii="Arial" w:hAnsi="Arial" w:cs="Arial"/>
          <w:b/>
          <w:color w:val="auto"/>
          <w:sz w:val="32"/>
          <w:szCs w:val="32"/>
          <w:lang w:val="en-US" w:eastAsia="zh-CN"/>
        </w:rPr>
      </w:pPr>
      <w:r>
        <w:rPr>
          <w:rFonts w:hint="eastAsia" w:ascii="Arial" w:hAnsi="Arial" w:cs="Arial"/>
          <w:b/>
          <w:color w:val="auto"/>
          <w:sz w:val="32"/>
          <w:szCs w:val="32"/>
          <w:lang w:val="en-US" w:eastAsia="zh-CN"/>
        </w:rPr>
        <w:t xml:space="preserve">采购代理机构：江苏瑞杰项目管理顾问有限公司</w:t>
      </w:r>
      <w:r/>
    </w:p>
    <w:p>
      <w:pPr>
        <w:pStyle w:val="615"/>
        <w:jc w:val="center"/>
        <w:spacing w:before="120" w:beforeAutospacing="0" w:after="120" w:afterAutospacing="0" w:line="360" w:lineRule="auto"/>
      </w:pPr>
      <w:r>
        <w:rPr>
          <w:rFonts w:hint="eastAsia" w:ascii="Arial" w:hAnsi="Arial" w:cs="Arial"/>
          <w:b/>
          <w:color w:val="000000"/>
          <w:sz w:val="32"/>
          <w:szCs w:val="32"/>
          <w:u w:val="none"/>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19</w:t>
      </w:r>
      <w:r>
        <w:rPr>
          <w:rFonts w:ascii="Arial" w:hAnsi="Arial" w:cs="Arial"/>
          <w:b/>
          <w:color w:val="000000"/>
          <w:sz w:val="32"/>
          <w:szCs w:val="32"/>
        </w:rPr>
        <w:t xml:space="preserve">日</w:t>
      </w:r>
      <w:r/>
    </w:p>
    <w:p>
      <w:pPr>
        <w:pStyle w:val="615"/>
        <w:spacing w:before="120" w:beforeAutospacing="0" w:after="120" w:afterAutospacing="0" w:line="360" w:lineRule="auto"/>
        <w:rPr>
          <w:color w:val="auto"/>
        </w:rPr>
      </w:pPr>
      <w:r>
        <w:rPr>
          <w:rFonts w:ascii="Arial" w:hAnsi="Arial" w:cs="Arial"/>
          <w:color w:val="auto"/>
        </w:rPr>
        <w:t xml:space="preserve">                        </w:t>
      </w:r>
      <w:r/>
    </w:p>
    <w:p>
      <w:pPr>
        <w:rPr>
          <w:rFonts w:ascii="黑体" w:hAnsi="宋体" w:eastAsia="黑体" w:cs="黑体"/>
          <w:b/>
          <w:color w:val="auto"/>
          <w:sz w:val="44"/>
          <w:szCs w:val="44"/>
        </w:rPr>
      </w:pPr>
      <w:r/>
      <w:bookmarkStart w:id="0" w:name="_Toc523127445"/>
      <w:r/>
      <w:bookmarkStart w:id="1" w:name="_Toc20823272"/>
      <w:r/>
      <w:bookmarkStart w:id="2" w:name="_Toc479757206"/>
      <w:r/>
      <w:bookmarkStart w:id="3" w:name="_Toc120614210"/>
      <w:r/>
      <w:bookmarkStart w:id="4" w:name="_Toc513029200"/>
      <w:r/>
      <w:bookmarkStart w:id="5" w:name="_Toc16938516"/>
      <w:r>
        <w:rPr>
          <w:rFonts w:ascii="黑体" w:hAnsi="宋体" w:eastAsia="黑体" w:cs="黑体"/>
          <w:b/>
          <w:color w:val="auto"/>
          <w:sz w:val="44"/>
          <w:szCs w:val="44"/>
        </w:rPr>
        <w:br w:type="page" w:clear="all"/>
      </w:r>
      <w:r/>
    </w:p>
    <w:p>
      <w:pPr>
        <w:pStyle w:val="615"/>
        <w:jc w:val="center"/>
        <w:spacing w:beforeAutospacing="0" w:afterAutospacing="0" w:line="480" w:lineRule="auto"/>
        <w:rPr>
          <w:color w:val="auto"/>
        </w:rPr>
      </w:pPr>
      <w:r>
        <w:rPr>
          <w:rFonts w:ascii="黑体" w:hAnsi="宋体" w:eastAsia="黑体" w:cs="黑体"/>
          <w:b/>
          <w:color w:val="auto"/>
          <w:sz w:val="44"/>
          <w:szCs w:val="44"/>
        </w:rPr>
        <w:t xml:space="preserve">总  目  录</w:t>
      </w:r>
      <w:bookmarkEnd w:id="0"/>
      <w:r/>
      <w:bookmarkEnd w:id="1"/>
      <w:r/>
      <w:bookmarkEnd w:id="2"/>
      <w:r/>
      <w:bookmarkEnd w:id="3"/>
      <w:r/>
      <w:bookmarkEnd w:id="4"/>
      <w:r/>
      <w:bookmarkEnd w:id="5"/>
      <w:r/>
      <w:r/>
    </w:p>
    <w:p>
      <w:pPr>
        <w:pStyle w:val="615"/>
        <w:jc w:val="both"/>
        <w:spacing w:beforeAutospacing="0" w:afterAutospacing="0" w:line="480" w:lineRule="auto"/>
        <w:rPr>
          <w:color w:val="auto"/>
        </w:rPr>
      </w:pPr>
      <w:r>
        <w:rPr>
          <w:color w:val="auto"/>
        </w:rPr>
        <w:t xml:space="preserve"> </w:t>
      </w:r>
      <w:r/>
    </w:p>
    <w:sdt>
      <w:sdtPr>
        <w15:appearance w15:val="boundingBox"/>
        <w15:color w:val="dbdbdb"/>
        <w:id w:val="147474810"/>
        <w:docPartObj>
          <w:docPartGallery w:val="Table of Contents"/>
          <w:docPartUnique w:val="true"/>
        </w:docPartObj>
        <w:rPr>
          <w:rFonts w:ascii="宋体" w:hAnsi="宋体" w:eastAsia="宋体" w:cstheme="minorBidi"/>
          <w:color w:val="auto"/>
          <w:sz w:val="21"/>
          <w:szCs w:val="24"/>
          <w:lang w:val="en-US" w:eastAsia="zh-CN" w:bidi="ar-SA"/>
        </w:rPr>
      </w:sdtPr>
      <w:sdtContent>
        <w:p>
          <w:pPr>
            <w:pStyle w:val="634"/>
            <w:ind w:firstLine="420"/>
            <w:keepLines w:val="0"/>
            <w:keepNext w:val="0"/>
            <w:pageBreakBefore w:val="0"/>
            <w:spacing w:line="480" w:lineRule="auto"/>
            <w:widowControl/>
            <w:tabs>
              <w:tab w:val="right" w:pos="9752" w:leader="dot"/>
            </w:tabs>
            <w:rPr>
              <w:rFonts w:hint="eastAsia" w:ascii="黑体" w:hAnsi="黑体" w:eastAsia="黑体" w:cs="黑体"/>
              <w:color w:val="auto"/>
              <w:sz w:val="44"/>
              <w:szCs w:val="44"/>
            </w:rPr>
          </w:pPr>
          <w:r>
            <w:rPr>
              <w:rFonts w:hint="eastAsia" w:ascii="宋体" w:hAnsi="宋体" w:eastAsia="宋体" w:cstheme="minorBidi"/>
              <w:color w:val="auto"/>
              <w:sz w:val="21"/>
              <w:szCs w:val="24"/>
              <w:lang w:val="en-US" w:eastAsia="zh-CN" w:bidi="ar-SA"/>
            </w:rPr>
            <w:t xml:space="preserve">    </w:t>
          </w: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TOC \o "1-1" \h \u </w:instrText>
          </w:r>
          <w:r>
            <w:rPr>
              <w:rFonts w:hint="eastAsia" w:ascii="黑体" w:hAnsi="黑体" w:eastAsia="黑体" w:cs="黑体"/>
              <w:color w:val="auto"/>
              <w:sz w:val="44"/>
              <w:szCs w:val="44"/>
            </w:rPr>
            <w:fldChar w:fldCharType="separate"/>
          </w: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 HYPERLINK \l _Toc19097 </w:instrText>
          </w:r>
          <w:r>
            <w:rPr>
              <w:rFonts w:hint="eastAsia" w:ascii="黑体" w:hAnsi="黑体" w:eastAsia="黑体" w:cs="黑体"/>
              <w:color w:val="auto"/>
              <w:sz w:val="44"/>
              <w:szCs w:val="44"/>
            </w:rPr>
            <w:fldChar w:fldCharType="separate"/>
          </w:r>
          <w:r>
            <w:rPr>
              <w:rFonts w:hint="eastAsia" w:ascii="黑体" w:hAnsi="黑体" w:eastAsia="黑体" w:cs="黑体"/>
              <w:color w:val="auto"/>
              <w:sz w:val="44"/>
              <w:szCs w:val="44"/>
            </w:rPr>
            <w:t xml:space="preserve">第一章  招标公告</w:t>
          </w:r>
          <w:r/>
        </w:p>
        <w:p>
          <w:pPr>
            <w:pStyle w:val="634"/>
            <w:ind w:firstLine="880"/>
            <w:keepLines w:val="0"/>
            <w:keepNext w:val="0"/>
            <w:pageBreakBefore w:val="0"/>
            <w:spacing w:line="480" w:lineRule="auto"/>
            <w:widowControl/>
            <w:tabs>
              <w:tab w:val="right" w:pos="9752" w:leader="dot"/>
            </w:tabs>
            <w:rPr>
              <w:rFonts w:hint="eastAsia" w:ascii="黑体" w:hAnsi="黑体" w:eastAsia="黑体" w:cs="黑体"/>
              <w:color w:val="auto"/>
              <w:sz w:val="44"/>
              <w:szCs w:val="44"/>
            </w:rPr>
          </w:pPr>
          <w:r>
            <w:rPr>
              <w:rFonts w:hint="eastAsia" w:ascii="黑体" w:hAnsi="黑体" w:eastAsia="黑体" w:cs="黑体"/>
              <w:color w:val="auto"/>
              <w:sz w:val="44"/>
              <w:szCs w:val="44"/>
            </w:rPr>
            <w:fldChar w:fldCharType="end"/>
          </w: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 HYPERLINK \l _Toc28299 </w:instrText>
          </w:r>
          <w:r>
            <w:rPr>
              <w:rFonts w:hint="eastAsia" w:ascii="黑体" w:hAnsi="黑体" w:eastAsia="黑体" w:cs="黑体"/>
              <w:color w:val="auto"/>
              <w:sz w:val="44"/>
              <w:szCs w:val="44"/>
            </w:rPr>
            <w:fldChar w:fldCharType="separate"/>
          </w:r>
          <w:r>
            <w:rPr>
              <w:rFonts w:hint="eastAsia" w:ascii="黑体" w:hAnsi="黑体" w:eastAsia="黑体" w:cs="黑体"/>
              <w:color w:val="auto"/>
              <w:sz w:val="44"/>
              <w:szCs w:val="44"/>
            </w:rPr>
            <w:t xml:space="preserve">第二章  投标人须知</w:t>
          </w:r>
          <w:r>
            <w:rPr>
              <w:rFonts w:hint="eastAsia" w:ascii="黑体" w:hAnsi="黑体" w:eastAsia="黑体" w:cs="黑体"/>
              <w:color w:val="auto"/>
              <w:sz w:val="44"/>
              <w:szCs w:val="44"/>
            </w:rPr>
            <w:fldChar w:fldCharType="end"/>
          </w:r>
          <w:r/>
        </w:p>
        <w:p>
          <w:pPr>
            <w:pStyle w:val="634"/>
            <w:ind w:firstLine="880"/>
            <w:keepLines w:val="0"/>
            <w:keepNext w:val="0"/>
            <w:pageBreakBefore w:val="0"/>
            <w:spacing w:line="480" w:lineRule="auto"/>
            <w:widowControl/>
            <w:tabs>
              <w:tab w:val="right" w:pos="9752" w:leader="dot"/>
            </w:tabs>
            <w:rPr>
              <w:rFonts w:hint="eastAsia" w:ascii="黑体" w:hAnsi="黑体" w:eastAsia="黑体" w:cs="黑体"/>
              <w:color w:val="auto"/>
              <w:sz w:val="44"/>
              <w:szCs w:val="44"/>
            </w:rPr>
          </w:pP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 HYPERLINK \l _Toc23761 </w:instrText>
          </w:r>
          <w:r>
            <w:rPr>
              <w:rFonts w:hint="eastAsia" w:ascii="黑体" w:hAnsi="黑体" w:eastAsia="黑体" w:cs="黑体"/>
              <w:color w:val="auto"/>
              <w:sz w:val="44"/>
              <w:szCs w:val="44"/>
            </w:rPr>
            <w:fldChar w:fldCharType="separate"/>
          </w:r>
          <w:r>
            <w:rPr>
              <w:rFonts w:hint="eastAsia" w:ascii="黑体" w:hAnsi="黑体" w:eastAsia="黑体" w:cs="黑体"/>
              <w:color w:val="auto"/>
              <w:sz w:val="44"/>
              <w:szCs w:val="44"/>
            </w:rPr>
            <w:t xml:space="preserve">第三章  合同文本</w:t>
          </w:r>
          <w:r>
            <w:rPr>
              <w:rFonts w:hint="eastAsia" w:ascii="黑体" w:hAnsi="黑体" w:eastAsia="黑体" w:cs="黑体"/>
              <w:color w:val="auto"/>
              <w:sz w:val="44"/>
              <w:szCs w:val="44"/>
            </w:rPr>
            <w:fldChar w:fldCharType="end"/>
          </w:r>
          <w:r/>
        </w:p>
        <w:p>
          <w:pPr>
            <w:pStyle w:val="634"/>
            <w:ind w:firstLine="880"/>
            <w:keepLines w:val="0"/>
            <w:keepNext w:val="0"/>
            <w:pageBreakBefore w:val="0"/>
            <w:spacing w:line="480" w:lineRule="auto"/>
            <w:widowControl/>
            <w:tabs>
              <w:tab w:val="right" w:pos="9752" w:leader="dot"/>
            </w:tabs>
            <w:rPr>
              <w:rFonts w:hint="eastAsia" w:ascii="黑体" w:hAnsi="黑体" w:eastAsia="黑体" w:cs="黑体"/>
              <w:color w:val="auto"/>
              <w:sz w:val="44"/>
              <w:szCs w:val="44"/>
            </w:rPr>
          </w:pP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 HYPERLINK \l _Toc23581 </w:instrText>
          </w:r>
          <w:r>
            <w:rPr>
              <w:rFonts w:hint="eastAsia" w:ascii="黑体" w:hAnsi="黑体" w:eastAsia="黑体" w:cs="黑体"/>
              <w:color w:val="auto"/>
              <w:sz w:val="44"/>
              <w:szCs w:val="44"/>
            </w:rPr>
            <w:fldChar w:fldCharType="separate"/>
          </w:r>
          <w:r>
            <w:rPr>
              <w:rFonts w:hint="eastAsia" w:ascii="黑体" w:hAnsi="黑体" w:eastAsia="黑体" w:cs="黑体"/>
              <w:color w:val="auto"/>
              <w:sz w:val="44"/>
              <w:szCs w:val="44"/>
            </w:rPr>
            <w:t xml:space="preserve">第四章  采购需求</w:t>
          </w:r>
          <w:r>
            <w:rPr>
              <w:rFonts w:hint="eastAsia" w:ascii="黑体" w:hAnsi="黑体" w:eastAsia="黑体" w:cs="黑体"/>
              <w:color w:val="auto"/>
              <w:sz w:val="44"/>
              <w:szCs w:val="44"/>
            </w:rPr>
            <w:fldChar w:fldCharType="end"/>
          </w:r>
          <w:r/>
        </w:p>
        <w:p>
          <w:pPr>
            <w:pStyle w:val="634"/>
            <w:ind w:firstLine="880"/>
            <w:keepLines w:val="0"/>
            <w:keepNext w:val="0"/>
            <w:pageBreakBefore w:val="0"/>
            <w:spacing w:line="480" w:lineRule="auto"/>
            <w:widowControl/>
            <w:tabs>
              <w:tab w:val="right" w:pos="9752" w:leader="dot"/>
            </w:tabs>
            <w:rPr>
              <w:rFonts w:hint="eastAsia" w:ascii="黑体" w:hAnsi="黑体" w:eastAsia="黑体" w:cs="黑体"/>
              <w:color w:val="auto"/>
              <w:sz w:val="44"/>
              <w:szCs w:val="44"/>
            </w:rPr>
          </w:pP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 HYPERLINK \l _Toc13969 </w:instrText>
          </w:r>
          <w:r>
            <w:rPr>
              <w:rFonts w:hint="eastAsia" w:ascii="黑体" w:hAnsi="黑体" w:eastAsia="黑体" w:cs="黑体"/>
              <w:color w:val="auto"/>
              <w:sz w:val="44"/>
              <w:szCs w:val="44"/>
            </w:rPr>
            <w:fldChar w:fldCharType="separate"/>
          </w:r>
          <w:r>
            <w:rPr>
              <w:rFonts w:hint="eastAsia" w:ascii="黑体" w:hAnsi="黑体" w:eastAsia="黑体" w:cs="黑体"/>
              <w:color w:val="auto"/>
              <w:sz w:val="44"/>
              <w:szCs w:val="44"/>
            </w:rPr>
            <w:t xml:space="preserve">第五章  评标方法与评标标准</w:t>
          </w:r>
          <w:r>
            <w:rPr>
              <w:rFonts w:hint="eastAsia" w:ascii="黑体" w:hAnsi="黑体" w:eastAsia="黑体" w:cs="黑体"/>
              <w:color w:val="auto"/>
              <w:sz w:val="44"/>
              <w:szCs w:val="44"/>
            </w:rPr>
            <w:fldChar w:fldCharType="end"/>
          </w:r>
          <w:r/>
        </w:p>
        <w:p>
          <w:pPr>
            <w:pStyle w:val="634"/>
            <w:ind w:firstLine="880"/>
            <w:keepLines w:val="0"/>
            <w:keepNext w:val="0"/>
            <w:pageBreakBefore w:val="0"/>
            <w:spacing w:line="480" w:lineRule="auto"/>
            <w:widowControl/>
            <w:tabs>
              <w:tab w:val="right" w:pos="9752" w:leader="dot"/>
            </w:tabs>
            <w:rPr>
              <w:rFonts w:hint="eastAsia" w:ascii="黑体" w:hAnsi="黑体" w:eastAsia="黑体" w:cs="黑体"/>
              <w:color w:val="auto"/>
              <w:sz w:val="44"/>
              <w:szCs w:val="44"/>
            </w:rPr>
          </w:pP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 HYPERLINK \l _Toc14881 </w:instrText>
          </w:r>
          <w:r>
            <w:rPr>
              <w:rFonts w:hint="eastAsia" w:ascii="黑体" w:hAnsi="黑体" w:eastAsia="黑体" w:cs="黑体"/>
              <w:color w:val="auto"/>
              <w:sz w:val="44"/>
              <w:szCs w:val="44"/>
            </w:rPr>
            <w:fldChar w:fldCharType="separate"/>
          </w:r>
          <w:r>
            <w:rPr>
              <w:rFonts w:hint="eastAsia" w:ascii="黑体" w:hAnsi="黑体" w:eastAsia="黑体" w:cs="黑体"/>
              <w:color w:val="auto"/>
              <w:sz w:val="44"/>
              <w:szCs w:val="44"/>
            </w:rPr>
            <w:t xml:space="preserve">第六章  投标文件格式</w:t>
          </w:r>
          <w:r>
            <w:rPr>
              <w:rFonts w:hint="eastAsia" w:ascii="黑体" w:hAnsi="黑体" w:eastAsia="黑体" w:cs="黑体"/>
              <w:color w:val="auto"/>
              <w:sz w:val="44"/>
              <w:szCs w:val="44"/>
            </w:rPr>
            <w:fldChar w:fldCharType="end"/>
          </w:r>
          <w:r/>
        </w:p>
        <w:p>
          <w:pPr>
            <w:pStyle w:val="615"/>
            <w:jc w:val="both"/>
            <w:spacing w:beforeAutospacing="0" w:afterAutospacing="0"/>
            <w:rPr>
              <w:color w:val="auto"/>
            </w:rPr>
          </w:pPr>
          <w:r>
            <w:rPr>
              <w:rFonts w:hint="eastAsia" w:ascii="黑体" w:hAnsi="黑体" w:eastAsia="黑体" w:cs="黑体"/>
              <w:color w:val="auto"/>
              <w:sz w:val="44"/>
              <w:szCs w:val="44"/>
            </w:rPr>
            <w:fldChar w:fldCharType="end"/>
          </w:r>
          <w:r/>
        </w:p>
      </w:sdtContent>
    </w:sdt>
    <w:p>
      <w:pPr>
        <w:rPr>
          <w:rFonts w:hint="eastAsia" w:ascii="黑体" w:hAnsi="宋体" w:eastAsia="黑体" w:cs="黑体"/>
          <w:color w:val="auto"/>
          <w:sz w:val="44"/>
          <w:szCs w:val="44"/>
        </w:rPr>
      </w:pPr>
      <w:r/>
      <w:bookmarkStart w:id="6" w:name="_Toc19097"/>
      <w:r>
        <w:rPr>
          <w:rFonts w:hint="eastAsia" w:ascii="黑体" w:hAnsi="宋体" w:eastAsia="黑体" w:cs="黑体"/>
          <w:color w:val="auto"/>
          <w:sz w:val="44"/>
          <w:szCs w:val="44"/>
        </w:rPr>
        <w:br w:type="page" w:clear="all"/>
      </w:r>
      <w:r/>
    </w:p>
    <w:p>
      <w:pPr>
        <w:pStyle w:val="615"/>
        <w:jc w:val="center"/>
        <w:keepNext/>
        <w:spacing w:beforeAutospacing="0" w:afterAutospacing="0"/>
        <w:rPr>
          <w:color w:val="auto"/>
        </w:rPr>
        <w:outlineLvl w:val="0"/>
      </w:pPr>
      <w:r>
        <w:rPr>
          <w:rFonts w:hint="eastAsia" w:ascii="黑体" w:hAnsi="宋体" w:eastAsia="黑体" w:cs="黑体"/>
          <w:color w:val="auto"/>
          <w:sz w:val="44"/>
          <w:szCs w:val="44"/>
        </w:rPr>
        <w:t xml:space="preserve">第一章  </w:t>
      </w:r>
      <w:bookmarkEnd w:id="6"/>
      <w:r>
        <w:rPr>
          <w:rFonts w:hint="eastAsia" w:ascii="黑体" w:hAnsi="宋体" w:eastAsia="黑体" w:cs="黑体"/>
          <w:color w:val="auto"/>
          <w:sz w:val="44"/>
          <w:szCs w:val="44"/>
        </w:rPr>
        <w:t xml:space="preserve">招标公告</w:t>
      </w:r>
      <w:r/>
    </w:p>
    <w:p>
      <w:pPr>
        <w:pStyle w:val="615"/>
        <w:ind w:firstLine="480"/>
        <w:jc w:val="both"/>
        <w:spacing w:beforeAutospacing="0" w:afterAutospacing="0" w:line="360" w:lineRule="auto"/>
        <w:rPr>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rPr>
        <w:t xml:space="preserve">项目概况</w:t>
      </w:r>
      <w:r/>
    </w:p>
    <w:p>
      <w:pPr>
        <w:pStyle w:val="615"/>
        <w:ind w:firstLine="480"/>
        <w:jc w:val="both"/>
        <w:spacing w:beforeAutospacing="0" w:afterAutospacing="0" w:line="360" w:lineRule="auto"/>
        <w:rPr>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lang w:eastAsia="zh-CN"/>
        </w:rPr>
        <w:t xml:space="preserve">东台市生态环境监测站点防洪影响评价报告书编制项目</w:t>
      </w:r>
      <w:r>
        <w:rPr>
          <w:rFonts w:hint="eastAsia" w:ascii="宋体" w:hAnsi="宋体" w:eastAsia="宋体" w:cs="宋体"/>
          <w:color w:val="auto"/>
          <w:u w:val="single"/>
          <w:lang w:val="en-US" w:eastAsia="zh-CN"/>
        </w:rPr>
        <w:t xml:space="preserve"> JSZC-320981-JSRJ-G2024-0015 </w:t>
      </w:r>
      <w:r>
        <w:rPr>
          <w:rFonts w:hint="eastAsia" w:ascii="宋体" w:hAnsi="宋体" w:eastAsia="宋体" w:cs="宋体"/>
          <w:color w:val="auto"/>
        </w:rPr>
        <w:t xml:space="preserve">招标项目的潜在投标人</w:t>
      </w:r>
      <w:r>
        <w:rPr>
          <w:rFonts w:hint="eastAsia" w:ascii="宋体" w:hAnsi="宋体" w:eastAsia="宋体" w:cs="宋体"/>
          <w:color w:val="auto"/>
          <w:lang w:val="en-US" w:eastAsia="zh-CN"/>
        </w:rPr>
        <w:t xml:space="preserve">应</w:t>
      </w:r>
      <w:r>
        <w:rPr>
          <w:rFonts w:hint="eastAsia" w:ascii="宋体" w:hAnsi="宋体" w:eastAsia="宋体" w:cs="宋体"/>
          <w:color w:val="auto"/>
        </w:rPr>
        <w:t xml:space="preserve">在</w:t>
      </w:r>
      <w:r>
        <w:rPr>
          <w:rFonts w:hint="eastAsia" w:ascii="宋体" w:hAnsi="宋体" w:eastAsia="宋体" w:cs="宋体"/>
          <w:color w:val="auto"/>
          <w:u w:val="single"/>
        </w:rPr>
        <w:t xml:space="preserve">“</w:t>
      </w:r>
      <w:r>
        <w:rPr>
          <w:rFonts w:hint="eastAsia" w:ascii="宋体" w:hAnsi="宋体" w:eastAsia="宋体" w:cs="宋体"/>
          <w:color w:val="auto"/>
          <w:u w:val="single"/>
          <w:lang w:val="en-US" w:eastAsia="zh-CN"/>
        </w:rPr>
        <w:t xml:space="preserve">中国</w:t>
      </w:r>
      <w:r>
        <w:rPr>
          <w:rFonts w:hint="eastAsia" w:ascii="宋体" w:hAnsi="宋体" w:eastAsia="宋体" w:cs="宋体"/>
          <w:color w:val="auto"/>
          <w:u w:val="single"/>
        </w:rPr>
        <w:t xml:space="preserve">政府采购网、江苏政府采购网、盐城市政府采购网”自行免费下载</w:t>
      </w:r>
      <w:r>
        <w:rPr>
          <w:rFonts w:hint="eastAsia" w:ascii="宋体" w:hAnsi="宋体" w:eastAsia="宋体" w:cs="宋体"/>
          <w:color w:val="auto"/>
        </w:rPr>
        <w:t xml:space="preserve">获取招标文件，并于</w:t>
      </w:r>
      <w:r>
        <w:rPr>
          <w:rFonts w:hint="eastAsia" w:ascii="宋体" w:hAnsi="宋体" w:eastAsia="宋体" w:cs="宋体"/>
          <w:color w:val="000000"/>
        </w:rPr>
        <w:t xml:space="preserve">2024-</w:t>
      </w:r>
      <w:r>
        <w:rPr>
          <w:rFonts w:hint="eastAsia" w:ascii="宋体" w:hAnsi="宋体" w:eastAsia="宋体" w:cs="宋体"/>
          <w:color w:val="000000"/>
          <w:u w:val="none"/>
          <w:lang w:val="en-US" w:eastAsia="zh-CN"/>
        </w:rPr>
        <w:t xml:space="preserve">07</w:t>
      </w:r>
      <w:r>
        <w:rPr>
          <w:rFonts w:hint="eastAsia" w:ascii="宋体" w:hAnsi="宋体" w:eastAsia="宋体" w:cs="宋体"/>
          <w:color w:val="000000"/>
          <w:u w:val="none"/>
        </w:rPr>
        <w:t xml:space="preserve">-</w:t>
      </w:r>
      <w:r>
        <w:rPr>
          <w:rFonts w:hint="eastAsia" w:ascii="宋体" w:hAnsi="宋体" w:eastAsia="宋体" w:cs="宋体"/>
          <w:color w:val="000000"/>
          <w:u w:val="none"/>
          <w:lang w:val="en-US" w:eastAsia="zh-CN"/>
        </w:rPr>
        <w:t xml:space="preserve">12</w:t>
      </w:r>
      <w:r>
        <w:rPr>
          <w:rFonts w:hint="eastAsia" w:ascii="宋体" w:hAnsi="宋体" w:eastAsia="宋体" w:cs="宋体"/>
          <w:color w:val="000000"/>
          <w:u w:val="none"/>
        </w:rPr>
        <w:t xml:space="preserve"> </w:t>
      </w:r>
      <w:r>
        <w:rPr>
          <w:rFonts w:hint="eastAsia" w:ascii="宋体" w:hAnsi="宋体" w:eastAsia="宋体" w:cs="宋体"/>
          <w:color w:val="000000"/>
          <w:u w:val="none"/>
          <w:lang w:val="en-US" w:eastAsia="zh-CN"/>
        </w:rPr>
        <w:t xml:space="preserve">09</w:t>
      </w:r>
      <w:r>
        <w:rPr>
          <w:rFonts w:hint="eastAsia" w:ascii="宋体" w:hAnsi="宋体" w:eastAsia="宋体" w:cs="宋体"/>
          <w:color w:val="000000"/>
        </w:rPr>
        <w:t xml:space="preserve">:00</w:t>
      </w:r>
      <w:r>
        <w:rPr>
          <w:rFonts w:hint="eastAsia" w:ascii="宋体" w:hAnsi="宋体" w:eastAsia="宋体" w:cs="宋体"/>
          <w:color w:val="auto"/>
          <w:u w:val="none"/>
        </w:rPr>
        <w:t xml:space="preserve">（</w:t>
      </w:r>
      <w:r>
        <w:rPr>
          <w:rFonts w:hint="eastAsia" w:ascii="宋体" w:hAnsi="宋体" w:eastAsia="宋体" w:cs="宋体"/>
          <w:color w:val="auto"/>
        </w:rPr>
        <w:t xml:space="preserve">北京时间）前递交投标文件。</w:t>
      </w:r>
      <w:r/>
    </w:p>
    <w:p>
      <w:pPr>
        <w:pStyle w:val="629"/>
        <w:jc w:val="both"/>
        <w:pageBreakBefore w:val="0"/>
        <w:spacing w:line="360" w:lineRule="auto"/>
        <w:widowControl/>
        <w:rPr>
          <w:rStyle w:val="628"/>
          <w:rFonts w:ascii="宋体" w:hAnsi="宋体" w:eastAsia="宋体" w:cs="Times New Roman"/>
          <w:b/>
          <w:bCs/>
          <w:color w:val="auto"/>
          <w:sz w:val="24"/>
          <w:szCs w:val="24"/>
        </w:rPr>
      </w:pPr>
      <w:r/>
      <w:bookmarkStart w:id="7" w:name="_Toc35393621"/>
      <w:r/>
      <w:bookmarkStart w:id="8" w:name="_Toc38985263"/>
      <w:r/>
      <w:bookmarkStart w:id="9" w:name="_Toc28359002"/>
      <w:r/>
      <w:bookmarkStart w:id="10" w:name="_Toc28359079"/>
      <w:r/>
      <w:bookmarkStart w:id="11" w:name="_Hlk24379207"/>
      <w:r/>
      <w:bookmarkStart w:id="12" w:name="_Toc35393790"/>
      <w:r>
        <w:rPr>
          <w:rStyle w:val="628"/>
          <w:rFonts w:ascii="宋体" w:hAnsi="宋体" w:eastAsia="宋体" w:cs="Times New Roman"/>
          <w:b/>
          <w:bCs/>
          <w:color w:val="auto"/>
          <w:sz w:val="24"/>
          <w:szCs w:val="24"/>
        </w:rPr>
        <w:t xml:space="preserve">一、项目基本情况</w:t>
      </w:r>
      <w:bookmarkEnd w:id="7"/>
      <w:r/>
      <w:bookmarkEnd w:id="8"/>
      <w:r/>
      <w:bookmarkEnd w:id="9"/>
      <w:r/>
      <w:bookmarkEnd w:id="10"/>
      <w:r/>
      <w:bookmarkEnd w:id="11"/>
      <w:r/>
      <w:bookmarkEnd w:id="12"/>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lang w:eastAsia="zh-CN"/>
        </w:rPr>
        <w:t xml:space="preserve">JSZC-320981-JSRJ-G2024-0015</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东台市生态环境监测站点防洪影响评价报告书编制项目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60.000000万元</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最高限价（如有）：</w:t>
      </w:r>
      <w:r>
        <w:rPr>
          <w:rFonts w:hint="eastAsia" w:ascii="宋体" w:hAnsi="宋体" w:eastAsia="宋体" w:cs="宋体"/>
          <w:color w:val="auto"/>
          <w:sz w:val="24"/>
          <w:szCs w:val="24"/>
          <w:lang w:val="en-US" w:eastAsia="zh-CN"/>
        </w:rPr>
        <w:t xml:space="preserve">60.000000万元</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采购方式：公开招标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采购需求（简介）：</w:t>
      </w:r>
      <w:r>
        <w:rPr>
          <w:rFonts w:hint="eastAsia" w:ascii="宋体" w:hAnsi="宋体" w:eastAsia="宋体" w:cs="宋体"/>
          <w:color w:val="auto"/>
          <w:sz w:val="24"/>
          <w:szCs w:val="24"/>
          <w:lang w:val="en-US" w:eastAsia="zh-CN"/>
        </w:rPr>
        <w:t xml:space="preserve">为东台市31座水质自动监测站编制防洪影响评价报告书，并通过盐城市、东台市水行政主管部门评审，取得行政许可决定书。</w:t>
      </w:r>
      <w:r>
        <w:rPr>
          <w:rFonts w:hint="eastAsia" w:ascii="宋体" w:hAnsi="宋体" w:eastAsia="宋体" w:cs="宋体"/>
          <w:color w:val="auto"/>
          <w:sz w:val="24"/>
          <w:szCs w:val="24"/>
        </w:rPr>
        <w:t xml:space="preserve">（详细内容见本招标文件第四章）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lang w:val="en-US" w:eastAsia="zh-CN"/>
        </w:rPr>
        <w:t xml:space="preserve">3个月（自签订合同之日起）。</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本项目（是/否）接受联合体投标：不接受联合体</w:t>
      </w:r>
      <w:r/>
    </w:p>
    <w:p>
      <w:pPr>
        <w:pStyle w:val="629"/>
        <w:jc w:val="both"/>
        <w:pageBreakBefore w:val="0"/>
        <w:spacing w:line="360" w:lineRule="auto"/>
        <w:widowControl/>
        <w:rPr>
          <w:rStyle w:val="628"/>
          <w:rFonts w:ascii="宋体" w:hAnsi="宋体" w:eastAsia="宋体" w:cs="Times New Roman"/>
          <w:b/>
          <w:bCs/>
          <w:color w:val="auto"/>
          <w:sz w:val="24"/>
          <w:szCs w:val="24"/>
        </w:rPr>
      </w:pPr>
      <w:r/>
      <w:bookmarkStart w:id="13" w:name="_Toc28359003"/>
      <w:r/>
      <w:bookmarkStart w:id="14" w:name="_Toc35393791"/>
      <w:r/>
      <w:bookmarkStart w:id="15" w:name="_Toc38985264"/>
      <w:r/>
      <w:bookmarkStart w:id="16" w:name="_Toc28359080"/>
      <w:r/>
      <w:bookmarkStart w:id="17" w:name="_Toc35393622"/>
      <w:r>
        <w:rPr>
          <w:rStyle w:val="628"/>
          <w:rFonts w:ascii="宋体" w:hAnsi="宋体" w:eastAsia="宋体" w:cs="Times New Roman"/>
          <w:b/>
          <w:bCs/>
          <w:color w:val="auto"/>
          <w:sz w:val="24"/>
          <w:szCs w:val="24"/>
        </w:rPr>
        <w:t xml:space="preserve">二、申请人的资格要求：</w:t>
      </w:r>
      <w:bookmarkEnd w:id="13"/>
      <w:r/>
      <w:bookmarkEnd w:id="14"/>
      <w:r/>
      <w:bookmarkEnd w:id="15"/>
      <w:r/>
      <w:bookmarkEnd w:id="16"/>
      <w:r/>
      <w:bookmarkEnd w:id="17"/>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法人或者其他组织的营业执照等证明文件，自然人的身份证明</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上一年度（或上上年度）经审计的财务报告（投标人成立不满一年无需提供）</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具备履行合同所必需的设备和专业技术能力的书面声明</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Times New Roman" w:hAnsi="Times New Roman" w:eastAsia="宋体" w:cs="Times New Roman"/>
          <w:color w:val="auto"/>
          <w:sz w:val="24"/>
          <w:szCs w:val="22"/>
          <w:highlight w:val="none"/>
          <w:lang w:val="en-US" w:eastAsia="zh-CN" w:bidi="ar-SA"/>
        </w:rPr>
        <w:t xml:space="preserve">参加政府采购活动前3年内在经营活动中没有重大违法记录的书面声明</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lang w:val="en-US" w:eastAsia="zh-CN"/>
        </w:rPr>
        <w:t xml:space="preserve">（二）落实政府采购政策需满足的资格要求：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3.投标人如委托被授权人参与，则被授权人须为本单位正式职工并提供投标人为被授权人缴纳的社会养老保险证明。</w:t>
      </w:r>
      <w:r/>
    </w:p>
    <w:p>
      <w:pPr>
        <w:pStyle w:val="629"/>
        <w:jc w:val="both"/>
        <w:pageBreakBefore w:val="0"/>
        <w:spacing w:line="360" w:lineRule="auto"/>
        <w:widowControl/>
        <w:rPr>
          <w:rStyle w:val="628"/>
          <w:rFonts w:ascii="宋体" w:hAnsi="宋体" w:eastAsia="宋体" w:cs="Times New Roman"/>
          <w:b/>
          <w:bCs/>
          <w:color w:val="auto"/>
          <w:sz w:val="24"/>
          <w:szCs w:val="24"/>
        </w:rPr>
      </w:pPr>
      <w:r>
        <w:rPr>
          <w:rStyle w:val="628"/>
          <w:rFonts w:ascii="宋体" w:hAnsi="宋体" w:eastAsia="宋体" w:cs="Times New Roman"/>
          <w:b/>
          <w:bCs/>
          <w:color w:val="auto"/>
          <w:sz w:val="24"/>
          <w:szCs w:val="24"/>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bookmarkStart w:id="18" w:name="_Toc28359082"/>
      <w:r/>
      <w:bookmarkStart w:id="19" w:name="_Toc35393624"/>
      <w:r/>
      <w:bookmarkStart w:id="20" w:name="_Toc38985266"/>
      <w:r/>
      <w:bookmarkStart w:id="21" w:name="_Toc35393793"/>
      <w:r/>
      <w:bookmarkStart w:id="22" w:name="_Toc28359005"/>
      <w:r>
        <w:rPr>
          <w:rFonts w:hint="eastAsia" w:ascii="宋体" w:hAnsi="宋体" w:eastAsia="宋体" w:cs="宋体"/>
          <w:color w:val="auto"/>
          <w:sz w:val="24"/>
          <w:szCs w:val="24"/>
        </w:rPr>
        <w:t xml:space="preserve">时间：</w:t>
      </w:r>
      <w:bookmarkEnd w:id="18"/>
      <w:r/>
      <w:bookmarkEnd w:id="19"/>
      <w:r/>
      <w:bookmarkEnd w:id="20"/>
      <w:r/>
      <w:bookmarkEnd w:id="21"/>
      <w:r/>
      <w:bookmarkEnd w:id="22"/>
      <w:r>
        <w:rPr>
          <w:rFonts w:hint="eastAsia" w:ascii="宋体" w:hAnsi="宋体" w:eastAsia="宋体" w:cs="宋体"/>
          <w:sz w:val="24"/>
          <w:szCs w:val="24"/>
        </w:rPr>
        <w:t xml:space="preserve">2024年0</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日至2024年0</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日，每天上午00:00-12:00，下午12:00-23:59（北京时间，法定节假日除外）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s="宋体"/>
          <w:color w:val="auto"/>
          <w:sz w:val="24"/>
          <w:szCs w:val="24"/>
          <w:lang w:val="en-US" w:eastAsia="zh-CN"/>
        </w:rPr>
        <w:t xml:space="preserve">中国</w:t>
      </w:r>
      <w:r>
        <w:rPr>
          <w:rFonts w:hint="eastAsia" w:ascii="宋体" w:hAnsi="宋体" w:eastAsia="宋体" w:cs="宋体"/>
          <w:color w:val="auto"/>
          <w:sz w:val="24"/>
          <w:szCs w:val="24"/>
        </w:rPr>
        <w:t xml:space="preserve">政府采购网、江苏政府采购网、盐城市政府采购网”</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方式：在“</w:t>
      </w:r>
      <w:r>
        <w:rPr>
          <w:rFonts w:hint="eastAsia" w:ascii="宋体" w:hAnsi="宋体" w:eastAsia="宋体" w:cs="宋体"/>
          <w:color w:val="auto"/>
          <w:sz w:val="24"/>
          <w:szCs w:val="24"/>
          <w:lang w:val="en-US" w:eastAsia="zh-CN"/>
        </w:rPr>
        <w:t xml:space="preserve">中国</w:t>
      </w:r>
      <w:r>
        <w:rPr>
          <w:rFonts w:hint="eastAsia" w:ascii="宋体" w:hAnsi="宋体" w:eastAsia="宋体" w:cs="宋体"/>
          <w:color w:val="auto"/>
          <w:sz w:val="24"/>
          <w:szCs w:val="24"/>
        </w:rPr>
        <w:t xml:space="preserve">政府采购网、江苏政府采购网、盐城市政府采购网”自行免费下载招标文件。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售价：0.00元</w:t>
      </w:r>
      <w:r/>
    </w:p>
    <w:p>
      <w:pPr>
        <w:pStyle w:val="629"/>
        <w:jc w:val="both"/>
        <w:pageBreakBefore w:val="0"/>
        <w:spacing w:line="360" w:lineRule="auto"/>
        <w:widowControl/>
        <w:rPr>
          <w:rStyle w:val="628"/>
          <w:rFonts w:ascii="宋体" w:hAnsi="宋体" w:eastAsia="宋体" w:cs="Times New Roman"/>
          <w:b/>
          <w:bCs/>
          <w:color w:val="auto"/>
          <w:sz w:val="24"/>
          <w:szCs w:val="24"/>
        </w:rPr>
      </w:pPr>
      <w:r>
        <w:rPr>
          <w:rStyle w:val="628"/>
          <w:rFonts w:ascii="宋体" w:hAnsi="宋体" w:eastAsia="宋体" w:cs="Times New Roman"/>
          <w:b/>
          <w:bCs/>
          <w:color w:val="auto"/>
          <w:sz w:val="24"/>
          <w:szCs w:val="24"/>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2024-</w:t>
      </w:r>
      <w:r>
        <w:rPr>
          <w:rFonts w:hint="eastAsia" w:ascii="宋体" w:hAnsi="宋体" w:eastAsia="宋体" w:cs="宋体"/>
          <w:color w:val="auto"/>
          <w:sz w:val="24"/>
          <w:szCs w:val="24"/>
          <w:lang w:val="en-US" w:eastAsia="zh-CN"/>
        </w:rPr>
        <w:t xml:space="preserve">07</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09</w:t>
      </w:r>
      <w:r>
        <w:rPr>
          <w:rFonts w:hint="eastAsia" w:ascii="宋体" w:hAnsi="宋体" w:eastAsia="宋体" w:cs="宋体"/>
          <w:color w:val="auto"/>
          <w:sz w:val="24"/>
          <w:szCs w:val="24"/>
        </w:rPr>
        <w:t xml:space="preserve">:00 （北京时间）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地点：“苏采云”政府采购交易系统网上开标大厅。</w:t>
      </w:r>
      <w:r/>
    </w:p>
    <w:p>
      <w:pPr>
        <w:pStyle w:val="629"/>
        <w:jc w:val="both"/>
        <w:pageBreakBefore w:val="0"/>
        <w:spacing w:line="360" w:lineRule="auto"/>
        <w:widowControl/>
        <w:rPr>
          <w:rStyle w:val="628"/>
          <w:rFonts w:ascii="宋体" w:hAnsi="宋体" w:eastAsia="宋体" w:cs="Times New Roman"/>
          <w:b/>
          <w:bCs/>
          <w:color w:val="auto"/>
          <w:sz w:val="24"/>
          <w:szCs w:val="24"/>
        </w:rPr>
      </w:pPr>
      <w:r/>
      <w:bookmarkStart w:id="23" w:name="_Toc28359007"/>
      <w:r/>
      <w:bookmarkStart w:id="24" w:name="_Toc28359084"/>
      <w:r/>
      <w:bookmarkStart w:id="25" w:name="_Toc38985267"/>
      <w:r/>
      <w:bookmarkStart w:id="26" w:name="_Toc35393625"/>
      <w:r/>
      <w:bookmarkStart w:id="27" w:name="_Toc35393794"/>
      <w:r>
        <w:rPr>
          <w:rStyle w:val="628"/>
          <w:rFonts w:ascii="宋体" w:hAnsi="宋体" w:eastAsia="宋体" w:cs="Times New Roman"/>
          <w:b/>
          <w:bCs/>
          <w:color w:val="auto"/>
          <w:sz w:val="24"/>
          <w:szCs w:val="24"/>
        </w:rPr>
        <w:t xml:space="preserve">五、公告期限</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bookmarkStart w:id="28" w:name="_Toc35393795"/>
      <w:r/>
      <w:bookmarkStart w:id="29" w:name="_Toc35393626"/>
      <w:r/>
      <w:bookmarkStart w:id="30" w:name="_Toc38985268"/>
      <w:r>
        <w:rPr>
          <w:rFonts w:hint="eastAsia" w:ascii="宋体" w:hAnsi="宋体" w:eastAsia="宋体" w:cs="宋体"/>
          <w:color w:val="auto"/>
          <w:sz w:val="24"/>
          <w:szCs w:val="24"/>
        </w:rPr>
        <w:t xml:space="preserve">自本公告发布之日起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w:t>
      </w:r>
      <w:bookmarkEnd w:id="28"/>
      <w:r/>
      <w:bookmarkEnd w:id="29"/>
      <w:r/>
      <w:bookmarkEnd w:id="30"/>
      <w:r/>
      <w:r/>
    </w:p>
    <w:p>
      <w:pPr>
        <w:pStyle w:val="629"/>
        <w:jc w:val="both"/>
        <w:pageBreakBefore w:val="0"/>
        <w:spacing w:line="360" w:lineRule="auto"/>
        <w:widowControl/>
        <w:rPr>
          <w:rStyle w:val="628"/>
          <w:rFonts w:ascii="宋体" w:hAnsi="宋体" w:eastAsia="宋体" w:cs="Times New Roman"/>
          <w:b/>
          <w:bCs/>
          <w:color w:val="auto"/>
          <w:sz w:val="24"/>
          <w:szCs w:val="24"/>
        </w:rPr>
      </w:pPr>
      <w:r>
        <w:rPr>
          <w:rStyle w:val="628"/>
          <w:rFonts w:ascii="宋体" w:hAnsi="宋体" w:eastAsia="宋体" w:cs="Times New Roman"/>
          <w:b/>
          <w:bCs/>
          <w:color w:val="auto"/>
          <w:sz w:val="24"/>
          <w:szCs w:val="24"/>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2.有关本次招标的事项若存在变动或修改，敬请及时关注“</w:t>
      </w:r>
      <w:r>
        <w:rPr>
          <w:rFonts w:hint="eastAsia" w:ascii="宋体" w:hAnsi="宋体" w:eastAsia="宋体" w:cs="宋体"/>
          <w:color w:val="auto"/>
          <w:sz w:val="24"/>
          <w:szCs w:val="24"/>
          <w:lang w:val="en-US" w:eastAsia="zh-CN"/>
        </w:rPr>
        <w:t xml:space="preserve">中国</w:t>
      </w:r>
      <w:r>
        <w:rPr>
          <w:rFonts w:hint="eastAsia" w:ascii="宋体" w:hAnsi="宋体" w:eastAsia="宋体" w:cs="宋体"/>
          <w:color w:val="auto"/>
          <w:sz w:val="24"/>
          <w:szCs w:val="24"/>
        </w:rPr>
        <w:t xml:space="preserve">政府采购网”、“江苏政府采购网”、“盐城市政府采购网”发布的更正公告。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3.本次招标不收取投标保证金，不收取质量保证金。</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4.本项目（是/否）接受银行、保险、石油石化、电力、电信等行业的分支机构参与：</w:t>
      </w:r>
      <w:r>
        <w:rPr>
          <w:rFonts w:hint="eastAsia" w:ascii="宋体" w:hAnsi="宋体" w:eastAsia="宋体" w:cs="宋体"/>
          <w:color w:val="auto"/>
          <w:sz w:val="24"/>
          <w:szCs w:val="24"/>
          <w:u w:val="single"/>
          <w:lang w:val="en-US" w:eastAsia="zh-CN"/>
        </w:rPr>
        <w:t xml:space="preserve">否</w:t>
      </w:r>
      <w:r>
        <w:rPr>
          <w:rFonts w:hint="eastAsia" w:ascii="宋体" w:hAnsi="宋体" w:eastAsia="宋体" w:cs="宋体"/>
          <w:color w:val="auto"/>
          <w:sz w:val="24"/>
          <w:szCs w:val="24"/>
          <w:lang w:val="en-US" w:eastAsia="zh-CN"/>
        </w:rPr>
        <w:t xml:space="preserve">。【如接受，则分支机构的负责人视同为供应商法定代表人。】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5.供应商成交后打印纸质响应文件（正本壹份、副本贰份），在领取成交通知书前与用普通光盘或U盘拷贝的电子响应文件一并送至采购人。</w:t>
      </w:r>
      <w:r/>
    </w:p>
    <w:p>
      <w:pPr>
        <w:pStyle w:val="629"/>
        <w:jc w:val="both"/>
        <w:pageBreakBefore w:val="0"/>
        <w:spacing w:line="360" w:lineRule="auto"/>
        <w:widowControl/>
        <w:rPr>
          <w:rStyle w:val="628"/>
          <w:rFonts w:ascii="宋体" w:hAnsi="宋体" w:eastAsia="宋体" w:cs="Times New Roman"/>
          <w:b/>
          <w:bCs/>
          <w:color w:val="auto"/>
          <w:sz w:val="24"/>
          <w:szCs w:val="24"/>
        </w:rPr>
      </w:pPr>
      <w:r/>
      <w:bookmarkStart w:id="31" w:name="_Toc28359085"/>
      <w:r/>
      <w:bookmarkStart w:id="32" w:name="_Toc35393796"/>
      <w:r/>
      <w:bookmarkStart w:id="33" w:name="_Toc38985269"/>
      <w:r/>
      <w:bookmarkStart w:id="34" w:name="_Toc35393627"/>
      <w:r/>
      <w:bookmarkStart w:id="35" w:name="_Toc28359008"/>
      <w:r>
        <w:rPr>
          <w:rStyle w:val="628"/>
          <w:rFonts w:ascii="宋体" w:hAnsi="宋体" w:eastAsia="宋体" w:cs="Times New Roman"/>
          <w:b/>
          <w:bCs/>
          <w:color w:val="auto"/>
          <w:sz w:val="24"/>
          <w:szCs w:val="24"/>
        </w:rPr>
        <w:t xml:space="preserve">七、</w:t>
      </w:r>
      <w:bookmarkEnd w:id="31"/>
      <w:r/>
      <w:bookmarkEnd w:id="32"/>
      <w:r/>
      <w:bookmarkEnd w:id="33"/>
      <w:r/>
      <w:bookmarkEnd w:id="34"/>
      <w:r/>
      <w:bookmarkEnd w:id="35"/>
      <w:r>
        <w:rPr>
          <w:rStyle w:val="628"/>
          <w:rFonts w:ascii="宋体" w:hAnsi="宋体" w:eastAsia="宋体" w:cs="Times New Roman"/>
          <w:b/>
          <w:bCs/>
          <w:color w:val="auto"/>
          <w:sz w:val="24"/>
          <w:szCs w:val="24"/>
        </w:rPr>
        <w:t xml:space="preserve">对本次招标提出询问，请按以下方式联系</w:t>
      </w:r>
      <w:r/>
    </w:p>
    <w:p>
      <w:pPr>
        <w:ind w:firstLine="480"/>
        <w:pageBreakBefore w:val="0"/>
        <w:spacing w:line="360" w:lineRule="auto"/>
        <w:widowControl/>
        <w:rPr>
          <w:rStyle w:val="628"/>
          <w:rFonts w:ascii="宋体" w:hAnsi="宋体" w:eastAsia="宋体" w:cs="Times New Roman"/>
          <w:color w:val="auto"/>
          <w:sz w:val="24"/>
          <w:szCs w:val="24"/>
        </w:rPr>
      </w:pPr>
      <w:r/>
      <w:bookmarkStart w:id="36" w:name="_Toc28359087"/>
      <w:r/>
      <w:bookmarkStart w:id="37" w:name="_Toc28359010"/>
      <w:r/>
      <w:bookmarkStart w:id="38" w:name="_Toc28359009"/>
      <w:r>
        <w:rPr>
          <w:rStyle w:val="628"/>
          <w:rFonts w:hint="eastAsia" w:ascii="宋体" w:hAnsi="宋体" w:eastAsia="宋体" w:cs="Times New Roman"/>
          <w:color w:val="auto"/>
          <w:sz w:val="24"/>
          <w:szCs w:val="24"/>
        </w:rPr>
        <w:t xml:space="preserve">1.采购人信息 </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单位名称：</w:t>
      </w:r>
      <w:r>
        <w:rPr>
          <w:rStyle w:val="628"/>
          <w:rFonts w:hint="eastAsia" w:ascii="宋体" w:hAnsi="宋体" w:eastAsia="宋体" w:cs="Times New Roman"/>
          <w:color w:val="auto"/>
          <w:sz w:val="24"/>
          <w:szCs w:val="24"/>
          <w:lang w:val="en-US" w:eastAsia="zh-CN"/>
        </w:rPr>
        <w:t xml:space="preserve">盐城市东台生态环境局</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单位地址：</w:t>
      </w:r>
      <w:r>
        <w:rPr>
          <w:rStyle w:val="628"/>
          <w:rFonts w:hint="eastAsia" w:ascii="宋体" w:hAnsi="宋体" w:eastAsia="宋体" w:cs="Times New Roman"/>
          <w:color w:val="auto"/>
          <w:sz w:val="24"/>
          <w:szCs w:val="24"/>
          <w:lang w:val="en-US" w:eastAsia="zh-CN"/>
        </w:rPr>
        <w:t xml:space="preserve">东台市金海东路1号</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联系人：</w:t>
      </w:r>
      <w:r>
        <w:rPr>
          <w:rStyle w:val="628"/>
          <w:rFonts w:hint="eastAsia" w:ascii="宋体" w:hAnsi="宋体" w:eastAsia="宋体" w:cs="Times New Roman"/>
          <w:color w:val="auto"/>
          <w:sz w:val="24"/>
          <w:szCs w:val="24"/>
          <w:lang w:val="en-US" w:eastAsia="zh-CN"/>
        </w:rPr>
        <w:t xml:space="preserve">徐</w:t>
      </w:r>
      <w:r>
        <w:rPr>
          <w:rStyle w:val="628"/>
          <w:rFonts w:hint="eastAsia" w:ascii="宋体" w:hAnsi="宋体" w:eastAsia="宋体" w:cs="Times New Roman"/>
          <w:sz w:val="24"/>
          <w:szCs w:val="24"/>
          <w:lang w:val="en-US" w:eastAsia="zh-CN"/>
        </w:rPr>
        <w:t xml:space="preserve">先生</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联系电话：</w:t>
      </w:r>
      <w:r>
        <w:rPr>
          <w:rStyle w:val="628"/>
          <w:rFonts w:hint="eastAsia" w:ascii="宋体" w:hAnsi="宋体" w:eastAsia="宋体" w:cs="Times New Roman"/>
          <w:color w:val="auto"/>
          <w:sz w:val="24"/>
          <w:szCs w:val="24"/>
          <w:lang w:val="en-US" w:eastAsia="zh-CN"/>
        </w:rPr>
        <w:t xml:space="preserve">18921831881</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2.采购代理机构信息（如有）</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单位名称：</w:t>
      </w:r>
      <w:r>
        <w:rPr>
          <w:rStyle w:val="628"/>
          <w:rFonts w:hint="eastAsia" w:ascii="宋体" w:hAnsi="宋体" w:eastAsia="宋体" w:cs="Times New Roman"/>
          <w:color w:val="auto"/>
          <w:sz w:val="24"/>
          <w:szCs w:val="24"/>
          <w:lang w:val="en-US" w:eastAsia="zh-CN"/>
        </w:rPr>
        <w:t xml:space="preserve">江苏瑞杰项目管理顾问有限公司</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单位地址：</w:t>
      </w:r>
      <w:r>
        <w:rPr>
          <w:rStyle w:val="628"/>
          <w:rFonts w:hint="eastAsia" w:ascii="宋体" w:hAnsi="宋体" w:eastAsia="宋体" w:cs="Times New Roman"/>
          <w:color w:val="auto"/>
          <w:sz w:val="24"/>
          <w:szCs w:val="24"/>
          <w:lang w:val="en-US" w:eastAsia="zh-CN"/>
        </w:rPr>
        <w:t xml:space="preserve">盐城市北大科技园3AF</w:t>
      </w:r>
      <w:r/>
    </w:p>
    <w:p>
      <w:pPr>
        <w:ind w:firstLine="480"/>
        <w:pageBreakBefore w:val="0"/>
        <w:spacing w:line="360" w:lineRule="auto"/>
        <w:widowControl/>
        <w:rPr>
          <w:rStyle w:val="628"/>
          <w:rFonts w:hint="eastAsia" w:ascii="宋体" w:hAnsi="宋体" w:eastAsia="宋体" w:cs="Times New Roman"/>
          <w:color w:val="auto"/>
          <w:sz w:val="24"/>
          <w:szCs w:val="24"/>
          <w:lang w:eastAsia="zh-CN"/>
        </w:rPr>
      </w:pPr>
      <w:r>
        <w:rPr>
          <w:rStyle w:val="628"/>
          <w:rFonts w:hint="eastAsia" w:ascii="宋体" w:hAnsi="宋体" w:eastAsia="宋体" w:cs="Times New Roman"/>
          <w:color w:val="auto"/>
          <w:sz w:val="24"/>
          <w:szCs w:val="24"/>
        </w:rPr>
        <w:t xml:space="preserve">联系人：</w:t>
      </w:r>
      <w:r>
        <w:rPr>
          <w:rStyle w:val="628"/>
          <w:rFonts w:hint="eastAsia" w:ascii="宋体" w:hAnsi="宋体" w:eastAsia="宋体" w:cs="Times New Roman"/>
          <w:color w:val="auto"/>
          <w:sz w:val="24"/>
          <w:szCs w:val="24"/>
          <w:lang w:val="en-US" w:eastAsia="zh-CN"/>
        </w:rPr>
        <w:t xml:space="preserve">朱</w:t>
      </w:r>
      <w:r>
        <w:rPr>
          <w:rStyle w:val="628"/>
          <w:rFonts w:hint="eastAsia" w:ascii="宋体" w:hAnsi="宋体" w:eastAsia="宋体" w:cs="Times New Roman"/>
          <w:sz w:val="24"/>
          <w:szCs w:val="24"/>
          <w:lang w:val="en-US" w:eastAsia="zh-CN"/>
        </w:rPr>
        <w:t xml:space="preserve">先生</w:t>
      </w:r>
      <w:bookmarkStart w:id="201" w:name="_GoBack"/>
      <w:r/>
      <w:bookmarkEnd w:id="201"/>
      <w:r/>
      <w:r/>
    </w:p>
    <w:p>
      <w:pPr>
        <w:ind w:firstLine="480"/>
        <w:pageBreakBefore w:val="0"/>
        <w:spacing w:line="360" w:lineRule="auto"/>
        <w:widowControl/>
        <w:rPr>
          <w:rStyle w:val="628"/>
          <w:rFonts w:hint="eastAsia" w:ascii="宋体" w:hAnsi="宋体" w:eastAsia="宋体" w:cs="Times New Roman"/>
          <w:color w:val="auto"/>
          <w:sz w:val="24"/>
          <w:szCs w:val="24"/>
          <w:lang w:val="en-US" w:eastAsia="zh-CN"/>
        </w:rPr>
      </w:pPr>
      <w:r>
        <w:rPr>
          <w:rStyle w:val="628"/>
          <w:rFonts w:hint="eastAsia" w:ascii="宋体" w:hAnsi="宋体" w:eastAsia="宋体" w:cs="Times New Roman"/>
          <w:color w:val="auto"/>
          <w:sz w:val="24"/>
          <w:szCs w:val="24"/>
        </w:rPr>
        <w:t xml:space="preserve">联系电话：</w:t>
      </w:r>
      <w:r>
        <w:rPr>
          <w:rStyle w:val="628"/>
          <w:rFonts w:hint="eastAsia" w:ascii="宋体" w:hAnsi="宋体" w:eastAsia="宋体" w:cs="Times New Roman"/>
          <w:color w:val="auto"/>
          <w:sz w:val="24"/>
          <w:szCs w:val="24"/>
          <w:lang w:val="en-US" w:eastAsia="zh-CN"/>
        </w:rPr>
        <w:t xml:space="preserve">18932281510</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3.项目联系方式</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项目联系人：</w:t>
      </w:r>
      <w:r>
        <w:rPr>
          <w:rStyle w:val="628"/>
          <w:rFonts w:hint="eastAsia" w:ascii="宋体" w:hAnsi="宋体" w:eastAsia="宋体" w:cs="Times New Roman"/>
          <w:color w:val="auto"/>
          <w:sz w:val="24"/>
          <w:szCs w:val="24"/>
          <w:lang w:val="en-US" w:eastAsia="zh-CN"/>
        </w:rPr>
        <w:t xml:space="preserve">徐</w:t>
      </w:r>
      <w:r>
        <w:rPr>
          <w:rStyle w:val="628"/>
          <w:rFonts w:hint="eastAsia" w:ascii="宋体" w:hAnsi="宋体" w:eastAsia="宋体" w:cs="Times New Roman"/>
          <w:sz w:val="24"/>
          <w:szCs w:val="24"/>
          <w:lang w:val="en-US" w:eastAsia="zh-CN"/>
        </w:rPr>
        <w:t xml:space="preserve">先生</w:t>
      </w:r>
      <w:r/>
    </w:p>
    <w:p>
      <w:pPr>
        <w:ind w:firstLine="480"/>
        <w:pageBreakBefore w:val="0"/>
        <w:spacing w:line="360" w:lineRule="auto"/>
        <w:widowControl/>
        <w:rPr>
          <w:rStyle w:val="628"/>
          <w:rFonts w:hint="eastAsia" w:ascii="宋体" w:hAnsi="宋体" w:eastAsia="宋体" w:cs="Times New Roman"/>
          <w:color w:val="auto"/>
          <w:sz w:val="24"/>
          <w:szCs w:val="24"/>
        </w:rPr>
      </w:pPr>
      <w:r>
        <w:rPr>
          <w:rStyle w:val="628"/>
          <w:rFonts w:hint="eastAsia" w:ascii="宋体" w:hAnsi="宋体" w:eastAsia="宋体" w:cs="Times New Roman"/>
          <w:color w:val="auto"/>
          <w:sz w:val="24"/>
          <w:szCs w:val="24"/>
        </w:rPr>
        <w:t xml:space="preserve">电话：</w:t>
      </w:r>
      <w:r>
        <w:rPr>
          <w:rStyle w:val="628"/>
          <w:rFonts w:hint="eastAsia" w:ascii="宋体" w:hAnsi="宋体" w:eastAsia="宋体" w:cs="Times New Roman"/>
          <w:color w:val="auto"/>
          <w:sz w:val="24"/>
          <w:szCs w:val="24"/>
          <w:lang w:val="en-US" w:eastAsia="zh-CN"/>
        </w:rPr>
        <w:t xml:space="preserve">18921831881</w:t>
      </w:r>
      <w:r/>
    </w:p>
    <w:p>
      <w:pPr>
        <w:pStyle w:val="615"/>
        <w:ind w:right="840"/>
        <w:jc w:val="center"/>
        <w:spacing w:beforeAutospacing="0" w:afterAutospacing="0"/>
        <w:rPr>
          <w:color w:val="auto"/>
        </w:rPr>
        <w:outlineLvl w:val="0"/>
      </w:pPr>
      <w:r>
        <w:rPr>
          <w:rFonts w:hint="eastAsia" w:ascii="黑体" w:hAnsi="宋体" w:eastAsia="黑体" w:cs="黑体"/>
          <w:b/>
          <w:color w:val="auto"/>
          <w:sz w:val="44"/>
          <w:szCs w:val="44"/>
        </w:rPr>
        <w:t xml:space="preserve">第二章  </w:t>
      </w:r>
      <w:bookmarkEnd w:id="39"/>
      <w:r/>
      <w:bookmarkStart w:id="41" w:name="_Toc20823274"/>
      <w:r/>
      <w:bookmarkStart w:id="42" w:name="_Toc16938518"/>
      <w:r/>
      <w:bookmarkStart w:id="43" w:name="_Toc120614213"/>
      <w:r/>
      <w:bookmarkStart w:id="44" w:name="_Toc513029202"/>
      <w:r>
        <w:rPr>
          <w:rFonts w:hint="eastAsia" w:ascii="黑体" w:hAnsi="宋体" w:eastAsia="黑体" w:cs="黑体"/>
          <w:b/>
          <w:color w:val="auto"/>
          <w:sz w:val="44"/>
          <w:szCs w:val="44"/>
        </w:rPr>
        <w:t xml:space="preserve">投标人须知</w:t>
      </w:r>
      <w:bookmarkEnd w:id="40"/>
      <w:r/>
      <w:bookmarkEnd w:id="41"/>
      <w:r/>
      <w:bookmarkEnd w:id="42"/>
      <w:r/>
      <w:bookmarkEnd w:id="43"/>
      <w:r/>
      <w:bookmarkEnd w:id="44"/>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45" w:name="_Toc20823275"/>
      <w:r/>
      <w:bookmarkStart w:id="46" w:name="_Toc513029203"/>
      <w:r/>
      <w:bookmarkStart w:id="47" w:name="_Toc120614214"/>
      <w:r/>
      <w:bookmarkStart w:id="48" w:name="_Toc16938519"/>
      <w:r>
        <w:rPr>
          <w:rFonts w:hint="eastAsia" w:ascii="黑体" w:hAnsi="黑体" w:eastAsia="黑体" w:cs="黑体"/>
          <w:color w:val="auto"/>
          <w:sz w:val="28"/>
          <w:szCs w:val="28"/>
        </w:rPr>
        <w:t xml:space="preserve">一、总则</w:t>
      </w:r>
      <w:bookmarkEnd w:id="45"/>
      <w:r/>
      <w:bookmarkEnd w:id="46"/>
      <w:r/>
      <w:bookmarkEnd w:id="47"/>
      <w:r/>
      <w:bookmarkEnd w:id="48"/>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49" w:name="_Toc20823281"/>
      <w:r/>
      <w:bookmarkStart w:id="50" w:name="_Toc16938525"/>
      <w:r/>
      <w:bookmarkStart w:id="51" w:name="_Toc513029209"/>
      <w:r/>
      <w:bookmarkStart w:id="52" w:name="_Toc120614215"/>
      <w:r/>
      <w:bookmarkStart w:id="53" w:name="_Hlt16619475"/>
      <w:r>
        <w:rPr>
          <w:rFonts w:hint="eastAsia" w:ascii="黑体" w:hAnsi="黑体" w:eastAsia="黑体" w:cs="黑体"/>
          <w:color w:val="auto"/>
          <w:sz w:val="28"/>
          <w:szCs w:val="28"/>
        </w:rPr>
        <w:t xml:space="preserve">1、招标方式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本次招标采取公开招标方式，本招标文件仅适用于招标公告中所述项目。</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2、合格的投标人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满足本文件实质性条款的规定。</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3、适用法律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4、投标费用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投标人应自行承担所有与参加投标有关的费用，无论投标过程中的做法和结果如何，采购人在任何情况下均无义务和责任承担这些费用。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5、招标文件的约束力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 投标人一旦参加本项目采购活动，即被认为接受了本招标文件的规定和约束。</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rPr>
        <w:t xml:space="preserve">二、招标文件</w:t>
      </w:r>
      <w:bookmarkEnd w:id="49"/>
      <w:r/>
      <w:bookmarkEnd w:id="50"/>
      <w:r/>
      <w:bookmarkEnd w:id="51"/>
      <w:r/>
      <w:bookmarkEnd w:id="52"/>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54" w:name="_Toc20823282"/>
      <w:r/>
      <w:bookmarkStart w:id="55" w:name="_Toc16938526"/>
      <w:r/>
      <w:bookmarkStart w:id="56" w:name="_Toc513029210"/>
      <w:r>
        <w:rPr>
          <w:rFonts w:hint="eastAsia" w:ascii="黑体" w:hAnsi="黑体" w:eastAsia="黑体" w:cs="黑体"/>
          <w:color w:val="auto"/>
          <w:sz w:val="28"/>
          <w:szCs w:val="28"/>
        </w:rPr>
        <w:t xml:space="preserve">6、招标文件构成</w:t>
      </w:r>
      <w:bookmarkEnd w:id="54"/>
      <w:r/>
      <w:bookmarkEnd w:id="55"/>
      <w:r/>
      <w:bookmarkEnd w:id="5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 招标文件由以下部分组成：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（1）招标公告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（2）投标人须知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（5）评标方法与评标标准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（6）投标文件格式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请仔细检查招标文件是否齐全，如有缺漏请立即与采购中心联系解决。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57" w:name="_Toc20823283"/>
      <w:r/>
      <w:bookmarkStart w:id="58" w:name="_Toc513029211"/>
      <w:r/>
      <w:bookmarkStart w:id="59" w:name="_Toc16938527"/>
      <w:r/>
      <w:bookmarkStart w:id="60" w:name="_Toc462564070"/>
      <w:r>
        <w:rPr>
          <w:rFonts w:hint="eastAsia" w:ascii="黑体" w:hAnsi="黑体" w:eastAsia="黑体" w:cs="黑体"/>
          <w:color w:val="auto"/>
          <w:sz w:val="28"/>
          <w:szCs w:val="28"/>
        </w:rPr>
        <w:t xml:space="preserve">7、招标文件的澄清</w:t>
      </w:r>
      <w:bookmarkEnd w:id="57"/>
      <w:r/>
      <w:bookmarkEnd w:id="58"/>
      <w:r/>
      <w:bookmarkEnd w:id="59"/>
      <w:r/>
      <w:bookmarkEnd w:id="6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7.1任何要求对招标文件进行澄清的投标人，应在投标截止期十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日前按招标公告中的通讯地址，以书面形式通知</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61" w:name="_Toc462564071"/>
      <w:r/>
      <w:bookmarkStart w:id="62" w:name="_Toc16938528"/>
      <w:r/>
      <w:bookmarkStart w:id="63" w:name="_Toc513029212"/>
      <w:r/>
      <w:bookmarkStart w:id="64" w:name="_Toc20823284"/>
      <w:r>
        <w:rPr>
          <w:rFonts w:hint="eastAsia" w:ascii="黑体" w:hAnsi="黑体" w:eastAsia="黑体" w:cs="黑体"/>
          <w:color w:val="auto"/>
          <w:sz w:val="28"/>
          <w:szCs w:val="28"/>
        </w:rPr>
        <w:t xml:space="preserve">8、招标文件的修改</w:t>
      </w:r>
      <w:bookmarkEnd w:id="61"/>
      <w:r/>
      <w:bookmarkEnd w:id="62"/>
      <w:r/>
      <w:bookmarkEnd w:id="63"/>
      <w:r/>
      <w:bookmarkEnd w:id="6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8.1在投标截止时间前，采购中心可以对招标文件进行修改。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8.2采购中心有权按照法定的要求推迟投标截止日期和开标日期。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8.3招标文件的修改将在</w:t>
      </w:r>
      <w:r>
        <w:rPr>
          <w:rFonts w:hint="eastAsia" w:ascii="宋体" w:hAnsi="宋体" w:eastAsia="宋体" w:cs="宋体"/>
          <w:color w:val="auto"/>
          <w:sz w:val="24"/>
          <w:szCs w:val="24"/>
          <w:lang w:eastAsia="zh-CN"/>
        </w:rPr>
        <w:t xml:space="preserve">“中国政府采购网、江苏政府采购网、盐城市政府采购网”</w:t>
      </w:r>
      <w:r>
        <w:rPr>
          <w:rFonts w:hint="eastAsia" w:ascii="宋体" w:hAnsi="宋体" w:eastAsia="宋体" w:cs="宋体"/>
          <w:color w:val="auto"/>
          <w:sz w:val="24"/>
          <w:szCs w:val="24"/>
        </w:rPr>
        <w:t xml:space="preserve">公布，补充文件将作为招标文件的组成部分，并对投标人具有约束力。</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65" w:name="_Toc16938529"/>
      <w:r/>
      <w:bookmarkStart w:id="66" w:name="_Toc513029213"/>
      <w:r/>
      <w:bookmarkStart w:id="67" w:name="_Toc462564072"/>
      <w:r/>
      <w:bookmarkStart w:id="68" w:name="_Toc20823285"/>
      <w:r/>
      <w:bookmarkStart w:id="69" w:name="_Toc120614216"/>
      <w:r>
        <w:rPr>
          <w:rFonts w:hint="eastAsia" w:ascii="黑体" w:hAnsi="黑体" w:eastAsia="黑体" w:cs="黑体"/>
          <w:color w:val="auto"/>
          <w:sz w:val="28"/>
          <w:szCs w:val="28"/>
        </w:rPr>
        <w:t xml:space="preserve">三、投标文件的编制</w:t>
      </w:r>
      <w:bookmarkEnd w:id="65"/>
      <w:r/>
      <w:bookmarkEnd w:id="66"/>
      <w:r/>
      <w:bookmarkEnd w:id="67"/>
      <w:r/>
      <w:bookmarkEnd w:id="68"/>
      <w:r/>
      <w:bookmarkEnd w:id="69"/>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70" w:name="_Toc462564073"/>
      <w:r/>
      <w:bookmarkStart w:id="71" w:name="_Toc16938530"/>
      <w:r/>
      <w:bookmarkStart w:id="72" w:name="_Toc513029214"/>
      <w:r/>
      <w:bookmarkStart w:id="73" w:name="_Toc20823286"/>
      <w:r>
        <w:rPr>
          <w:rFonts w:hint="eastAsia" w:ascii="黑体" w:hAnsi="黑体" w:eastAsia="黑体" w:cs="黑体"/>
          <w:color w:val="auto"/>
          <w:sz w:val="28"/>
          <w:szCs w:val="28"/>
        </w:rPr>
        <w:t xml:space="preserve">9、投标文件的语言及度量衡单位</w:t>
      </w:r>
      <w:bookmarkEnd w:id="70"/>
      <w:r/>
      <w:bookmarkEnd w:id="71"/>
      <w:r/>
      <w:bookmarkEnd w:id="72"/>
      <w:r/>
      <w:bookmarkEnd w:id="7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w:t>
      </w:r>
      <w:r>
        <w:rPr>
          <w:rFonts w:hint="eastAsia" w:ascii="宋体" w:hAnsi="宋体" w:eastAsia="宋体" w:cs="宋体"/>
          <w:color w:val="auto"/>
          <w:sz w:val="24"/>
          <w:szCs w:val="24"/>
          <w:lang w:val="en-US" w:eastAsia="zh-CN"/>
        </w:rPr>
        <w:t xml:space="preserve"> </w:t>
      </w:r>
      <w:r>
        <w:rPr>
          <w:rFonts w:hint="eastAsia" w:ascii="宋体" w:hAnsi="宋体"/>
          <w:color w:val="auto"/>
          <w:sz w:val="24"/>
        </w:rPr>
        <w:t xml:space="preserve">投标人提交的投标文件以及投标人与</w:t>
      </w:r>
      <w:r>
        <w:rPr>
          <w:rFonts w:hint="eastAsia" w:ascii="宋体" w:hAnsi="宋体"/>
          <w:color w:val="auto"/>
          <w:sz w:val="24"/>
          <w:lang w:val="en-US" w:eastAsia="zh-CN"/>
        </w:rPr>
        <w:t xml:space="preserve">采购人</w:t>
      </w:r>
      <w:r>
        <w:rPr>
          <w:rFonts w:hint="eastAsia" w:ascii="宋体" w:hAnsi="宋体"/>
          <w:color w:val="auto"/>
          <w:sz w:val="24"/>
        </w:rPr>
        <w:t xml:space="preserve">就有关投标的所有来往通知、函件和文件均应使用</w:t>
      </w:r>
      <w:r>
        <w:rPr>
          <w:rFonts w:hint="eastAsia" w:ascii="宋体" w:hAnsi="宋体"/>
          <w:b/>
          <w:bCs/>
          <w:color w:val="auto"/>
          <w:sz w:val="24"/>
        </w:rPr>
        <w:t xml:space="preserve">简体中文</w:t>
      </w:r>
      <w:r>
        <w:rPr>
          <w:rFonts w:hint="eastAsia" w:ascii="宋体" w:hAnsi="宋体" w:eastAsia="宋体" w:cs="宋体"/>
          <w:color w:val="auto"/>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w:t>
      </w:r>
      <w:r>
        <w:rPr>
          <w:rFonts w:hint="eastAsia" w:ascii="宋体" w:hAnsi="宋体" w:eastAsia="宋体" w:cs="宋体"/>
          <w:color w:val="auto"/>
          <w:sz w:val="24"/>
          <w:szCs w:val="24"/>
          <w:lang w:val="en-US" w:eastAsia="zh-CN"/>
        </w:rPr>
        <w:t xml:space="preserve"> </w:t>
      </w:r>
      <w:r>
        <w:rPr>
          <w:rFonts w:hint="eastAsia" w:ascii="宋体" w:hAnsi="宋体"/>
          <w:color w:val="auto"/>
          <w:sz w:val="24"/>
        </w:rPr>
        <w:t xml:space="preserve">除技术性能另有规定外，投标文件所使用的度量衡单位，均须采用国家法定计量单位</w:t>
      </w:r>
      <w:r>
        <w:rPr>
          <w:rFonts w:hint="eastAsia" w:ascii="宋体" w:hAnsi="宋体" w:eastAsia="宋体" w:cs="宋体"/>
          <w:color w:val="auto"/>
          <w:sz w:val="24"/>
          <w:szCs w:val="24"/>
        </w:rPr>
        <w:t xml:space="preserve">。</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74" w:name="_Toc16938531"/>
      <w:r/>
      <w:bookmarkStart w:id="75" w:name="_Toc513029215"/>
      <w:r/>
      <w:bookmarkStart w:id="76" w:name="_Toc462564074"/>
      <w:r/>
      <w:bookmarkStart w:id="77" w:name="_Toc20823287"/>
      <w:r>
        <w:rPr>
          <w:rFonts w:hint="eastAsia" w:ascii="黑体" w:hAnsi="黑体" w:eastAsia="黑体" w:cs="黑体"/>
          <w:color w:val="auto"/>
          <w:sz w:val="28"/>
          <w:szCs w:val="28"/>
        </w:rPr>
        <w:t xml:space="preserve">10、投标文件构成</w:t>
      </w:r>
      <w:bookmarkEnd w:id="74"/>
      <w:r/>
      <w:bookmarkEnd w:id="75"/>
      <w:r/>
      <w:bookmarkEnd w:id="76"/>
      <w:r/>
      <w:bookmarkEnd w:id="77"/>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10.1 开标一览表（系统固定格式）</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 资格审查资料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10.2.1 法人或者其他组织的营业执照等证明文件，自然人的身份证明；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10.2.2 上一年度（或上上年度）经审计的财务报告（投标人成立不满一年无需提供）；</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10.2.3 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10.2.4 具备履行合同所必需的设备和专业技术能力的书面声明；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10.2.5 参加政府采购活动前 3 年内在经营活动中没有重大违法记录的书面声明；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10.2.6 投标人法定代表人身份证明和投标文件签署授权委托书（另附法定代表人和被授权人的身份证复印件或扫描件）；</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10.2.7 投标人为被授权人缴纳的社会养老保险证明；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10.2.8 中小企业声明函或残疾人福利性单位声明函；</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10.2.9 与资格审查有关的其他资料（如有）。</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 符合性资料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10.3.1 报价明细表；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10.3.2 投标函；</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10.3.3 所供服务（服务附带的产品）内容及服务要求偏离表；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10.3.4 投标人的服务承诺；</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10.3.5 联合体协议（如有）；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10.3.6 东台市政府采购事前信用承诺书；</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10.4 综合评审相关资料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10.5 价格折扣文件（如有）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注：1）以上材料须按顺序进行排列。</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2）如为法定代表人参与公开招标的无须提供“投标文件签署授权委托书”和“被授权人缴纳的社会养老保险证明”。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3）与本次公开招标无关的资料不要求提供。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10.2如标书制作工具中格式和内容与“江苏政府采购网”、“盐城市政府采购网”发布的招标文件不一致，请以“江苏政府采购网”、“盐城市政府采购网”发布的招标文件为准。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78" w:name="_Toc49090507"/>
      <w:r/>
      <w:bookmarkStart w:id="79" w:name="_Toc49090509"/>
      <w:r/>
      <w:bookmarkStart w:id="80" w:name="_Toc14577354"/>
      <w:r/>
      <w:bookmarkStart w:id="81" w:name="_Toc14577357"/>
      <w:r/>
      <w:bookmarkStart w:id="82" w:name="_Toc513029216"/>
      <w:r/>
      <w:bookmarkStart w:id="83" w:name="_Toc513029219"/>
      <w:r/>
      <w:bookmarkStart w:id="84" w:name="_Hlt26668975"/>
      <w:r/>
      <w:bookmarkStart w:id="85" w:name="_Hlt26670360"/>
      <w:r/>
      <w:bookmarkStart w:id="86" w:name="_Hlt26954838"/>
      <w:r>
        <w:rPr>
          <w:rFonts w:hint="eastAsia" w:ascii="黑体" w:hAnsi="黑体" w:eastAsia="黑体" w:cs="黑体"/>
          <w:color w:val="auto"/>
          <w:sz w:val="28"/>
          <w:szCs w:val="28"/>
        </w:rPr>
        <w:t xml:space="preserve">11、证明投标人及投标标的符合招标文件规定的文件</w:t>
      </w:r>
      <w:bookmarkEnd w:id="78"/>
      <w:r/>
      <w:bookmarkEnd w:id="79"/>
      <w:r/>
      <w:bookmarkEnd w:id="80"/>
      <w:r/>
      <w:bookmarkEnd w:id="81"/>
      <w:r/>
      <w:bookmarkEnd w:id="82"/>
      <w:r/>
      <w:bookmarkEnd w:id="8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bookmarkStart w:id="87" w:name="_Toc49090508"/>
      <w:r/>
      <w:bookmarkStart w:id="88" w:name="_Toc14577355"/>
      <w:r>
        <w:rPr>
          <w:rFonts w:hint="eastAsia" w:ascii="宋体" w:hAnsi="宋体" w:eastAsia="宋体" w:cs="宋体"/>
          <w:color w:val="auto"/>
          <w:sz w:val="24"/>
          <w:szCs w:val="24"/>
        </w:rPr>
        <w:t xml:space="preserve">11.1投标人应按照法律、法规、规章和规范性文件以及招标文件要求提交证明文件，证明其及投标标的符合招标文件规定。</w:t>
      </w:r>
      <w:bookmarkEnd w:id="87"/>
      <w:r/>
      <w:bookmarkEnd w:id="8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11.2招标文件对证明文件无明确形式要求的，证明文件可以以文字资料、图纸和数据等形式提交。</w:t>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11.3 “上一年度（或上上年度）的财务报告”，投标人应提供经审计的财务报告，或银行出具的资信证明。</w:t>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11.4 “依法缴纳税收的相关材料”，投标人应提供近期缴纳税收的凭据。</w:t>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11.5 “依法缴纳社会保障资金的相关材料”，投标人应提供近期缴纳社会保险的凭据。</w:t>
      </w:r>
      <w:r/>
    </w:p>
    <w:p>
      <w:pPr>
        <w:ind w:firstLine="480"/>
        <w:pageBreakBefore w:val="0"/>
        <w:spacing w:line="46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11.6 依法免税或不需要缴纳社会保障资金的投标人，应提供相应文件证明其依法免税或不需要缴纳社会保障资金。</w:t>
      </w:r>
      <w:r/>
    </w:p>
    <w:p>
      <w:pPr>
        <w:ind w:firstLine="480"/>
        <w:pageBreakBefore w:val="0"/>
        <w:spacing w:line="460" w:lineRule="exac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11.7 “申请人的资格要求”和“资格审查资料”中的“近期”是指近两年以来的任一时间段。</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lang w:eastAsia="zh-CN"/>
        </w:rPr>
      </w:pPr>
      <w:r>
        <w:rPr>
          <w:rFonts w:hint="eastAsia" w:ascii="黑体" w:hAnsi="黑体" w:eastAsia="黑体" w:cs="黑体"/>
          <w:color w:val="auto"/>
          <w:sz w:val="28"/>
          <w:szCs w:val="28"/>
        </w:rPr>
        <w:t xml:space="preserve">12、投标</w:t>
      </w:r>
      <w:bookmarkStart w:id="89" w:name="_Hlt26670373"/>
      <w:r>
        <w:rPr>
          <w:rFonts w:hint="eastAsia" w:ascii="黑体" w:hAnsi="黑体" w:eastAsia="黑体" w:cs="黑体"/>
          <w:color w:val="auto"/>
          <w:sz w:val="28"/>
          <w:szCs w:val="28"/>
          <w:lang w:eastAsia="zh-CN"/>
        </w:rPr>
        <w:t xml:space="preserve">报价明细表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12.1投</w:t>
      </w:r>
      <w:bookmarkStart w:id="90" w:name="_Hlt26954840"/>
      <w:r>
        <w:rPr>
          <w:rFonts w:hint="eastAsia" w:ascii="宋体" w:hAnsi="宋体" w:eastAsia="宋体" w:cs="宋体"/>
          <w:color w:val="auto"/>
          <w:sz w:val="24"/>
          <w:szCs w:val="24"/>
        </w:rPr>
        <w:t xml:space="preserve">标人应按照招标文件规定格式填报投标</w:t>
      </w:r>
      <w:bookmarkStart w:id="91" w:name="_Hlt26670399"/>
      <w:r>
        <w:rPr>
          <w:rFonts w:hint="eastAsia" w:ascii="宋体" w:hAnsi="宋体" w:eastAsia="宋体" w:cs="宋体"/>
          <w:color w:val="auto"/>
          <w:sz w:val="24"/>
          <w:szCs w:val="24"/>
          <w:lang w:eastAsia="zh-CN"/>
        </w:rPr>
        <w:t xml:space="preserve">报价明细表</w:t>
      </w:r>
      <w:r>
        <w:rPr>
          <w:rFonts w:hint="eastAsia" w:ascii="宋体" w:hAnsi="宋体" w:eastAsia="宋体" w:cs="宋体"/>
          <w:color w:val="auto"/>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firstLine="480"/>
        <w:pageBreakBefore w:val="0"/>
        <w:spacing w:line="460" w:lineRule="exact"/>
        <w:widowControl w:val="off"/>
        <w:rPr>
          <w:rFonts w:hint="eastAsia" w:ascii="宋体" w:hAnsi="宋体" w:eastAsia="宋体" w:cs="Times New Roman"/>
          <w:color w:val="auto"/>
          <w:sz w:val="24"/>
          <w:lang w:val="en-US" w:eastAsia="zh-CN"/>
        </w:rPr>
      </w:pPr>
      <w:r/>
      <w:bookmarkStart w:id="92" w:name="_Hlt26668983"/>
      <w:r/>
      <w:bookmarkStart w:id="93" w:name="_Hlt26670482"/>
      <w:r/>
      <w:bookmarkStart w:id="94" w:name="_Hlt26670486"/>
      <w:r/>
      <w:bookmarkStart w:id="95" w:name="_Hlt26670403"/>
      <w:r/>
      <w:bookmarkStart w:id="96" w:name="_Hlt26954846"/>
      <w:r/>
      <w:bookmarkStart w:id="97" w:name="_Hlt26954848"/>
      <w:r/>
      <w:bookmarkStart w:id="98" w:name="_Hlt26954731"/>
      <w:r/>
      <w:bookmarkStart w:id="99" w:name="_Hlt26954844"/>
      <w:r/>
      <w:bookmarkStart w:id="100" w:name="_Hlt26670425"/>
      <w:r/>
      <w:bookmarkStart w:id="101" w:name="_Hlt26954842"/>
      <w:r>
        <w:rPr>
          <w:rFonts w:hint="eastAsia" w:ascii="宋体" w:hAnsi="宋体" w:eastAsia="宋体" w:cs="Times New Roman"/>
          <w:color w:val="auto"/>
          <w:sz w:val="24"/>
          <w:lang w:val="en-US" w:eastAsia="zh-CN"/>
        </w:rPr>
        <w:t xml:space="preserve">13.3 投标人应按照第六章投标文件格式完整地填写报价明细表，说明其拟提供服务的名称、服务内容、数量、价格等，采购人要求投标人明确填写的相关内容的，也应填写。</w:t>
      </w:r>
      <w:r/>
    </w:p>
    <w:p>
      <w:pPr>
        <w:ind w:firstLine="480"/>
        <w:pageBreakBefore w:val="0"/>
        <w:spacing w:line="460" w:lineRule="exact"/>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13.4 每项服务内容只允许有一个报价，任何有选择的报价将不予接受。</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13.5 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本项目中标供应商在领取中标通知书前，须向采购代理机构江苏瑞杰项目管理顾问有限公司支付招标代理服务费，招标代理服务费为人民币</w:t>
      </w:r>
      <w:r>
        <w:rPr>
          <w:rFonts w:hint="eastAsia" w:ascii="宋体" w:hAnsi="宋体" w:eastAsia="宋体" w:cs="Times New Roman"/>
          <w:color w:val="auto"/>
          <w:sz w:val="24"/>
          <w:highlight w:val="none"/>
          <w:u w:val="single"/>
          <w:lang w:val="en-US" w:eastAsia="zh-CN"/>
        </w:rPr>
        <w:t xml:space="preserve"> 17200.00 </w:t>
      </w:r>
      <w:r>
        <w:rPr>
          <w:rFonts w:hint="eastAsia" w:ascii="宋体" w:hAnsi="宋体" w:eastAsia="宋体" w:cs="Times New Roman"/>
          <w:color w:val="auto"/>
          <w:sz w:val="24"/>
          <w:highlight w:val="none"/>
          <w:lang w:val="en-US" w:eastAsia="zh-CN"/>
        </w:rPr>
        <w:t xml:space="preserve">元，费用由各供应商在响应时自行综合考虑分摊在报价中，且不得单列，采购人不再承担上述费用。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rPr>
        <w:t xml:space="preserve">13、</w:t>
      </w:r>
      <w:r>
        <w:rPr>
          <w:rFonts w:hint="eastAsia" w:ascii="黑体" w:hAnsi="黑体" w:eastAsia="黑体" w:cs="黑体"/>
          <w:color w:val="auto"/>
          <w:sz w:val="28"/>
          <w:szCs w:val="28"/>
          <w:lang w:val="en-US" w:eastAsia="zh-CN"/>
        </w:rPr>
        <w:t xml:space="preserve">所供服务（服务附带的产品）内容及服务要求偏离表</w:t>
      </w:r>
      <w:r/>
    </w:p>
    <w:p>
      <w:pPr>
        <w:ind w:firstLine="480"/>
        <w:pageBreakBefore w:val="0"/>
        <w:spacing w:line="460" w:lineRule="exact"/>
        <w:widowControl w:val="off"/>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en-US" w:eastAsia="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w:t>
      </w:r>
      <w:r>
        <w:rPr>
          <w:rFonts w:hint="eastAsia" w:ascii="宋体" w:hAnsi="Arial" w:cs="宋体"/>
          <w:color w:val="auto"/>
          <w:sz w:val="24"/>
          <w:highlight w:val="none"/>
          <w:lang w:val="en-US" w:eastAsia="zh-CN"/>
        </w:rPr>
        <w:t xml:space="preserve">服务内容及服务要求</w:t>
      </w:r>
      <w:r>
        <w:rPr>
          <w:rFonts w:hint="eastAsia" w:ascii="宋体" w:hAnsi="Arial" w:cs="宋体"/>
          <w:color w:val="auto"/>
          <w:sz w:val="24"/>
          <w:highlight w:val="none"/>
          <w:lang w:val="zh-CN"/>
        </w:rPr>
        <w:t xml:space="preserve">逐项作出响应或偏离，并说明原因。</w:t>
      </w:r>
      <w:r/>
    </w:p>
    <w:p>
      <w:pPr>
        <w:ind w:firstLine="480"/>
        <w:pageBreakBefore w:val="0"/>
        <w:spacing w:line="460" w:lineRule="exact"/>
        <w:widowControl w:val="off"/>
        <w:tabs>
          <w:tab w:val="left" w:pos="1035" w:leader="none"/>
        </w:tabs>
        <w:rPr>
          <w:rFonts w:hint="eastAsia" w:ascii="宋体" w:hAnsi="Arial" w:cs="宋体"/>
          <w:color w:val="auto"/>
          <w:sz w:val="24"/>
          <w:highlight w:val="none"/>
          <w:lang w:val="zh-CN"/>
        </w:rPr>
      </w:pPr>
      <w:r>
        <w:rPr>
          <w:rFonts w:hint="eastAsia" w:ascii="宋体" w:hAnsi="Arial" w:cs="宋体"/>
          <w:color w:val="auto"/>
          <w:sz w:val="24"/>
          <w:highlight w:val="none"/>
          <w:lang w:val="zh-CN"/>
        </w:rPr>
        <w:t xml:space="preserve">1</w:t>
      </w:r>
      <w:r>
        <w:rPr>
          <w:rFonts w:hint="eastAsia" w:ascii="宋体" w:hAnsi="Arial" w:cs="宋体"/>
          <w:color w:val="auto"/>
          <w:sz w:val="24"/>
          <w:highlight w:val="none"/>
          <w:lang w:val="en-US" w:eastAsia="zh-CN"/>
        </w:rPr>
        <w:t xml:space="preserve">3</w:t>
      </w:r>
      <w:r>
        <w:rPr>
          <w:rFonts w:hint="eastAsia" w:ascii="宋体" w:hAnsi="Arial" w:cs="宋体"/>
          <w:color w:val="auto"/>
          <w:sz w:val="24"/>
          <w:highlight w:val="none"/>
          <w:lang w:val="zh-CN"/>
        </w:rPr>
        <w:t xml:space="preserve">.2 投标人可在投标文件中提供认为需要的其他技术文件或说明。</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02" w:name="_Toc49090510"/>
      <w:r/>
      <w:bookmarkStart w:id="103" w:name="_Toc14577359"/>
      <w:r>
        <w:rPr>
          <w:rFonts w:hint="eastAsia" w:ascii="黑体" w:hAnsi="黑体" w:eastAsia="黑体" w:cs="黑体"/>
          <w:color w:val="auto"/>
          <w:sz w:val="28"/>
          <w:szCs w:val="28"/>
        </w:rPr>
        <w:t xml:space="preserve">14、投标函和开标一览表</w:t>
      </w:r>
      <w:bookmarkEnd w:id="102"/>
      <w:r/>
      <w:bookmarkEnd w:id="10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14.1投标人应按照招标文件中提供的格式完整、正确填写投标函、开标一览表。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14.2对于采用货币报价的项目，开标一览表中的投标总报价应与投标</w:t>
      </w:r>
      <w:r>
        <w:rPr>
          <w:rFonts w:hint="eastAsia" w:ascii="宋体" w:hAnsi="宋体" w:eastAsia="宋体" w:cs="宋体"/>
          <w:color w:val="auto"/>
          <w:sz w:val="24"/>
          <w:szCs w:val="24"/>
          <w:lang w:eastAsia="zh-CN"/>
        </w:rPr>
        <w:t xml:space="preserve">报价明细表</w:t>
      </w:r>
      <w:r>
        <w:rPr>
          <w:rFonts w:hint="eastAsia" w:ascii="宋体" w:hAnsi="宋体" w:eastAsia="宋体" w:cs="宋体"/>
          <w:color w:val="auto"/>
          <w:sz w:val="24"/>
          <w:szCs w:val="24"/>
        </w:rPr>
        <w:t xml:space="preserve">中的投标总报价一致，如不一致，不作为无效投标处理，但评标时按开标一览表中价格为准。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04" w:name="_Toc49090511"/>
      <w:r/>
      <w:bookmarkStart w:id="105" w:name="_Toc14577360"/>
      <w:r/>
      <w:bookmarkStart w:id="106" w:name="_Hlt26954850"/>
      <w:r/>
      <w:bookmarkStart w:id="107" w:name="_Hlt26954734"/>
      <w:r/>
      <w:bookmarkStart w:id="108" w:name="_Hlt26670489"/>
      <w:r>
        <w:rPr>
          <w:rFonts w:hint="eastAsia" w:ascii="黑体" w:hAnsi="黑体" w:eastAsia="黑体" w:cs="黑体"/>
          <w:color w:val="auto"/>
          <w:sz w:val="28"/>
          <w:szCs w:val="28"/>
        </w:rPr>
        <w:t xml:space="preserve">15、投标有效期</w:t>
      </w:r>
      <w:bookmarkEnd w:id="104"/>
      <w:r/>
      <w:bookmarkEnd w:id="10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15.1投标有效期为</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规定的开标之日后六十（60）天。投标有效期比规定短的将被视为未实质性响应招标文件而予以拒绝。</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16、投标有效期的延长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16.1在特殊情况下，采购中心于原投标有效期满之前，可向投标人提出延长投标有效期的要求。这种要求与答复均应采用书面形式。投标人可以拒绝</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的这一要求而放弃投标。同意延长投标有效期的投标人既不能要求也不允许修改其投标文件，同时受投标有效期约束的所有权利与义务均延长至新的有效期。</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09" w:name="_Toc513029224"/>
      <w:r/>
      <w:bookmarkStart w:id="110" w:name="_Toc120614217"/>
      <w:r/>
      <w:bookmarkStart w:id="111" w:name="_Toc20823296"/>
      <w:r/>
      <w:bookmarkStart w:id="112" w:name="_Toc16938540"/>
      <w:r/>
      <w:bookmarkStart w:id="113" w:name="_Hlt26954739"/>
      <w:r/>
      <w:bookmarkStart w:id="114" w:name="_Hlt26954852"/>
      <w:r>
        <w:rPr>
          <w:rFonts w:hint="eastAsia" w:ascii="黑体" w:hAnsi="黑体" w:eastAsia="黑体" w:cs="黑体"/>
          <w:color w:val="auto"/>
          <w:sz w:val="28"/>
          <w:szCs w:val="28"/>
        </w:rPr>
        <w:t xml:space="preserve">四、投标文件的递交</w:t>
      </w:r>
      <w:bookmarkEnd w:id="109"/>
      <w:r/>
      <w:bookmarkEnd w:id="110"/>
      <w:r/>
      <w:bookmarkEnd w:id="111"/>
      <w:r/>
      <w:bookmarkEnd w:id="112"/>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15" w:name="_Toc462564084"/>
      <w:r/>
      <w:bookmarkStart w:id="116" w:name="_Toc20823297"/>
      <w:r/>
      <w:bookmarkStart w:id="117" w:name="_Toc513029225"/>
      <w:r/>
      <w:bookmarkStart w:id="118" w:name="_Toc16938541"/>
      <w:r>
        <w:rPr>
          <w:rFonts w:hint="eastAsia" w:ascii="黑体" w:hAnsi="黑体" w:eastAsia="黑体" w:cs="黑体"/>
          <w:color w:val="auto"/>
          <w:sz w:val="28"/>
          <w:szCs w:val="28"/>
        </w:rPr>
        <w:t xml:space="preserve">17、投标文件</w:t>
      </w:r>
      <w:bookmarkEnd w:id="115"/>
      <w:r/>
      <w:bookmarkEnd w:id="116"/>
      <w:r/>
      <w:bookmarkEnd w:id="117"/>
      <w:r/>
      <w:bookmarkEnd w:id="118"/>
      <w:r>
        <w:rPr>
          <w:rFonts w:hint="eastAsia" w:ascii="黑体" w:hAnsi="黑体" w:eastAsia="黑体" w:cs="黑体"/>
          <w:color w:val="auto"/>
          <w:sz w:val="28"/>
          <w:szCs w:val="28"/>
        </w:rPr>
        <w:t xml:space="preserve">的递交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17.1 电子投标文件的递交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投标人应当按照《操作手册》规定，在投标截止时间前制作并上传电子投标文件。</w:t>
      </w:r>
      <w:bookmarkStart w:id="119" w:name="_Toc20823298"/>
      <w:r/>
      <w:bookmarkEnd w:id="119"/>
      <w:r/>
      <w:bookmarkStart w:id="120" w:name="_Toc16938542"/>
      <w:r/>
      <w:bookmarkEnd w:id="120"/>
      <w:r/>
      <w:bookmarkStart w:id="121" w:name="_Toc513029226"/>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18、投标截止时间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18.1投标人上传电子投标文件的时间不得迟于招标公告中规定的投标截止时间。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18.2</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22" w:name="_Toc20823299"/>
      <w:r/>
      <w:bookmarkStart w:id="123" w:name="_Toc513029227"/>
      <w:r/>
      <w:bookmarkStart w:id="124" w:name="_Toc16938543"/>
      <w:r>
        <w:rPr>
          <w:rFonts w:hint="eastAsia" w:ascii="黑体" w:hAnsi="黑体" w:eastAsia="黑体" w:cs="黑体"/>
          <w:color w:val="auto"/>
          <w:sz w:val="28"/>
          <w:szCs w:val="28"/>
        </w:rPr>
        <w:t xml:space="preserve">19、投标文件</w:t>
      </w:r>
      <w:bookmarkEnd w:id="122"/>
      <w:r/>
      <w:bookmarkEnd w:id="123"/>
      <w:r/>
      <w:bookmarkEnd w:id="124"/>
      <w:r>
        <w:rPr>
          <w:rFonts w:hint="eastAsia" w:ascii="黑体" w:hAnsi="黑体" w:eastAsia="黑体" w:cs="黑体"/>
          <w:color w:val="auto"/>
          <w:sz w:val="28"/>
          <w:szCs w:val="28"/>
        </w:rPr>
        <w:t xml:space="preserve">的拒收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19.1</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拒绝接收在其规定的投标截止时间后上传的任何投标文件。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25" w:name="_Toc513029228"/>
      <w:r/>
      <w:bookmarkStart w:id="126" w:name="_Toc20823300"/>
      <w:r/>
      <w:bookmarkStart w:id="127" w:name="_Toc16938544"/>
      <w:r>
        <w:rPr>
          <w:rFonts w:hint="eastAsia" w:ascii="黑体" w:hAnsi="黑体" w:eastAsia="黑体" w:cs="黑体"/>
          <w:color w:val="auto"/>
          <w:sz w:val="28"/>
          <w:szCs w:val="28"/>
        </w:rPr>
        <w:t xml:space="preserve">20、投标文件的撤回和修改</w:t>
      </w:r>
      <w:bookmarkEnd w:id="125"/>
      <w:r/>
      <w:bookmarkEnd w:id="126"/>
      <w:r/>
      <w:bookmarkEnd w:id="12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20.1投标文件的撤回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.1.1电子投标文件的撤回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.1.2投标人撤回电子投标文件，则认为其不再参与本项目投标活动。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 投标文件的修改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20.2.1投标人可在投标截止时间前，对其电子投标文件进行修改，具体操作方法见《操作手册》。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20.2.2在投标截止时间之后，投标人不得对其电子投标文件作任何修改。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20.3在投标截止时间至招标文件中规定的投标有效期满之间的这段时间内，投标人不得撤回其投标。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28" w:name="_Toc120614218"/>
      <w:r/>
      <w:bookmarkStart w:id="129" w:name="_Toc20823301"/>
      <w:r/>
      <w:bookmarkStart w:id="130" w:name="_Toc16938545"/>
      <w:r/>
      <w:bookmarkStart w:id="131" w:name="_Toc513029229"/>
      <w:r>
        <w:rPr>
          <w:rFonts w:hint="eastAsia" w:ascii="黑体" w:hAnsi="黑体" w:eastAsia="黑体" w:cs="黑体"/>
          <w:color w:val="auto"/>
          <w:sz w:val="28"/>
          <w:szCs w:val="28"/>
        </w:rPr>
        <w:t xml:space="preserve">五、开标与评标</w:t>
      </w:r>
      <w:bookmarkEnd w:id="128"/>
      <w:r/>
      <w:bookmarkEnd w:id="129"/>
      <w:r/>
      <w:bookmarkEnd w:id="130"/>
      <w:r/>
      <w:bookmarkEnd w:id="131"/>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32" w:name="_Toc20823302"/>
      <w:r/>
      <w:bookmarkStart w:id="133" w:name="_Toc16938546"/>
      <w:r/>
      <w:bookmarkStart w:id="134" w:name="_Toc513029230"/>
      <w:r>
        <w:rPr>
          <w:rFonts w:hint="eastAsia" w:ascii="黑体" w:hAnsi="黑体" w:eastAsia="黑体" w:cs="黑体"/>
          <w:color w:val="auto"/>
          <w:sz w:val="28"/>
          <w:szCs w:val="28"/>
        </w:rPr>
        <w:t xml:space="preserve">21、开标</w:t>
      </w:r>
      <w:bookmarkEnd w:id="132"/>
      <w:r/>
      <w:bookmarkEnd w:id="133"/>
      <w:r/>
      <w:bookmarkEnd w:id="13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21.1</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21.2开标仪式由</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组织。苏采云系统将自动对项目进行开标，并宣布各投标人名称和投标价格。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21.3投标人在开标过程中涉及到的投标文件解密、开标结果确认等工作，应按照《操作手册》规定执行。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21.4投标人如果对开标过程和开标记录有疑义，应当根据《操作手册》规定提出，如苏采云系统中《开标记录表》宣布后5分钟内未提出的，视同认可开标结果。</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35" w:name="_Toc20823303"/>
      <w:r/>
      <w:bookmarkStart w:id="136" w:name="_Toc513029231"/>
      <w:r/>
      <w:bookmarkStart w:id="137" w:name="_Toc16938547"/>
      <w:r>
        <w:rPr>
          <w:rFonts w:hint="eastAsia" w:ascii="黑体" w:hAnsi="黑体" w:eastAsia="黑体" w:cs="黑体"/>
          <w:color w:val="auto"/>
          <w:sz w:val="28"/>
          <w:szCs w:val="28"/>
        </w:rPr>
        <w:t xml:space="preserve">22、评标委员会</w:t>
      </w:r>
      <w:bookmarkEnd w:id="135"/>
      <w:r/>
      <w:bookmarkEnd w:id="136"/>
      <w:r/>
      <w:bookmarkEnd w:id="13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22.1开标后，</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将立即组织评标委员会（以下简称评委会）进行评标。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22.2评委会由采购人代表和有关技术、经济等方面的专家组成，且人员构成符合政府采购有关规定。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22.3评委会独立工作，负责评审所有投标文件并确定中标</w:t>
      </w:r>
      <w:r>
        <w:rPr>
          <w:rFonts w:hint="eastAsia" w:ascii="宋体" w:hAnsi="宋体" w:eastAsia="宋体" w:cs="宋体"/>
          <w:color w:val="auto"/>
          <w:sz w:val="24"/>
          <w:szCs w:val="24"/>
          <w:lang w:eastAsia="zh-CN"/>
        </w:rPr>
        <w:t xml:space="preserve">候选人</w:t>
      </w:r>
      <w:r>
        <w:rPr>
          <w:rFonts w:hint="eastAsia" w:ascii="宋体" w:hAnsi="宋体" w:eastAsia="宋体" w:cs="宋体"/>
          <w:color w:val="auto"/>
          <w:sz w:val="24"/>
          <w:szCs w:val="24"/>
        </w:rPr>
        <w:t xml:space="preserve">。</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23、评标过程的保密与公正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23.1凡是与审查、澄清、评价和比较投标的有关资料以及授标建议等，采购人、评委不得向投标人或与评标无关的其他人员透露。</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23.2在评标过程中，投标人不得以任何行为影响评标过程，否则其投标文件将被作为无效投标文件。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23.3</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和评标委员会不向未中标的投标人解释未中标原因，也不公布评标过程中的相关细节。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23.4采用综合评分法的项目，未中标的投标人可于中标结果公告期限届满之日起通过苏采云系统查看自己的评审得分及排序情况。</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38" w:name="_Toc513029232"/>
      <w:r/>
      <w:bookmarkStart w:id="139" w:name="_Toc16938548"/>
      <w:r/>
      <w:bookmarkStart w:id="140" w:name="_Toc20823304"/>
      <w:r>
        <w:rPr>
          <w:rFonts w:hint="eastAsia" w:ascii="黑体" w:hAnsi="黑体" w:eastAsia="黑体" w:cs="黑体"/>
          <w:color w:val="auto"/>
          <w:sz w:val="28"/>
          <w:szCs w:val="28"/>
        </w:rPr>
        <w:t xml:space="preserve">24、投标文件的澄清</w:t>
      </w:r>
      <w:bookmarkEnd w:id="138"/>
      <w:r/>
      <w:bookmarkEnd w:id="139"/>
      <w:r/>
      <w:bookmarkEnd w:id="14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投标人的澄清、说明或者补正不得超出投标文件的范围或者改变投标文件的实质性内容。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评标委员会并非对每个投标人都做澄清要求。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24.3接到评委会澄清、说明和补正要求的投标人如未按规定做出澄清、说明和补正，其风险由投标人自行承担。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41" w:name="_Toc513029233"/>
      <w:r/>
      <w:bookmarkStart w:id="142" w:name="_Toc16938549"/>
      <w:r/>
      <w:bookmarkStart w:id="143" w:name="_Toc20823305"/>
      <w:r>
        <w:rPr>
          <w:rFonts w:hint="eastAsia" w:ascii="黑体" w:hAnsi="黑体" w:eastAsia="黑体" w:cs="黑体"/>
          <w:color w:val="auto"/>
          <w:sz w:val="28"/>
          <w:szCs w:val="28"/>
        </w:rPr>
        <w:t xml:space="preserve">25、对投标文件的初审</w:t>
      </w:r>
      <w:bookmarkEnd w:id="141"/>
      <w:r/>
      <w:bookmarkEnd w:id="142"/>
      <w:r/>
      <w:bookmarkEnd w:id="14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25.1投标文件初审分为资格审查和符合性审查。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25.1.3未通过资格审查或符合性审查的投标人，</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将在苏采云系统中告知未通过资格审查或符合性审查的原因，评标结束后，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将不再告知未通过资格审查和符合性审查的原因。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（1）投标文件中开标一览表内容与投标文件中相应内容不一致的，以开标一览表为准。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（4）总价金额与按单价汇总金额不一致的，以单价金额计算结果为准。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同时出现两种以上错误的，按照前款规定的顺序修正。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bookmarkStart w:id="144" w:name="_Toc16938550"/>
      <w:r/>
      <w:bookmarkStart w:id="145" w:name="_Toc513029234"/>
      <w:r/>
      <w:bookmarkStart w:id="146" w:name="_Toc20823306"/>
      <w:r>
        <w:rPr>
          <w:rFonts w:hint="eastAsia" w:ascii="宋体" w:hAnsi="宋体" w:eastAsia="宋体" w:cs="宋体"/>
          <w:color w:val="auto"/>
          <w:sz w:val="24"/>
          <w:szCs w:val="24"/>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及评标委员会联系。</w:t>
      </w:r>
      <w:bookmarkEnd w:id="144"/>
      <w:r/>
      <w:bookmarkEnd w:id="145"/>
      <w:r/>
      <w:bookmarkEnd w:id="146"/>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26、无效投标条款和废标条款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bookmarkStart w:id="147" w:name="_Toc20823307"/>
      <w:r/>
      <w:bookmarkStart w:id="148" w:name="_Toc16938551"/>
      <w:r/>
      <w:bookmarkStart w:id="149" w:name="_Toc513029235"/>
      <w:r>
        <w:rPr>
          <w:rFonts w:hint="eastAsia" w:ascii="宋体" w:hAnsi="宋体" w:eastAsia="宋体" w:cs="宋体"/>
          <w:color w:val="auto"/>
          <w:sz w:val="24"/>
          <w:szCs w:val="24"/>
        </w:rPr>
        <w:t xml:space="preserve">26.1无效投标条款</w:t>
      </w:r>
      <w:bookmarkEnd w:id="147"/>
      <w:r/>
      <w:bookmarkEnd w:id="148"/>
      <w:r/>
      <w:bookmarkEnd w:id="149"/>
      <w:r/>
      <w:r/>
    </w:p>
    <w:p>
      <w:pPr>
        <w:ind w:firstLine="480"/>
        <w:pageBreakBefore w:val="0"/>
        <w:spacing w:line="460" w:lineRule="exact"/>
        <w:widowControl w:val="off"/>
        <w:rPr>
          <w:rFonts w:hint="eastAsia" w:ascii="宋体" w:hAnsi="宋体"/>
          <w:bCs/>
          <w:color w:val="auto"/>
          <w:sz w:val="24"/>
          <w:szCs w:val="24"/>
        </w:rPr>
      </w:pPr>
      <w:r>
        <w:rPr>
          <w:rFonts w:hint="eastAsia" w:ascii="宋体" w:hAnsi="宋体"/>
          <w:bCs/>
          <w:color w:val="auto"/>
          <w:sz w:val="24"/>
          <w:lang w:eastAsia="zh-CN"/>
        </w:rPr>
        <w:t xml:space="preserve">26.1</w:t>
      </w:r>
      <w:r>
        <w:rPr>
          <w:rFonts w:hint="eastAsia" w:ascii="宋体" w:hAnsi="宋体"/>
          <w:bCs/>
          <w:color w:val="auto"/>
          <w:sz w:val="24"/>
          <w:szCs w:val="24"/>
        </w:rPr>
        <w:t xml:space="preserve">.1 投标人在</w:t>
      </w:r>
      <w:r>
        <w:rPr>
          <w:rFonts w:hint="eastAsia" w:ascii="宋体" w:hAnsi="宋体"/>
          <w:color w:val="auto"/>
          <w:sz w:val="24"/>
          <w:szCs w:val="24"/>
        </w:rPr>
        <w:t xml:space="preserve">苏采云系统</w:t>
      </w:r>
      <w:r>
        <w:rPr>
          <w:rFonts w:hint="eastAsia" w:ascii="宋体" w:hAnsi="宋体"/>
          <w:bCs/>
          <w:color w:val="auto"/>
          <w:sz w:val="24"/>
          <w:szCs w:val="24"/>
        </w:rPr>
        <w:t xml:space="preserve">规定的时间内未成功解密电子投标文件的。</w:t>
      </w:r>
      <w:r/>
    </w:p>
    <w:p>
      <w:pPr>
        <w:ind w:firstLine="480"/>
        <w:pageBreakBefore w:val="0"/>
        <w:spacing w:line="460" w:lineRule="exact"/>
        <w:widowControl w:val="off"/>
        <w:rPr>
          <w:rFonts w:hint="eastAsia" w:ascii="宋体" w:hAnsi="宋体"/>
          <w:bCs/>
          <w:color w:val="auto"/>
          <w:sz w:val="24"/>
        </w:rPr>
      </w:pPr>
      <w:r>
        <w:rPr>
          <w:rFonts w:hint="eastAsia" w:ascii="宋体" w:hAnsi="宋体"/>
          <w:bCs/>
          <w:color w:val="auto"/>
          <w:sz w:val="24"/>
          <w:lang w:eastAsia="zh-CN"/>
        </w:rPr>
        <w:t xml:space="preserve">26.1</w:t>
      </w:r>
      <w:r>
        <w:rPr>
          <w:rFonts w:hint="eastAsia" w:ascii="宋体" w:hAnsi="宋体"/>
          <w:bCs/>
          <w:color w:val="auto"/>
          <w:sz w:val="24"/>
        </w:rPr>
        <w:t xml:space="preserve">.2 投标人未按照招标文件要求上传电子投标文件的。</w:t>
      </w:r>
      <w:r/>
    </w:p>
    <w:p>
      <w:pPr>
        <w:ind w:left="479"/>
        <w:pageBreakBefore w:val="0"/>
        <w:spacing w:line="460" w:lineRule="exact"/>
        <w:widowControl w:val="off"/>
        <w:rPr>
          <w:rFonts w:hint="eastAsia" w:ascii="宋体" w:hAnsi="宋体"/>
          <w:bCs/>
          <w:color w:val="auto"/>
          <w:sz w:val="24"/>
        </w:rPr>
      </w:pPr>
      <w:r>
        <w:rPr>
          <w:rFonts w:hint="eastAsia" w:ascii="宋体" w:hAnsi="宋体"/>
          <w:bCs/>
          <w:color w:val="auto"/>
          <w:sz w:val="24"/>
          <w:lang w:eastAsia="zh-CN"/>
        </w:rPr>
        <w:t xml:space="preserve">26.1</w:t>
      </w:r>
      <w:r>
        <w:rPr>
          <w:rFonts w:hint="eastAsia" w:ascii="宋体" w:hAnsi="宋体"/>
          <w:bCs/>
          <w:color w:val="auto"/>
          <w:sz w:val="24"/>
        </w:rPr>
        <w:t xml:space="preserve">.3</w:t>
      </w:r>
      <w:r>
        <w:rPr>
          <w:rFonts w:hint="eastAsia" w:ascii="宋体" w:hAnsi="宋体"/>
          <w:bCs/>
          <w:color w:val="auto"/>
          <w:sz w:val="24"/>
          <w:lang w:val="en-US" w:eastAsia="zh-CN"/>
        </w:rPr>
        <w:t xml:space="preserve"> </w:t>
      </w:r>
      <w:r>
        <w:rPr>
          <w:rFonts w:hint="eastAsia" w:ascii="宋体" w:hAnsi="宋体"/>
          <w:bCs/>
          <w:color w:val="auto"/>
          <w:sz w:val="24"/>
        </w:rPr>
        <w:t xml:space="preserve">同一投标人投标人递交两份或多份内容不同的投标文件，或在一份投标文件中对同一采购项目报有两个或多个报价，且未声明哪一个有效，按招标文件规定提交备选方案的除外。</w:t>
      </w:r>
      <w:r/>
    </w:p>
    <w:p>
      <w:pPr>
        <w:ind w:left="479"/>
        <w:pageBreakBefore w:val="0"/>
        <w:spacing w:line="460" w:lineRule="exact"/>
        <w:widowControl w:val="off"/>
        <w:rPr>
          <w:rFonts w:hint="eastAsia" w:ascii="宋体" w:hAnsi="宋体"/>
          <w:bCs/>
          <w:color w:val="auto"/>
          <w:sz w:val="24"/>
        </w:rPr>
      </w:pP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5 </w:t>
      </w:r>
      <w:r>
        <w:rPr>
          <w:rFonts w:hint="eastAsia" w:ascii="宋体" w:hAnsi="宋体"/>
          <w:bCs/>
          <w:color w:val="auto"/>
          <w:sz w:val="24"/>
        </w:rPr>
        <w:t xml:space="preserve">投标人不具备招标文件中规定资格要求的。</w:t>
      </w:r>
      <w:r/>
    </w:p>
    <w:p>
      <w:pPr>
        <w:ind w:firstLine="480"/>
        <w:pageBreakBefore w:val="0"/>
        <w:spacing w:line="460" w:lineRule="exact"/>
        <w:widowControl w:val="off"/>
        <w:rPr>
          <w:rFonts w:hint="eastAsia" w:ascii="宋体" w:hAnsi="宋体"/>
          <w:bCs/>
          <w:color w:val="auto"/>
          <w:sz w:val="24"/>
        </w:rPr>
      </w:pP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6 </w:t>
      </w:r>
      <w:r>
        <w:rPr>
          <w:rFonts w:hint="eastAsia" w:ascii="宋体" w:hAnsi="宋体"/>
          <w:bCs/>
          <w:color w:val="auto"/>
          <w:sz w:val="24"/>
        </w:rPr>
        <w:t xml:space="preserve">投标人的报价超过了采购预算或最高限价的。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宋体" w:hAnsi="宋体" w:eastAsia="宋体"/>
          <w:bCs/>
          <w:color w:val="auto"/>
          <w:sz w:val="24"/>
          <w:lang w:eastAsia="zh-CN"/>
        </w:rPr>
        <w:t xml:space="preserve">26.1</w:t>
      </w:r>
      <w:r>
        <w:rPr>
          <w:rFonts w:hint="eastAsia" w:ascii="Times New Roman" w:hAnsi="Times New Roman" w:eastAsia="宋体" w:cs="Times New Roman"/>
          <w:color w:val="auto"/>
          <w:sz w:val="24"/>
          <w:szCs w:val="22"/>
          <w:highlight w:val="none"/>
          <w:lang w:val="en-US" w:eastAsia="zh-CN" w:bidi="ar-SA"/>
        </w:rPr>
        <w:t xml:space="preserve">.7 被授权人无法提供证明其为本单位正式职工的社会养老保险缴费证明的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26.1.8 由被授权人参加，但未随投标文件一起提交合法、有效的“授权委托书”的；</w:t>
      </w:r>
      <w:r/>
    </w:p>
    <w:p>
      <w:pPr>
        <w:ind w:firstLine="480"/>
        <w:pageBreakBefore w:val="0"/>
        <w:spacing w:line="460" w:lineRule="exact"/>
        <w:widowControl w:val="off"/>
        <w:rPr>
          <w:rFonts w:hint="eastAsia" w:ascii="宋体" w:hAnsi="宋体"/>
          <w:bCs/>
          <w:color w:val="auto"/>
          <w:sz w:val="24"/>
        </w:rPr>
      </w:pP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9 </w:t>
      </w:r>
      <w:r>
        <w:rPr>
          <w:rFonts w:hint="eastAsia" w:cs="Times New Roman"/>
          <w:color w:val="auto"/>
          <w:sz w:val="24"/>
          <w:szCs w:val="22"/>
          <w:highlight w:val="none"/>
          <w:lang w:val="en-US" w:eastAsia="zh-CN" w:bidi="ar-SA"/>
        </w:rPr>
        <w:t xml:space="preserve">投标文件内容不全或关键字迹模糊、无法辨认的</w:t>
      </w:r>
      <w:r/>
    </w:p>
    <w:p>
      <w:pPr>
        <w:ind w:firstLine="480"/>
        <w:pageBreakBefore w:val="0"/>
        <w:spacing w:line="460" w:lineRule="exact"/>
        <w:widowControl w:val="off"/>
        <w:rPr>
          <w:rFonts w:hint="eastAsia" w:cs="Times New Roman"/>
          <w:color w:val="auto"/>
          <w:sz w:val="24"/>
          <w:szCs w:val="22"/>
          <w:highlight w:val="none"/>
          <w:lang w:val="en-US" w:eastAsia="zh-CN" w:bidi="ar-SA"/>
        </w:rPr>
      </w:pP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10</w:t>
      </w:r>
      <w:r>
        <w:rPr>
          <w:rFonts w:hint="eastAsia" w:cs="Times New Roman"/>
          <w:color w:val="auto"/>
          <w:sz w:val="24"/>
          <w:szCs w:val="22"/>
          <w:highlight w:val="none"/>
          <w:lang w:val="en-US" w:eastAsia="zh-CN" w:bidi="ar-SA"/>
        </w:rPr>
        <w:t xml:space="preserve">投标文件修改处未加盖投标人公章的</w:t>
      </w:r>
      <w:r/>
    </w:p>
    <w:p>
      <w:pPr>
        <w:ind w:firstLine="480"/>
        <w:pageBreakBefore w:val="0"/>
        <w:spacing w:line="460" w:lineRule="exact"/>
        <w:widowControl w:val="off"/>
        <w:rPr>
          <w:rFonts w:hint="eastAsia" w:ascii="宋体" w:hAnsi="宋体"/>
          <w:bCs/>
          <w:i/>
          <w:color w:val="auto"/>
          <w:sz w:val="24"/>
          <w:u w:val="single"/>
        </w:rPr>
      </w:pP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11</w:t>
      </w:r>
      <w:r>
        <w:rPr>
          <w:rFonts w:hint="eastAsia" w:ascii="宋体" w:hAnsi="宋体"/>
          <w:bCs/>
          <w:color w:val="auto"/>
          <w:sz w:val="24"/>
        </w:rPr>
        <w:t xml:space="preserve">未通过符合性审查的。</w:t>
      </w:r>
      <w:r/>
    </w:p>
    <w:p>
      <w:pPr>
        <w:ind w:firstLine="360"/>
        <w:pageBreakBefore w:val="0"/>
        <w:spacing w:line="460" w:lineRule="exact"/>
        <w:widowControl w:val="off"/>
        <w:rPr>
          <w:rFonts w:hint="eastAsia" w:ascii="宋体" w:hAnsi="宋体"/>
          <w:bCs/>
          <w:i/>
          <w:color w:val="auto"/>
          <w:sz w:val="24"/>
          <w:u w:val="single"/>
        </w:rPr>
      </w:pPr>
      <w:r>
        <w:rPr>
          <w:rFonts w:hint="eastAsia" w:ascii="宋体" w:hAnsi="宋体"/>
          <w:bCs/>
          <w:color w:val="auto"/>
          <w:sz w:val="24"/>
        </w:rPr>
        <w:t xml:space="preserve"> </w:t>
      </w: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12</w:t>
      </w:r>
      <w:r>
        <w:rPr>
          <w:rFonts w:hint="eastAsia" w:ascii="宋体" w:hAnsi="宋体"/>
          <w:bCs/>
          <w:color w:val="auto"/>
          <w:sz w:val="24"/>
        </w:rPr>
        <w:t xml:space="preserve">不符合招标文件中规定的实质性要求和条件的</w:t>
      </w:r>
      <w:r>
        <w:rPr>
          <w:rFonts w:hint="eastAsia" w:ascii="宋体" w:hAnsi="宋体"/>
          <w:bCs/>
          <w:i/>
          <w:color w:val="auto"/>
          <w:sz w:val="24"/>
          <w:u w:val="none"/>
        </w:rPr>
        <w:t xml:space="preserve">。</w:t>
      </w:r>
      <w:r/>
    </w:p>
    <w:p>
      <w:pPr>
        <w:ind w:firstLine="480"/>
        <w:pageBreakBefore w:val="0"/>
        <w:spacing w:line="460" w:lineRule="exact"/>
        <w:widowControl w:val="off"/>
        <w:rPr>
          <w:rFonts w:hint="eastAsia" w:ascii="宋体" w:hAnsi="宋体"/>
          <w:bCs/>
          <w:color w:val="auto"/>
          <w:sz w:val="24"/>
        </w:rPr>
      </w:pP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13</w:t>
      </w:r>
      <w:r>
        <w:rPr>
          <w:rFonts w:hint="eastAsia" w:ascii="宋体" w:hAnsi="宋体"/>
          <w:bCs/>
          <w:color w:val="auto"/>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60" w:lineRule="exact"/>
        <w:widowControl w:val="off"/>
        <w:rPr>
          <w:rFonts w:hint="eastAsia" w:ascii="宋体" w:hAnsi="宋体"/>
          <w:bCs/>
          <w:color w:val="auto"/>
          <w:sz w:val="24"/>
        </w:rPr>
      </w:pP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14</w:t>
      </w:r>
      <w:r>
        <w:rPr>
          <w:rFonts w:hint="eastAsia" w:ascii="宋体" w:hAnsi="宋体"/>
          <w:bCs/>
          <w:color w:val="auto"/>
          <w:sz w:val="24"/>
        </w:rPr>
        <w:t xml:space="preserve"> 投标文件含有采购人不能接受的附加条件的。</w:t>
      </w:r>
      <w:r/>
    </w:p>
    <w:p>
      <w:pPr>
        <w:ind w:firstLine="480"/>
        <w:pageBreakBefore w:val="0"/>
        <w:spacing w:line="460" w:lineRule="exact"/>
        <w:widowControl w:val="off"/>
        <w:rPr>
          <w:rFonts w:hint="eastAsia" w:ascii="宋体" w:hAnsi="宋体"/>
          <w:bCs/>
          <w:color w:val="auto"/>
          <w:sz w:val="24"/>
        </w:rPr>
      </w:pP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15</w:t>
      </w:r>
      <w:r>
        <w:rPr>
          <w:rFonts w:hint="eastAsia" w:ascii="宋体" w:hAnsi="宋体"/>
          <w:bCs/>
          <w:color w:val="auto"/>
          <w:sz w:val="24"/>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rPr>
        <w:t xml:space="preserve">苏采云系统</w:t>
      </w:r>
      <w:r>
        <w:rPr>
          <w:rFonts w:hint="eastAsia" w:ascii="宋体" w:hAnsi="宋体"/>
          <w:bCs/>
          <w:color w:val="auto"/>
          <w:sz w:val="24"/>
        </w:rPr>
        <w:t xml:space="preserve">要求其在合理的时间内提供说明，必要时提交相关证明材料；投标人不能证明其报价合理性的</w:t>
      </w:r>
      <w:r>
        <w:rPr>
          <w:rFonts w:hint="eastAsia" w:cs="Times New Roman"/>
          <w:color w:val="auto"/>
          <w:sz w:val="24"/>
          <w:szCs w:val="22"/>
          <w:highlight w:val="none"/>
          <w:lang w:val="en-US" w:eastAsia="zh-CN" w:bidi="ar-SA"/>
        </w:rPr>
        <w:t xml:space="preserve">或虽说明理由但评标委员会认为其理由不能成立的</w:t>
      </w:r>
      <w:r>
        <w:rPr>
          <w:rFonts w:hint="eastAsia" w:ascii="宋体" w:hAnsi="宋体"/>
          <w:bCs/>
          <w:color w:val="auto"/>
          <w:sz w:val="24"/>
        </w:rPr>
        <w:t xml:space="preserve">。</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26.1.16 投标文件中所供产品供货期限（服务周期）、售后服务条款不符合招标文件相关条款要求或技术指标要求、货物的包装方式、检验标准等低于招标文件规定指标、要求的；</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26.1.17 以他人的名义投标、串通投标、以行贿手段谋取中标或者以其他弄虚作假方式投标的；</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26.1.18 组成联合体，投标文件未附联合体协议的。</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26.1.19 投标文件未按照招标文件要求签署或加盖CA电子公章的。</w:t>
      </w:r>
      <w:r/>
    </w:p>
    <w:p>
      <w:pPr>
        <w:ind w:firstLine="480"/>
        <w:pageBreakBefore w:val="0"/>
        <w:spacing w:line="460" w:lineRule="exact"/>
        <w:widowControl w:val="off"/>
        <w:rPr>
          <w:rFonts w:hint="eastAsia" w:ascii="宋体" w:hAnsi="宋体"/>
          <w:bCs/>
          <w:color w:val="auto"/>
          <w:sz w:val="24"/>
        </w:rPr>
      </w:pPr>
      <w:r>
        <w:rPr>
          <w:rFonts w:hint="eastAsia" w:ascii="宋体" w:hAnsi="宋体"/>
          <w:bCs/>
          <w:color w:val="auto"/>
          <w:sz w:val="24"/>
          <w:lang w:eastAsia="zh-CN"/>
        </w:rPr>
        <w:t xml:space="preserve">26.1</w:t>
      </w:r>
      <w:r>
        <w:rPr>
          <w:rFonts w:hint="eastAsia" w:ascii="宋体" w:hAnsi="宋体"/>
          <w:bCs/>
          <w:color w:val="auto"/>
          <w:sz w:val="24"/>
        </w:rPr>
        <w:t xml:space="preserve">.</w:t>
      </w:r>
      <w:r>
        <w:rPr>
          <w:rFonts w:hint="eastAsia" w:ascii="宋体" w:hAnsi="宋体"/>
          <w:bCs/>
          <w:color w:val="auto"/>
          <w:sz w:val="24"/>
          <w:lang w:val="en-US" w:eastAsia="zh-CN"/>
        </w:rPr>
        <w:t xml:space="preserve">20</w:t>
      </w:r>
      <w:r>
        <w:rPr>
          <w:rFonts w:hint="eastAsia" w:ascii="宋体" w:hAnsi="宋体"/>
          <w:bCs/>
          <w:color w:val="auto"/>
          <w:sz w:val="24"/>
        </w:rPr>
        <w:t xml:space="preserve">其他法律、法规及本招标文件规定的属无效投标的情形。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26.2废标条款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26.2.1符合专业条件的供应商或者对招标文件作实质响应的供应商不足三家的。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26.2.2出现影响采购公正的违法、违规行为的。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26.2.3因重大变故，采购任务取消的。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26.2.4评标委员会认定招标文件存在歧义、重大缺陷导致评审工作无法进行。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26.2.5因苏采云系统系统故障原因造成开标不成功的。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 投标截止时间结束后参加投标的供应商不足三家的处理：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50" w:name="_Toc120614219"/>
      <w:r>
        <w:rPr>
          <w:rFonts w:hint="eastAsia" w:ascii="黑体" w:hAnsi="黑体" w:eastAsia="黑体" w:cs="黑体"/>
          <w:color w:val="auto"/>
          <w:sz w:val="28"/>
          <w:szCs w:val="28"/>
        </w:rPr>
        <w:t xml:space="preserve">六、定标</w:t>
      </w:r>
      <w:bookmarkEnd w:id="150"/>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51" w:name="_Toc20823310"/>
      <w:r/>
      <w:bookmarkStart w:id="152" w:name="_Toc513029238"/>
      <w:r/>
      <w:bookmarkStart w:id="153" w:name="_Toc16938554"/>
      <w:r>
        <w:rPr>
          <w:rFonts w:hint="eastAsia" w:ascii="黑体" w:hAnsi="黑体" w:eastAsia="黑体" w:cs="黑体"/>
          <w:color w:val="auto"/>
          <w:sz w:val="28"/>
          <w:szCs w:val="28"/>
        </w:rPr>
        <w:t xml:space="preserve">27、</w:t>
      </w:r>
      <w:bookmarkEnd w:id="151"/>
      <w:r>
        <w:rPr>
          <w:rFonts w:hint="eastAsia" w:ascii="黑体" w:hAnsi="黑体" w:eastAsia="黑体" w:cs="黑体"/>
          <w:color w:val="auto"/>
          <w:sz w:val="28"/>
          <w:szCs w:val="28"/>
        </w:rPr>
        <w:t xml:space="preserve">确定</w:t>
      </w:r>
      <w:bookmarkEnd w:id="152"/>
      <w:r/>
      <w:bookmarkEnd w:id="153"/>
      <w:r>
        <w:rPr>
          <w:rFonts w:hint="eastAsia" w:ascii="黑体" w:hAnsi="黑体" w:eastAsia="黑体" w:cs="黑体"/>
          <w:color w:val="auto"/>
          <w:sz w:val="28"/>
          <w:szCs w:val="28"/>
        </w:rPr>
        <w:t xml:space="preserve">中标单位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27.1中标候选人的选取原则和数量见招标文件第五章规定。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27.2采购人应根据评委会推荐的中标候选人确定中标人。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27.3</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将在“中国政府采购网、江苏政府采购网、盐城市政府采购网”发布中标公告，公告期限为1个工作日。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27.4若有充分证据证明，中标人出现下列情况之一的，一经查实，将被取消中标资格：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27.4.1提供虚假材料谋取中标的。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27.4.2向采购人行贿或者提供其他不正当利益的。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27.4.3属于本文件规定的无效条件，但在评标过程中又未被评委会发现的。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27.4.4与采购人或者其他供应商恶意串通的。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27.4.5采取不正当手段诋毁、排挤其他供应商的。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bookmarkStart w:id="154" w:name="_Toc200451960"/>
      <w:r>
        <w:rPr>
          <w:rFonts w:hint="eastAsia" w:ascii="宋体" w:hAnsi="宋体" w:eastAsia="宋体" w:cs="宋体"/>
          <w:color w:val="auto"/>
          <w:sz w:val="24"/>
          <w:szCs w:val="24"/>
        </w:rPr>
        <w:t xml:space="preserve">27.5 有下列情形之一的，视为投标人串通投标，投标无效：</w:t>
      </w:r>
      <w:bookmarkEnd w:id="15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27.5.1不同投标人的投标文件由同一单位或者个人编制。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27.5.2不同投标人委托同一单位或者个人办理投标事宜。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27.5.3不同投标人的投标文件载明的项目管理成员或者联系人员为同一人。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27.5.4不同投标人的投标文件异常一致或者投标报价呈规律性差异。</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28、质疑处理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28.2.3对中标或者成交结果提出质疑的，为中标或者成交结果公告期限届满之日。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28.4供应商（含潜在供应商）对采购方式、采购需求、供应商资格条件及审查结果、评标方法和评标标准、合同文本的询问、质疑请向采购人提出，由采购人负责答复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采购人只接收以纸质原件形式送达的质疑,建议供应商尽量通过邮寄方式提交质疑（采购人不接受未填写快递运单的快件）</w:t>
      </w:r>
      <w:r/>
    </w:p>
    <w:p>
      <w:pPr>
        <w:ind w:firstLine="480"/>
        <w:jc w:val="left"/>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val="en-US" w:eastAsia="zh-CN"/>
        </w:rPr>
        <w:t xml:space="preserve">质疑受理部门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盐城市东台生态环境局         </w:t>
      </w:r>
      <w:r/>
    </w:p>
    <w:p>
      <w:pPr>
        <w:ind w:firstLine="480"/>
        <w:jc w:val="left"/>
        <w:keepLines w:val="0"/>
        <w:keepNext w:val="0"/>
        <w:pageBreakBefore w:val="0"/>
        <w:spacing w:line="360"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联系地址</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东台市金海东路1号         </w:t>
      </w:r>
      <w:r/>
    </w:p>
    <w:p>
      <w:pPr>
        <w:ind w:firstLine="480"/>
        <w:pageBreakBefore w:val="0"/>
        <w:spacing w:line="360" w:lineRule="auto"/>
        <w:widowControl/>
        <w:rPr>
          <w:rFonts w:hint="eastAsia" w:ascii="宋体" w:hAnsi="宋体" w:eastAsia="宋体" w:cs="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lang w:val="en-US" w:eastAsia="zh-CN"/>
        </w:rPr>
        <w:t xml:space="preserve">18921831881</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 以下情形的质疑不予受理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28.5.1内容不符合《政府采购质疑和投诉办法》第十二条规定的质疑。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28.5.2超出政府采购法定期限的质疑。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28.5.3以传真、电子邮件等方式递交的非原件形式的质疑。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28.5.4未参加投标活动的供应商或在投标活动中自身权益未受到损害的供应商所提出的质疑。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28.5.5供应商组成联合体参加投标，联合体中任何一方或多方未按要求签字、盖章、加盖公章的质疑。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29、中标通知书</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29.l 中标结果确定后，采购人将向中标人发出中标通知书。</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55" w:name="_Toc20823308"/>
      <w:r/>
      <w:bookmarkStart w:id="156" w:name="_Toc513029236"/>
      <w:r/>
      <w:bookmarkStart w:id="157" w:name="_Toc120614220"/>
      <w:r/>
      <w:bookmarkStart w:id="158" w:name="_Toc16938552"/>
      <w:r>
        <w:rPr>
          <w:rFonts w:hint="eastAsia" w:ascii="黑体" w:hAnsi="黑体" w:eastAsia="黑体" w:cs="黑体"/>
          <w:color w:val="auto"/>
          <w:sz w:val="28"/>
          <w:szCs w:val="28"/>
        </w:rPr>
        <w:t xml:space="preserve">七、授予合同</w:t>
      </w:r>
      <w:bookmarkEnd w:id="155"/>
      <w:r/>
      <w:bookmarkEnd w:id="156"/>
      <w:r/>
      <w:bookmarkEnd w:id="157"/>
      <w:r/>
      <w:bookmarkEnd w:id="158"/>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bookmarkStart w:id="159" w:name="_Toc20823309"/>
      <w:r/>
      <w:bookmarkStart w:id="160" w:name="_Toc16938553"/>
      <w:r/>
      <w:bookmarkStart w:id="161" w:name="_Toc513029237"/>
      <w:r>
        <w:rPr>
          <w:rFonts w:hint="eastAsia" w:ascii="黑体" w:hAnsi="黑体" w:eastAsia="黑体" w:cs="黑体"/>
          <w:color w:val="auto"/>
          <w:sz w:val="28"/>
          <w:szCs w:val="28"/>
        </w:rPr>
        <w:t xml:space="preserve">30.签订合同</w:t>
      </w:r>
      <w:bookmarkEnd w:id="159"/>
      <w:r/>
      <w:bookmarkEnd w:id="160"/>
      <w:r/>
      <w:bookmarkEnd w:id="161"/>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30.2 采购人应当自政府采购合同签订之日起2个工作日内，将政府采购合同的扫描件（PDF格式）传送《苏采云系统》实施网上备案公示。</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pageBreakBefore w:val="0"/>
        <w:spacing w:line="460" w:lineRule="exact"/>
        <w:widowControl w:val="off"/>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30.5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rPr>
      </w:pPr>
      <w:r>
        <w:rPr>
          <w:rFonts w:hint="eastAsia" w:ascii="黑体" w:hAnsi="黑体" w:eastAsia="黑体" w:cs="黑体"/>
          <w:color w:val="auto"/>
          <w:sz w:val="28"/>
          <w:szCs w:val="28"/>
        </w:rPr>
        <w:t xml:space="preserve">31、服务（包含与服务相关的货物）的追加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bookmarkStart w:id="162" w:name="_Toc120614221"/>
      <w:r/>
      <w:bookmarkStart w:id="163" w:name="_Toc20823314"/>
      <w:r/>
      <w:bookmarkStart w:id="164" w:name="_Toc513029242"/>
      <w:r/>
      <w:bookmarkStart w:id="165" w:name="_Toc479757207"/>
      <w:r/>
      <w:bookmarkStart w:id="166" w:name="_Toc16938558"/>
      <w:r>
        <w:rPr>
          <w:rFonts w:hint="eastAsia" w:ascii="宋体" w:hAnsi="宋体" w:eastAsia="宋体" w:cs="宋体"/>
          <w:color w:val="auto"/>
          <w:sz w:val="24"/>
          <w:szCs w:val="24"/>
        </w:rPr>
        <w:t xml:space="preserve">32、政府采购履约资金扶持政策</w:t>
      </w:r>
      <w:bookmarkEnd w:id="162"/>
      <w:r/>
      <w:bookmarkEnd w:id="163"/>
      <w:r/>
      <w:bookmarkEnd w:id="164"/>
      <w:r/>
      <w:bookmarkEnd w:id="165"/>
      <w:r/>
      <w:bookmarkEnd w:id="16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rPr>
          <w:rFonts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615"/>
        <w:jc w:val="center"/>
        <w:keepNext/>
        <w:spacing w:beforeAutospacing="0" w:afterAutospacing="0"/>
        <w:rPr>
          <w:color w:val="auto"/>
        </w:rPr>
        <w:outlineLvl w:val="0"/>
      </w:pPr>
      <w:r/>
      <w:bookmarkStart w:id="167" w:name="_Toc23761"/>
      <w:r>
        <w:rPr>
          <w:rFonts w:hint="eastAsia" w:ascii="黑体" w:hAnsi="宋体" w:eastAsia="黑体" w:cs="黑体"/>
          <w:color w:val="auto"/>
          <w:sz w:val="44"/>
          <w:szCs w:val="44"/>
        </w:rPr>
        <w:t xml:space="preserve">第三章  合同文本</w:t>
      </w:r>
      <w:bookmarkEnd w:id="167"/>
      <w:r/>
      <w:r/>
    </w:p>
    <w:p>
      <w:pPr>
        <w:pStyle w:val="615"/>
        <w:ind w:firstLine="480"/>
        <w:jc w:val="both"/>
        <w:spacing w:beforeAutospacing="0" w:afterAutospacing="0" w:line="0" w:lineRule="atLeast"/>
        <w:rPr>
          <w:color w:val="auto"/>
        </w:rPr>
      </w:pPr>
      <w:r/>
      <w:bookmarkStart w:id="168" w:name="_Toc513029243"/>
      <w:r/>
      <w:bookmarkStart w:id="169" w:name="_Toc20823315"/>
      <w:r/>
      <w:bookmarkStart w:id="170" w:name="_Toc16938559"/>
      <w:r/>
      <w:bookmarkStart w:id="171" w:name="_Toc479757211"/>
      <w:r/>
      <w:bookmarkStart w:id="172" w:name="_Toc462564139"/>
      <w:r/>
      <w:bookmarkStart w:id="173" w:name="_Toc23581"/>
      <w:r/>
      <w:bookmarkStart w:id="174" w:name="_Toc16938590"/>
      <w:r/>
      <w:bookmarkStart w:id="175" w:name="_Hlt16619350"/>
      <w:r/>
      <w:bookmarkStart w:id="176" w:name="_Toc120614244"/>
      <w:r/>
      <w:bookmarkStart w:id="177" w:name="_Toc20823346"/>
      <w:r/>
      <w:bookmarkStart w:id="178" w:name="_Hlt16619369"/>
      <w:r>
        <w:rPr>
          <w:rFonts w:hint="eastAsia" w:ascii="宋体" w:hAnsi="宋体" w:eastAsia="宋体" w:cs="宋体"/>
          <w:color w:val="auto"/>
        </w:rPr>
        <w:t xml:space="preserve">以下为中标后</w:t>
      </w:r>
      <w:r>
        <w:rPr>
          <w:rFonts w:hint="eastAsia" w:ascii="宋体" w:hAnsi="宋体" w:eastAsia="宋体" w:cs="宋体"/>
          <w:color w:val="auto"/>
          <w:lang w:eastAsia="zh-CN"/>
        </w:rPr>
        <w:t xml:space="preserve">签订</w:t>
      </w:r>
      <w:r>
        <w:rPr>
          <w:rFonts w:hint="eastAsia" w:ascii="宋体" w:hAnsi="宋体" w:eastAsia="宋体" w:cs="宋体"/>
          <w:color w:val="auto"/>
        </w:rPr>
        <w:t xml:space="preserve">本项目合同的通用条款，中标人不得提出实质性的修改。</w:t>
      </w:r>
      <w:bookmarkEnd w:id="168"/>
      <w:r/>
      <w:bookmarkEnd w:id="169"/>
      <w:r/>
      <w:bookmarkEnd w:id="170"/>
      <w:r>
        <w:rPr>
          <w:color w:val="auto"/>
        </w:rPr>
        <w:t xml:space="preserve"> </w:t>
      </w:r>
      <w:r/>
    </w:p>
    <w:p>
      <w:pPr>
        <w:pStyle w:val="615"/>
        <w:jc w:val="center"/>
        <w:spacing w:before="145" w:beforeAutospacing="0" w:after="145" w:afterAutospacing="0"/>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盐城市政府采购合同（服务）（合同编号）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目</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名</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称：</w:t>
      </w:r>
      <w:r>
        <w:rPr>
          <w:rFonts w:hint="eastAsia" w:ascii="宋体" w:hAnsi="宋体" w:eastAsia="宋体" w:cs="宋体"/>
          <w:color w:val="auto"/>
          <w:sz w:val="24"/>
          <w:szCs w:val="24"/>
          <w:u w:val="single"/>
          <w:lang w:eastAsia="zh-CN"/>
        </w:rPr>
        <w:t xml:space="preserve">东台市生态环境监测站点防洪影响评价报告书编制项目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目</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编</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rPr>
        <w:t xml:space="preserve">            </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甲方（买方）：</w:t>
      </w:r>
      <w:r>
        <w:rPr>
          <w:rFonts w:hint="eastAsia" w:ascii="宋体" w:hAnsi="宋体" w:eastAsia="宋体" w:cs="宋体"/>
          <w:color w:val="auto"/>
          <w:sz w:val="24"/>
          <w:szCs w:val="24"/>
          <w:u w:val="single"/>
          <w:lang w:val="en-US" w:eastAsia="zh-CN"/>
        </w:rPr>
        <w:t xml:space="preserve">盐城市东台生态环境局</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乙方（卖方）：</w:t>
      </w:r>
      <w:r>
        <w:rPr>
          <w:rFonts w:hint="eastAsia" w:ascii="宋体" w:hAnsi="宋体" w:eastAsia="宋体" w:cs="宋体"/>
          <w:color w:val="auto"/>
          <w:sz w:val="24"/>
          <w:szCs w:val="24"/>
          <w:u w:val="single"/>
        </w:rPr>
        <w:t xml:space="preserve">            </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甲、乙双方根据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东台市生态环境监测站点防洪影响评价报告书编制项目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公开招标的结果，签署本合同。</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一、合同内容</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 标的名称：</w:t>
      </w:r>
      <w:r>
        <w:rPr>
          <w:rFonts w:hint="eastAsia" w:ascii="宋体" w:hAnsi="宋体" w:eastAsia="宋体" w:cs="宋体"/>
          <w:color w:val="auto"/>
          <w:sz w:val="24"/>
          <w:szCs w:val="24"/>
          <w:lang w:eastAsia="zh-CN"/>
        </w:rPr>
        <w:t xml:space="preserve">东台市生态环境监测站点防洪影响评价报告书编制项目</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1.2标的质量：</w:t>
      </w:r>
      <w:r>
        <w:rPr>
          <w:rFonts w:hint="eastAsia" w:ascii="宋体" w:hAnsi="宋体" w:eastAsia="宋体" w:cs="宋体"/>
          <w:color w:val="auto"/>
          <w:sz w:val="24"/>
          <w:szCs w:val="24"/>
          <w:lang w:val="en-US" w:eastAsia="zh-CN"/>
        </w:rPr>
        <w:t xml:space="preserve">项目成果符合招标文件要求。</w:t>
      </w:r>
      <w:r/>
    </w:p>
    <w:p>
      <w:pPr>
        <w:pStyle w:val="615"/>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1.3 标的数量（规模）：</w:t>
      </w:r>
      <w:r>
        <w:rPr>
          <w:rFonts w:hint="eastAsia" w:ascii="宋体" w:hAnsi="宋体" w:eastAsia="宋体" w:cs="宋体"/>
          <w:color w:val="auto"/>
          <w:sz w:val="24"/>
          <w:szCs w:val="24"/>
          <w:lang w:val="en-US" w:eastAsia="zh-CN"/>
        </w:rPr>
        <w:t xml:space="preserve">为东台市31座水质自动监测站编制防洪影响评价报告书。</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 履行时间（期限）：</w:t>
      </w:r>
      <w:r>
        <w:rPr>
          <w:rFonts w:hint="eastAsia" w:ascii="宋体" w:hAnsi="宋体" w:eastAsia="宋体" w:cs="宋体"/>
          <w:color w:val="auto"/>
          <w:sz w:val="24"/>
          <w:szCs w:val="24"/>
          <w:lang w:val="en-US" w:eastAsia="zh-CN"/>
        </w:rPr>
        <w:t xml:space="preserve">3个月（自签订合同之日起）。</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 履行地点：</w:t>
      </w:r>
      <w:r>
        <w:rPr>
          <w:rFonts w:hint="eastAsia" w:ascii="宋体" w:hAnsi="宋体" w:eastAsia="宋体" w:cs="宋体"/>
          <w:color w:val="auto"/>
          <w:sz w:val="24"/>
          <w:szCs w:val="24"/>
          <w:lang w:val="en-US" w:eastAsia="zh-CN"/>
        </w:rPr>
        <w:t xml:space="preserve">江苏省盐城市东台市境内。</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1.6履行方式：</w:t>
      </w:r>
      <w:r>
        <w:rPr>
          <w:rFonts w:hint="eastAsia" w:ascii="宋体" w:hAnsi="宋体" w:eastAsia="宋体" w:cs="宋体"/>
          <w:color w:val="auto"/>
          <w:sz w:val="24"/>
          <w:szCs w:val="24"/>
          <w:lang w:val="en-US" w:eastAsia="zh-CN"/>
        </w:rPr>
        <w:t xml:space="preserve">详见招标文件采购需求。</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二、合同金额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2.1本合同金额为（大写）：______________元整（￥_______元）人民币。</w:t>
      </w:r>
      <w:r/>
    </w:p>
    <w:p>
      <w:pPr>
        <w:ind w:firstLine="480"/>
        <w:spacing w:line="360" w:lineRule="auto"/>
        <w:rPr>
          <w:color w:val="auto"/>
          <w:sz w:val="24"/>
          <w:szCs w:val="24"/>
        </w:rPr>
      </w:pPr>
      <w:r>
        <w:rPr>
          <w:rFonts w:hint="eastAsia"/>
          <w:color w:val="auto"/>
          <w:sz w:val="24"/>
          <w:szCs w:val="24"/>
        </w:rPr>
        <w:t xml:space="preserve">本合同价款包含所有乙方提供合同约定的服务报酬及乙方提供合同中服务所支出的所有费用</w:t>
      </w:r>
      <w:r>
        <w:rPr>
          <w:rFonts w:hint="eastAsia"/>
          <w:color w:val="auto"/>
          <w:sz w:val="24"/>
          <w:szCs w:val="24"/>
          <w:lang w:eastAsia="zh-CN"/>
        </w:rPr>
        <w:t xml:space="preserve">（含税费）</w:t>
      </w:r>
      <w:r>
        <w:rPr>
          <w:rFonts w:hint="eastAsia"/>
          <w:color w:val="auto"/>
          <w:sz w:val="24"/>
          <w:szCs w:val="24"/>
        </w:rPr>
        <w:t xml:space="preserve">，甲方在上述合同价款之外不再向乙方支付其他任何费用。</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三、技术资料</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3.1乙方应按招标文件规定的时间向甲方提供服务（包含与服务相关的货物）的有关技术资料。</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四、知识产权</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五、产权担保</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5.1乙方保证所交付的服务（包含与服务相关的货物）的所有权完全属于乙方且无任何抵押、查封等产权瑕疵。</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六、履约保证金</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6.1乙方交纳人民币</w:t>
      </w:r>
      <w:r>
        <w:rPr>
          <w:rFonts w:hint="eastAsia" w:ascii="宋体" w:hAnsi="宋体" w:eastAsia="宋体" w:cs="宋体"/>
          <w:color w:val="auto"/>
          <w:sz w:val="24"/>
          <w:szCs w:val="24"/>
          <w:u w:val="single"/>
          <w:lang w:val="en-US" w:eastAsia="zh-CN"/>
        </w:rPr>
        <w:t xml:space="preserve"> 中标</w:t>
      </w:r>
      <w:r>
        <w:rPr>
          <w:rFonts w:hint="eastAsia" w:ascii="宋体" w:hAnsi="宋体" w:eastAsia="宋体" w:cs="宋体"/>
          <w:color w:val="auto"/>
          <w:sz w:val="24"/>
          <w:szCs w:val="24"/>
          <w:u w:val="single"/>
        </w:rPr>
        <w:t xml:space="preserve">金额的10%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元作为本合同的履约保证金。由乙方在合同签订时向甲方提交，允许供应商自主选择以支票、汇票、本票、保函等非现金形式缴纳或提交</w:t>
      </w:r>
      <w:r>
        <w:rPr>
          <w:rFonts w:hint="eastAsia" w:ascii="宋体" w:hAnsi="宋体" w:eastAsia="宋体" w:cs="宋体"/>
          <w:color w:val="auto"/>
          <w:sz w:val="24"/>
          <w:szCs w:val="24"/>
          <w:lang w:eastAsia="zh-CN"/>
        </w:rPr>
        <w:t xml:space="preserve">，项目验收后予以</w:t>
      </w:r>
      <w:r>
        <w:rPr>
          <w:rFonts w:hint="eastAsia" w:ascii="宋体" w:hAnsi="宋体" w:eastAsia="宋体" w:cs="宋体"/>
          <w:color w:val="auto"/>
          <w:sz w:val="24"/>
          <w:szCs w:val="24"/>
        </w:rPr>
        <w:t xml:space="preserve">退还；如发现虚假应标行为，履约保证金不予退还，乙方须承担甲方因此所造成的项目延期及重新招标的损失。</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u w:val="single"/>
          <w:lang w:val="en-US" w:eastAsia="zh-CN"/>
        </w:rPr>
        <w:t xml:space="preserve"> 否 </w:t>
      </w:r>
      <w:r>
        <w:rPr>
          <w:rFonts w:hint="eastAsia" w:ascii="宋体" w:hAnsi="宋体" w:eastAsia="宋体" w:cs="宋体"/>
          <w:color w:val="auto"/>
          <w:sz w:val="24"/>
          <w:szCs w:val="24"/>
        </w:rPr>
        <w:t xml:space="preserve">免收 ，降低履约保证金缴纳比例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5</w:t>
      </w:r>
      <w:r>
        <w:rPr>
          <w:rFonts w:hint="eastAsia" w:ascii="宋体" w:hAnsi="宋体" w:eastAsia="宋体" w:cs="宋体"/>
          <w:color w:val="auto"/>
          <w:sz w:val="24"/>
          <w:szCs w:val="24"/>
          <w:u w:val="single"/>
        </w:rPr>
        <w:t xml:space="preserve">0% </w:t>
      </w:r>
      <w:r>
        <w:rPr>
          <w:rFonts w:hint="eastAsia" w:ascii="宋体" w:hAnsi="宋体" w:eastAsia="宋体" w:cs="宋体"/>
          <w:color w:val="auto"/>
          <w:sz w:val="24"/>
          <w:szCs w:val="24"/>
        </w:rPr>
        <w:t xml:space="preserve">。</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6.2合同履行结束后，甲方应及时退还交纳的履约保证金。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6.3.1方式：无息退还至投标人缴纳履约保证金的账户。如为保函，在到期时自行失效。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6.3.2时间：</w:t>
      </w:r>
      <w:r>
        <w:rPr>
          <w:rFonts w:hint="eastAsia" w:ascii="宋体" w:hAnsi="宋体" w:eastAsia="宋体" w:cs="宋体"/>
          <w:color w:val="auto"/>
          <w:sz w:val="24"/>
          <w:szCs w:val="24"/>
          <w:lang w:val="en-US" w:eastAsia="zh-CN"/>
        </w:rPr>
        <w:t xml:space="preserve">合同履行结束后</w:t>
      </w:r>
      <w:r>
        <w:rPr>
          <w:rFonts w:hint="eastAsia" w:ascii="宋体" w:hAnsi="宋体" w:eastAsia="宋体" w:cs="宋体"/>
          <w:color w:val="auto"/>
          <w:sz w:val="24"/>
          <w:szCs w:val="24"/>
          <w:highlight w:val="none"/>
        </w:rPr>
        <w:t xml:space="preserve">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6.3.3条件：按合同要求全部履约完成，且采购人收到中标人出具的发票。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6.3.4不予退还情形：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七、合同转包或分包</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7.2乙方不得将合同标的分包给他人履行。</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7.3乙方如有转包或未经甲方同意的分包行为，甲方有权解除合同。</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八、合同款项支付</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8.1合同款项的支付方式及进度安排</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u w:val="single"/>
          <w:lang w:val="zh-CN" w:eastAsia="zh-CN"/>
        </w:rPr>
      </w:pPr>
      <w:r>
        <w:rPr>
          <w:rFonts w:hint="eastAsia" w:ascii="宋体" w:hAnsi="宋体" w:eastAsia="宋体" w:cs="宋体"/>
          <w:color w:val="auto"/>
          <w:sz w:val="24"/>
          <w:szCs w:val="24"/>
          <w:u w:val="single"/>
          <w:lang w:val="zh-CN" w:eastAsia="zh-CN"/>
        </w:rPr>
        <w:t xml:space="preserve">8.1.1 合同签订后10工作日内（自收到发票之日起），</w:t>
      </w:r>
      <w:r>
        <w:rPr>
          <w:rFonts w:hint="eastAsia" w:ascii="宋体" w:hAnsi="宋体" w:eastAsia="宋体" w:cs="宋体"/>
          <w:color w:val="auto"/>
          <w:sz w:val="24"/>
          <w:szCs w:val="24"/>
          <w:u w:val="single"/>
          <w:lang w:val="en-US" w:eastAsia="zh-CN"/>
        </w:rPr>
        <w:t xml:space="preserve">甲方</w:t>
      </w:r>
      <w:r>
        <w:rPr>
          <w:rFonts w:hint="eastAsia" w:ascii="宋体" w:hAnsi="宋体" w:eastAsia="宋体" w:cs="宋体"/>
          <w:color w:val="auto"/>
          <w:sz w:val="24"/>
          <w:szCs w:val="24"/>
          <w:u w:val="single"/>
          <w:lang w:val="zh-CN" w:eastAsia="zh-CN"/>
        </w:rPr>
        <w:t xml:space="preserve">支付</w:t>
      </w:r>
      <w:r>
        <w:rPr>
          <w:rFonts w:hint="eastAsia" w:ascii="宋体" w:hAnsi="宋体" w:eastAsia="宋体" w:cs="宋体"/>
          <w:color w:val="auto"/>
          <w:sz w:val="24"/>
          <w:szCs w:val="24"/>
          <w:u w:val="single"/>
          <w:lang w:val="en-US" w:eastAsia="zh-CN"/>
        </w:rPr>
        <w:t xml:space="preserve">乙方</w:t>
      </w:r>
      <w:r>
        <w:rPr>
          <w:rFonts w:hint="eastAsia" w:ascii="宋体" w:hAnsi="宋体" w:eastAsia="宋体" w:cs="宋体"/>
          <w:color w:val="auto"/>
          <w:sz w:val="24"/>
          <w:szCs w:val="24"/>
          <w:u w:val="single"/>
          <w:lang w:val="zh-CN" w:eastAsia="zh-CN"/>
        </w:rPr>
        <w:t xml:space="preserve">合同总价的30％作为预付款；</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u w:val="single"/>
          <w:lang w:val="zh-CN" w:eastAsia="zh-CN"/>
        </w:rPr>
      </w:pPr>
      <w:r>
        <w:rPr>
          <w:rFonts w:hint="eastAsia" w:ascii="宋体" w:hAnsi="宋体" w:eastAsia="宋体" w:cs="宋体"/>
          <w:color w:val="auto"/>
          <w:sz w:val="24"/>
          <w:szCs w:val="24"/>
          <w:u w:val="single"/>
          <w:lang w:val="zh-CN" w:eastAsia="zh-CN"/>
        </w:rPr>
        <w:t xml:space="preserve">8.1.2 项目按合同履行结束，并经甲方验收后10个工作日内（自收到发票之日起），甲方支付乙方应结算金额的100%（扣除项目已支付的金额）。</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u w:val="single"/>
          <w:lang w:val="zh-CN" w:eastAsia="zh-CN"/>
        </w:rPr>
      </w:pPr>
      <w:r>
        <w:rPr>
          <w:rFonts w:hint="eastAsia" w:ascii="宋体" w:hAnsi="宋体" w:eastAsia="宋体" w:cs="宋体"/>
          <w:color w:val="auto"/>
          <w:sz w:val="24"/>
          <w:szCs w:val="24"/>
          <w:u w:val="single"/>
          <w:lang w:val="en-US" w:eastAsia="zh-CN"/>
        </w:rPr>
        <w:t xml:space="preserve">8.1.3</w:t>
      </w:r>
      <w:r>
        <w:rPr>
          <w:rFonts w:hint="eastAsia" w:ascii="宋体" w:hAnsi="宋体" w:eastAsia="宋体" w:cs="宋体"/>
          <w:color w:val="auto"/>
          <w:sz w:val="24"/>
          <w:szCs w:val="24"/>
          <w:u w:val="single"/>
          <w:lang w:val="zh-CN" w:eastAsia="zh-CN"/>
        </w:rPr>
        <w:t xml:space="preserve">每次付款前</w:t>
      </w:r>
      <w:r>
        <w:rPr>
          <w:rFonts w:hint="eastAsia" w:ascii="宋体" w:hAnsi="宋体" w:eastAsia="宋体" w:cs="宋体"/>
          <w:color w:val="auto"/>
          <w:sz w:val="24"/>
          <w:szCs w:val="24"/>
          <w:u w:val="single"/>
          <w:lang w:val="en-US" w:eastAsia="zh-CN"/>
        </w:rPr>
        <w:t xml:space="preserve">乙方</w:t>
      </w:r>
      <w:r>
        <w:rPr>
          <w:rFonts w:hint="eastAsia" w:ascii="宋体" w:hAnsi="宋体" w:eastAsia="宋体" w:cs="宋体"/>
          <w:color w:val="auto"/>
          <w:sz w:val="24"/>
          <w:szCs w:val="24"/>
          <w:u w:val="single"/>
          <w:lang w:val="zh-CN" w:eastAsia="zh-CN"/>
        </w:rPr>
        <w:t xml:space="preserve">需开具合法有效的增值税发票（开具付款金额）给</w:t>
      </w:r>
      <w:r>
        <w:rPr>
          <w:rFonts w:hint="eastAsia" w:ascii="宋体" w:hAnsi="宋体" w:eastAsia="宋体" w:cs="宋体"/>
          <w:color w:val="auto"/>
          <w:sz w:val="24"/>
          <w:szCs w:val="24"/>
          <w:u w:val="single"/>
          <w:lang w:val="en-US" w:eastAsia="zh-CN"/>
        </w:rPr>
        <w:t xml:space="preserve">甲方</w:t>
      </w:r>
      <w:r>
        <w:rPr>
          <w:rFonts w:hint="eastAsia" w:ascii="宋体" w:hAnsi="宋体" w:eastAsia="宋体" w:cs="宋体"/>
          <w:color w:val="auto"/>
          <w:sz w:val="24"/>
          <w:szCs w:val="24"/>
          <w:u w:val="single"/>
          <w:lang w:val="zh-CN" w:eastAsia="zh-CN"/>
        </w:rPr>
        <w:t xml:space="preserve">，以上付款均无银行利息，一律通过银行结转。</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九、税费</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十、项目验收</w:t>
      </w:r>
      <w:r/>
    </w:p>
    <w:p>
      <w:pPr>
        <w:pStyle w:val="621"/>
        <w:ind w:left="0" w:firstLine="480"/>
        <w:keepLines w:val="0"/>
        <w:keepNext w:val="0"/>
        <w:pageBreakBefore w:val="0"/>
        <w:spacing w:after="0" w:line="4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10.1甲方依法组织履约验收工作。甲方组织对合同履行情况进行确认，乙方应当将合同履行的成果提交甲方。采购合同的履行、违约责任和解决争议的方式等适用《民法典》。乙方在履约过程中有政府采购法律法规规定的违法违规情形的,甲方将及时报告本级财政部门。</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十一、违约责任</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w:t>
      </w:r>
      <w:r>
        <w:rPr>
          <w:rFonts w:hint="eastAsia" w:ascii="宋体" w:hAnsi="宋体" w:eastAsia="宋体" w:cs="宋体"/>
          <w:color w:val="auto"/>
          <w:sz w:val="24"/>
          <w:szCs w:val="24"/>
          <w:lang w:val="en-US" w:eastAsia="zh-CN"/>
        </w:rPr>
        <w:t xml:space="preserve">由于乙方原因，未能按约定期限提供技术服务或提供的技术服务未能实现合同需求的，每逾期一日按合同总价款的5‰向甲方支付违约金。逾期达15日，甲方有权解除合同，并要求乙方除每逾期一日按合同总价款的5‰向甲方支付违约金外，再按照合同总价款的1%支付违约金。由此给甲方造成损失的，乙方还应当赔偿损失</w:t>
      </w:r>
      <w:r>
        <w:rPr>
          <w:rFonts w:hint="eastAsia" w:ascii="宋体" w:hAnsi="宋体" w:eastAsia="宋体" w:cs="宋体"/>
          <w:color w:val="auto"/>
          <w:sz w:val="24"/>
          <w:szCs w:val="24"/>
        </w:rPr>
        <w:t xml:space="preserve">。</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11.2甲方未能及时配合提供资料或提供资料错误，造成乙方工作延期的，乙方不需支付违约金；增加工作量，甲方适当赔偿乙方损失。甲方应提供资料包含：站点建设资料。</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11.3乙方所提供服务的标准不符合合同规定及招标文件规定标准的，甲方有权拒绝接受服务，并可单方面解除合同。</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十二、不可抗力事件处理</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12.1在合同有效期内，任何一方因不可抗力事件导致不能履行合同，则合同履行期可延长，其延长期与不可抗力影响期相同。</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12.2不可抗力事件发生后，应立即通知对方，并寄送有关权威机构出具的证明。</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12.3不可抗力事件延续120天以上，双方应通过友好协商，确定是否继续履行合同。</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十三、解决争议的方法</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13.1双方在签订、履行合同中所发生的一切争议，应通过友好协商解决。如协商不成，由甲方住所地人民法院管辖。</w:t>
      </w:r>
      <w:r/>
    </w:p>
    <w:p>
      <w:pPr>
        <w:pStyle w:val="615"/>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十四、合同生效及其它</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14.1合同经双方法定代表人或授权委托代表人签字并加盖单位公章后生效。</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14.2本合同未尽事宜，遵照《民法典》、《政府采购法》有关条文执行。</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 本合同正本一式两份，具有同等法律效力，甲方、乙方各执一份。</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乙方： </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地址： </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法定代表人或授权代表：</w:t>
      </w:r>
      <w:r/>
    </w:p>
    <w:p>
      <w:pPr>
        <w:pStyle w:val="61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联系电话：          </w:t>
      </w:r>
      <w:r/>
    </w:p>
    <w:p>
      <w:pPr>
        <w:pStyle w:val="615"/>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签订日期：      年    月   日</w:t>
      </w:r>
      <w:r/>
    </w:p>
    <w:p>
      <w:pPr>
        <w:pStyle w:val="615"/>
        <w:jc w:val="center"/>
        <w:keepLines w:val="0"/>
        <w:keepNext w:val="0"/>
        <w:pageBreakBefore w:val="0"/>
        <w:spacing w:beforeAutospacing="0" w:afterAutospacing="0" w:line="360" w:lineRule="auto"/>
        <w:widowControl w:val="off"/>
        <w:rPr>
          <w:color w:val="auto"/>
        </w:rPr>
        <w:outlineLvl w:val="0"/>
      </w:pPr>
      <w:r>
        <w:rPr>
          <w:rFonts w:hint="eastAsia" w:ascii="黑体" w:hAnsi="宋体" w:eastAsia="黑体" w:cs="黑体"/>
          <w:color w:val="auto"/>
          <w:sz w:val="44"/>
          <w:szCs w:val="44"/>
        </w:rPr>
        <w:t xml:space="preserve">第</w:t>
      </w:r>
      <w:bookmarkEnd w:id="171"/>
      <w:r>
        <w:rPr>
          <w:rFonts w:hint="eastAsia" w:ascii="黑体" w:hAnsi="宋体" w:eastAsia="黑体" w:cs="黑体"/>
          <w:color w:val="auto"/>
          <w:sz w:val="44"/>
          <w:szCs w:val="44"/>
        </w:rPr>
        <w:t xml:space="preserve">四章 </w:t>
      </w:r>
      <w:bookmarkEnd w:id="172"/>
      <w:r/>
      <w:bookmarkEnd w:id="173"/>
      <w:r/>
      <w:bookmarkEnd w:id="174"/>
      <w:r/>
      <w:bookmarkEnd w:id="175"/>
      <w:r/>
      <w:bookmarkEnd w:id="176"/>
      <w:r/>
      <w:bookmarkEnd w:id="177"/>
      <w:r>
        <w:rPr>
          <w:rFonts w:hint="eastAsia" w:ascii="黑体" w:hAnsi="宋体" w:eastAsia="黑体" w:cs="黑体"/>
          <w:color w:val="auto"/>
          <w:sz w:val="44"/>
          <w:szCs w:val="44"/>
        </w:rPr>
        <w:t xml:space="preserve">采购需求</w:t>
      </w:r>
      <w:r/>
    </w:p>
    <w:p>
      <w:pPr>
        <w:pStyle w:val="615"/>
        <w:jc w:val="both"/>
        <w:spacing w:beforeAutospacing="0" w:afterAutospacing="0" w:line="0" w:lineRule="atLeast"/>
        <w:rPr>
          <w:rFonts w:hint="eastAsia" w:asciiTheme="minorEastAsia" w:hAnsiTheme="minorEastAsia" w:eastAsiaTheme="minorEastAsia" w:cstheme="minorEastAsia"/>
          <w:color w:val="auto"/>
        </w:rPr>
      </w:pPr>
      <w:r/>
      <w:bookmarkStart w:id="179" w:name="_Toc26554093"/>
      <w:r/>
      <w:bookmarkStart w:id="180" w:name="_Toc49090575"/>
      <w:r>
        <w:rPr>
          <w:rFonts w:hint="eastAsia" w:asciiTheme="minorEastAsia" w:hAnsiTheme="minorEastAsia" w:eastAsiaTheme="minorEastAsia" w:cstheme="minorEastAsia"/>
          <w:color w:val="auto"/>
        </w:rPr>
        <w:t xml:space="preserve">项目属性:服务类项目。</w:t>
      </w:r>
      <w:bookmarkEnd w:id="179"/>
      <w:r/>
      <w:bookmarkEnd w:id="180"/>
      <w:r/>
      <w:r/>
    </w:p>
    <w:p>
      <w:pPr>
        <w:pStyle w:val="615"/>
        <w:jc w:val="both"/>
        <w:spacing w:beforeAutospacing="0" w:afterAutospacing="0" w:line="0" w:lineRule="atLeast"/>
        <w:rPr>
          <w:rFonts w:hint="eastAsia" w:asciiTheme="minorEastAsia" w:hAnsiTheme="minorEastAsia" w:eastAsiaTheme="minorEastAsia" w:cstheme="minorEastAsia"/>
          <w:b/>
          <w:bCs/>
          <w:color w:val="auto"/>
          <w:lang w:val="en-US" w:eastAsia="zh-CN"/>
        </w:rPr>
      </w:pPr>
      <w:r>
        <w:rPr>
          <w:rFonts w:hint="eastAsia" w:asciiTheme="minorEastAsia" w:hAnsiTheme="minorEastAsia" w:eastAsiaTheme="minorEastAsia" w:cstheme="minorEastAsia"/>
          <w:b/>
          <w:bCs/>
          <w:color w:val="auto"/>
          <w:lang w:val="en-US" w:eastAsia="zh-CN"/>
        </w:rPr>
        <w:t xml:space="preserve">一、项目概述</w:t>
      </w:r>
      <w:r/>
    </w:p>
    <w:p>
      <w:pPr>
        <w:pStyle w:val="615"/>
        <w:ind w:firstLine="480"/>
        <w:jc w:val="both"/>
        <w:spacing w:beforeAutospacing="0" w:afterAutospacing="0" w:line="0" w:lineRule="atLeast"/>
        <w:rPr>
          <w:rFonts w:hint="eastAsia" w:asciiTheme="minorEastAsia" w:hAnsiTheme="minorEastAsia" w:eastAsiaTheme="minorEastAsia" w:cstheme="minorEastAsia"/>
          <w:color w:val="auto"/>
          <w:highlight w:val="none"/>
          <w:lang w:val="en-US" w:eastAsia="zh-CN"/>
        </w:rPr>
      </w:pPr>
      <w:r/>
      <w:bookmarkStart w:id="181" w:name="_Toc97295831"/>
      <w:r>
        <w:rPr>
          <w:rFonts w:hint="eastAsia" w:asciiTheme="minorEastAsia" w:hAnsiTheme="minorEastAsia" w:eastAsiaTheme="minorEastAsia" w:cstheme="minorEastAsia"/>
          <w:color w:val="auto"/>
          <w:highlight w:val="none"/>
          <w:lang w:val="en-US" w:eastAsia="zh-CN"/>
        </w:rPr>
        <w:t xml:space="preserve">1.1项目名称</w:t>
      </w:r>
      <w:bookmarkEnd w:id="181"/>
      <w:r>
        <w:rPr>
          <w:rFonts w:hint="eastAsia" w:asciiTheme="minorEastAsia" w:hAnsiTheme="minorEastAsia" w:eastAsiaTheme="minorEastAsia" w:cstheme="minorEastAsia"/>
          <w:color w:val="auto"/>
          <w:highlight w:val="none"/>
          <w:lang w:val="en-US" w:eastAsia="zh-CN"/>
        </w:rPr>
        <w:t xml:space="preserve">：东台市生态环境监测站点防洪影响评价报告书编制项目</w:t>
      </w:r>
      <w:r/>
    </w:p>
    <w:p>
      <w:pPr>
        <w:pStyle w:val="615"/>
        <w:ind w:firstLine="480"/>
        <w:jc w:val="both"/>
        <w:spacing w:beforeAutospacing="0" w:afterAutospacing="0" w:line="0" w:lineRule="atLeast"/>
        <w:rPr>
          <w:rFonts w:hint="eastAsia" w:asciiTheme="minorEastAsia" w:hAnsiTheme="minorEastAsia" w:eastAsiaTheme="minorEastAsia" w:cstheme="minorEastAsia"/>
          <w:color w:val="auto"/>
          <w:highlight w:val="none"/>
          <w:lang w:val="en-US" w:eastAsia="zh-CN"/>
        </w:rPr>
      </w:pPr>
      <w:r/>
      <w:bookmarkStart w:id="182" w:name="_Toc97295832"/>
      <w:r>
        <w:rPr>
          <w:rFonts w:hint="eastAsia" w:asciiTheme="minorEastAsia" w:hAnsiTheme="minorEastAsia" w:eastAsiaTheme="minorEastAsia" w:cstheme="minorEastAsia"/>
          <w:color w:val="auto"/>
          <w:highlight w:val="none"/>
          <w:lang w:val="en-US" w:eastAsia="zh-CN"/>
        </w:rPr>
        <w:t xml:space="preserve">1.2项目背景</w:t>
      </w:r>
      <w:bookmarkEnd w:id="182"/>
      <w:r>
        <w:rPr>
          <w:rFonts w:hint="eastAsia" w:asciiTheme="minorEastAsia" w:hAnsiTheme="minorEastAsia" w:eastAsiaTheme="minorEastAsia" w:cstheme="minorEastAsia"/>
          <w:color w:val="auto"/>
          <w:highlight w:val="none"/>
          <w:lang w:val="en-US" w:eastAsia="zh-CN"/>
        </w:rPr>
        <w:t xml:space="preserve">：为东台市31座水质自动监测站编制防洪影响评价报告书，并通过盐城市、东台市水行政主管部门评审，取得行政许可决定书。</w:t>
      </w:r>
      <w:r/>
    </w:p>
    <w:p>
      <w:pPr>
        <w:pStyle w:val="615"/>
        <w:ind w:firstLine="480"/>
        <w:jc w:val="both"/>
        <w:spacing w:beforeAutospacing="0" w:afterAutospacing="0" w:line="0" w:lineRule="atLeas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1.3建设目标：通过现场查勘、调研、资料收集、组织专家评审等，结合各自动站实际情况按照现行法律、法规和技术行业标准，完成31座水质自动站防洪影响评价报告书编制、出具防洪影响评价报告、组织评审及报批工作，直至取得相关行政主管部门的批复。</w:t>
      </w:r>
      <w:r/>
    </w:p>
    <w:p>
      <w:pPr>
        <w:pStyle w:val="615"/>
        <w:ind w:firstLine="480"/>
        <w:jc w:val="both"/>
        <w:spacing w:beforeAutospacing="0" w:afterAutospacing="0" w:line="0" w:lineRule="atLeas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1.4项目目标：取得31座水质自动站防洪影响评价审批手续。</w:t>
      </w:r>
      <w:r/>
    </w:p>
    <w:p>
      <w:pPr>
        <w:pStyle w:val="615"/>
        <w:ind w:firstLine="480"/>
        <w:jc w:val="both"/>
        <w:spacing w:beforeAutospacing="0" w:afterAutospacing="0" w:line="0" w:lineRule="atLeas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lang w:val="en-US" w:eastAsia="zh-CN"/>
        </w:rPr>
        <w:t xml:space="preserve">预算金额及最高限价：60万元（人民币）。</w:t>
      </w:r>
      <w:r/>
    </w:p>
    <w:p>
      <w:pPr>
        <w:pStyle w:val="615"/>
        <w:ind w:firstLine="480"/>
        <w:jc w:val="both"/>
        <w:spacing w:beforeAutospacing="0" w:afterAutospacing="0" w:line="0" w:lineRule="atLeast"/>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lang w:val="en-US" w:eastAsia="zh-CN"/>
        </w:rPr>
        <w:t xml:space="preserve">项目</w:t>
      </w:r>
      <w:r>
        <w:rPr>
          <w:rFonts w:hint="eastAsia" w:asciiTheme="minorEastAsia" w:hAnsiTheme="minorEastAsia" w:eastAsiaTheme="minorEastAsia" w:cstheme="minorEastAsia"/>
          <w:color w:val="auto"/>
          <w:highlight w:val="none"/>
          <w:lang w:val="zh-CN" w:eastAsia="zh-CN"/>
        </w:rPr>
        <w:t xml:space="preserve">清单：</w:t>
      </w:r>
      <w:r/>
    </w:p>
    <w:tbl>
      <w:tblPr>
        <w:tblStyle w:val="6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3526"/>
        <w:gridCol w:w="2512"/>
        <w:gridCol w:w="945"/>
        <w:gridCol w:w="820"/>
      </w:tblGrid>
      <w:tr>
        <w:trPr>
          <w:jc w:val="center"/>
          <w:trHeight w:val="567"/>
        </w:trPr>
        <w:tc>
          <w:tcPr>
            <w:tcW w:w="417"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tcW w:w="2070"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标的名称</w:t>
            </w:r>
            <w:r/>
          </w:p>
        </w:tc>
        <w:tc>
          <w:tcPr>
            <w:tcW w:w="1475"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品目</w:t>
            </w:r>
            <w:r/>
          </w:p>
        </w:tc>
        <w:tc>
          <w:tcPr>
            <w:tcW w:w="555"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tcW w:w="481"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r>
      <w:tr>
        <w:trPr>
          <w:jc w:val="center"/>
          <w:trHeight w:val="567"/>
        </w:trPr>
        <w:tc>
          <w:tcPr>
            <w:tcW w:w="417"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2070"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zh-CN" w:eastAsia="zh-CN" w:bidi="ar"/>
              </w:rPr>
              <w:t xml:space="preserve">东台市生态环境监测站点防洪影响评价报告书编制项目</w:t>
            </w:r>
            <w:r/>
          </w:p>
        </w:tc>
        <w:tc>
          <w:tcPr>
            <w:tcW w:w="1475"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zh-CN" w:eastAsia="zh-CN" w:bidi="ar"/>
              </w:rPr>
              <w:t xml:space="preserve">C12990000 其他水利管理服务</w:t>
            </w:r>
            <w:r/>
          </w:p>
        </w:tc>
        <w:tc>
          <w:tcPr>
            <w:tcW w:w="555"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481"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r>
    </w:tbl>
    <w:p>
      <w:pPr>
        <w:pStyle w:val="615"/>
        <w:jc w:val="both"/>
        <w:spacing w:beforeAutospacing="0" w:afterAutospacing="0" w:line="0" w:lineRule="atLeast"/>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二、项目执行的相关标准：符合国家、省、市相关标准、强制性标准，并通过相关部门审查，通过相关水行政主管部门评审。</w:t>
      </w:r>
      <w:r/>
    </w:p>
    <w:p>
      <w:pPr>
        <w:pStyle w:val="615"/>
        <w:jc w:val="both"/>
        <w:spacing w:beforeAutospacing="0" w:afterAutospacing="0" w:line="0" w:lineRule="atLeast"/>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三、技术要求：</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1、工作内容</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通过现场查勘、调研、资料收集、组织专家评审等，结合各自动站实际情况按照现行法律、法规和技术行业标准，完成31座水质自动站防洪影响评价报告书编制、出具防洪影响评价报告、组织评审及报批工作，直至取得相关行政主管部门的批复。</w:t>
      </w:r>
      <w:r/>
    </w:p>
    <w:p>
      <w:pPr>
        <w:jc w:val="center"/>
        <w:rPr>
          <w:rFonts w:hint="eastAsia" w:asciiTheme="minorEastAsia" w:hAnsiTheme="minorEastAsia" w:eastAsiaTheme="minorEastAsia" w:cstheme="minorEastAsia"/>
          <w:b/>
          <w:bCs/>
          <w:color w:val="auto"/>
          <w:sz w:val="24"/>
          <w:szCs w:val="32"/>
          <w:highlight w:val="none"/>
          <w:lang w:eastAsia="zh-CN"/>
        </w:rPr>
      </w:pPr>
      <w:r>
        <w:rPr>
          <w:rFonts w:hint="eastAsia" w:asciiTheme="minorEastAsia" w:hAnsiTheme="minorEastAsia" w:eastAsiaTheme="minorEastAsia" w:cstheme="minorEastAsia"/>
          <w:b/>
          <w:bCs/>
          <w:color w:val="auto"/>
          <w:sz w:val="24"/>
          <w:szCs w:val="32"/>
          <w:highlight w:val="none"/>
        </w:rPr>
        <w:t xml:space="preserve">东台市3</w:t>
      </w:r>
      <w:r>
        <w:rPr>
          <w:rFonts w:hint="eastAsia" w:asciiTheme="minorEastAsia" w:hAnsiTheme="minorEastAsia" w:eastAsiaTheme="minorEastAsia" w:cstheme="minorEastAsia"/>
          <w:b/>
          <w:bCs/>
          <w:color w:val="auto"/>
          <w:sz w:val="24"/>
          <w:szCs w:val="32"/>
          <w:highlight w:val="none"/>
          <w:lang w:val="en-US" w:eastAsia="zh-CN"/>
        </w:rPr>
        <w:t xml:space="preserve">1</w:t>
      </w:r>
      <w:r>
        <w:rPr>
          <w:rFonts w:hint="eastAsia" w:asciiTheme="minorEastAsia" w:hAnsiTheme="minorEastAsia" w:eastAsiaTheme="minorEastAsia" w:cstheme="minorEastAsia"/>
          <w:b/>
          <w:bCs/>
          <w:color w:val="auto"/>
          <w:sz w:val="24"/>
          <w:szCs w:val="32"/>
          <w:highlight w:val="none"/>
          <w:lang w:eastAsia="zh-CN"/>
        </w:rPr>
        <w:t xml:space="preserve">座</w:t>
      </w:r>
      <w:r>
        <w:rPr>
          <w:rFonts w:hint="eastAsia" w:asciiTheme="minorEastAsia" w:hAnsiTheme="minorEastAsia" w:eastAsiaTheme="minorEastAsia" w:cstheme="minorEastAsia"/>
          <w:b/>
          <w:bCs/>
          <w:color w:val="auto"/>
          <w:sz w:val="24"/>
          <w:szCs w:val="32"/>
          <w:highlight w:val="none"/>
        </w:rPr>
        <w:t xml:space="preserve">水质自动站汇总</w:t>
      </w:r>
      <w:r>
        <w:rPr>
          <w:rFonts w:hint="eastAsia" w:asciiTheme="minorEastAsia" w:hAnsiTheme="minorEastAsia" w:eastAsiaTheme="minorEastAsia" w:cstheme="minorEastAsia"/>
          <w:b/>
          <w:bCs/>
          <w:color w:val="auto"/>
          <w:sz w:val="24"/>
          <w:szCs w:val="32"/>
          <w:highlight w:val="none"/>
          <w:lang w:eastAsia="zh-CN"/>
        </w:rPr>
        <w:t xml:space="preserve">表</w:t>
      </w:r>
      <w:r/>
    </w:p>
    <w:tbl>
      <w:tblPr>
        <w:tblStyle w:val="6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542"/>
        <w:gridCol w:w="4971"/>
      </w:tblGrid>
      <w:tr>
        <w:trPr>
          <w:trHeight w:val="312"/>
        </w:trPr>
        <w:tc>
          <w:tcPr>
            <w:shd w:val="clear" w:color="auto" w:fill="auto"/>
            <w:tcW w:w="2080" w:type="pct"/>
            <w:vAlign w:val="center"/>
            <w:vMerge w:val="restart"/>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所在</w:t>
            </w:r>
            <w:r>
              <w:rPr>
                <w:rStyle w:val="638"/>
                <w:rFonts w:hint="eastAsia" w:asciiTheme="minorEastAsia" w:hAnsiTheme="minorEastAsia" w:eastAsiaTheme="minorEastAsia" w:cstheme="minorEastAsia"/>
                <w:color w:val="auto"/>
                <w:sz w:val="24"/>
                <w:szCs w:val="24"/>
                <w:highlight w:val="none"/>
                <w:lang w:val="en-US" w:eastAsia="zh-CN" w:bidi="ar"/>
              </w:rPr>
              <w:t xml:space="preserve">水体</w:t>
            </w:r>
            <w:r/>
          </w:p>
        </w:tc>
        <w:tc>
          <w:tcPr>
            <w:shd w:val="clear" w:color="auto" w:fill="auto"/>
            <w:tcW w:w="2919" w:type="pct"/>
            <w:vAlign w:val="center"/>
            <w:vMerge w:val="restart"/>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断面名称</w:t>
            </w:r>
            <w:r/>
          </w:p>
        </w:tc>
      </w:tr>
      <w:tr>
        <w:trPr>
          <w:trHeight w:val="23"/>
        </w:trPr>
        <w:tc>
          <w:tcPr>
            <w:shd w:val="clear" w:color="auto" w:fill="auto"/>
            <w:tcW w:w="2080" w:type="pct"/>
            <w:vAlign w:val="center"/>
            <w:vMerge w:val="restart"/>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泰东河</w:t>
            </w:r>
            <w:r/>
          </w:p>
        </w:tc>
        <w:tc>
          <w:tcPr>
            <w:shd w:val="clear" w:color="auto" w:fill="auto"/>
            <w:tcW w:w="2919"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泰东大桥</w:t>
            </w:r>
            <w:r/>
          </w:p>
        </w:tc>
      </w:tr>
      <w:tr>
        <w:trPr>
          <w:trHeight w:val="23"/>
        </w:trPr>
        <w:tc>
          <w:tcPr>
            <w:shd w:val="clear" w:color="auto" w:fill="auto"/>
            <w:tcW w:w="2080" w:type="pct"/>
            <w:vAlign w:val="center"/>
            <w:vMerge w:val="continue"/>
            <w:textDirection w:val="lrTb"/>
            <w:noWrap w:val="false"/>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val="false"/>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前进砖瓦厂站</w:t>
            </w:r>
            <w:r/>
          </w:p>
        </w:tc>
      </w:tr>
      <w:tr>
        <w:trPr>
          <w:trHeight w:val="23"/>
        </w:trPr>
        <w:tc>
          <w:tcPr>
            <w:shd w:val="clear" w:color="auto" w:fill="auto"/>
            <w:tcW w:w="2080" w:type="pct"/>
            <w:vAlign w:val="center"/>
            <w:vMerge w:val="continue"/>
            <w:textDirection w:val="lrTb"/>
            <w:noWrap w:val="false"/>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五星村站</w:t>
            </w:r>
            <w:r/>
          </w:p>
        </w:tc>
      </w:tr>
      <w:tr>
        <w:trPr>
          <w:trHeight w:val="23"/>
        </w:trPr>
        <w:tc>
          <w:tcPr>
            <w:shd w:val="clear" w:color="auto" w:fill="auto"/>
            <w:tcW w:w="2080" w:type="pct"/>
            <w:vAlign w:val="center"/>
            <w:vMerge w:val="continue"/>
            <w:textDirection w:val="lrTb"/>
            <w:noWrap w:val="false"/>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辞郎</w:t>
            </w:r>
            <w:r/>
          </w:p>
        </w:tc>
      </w:tr>
      <w:tr>
        <w:trPr>
          <w:trHeight w:val="23"/>
        </w:trPr>
        <w:tc>
          <w:tcPr>
            <w:shd w:val="clear" w:color="auto" w:fill="auto"/>
            <w:tcW w:w="2080" w:type="pct"/>
            <w:vAlign w:val="center"/>
            <w:vMerge w:val="restart"/>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通榆河</w:t>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梁一</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新灶村站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联合二组站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戴家墩站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东台河堤水站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北海桥</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蟒河渡口站</w:t>
            </w:r>
            <w:r/>
          </w:p>
        </w:tc>
      </w:tr>
      <w:tr>
        <w:trPr>
          <w:trHeight w:val="23"/>
        </w:trPr>
        <w:tc>
          <w:tcPr>
            <w:shd w:val="clear" w:color="auto" w:fill="auto"/>
            <w:tcW w:w="2080" w:type="pct"/>
            <w:vAlign w:val="center"/>
            <w:vMerge w:val="restart"/>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东台河</w:t>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富洋村站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庙子口站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胶管厂站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富民桥</w:t>
            </w:r>
            <w:r/>
          </w:p>
        </w:tc>
      </w:tr>
      <w:tr>
        <w:trPr>
          <w:trHeight w:val="23"/>
        </w:trPr>
        <w:tc>
          <w:tcPr>
            <w:shd w:val="clear" w:color="auto" w:fill="auto"/>
            <w:tcW w:w="2080"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安时河</w:t>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安时河东站</w:t>
            </w:r>
            <w:r/>
          </w:p>
        </w:tc>
      </w:tr>
      <w:tr>
        <w:trPr>
          <w:trHeight w:val="23"/>
        </w:trPr>
        <w:tc>
          <w:tcPr>
            <w:shd w:val="clear" w:color="auto" w:fill="auto"/>
            <w:tcW w:w="2080" w:type="pct"/>
            <w:vAlign w:val="center"/>
            <w:vMerge w:val="restart"/>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三仓河</w:t>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红安桥站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李灶村站</w:t>
            </w:r>
            <w:r/>
          </w:p>
        </w:tc>
      </w:tr>
      <w:tr>
        <w:trPr>
          <w:trHeight w:val="23"/>
        </w:trPr>
        <w:tc>
          <w:tcPr>
            <w:shd w:val="clear" w:color="auto" w:fill="auto"/>
            <w:tcW w:w="2080" w:type="pct"/>
            <w:vAlign w:val="center"/>
            <w:vMerge w:val="restart"/>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串场河</w:t>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串场河中桥站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梁北村站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宁海大桥站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廉贻大桥</w:t>
            </w:r>
            <w:r/>
          </w:p>
        </w:tc>
      </w:tr>
      <w:tr>
        <w:trPr>
          <w:trHeight w:val="23"/>
        </w:trPr>
        <w:tc>
          <w:tcPr>
            <w:shd w:val="clear" w:color="auto" w:fill="auto"/>
            <w:tcW w:w="2080" w:type="pct"/>
            <w:vAlign w:val="center"/>
            <w:vMerge w:val="restart"/>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梁垛河</w:t>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陶灶大桥站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元兴村站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陈丿村站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徐墩村站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联北桥站</w:t>
            </w:r>
            <w:r/>
          </w:p>
        </w:tc>
      </w:tr>
      <w:tr>
        <w:trPr>
          <w:trHeight w:val="23"/>
        </w:trPr>
        <w:tc>
          <w:tcPr>
            <w:shd w:val="clear" w:color="auto" w:fill="auto"/>
            <w:tcW w:w="2080" w:type="pct"/>
            <w:vAlign w:val="center"/>
            <w:vMerge w:val="continue"/>
            <w:textDirection w:val="lrTb"/>
            <w:noWrap/>
          </w:tcPr>
          <w:p>
            <w:pPr>
              <w:jc w:val="center"/>
              <w:keepLines w:val="0"/>
              <w:keepNext w:val="0"/>
              <w:pageBreakBefore w:val="0"/>
              <w:spacing w:line="0" w:lineRule="atLeas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海堤桥</w:t>
            </w:r>
            <w:r/>
          </w:p>
        </w:tc>
      </w:tr>
      <w:tr>
        <w:trPr>
          <w:trHeight w:val="23"/>
        </w:trPr>
        <w:tc>
          <w:tcPr>
            <w:shd w:val="clear" w:color="auto" w:fill="auto"/>
            <w:tcW w:w="2080"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何垛河</w:t>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布厂东</w:t>
            </w:r>
            <w:r/>
          </w:p>
        </w:tc>
      </w:tr>
      <w:tr>
        <w:trPr>
          <w:trHeight w:val="23"/>
        </w:trPr>
        <w:tc>
          <w:tcPr>
            <w:shd w:val="clear" w:color="auto" w:fill="auto"/>
            <w:tcW w:w="2080"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蚌蜒河</w:t>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蚌蜒河中桥站</w:t>
            </w:r>
            <w:r/>
          </w:p>
        </w:tc>
      </w:tr>
      <w:tr>
        <w:trPr>
          <w:trHeight w:val="23"/>
        </w:trPr>
        <w:tc>
          <w:tcPr>
            <w:shd w:val="clear" w:color="auto" w:fill="auto"/>
            <w:tcW w:w="2080"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广山河</w:t>
            </w:r>
            <w:r/>
          </w:p>
        </w:tc>
        <w:tc>
          <w:tcPr>
            <w:shd w:val="clear" w:color="auto" w:fill="auto"/>
            <w:tcW w:w="2919" w:type="pct"/>
            <w:vAlign w:val="center"/>
            <w:textDirection w:val="lrTb"/>
            <w:noWrap/>
          </w:tcPr>
          <w:p>
            <w:pPr>
              <w:jc w:val="center"/>
              <w:keepLines w:val="0"/>
              <w:keepNext w:val="0"/>
              <w:pageBreakBefore w:val="0"/>
              <w:spacing w:line="0" w:lineRule="atLeas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广山河口桥站</w:t>
            </w:r>
            <w:r/>
          </w:p>
        </w:tc>
      </w:tr>
    </w:tbl>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2、工作要求：</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b/>
          <w:bCs/>
          <w:color w:val="auto"/>
          <w:sz w:val="24"/>
          <w:szCs w:val="24"/>
          <w:highlight w:val="yellow"/>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符合国家、省、市相关标准、强制性标准，并通过相关部门审查，通过相关水行政主管部门评审。</w:t>
      </w:r>
      <w:r/>
    </w:p>
    <w:p>
      <w:pPr>
        <w:pStyle w:val="625"/>
        <w:keepLines w:val="0"/>
        <w:keepNext w:val="0"/>
        <w:pageBreakBefore w:val="0"/>
        <w:spacing w:line="0" w:lineRule="atLeas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四、商务要求</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（一）</w:t>
      </w:r>
      <w:r>
        <w:rPr>
          <w:rFonts w:hint="eastAsia" w:asciiTheme="minorEastAsia" w:hAnsiTheme="minorEastAsia" w:eastAsiaTheme="minorEastAsia" w:cstheme="minorEastAsia"/>
          <w:color w:val="auto"/>
          <w:sz w:val="24"/>
          <w:szCs w:val="24"/>
          <w:highlight w:val="none"/>
          <w:lang w:val="en-US" w:eastAsia="zh-CN"/>
        </w:rPr>
        <w:t xml:space="preserve">服务期限：3个月（自签订合同之日起）。</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lang w:val="zh-CN" w:eastAsia="zh-CN"/>
        </w:rPr>
        <w:t xml:space="preserve">地点：</w:t>
      </w:r>
      <w:r>
        <w:rPr>
          <w:rFonts w:hint="eastAsia" w:asciiTheme="minorEastAsia" w:hAnsiTheme="minorEastAsia" w:eastAsiaTheme="minorEastAsia" w:cstheme="minorEastAsia"/>
          <w:color w:val="auto"/>
          <w:sz w:val="24"/>
          <w:szCs w:val="24"/>
          <w:highlight w:val="none"/>
          <w:lang w:val="en-US" w:eastAsia="zh-CN"/>
        </w:rPr>
        <w:t xml:space="preserve">江苏省盐城市东台市境内。</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val="zh-CN" w:eastAsia="zh-CN"/>
        </w:rPr>
        <w:t xml:space="preserve">）付款</w:t>
      </w:r>
      <w:r>
        <w:rPr>
          <w:rFonts w:hint="eastAsia" w:asciiTheme="minorEastAsia" w:hAnsiTheme="minorEastAsia" w:eastAsiaTheme="minorEastAsia" w:cstheme="minorEastAsia"/>
          <w:color w:val="auto"/>
          <w:sz w:val="24"/>
          <w:szCs w:val="24"/>
          <w:highlight w:val="none"/>
          <w:lang w:val="en-US" w:eastAsia="zh-CN"/>
        </w:rPr>
        <w:t xml:space="preserve">方式</w:t>
      </w:r>
      <w:r>
        <w:rPr>
          <w:rFonts w:hint="eastAsia" w:asciiTheme="minorEastAsia" w:hAnsiTheme="minorEastAsia" w:eastAsiaTheme="minorEastAsia" w:cstheme="minorEastAsia"/>
          <w:color w:val="auto"/>
          <w:sz w:val="24"/>
          <w:szCs w:val="24"/>
          <w:highlight w:val="none"/>
          <w:lang w:val="zh-CN" w:eastAsia="zh-CN"/>
        </w:rPr>
        <w:t xml:space="preserve">：</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（1）合同签订后10工作日内（自收到发票之日起），采购人支付供应商合同总价的30％作为预付款；</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（2）</w:t>
      </w:r>
      <w:r>
        <w:rPr>
          <w:rFonts w:hint="eastAsia" w:asciiTheme="minorEastAsia" w:hAnsiTheme="minorEastAsia" w:eastAsiaTheme="minorEastAsia" w:cstheme="minorEastAsia"/>
          <w:color w:val="auto"/>
          <w:sz w:val="24"/>
          <w:szCs w:val="24"/>
          <w:u w:val="none"/>
          <w:lang w:val="zh-CN" w:eastAsia="zh-CN"/>
        </w:rPr>
        <w:t xml:space="preserve">项目按合同履行结束，并经甲方验收</w:t>
      </w:r>
      <w:r>
        <w:rPr>
          <w:rFonts w:hint="eastAsia" w:asciiTheme="minorEastAsia" w:hAnsiTheme="minorEastAsia" w:eastAsiaTheme="minorEastAsia" w:cstheme="minorEastAsia"/>
          <w:color w:val="auto"/>
          <w:sz w:val="24"/>
          <w:szCs w:val="24"/>
          <w:highlight w:val="none"/>
          <w:lang w:val="zh-CN" w:eastAsia="zh-CN"/>
        </w:rPr>
        <w:t xml:space="preserve">后10个工作日内（自收到发票之日起），采购人支付供应商应结算金额的100%（扣除项目已支付的金额）。</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每次付款前供应商需开具合法有效的增值税发票（开具付款金额）给采购人，以上付款均无银行利息，一律通过银行结转。</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zh-CN" w:eastAsia="zh-CN"/>
        </w:rPr>
        <w:t xml:space="preserve">）售后服务</w:t>
      </w:r>
      <w:r>
        <w:rPr>
          <w:rFonts w:hint="eastAsia" w:asciiTheme="minorEastAsia" w:hAnsiTheme="minorEastAsia" w:eastAsiaTheme="minorEastAsia" w:cstheme="minorEastAsia"/>
          <w:color w:val="auto"/>
          <w:sz w:val="24"/>
          <w:szCs w:val="24"/>
          <w:highlight w:val="none"/>
          <w:lang w:val="en-US" w:eastAsia="zh-CN"/>
        </w:rPr>
        <w:t xml:space="preserve">内容、要求和期限：</w:t>
      </w:r>
      <w:r>
        <w:rPr>
          <w:rFonts w:hint="eastAsia" w:asciiTheme="minorEastAsia" w:hAnsiTheme="minorEastAsia" w:eastAsiaTheme="minorEastAsia" w:cstheme="minorEastAsia"/>
          <w:color w:val="auto"/>
          <w:sz w:val="24"/>
          <w:szCs w:val="24"/>
          <w:highlight w:val="none"/>
          <w:lang w:val="zh-CN" w:eastAsia="zh-CN"/>
        </w:rPr>
        <w:t xml:space="preserve">有关部门、单位进行调查、查阅报告所需的信息，</w:t>
      </w:r>
      <w:r>
        <w:rPr>
          <w:rFonts w:hint="eastAsia" w:asciiTheme="minorEastAsia" w:hAnsiTheme="minorEastAsia" w:eastAsiaTheme="minorEastAsia" w:cstheme="minorEastAsia"/>
          <w:color w:val="auto"/>
          <w:sz w:val="24"/>
          <w:szCs w:val="24"/>
          <w:highlight w:val="none"/>
          <w:lang w:val="en-US" w:eastAsia="zh-CN"/>
        </w:rPr>
        <w:t xml:space="preserve">中标人</w:t>
      </w:r>
      <w:r>
        <w:rPr>
          <w:rFonts w:hint="eastAsia" w:asciiTheme="minorEastAsia" w:hAnsiTheme="minorEastAsia" w:eastAsiaTheme="minorEastAsia" w:cstheme="minorEastAsia"/>
          <w:color w:val="auto"/>
          <w:sz w:val="24"/>
          <w:szCs w:val="24"/>
          <w:highlight w:val="none"/>
          <w:lang w:val="zh-CN" w:eastAsia="zh-CN"/>
        </w:rPr>
        <w:t xml:space="preserve">须进行配合。</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val="zh-CN" w:eastAsia="zh-CN"/>
        </w:rPr>
        <w:t xml:space="preserve">）结算方式：采购人应结算金额按中标供应商合同价结算。</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lang w:val="zh-CN" w:eastAsia="zh-CN"/>
        </w:rPr>
        <w:t xml:space="preserve">）其他</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成果要求</w:t>
      </w:r>
      <w:r>
        <w:rPr>
          <w:rFonts w:hint="eastAsia" w:asciiTheme="minorEastAsia" w:hAnsiTheme="minorEastAsia" w:eastAsiaTheme="minorEastAsia" w:cstheme="minorEastAsia"/>
          <w:color w:val="auto"/>
          <w:sz w:val="24"/>
          <w:szCs w:val="24"/>
          <w:highlight w:val="none"/>
          <w:lang w:val="zh-CN" w:eastAsia="zh-CN"/>
        </w:rPr>
        <w:t xml:space="preserve">：通过现场查勘、调研、资料收集、组织专家评审等，结合各自动站实际情况按照现行法律、法规和技术行业标准，完成31座水质自动站防洪影响评价报告书编制、出具防洪影响评价报告、组织评审及报批工作，直至取得相关行政主管部门的批复</w:t>
      </w:r>
      <w:r>
        <w:rPr>
          <w:rFonts w:hint="eastAsia" w:asciiTheme="minorEastAsia" w:hAnsiTheme="minorEastAsia" w:eastAsiaTheme="minorEastAsia" w:cstheme="minorEastAsia"/>
          <w:color w:val="auto"/>
          <w:sz w:val="24"/>
          <w:szCs w:val="24"/>
          <w:highlight w:val="none"/>
          <w:lang w:val="en-US" w:eastAsia="zh-CN"/>
        </w:rPr>
        <w:t xml:space="preserve">；</w:t>
      </w:r>
      <w:r/>
    </w:p>
    <w:p>
      <w:pPr>
        <w:pStyle w:val="625"/>
        <w:ind w:left="0" w:firstLine="480"/>
        <w:keepLines w:val="0"/>
        <w:keepNext w:val="0"/>
        <w:pageBreakBefore w:val="0"/>
        <w:spacing w:line="0" w:lineRule="atLeas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2、验收方法：成果通过盐城市东台生态环境局</w:t>
      </w:r>
      <w:r>
        <w:rPr>
          <w:rFonts w:hint="eastAsia" w:asciiTheme="minorEastAsia" w:hAnsiTheme="minorEastAsia" w:eastAsiaTheme="minorEastAsia" w:cstheme="minorEastAsia"/>
          <w:color w:val="auto"/>
          <w:sz w:val="24"/>
          <w:szCs w:val="24"/>
          <w:highlight w:val="none"/>
          <w:lang w:val="en-US" w:eastAsia="zh-CN"/>
        </w:rPr>
        <w:t xml:space="preserve">组织的验收。</w:t>
      </w:r>
      <w:r/>
    </w:p>
    <w:p>
      <w:pPr>
        <w:pStyle w:val="625"/>
        <w:keepLines w:val="0"/>
        <w:keepNext w:val="0"/>
        <w:pageBreakBefore w:val="0"/>
        <w:spacing w:line="0" w:lineRule="atLeas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五、采购标的对应的中小企业划分标准所属行业一览表</w:t>
      </w:r>
      <w:r/>
    </w:p>
    <w:tbl>
      <w:tblPr>
        <w:tblStyle w:val="605"/>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582"/>
        <w:gridCol w:w="5247"/>
        <w:gridCol w:w="2707"/>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pStyle w:val="615"/>
              <w:jc w:val="center"/>
              <w:spacing w:beforeAutospacing="0" w:afterAutospacing="0" w:line="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3" w:type="pct"/>
            <w:vAlign w:val="center"/>
            <w:textDirection w:val="lrTb"/>
            <w:noWrap w:val="false"/>
          </w:tcPr>
          <w:p>
            <w:pPr>
              <w:pStyle w:val="615"/>
              <w:jc w:val="center"/>
              <w:spacing w:beforeAutospacing="0" w:afterAutospacing="0" w:line="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615"/>
              <w:jc w:val="center"/>
              <w:spacing w:beforeAutospacing="0" w:afterAutospacing="0" w:line="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pStyle w:val="615"/>
              <w:jc w:val="center"/>
              <w:spacing w:beforeAutospacing="0" w:afterAutospacing="0" w:line="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3" w:type="pct"/>
            <w:vAlign w:val="center"/>
            <w:textDirection w:val="lrTb"/>
            <w:noWrap w:val="false"/>
          </w:tcPr>
          <w:p>
            <w:pPr>
              <w:pStyle w:val="615"/>
              <w:jc w:val="center"/>
              <w:spacing w:beforeAutospacing="0" w:afterAutospacing="0" w:line="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东台市生态环境监测站点防洪影响评价报告书编制项目</w:t>
            </w:r>
            <w:r>
              <w:rPr>
                <w:rFonts w:hint="eastAsia" w:asciiTheme="minorEastAsia" w:hAnsiTheme="minorEastAsia" w:eastAsiaTheme="minorEastAsia" w:cstheme="min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615"/>
              <w:jc w:val="center"/>
              <w:spacing w:beforeAutospacing="0" w:afterAutospacing="0" w:line="0" w:lineRule="atLeas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lang w:val="en-US" w:eastAsia="zh-CN"/>
              </w:rPr>
              <w:t xml:space="preserve">其他未列明</w:t>
            </w:r>
            <w:r/>
          </w:p>
        </w:tc>
      </w:tr>
    </w:tbl>
    <w:p>
      <w:pPr>
        <w:rPr>
          <w:color w:val="auto"/>
        </w:rPr>
      </w:pPr>
      <w:r>
        <w:rPr>
          <w:color w:val="auto"/>
        </w:rPr>
      </w:r>
      <w:r/>
    </w:p>
    <w:p>
      <w:pPr>
        <w:shd w:val="nil"/>
        <w:rPr>
          <w:color w:val="auto"/>
        </w:rPr>
        <w:outlineLvl w:val="0"/>
      </w:pPr>
      <w:r>
        <w:rPr>
          <w:highlight w:val="none"/>
        </w:rPr>
        <w:br w:type="page" w:clear="all"/>
      </w:r>
      <w:r>
        <w:rPr>
          <w:highlight w:val="none"/>
        </w:rPr>
      </w:r>
    </w:p>
    <w:p>
      <w:pPr>
        <w:pStyle w:val="615"/>
        <w:jc w:val="center"/>
        <w:keepNext/>
        <w:spacing w:beforeAutospacing="0" w:afterAutospacing="0"/>
        <w:rPr>
          <w:highlight w:val="none"/>
        </w:rPr>
        <w:outlineLvl w:val="0"/>
      </w:pPr>
      <w:r/>
      <w:bookmarkStart w:id="183" w:name="_Toc13969"/>
      <w:r/>
      <w:bookmarkStart w:id="184" w:name="_Toc120614281"/>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评标方法与评标标准</w:t>
      </w:r>
      <w:bookmarkEnd w:id="183"/>
      <w:r/>
      <w:r/>
    </w:p>
    <w:p>
      <w:pPr>
        <w:pStyle w:val="615"/>
        <w:jc w:val="both"/>
        <w:spacing w:beforeAutospacing="0" w:afterAutospacing="0"/>
        <w:rPr>
          <w:color w:val="auto"/>
        </w:rPr>
      </w:pPr>
      <w:r>
        <w:rPr>
          <w:color w:val="auto"/>
        </w:rPr>
        <w:t xml:space="preserve"> </w:t>
      </w:r>
      <w:r/>
    </w:p>
    <w:p>
      <w:pPr>
        <w:pStyle w:val="615"/>
        <w:ind w:firstLine="439"/>
        <w:spacing w:before="120" w:beforeAutospacing="0" w:after="120" w:afterAutospacing="0" w:line="360" w:lineRule="auto"/>
        <w:rPr>
          <w:color w:val="auto"/>
          <w:highlight w:val="none"/>
        </w:rPr>
      </w:pPr>
      <w:r>
        <w:rPr>
          <w:rFonts w:hint="eastAsia" w:ascii="宋体" w:hAnsi="宋体" w:eastAsia="宋体" w:cs="宋体"/>
          <w:color w:val="auto"/>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default" w:ascii="宋体" w:hAnsi="宋体" w:eastAsia="宋体" w:cs="宋体"/>
          <w:color w:val="auto"/>
          <w:highlight w:val="none"/>
        </w:rPr>
        <w:t xml:space="preserve">本项目选取1家中标候选人</w:t>
      </w:r>
      <w:r>
        <w:rPr>
          <w:rFonts w:ascii="Arial" w:hAnsi="Arial" w:cs="Arial"/>
          <w:color w:val="auto"/>
          <w:highlight w:val="none"/>
        </w:rPr>
        <w:t xml:space="preserve">。</w:t>
      </w:r>
      <w:r/>
    </w:p>
    <w:p>
      <w:pPr>
        <w:pStyle w:val="615"/>
        <w:ind w:firstLine="441"/>
        <w:spacing w:before="120" w:beforeAutospacing="0" w:after="120" w:afterAutospacing="0" w:line="360" w:lineRule="auto"/>
        <w:rPr>
          <w:color w:val="auto"/>
          <w:highlight w:val="none"/>
        </w:rPr>
      </w:pPr>
      <w:r>
        <w:rPr>
          <w:rFonts w:hint="eastAsia" w:ascii="宋体" w:hAnsi="宋体" w:eastAsia="宋体" w:cs="宋体"/>
          <w:b/>
          <w:color w:val="auto"/>
          <w:highlight w:val="none"/>
        </w:rPr>
        <w:t xml:space="preserve">政府采购政策功能落实</w:t>
      </w:r>
      <w:r/>
    </w:p>
    <w:p>
      <w:pPr>
        <w:pStyle w:val="615"/>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1、小微型企业价格扣除</w:t>
      </w:r>
      <w:r/>
    </w:p>
    <w:p>
      <w:pPr>
        <w:pStyle w:val="615"/>
        <w:ind w:firstLine="36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（1）本项目对小型和微型企业提供的服务给予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的扣除价格，用扣除后的价格参与评审。</w:t>
      </w:r>
      <w:r/>
    </w:p>
    <w:p>
      <w:pPr>
        <w:pStyle w:val="615"/>
        <w:ind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615"/>
        <w:ind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615"/>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2、残疾人福利单位价格扣除</w:t>
      </w:r>
      <w:r/>
    </w:p>
    <w:p>
      <w:pPr>
        <w:pStyle w:val="615"/>
        <w:ind w:left="120" w:firstLine="36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p>
    <w:p>
      <w:pPr>
        <w:pStyle w:val="615"/>
        <w:ind w:left="120"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15"/>
        <w:ind w:left="120" w:firstLine="36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15"/>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3、监狱和戒毒企业价格扣除</w:t>
      </w:r>
      <w:r/>
    </w:p>
    <w:p>
      <w:pPr>
        <w:pStyle w:val="615"/>
        <w:ind w:firstLine="48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p>
    <w:p>
      <w:pPr>
        <w:pStyle w:val="615"/>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15"/>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615"/>
        <w:ind w:firstLine="480"/>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615"/>
        <w:ind w:firstLine="48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15"/>
        <w:ind w:firstLine="48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8、供应商对于投标产品的商品包装、快递包装应按照“财办库〔2020〕123号《关于印发《商品包装政府采购需求标准（试行）》、《快递包装政府采购需求标准（试行）》的通知》”执行。</w:t>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9、本文件中若涉及到数据中心采购，应按照《&lt;绿色数据中心政府采购需求标准（试行）&gt;的通知》（财库〔2023〕7号）执行。</w:t>
      </w:r>
      <w:r/>
    </w:p>
    <w:p>
      <w:pPr>
        <w:pStyle w:val="615"/>
        <w:ind w:firstLine="473"/>
        <w:spacing w:before="120" w:beforeAutospacing="0" w:after="120" w:afterAutospacing="0" w:line="0" w:lineRule="atLeast"/>
        <w:rPr>
          <w:color w:val="auto"/>
        </w:rPr>
      </w:pPr>
      <w:r>
        <w:rPr>
          <w:rFonts w:hint="eastAsia" w:ascii="宋体" w:hAnsi="宋体" w:eastAsia="宋体" w:cs="宋体"/>
          <w:color w:val="auto"/>
        </w:rPr>
        <w:t xml:space="preserve">10、根据《江苏省政府采购信用管理暂行办法》的规定，供应商信用评价结果为三星的扣2分，评价结果为二星的扣3分，评价结果为一星的扣4分。</w:t>
      </w:r>
      <w:r/>
    </w:p>
    <w:p>
      <w:pPr>
        <w:pStyle w:val="615"/>
        <w:ind w:firstLine="482"/>
        <w:spacing w:before="120" w:beforeAutospacing="0" w:after="120" w:afterAutospacing="0" w:line="0" w:lineRule="atLeast"/>
        <w:rPr>
          <w:color w:val="auto"/>
        </w:rPr>
      </w:pPr>
      <w:r>
        <w:rPr>
          <w:rFonts w:hint="eastAsia" w:ascii="宋体" w:hAnsi="宋体" w:eastAsia="宋体" w:cs="宋体"/>
          <w:b/>
          <w:color w:val="auto"/>
        </w:rPr>
        <w:t xml:space="preserve">评标方法与评标标准</w:t>
      </w:r>
      <w:r/>
    </w:p>
    <w:p>
      <w:pPr>
        <w:pStyle w:val="615"/>
        <w:ind w:firstLine="473"/>
        <w:spacing w:before="120" w:beforeAutospacing="0" w:after="120" w:afterAutospacing="0" w:line="0" w:lineRule="atLeast"/>
        <w:rPr>
          <w:color w:val="auto"/>
        </w:rPr>
      </w:pPr>
      <w:r>
        <w:rPr>
          <w:rFonts w:hint="eastAsia" w:ascii="宋体" w:hAnsi="宋体" w:eastAsia="宋体" w:cs="宋体"/>
          <w:color w:val="auto"/>
        </w:rPr>
        <w:t xml:space="preserve">本项目评分总分值为100分。 </w:t>
      </w:r>
      <w:r/>
    </w:p>
    <w:tbl>
      <w:tblPr>
        <w:tblStyle w:val="6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233"/>
        <w:gridCol w:w="1233"/>
        <w:gridCol w:w="850"/>
        <w:gridCol w:w="4603"/>
      </w:tblGrid>
      <w:tr>
        <w:trPr>
          <w:jc w:val="center"/>
          <w:trHeight w:val="544"/>
          <w:tblHeader/>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序</w:t>
            </w:r>
            <w:r>
              <w:rPr>
                <w:rFonts w:hint="eastAsia" w:ascii="宋体" w:hAnsi="宋体" w:eastAsia="宋体" w:cs="宋体"/>
                <w:b w:val="0"/>
                <w:bCs w:val="0"/>
                <w:color w:val="auto"/>
                <w:sz w:val="24"/>
                <w:szCs w:val="24"/>
                <w:highlight w:val="none"/>
                <w:lang w:val="en-US" w:eastAsia="zh-CN"/>
              </w:rPr>
              <w:t xml:space="preserve">号</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分部内容</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2702" w:type="pct"/>
            <w:vAlign w:val="center"/>
            <w:textDirection w:val="lrTb"/>
            <w:noWrap w:val="false"/>
          </w:tcPr>
          <w:p>
            <w:pPr>
              <w:ind w:firstLine="480"/>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0" w:lineRule="atLeas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2702" w:type="pct"/>
            <w:vAlign w:val="center"/>
            <w:textDirection w:val="lrTb"/>
            <w:noWrap w:val="false"/>
          </w:tcPr>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满足招标文件要求且投标价格最低的投标报价为基准价，其价格分为满分。报价得分=(评标基准价/投标报价)</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w:t>
            </w:r>
            <w:r/>
          </w:p>
          <w:p>
            <w:pPr>
              <w:ind w:firstLine="482"/>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注：因本项目为专门面向中小企业采购的项目，不再执行价格评审优惠的扶持政策。</w:t>
            </w:r>
            <w:r/>
          </w:p>
        </w:tc>
      </w:tr>
      <w:tr>
        <w:trPr>
          <w:jc w:val="center"/>
          <w:trHeight w:val="2500"/>
        </w:trPr>
        <w:tc>
          <w:tcPr>
            <w:tcBorders>
              <w:top w:val="single" w:color="auto" w:sz="4" w:space="0"/>
              <w:left w:val="single" w:color="auto" w:sz="4" w:space="0"/>
              <w:right w:val="single" w:color="auto" w:sz="4" w:space="0"/>
            </w:tcBorders>
            <w:tcW w:w="349"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技术</w:t>
            </w:r>
            <w:r>
              <w:rPr>
                <w:rFonts w:hint="eastAsia" w:ascii="宋体" w:hAnsi="宋体" w:eastAsia="宋体" w:cs="宋体"/>
                <w:b w:val="0"/>
                <w:bCs w:val="0"/>
                <w:color w:val="auto"/>
                <w:sz w:val="24"/>
                <w:szCs w:val="24"/>
                <w:highlight w:val="none"/>
              </w:rPr>
              <w:t xml:space="preserve">部分</w:t>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技术方案</w:t>
            </w:r>
            <w:r/>
          </w:p>
        </w:tc>
        <w:tc>
          <w:tcPr>
            <w:tcBorders>
              <w:top w:val="single" w:color="auto" w:sz="4" w:space="0"/>
              <w:left w:val="single" w:color="auto" w:sz="4" w:space="0"/>
              <w:right w:val="single" w:color="auto" w:sz="4" w:space="0"/>
            </w:tcBorders>
            <w:tcW w:w="499" w:type="pct"/>
            <w:vAlign w:val="center"/>
            <w:textDirection w:val="lrTb"/>
            <w:noWrap w:val="false"/>
          </w:tcPr>
          <w:p>
            <w:pPr>
              <w:jc w:val="center"/>
              <w:keepLines w:val="0"/>
              <w:keepNext w:val="0"/>
              <w:pageBreakBefore w:val="0"/>
              <w:spacing w:line="0" w:lineRule="atLeas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2702" w:type="pct"/>
            <w:vAlign w:val="center"/>
            <w:textDirection w:val="lrTb"/>
            <w:noWrap w:val="false"/>
          </w:tcPr>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1、组织机构</w:t>
            </w:r>
            <w:r/>
          </w:p>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项目管理机构的配备，管理人员、专业技术人员，是否满足项目招标需要的合理程度。内容不全或措施不尽合理的得1-2分；内容较全或措施较合理的得3-5分；内容全面、措施合理、满足项目需求的得6-7分；未提供的此项不得分。</w:t>
            </w:r>
            <w:r/>
          </w:p>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2、质量保证措施</w:t>
            </w:r>
            <w:r/>
          </w:p>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其质量保证体系和保证措施是否齐全得力，能否保证招标质量达到承诺标准。内容不全或措施不尽合理的得1-2分；内容较全或措施较合理的得3-5分；内容全面、措施合理、满足项目需求的得6-7分；未提供的此项不得分。</w:t>
            </w:r>
            <w:r/>
          </w:p>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3、进度保证措施</w:t>
            </w:r>
            <w:r/>
          </w:p>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评委根据进度计划和各阶段进度的保证措施安排合理、保证措施可行。内容不全或措施不尽合理的得1-2分；内容较全或措施较合理的得3-5分；内容全面、措施合理、满足项目需求的得6-7分；未提供的此项不得分。</w:t>
            </w:r>
            <w:r/>
          </w:p>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4、优质服务措施</w:t>
            </w:r>
            <w:r/>
          </w:p>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评委根据优质服务措施齐全，保证措施得力可行。内容不全或措施不尽合理的得1-2分；内容较全或措施较合理的得3-5分；内容全面、措施合理、满足项目需求的得6-7分；未提供的此项不得分。</w:t>
            </w:r>
            <w:r/>
          </w:p>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5、廉政建设情况</w:t>
            </w:r>
            <w:r/>
          </w:p>
          <w:p>
            <w:pPr>
              <w:ind w:firstLine="480"/>
              <w:keepLines w:val="0"/>
              <w:keepNext w:val="0"/>
              <w:pageBreakBefore w:val="0"/>
              <w:spacing w:line="0" w:lineRule="atLeast"/>
              <w:widowControl w:val="off"/>
              <w:rPr>
                <w:rFonts w:hint="eastAsia"/>
                <w:color w:val="auto"/>
                <w:lang w:val="en-US"/>
              </w:rPr>
            </w:pPr>
            <w:r>
              <w:rPr>
                <w:rFonts w:hint="eastAsia" w:ascii="宋体" w:hAnsi="宋体" w:eastAsia="宋体" w:cs="宋体"/>
                <w:b w:val="0"/>
                <w:bCs w:val="0"/>
                <w:color w:val="auto"/>
                <w:sz w:val="24"/>
                <w:szCs w:val="24"/>
                <w:highlight w:val="none"/>
                <w:lang w:val="en-US" w:eastAsia="zh-CN"/>
              </w:rPr>
              <w:t xml:space="preserve">评委根据廉政建设的保证措施是否得力可行。内容不全或措施不尽合理的得1-2分；内容较全或措施较合理的得3-5分；内容全面、措施合理、满足项目需求的得6-7分；未提供的此项不得分。</w:t>
            </w:r>
            <w:r/>
          </w:p>
        </w:tc>
      </w:tr>
      <w:tr>
        <w:trPr>
          <w:jc w:val="center"/>
          <w:trHeight w:val="282"/>
        </w:trPr>
        <w:tc>
          <w:tcPr>
            <w:tcBorders>
              <w:left w:val="single" w:color="auto" w:sz="4" w:space="0"/>
              <w:right w:val="single" w:color="auto" w:sz="4" w:space="0"/>
            </w:tcBorders>
            <w:tcW w:w="349"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履约能力</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人员</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0" w:lineRule="atLeas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2702" w:type="pct"/>
            <w:vAlign w:val="center"/>
            <w:textDirection w:val="lrTb"/>
            <w:noWrap w:val="false"/>
          </w:tcPr>
          <w:p>
            <w:pPr>
              <w:ind w:left="0" w:firstLine="482"/>
              <w:jc w:val="left"/>
              <w:keepLines w:val="0"/>
              <w:keepNext w:val="0"/>
              <w:pageBreakBefore w:val="0"/>
              <w:spacing w:line="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1、项目负责人具有水利类中级及以上技术职称证书得5分，未提供不得分。</w:t>
            </w:r>
            <w:r/>
          </w:p>
          <w:p>
            <w:pPr>
              <w:ind w:left="0" w:firstLine="482"/>
              <w:jc w:val="left"/>
              <w:keepLines w:val="0"/>
              <w:keepNext w:val="0"/>
              <w:pageBreakBefore w:val="0"/>
              <w:spacing w:line="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2、为本项目配备的项目组成员中（除技术负责人外）具有水利类中级及以上技术职称证书得2.5分，最高得10分，未提供不得分。</w:t>
            </w:r>
            <w:r/>
          </w:p>
          <w:p>
            <w:pPr>
              <w:ind w:left="0" w:firstLine="480"/>
              <w:jc w:val="left"/>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（上述条款需提供项目组人员一览表，相应的证书原件彩色扫描件、投标单位为其缴纳的近三个月任意一个月（不含投标当月）的社保证明材料或退休返聘证明原件彩色扫描件）。</w:t>
            </w:r>
            <w:r/>
          </w:p>
        </w:tc>
      </w:tr>
      <w:tr>
        <w:trPr>
          <w:jc w:val="center"/>
          <w:trHeight w:val="533"/>
        </w:trPr>
        <w:tc>
          <w:tcPr>
            <w:tcBorders>
              <w:left w:val="single" w:color="auto" w:sz="4" w:space="0"/>
              <w:right w:val="single" w:color="auto" w:sz="4" w:space="0"/>
            </w:tcBorders>
            <w:tcW w:w="349"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Borders>
              <w:left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其他</w:t>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业绩</w:t>
            </w:r>
            <w:r/>
          </w:p>
        </w:tc>
        <w:tc>
          <w:tcPr>
            <w:tcBorders>
              <w:top w:val="single" w:color="auto" w:sz="4" w:space="0"/>
              <w:left w:val="single" w:color="auto" w:sz="4" w:space="0"/>
              <w:right w:val="single" w:color="auto" w:sz="4" w:space="0"/>
            </w:tcBorders>
            <w:tcW w:w="499" w:type="pct"/>
            <w:vAlign w:val="center"/>
            <w:textDirection w:val="lrTb"/>
            <w:noWrap w:val="false"/>
          </w:tcPr>
          <w:p>
            <w:pPr>
              <w:jc w:val="center"/>
              <w:keepLines w:val="0"/>
              <w:keepNext w:val="0"/>
              <w:pageBreakBefore w:val="0"/>
              <w:spacing w:line="0" w:lineRule="atLeas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w:t>
            </w:r>
            <w:r/>
          </w:p>
        </w:tc>
        <w:tc>
          <w:tcPr>
            <w:tcBorders>
              <w:top w:val="single" w:color="auto" w:sz="4" w:space="0"/>
              <w:left w:val="single" w:color="auto" w:sz="4" w:space="0"/>
              <w:right w:val="single" w:color="auto" w:sz="4" w:space="0"/>
            </w:tcBorders>
            <w:tcW w:w="2702" w:type="pct"/>
            <w:vAlign w:val="center"/>
            <w:textDirection w:val="lrTb"/>
            <w:noWrap w:val="false"/>
          </w:tcPr>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投标人自2021年1月1日起至今（以合同签署日期为准）完成过防洪影响评价报告编制类似业绩的，每提供一份得5分，满分20分。</w:t>
            </w:r>
            <w:r/>
          </w:p>
          <w:p>
            <w:pPr>
              <w:ind w:firstLine="480"/>
              <w:keepLines w:val="0"/>
              <w:keepNext w:val="0"/>
              <w:pageBreakBefore w:val="0"/>
              <w:spacing w:line="0" w:lineRule="atLeas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（投标时提供中标通知书或合同，并提供通过评审后的行政许可决定书原件彩色扫描件。未提供不得分）</w:t>
            </w:r>
            <w:r/>
          </w:p>
        </w:tc>
      </w:tr>
    </w:tbl>
    <w:p>
      <w:pPr>
        <w:rPr>
          <w:color w:val="auto"/>
        </w:rPr>
      </w:pPr>
      <w:r>
        <w:rPr>
          <w:color w:val="auto"/>
        </w:rPr>
        <w:t xml:space="preserve"> </w:t>
      </w:r>
      <w:r>
        <w:rPr>
          <w:rFonts w:hint="eastAsia"/>
          <w:color w:val="auto"/>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pStyle w:val="621"/>
        <w:rPr>
          <w:color w:val="auto"/>
        </w:rPr>
      </w:pPr>
      <w:r>
        <w:rPr>
          <w:color w:val="auto"/>
        </w:rPr>
      </w:r>
      <w:r/>
    </w:p>
    <w:p>
      <w:pPr>
        <w:pStyle w:val="615"/>
        <w:jc w:val="both"/>
        <w:spacing w:beforeAutospacing="0" w:afterAutospacing="0"/>
        <w:rPr>
          <w:color w:val="auto"/>
        </w:rPr>
      </w:pPr>
      <w:r>
        <w:rPr>
          <w:color w:val="auto"/>
        </w:rPr>
      </w:r>
      <w:r/>
    </w:p>
    <w:p>
      <w:pPr>
        <w:pStyle w:val="615"/>
        <w:jc w:val="both"/>
        <w:spacing w:beforeAutospacing="0" w:afterAutospacing="0"/>
        <w:rPr>
          <w:color w:val="auto"/>
        </w:rPr>
      </w:pPr>
      <w:r>
        <w:rPr>
          <w:color w:val="auto"/>
        </w:rPr>
        <w:t xml:space="preserve"> </w:t>
      </w:r>
      <w:r/>
    </w:p>
    <w:p>
      <w:pPr>
        <w:pStyle w:val="615"/>
        <w:jc w:val="both"/>
        <w:spacing w:beforeAutospacing="0" w:afterAutospacing="0"/>
        <w:rPr>
          <w:color w:val="auto"/>
        </w:rPr>
      </w:pPr>
      <w:r>
        <w:rPr>
          <w:color w:val="auto"/>
        </w:rPr>
        <w:t xml:space="preserve"> </w:t>
      </w:r>
      <w:r/>
    </w:p>
    <w:p>
      <w:pPr>
        <w:jc w:val="center"/>
        <w:rPr>
          <w:rFonts w:hint="eastAsia" w:ascii="黑体" w:hAnsi="宋体" w:eastAsia="黑体" w:cs="黑体"/>
          <w:color w:val="auto"/>
          <w:sz w:val="44"/>
          <w:szCs w:val="44"/>
        </w:rPr>
      </w:pPr>
      <w:r>
        <w:rPr>
          <w:highlight w:val="none"/>
        </w:rPr>
      </w:r>
      <w:r>
        <w:rPr>
          <w:highlight w:val="none"/>
        </w:rPr>
      </w:r>
    </w:p>
    <w:p>
      <w:pPr>
        <w:jc w:val="center"/>
        <w:rPr>
          <w:highlight w:val="none"/>
        </w:rPr>
      </w:pPr>
      <w:r/>
      <w:bookmarkStart w:id="185" w:name="_Toc14881"/>
      <w:r>
        <w:rPr>
          <w:rFonts w:hint="eastAsia" w:ascii="黑体" w:hAnsi="宋体" w:eastAsia="黑体" w:cs="黑体"/>
          <w:color w:val="auto"/>
          <w:sz w:val="44"/>
          <w:szCs w:val="44"/>
        </w:rPr>
        <w:t xml:space="preserve">第六章  投标文件格式</w:t>
      </w:r>
      <w:bookmarkEnd w:id="185"/>
      <w:r/>
      <w:r/>
    </w:p>
    <w:p>
      <w:pPr>
        <w:pStyle w:val="615"/>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615"/>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615"/>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615"/>
        <w:jc w:val="center"/>
        <w:keepNext/>
        <w:spacing w:beforeAutospacing="0" w:afterAutospacing="0"/>
        <w:rPr>
          <w:color w:val="auto"/>
        </w:rPr>
      </w:pPr>
      <w:r>
        <w:rPr>
          <w:rFonts w:hint="eastAsia" w:ascii="黑体" w:hAnsi="宋体" w:eastAsia="黑体" w:cs="黑体"/>
          <w:color w:val="auto"/>
          <w:sz w:val="44"/>
          <w:szCs w:val="44"/>
        </w:rPr>
        <w:t xml:space="preserve"> </w:t>
      </w:r>
      <w:r/>
    </w:p>
    <w:p>
      <w:pPr>
        <w:pStyle w:val="615"/>
        <w:jc w:val="center"/>
        <w:spacing w:beforeAutospacing="0" w:afterAutospacing="0"/>
        <w:rPr>
          <w:color w:val="auto"/>
        </w:rPr>
      </w:pPr>
      <w:r/>
      <w:bookmarkStart w:id="186" w:name="_Hlt26955039"/>
      <w:r/>
      <w:bookmarkEnd w:id="186"/>
      <w:r/>
      <w:bookmarkStart w:id="187" w:name="_Toc26554094"/>
      <w:r/>
      <w:bookmarkEnd w:id="187"/>
      <w:r/>
      <w:bookmarkStart w:id="188" w:name="_Hlt26671244"/>
      <w:r/>
      <w:bookmarkEnd w:id="188"/>
      <w:r/>
      <w:bookmarkStart w:id="189" w:name="_Toc120614282"/>
      <w:r/>
      <w:bookmarkStart w:id="190" w:name="_Toc49090576"/>
      <w:r>
        <w:rPr>
          <w:rFonts w:hint="eastAsia" w:ascii="宋体" w:hAnsi="宋体" w:eastAsia="宋体" w:cs="宋体"/>
          <w:b/>
          <w:color w:val="auto"/>
          <w:sz w:val="72"/>
          <w:szCs w:val="72"/>
        </w:rPr>
        <w:t xml:space="preserve">投  标  文  件</w:t>
      </w:r>
      <w:r/>
    </w:p>
    <w:p>
      <w:pPr>
        <w:pStyle w:val="615"/>
        <w:jc w:val="center"/>
        <w:spacing w:beforeAutospacing="0" w:afterAutospacing="0"/>
        <w:rPr>
          <w:color w:val="auto"/>
        </w:rPr>
      </w:pPr>
      <w:r>
        <w:rPr>
          <w:color w:val="auto"/>
        </w:rPr>
        <w:t xml:space="preserve"> </w:t>
      </w:r>
      <w:r/>
    </w:p>
    <w:p>
      <w:pPr>
        <w:pStyle w:val="615"/>
        <w:jc w:val="center"/>
        <w:spacing w:beforeAutospacing="0" w:afterAutospacing="0"/>
        <w:rPr>
          <w:color w:val="auto"/>
        </w:rPr>
      </w:pPr>
      <w:r>
        <w:rPr>
          <w:color w:val="auto"/>
        </w:rPr>
        <w:t xml:space="preserve"> </w:t>
      </w:r>
      <w:r/>
    </w:p>
    <w:p>
      <w:pPr>
        <w:pStyle w:val="615"/>
        <w:jc w:val="center"/>
        <w:spacing w:beforeAutospacing="0" w:afterAutospacing="0"/>
        <w:rPr>
          <w:color w:val="auto"/>
        </w:rPr>
      </w:pPr>
      <w:r>
        <w:rPr>
          <w:color w:val="auto"/>
        </w:rPr>
        <w:t xml:space="preserve"> </w:t>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r>
      <w:r/>
    </w:p>
    <w:p>
      <w:pPr>
        <w:pStyle w:val="615"/>
        <w:jc w:val="center"/>
        <w:spacing w:beforeAutospacing="0" w:afterAutospacing="0"/>
        <w:rPr>
          <w:color w:val="auto"/>
        </w:rPr>
      </w:pPr>
      <w:r>
        <w:rPr>
          <w:color w:val="auto"/>
        </w:rPr>
        <w:t xml:space="preserve"> </w:t>
      </w:r>
      <w:r/>
    </w:p>
    <w:p>
      <w:pPr>
        <w:pStyle w:val="615"/>
        <w:jc w:val="center"/>
        <w:spacing w:beforeAutospacing="0" w:afterAutospacing="0"/>
        <w:rPr>
          <w:color w:val="auto"/>
        </w:rPr>
      </w:pPr>
      <w:r>
        <w:rPr>
          <w:color w:val="auto"/>
        </w:rPr>
        <w:t xml:space="preserve"> </w:t>
      </w:r>
      <w:r/>
    </w:p>
    <w:p>
      <w:pPr>
        <w:pStyle w:val="615"/>
        <w:ind w:firstLine="1084"/>
        <w:jc w:val="both"/>
        <w:spacing w:beforeAutospacing="0" w:afterAutospacing="0"/>
        <w:rPr>
          <w:color w:val="auto"/>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pStyle w:val="615"/>
        <w:ind w:firstLine="1084"/>
        <w:jc w:val="both"/>
        <w:spacing w:beforeAutospacing="0" w:afterAutospacing="0"/>
        <w:rPr>
          <w:color w:val="auto"/>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pStyle w:val="615"/>
        <w:jc w:val="both"/>
        <w:spacing w:beforeAutospacing="0" w:afterAutospacing="0"/>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        </w:t>
      </w:r>
      <w:r/>
    </w:p>
    <w:p>
      <w:pPr>
        <w:pStyle w:val="615"/>
        <w:jc w:val="both"/>
        <w:spacing w:beforeAutospacing="0" w:afterAutospacing="0"/>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615"/>
        <w:jc w:val="center"/>
        <w:spacing w:beforeAutospacing="0" w:afterAutospacing="0" w:line="0" w:lineRule="atLeast"/>
        <w:rPr>
          <w:color w:val="auto"/>
        </w:rPr>
      </w:pPr>
      <w:r>
        <w:rPr>
          <w:color w:val="auto"/>
        </w:rPr>
        <w:t xml:space="preserve"> </w:t>
      </w:r>
      <w:r/>
    </w:p>
    <w:p>
      <w:pPr>
        <w:pStyle w:val="615"/>
        <w:jc w:val="both"/>
        <w:spacing w:beforeAutospacing="0" w:afterAutospacing="0" w:line="0" w:lineRule="atLeast"/>
        <w:rPr>
          <w:color w:val="auto"/>
        </w:rPr>
      </w:pPr>
      <w:r>
        <w:rPr>
          <w:color w:val="auto"/>
        </w:rPr>
        <w:t xml:space="preserve"> </w:t>
      </w:r>
      <w:r/>
    </w:p>
    <w:p>
      <w:pPr>
        <w:shd w:val="nil"/>
        <w:rPr>
          <w:rFonts w:hint="eastAsia" w:ascii="宋体" w:hAnsi="宋体"/>
          <w:b/>
          <w:bCs/>
          <w:color w:val="auto"/>
          <w:sz w:val="32"/>
          <w:szCs w:val="32"/>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r>
    </w:p>
    <w:p>
      <w:pPr>
        <w:ind w:firstLine="0"/>
        <w:jc w:val="center"/>
        <w:spacing w:line="240" w:lineRule="auto"/>
        <w:rPr>
          <w:rFonts w:hint="eastAsia" w:ascii="宋体" w:hAnsi="宋体"/>
          <w:b/>
          <w:bCs/>
          <w:color w:val="auto"/>
          <w:sz w:val="32"/>
          <w:szCs w:val="32"/>
          <w:highlight w:val="none"/>
        </w:rPr>
      </w:pPr>
      <w:r/>
      <w:bookmarkStart w:id="191" w:name="_格式3__银行出具的资信证明"/>
      <w:r/>
      <w:bookmarkStart w:id="192" w:name="_Hlt26671374"/>
      <w:r/>
      <w:bookmarkStart w:id="193" w:name="_格式2__法定代表人授权书"/>
      <w:r/>
      <w:bookmarkStart w:id="194" w:name="_Hlt26955066"/>
      <w:r/>
      <w:bookmarkStart w:id="195" w:name="_Toc462564146"/>
      <w:r/>
      <w:bookmarkStart w:id="196" w:name="_Hlt26671380"/>
      <w:r/>
      <w:bookmarkStart w:id="197" w:name="_Hlt26955070"/>
      <w:r/>
      <w:bookmarkStart w:id="198" w:name="_Hlt26609389"/>
      <w:r/>
      <w:bookmarkStart w:id="199" w:name="_Hlt26955054"/>
      <w:r>
        <w:rPr>
          <w:rFonts w:hint="eastAsia" w:ascii="宋体" w:hAnsi="宋体"/>
          <w:b/>
          <w:bCs/>
          <w:color w:val="auto"/>
          <w:sz w:val="32"/>
          <w:szCs w:val="32"/>
        </w:rPr>
        <w:t xml:space="preserve">投标文件目录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一、开标一览表（系统固定格式）</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二、资格审查资料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（2）上一年度（或上上年度）经审计的财务报告（投标人成立不满一年无需提供）</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（5）参加政府采购活动前 3 年内在经营活动中没有重大违法记录的书面声明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（7）投标人为被授权人缴纳的社会养老保险证明；</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（8）中小企业声明函或残疾人福利性单位声明函；</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（9）与资格审查有关的其他资料（如有）。</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三、符合性资料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（1）投标报价明细表；</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（2）投标函；</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（3）所供服务（服务附带的产品）内容及服务要求偏离表；</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（4）投标人的服务承诺；</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（5）联合体协议（如有）；</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（6）东台市政府采购事前信用承诺书；</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四、综合评审相关资料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五、价格折扣文件（如有）</w:t>
      </w:r>
      <w:r/>
    </w:p>
    <w:p>
      <w:pPr>
        <w:jc w:val="center"/>
        <w:rPr>
          <w:rFonts w:hint="eastAsia" w:ascii="黑体" w:eastAsia="黑体"/>
          <w:b/>
          <w:bCs/>
          <w:color w:val="auto"/>
          <w:sz w:val="32"/>
          <w:szCs w:val="32"/>
          <w:highlight w:val="none"/>
        </w:rPr>
      </w:pPr>
      <w:r>
        <w:rPr>
          <w:rFonts w:hint="eastAsia" w:ascii="黑体" w:hAnsi="黑体" w:eastAsia="黑体"/>
          <w:i/>
          <w:color w:val="auto"/>
          <w:sz w:val="32"/>
          <w:szCs w:val="32"/>
          <w:u w:val="single"/>
        </w:rPr>
        <w:br w:type="page" w:clear="all"/>
      </w:r>
      <w:bookmarkStart w:id="200" w:name="_Toc120614284"/>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rPr>
      </w:pPr>
      <w:r>
        <w:rPr>
          <w:rFonts w:hint="eastAsia" w:ascii="宋体" w:hAnsi="宋体" w:eastAsia="宋体" w:cs="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t xml:space="preserve">                                     </w:t>
      </w:r>
      <w:r/>
    </w:p>
    <w:p>
      <w:pPr>
        <w:pStyle w:val="608"/>
        <w:ind w:firstLine="0"/>
        <w:rPr>
          <w:rFonts w:hint="eastAsia"/>
          <w:color w:val="auto"/>
        </w:rPr>
      </w:pPr>
      <w:r>
        <w:rPr>
          <w:rFonts w:hint="eastAsia"/>
          <w:color w:val="auto"/>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rPr>
        <w:t xml:space="preserve">________________（被授权人的姓名）为</w:t>
      </w:r>
      <w:r>
        <w:rPr>
          <w:rFonts w:hint="eastAsia" w:ascii="宋体" w:hAnsi="宋体" w:eastAsia="宋体" w:cs="宋体"/>
          <w:color w:val="auto"/>
          <w:sz w:val="24"/>
          <w:szCs w:val="24"/>
          <w:lang w:val="en-US" w:eastAsia="zh-CN"/>
        </w:rPr>
        <w:t xml:space="preserve">我单位</w:t>
      </w:r>
      <w:r>
        <w:rPr>
          <w:rFonts w:hint="eastAsia" w:ascii="宋体" w:hAnsi="宋体" w:eastAsia="宋体" w:cs="宋体"/>
          <w:color w:val="auto"/>
          <w:sz w:val="24"/>
          <w:szCs w:val="24"/>
        </w:rPr>
        <w:t xml:space="preserve">就JSZC-</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号项目的</w:t>
      </w:r>
      <w:r>
        <w:rPr>
          <w:rFonts w:hint="eastAsia" w:ascii="宋体" w:hAnsi="宋体" w:eastAsia="宋体" w:cs="宋体"/>
          <w:color w:val="auto"/>
          <w:sz w:val="24"/>
          <w:szCs w:val="24"/>
          <w:lang w:eastAsia="zh-CN"/>
        </w:rPr>
        <w:t xml:space="preserve">投标文件</w:t>
      </w:r>
      <w:r>
        <w:rPr>
          <w:rFonts w:hint="eastAsia" w:ascii="宋体" w:hAnsi="宋体" w:eastAsia="宋体" w:cs="宋体"/>
          <w:color w:val="auto"/>
          <w:sz w:val="24"/>
          <w:szCs w:val="24"/>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rPr>
        <w:t xml:space="preserve">以本单位名义全权处理一切与该项目采购有关的事务。</w:t>
      </w:r>
      <w:r/>
    </w:p>
    <w:p>
      <w:pPr>
        <w:pStyle w:val="635"/>
        <w:ind w:firstLine="48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pStyle w:val="635"/>
        <w:ind w:firstLine="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pStyle w:val="635"/>
        <w:ind w:firstLine="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被授权人联系电话：（手机）</w:t>
      </w:r>
      <w:r>
        <w:rPr>
          <w:rFonts w:hint="eastAsia" w:ascii="宋体" w:hAnsi="宋体" w:eastAsia="宋体" w:cs="宋体"/>
          <w:color w:val="auto"/>
          <w:sz w:val="24"/>
          <w:szCs w:val="24"/>
          <w:u w:val="single"/>
        </w:rPr>
        <w:t xml:space="preserve">                          </w:t>
      </w:r>
      <w:r/>
    </w:p>
    <w:p>
      <w:pPr>
        <w:pStyle w:val="635"/>
        <w:ind w:firstLine="120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（加盖CA电子公章）</w:t>
      </w:r>
      <w:r/>
    </w:p>
    <w:p>
      <w:pPr>
        <w:pStyle w:val="635"/>
        <w:ind w:firstLine="48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单位地址：</w:t>
      </w:r>
      <w:r>
        <w:rPr>
          <w:rFonts w:hint="eastAsia" w:ascii="宋体" w:hAnsi="宋体" w:eastAsia="宋体" w:cs="宋体"/>
          <w:color w:val="auto"/>
          <w:sz w:val="24"/>
          <w:szCs w:val="24"/>
          <w:u w:val="single"/>
        </w:rPr>
        <w:t xml:space="preserve">                                         </w:t>
      </w:r>
      <w:r/>
    </w:p>
    <w:p>
      <w:pPr>
        <w:pStyle w:val="635"/>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u w:val="single"/>
        </w:rPr>
        <w:t xml:space="preserve">（加盖CA电子公章）</w:t>
      </w:r>
      <w:r/>
    </w:p>
    <w:p>
      <w:pPr>
        <w:pStyle w:val="635"/>
        <w:ind w:firstLine="120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608"/>
        <w:spacing w:line="480" w:lineRule="auto"/>
        <w:rPr>
          <w:rFonts w:hint="eastAsia" w:ascii="宋体" w:hAnsi="宋体" w:eastAsia="宋体" w:cs="宋体"/>
          <w:i/>
          <w:color w:val="auto"/>
          <w:sz w:val="24"/>
          <w:szCs w:val="24"/>
          <w:u w:val="single"/>
        </w:rPr>
      </w:pPr>
      <w:r>
        <w:rPr>
          <w:rFonts w:hint="eastAsia" w:ascii="宋体" w:hAnsi="宋体" w:eastAsia="宋体" w:cs="宋体"/>
          <w:i/>
          <w:color w:val="auto"/>
          <w:sz w:val="24"/>
          <w:szCs w:val="24"/>
          <w:u w:val="single"/>
        </w:rPr>
      </w:r>
      <w:r/>
    </w:p>
    <w:p>
      <w:pPr>
        <w:spacing w:line="48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spacing w:line="460" w:lineRule="exact"/>
        <w:rPr>
          <w:rFonts w:hint="eastAsia" w:ascii="宋体" w:hAnsi="宋体"/>
          <w:bCs/>
          <w:color w:val="auto"/>
          <w:sz w:val="24"/>
        </w:rPr>
      </w:pPr>
      <w:r>
        <w:rPr>
          <w:rFonts w:hint="eastAsia" w:ascii="宋体" w:hAnsi="宋体"/>
          <w:bCs/>
          <w:color w:val="auto"/>
          <w:sz w:val="24"/>
        </w:rPr>
      </w:r>
      <w:r/>
    </w:p>
    <w:p>
      <w:pPr>
        <w:jc w:val="center"/>
        <w:spacing w:before="50" w:after="50"/>
        <w:rPr>
          <w:rFonts w:hint="eastAsia" w:ascii="黑体" w:hAnsi="Times New Roman" w:eastAsia="黑体" w:cs="Times New Roman"/>
          <w:b/>
          <w:bCs/>
          <w:color w:val="auto"/>
          <w:sz w:val="32"/>
          <w:szCs w:val="32"/>
          <w:highlight w:val="none"/>
        </w:rPr>
      </w:pPr>
      <w:r>
        <w:rPr>
          <w:rFonts w:ascii="宋体" w:hAnsi="宋体"/>
          <w:bCs/>
          <w:color w:val="auto"/>
          <w:sz w:val="24"/>
        </w:rPr>
        <w:br w:type="page" w:clear="all"/>
      </w:r>
      <w:r>
        <w:rPr>
          <w:rFonts w:hint="eastAsia" w:ascii="黑体" w:hAnsi="Times New Roman" w:eastAsia="黑体" w:cs="Times New Roman"/>
          <w:b/>
          <w:bCs/>
          <w:color w:val="auto"/>
          <w:sz w:val="32"/>
          <w:szCs w:val="32"/>
          <w:highlight w:val="none"/>
          <w:lang w:val="en-US" w:eastAsia="zh-CN"/>
        </w:rPr>
        <w:t xml:space="preserve">5.</w:t>
      </w:r>
      <w:r>
        <w:rPr>
          <w:rFonts w:hint="eastAsia" w:ascii="黑体" w:hAnsi="Times New Roman" w:eastAsia="黑体" w:cs="Times New Roman"/>
          <w:b/>
          <w:bCs/>
          <w:color w:val="auto"/>
          <w:sz w:val="32"/>
          <w:szCs w:val="32"/>
          <w:highlight w:val="none"/>
        </w:rPr>
        <w:t xml:space="preserve">开标一览表（格式）</w:t>
      </w:r>
      <w:r/>
    </w:p>
    <w:p>
      <w:pPr>
        <w:jc w:val="center"/>
        <w:spacing w:before="50" w:after="50"/>
        <w:rPr>
          <w:rFonts w:hint="eastAsia" w:ascii="黑体" w:eastAsia="黑体"/>
          <w:color w:val="auto"/>
          <w:sz w:val="32"/>
          <w:szCs w:val="32"/>
        </w:rPr>
      </w:pPr>
      <w:r>
        <w:rPr>
          <w:rFonts w:hint="eastAsia" w:ascii="黑体" w:eastAsia="黑体"/>
          <w:color w:val="auto"/>
          <w:sz w:val="32"/>
          <w:szCs w:val="32"/>
        </w:rPr>
      </w:r>
      <w:r/>
    </w:p>
    <w:tbl>
      <w:tblPr>
        <w:tblStyle w:val="605"/>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20"/>
              <w:rPr>
                <w:rFonts w:hint="eastAsia" w:ascii="宋体"/>
                <w:color w:val="auto"/>
                <w:szCs w:val="28"/>
              </w:rPr>
            </w:pPr>
            <w:r>
              <w:rPr>
                <w:rFonts w:hint="eastAsia" w:ascii="宋体"/>
                <w:color w:val="auto"/>
                <w:szCs w:val="28"/>
              </w:rPr>
              <w:t xml:space="preserve">项 目 编 号</w:t>
            </w:r>
            <w:r/>
          </w:p>
        </w:tc>
        <w:tc>
          <w:tcPr>
            <w:tcW w:w="7445" w:type="dxa"/>
            <w:vAlign w:val="center"/>
            <w:textDirection w:val="lrTb"/>
            <w:noWrap w:val="false"/>
          </w:tcPr>
          <w:p>
            <w:pPr>
              <w:pStyle w:val="602"/>
              <w:ind w:firstLine="689"/>
              <w:jc w:val="both"/>
              <w:rPr>
                <w:rFonts w:hint="eastAsia" w:ascii="宋体" w:hAnsi="宋体" w:eastAsia="宋体"/>
                <w:color w:val="auto"/>
                <w:sz w:val="28"/>
                <w:szCs w:val="28"/>
              </w:rPr>
            </w:pPr>
            <w:r>
              <w:rPr>
                <w:rFonts w:hint="eastAsia" w:ascii="宋体" w:hAnsi="宋体" w:eastAsia="宋体"/>
                <w:color w:val="auto"/>
                <w:sz w:val="28"/>
                <w:szCs w:val="28"/>
              </w:rPr>
            </w:r>
            <w:r/>
          </w:p>
        </w:tc>
      </w:tr>
      <w:tr>
        <w:trPr>
          <w:cantSplit/>
          <w:trHeight w:val="789"/>
        </w:trPr>
        <w:tc>
          <w:tcPr>
            <w:tcW w:w="2700" w:type="dxa"/>
            <w:vAlign w:val="center"/>
            <w:textDirection w:val="lrTb"/>
            <w:noWrap w:val="false"/>
          </w:tcPr>
          <w:p>
            <w:pPr>
              <w:ind w:firstLine="420"/>
              <w:rPr>
                <w:rFonts w:hint="eastAsia" w:ascii="宋体"/>
                <w:color w:val="auto"/>
                <w:szCs w:val="28"/>
              </w:rPr>
            </w:pPr>
            <w:r>
              <w:rPr>
                <w:rFonts w:hint="eastAsia" w:ascii="宋体"/>
                <w:color w:val="auto"/>
                <w:szCs w:val="28"/>
              </w:rPr>
              <w:t xml:space="preserve">项 目 名 称</w:t>
            </w:r>
            <w:r/>
          </w:p>
        </w:tc>
        <w:tc>
          <w:tcPr>
            <w:tcW w:w="7445" w:type="dxa"/>
            <w:vAlign w:val="center"/>
            <w:textDirection w:val="lrTb"/>
            <w:noWrap w:val="false"/>
          </w:tcPr>
          <w:p>
            <w:pPr>
              <w:pStyle w:val="602"/>
              <w:jc w:val="both"/>
              <w:rPr>
                <w:rFonts w:hint="eastAsia"/>
                <w:color w:val="auto"/>
                <w:sz w:val="28"/>
                <w:szCs w:val="28"/>
              </w:rPr>
            </w:pPr>
            <w:r>
              <w:rPr>
                <w:rFonts w:hint="eastAsia"/>
                <w:color w:val="auto"/>
                <w:sz w:val="28"/>
                <w:szCs w:val="28"/>
              </w:rPr>
            </w:r>
            <w:r/>
          </w:p>
        </w:tc>
      </w:tr>
      <w:tr>
        <w:trPr>
          <w:cantSplit/>
          <w:trHeight w:val="821"/>
        </w:trPr>
        <w:tc>
          <w:tcPr>
            <w:gridSpan w:val="2"/>
            <w:tcW w:w="10145" w:type="dxa"/>
            <w:vAlign w:val="center"/>
            <w:textDirection w:val="lrTb"/>
            <w:noWrap w:val="false"/>
          </w:tcPr>
          <w:p>
            <w:pPr>
              <w:rPr>
                <w:rFonts w:hint="eastAsia" w:ascii="宋体"/>
                <w:color w:val="auto"/>
                <w:szCs w:val="28"/>
              </w:rPr>
            </w:pPr>
            <w:r>
              <w:rPr>
                <w:rFonts w:hint="eastAsia" w:ascii="宋体"/>
                <w:b/>
                <w:bCs/>
                <w:color w:val="auto"/>
                <w:szCs w:val="28"/>
              </w:rPr>
              <w:t xml:space="preserve">项目投标报价：（大写）</w:t>
            </w:r>
            <w:r>
              <w:rPr>
                <w:rFonts w:hint="eastAsia" w:ascii="宋体"/>
                <w:b/>
                <w:bCs/>
                <w:color w:val="auto"/>
                <w:szCs w:val="28"/>
                <w:u w:val="single"/>
              </w:rPr>
              <w:t xml:space="preserve">                       </w:t>
            </w:r>
            <w:r>
              <w:rPr>
                <w:rFonts w:hint="eastAsia" w:ascii="宋体"/>
                <w:b/>
                <w:bCs/>
                <w:color w:val="auto"/>
                <w:szCs w:val="28"/>
              </w:rPr>
              <w:t xml:space="preserve">，小写：</w:t>
            </w:r>
            <w:r>
              <w:rPr>
                <w:rFonts w:hint="eastAsia" w:ascii="宋体"/>
                <w:b/>
                <w:bCs/>
                <w:color w:val="auto"/>
                <w:szCs w:val="28"/>
                <w:u w:val="single"/>
              </w:rPr>
              <w:t xml:space="preserve">                     </w:t>
            </w:r>
            <w:r>
              <w:rPr>
                <w:rFonts w:hint="eastAsia" w:ascii="宋体"/>
                <w:b/>
                <w:bCs/>
                <w:color w:val="auto"/>
                <w:szCs w:val="28"/>
              </w:rPr>
              <w:t xml:space="preserve"> </w:t>
            </w:r>
            <w:r/>
          </w:p>
        </w:tc>
      </w:tr>
      <w:tr>
        <w:trPr>
          <w:cantSplit/>
          <w:trHeight w:val="821"/>
        </w:trPr>
        <w:tc>
          <w:tcPr>
            <w:gridSpan w:val="2"/>
            <w:tcW w:w="10145" w:type="dxa"/>
            <w:vAlign w:val="center"/>
            <w:textDirection w:val="lrTb"/>
            <w:noWrap w:val="false"/>
          </w:tcPr>
          <w:p>
            <w:pPr>
              <w:rPr>
                <w:rFonts w:hint="eastAsia" w:ascii="宋体"/>
                <w:b/>
                <w:bCs/>
                <w:color w:val="auto"/>
                <w:szCs w:val="28"/>
              </w:rPr>
            </w:pPr>
            <w:r>
              <w:rPr>
                <w:rFonts w:hint="eastAsia" w:ascii="宋体"/>
                <w:b/>
                <w:bCs/>
                <w:color w:val="auto"/>
                <w:szCs w:val="28"/>
              </w:rPr>
              <w:t xml:space="preserve">是否提供《企业类型声明函》：</w:t>
            </w:r>
            <w:r>
              <w:rPr>
                <w:rFonts w:hint="eastAsia" w:ascii="宋体"/>
                <w:b/>
                <w:bCs/>
                <w:color w:val="auto"/>
                <w:szCs w:val="28"/>
                <w:u w:val="single"/>
              </w:rPr>
              <w:t xml:space="preserve">  是/否   </w:t>
            </w:r>
            <w:r/>
          </w:p>
        </w:tc>
      </w:tr>
    </w:tbl>
    <w:p>
      <w:pPr>
        <w:spacing w:line="180" w:lineRule="atLeast"/>
        <w:rPr>
          <w:rFonts w:hint="eastAsia" w:ascii="宋体" w:hAnsi="宋体"/>
          <w:color w:val="auto"/>
          <w:szCs w:val="28"/>
        </w:rPr>
      </w:pPr>
      <w:r>
        <w:rPr>
          <w:rFonts w:hint="eastAsia" w:ascii="宋体" w:hAnsi="宋体"/>
          <w:color w:val="auto"/>
          <w:szCs w:val="28"/>
        </w:rPr>
        <w:t xml:space="preserve">填写说明：</w:t>
      </w:r>
      <w:r/>
    </w:p>
    <w:p>
      <w:pPr>
        <w:numPr>
          <w:ilvl w:val="0"/>
          <w:numId w:val="1"/>
        </w:numPr>
        <w:rPr>
          <w:rStyle w:val="628"/>
          <w:rFonts w:hint="eastAsia" w:ascii="宋体" w:hAnsi="宋体"/>
          <w:color w:val="auto"/>
          <w:sz w:val="24"/>
        </w:rPr>
      </w:pPr>
      <w:r>
        <w:rPr>
          <w:rStyle w:val="628"/>
          <w:rFonts w:ascii="宋体" w:hAnsi="宋体"/>
          <w:color w:val="auto"/>
          <w:sz w:val="24"/>
        </w:rPr>
        <w:t xml:space="preserve">开标一览表不得填报选择性报价，否则将作为无效投标</w:t>
      </w:r>
      <w:r>
        <w:rPr>
          <w:rStyle w:val="628"/>
          <w:rFonts w:hint="eastAsia" w:ascii="宋体" w:hAnsi="宋体"/>
          <w:color w:val="auto"/>
          <w:sz w:val="24"/>
        </w:rPr>
        <w:t xml:space="preserve">。</w:t>
      </w:r>
      <w:r/>
    </w:p>
    <w:p>
      <w:pPr>
        <w:numPr>
          <w:ilvl w:val="0"/>
          <w:numId w:val="1"/>
        </w:numPr>
        <w:rPr>
          <w:rStyle w:val="628"/>
          <w:rFonts w:hint="eastAsia" w:ascii="宋体" w:hAnsi="宋体"/>
          <w:color w:val="auto"/>
          <w:sz w:val="24"/>
        </w:rPr>
      </w:pPr>
      <w:r>
        <w:rPr>
          <w:rFonts w:hint="eastAsia" w:ascii="宋体" w:hAnsi="宋体" w:cs="宋体"/>
          <w:color w:val="auto"/>
          <w:sz w:val="24"/>
          <w:szCs w:val="24"/>
        </w:rPr>
        <w:t xml:space="preserve">投标报价保留两位小数。</w:t>
      </w:r>
      <w:r/>
    </w:p>
    <w:p>
      <w:pPr>
        <w:pStyle w:val="625"/>
        <w:rPr>
          <w:rFonts w:hint="eastAsia" w:ascii="宋体" w:hAnsi="宋体"/>
          <w:b/>
          <w:color w:val="auto"/>
          <w:sz w:val="24"/>
        </w:rPr>
      </w:pPr>
      <w:r>
        <w:rPr>
          <w:rFonts w:hint="eastAsia" w:ascii="宋体" w:hAnsi="宋体"/>
          <w:b/>
          <w:color w:val="auto"/>
          <w:sz w:val="24"/>
        </w:rPr>
      </w:r>
      <w:r/>
    </w:p>
    <w:p>
      <w:pPr>
        <w:ind w:firstLine="2400"/>
        <w:spacing w:line="600" w:lineRule="exact"/>
        <w:rPr>
          <w:rFonts w:hint="eastAsia" w:ascii="仿宋" w:eastAsia="仿宋"/>
          <w:color w:val="auto"/>
          <w:sz w:val="24"/>
        </w:rPr>
      </w:pPr>
      <w:r>
        <w:rPr>
          <w:rFonts w:hint="eastAsia" w:ascii="仿宋" w:eastAsia="仿宋"/>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w:t>
      </w:r>
      <w:r>
        <w:rPr>
          <w:rFonts w:hint="eastAsia" w:ascii="宋体" w:hAnsi="宋体" w:eastAsia="宋体" w:cs="宋体"/>
          <w:color w:val="auto"/>
          <w:sz w:val="24"/>
          <w:lang w:val="en-US" w:eastAsia="zh-CN"/>
        </w:rPr>
        <w:t xml:space="preserve">被授权人（</w:t>
      </w:r>
      <w:r>
        <w:rPr>
          <w:rFonts w:hint="eastAsia" w:ascii="宋体" w:hAnsi="宋体" w:eastAsia="宋体" w:cs="宋体"/>
          <w:color w:val="auto"/>
          <w:sz w:val="24"/>
        </w:rPr>
        <w:t xml:space="preserve">签字</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w:t>
      </w:r>
      <w:r/>
    </w:p>
    <w:p>
      <w:pPr>
        <w:ind w:firstLine="1680"/>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rPr>
        <w:t xml:space="preserve">：</w:t>
      </w:r>
      <w:r/>
    </w:p>
    <w:p>
      <w:pPr>
        <w:ind w:firstLine="1200"/>
        <w:spacing w:line="600" w:lineRule="exact"/>
        <w:rPr>
          <w:rFonts w:hint="eastAsia" w:ascii="仿宋" w:eastAsia="仿宋"/>
          <w:color w:val="auto"/>
          <w:sz w:val="24"/>
        </w:rPr>
      </w:pPr>
      <w:r>
        <w:rPr>
          <w:rFonts w:hint="eastAsia" w:ascii="仿宋" w:eastAsia="仿宋"/>
          <w:color w:val="auto"/>
          <w:sz w:val="24"/>
        </w:rPr>
        <w:t xml:space="preserve">      </w:t>
      </w:r>
      <w:r/>
    </w:p>
    <w:p>
      <w:pPr>
        <w:jc w:val="right"/>
        <w:rPr>
          <w:rFonts w:ascii="仿宋" w:eastAsia="仿宋"/>
          <w:color w:val="auto"/>
          <w:sz w:val="24"/>
          <w:highlight w:val="none"/>
        </w:rPr>
        <w:outlineLvl w:val="1"/>
      </w:pPr>
      <w:r>
        <w:rPr>
          <w:rFonts w:hint="eastAsia" w:ascii="仿宋" w:eastAsia="仿宋"/>
          <w:color w:val="auto"/>
          <w:sz w:val="24"/>
          <w:u w:val="single"/>
        </w:rPr>
        <w:t xml:space="preserve">            </w:t>
      </w:r>
      <w:r>
        <w:rPr>
          <w:rFonts w:hint="eastAsia" w:ascii="仿宋" w:eastAsia="仿宋"/>
          <w:color w:val="auto"/>
          <w:sz w:val="24"/>
        </w:rPr>
        <w:t xml:space="preserve">年</w:t>
      </w:r>
      <w:r>
        <w:rPr>
          <w:rFonts w:hint="eastAsia" w:ascii="仿宋" w:eastAsia="仿宋"/>
          <w:color w:val="auto"/>
          <w:sz w:val="24"/>
          <w:u w:val="single"/>
        </w:rPr>
        <w:t xml:space="preserve">    </w:t>
      </w:r>
      <w:r>
        <w:rPr>
          <w:rFonts w:hint="eastAsia" w:ascii="仿宋" w:eastAsia="仿宋"/>
          <w:color w:val="auto"/>
          <w:sz w:val="24"/>
        </w:rPr>
        <w:t xml:space="preserve">月</w:t>
      </w:r>
      <w:r>
        <w:rPr>
          <w:rFonts w:hint="eastAsia" w:ascii="仿宋" w:eastAsia="仿宋"/>
          <w:color w:val="auto"/>
          <w:sz w:val="24"/>
          <w:u w:val="single"/>
        </w:rPr>
        <w:t xml:space="preserve">    </w:t>
      </w:r>
      <w:r>
        <w:rPr>
          <w:rFonts w:hint="eastAsia" w:ascii="仿宋" w:eastAsia="仿宋"/>
          <w:color w:val="auto"/>
          <w:sz w:val="24"/>
        </w:rPr>
        <w:t xml:space="preserve">日</w:t>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黑体" w:eastAsia="黑体"/>
          <w:i/>
          <w:color w:val="auto"/>
          <w:sz w:val="32"/>
          <w:szCs w:val="32"/>
          <w:u w:val="single"/>
        </w:rPr>
        <w:br w:type="page" w:clear="all"/>
      </w:r>
      <w:r>
        <w:rPr>
          <w:rFonts w:hint="eastAsia" w:ascii="黑体" w:hAnsi="Times New Roman" w:eastAsia="黑体" w:cs="Times New Roman"/>
          <w:b/>
          <w:bCs/>
          <w:color w:val="auto"/>
          <w:sz w:val="32"/>
          <w:szCs w:val="32"/>
          <w:highlight w:val="none"/>
          <w:lang w:val="en-US" w:eastAsia="zh-CN"/>
        </w:rPr>
        <w:t xml:space="preserve">6.报价明细表（格式）</w:t>
      </w:r>
      <w:r/>
    </w:p>
    <w:tbl>
      <w:tblPr>
        <w:tblStyle w:val="605"/>
        <w:tblW w:w="9057" w:type="dxa"/>
        <w:jc w:val="center"/>
        <w:tblLayout w:type="fixed"/>
        <w:tblCellMar>
          <w:left w:w="0" w:type="dxa"/>
          <w:top w:w="0" w:type="dxa"/>
          <w:right w:w="0" w:type="dxa"/>
          <w:bottom w:w="0" w:type="dxa"/>
        </w:tblCellMar>
        <w:tblLook w:val="04A0" w:firstRow="1" w:lastRow="0" w:firstColumn="1" w:lastColumn="0" w:noHBand="0" w:noVBand="1"/>
      </w:tblPr>
      <w:tblGrid>
        <w:gridCol w:w="520"/>
        <w:gridCol w:w="2124"/>
        <w:gridCol w:w="2045"/>
        <w:gridCol w:w="1034"/>
        <w:gridCol w:w="809"/>
        <w:gridCol w:w="1142"/>
        <w:gridCol w:w="1383"/>
      </w:tblGrid>
      <w:tr>
        <w:trPr>
          <w:jc w:val="center"/>
          <w:trHeight w:val="68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服务项目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 xml:space="preserve">单价</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元</w:t>
            </w:r>
            <w:r>
              <w:rPr>
                <w:rFonts w:hint="eastAsia" w:asciiTheme="minorEastAsia" w:hAnsiTheme="minorEastAsia" w:eastAsiaTheme="minorEastAsia" w:cstheme="minorEastAsia"/>
                <w:color w:val="auto"/>
                <w:sz w:val="24"/>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 xml:space="preserve">合价</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元</w:t>
            </w:r>
            <w:r>
              <w:rPr>
                <w:rFonts w:hint="eastAsia" w:asciiTheme="minorEastAsia" w:hAnsiTheme="minorEastAsia" w:eastAsiaTheme="minorEastAsia" w:cstheme="minorEastAsia"/>
                <w:color w:val="auto"/>
                <w:sz w:val="24"/>
                <w:lang w:eastAsia="zh-CN"/>
              </w:rPr>
              <w:t xml:space="preserve">）</w:t>
            </w:r>
            <w:r/>
          </w:p>
        </w:tc>
      </w:tr>
      <w:tr>
        <w:trPr>
          <w:jc w:val="center"/>
          <w:trHeight w:val="6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69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69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24"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45"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34"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9"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cantSplit/>
          <w:jc w:val="center"/>
          <w:trHeight w:val="645"/>
        </w:trPr>
        <w:tc>
          <w:tcPr>
            <w:gridSpan w:val="2"/>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644" w:type="dxa"/>
            <w:vAlign w:val="center"/>
            <w:textDirection w:val="lrTb"/>
            <w:noWrap w:val="false"/>
          </w:tcPr>
          <w:p>
            <w:pPr>
              <w:jc w:val="center"/>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 xml:space="preserve">总价</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大写</w:t>
            </w:r>
            <w:r>
              <w:rPr>
                <w:rFonts w:hint="eastAsia" w:asciiTheme="minorEastAsia" w:hAnsiTheme="minorEastAsia" w:eastAsiaTheme="minorEastAsia" w:cstheme="minorEastAsia"/>
                <w:color w:val="auto"/>
                <w:sz w:val="24"/>
                <w:lang w:eastAsia="zh-CN"/>
              </w:rPr>
              <w:t xml:space="preserve">）</w:t>
            </w:r>
            <w:r/>
          </w:p>
        </w:tc>
        <w:tc>
          <w:tcPr>
            <w:gridSpan w:val="5"/>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413" w:type="dxa"/>
            <w:vAlign w:val="top"/>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bl>
    <w:p>
      <w:pPr>
        <w:ind w:firstLine="420"/>
        <w:spacing w:line="600" w:lineRule="exact"/>
        <w:rPr>
          <w:rFonts w:hint="eastAsia" w:ascii="宋体" w:hAnsi="宋体" w:eastAsia="宋体" w:cs="宋体"/>
          <w:color w:val="auto"/>
          <w:sz w:val="24"/>
          <w:lang w:val="en-US" w:eastAsia="zh-CN"/>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1.投标报价应是招标范围内全部工作内容的价格体现，报价明细表中的报价应包括全部工作内容的价格体现，以及为完成上述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20"/>
        <w:spacing w:line="60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此表可以根据需要自行增减行数。</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w:t>
      </w:r>
      <w:r>
        <w:rPr>
          <w:rFonts w:hint="eastAsia" w:ascii="宋体" w:hAnsi="宋体" w:eastAsia="宋体" w:cs="宋体"/>
          <w:color w:val="auto"/>
          <w:sz w:val="24"/>
          <w:lang w:val="en-US" w:eastAsia="zh-CN"/>
        </w:rPr>
        <w:t xml:space="preserve">被授权人（</w:t>
      </w:r>
      <w:r>
        <w:rPr>
          <w:rFonts w:hint="eastAsia" w:ascii="宋体" w:hAnsi="宋体" w:eastAsia="宋体" w:cs="宋体"/>
          <w:color w:val="auto"/>
          <w:sz w:val="24"/>
        </w:rPr>
        <w:t xml:space="preserve">签字</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w:t>
      </w:r>
      <w:r/>
    </w:p>
    <w:p>
      <w:pPr>
        <w:ind w:firstLine="1680"/>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rPr>
        <w:t xml:space="preserve">：</w:t>
      </w:r>
      <w:r/>
    </w:p>
    <w:p>
      <w:pPr>
        <w:ind w:firstLine="120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636"/>
        <w:ind w:firstLine="0"/>
        <w:spacing w:before="0" w:after="0" w:line="420" w:lineRule="exact"/>
        <w:rPr>
          <w:rFonts w:hint="default" w:ascii="宋体" w:hAnsi="宋体" w:eastAsia="宋体"/>
          <w:color w:val="auto"/>
          <w:szCs w:val="21"/>
          <w:u w:val="single"/>
          <w:lang w:val="en-US" w:eastAsia="zh-CN"/>
        </w:rPr>
      </w:pPr>
      <w:r>
        <w:rPr>
          <w:rFonts w:hint="eastAsia" w:ascii="宋体" w:hAnsi="宋体"/>
          <w:color w:val="auto"/>
          <w:szCs w:val="21"/>
        </w:rPr>
        <w:t xml:space="preserve">致：</w:t>
      </w:r>
      <w:r>
        <w:rPr>
          <w:rFonts w:hint="eastAsia" w:ascii="宋体" w:hAnsi="宋体"/>
          <w:color w:val="auto"/>
          <w:szCs w:val="21"/>
          <w:u w:val="single"/>
          <w:lang w:val="en-US" w:eastAsia="zh-CN"/>
        </w:rPr>
        <w:t xml:space="preserve">                </w:t>
      </w:r>
      <w:r/>
    </w:p>
    <w:p>
      <w:pPr>
        <w:pStyle w:val="636"/>
        <w:spacing w:before="0" w:after="0" w:line="420" w:lineRule="exact"/>
        <w:rPr>
          <w:rFonts w:hint="eastAsia" w:ascii="宋体" w:hAnsi="宋体"/>
          <w:color w:val="auto"/>
          <w:szCs w:val="21"/>
        </w:rPr>
      </w:pPr>
      <w:r>
        <w:rPr>
          <w:rFonts w:hint="eastAsia" w:ascii="宋体" w:hAnsi="宋体"/>
          <w:color w:val="auto"/>
          <w:szCs w:val="21"/>
        </w:rPr>
      </w:r>
      <w:r/>
    </w:p>
    <w:p>
      <w:pPr>
        <w:pStyle w:val="636"/>
        <w:spacing w:before="0" w:after="0" w:line="420" w:lineRule="exact"/>
        <w:rPr>
          <w:rFonts w:hint="eastAsia" w:ascii="宋体" w:hAnsi="宋体"/>
          <w:color w:val="auto"/>
          <w:szCs w:val="21"/>
        </w:rPr>
      </w:pPr>
      <w:r>
        <w:rPr>
          <w:rFonts w:hint="eastAsia" w:ascii="宋体" w:hAnsi="宋体"/>
          <w:color w:val="auto"/>
          <w:szCs w:val="21"/>
        </w:rPr>
        <w:t xml:space="preserve">根据贵方的JSZC-</w:t>
      </w:r>
      <w:r>
        <w:rPr>
          <w:rFonts w:ascii="宋体" w:hAnsi="宋体"/>
          <w:color w:val="auto"/>
          <w:szCs w:val="21"/>
        </w:rPr>
        <w:t xml:space="preserve">320000-***</w:t>
      </w:r>
      <w:r>
        <w:rPr>
          <w:rFonts w:hint="eastAsia" w:ascii="宋体" w:hAnsi="宋体"/>
          <w:color w:val="auto"/>
          <w:szCs w:val="21"/>
        </w:rPr>
        <w:t xml:space="preserve">号招标文件，正式授权下述签字人______(姓名)代表我方______________（投标人的名称），全权处理本次项目投标的有关事宜。</w:t>
      </w:r>
      <w:r/>
    </w:p>
    <w:p>
      <w:pPr>
        <w:pStyle w:val="636"/>
        <w:spacing w:before="0" w:after="0" w:line="420" w:lineRule="exact"/>
        <w:rPr>
          <w:rFonts w:hint="eastAsia" w:ascii="宋体" w:hAnsi="宋体"/>
          <w:color w:val="auto"/>
          <w:szCs w:val="21"/>
        </w:rPr>
      </w:pPr>
      <w:r>
        <w:rPr>
          <w:rFonts w:hint="eastAsia" w:ascii="宋体" w:hAnsi="宋体"/>
          <w:color w:val="auto"/>
          <w:szCs w:val="21"/>
        </w:rPr>
        <w:t xml:space="preserve">据此函，__________签字人兹宣布同意如下：</w:t>
      </w:r>
      <w:r/>
    </w:p>
    <w:p>
      <w:pPr>
        <w:pStyle w:val="636"/>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1.按招标文件规定的各项要求，向买方提供所需服务（包含与服务相关的货物）。</w:t>
      </w:r>
      <w:r/>
    </w:p>
    <w:p>
      <w:pPr>
        <w:pStyle w:val="636"/>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货物</w:t>
      </w:r>
      <w:r>
        <w:rPr>
          <w:rFonts w:hint="eastAsia" w:ascii="宋体" w:hAnsi="宋体"/>
          <w:color w:val="auto"/>
          <w:szCs w:val="21"/>
        </w:rPr>
        <w:t xml:space="preserve">（包含与</w:t>
      </w:r>
      <w:r>
        <w:rPr>
          <w:rFonts w:hint="eastAsia" w:ascii="宋体" w:hAnsi="宋体"/>
          <w:color w:val="auto"/>
          <w:szCs w:val="21"/>
          <w:lang w:val="en-US" w:eastAsia="zh-CN"/>
        </w:rPr>
        <w:t xml:space="preserve">货物</w:t>
      </w:r>
      <w:r>
        <w:rPr>
          <w:rFonts w:hint="eastAsia" w:ascii="宋体" w:hAnsi="宋体"/>
          <w:color w:val="auto"/>
          <w:szCs w:val="21"/>
        </w:rPr>
        <w:t xml:space="preserve">相关的</w:t>
      </w:r>
      <w:r>
        <w:rPr>
          <w:rFonts w:hint="eastAsia" w:ascii="宋体" w:hAnsi="宋体"/>
          <w:color w:val="auto"/>
          <w:szCs w:val="21"/>
          <w:lang w:val="en-US" w:eastAsia="zh-CN"/>
        </w:rPr>
        <w:t xml:space="preserve">服务</w:t>
      </w:r>
      <w:r>
        <w:rPr>
          <w:rFonts w:hint="eastAsia" w:ascii="宋体" w:hAnsi="宋体"/>
          <w:color w:val="auto"/>
          <w:szCs w:val="21"/>
        </w:rPr>
        <w:t xml:space="preserve">）。</w:t>
      </w:r>
      <w:r/>
    </w:p>
    <w:p>
      <w:pPr>
        <w:pStyle w:val="636"/>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2.我们完全理解贵方不一定将合同授予最低报价的投标人。</w:t>
      </w:r>
      <w:r/>
    </w:p>
    <w:p>
      <w:pPr>
        <w:pStyle w:val="636"/>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3.我们已详细审核全部招标文件及其有效补充文件，我们知道必须放弃提出含糊不清或误解问题的权利。</w:t>
      </w:r>
      <w:r/>
    </w:p>
    <w:p>
      <w:pPr>
        <w:pStyle w:val="636"/>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4.我们同意从规定的开标日期起遵循本投标文件，并在规定的投标有效期期满之前均具有约束力。</w:t>
      </w:r>
      <w:r/>
    </w:p>
    <w:p>
      <w:pPr>
        <w:pStyle w:val="636"/>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5.同意向贵方提供贵方可能另外要求的与投标有关的任何证据或资料，并保证我方已提供和将要提供的文件是真实的、准确的。</w:t>
      </w:r>
      <w:r/>
    </w:p>
    <w:p>
      <w:pPr>
        <w:pStyle w:val="636"/>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6.一旦我方中标,我方将根据招标文件的规定，严格履行合同的责任和义务,并保证在招标文件规定的时间完成项目，交付买方验收、使用。</w:t>
      </w:r>
      <w:r/>
    </w:p>
    <w:p>
      <w:pPr>
        <w:pStyle w:val="636"/>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numPr>
          <w:ilvl w:val="0"/>
          <w:numId w:val="0"/>
        </w:numPr>
        <w:ind w:left="480"/>
        <w:jc w:val="center"/>
        <w:rPr>
          <w:rFonts w:hint="eastAsia" w:ascii="黑体" w:hAnsi="Times New Roman" w:eastAsia="黑体" w:cs="Times New Roman"/>
          <w:b/>
          <w:bCs/>
          <w:color w:val="auto"/>
          <w:sz w:val="32"/>
          <w:szCs w:val="32"/>
          <w:highlight w:val="none"/>
          <w:lang w:val="en-US" w:eastAsia="zh-CN"/>
        </w:rPr>
        <w:outlineLvl w:val="1"/>
      </w:pPr>
      <w:r>
        <w:rPr>
          <w:rFonts w:hint="eastAsia" w:ascii="黑体" w:hAnsi="Times New Roman" w:eastAsia="黑体" w:cs="Times New Roman"/>
          <w:b/>
          <w:bCs/>
          <w:color w:val="auto"/>
          <w:sz w:val="32"/>
          <w:szCs w:val="32"/>
          <w:highlight w:val="none"/>
          <w:lang w:val="en-US" w:eastAsia="zh-CN"/>
        </w:rPr>
        <w:t xml:space="preserve">8.所供服务（服务附带的产品）内容及服务要求偏离表</w:t>
      </w:r>
      <w:r/>
    </w:p>
    <w:p>
      <w:pPr>
        <w:pStyle w:val="625"/>
        <w:numPr>
          <w:ilvl w:val="0"/>
          <w:numId w:val="0"/>
        </w:numPr>
        <w:ind w:left="480"/>
        <w:rPr>
          <w:rFonts w:hint="eastAsia"/>
          <w:color w:val="auto"/>
          <w:highlight w:val="none"/>
        </w:rPr>
      </w:pPr>
      <w:r>
        <w:rPr>
          <w:rFonts w:hint="eastAsia"/>
          <w:color w:val="auto"/>
          <w:highlight w:val="none"/>
        </w:rPr>
      </w:r>
      <w:r/>
    </w:p>
    <w:tbl>
      <w:tblPr>
        <w:tblStyle w:val="605"/>
        <w:tblW w:w="0" w:type="auto"/>
        <w:jc w:val="center"/>
        <w:tblLayout w:type="fixed"/>
        <w:tblCellMar>
          <w:left w:w="0" w:type="dxa"/>
          <w:top w:w="0" w:type="dxa"/>
          <w:right w:w="0" w:type="dxa"/>
          <w:bottom w:w="0" w:type="dxa"/>
        </w:tblCellMar>
        <w:tblLook w:val="04A0" w:firstRow="1" w:lastRow="0" w:firstColumn="1" w:lastColumn="0" w:noHBand="0" w:noVBand="1"/>
      </w:tblPr>
      <w:tblGrid>
        <w:gridCol w:w="724"/>
        <w:gridCol w:w="1760"/>
        <w:gridCol w:w="2493"/>
        <w:gridCol w:w="2268"/>
        <w:gridCol w:w="1067"/>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lang w:val="en-US" w:eastAsia="zh-CN"/>
              </w:rPr>
              <w:t xml:space="preserve">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所供服务（服务附带的产品）内容及服务要求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ascii="仿宋" w:eastAsia="仿宋"/>
                <w:color w:val="auto"/>
                <w:sz w:val="24"/>
                <w:highlight w:val="none"/>
              </w:rPr>
            </w:pPr>
            <w:r>
              <w:rPr>
                <w:rFonts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ascii="仿宋" w:eastAsia="仿宋"/>
                <w:color w:val="auto"/>
                <w:sz w:val="24"/>
                <w:highlight w:val="none"/>
              </w:rPr>
            </w:pPr>
            <w:r>
              <w:rPr>
                <w:rFonts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val="en-US" w:eastAsia="zh-CN"/>
              </w:rPr>
            </w:pPr>
            <w:r>
              <w:rPr>
                <w:rFonts w:hint="eastAsia" w:ascii="仿宋" w:hAnsi="宋体" w:eastAsia="仿宋"/>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 w:hAnsi="宋体" w:eastAsia="仿宋"/>
                <w:color w:val="auto"/>
                <w:sz w:val="24"/>
                <w:highlight w:val="none"/>
                <w:lang w:eastAsia="zh-CN"/>
              </w:rPr>
            </w:pPr>
            <w:r>
              <w:rPr>
                <w:rFonts w:hint="eastAsia" w:ascii="仿宋" w:hAnsi="宋体" w:eastAsia="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 w:hAnsi="宋体" w:eastAsia="仿宋"/>
                <w:color w:val="auto"/>
                <w:sz w:val="24"/>
                <w:highlight w:val="none"/>
              </w:rPr>
            </w:pPr>
            <w:r>
              <w:rPr>
                <w:rFonts w:hint="eastAsia" w:ascii="仿宋" w:hAnsi="宋体"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tc>
      </w:tr>
    </w:tbl>
    <w:p>
      <w:pPr>
        <w:ind w:firstLine="420"/>
        <w:keepLines w:val="0"/>
        <w:keepNext w:val="0"/>
        <w:pageBreakBefore w:val="0"/>
        <w:spacing w:line="440" w:lineRule="exact"/>
        <w:widowControl w:val="off"/>
        <w:rPr>
          <w:rFonts w:hint="eastAsia" w:ascii="仿宋" w:eastAsia="仿宋"/>
          <w:color w:val="auto"/>
          <w:sz w:val="24"/>
          <w:highlight w:val="none"/>
        </w:rPr>
      </w:pPr>
      <w:r>
        <w:rPr>
          <w:rFonts w:hint="eastAsia" w:ascii="仿宋" w:eastAsia="仿宋"/>
          <w:color w:val="auto"/>
          <w:sz w:val="24"/>
          <w:highlight w:val="none"/>
        </w:rPr>
      </w:r>
      <w:r/>
    </w:p>
    <w:p>
      <w:pPr>
        <w:ind w:firstLine="42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要求逐条如实填写，根据</w:t>
      </w:r>
      <w:r>
        <w:rPr>
          <w:rFonts w:hint="eastAsia" w:ascii="宋体" w:hAnsi="宋体" w:eastAsia="宋体" w:cs="宋体"/>
          <w:color w:val="auto"/>
          <w:sz w:val="24"/>
          <w:highlight w:val="none"/>
          <w:lang w:eastAsia="zh-CN"/>
        </w:rPr>
        <w:t xml:space="preserve">所供产品</w:t>
      </w:r>
      <w:r>
        <w:rPr>
          <w:rFonts w:hint="eastAsia" w:ascii="宋体" w:hAnsi="宋体" w:eastAsia="宋体" w:cs="宋体"/>
          <w:color w:val="auto"/>
          <w:sz w:val="24"/>
          <w:highlight w:val="none"/>
        </w:rPr>
        <w:t xml:space="preserve">情况在“偏离说明”项填写正偏离或负偏离及原因，完全符合的填写“无偏离”。</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9.服  务  承  诺</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center"/>
        <w:spacing w:line="4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10.中小企业声明函（工程、服务）</w:t>
      </w:r>
      <w:r/>
    </w:p>
    <w:p>
      <w:pPr>
        <w:spacing w:line="5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i/>
          <w:iCs/>
          <w:color w:val="auto"/>
          <w:sz w:val="24"/>
          <w:szCs w:val="24"/>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采购文件中明确的所属行业</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color w:val="auto"/>
          <w:sz w:val="24"/>
          <w:szCs w:val="24"/>
        </w:rPr>
        <w:t xml:space="preserve">行业；制造商为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i/>
          <w:iCs/>
          <w:color w:val="auto"/>
          <w:sz w:val="24"/>
          <w:szCs w:val="24"/>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采购文件中明确的所属行业</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color w:val="auto"/>
          <w:sz w:val="24"/>
          <w:szCs w:val="24"/>
        </w:rPr>
        <w:t xml:space="preserve">行业；制造商为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0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ind w:firstLine="4080"/>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p>
    <w:p>
      <w:pPr>
        <w:jc w:val="left"/>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从业人员、营业收入、资产总额填报上一年度数据，无上一年度数据的新成立企业可不填报。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11.残疾人福利性单位声明函（分包号：**）</w:t>
      </w:r>
      <w:r/>
    </w:p>
    <w:p>
      <w:pPr>
        <w:ind w:firstLine="480"/>
        <w:spacing w:line="588" w:lineRule="exact"/>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u w:val="single"/>
        </w:rPr>
        <w:t xml:space="preserve">       </w:t>
      </w:r>
      <w:r>
        <w:rPr>
          <w:rFonts w:hint="eastAsia" w:ascii="宋体" w:hAnsi="宋体"/>
          <w:color w:val="auto"/>
          <w:sz w:val="24"/>
        </w:rPr>
        <w:t xml:space="preserve">项目（分包号：**）采购活动由本单位提供服务</w:t>
      </w:r>
      <w:r>
        <w:rPr>
          <w:rFonts w:hint="eastAsia" w:ascii="宋体" w:hAnsi="宋体"/>
          <w:color w:val="auto"/>
          <w:sz w:val="24"/>
          <w:lang w:eastAsia="zh-CN"/>
        </w:rPr>
        <w:t xml:space="preserve">。（</w:t>
      </w:r>
      <w:r>
        <w:rPr>
          <w:rFonts w:hint="eastAsia" w:ascii="宋体" w:hAnsi="宋体"/>
          <w:color w:val="auto"/>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588" w:lineRule="exact"/>
        <w:rPr>
          <w:rFonts w:ascii="宋体" w:hAnsi="宋体"/>
          <w:color w:val="auto"/>
          <w:sz w:val="24"/>
        </w:rPr>
      </w:pPr>
      <w:r>
        <w:rPr>
          <w:rFonts w:hint="eastAsia" w:ascii="宋体" w:hAnsi="宋体"/>
          <w:color w:val="auto"/>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 w:eastAsia="仿宋"/>
          <w:color w:val="auto"/>
          <w:spacing w:val="6"/>
          <w:sz w:val="30"/>
          <w:szCs w:val="30"/>
        </w:rPr>
      </w:pPr>
      <w:r>
        <w:rPr>
          <w:rFonts w:ascii="仿宋" w:eastAsia="仿宋"/>
          <w:color w:val="auto"/>
          <w:spacing w:val="6"/>
          <w:sz w:val="30"/>
          <w:szCs w:val="30"/>
        </w:rPr>
      </w:r>
      <w:r/>
    </w:p>
    <w:p>
      <w:pPr>
        <w:ind w:right="1560" w:firstLine="624"/>
        <w:jc w:val="center"/>
        <w:spacing w:line="588" w:lineRule="exact"/>
        <w:tabs>
          <w:tab w:val="left" w:pos="4860" w:leader="none"/>
        </w:tabs>
        <w:rPr>
          <w:rFonts w:ascii="宋体" w:hAnsi="宋体"/>
          <w:color w:val="auto"/>
          <w:sz w:val="24"/>
        </w:rPr>
      </w:pPr>
      <w:r>
        <w:rPr>
          <w:rFonts w:hint="eastAsia" w:ascii="仿宋" w:eastAsia="仿宋"/>
          <w:color w:val="auto"/>
          <w:spacing w:val="6"/>
          <w:sz w:val="30"/>
          <w:szCs w:val="30"/>
        </w:rPr>
        <w:t xml:space="preserve">             </w:t>
      </w:r>
      <w:r>
        <w:rPr>
          <w:rFonts w:hint="eastAsia" w:ascii="宋体" w:hAnsi="宋体"/>
          <w:color w:val="auto"/>
          <w:sz w:val="24"/>
        </w:rPr>
        <w:t xml:space="preserve">          供应商全称（加盖CA电子公章）：</w:t>
      </w:r>
      <w:r/>
    </w:p>
    <w:p>
      <w:pPr>
        <w:ind w:right="1560" w:firstLine="480"/>
        <w:jc w:val="center"/>
        <w:spacing w:line="588" w:lineRule="exact"/>
        <w:tabs>
          <w:tab w:val="left" w:pos="4860" w:leader="none"/>
        </w:tabs>
        <w:rPr>
          <w:rFonts w:ascii="宋体" w:hAnsi="宋体"/>
          <w:color w:val="auto"/>
          <w:sz w:val="24"/>
        </w:rPr>
      </w:pPr>
      <w:r>
        <w:rPr>
          <w:rFonts w:hint="eastAsia" w:ascii="宋体" w:hAnsi="宋体"/>
          <w:color w:val="auto"/>
          <w:sz w:val="24"/>
        </w:rPr>
        <w:t xml:space="preserve">        日  期：</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12.联合体协议（参考格式）（分包号：**）</w:t>
      </w:r>
      <w:r/>
    </w:p>
    <w:p>
      <w:pPr>
        <w:spacing w:line="560" w:lineRule="exact"/>
        <w:rPr>
          <w:rFonts w:ascii="宋体" w:hAnsi="宋体"/>
          <w:color w:val="auto"/>
          <w:sz w:val="24"/>
        </w:rPr>
      </w:pPr>
      <w:r>
        <w:rPr>
          <w:rFonts w:hint="eastAsia" w:ascii="宋体" w:hAnsi="宋体"/>
          <w:color w:val="auto"/>
          <w:sz w:val="24"/>
          <w:u w:val="single"/>
        </w:rPr>
        <w:t xml:space="preserve">（联合体中各供应商全称）</w:t>
      </w:r>
      <w:r>
        <w:rPr>
          <w:rFonts w:hint="eastAsia" w:ascii="宋体" w:hAnsi="宋体"/>
          <w:color w:val="auto"/>
          <w:sz w:val="24"/>
        </w:rPr>
        <w:t xml:space="preserve">在此达成以下协议：</w:t>
      </w:r>
      <w:r/>
    </w:p>
    <w:p>
      <w:pPr>
        <w:ind w:firstLine="645"/>
        <w:spacing w:line="56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、我们自愿组成联合体，参加采购编号为</w:t>
      </w:r>
      <w:r>
        <w:rPr>
          <w:rFonts w:hint="eastAsia" w:ascii="宋体" w:hAnsi="宋体"/>
          <w:color w:val="auto"/>
          <w:sz w:val="24"/>
          <w:u w:val="single"/>
        </w:rPr>
        <w:t xml:space="preserve">（编号全称），（项目全称）</w:t>
      </w:r>
      <w:r>
        <w:rPr>
          <w:rFonts w:hint="eastAsia" w:ascii="宋体" w:hAnsi="宋体"/>
          <w:color w:val="auto"/>
          <w:sz w:val="24"/>
        </w:rPr>
        <w:t xml:space="preserve">项目（分包号：**）的政府采购活动，我联合体指定</w:t>
      </w:r>
      <w:r>
        <w:rPr>
          <w:rFonts w:hint="eastAsia" w:ascii="宋体" w:hAnsi="宋体"/>
          <w:color w:val="auto"/>
          <w:sz w:val="24"/>
          <w:u w:val="single"/>
        </w:rPr>
        <w:t xml:space="preserve">（供应商*）</w:t>
      </w:r>
      <w:r>
        <w:rPr>
          <w:rFonts w:hint="eastAsia" w:ascii="宋体" w:hAnsi="宋体"/>
          <w:color w:val="auto"/>
          <w:sz w:val="24"/>
        </w:rPr>
        <w:t xml:space="preserve">为牵头单位（牵头单位必须为联合体成员）。</w:t>
      </w:r>
      <w:r/>
    </w:p>
    <w:p>
      <w:pPr>
        <w:ind w:firstLine="645"/>
        <w:spacing w:line="56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、若我们联合中标、成交，（供应商单位</w:t>
      </w:r>
      <w:r>
        <w:rPr>
          <w:rFonts w:ascii="宋体" w:hAnsi="宋体"/>
          <w:color w:val="auto"/>
          <w:sz w:val="24"/>
        </w:rPr>
        <w:t xml:space="preserve">1</w:t>
      </w:r>
      <w:r>
        <w:rPr>
          <w:rFonts w:hint="eastAsia" w:ascii="宋体" w:hAnsi="宋体"/>
          <w:color w:val="auto"/>
          <w:sz w:val="24"/>
        </w:rPr>
        <w:t xml:space="preserve">全称）实施项目中（工作内容）部分工作，并承担相应的责任。（供应商单位</w:t>
      </w:r>
      <w:r>
        <w:rPr>
          <w:rFonts w:ascii="宋体" w:hAnsi="宋体"/>
          <w:color w:val="auto"/>
          <w:sz w:val="24"/>
        </w:rPr>
        <w:t xml:space="preserve">2</w:t>
      </w:r>
      <w:r>
        <w:rPr>
          <w:rFonts w:hint="eastAsia" w:ascii="宋体" w:hAnsi="宋体"/>
          <w:color w:val="auto"/>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、其中</w:t>
      </w:r>
      <w:r>
        <w:rPr>
          <w:rFonts w:ascii="宋体" w:hAnsi="宋体"/>
          <w:color w:val="auto"/>
          <w:sz w:val="24"/>
          <w:u w:val="single"/>
        </w:rPr>
        <w:t xml:space="preserve">      </w:t>
      </w:r>
      <w:r>
        <w:rPr>
          <w:rFonts w:hint="eastAsia" w:ascii="宋体" w:hAnsi="宋体"/>
          <w:color w:val="auto"/>
          <w:sz w:val="24"/>
        </w:rPr>
        <w:t xml:space="preserve">（小型、微型企业/残疾人福利性单位/监狱企业全称）为</w:t>
      </w:r>
      <w:r>
        <w:rPr>
          <w:rFonts w:ascii="宋体" w:hAnsi="宋体"/>
          <w:color w:val="auto"/>
          <w:sz w:val="24"/>
          <w:u w:val="single"/>
        </w:rPr>
        <w:t xml:space="preserve">    </w:t>
      </w:r>
      <w:r>
        <w:rPr>
          <w:rFonts w:hint="eastAsia" w:ascii="宋体" w:hAnsi="宋体"/>
          <w:color w:val="auto"/>
          <w:sz w:val="24"/>
        </w:rPr>
        <w:t xml:space="preserve">（小型、微型企业/残疾人福利性单位/监狱企业）企业，且我们约定该公司/单位所承担的合同金额将占本项目合同总金额的</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w:t>
      </w:r>
      <w:r/>
    </w:p>
    <w:p>
      <w:pPr>
        <w:ind w:firstLine="645"/>
        <w:spacing w:line="560" w:lineRule="exact"/>
        <w:rPr>
          <w:rFonts w:hint="eastAsia" w:ascii="宋体" w:hAnsi="宋体"/>
          <w:color w:val="auto"/>
          <w:sz w:val="24"/>
        </w:rPr>
      </w:pPr>
      <w:r>
        <w:rPr>
          <w:rFonts w:hint="eastAsia" w:ascii="宋体" w:hAnsi="宋体"/>
          <w:color w:val="auto"/>
          <w:sz w:val="24"/>
        </w:rPr>
      </w:r>
      <w:r/>
    </w:p>
    <w:p>
      <w:pPr>
        <w:ind w:firstLine="645"/>
        <w:spacing w:line="560" w:lineRule="exact"/>
        <w:rPr>
          <w:rFonts w:ascii="宋体" w:hAnsi="宋体"/>
          <w:color w:val="auto"/>
          <w:sz w:val="24"/>
        </w:rPr>
      </w:pPr>
      <w:r>
        <w:rPr>
          <w:rFonts w:hint="eastAsia" w:ascii="宋体" w:hAnsi="宋体"/>
          <w:color w:val="auto"/>
          <w:sz w:val="24"/>
        </w:rPr>
        <w:t xml:space="preserve">备注：本招标文件中要求加盖CA电子签章的地方，仅需加盖牵头单位的CA电子签章。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384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联合体中各供应商全称（公章）： </w:t>
      </w:r>
      <w:r/>
    </w:p>
    <w:p>
      <w:pPr>
        <w:rPr>
          <w:rFonts w:hint="eastAsia"/>
          <w:color w:val="auto"/>
          <w:lang w:val="en-US" w:eastAsia="zh-CN"/>
        </w:rPr>
      </w:pPr>
      <w:r>
        <w:rPr>
          <w:rFonts w:hint="eastAsia"/>
          <w:color w:val="auto"/>
          <w:lang w:val="en-US" w:eastAsia="zh-CN"/>
        </w:rPr>
      </w:r>
      <w:r/>
    </w:p>
    <w:p>
      <w:pPr>
        <w:ind w:firstLine="3840"/>
        <w:keepLines w:val="0"/>
        <w:keepNext w:val="0"/>
        <w:pageBreakBefore w:val="0"/>
        <w:spacing w:line="480" w:lineRule="exact"/>
        <w:widowControl w:val="off"/>
        <w:rPr>
          <w:rFonts w:hint="eastAsia" w:ascii="仿宋" w:eastAsia="仿宋"/>
          <w:color w:val="auto"/>
          <w:sz w:val="24"/>
          <w:highlight w:val="none"/>
          <w:lang w:val="en-US" w:eastAsia="zh-CN"/>
        </w:rPr>
      </w:pPr>
      <w:r>
        <w:rPr>
          <w:rFonts w:hint="eastAsia" w:ascii="仿宋" w:eastAsia="仿宋"/>
          <w:color w:val="auto"/>
          <w:sz w:val="24"/>
          <w:highlight w:val="none"/>
          <w:lang w:val="en-US" w:eastAsia="zh-CN"/>
        </w:rPr>
      </w:r>
      <w:r/>
    </w:p>
    <w:p>
      <w:pPr>
        <w:ind w:firstLine="52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625"/>
        <w:keepLines w:val="0"/>
        <w:keepNext w:val="0"/>
        <w:pageBreakBefore w:val="0"/>
        <w:spacing w:line="480" w:lineRule="exact"/>
        <w:widowControl w:val="off"/>
        <w:rPr>
          <w:rFonts w:hint="eastAsia" w:ascii="仿宋" w:eastAsia="仿宋"/>
          <w:color w:val="auto"/>
          <w:sz w:val="24"/>
          <w:highlight w:val="none"/>
        </w:rPr>
      </w:pPr>
      <w:r>
        <w:rPr>
          <w:rFonts w:hint="eastAsia" w:ascii="仿宋" w:eastAsia="仿宋"/>
          <w:color w:val="auto"/>
          <w:sz w:val="24"/>
          <w:highlight w:val="none"/>
        </w:rPr>
      </w:r>
      <w:r/>
    </w:p>
    <w:p>
      <w:pPr>
        <w:ind w:right="-105" w:firstLine="480"/>
        <w:jc w:val="center"/>
        <w:keepLines w:val="0"/>
        <w:keepNext w:val="0"/>
        <w:pageBreakBefore w:val="0"/>
        <w:spacing w:line="480" w:lineRule="exact"/>
        <w:widowControl w:val="off"/>
        <w:rPr>
          <w:rFonts w:hint="eastAsia"/>
          <w:color w:val="auto"/>
          <w:sz w:val="24"/>
          <w:highlight w:val="none"/>
          <w:lang w:val="en-US" w:eastAsia="zh-CN"/>
        </w:rPr>
      </w:pPr>
      <w:r>
        <w:rPr>
          <w:rFonts w:hint="eastAsia"/>
          <w:color w:val="auto"/>
          <w:sz w:val="24"/>
          <w:highlight w:val="none"/>
          <w:lang w:val="en-US" w:eastAsia="zh-CN"/>
        </w:rPr>
      </w:r>
      <w:bookmarkEnd w:id="200"/>
      <w:r/>
    </w:p>
    <w:p>
      <w:pPr>
        <w:jc w:val="center"/>
        <w:rPr>
          <w:rFonts w:hint="default" w:ascii="黑体" w:hAnsi="Times New Roman" w:eastAsia="黑体" w:cs="Times New Roman"/>
          <w:b/>
          <w:bCs/>
          <w:color w:val="auto"/>
          <w:sz w:val="32"/>
          <w:szCs w:val="32"/>
          <w:highlight w:val="none"/>
          <w:lang w:val="en-US" w:eastAsia="zh-CN"/>
        </w:rPr>
        <w:outlineLvl w:val="1"/>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13.东台市政府采购事前信用承诺书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为营造我市公开、公平、公正、诚实守信的政府采购交易环境，树立诚信守法的投标人形象，本人代表本单位作出以下承诺：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56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法定代表人签名：</w:t>
      </w:r>
      <w:r/>
    </w:p>
    <w:p>
      <w:pPr>
        <w:ind w:right="1560" w:firstLine="480"/>
        <w:jc w:val="center"/>
        <w:spacing w:line="588" w:lineRule="exact"/>
        <w:tabs>
          <w:tab w:val="left" w:pos="4860" w:leader="none"/>
        </w:tabs>
        <w:rPr>
          <w:rFonts w:ascii="宋体" w:hAnsi="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color w:val="auto"/>
          <w:sz w:val="24"/>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日  期：</w:t>
      </w:r>
      <w:r/>
    </w:p>
    <w:p>
      <w:pPr>
        <w:pStyle w:val="615"/>
        <w:jc w:val="center"/>
        <w:spacing w:beforeAutospacing="0" w:afterAutospacing="0"/>
        <w:rPr>
          <w:color w:val="auto"/>
        </w:rPr>
      </w:pPr>
      <w:r>
        <w:rPr>
          <w:color w:val="auto"/>
        </w:rPr>
      </w:r>
      <w:bookmarkEnd w:id="38"/>
      <w:bookmarkEnd w:id="53"/>
      <w:bookmarkEnd w:id="84"/>
      <w:bookmarkEnd w:id="85"/>
      <w:bookmarkEnd w:id="86"/>
      <w:bookmarkEnd w:id="89"/>
      <w:bookmarkEnd w:id="90"/>
      <w:bookmarkEnd w:id="91"/>
      <w:bookmarkEnd w:id="92"/>
      <w:bookmarkEnd w:id="93"/>
      <w:bookmarkEnd w:id="94"/>
      <w:bookmarkEnd w:id="95"/>
      <w:bookmarkEnd w:id="96"/>
      <w:bookmarkEnd w:id="97"/>
      <w:bookmarkEnd w:id="98"/>
      <w:bookmarkEnd w:id="99"/>
      <w:bookmarkEnd w:id="100"/>
      <w:bookmarkEnd w:id="101"/>
      <w:bookmarkEnd w:id="106"/>
      <w:bookmarkEnd w:id="107"/>
      <w:bookmarkEnd w:id="108"/>
      <w:bookmarkEnd w:id="113"/>
      <w:bookmarkEnd w:id="114"/>
      <w:bookmarkEnd w:id="121"/>
      <w:bookmarkEnd w:id="178"/>
      <w:bookmarkEnd w:id="184"/>
      <w:bookmarkEnd w:id="189"/>
      <w:bookmarkEnd w:id="190"/>
      <w:bookmarkEnd w:id="191"/>
      <w:bookmarkEnd w:id="192"/>
      <w:bookmarkEnd w:id="193"/>
      <w:bookmarkEnd w:id="194"/>
      <w:bookmarkEnd w:id="195"/>
      <w:bookmarkEnd w:id="196"/>
      <w:bookmarkEnd w:id="197"/>
      <w:bookmarkEnd w:id="198"/>
      <w:bookmarkEnd w:id="199"/>
      <w:r/>
    </w:p>
    <w:p>
      <w:pPr>
        <w:rPr>
          <w:color w:val="auto"/>
        </w:rPr>
      </w:pPr>
      <w:r>
        <w:rPr>
          <w:color w:val="auto"/>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615"/>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615"/>
        <w:jc w:val="both"/>
        <w:spacing w:before="290" w:beforeAutospacing="0" w:afterAutospacing="0" w:line="360" w:lineRule="auto"/>
        <w:rPr>
          <w:rFonts w:ascii="宋体" w:hAnsi="宋体" w:eastAsia="宋体" w:cs="宋体"/>
          <w:color w:val="auto"/>
        </w:rPr>
      </w:pPr>
      <w:r>
        <w:rPr>
          <w:rFonts w:hint="eastAsia" w:ascii="宋体" w:hAnsi="宋体" w:eastAsia="宋体" w:cs="宋体"/>
          <w:color w:val="auto"/>
        </w:rPr>
        <w:t xml:space="preserve">一、质疑供应商基本信息</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二、质疑项目基本情况</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三、质疑事项具体内容</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615"/>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质疑事项2</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61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615"/>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615"/>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质疑函制作说明：</w:t>
      </w:r>
      <w:r/>
    </w:p>
    <w:p>
      <w:pPr>
        <w:pStyle w:val="615"/>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615"/>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15"/>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615"/>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615"/>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615"/>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615"/>
        <w:ind w:firstLine="42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rPr>
          <w:color w:val="auto"/>
        </w:rPr>
      </w:pPr>
      <w:r>
        <w:rPr>
          <w:color w:val="auto"/>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00000000000000000"/>
  </w:font>
  <w:font w:name="Courier New">
    <w:panose1 w:val="02070309020205020404"/>
  </w:font>
  <w:font w:name="仿宋">
    <w:panose1 w:val="02010609060101010101"/>
  </w:font>
  <w:font w:name="Symbol">
    <w:panose1 w:val="05050102010706020507"/>
  </w:font>
  <w:font w:name="楷体">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4"/>
    <w:link w:val="629"/>
    <w:uiPriority w:val="9"/>
    <w:rPr>
      <w:rFonts w:ascii="Arial" w:hAnsi="Arial" w:eastAsia="Arial" w:cs="Arial"/>
      <w:sz w:val="40"/>
      <w:szCs w:val="40"/>
    </w:rPr>
  </w:style>
  <w:style w:type="character" w:styleId="15">
    <w:name w:val="Heading 2 Char"/>
    <w:basedOn w:val="604"/>
    <w:link w:val="631"/>
    <w:uiPriority w:val="9"/>
    <w:rPr>
      <w:rFonts w:ascii="Arial" w:hAnsi="Arial" w:eastAsia="Arial" w:cs="Arial"/>
      <w:sz w:val="34"/>
    </w:rPr>
  </w:style>
  <w:style w:type="paragraph" w:styleId="16">
    <w:name w:val="Heading 3"/>
    <w:basedOn w:val="600"/>
    <w:next w:val="6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4"/>
    <w:link w:val="16"/>
    <w:uiPriority w:val="9"/>
    <w:rPr>
      <w:rFonts w:ascii="Arial" w:hAnsi="Arial" w:eastAsia="Arial" w:cs="Arial"/>
      <w:sz w:val="30"/>
      <w:szCs w:val="30"/>
    </w:rPr>
  </w:style>
  <w:style w:type="character" w:styleId="19">
    <w:name w:val="Heading 4 Char"/>
    <w:basedOn w:val="604"/>
    <w:link w:val="630"/>
    <w:uiPriority w:val="9"/>
    <w:rPr>
      <w:rFonts w:ascii="Arial" w:hAnsi="Arial" w:eastAsia="Arial" w:cs="Arial"/>
      <w:b/>
      <w:bCs/>
      <w:sz w:val="26"/>
      <w:szCs w:val="26"/>
    </w:rPr>
  </w:style>
  <w:style w:type="paragraph" w:styleId="20">
    <w:name w:val="Heading 5"/>
    <w:basedOn w:val="600"/>
    <w:next w:val="6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4"/>
    <w:link w:val="20"/>
    <w:uiPriority w:val="9"/>
    <w:rPr>
      <w:rFonts w:ascii="Arial" w:hAnsi="Arial" w:eastAsia="Arial" w:cs="Arial"/>
      <w:b/>
      <w:bCs/>
      <w:sz w:val="24"/>
      <w:szCs w:val="24"/>
    </w:rPr>
  </w:style>
  <w:style w:type="paragraph" w:styleId="22">
    <w:name w:val="Heading 6"/>
    <w:basedOn w:val="600"/>
    <w:next w:val="6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4"/>
    <w:link w:val="22"/>
    <w:uiPriority w:val="9"/>
    <w:rPr>
      <w:rFonts w:ascii="Arial" w:hAnsi="Arial" w:eastAsia="Arial" w:cs="Arial"/>
      <w:b/>
      <w:bCs/>
      <w:sz w:val="22"/>
      <w:szCs w:val="22"/>
    </w:rPr>
  </w:style>
  <w:style w:type="paragraph" w:styleId="24">
    <w:name w:val="Heading 7"/>
    <w:basedOn w:val="600"/>
    <w:next w:val="6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4"/>
    <w:link w:val="24"/>
    <w:uiPriority w:val="9"/>
    <w:rPr>
      <w:rFonts w:ascii="Arial" w:hAnsi="Arial" w:eastAsia="Arial" w:cs="Arial"/>
      <w:b/>
      <w:bCs/>
      <w:i/>
      <w:iCs/>
      <w:sz w:val="22"/>
      <w:szCs w:val="22"/>
    </w:rPr>
  </w:style>
  <w:style w:type="paragraph" w:styleId="26">
    <w:name w:val="Heading 8"/>
    <w:basedOn w:val="600"/>
    <w:next w:val="6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4"/>
    <w:link w:val="26"/>
    <w:uiPriority w:val="9"/>
    <w:rPr>
      <w:rFonts w:ascii="Arial" w:hAnsi="Arial" w:eastAsia="Arial" w:cs="Arial"/>
      <w:i/>
      <w:iCs/>
      <w:sz w:val="22"/>
      <w:szCs w:val="22"/>
    </w:rPr>
  </w:style>
  <w:style w:type="paragraph" w:styleId="28">
    <w:name w:val="Heading 9"/>
    <w:basedOn w:val="600"/>
    <w:next w:val="6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00"/>
    <w:next w:val="600"/>
    <w:link w:val="34"/>
    <w:uiPriority w:val="10"/>
    <w:qFormat/>
    <w:pPr>
      <w:contextualSpacing/>
      <w:spacing w:before="300" w:after="200"/>
    </w:pPr>
    <w:rPr>
      <w:sz w:val="48"/>
      <w:szCs w:val="48"/>
    </w:rPr>
  </w:style>
  <w:style w:type="character" w:styleId="34">
    <w:name w:val="Title Char"/>
    <w:basedOn w:val="604"/>
    <w:link w:val="33"/>
    <w:uiPriority w:val="10"/>
    <w:rPr>
      <w:sz w:val="48"/>
      <w:szCs w:val="48"/>
    </w:rPr>
  </w:style>
  <w:style w:type="paragraph" w:styleId="35">
    <w:name w:val="Subtitle"/>
    <w:basedOn w:val="600"/>
    <w:next w:val="600"/>
    <w:link w:val="36"/>
    <w:uiPriority w:val="11"/>
    <w:qFormat/>
    <w:pPr>
      <w:spacing w:before="200" w:after="200"/>
    </w:pPr>
    <w:rPr>
      <w:sz w:val="24"/>
      <w:szCs w:val="24"/>
    </w:rPr>
  </w:style>
  <w:style w:type="character" w:styleId="36">
    <w:name w:val="Subtitle Char"/>
    <w:basedOn w:val="604"/>
    <w:link w:val="35"/>
    <w:uiPriority w:val="11"/>
    <w:rPr>
      <w:sz w:val="24"/>
      <w:szCs w:val="24"/>
    </w:rPr>
  </w:style>
  <w:style w:type="paragraph" w:styleId="37">
    <w:name w:val="Quote"/>
    <w:basedOn w:val="600"/>
    <w:next w:val="600"/>
    <w:link w:val="38"/>
    <w:uiPriority w:val="29"/>
    <w:qFormat/>
    <w:pPr>
      <w:ind w:left="720" w:right="720"/>
    </w:pPr>
    <w:rPr>
      <w:i/>
    </w:rPr>
  </w:style>
  <w:style w:type="character" w:styleId="38">
    <w:name w:val="Quote Char"/>
    <w:link w:val="37"/>
    <w:uiPriority w:val="29"/>
    <w:rPr>
      <w:i/>
    </w:rPr>
  </w:style>
  <w:style w:type="paragraph" w:styleId="39">
    <w:name w:val="Intense Quote"/>
    <w:basedOn w:val="600"/>
    <w:next w:val="6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04"/>
    <w:link w:val="613"/>
    <w:uiPriority w:val="99"/>
  </w:style>
  <w:style w:type="character" w:styleId="44">
    <w:name w:val="Footer Char"/>
    <w:basedOn w:val="604"/>
    <w:link w:val="611"/>
    <w:uiPriority w:val="99"/>
  </w:style>
  <w:style w:type="paragraph" w:styleId="45">
    <w:name w:val="Caption"/>
    <w:basedOn w:val="600"/>
    <w:next w:val="600"/>
    <w:uiPriority w:val="35"/>
    <w:semiHidden/>
    <w:unhideWhenUsed/>
    <w:qFormat/>
    <w:pPr>
      <w:spacing w:line="276" w:lineRule="auto"/>
    </w:pPr>
    <w:rPr>
      <w:b/>
      <w:bCs/>
      <w:color w:val="4f81bd" w:themeColor="accent1"/>
      <w:sz w:val="18"/>
      <w:szCs w:val="18"/>
    </w:rPr>
  </w:style>
  <w:style w:type="character" w:styleId="46">
    <w:name w:val="Caption Char"/>
    <w:basedOn w:val="45"/>
    <w:link w:val="611"/>
    <w:uiPriority w:val="99"/>
  </w:style>
  <w:style w:type="table" w:styleId="48">
    <w:name w:val="Table Grid Light"/>
    <w:basedOn w:val="6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4"/>
    <w:uiPriority w:val="99"/>
    <w:unhideWhenUsed/>
    <w:rPr>
      <w:vertAlign w:val="superscript"/>
    </w:rPr>
  </w:style>
  <w:style w:type="paragraph" w:styleId="177">
    <w:name w:val="endnote text"/>
    <w:basedOn w:val="6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4"/>
    <w:uiPriority w:val="99"/>
    <w:semiHidden/>
    <w:unhideWhenUsed/>
    <w:rPr>
      <w:vertAlign w:val="superscript"/>
    </w:rPr>
  </w:style>
  <w:style w:type="paragraph" w:styleId="180">
    <w:name w:val="toc 1"/>
    <w:basedOn w:val="600"/>
    <w:next w:val="600"/>
    <w:uiPriority w:val="39"/>
    <w:unhideWhenUsed/>
    <w:pPr>
      <w:ind w:left="0" w:right="0" w:firstLine="0"/>
      <w:spacing w:after="57"/>
    </w:pPr>
  </w:style>
  <w:style w:type="paragraph" w:styleId="181">
    <w:name w:val="toc 2"/>
    <w:basedOn w:val="600"/>
    <w:next w:val="600"/>
    <w:uiPriority w:val="39"/>
    <w:unhideWhenUsed/>
    <w:pPr>
      <w:ind w:left="283" w:right="0" w:firstLine="0"/>
      <w:spacing w:after="57"/>
    </w:pPr>
  </w:style>
  <w:style w:type="paragraph" w:styleId="182">
    <w:name w:val="toc 3"/>
    <w:basedOn w:val="600"/>
    <w:next w:val="600"/>
    <w:uiPriority w:val="39"/>
    <w:unhideWhenUsed/>
    <w:pPr>
      <w:ind w:left="567" w:right="0" w:firstLine="0"/>
      <w:spacing w:after="57"/>
    </w:pPr>
  </w:style>
  <w:style w:type="paragraph" w:styleId="184">
    <w:name w:val="toc 5"/>
    <w:basedOn w:val="600"/>
    <w:next w:val="600"/>
    <w:uiPriority w:val="39"/>
    <w:unhideWhenUsed/>
    <w:pPr>
      <w:ind w:left="1134" w:right="0" w:firstLine="0"/>
      <w:spacing w:after="57"/>
    </w:pPr>
  </w:style>
  <w:style w:type="paragraph" w:styleId="185">
    <w:name w:val="toc 6"/>
    <w:basedOn w:val="600"/>
    <w:next w:val="600"/>
    <w:uiPriority w:val="39"/>
    <w:unhideWhenUsed/>
    <w:pPr>
      <w:ind w:left="1417" w:right="0" w:firstLine="0"/>
      <w:spacing w:after="57"/>
    </w:pPr>
  </w:style>
  <w:style w:type="paragraph" w:styleId="186">
    <w:name w:val="toc 7"/>
    <w:basedOn w:val="600"/>
    <w:next w:val="600"/>
    <w:uiPriority w:val="39"/>
    <w:unhideWhenUsed/>
    <w:pPr>
      <w:ind w:left="1701" w:right="0" w:firstLine="0"/>
      <w:spacing w:after="57"/>
    </w:pPr>
  </w:style>
  <w:style w:type="paragraph" w:styleId="187">
    <w:name w:val="toc 8"/>
    <w:basedOn w:val="600"/>
    <w:next w:val="600"/>
    <w:uiPriority w:val="39"/>
    <w:unhideWhenUsed/>
    <w:pPr>
      <w:ind w:left="1984" w:right="0" w:firstLine="0"/>
      <w:spacing w:after="57"/>
    </w:pPr>
  </w:style>
  <w:style w:type="paragraph" w:styleId="188">
    <w:name w:val="toc 9"/>
    <w:basedOn w:val="600"/>
    <w:next w:val="6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0"/>
    <w:next w:val="600"/>
    <w:uiPriority w:val="99"/>
    <w:unhideWhenUsed/>
    <w:pPr>
      <w:spacing w:after="0" w:afterAutospacing="0"/>
    </w:pPr>
  </w:style>
  <w:style w:type="paragraph" w:styleId="600" w:default="1">
    <w:name w:val="Normal"/>
    <w:next w:val="60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1">
    <w:name w:val="Heading 1"/>
    <w:basedOn w:val="600"/>
    <w:next w:val="600"/>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02">
    <w:name w:val="Heading 2"/>
    <w:basedOn w:val="600"/>
    <w:next w:val="6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03">
    <w:name w:val="Heading 4"/>
    <w:basedOn w:val="600"/>
    <w:next w:val="608"/>
    <w:uiPriority w:val="0"/>
    <w:qFormat/>
    <w:pPr>
      <w:keepLines/>
      <w:keepNext/>
      <w:spacing w:before="280" w:after="290" w:line="376" w:lineRule="auto"/>
      <w:outlineLvl w:val="3"/>
    </w:pPr>
    <w:rPr>
      <w:rFonts w:ascii="Arial" w:hAnsi="Arial" w:eastAsia="黑体" w:cs="Arial"/>
      <w:b/>
      <w:bCs/>
      <w:sz w:val="28"/>
      <w:szCs w:val="28"/>
    </w:rPr>
  </w:style>
  <w:style w:type="character" w:styleId="604" w:default="1">
    <w:name w:val="Default Paragraph Font"/>
    <w:uiPriority w:val="1"/>
    <w:semiHidden/>
    <w:unhideWhenUsed/>
    <w:qFormat/>
  </w:style>
  <w:style w:type="table" w:styleId="605" w:default="1">
    <w:name w:val="Normal Table"/>
    <w:uiPriority w:val="99"/>
    <w:semiHidden/>
    <w:unhideWhenUsed/>
    <w:qFormat/>
    <w:tblPr>
      <w:tblCellMar>
        <w:left w:w="108" w:type="dxa"/>
        <w:top w:w="0" w:type="dxa"/>
        <w:right w:w="108" w:type="dxa"/>
        <w:bottom w:w="0" w:type="dxa"/>
      </w:tblCellMar>
    </w:tblPr>
  </w:style>
  <w:style w:type="paragraph" w:styleId="606">
    <w:name w:val="Body Text"/>
    <w:basedOn w:val="600"/>
    <w:next w:val="607"/>
    <w:uiPriority w:val="0"/>
    <w:qFormat/>
    <w:rPr>
      <w:rFonts w:ascii="楷体" w:hAnsi="Arial" w:eastAsia="楷体"/>
      <w:sz w:val="28"/>
      <w:szCs w:val="20"/>
    </w:rPr>
  </w:style>
  <w:style w:type="paragraph" w:styleId="607">
    <w:name w:val="toc 4"/>
    <w:basedOn w:val="600"/>
    <w:next w:val="600"/>
    <w:uiPriority w:val="0"/>
    <w:qFormat/>
    <w:pPr>
      <w:ind w:left="1260"/>
    </w:pPr>
  </w:style>
  <w:style w:type="paragraph" w:styleId="608">
    <w:name w:val="Normal Indent"/>
    <w:basedOn w:val="600"/>
    <w:uiPriority w:val="0"/>
    <w:qFormat/>
    <w:pPr>
      <w:ind w:firstLine="420"/>
    </w:pPr>
  </w:style>
  <w:style w:type="paragraph" w:styleId="609">
    <w:name w:val="Body Text Indent"/>
    <w:basedOn w:val="600"/>
    <w:uiPriority w:val="0"/>
    <w:qFormat/>
    <w:pPr>
      <w:ind w:firstLine="645"/>
    </w:pPr>
    <w:rPr>
      <w:rFonts w:ascii="楷体" w:eastAsia="楷体"/>
      <w:sz w:val="32"/>
      <w:szCs w:val="32"/>
    </w:rPr>
  </w:style>
  <w:style w:type="paragraph" w:styleId="610">
    <w:name w:val="Block Text"/>
    <w:basedOn w:val="600"/>
    <w:uiPriority w:val="0"/>
    <w:unhideWhenUsed/>
    <w:qFormat/>
    <w:pPr>
      <w:ind w:left="1440" w:right="700"/>
      <w:spacing w:after="120"/>
    </w:pPr>
    <w:rPr>
      <w:rFonts w:hint="eastAsia" w:ascii="Times New Roman" w:hAnsi="Times New Roman" w:eastAsia="宋体" w:cs="Times New Roman"/>
      <w:szCs w:val="21"/>
    </w:rPr>
  </w:style>
  <w:style w:type="paragraph" w:styleId="611">
    <w:name w:val="Footer"/>
    <w:basedOn w:val="600"/>
    <w:link w:val="627"/>
    <w:uiPriority w:val="0"/>
    <w:qFormat/>
    <w:pPr>
      <w:jc w:val="left"/>
      <w:tabs>
        <w:tab w:val="center" w:pos="4153" w:leader="none"/>
        <w:tab w:val="right" w:pos="8306" w:leader="none"/>
      </w:tabs>
    </w:pPr>
    <w:rPr>
      <w:sz w:val="18"/>
      <w:szCs w:val="18"/>
    </w:rPr>
  </w:style>
  <w:style w:type="paragraph" w:styleId="612">
    <w:name w:val="envelope return"/>
    <w:basedOn w:val="600"/>
    <w:uiPriority w:val="0"/>
    <w:qFormat/>
    <w:rPr>
      <w:rFonts w:ascii="Arial" w:hAnsi="Arial"/>
    </w:rPr>
  </w:style>
  <w:style w:type="paragraph" w:styleId="613">
    <w:name w:val="Header"/>
    <w:basedOn w:val="600"/>
    <w:link w:val="626"/>
    <w:uiPriority w:val="0"/>
    <w:qFormat/>
    <w:pPr>
      <w:jc w:val="center"/>
      <w:tabs>
        <w:tab w:val="center" w:pos="4153" w:leader="none"/>
        <w:tab w:val="right" w:pos="8306" w:leader="none"/>
      </w:tabs>
      <w:pBdr>
        <w:bottom w:val="single" w:color="auto" w:sz="6" w:space="1"/>
      </w:pBdr>
    </w:pPr>
    <w:rPr>
      <w:sz w:val="18"/>
      <w:szCs w:val="18"/>
    </w:rPr>
  </w:style>
  <w:style w:type="paragraph" w:styleId="614">
    <w:name w:val="index 9"/>
    <w:basedOn w:val="600"/>
    <w:next w:val="600"/>
    <w:uiPriority w:val="0"/>
    <w:qFormat/>
    <w:pPr>
      <w:ind w:left="1600"/>
    </w:pPr>
    <w:rPr>
      <w:rFonts w:ascii="Times New Roman" w:hAnsi="Times New Roman" w:eastAsia="宋体" w:cs="Times New Roman"/>
    </w:rPr>
  </w:style>
  <w:style w:type="paragraph" w:styleId="615">
    <w:name w:val="Normal (Web)"/>
    <w:basedOn w:val="600"/>
    <w:uiPriority w:val="0"/>
    <w:qFormat/>
    <w:pPr>
      <w:jc w:val="left"/>
      <w:spacing w:beforeAutospacing="1" w:afterAutospacing="1"/>
    </w:pPr>
    <w:rPr>
      <w:rFonts w:cs="Times New Roman"/>
      <w:sz w:val="24"/>
    </w:rPr>
  </w:style>
  <w:style w:type="paragraph" w:styleId="616">
    <w:name w:val="Body Text First Indent"/>
    <w:basedOn w:val="606"/>
    <w:uiPriority w:val="0"/>
    <w:qFormat/>
    <w:pPr>
      <w:ind w:firstLine="420"/>
    </w:pPr>
  </w:style>
  <w:style w:type="paragraph" w:styleId="617">
    <w:name w:val="Body Text First Indent 2"/>
    <w:basedOn w:val="609"/>
    <w:uiPriority w:val="0"/>
    <w:qFormat/>
    <w:pPr>
      <w:ind w:firstLine="420"/>
      <w:spacing w:line="360" w:lineRule="auto"/>
    </w:pPr>
    <w:rPr>
      <w:rFonts w:ascii="宋体" w:hAnsi="宋体" w:eastAsia="宋体"/>
      <w:sz w:val="21"/>
      <w:szCs w:val="20"/>
    </w:rPr>
  </w:style>
  <w:style w:type="table" w:styleId="618">
    <w:name w:val="Table Grid"/>
    <w:basedOn w:val="60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19">
    <w:name w:val="Strong"/>
    <w:basedOn w:val="604"/>
    <w:uiPriority w:val="0"/>
    <w:qFormat/>
    <w:rPr>
      <w:b/>
    </w:rPr>
  </w:style>
  <w:style w:type="character" w:styleId="620">
    <w:name w:val="page number"/>
    <w:uiPriority w:val="0"/>
    <w:qFormat/>
  </w:style>
  <w:style w:type="paragraph" w:styleId="621" w:customStyle="1">
    <w:name w:val="正文首行缩进 21"/>
    <w:basedOn w:val="622"/>
    <w:uiPriority w:val="0"/>
    <w:qFormat/>
    <w:pPr>
      <w:ind w:firstLine="200"/>
    </w:pPr>
    <w:rPr>
      <w:rFonts w:ascii="Times New Roman" w:hAnsi="Times New Roman" w:eastAsia="宋体" w:cs="Times New Roman"/>
    </w:rPr>
  </w:style>
  <w:style w:type="paragraph" w:styleId="622" w:customStyle="1">
    <w:name w:val="正文文本缩进 New"/>
    <w:basedOn w:val="623"/>
    <w:next w:val="624"/>
    <w:uiPriority w:val="0"/>
    <w:qFormat/>
    <w:pPr>
      <w:ind w:left="420"/>
      <w:spacing w:after="120"/>
    </w:pPr>
    <w:rPr>
      <w:rFonts w:ascii="Times New Roman" w:hAnsi="Times New Roman" w:eastAsia="宋体" w:cs="Times New Roman"/>
    </w:rPr>
  </w:style>
  <w:style w:type="paragraph" w:styleId="623" w:customStyle="1">
    <w:name w:val="正文 New"/>
    <w:next w:val="621"/>
    <w:uiPriority w:val="0"/>
    <w:qFormat/>
    <w:pPr>
      <w:jc w:val="both"/>
      <w:widowControl w:val="off"/>
    </w:pPr>
    <w:rPr>
      <w:rFonts w:ascii="Times New Roman" w:hAnsi="Times New Roman" w:eastAsia="宋体" w:cs="Times New Roman"/>
      <w:sz w:val="21"/>
      <w:szCs w:val="22"/>
      <w:lang w:val="en-US" w:eastAsia="zh-CN" w:bidi="ar-SA"/>
    </w:rPr>
  </w:style>
  <w:style w:type="paragraph" w:styleId="624" w:customStyle="1">
    <w:name w:val="寄信人地址 New"/>
    <w:basedOn w:val="623"/>
    <w:uiPriority w:val="0"/>
    <w:qFormat/>
    <w:rPr>
      <w:rFonts w:ascii="Arial" w:hAnsi="Arial" w:eastAsia="宋体" w:cs="Times New Roman"/>
    </w:rPr>
  </w:style>
  <w:style w:type="paragraph" w:styleId="625" w:customStyle="1">
    <w:name w:val="Default"/>
    <w:uiPriority w:val="99"/>
    <w:unhideWhenUsed/>
    <w:qFormat/>
    <w:pPr>
      <w:widowControl w:val="off"/>
    </w:pPr>
    <w:rPr>
      <w:rFonts w:hint="eastAsia" w:ascii="仿宋" w:hAnsi="仿宋" w:eastAsia="仿宋" w:cs="Times New Roman"/>
      <w:color w:val="000000"/>
      <w:sz w:val="24"/>
      <w:lang w:val="en-US" w:eastAsia="zh-CN" w:bidi="ar-SA"/>
    </w:rPr>
  </w:style>
  <w:style w:type="character" w:styleId="626" w:customStyle="1">
    <w:name w:val="页眉 Char"/>
    <w:basedOn w:val="604"/>
    <w:link w:val="613"/>
    <w:uiPriority w:val="0"/>
    <w:qFormat/>
    <w:rPr>
      <w:rFonts w:asciiTheme="minorHAnsi" w:hAnsiTheme="minorHAnsi" w:eastAsiaTheme="minorEastAsia" w:cstheme="minorBidi"/>
      <w:sz w:val="18"/>
      <w:szCs w:val="18"/>
    </w:rPr>
  </w:style>
  <w:style w:type="character" w:styleId="627" w:customStyle="1">
    <w:name w:val="页脚 Char"/>
    <w:basedOn w:val="604"/>
    <w:link w:val="611"/>
    <w:uiPriority w:val="0"/>
    <w:qFormat/>
    <w:rPr>
      <w:rFonts w:asciiTheme="minorHAnsi" w:hAnsiTheme="minorHAnsi" w:eastAsiaTheme="minorEastAsia" w:cstheme="minorBidi"/>
      <w:sz w:val="18"/>
      <w:szCs w:val="18"/>
    </w:rPr>
  </w:style>
  <w:style w:type="character" w:styleId="628" w:customStyle="1">
    <w:name w:val="NormalCharacter"/>
    <w:uiPriority w:val="0"/>
    <w:qFormat/>
  </w:style>
  <w:style w:type="paragraph" w:styleId="629" w:customStyle="1">
    <w:name w:val="Heading 1"/>
    <w:basedOn w:val="600"/>
    <w:next w:val="600"/>
    <w:uiPriority w:val="0"/>
    <w:qFormat/>
    <w:pPr>
      <w:jc w:val="center"/>
      <w:keepNext/>
    </w:pPr>
    <w:rPr>
      <w:rFonts w:ascii="楷体" w:eastAsia="楷体"/>
      <w:sz w:val="28"/>
      <w:szCs w:val="28"/>
    </w:rPr>
  </w:style>
  <w:style w:type="paragraph" w:styleId="630" w:customStyle="1">
    <w:name w:val="Heading 4"/>
    <w:basedOn w:val="600"/>
    <w:next w:val="600"/>
    <w:uiPriority w:val="0"/>
    <w:qFormat/>
    <w:pPr>
      <w:keepLines/>
      <w:keepNext/>
      <w:spacing w:before="280" w:after="290" w:line="376" w:lineRule="auto"/>
    </w:pPr>
    <w:rPr>
      <w:rFonts w:ascii="Arial" w:hAnsi="Arial" w:eastAsia="黑体" w:cs="Times New Roman"/>
      <w:b/>
      <w:bCs/>
      <w:sz w:val="28"/>
      <w:szCs w:val="28"/>
    </w:rPr>
  </w:style>
  <w:style w:type="paragraph" w:styleId="631" w:customStyle="1">
    <w:name w:val="Heading 2"/>
    <w:basedOn w:val="600"/>
    <w:next w:val="632"/>
    <w:uiPriority w:val="0"/>
    <w:qFormat/>
    <w:pPr>
      <w:jc w:val="center"/>
      <w:keepLines/>
      <w:keepNext/>
      <w:spacing w:before="260" w:after="260" w:line="416" w:lineRule="auto"/>
    </w:pPr>
    <w:rPr>
      <w:rFonts w:ascii="Arial" w:hAnsi="Arial" w:eastAsia="幼圆" w:cs="Times New Roman"/>
      <w:b/>
      <w:bCs/>
      <w:sz w:val="44"/>
      <w:szCs w:val="44"/>
    </w:rPr>
  </w:style>
  <w:style w:type="paragraph" w:styleId="632" w:customStyle="1">
    <w:name w:val="NormalIndent"/>
    <w:basedOn w:val="600"/>
    <w:uiPriority w:val="0"/>
    <w:qFormat/>
    <w:pPr>
      <w:ind w:firstLine="420"/>
    </w:pPr>
    <w:rPr>
      <w:szCs w:val="20"/>
    </w:rPr>
  </w:style>
  <w:style w:type="paragraph" w:styleId="633" w:customStyle="1">
    <w:name w:val="PlainText"/>
    <w:basedOn w:val="600"/>
    <w:uiPriority w:val="0"/>
    <w:qFormat/>
    <w:rPr>
      <w:rFonts w:ascii="宋体" w:hAnsi="Courier New"/>
    </w:rPr>
  </w:style>
  <w:style w:type="paragraph" w:styleId="634" w:customStyle="1">
    <w:name w:val="WPSOffice手动目录 1"/>
    <w:uiPriority w:val="0"/>
    <w:qFormat/>
    <w:rPr>
      <w:rFonts w:ascii="Times New Roman" w:hAnsi="Times New Roman" w:eastAsia="宋体" w:cs="Times New Roman"/>
      <w:sz w:val="20"/>
      <w:szCs w:val="20"/>
    </w:rPr>
  </w:style>
  <w:style w:type="paragraph" w:styleId="635" w:customStyle="1">
    <w:name w:val="Char"/>
    <w:basedOn w:val="600"/>
    <w:uiPriority w:val="0"/>
    <w:qFormat/>
    <w:pPr>
      <w:ind w:firstLine="200"/>
      <w:tabs>
        <w:tab w:val="left" w:pos="360" w:leader="none"/>
      </w:tabs>
    </w:pPr>
    <w:rPr>
      <w:sz w:val="28"/>
      <w:szCs w:val="30"/>
    </w:rPr>
  </w:style>
  <w:style w:type="paragraph" w:styleId="636" w:customStyle="1">
    <w:name w:val="普通正文"/>
    <w:basedOn w:val="600"/>
    <w:uiPriority w:val="0"/>
    <w:qFormat/>
    <w:pPr>
      <w:ind w:firstLine="480"/>
      <w:jc w:val="left"/>
      <w:spacing w:before="120" w:after="120" w:line="360" w:lineRule="auto"/>
    </w:pPr>
    <w:rPr>
      <w:rFonts w:ascii="Arial" w:hAnsi="Arial"/>
      <w:sz w:val="24"/>
      <w:szCs w:val="24"/>
    </w:rPr>
  </w:style>
  <w:style w:type="paragraph" w:styleId="637" w:customStyle="1">
    <w:name w:val="Table Paragraph"/>
    <w:basedOn w:val="600"/>
    <w:uiPriority w:val="1"/>
    <w:qFormat/>
  </w:style>
  <w:style w:type="character" w:styleId="638" w:customStyle="1">
    <w:name w:val="font21"/>
    <w:basedOn w:val="604"/>
    <w:uiPriority w:val="0"/>
    <w:qFormat/>
    <w:rPr>
      <w:rFonts w:hint="eastAsia" w:ascii="宋体" w:hAnsi="宋体" w:eastAsia="宋体" w:cs="宋体"/>
      <w:b/>
      <w:bCs/>
      <w:color w:val="000000"/>
      <w:sz w:val="22"/>
      <w:szCs w:val="22"/>
      <w:u w:val="none"/>
    </w:rPr>
  </w:style>
  <w:style w:type="paragraph" w:styleId="639">
    <w:name w:val="List Paragraph"/>
    <w:basedOn w:val="600"/>
    <w:uiPriority w:val="34"/>
    <w:qFormat/>
    <w:pPr>
      <w:ind w:firstLine="420"/>
    </w:pPr>
  </w:style>
  <w:style w:type="numbering" w:styleId="6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273</cp:revision>
  <dcterms:created xsi:type="dcterms:W3CDTF">2014-10-29T12:08:00Z</dcterms:created>
  <dcterms:modified xsi:type="dcterms:W3CDTF">2024-06-19T01:37:09Z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E1093AA085CE411A95D0C4B9CE6152AD_13</vt:lpwstr>
  </property>
</Properties>
</file>