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Bdr>
          <w:top w:val="none" w:color="000000" w:sz="0" w:space="0"/>
          <w:left w:val="none" w:color="000000" w:sz="0" w:space="0"/>
          <w:bottom w:val="none" w:color="000000" w:sz="0" w:space="0"/>
          <w:right w:val="none" w:color="000000" w:sz="0" w:space="0"/>
        </w:pBdr>
        <w:shd w:val="clear"/>
        <w:spacing w:before="240" w:after="240"/>
        <w:rPr>
          <w:rFonts w:hint="eastAsia" w:ascii="宋体" w:hAnsi="宋体" w:eastAsia="宋体" w:cs="宋体"/>
          <w:color w:val="auto"/>
          <w:highlight w:val="none"/>
        </w:rPr>
      </w:pPr>
      <w:r>
        <w:rPr>
          <w:rFonts w:hint="eastAsia" w:ascii="宋体" w:hAnsi="宋体" w:eastAsia="宋体" w:cs="宋体"/>
          <w:b/>
          <w:color w:val="auto"/>
          <w:sz w:val="84"/>
          <w:highlight w:val="none"/>
        </w:rPr>
        <w:t> </w:t>
      </w:r>
    </w:p>
    <w:p>
      <w:pPr>
        <w:pBdr>
          <w:top w:val="none" w:color="000000" w:sz="0" w:space="0"/>
          <w:left w:val="none" w:color="000000" w:sz="0" w:space="0"/>
          <w:bottom w:val="none" w:color="000000" w:sz="0" w:space="0"/>
          <w:right w:val="none" w:color="000000" w:sz="0" w:space="0"/>
        </w:pBdr>
        <w:shd w:val="clear"/>
        <w:spacing w:before="240" w:after="240"/>
        <w:rPr>
          <w:rFonts w:hint="eastAsia" w:ascii="宋体" w:hAnsi="宋体" w:eastAsia="宋体" w:cs="宋体"/>
          <w:color w:val="auto"/>
          <w:highlight w:val="none"/>
        </w:rPr>
      </w:pPr>
      <w:r>
        <w:rPr>
          <w:rFonts w:hint="eastAsia" w:ascii="宋体" w:hAnsi="宋体" w:eastAsia="宋体" w:cs="宋体"/>
          <w:b/>
          <w:color w:val="auto"/>
          <w:sz w:val="84"/>
          <w:highlight w:val="none"/>
        </w:rPr>
        <w:t> </w:t>
      </w:r>
    </w:p>
    <w:p>
      <w:pPr>
        <w:pBdr>
          <w:top w:val="none" w:color="000000" w:sz="0" w:space="0"/>
          <w:left w:val="none" w:color="000000" w:sz="0" w:space="0"/>
          <w:bottom w:val="none" w:color="000000" w:sz="0" w:space="0"/>
          <w:right w:val="none" w:color="000000" w:sz="0" w:space="0"/>
        </w:pBdr>
        <w:shd w:val="clear"/>
        <w:spacing w:before="240" w:after="240"/>
        <w:jc w:val="center"/>
        <w:rPr>
          <w:rFonts w:hint="eastAsia" w:ascii="宋体" w:hAnsi="宋体" w:eastAsia="宋体" w:cs="宋体"/>
          <w:color w:val="auto"/>
          <w:highlight w:val="none"/>
        </w:rPr>
      </w:pPr>
      <w:r>
        <w:rPr>
          <w:rFonts w:hint="eastAsia" w:ascii="宋体" w:hAnsi="宋体" w:eastAsia="宋体" w:cs="宋体"/>
          <w:b/>
          <w:color w:val="auto"/>
          <w:sz w:val="84"/>
          <w:highlight w:val="none"/>
        </w:rPr>
        <w:t>招　标　文　件</w:t>
      </w:r>
    </w:p>
    <w:p>
      <w:pPr>
        <w:pBdr>
          <w:top w:val="none" w:color="000000" w:sz="0" w:space="0"/>
          <w:left w:val="none" w:color="000000" w:sz="0" w:space="0"/>
          <w:bottom w:val="none" w:color="000000" w:sz="0" w:space="0"/>
          <w:right w:val="none" w:color="000000" w:sz="0" w:space="0"/>
        </w:pBdr>
        <w:shd w:val="clear"/>
        <w:spacing w:before="240" w:after="240"/>
        <w:rPr>
          <w:rFonts w:hint="eastAsia" w:ascii="宋体" w:hAnsi="宋体" w:eastAsia="宋体" w:cs="宋体"/>
          <w:color w:val="auto"/>
          <w:highlight w:val="none"/>
        </w:rPr>
      </w:pPr>
      <w:r>
        <w:rPr>
          <w:rFonts w:hint="eastAsia" w:ascii="宋体" w:hAnsi="宋体" w:eastAsia="宋体" w:cs="宋体"/>
          <w:b/>
          <w:color w:val="auto"/>
          <w:sz w:val="32"/>
          <w:highlight w:val="none"/>
        </w:rPr>
        <w:t>项目名称：2023年农作物病虫害智能监测站项目</w:t>
      </w:r>
    </w:p>
    <w:p>
      <w:pPr>
        <w:pBdr>
          <w:top w:val="none" w:color="000000" w:sz="0" w:space="0"/>
          <w:left w:val="none" w:color="000000" w:sz="0" w:space="0"/>
          <w:bottom w:val="none" w:color="000000" w:sz="0" w:space="0"/>
          <w:right w:val="none" w:color="000000" w:sz="0" w:space="0"/>
        </w:pBdr>
        <w:shd w:val="clear"/>
        <w:spacing w:before="240" w:after="240"/>
        <w:rPr>
          <w:rFonts w:hint="eastAsia" w:ascii="宋体" w:hAnsi="宋体" w:eastAsia="宋体" w:cs="宋体"/>
          <w:b/>
          <w:color w:val="auto"/>
          <w:sz w:val="32"/>
          <w:highlight w:val="none"/>
        </w:rPr>
      </w:pPr>
      <w:r>
        <w:rPr>
          <w:rFonts w:hint="eastAsia" w:ascii="宋体" w:hAnsi="宋体" w:eastAsia="宋体" w:cs="宋体"/>
          <w:b/>
          <w:color w:val="auto"/>
          <w:sz w:val="32"/>
          <w:highlight w:val="none"/>
        </w:rPr>
        <w:t>项目编号：</w:t>
      </w:r>
      <w:r>
        <w:rPr>
          <w:rFonts w:hint="eastAsia" w:ascii="宋体" w:hAnsi="宋体" w:eastAsia="宋体" w:cs="宋体"/>
          <w:b/>
          <w:color w:val="auto"/>
          <w:sz w:val="32"/>
          <w:highlight w:val="none"/>
          <w:lang w:eastAsia="zh-CN"/>
        </w:rPr>
        <w:t>JSZC-321324-XSZX-G2024-0007</w:t>
      </w:r>
    </w:p>
    <w:p>
      <w:pPr>
        <w:pBdr>
          <w:top w:val="none" w:color="000000" w:sz="0" w:space="0"/>
          <w:left w:val="none" w:color="000000" w:sz="0" w:space="0"/>
          <w:bottom w:val="none" w:color="000000" w:sz="0" w:space="0"/>
          <w:right w:val="none" w:color="000000" w:sz="0" w:space="0"/>
        </w:pBdr>
        <w:shd w:val="clear"/>
        <w:spacing w:before="240" w:after="240"/>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w:t>
      </w:r>
    </w:p>
    <w:p>
      <w:pPr>
        <w:pBdr>
          <w:top w:val="none" w:color="000000" w:sz="0" w:space="0"/>
          <w:left w:val="none" w:color="000000" w:sz="0" w:space="0"/>
          <w:bottom w:val="none" w:color="000000" w:sz="0" w:space="0"/>
          <w:right w:val="none" w:color="000000" w:sz="0" w:space="0"/>
        </w:pBdr>
        <w:shd w:val="clear"/>
        <w:ind w:firstLine="301"/>
        <w:rPr>
          <w:rFonts w:hint="eastAsia" w:ascii="宋体" w:hAnsi="宋体" w:eastAsia="宋体" w:cs="宋体"/>
          <w:color w:val="auto"/>
          <w:highlight w:val="none"/>
        </w:rPr>
      </w:pPr>
      <w:r>
        <w:rPr>
          <w:rFonts w:hint="eastAsia" w:ascii="宋体" w:hAnsi="宋体" w:eastAsia="宋体" w:cs="宋体"/>
          <w:b/>
          <w:color w:val="auto"/>
          <w:sz w:val="30"/>
          <w:highlight w:val="none"/>
        </w:rPr>
        <w:t>（货物类项目，</w:t>
      </w:r>
      <w:r>
        <w:rPr>
          <w:rFonts w:hint="eastAsia" w:ascii="宋体" w:hAnsi="宋体" w:eastAsia="宋体" w:cs="宋体"/>
          <w:b/>
          <w:color w:val="auto"/>
          <w:sz w:val="30"/>
          <w:highlight w:val="none"/>
          <w:u w:val="single"/>
          <w:lang w:val="en-US" w:eastAsia="zh-CN"/>
        </w:rPr>
        <w:t xml:space="preserve"> </w:t>
      </w:r>
      <w:r>
        <w:rPr>
          <w:rFonts w:hint="eastAsia" w:ascii="宋体" w:hAnsi="宋体" w:eastAsia="宋体" w:cs="宋体"/>
          <w:b/>
          <w:color w:val="auto"/>
          <w:sz w:val="30"/>
          <w:highlight w:val="none"/>
          <w:u w:val="single"/>
        </w:rPr>
        <w:t>专</w:t>
      </w:r>
      <w:r>
        <w:rPr>
          <w:rFonts w:hint="eastAsia" w:ascii="宋体" w:hAnsi="宋体" w:eastAsia="宋体" w:cs="宋体"/>
          <w:b/>
          <w:color w:val="auto"/>
          <w:sz w:val="30"/>
          <w:highlight w:val="none"/>
          <w:u w:val="single"/>
          <w:lang w:val="en-US" w:eastAsia="zh-CN"/>
        </w:rPr>
        <w:t xml:space="preserve"> </w:t>
      </w:r>
      <w:r>
        <w:rPr>
          <w:rFonts w:hint="eastAsia" w:ascii="宋体" w:hAnsi="宋体" w:eastAsia="宋体" w:cs="宋体"/>
          <w:b/>
          <w:color w:val="auto"/>
          <w:sz w:val="30"/>
          <w:highlight w:val="none"/>
        </w:rPr>
        <w:t>门面向中小企业）</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4"/>
          <w:highlight w:val="none"/>
        </w:rPr>
        <w:t>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4"/>
          <w:highlight w:val="none"/>
        </w:rPr>
        <w:t>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4"/>
          <w:highlight w:val="none"/>
        </w:rPr>
        <w:t>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4"/>
          <w:highlight w:val="none"/>
        </w:rPr>
        <w:t>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4"/>
          <w:highlight w:val="none"/>
        </w:rPr>
        <w:t>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4"/>
          <w:highlight w:val="none"/>
        </w:rPr>
        <w:t>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p>
    <w:p>
      <w:pPr>
        <w:pStyle w:val="42"/>
        <w:shd w:val="clear"/>
        <w:rPr>
          <w:rFonts w:hint="eastAsia" w:ascii="宋体" w:hAnsi="宋体" w:eastAsia="宋体" w:cs="宋体"/>
          <w:color w:val="auto"/>
          <w:highlight w:val="none"/>
        </w:rPr>
      </w:pPr>
    </w:p>
    <w:p>
      <w:pPr>
        <w:shd w:val="clear"/>
        <w:rPr>
          <w:rFonts w:hint="eastAsia" w:ascii="宋体" w:hAnsi="宋体" w:eastAsia="宋体" w:cs="宋体"/>
          <w:color w:val="auto"/>
          <w:highlight w:val="none"/>
        </w:rPr>
      </w:pP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4"/>
          <w:highlight w:val="none"/>
        </w:rPr>
        <w:t> </w:t>
      </w:r>
    </w:p>
    <w:p>
      <w:pPr>
        <w:pBdr>
          <w:top w:val="none" w:color="000000" w:sz="0" w:space="0"/>
          <w:left w:val="none" w:color="000000" w:sz="0" w:space="0"/>
          <w:bottom w:val="none" w:color="000000" w:sz="0" w:space="0"/>
          <w:right w:val="none" w:color="000000" w:sz="0" w:space="0"/>
        </w:pBdr>
        <w:shd w:val="clear"/>
        <w:spacing w:before="240" w:after="240"/>
        <w:rPr>
          <w:rFonts w:hint="eastAsia" w:ascii="宋体" w:hAnsi="宋体" w:eastAsia="宋体" w:cs="宋体"/>
          <w:color w:val="auto"/>
          <w:highlight w:val="none"/>
        </w:rPr>
      </w:pPr>
      <w:r>
        <w:rPr>
          <w:rFonts w:hint="eastAsia" w:ascii="宋体" w:hAnsi="宋体" w:eastAsia="宋体" w:cs="宋体"/>
          <w:b/>
          <w:color w:val="auto"/>
          <w:sz w:val="32"/>
          <w:highlight w:val="none"/>
        </w:rPr>
        <w:t>采购人：</w:t>
      </w:r>
      <w:r>
        <w:rPr>
          <w:rFonts w:hint="eastAsia" w:ascii="宋体" w:hAnsi="宋体" w:eastAsia="宋体" w:cs="宋体"/>
          <w:b/>
          <w:color w:val="auto"/>
          <w:sz w:val="32"/>
          <w:highlight w:val="none"/>
          <w:u w:val="single"/>
        </w:rPr>
        <w:t>泗洪县农业农村局</w:t>
      </w:r>
    </w:p>
    <w:p>
      <w:pPr>
        <w:pBdr>
          <w:top w:val="none" w:color="000000" w:sz="0" w:space="0"/>
          <w:left w:val="none" w:color="000000" w:sz="0" w:space="0"/>
          <w:bottom w:val="none" w:color="000000" w:sz="0" w:space="0"/>
          <w:right w:val="none" w:color="000000" w:sz="0" w:space="0"/>
        </w:pBdr>
        <w:shd w:val="clear"/>
        <w:spacing w:before="240" w:after="240"/>
        <w:rPr>
          <w:rFonts w:hint="eastAsia" w:ascii="宋体" w:hAnsi="宋体" w:eastAsia="宋体" w:cs="宋体"/>
          <w:color w:val="auto"/>
          <w:highlight w:val="none"/>
        </w:rPr>
      </w:pPr>
      <w:r>
        <w:rPr>
          <w:rFonts w:hint="eastAsia" w:ascii="宋体" w:hAnsi="宋体" w:eastAsia="宋体" w:cs="宋体"/>
          <w:b/>
          <w:color w:val="auto"/>
          <w:sz w:val="32"/>
          <w:highlight w:val="none"/>
        </w:rPr>
        <w:t>采购代理机构：</w:t>
      </w:r>
      <w:r>
        <w:rPr>
          <w:rFonts w:hint="eastAsia" w:ascii="宋体" w:hAnsi="宋体" w:eastAsia="宋体" w:cs="宋体"/>
          <w:b/>
          <w:color w:val="auto"/>
          <w:sz w:val="32"/>
          <w:highlight w:val="none"/>
          <w:u w:val="single"/>
        </w:rPr>
        <w:t xml:space="preserve">江苏襄盛工程咨询有限公司 </w:t>
      </w:r>
    </w:p>
    <w:p>
      <w:pPr>
        <w:pBdr>
          <w:top w:val="none" w:color="000000" w:sz="0" w:space="0"/>
          <w:left w:val="none" w:color="000000" w:sz="0" w:space="0"/>
          <w:bottom w:val="none" w:color="000000" w:sz="0" w:space="0"/>
          <w:right w:val="none" w:color="000000" w:sz="0" w:space="0"/>
        </w:pBdr>
        <w:shd w:val="clear"/>
        <w:spacing w:before="240" w:after="240"/>
        <w:rPr>
          <w:rFonts w:hint="eastAsia" w:ascii="宋体" w:hAnsi="宋体" w:eastAsia="宋体" w:cs="宋体"/>
          <w:color w:val="auto"/>
          <w:highlight w:val="none"/>
        </w:rPr>
      </w:pPr>
      <w:r>
        <w:rPr>
          <w:rFonts w:hint="eastAsia" w:ascii="宋体" w:hAnsi="宋体" w:eastAsia="宋体" w:cs="宋体"/>
          <w:b/>
          <w:color w:val="auto"/>
          <w:sz w:val="32"/>
          <w:highlight w:val="none"/>
          <w:u w:val="single"/>
        </w:rPr>
        <w:t>2024</w:t>
      </w:r>
      <w:r>
        <w:rPr>
          <w:rFonts w:hint="eastAsia" w:ascii="宋体" w:hAnsi="宋体" w:eastAsia="宋体" w:cs="宋体"/>
          <w:b/>
          <w:color w:val="auto"/>
          <w:sz w:val="32"/>
          <w:highlight w:val="none"/>
        </w:rPr>
        <w:t>年</w:t>
      </w:r>
      <w:r>
        <w:rPr>
          <w:rFonts w:hint="eastAsia" w:ascii="宋体" w:hAnsi="宋体" w:eastAsia="宋体" w:cs="宋体"/>
          <w:b/>
          <w:color w:val="auto"/>
          <w:sz w:val="32"/>
          <w:highlight w:val="none"/>
          <w:u w:val="single"/>
          <w:lang w:val="en-US" w:eastAsia="zh-CN"/>
        </w:rPr>
        <w:t xml:space="preserve"> </w:t>
      </w:r>
      <w:r>
        <w:rPr>
          <w:rFonts w:hint="eastAsia" w:ascii="宋体" w:hAnsi="宋体" w:cs="宋体"/>
          <w:b/>
          <w:color w:val="auto"/>
          <w:sz w:val="32"/>
          <w:highlight w:val="none"/>
          <w:u w:val="single"/>
          <w:lang w:val="en-US" w:eastAsia="zh-CN"/>
        </w:rPr>
        <w:t>07</w:t>
      </w:r>
      <w:r>
        <w:rPr>
          <w:rFonts w:hint="eastAsia" w:ascii="宋体" w:hAnsi="宋体" w:eastAsia="宋体" w:cs="宋体"/>
          <w:b/>
          <w:color w:val="auto"/>
          <w:sz w:val="32"/>
          <w:highlight w:val="none"/>
          <w:u w:val="single"/>
          <w:lang w:val="en-US" w:eastAsia="zh-CN"/>
        </w:rPr>
        <w:t xml:space="preserve"> </w:t>
      </w:r>
      <w:r>
        <w:rPr>
          <w:rFonts w:hint="eastAsia" w:ascii="宋体" w:hAnsi="宋体" w:eastAsia="宋体" w:cs="宋体"/>
          <w:b/>
          <w:color w:val="auto"/>
          <w:sz w:val="32"/>
          <w:highlight w:val="none"/>
        </w:rPr>
        <w:t>月</w:t>
      </w:r>
      <w:r>
        <w:rPr>
          <w:rFonts w:hint="eastAsia" w:ascii="宋体" w:hAnsi="宋体" w:eastAsia="宋体" w:cs="宋体"/>
          <w:b/>
          <w:color w:val="auto"/>
          <w:sz w:val="32"/>
          <w:highlight w:val="none"/>
          <w:u w:val="single"/>
          <w:lang w:val="en-US" w:eastAsia="zh-CN"/>
        </w:rPr>
        <w:t xml:space="preserve"> </w:t>
      </w:r>
      <w:r>
        <w:rPr>
          <w:rFonts w:hint="eastAsia" w:ascii="宋体" w:hAnsi="宋体" w:cs="宋体"/>
          <w:b/>
          <w:color w:val="auto"/>
          <w:sz w:val="32"/>
          <w:highlight w:val="none"/>
          <w:u w:val="single"/>
          <w:lang w:val="en-US" w:eastAsia="zh-CN"/>
        </w:rPr>
        <w:t>11</w:t>
      </w:r>
      <w:r>
        <w:rPr>
          <w:rFonts w:hint="eastAsia" w:ascii="宋体" w:hAnsi="宋体" w:eastAsia="宋体" w:cs="宋体"/>
          <w:b/>
          <w:color w:val="auto"/>
          <w:sz w:val="32"/>
          <w:highlight w:val="none"/>
          <w:u w:val="single"/>
          <w:lang w:val="en-US" w:eastAsia="zh-CN"/>
        </w:rPr>
        <w:t xml:space="preserve"> </w:t>
      </w:r>
      <w:r>
        <w:rPr>
          <w:rFonts w:hint="eastAsia" w:ascii="宋体" w:hAnsi="宋体" w:eastAsia="宋体" w:cs="宋体"/>
          <w:b/>
          <w:color w:val="auto"/>
          <w:sz w:val="32"/>
          <w:highlight w:val="none"/>
        </w:rPr>
        <w:t>日</w:t>
      </w:r>
    </w:p>
    <w:p>
      <w:pPr>
        <w:pBdr>
          <w:top w:val="none" w:color="000000" w:sz="0" w:space="0"/>
          <w:left w:val="none" w:color="000000" w:sz="0" w:space="0"/>
          <w:bottom w:val="none" w:color="000000" w:sz="0" w:space="0"/>
          <w:right w:val="none" w:color="000000" w:sz="0" w:space="0"/>
        </w:pBdr>
        <w:shd w:val="clear"/>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pPr>
        <w:pStyle w:val="42"/>
        <w:shd w:val="clear"/>
        <w:rPr>
          <w:rFonts w:hint="eastAsia" w:ascii="宋体" w:hAnsi="宋体" w:eastAsia="宋体" w:cs="宋体"/>
          <w:color w:val="auto"/>
          <w:highlight w:val="none"/>
        </w:rPr>
      </w:pPr>
    </w:p>
    <w:p>
      <w:pPr>
        <w:pBdr>
          <w:top w:val="none" w:color="000000" w:sz="0" w:space="0"/>
          <w:left w:val="none" w:color="000000" w:sz="0" w:space="0"/>
          <w:bottom w:val="none" w:color="000000" w:sz="0" w:space="0"/>
          <w:right w:val="none" w:color="000000" w:sz="0" w:space="0"/>
        </w:pBdr>
        <w:shd w:val="clear"/>
        <w:spacing w:line="113"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r>
        <w:rPr>
          <w:rFonts w:hint="eastAsia" w:ascii="宋体" w:hAnsi="宋体" w:eastAsia="宋体" w:cs="宋体"/>
          <w:b/>
          <w:color w:val="auto"/>
          <w:sz w:val="44"/>
          <w:highlight w:val="none"/>
        </w:rPr>
        <w:t>总目录</w:t>
      </w:r>
    </w:p>
    <w:p>
      <w:pPr>
        <w:pBdr>
          <w:top w:val="none" w:color="000000" w:sz="0" w:space="0"/>
          <w:left w:val="none" w:color="000000" w:sz="0" w:space="0"/>
          <w:bottom w:val="none" w:color="000000" w:sz="0" w:space="0"/>
          <w:right w:val="none" w:color="000000" w:sz="0" w:space="0"/>
        </w:pBdr>
        <w:shd w:val="clear"/>
        <w:spacing w:line="113" w:lineRule="atLeast"/>
        <w:rPr>
          <w:rFonts w:hint="eastAsia" w:ascii="宋体" w:hAnsi="宋体" w:eastAsia="宋体" w:cs="宋体"/>
          <w:color w:val="auto"/>
          <w:highlight w:val="none"/>
        </w:rPr>
      </w:pPr>
      <w:r>
        <w:rPr>
          <w:rFonts w:hint="eastAsia" w:ascii="宋体" w:hAnsi="宋体" w:eastAsia="宋体" w:cs="宋体"/>
          <w:b/>
          <w:color w:val="auto"/>
          <w:sz w:val="28"/>
          <w:highlight w:val="none"/>
        </w:rPr>
        <w:t> </w:t>
      </w:r>
    </w:p>
    <w:p>
      <w:pPr>
        <w:numPr>
          <w:ilvl w:val="0"/>
          <w:numId w:val="0"/>
        </w:numPr>
        <w:pBdr>
          <w:top w:val="none" w:color="000000" w:sz="0" w:space="0"/>
          <w:left w:val="none" w:color="000000" w:sz="0" w:space="0"/>
          <w:bottom w:val="none" w:color="000000" w:sz="0" w:space="0"/>
          <w:right w:val="none" w:color="000000" w:sz="0" w:space="0"/>
        </w:pBdr>
        <w:shd w:val="clear"/>
        <w:spacing w:line="113" w:lineRule="atLeast"/>
        <w:ind w:leftChars="0"/>
        <w:rPr>
          <w:rFonts w:hint="eastAsia" w:ascii="宋体" w:hAnsi="宋体" w:eastAsia="宋体" w:cs="宋体"/>
          <w:color w:val="auto"/>
          <w:highlight w:val="none"/>
        </w:rPr>
      </w:pPr>
      <w:r>
        <w:rPr>
          <w:rFonts w:hint="eastAsia" w:ascii="宋体" w:hAnsi="宋体" w:eastAsia="宋体" w:cs="宋体"/>
          <w:color w:val="auto"/>
          <w:sz w:val="36"/>
          <w:highlight w:val="none"/>
          <w:lang w:val="en-US" w:eastAsia="zh-CN"/>
        </w:rPr>
        <w:t>第一章 招标公告</w:t>
      </w:r>
      <w:r>
        <w:rPr>
          <w:rFonts w:hint="eastAsia" w:ascii="宋体" w:hAnsi="宋体" w:eastAsia="宋体" w:cs="宋体"/>
          <w:color w:val="auto"/>
          <w:sz w:val="36"/>
          <w:highlight w:val="none"/>
        </w:rPr>
        <w:t xml:space="preserve"> </w:t>
      </w:r>
    </w:p>
    <w:p>
      <w:pPr>
        <w:numPr>
          <w:ilvl w:val="0"/>
          <w:numId w:val="0"/>
        </w:numPr>
        <w:pBdr>
          <w:top w:val="none" w:color="000000" w:sz="0" w:space="0"/>
          <w:left w:val="none" w:color="000000" w:sz="0" w:space="0"/>
          <w:bottom w:val="none" w:color="000000" w:sz="0" w:space="0"/>
          <w:right w:val="none" w:color="000000" w:sz="0" w:space="0"/>
        </w:pBdr>
        <w:shd w:val="clear"/>
        <w:spacing w:line="113" w:lineRule="atLeast"/>
        <w:ind w:leftChars="0"/>
        <w:rPr>
          <w:rFonts w:hint="eastAsia" w:ascii="宋体" w:hAnsi="宋体" w:eastAsia="宋体" w:cs="宋体"/>
          <w:color w:val="auto"/>
          <w:highlight w:val="none"/>
        </w:rPr>
      </w:pPr>
      <w:r>
        <w:rPr>
          <w:rFonts w:hint="eastAsia" w:ascii="宋体" w:hAnsi="宋体" w:eastAsia="宋体" w:cs="宋体"/>
          <w:color w:val="auto"/>
          <w:sz w:val="36"/>
          <w:highlight w:val="none"/>
          <w:lang w:val="en-US" w:eastAsia="zh-CN"/>
        </w:rPr>
        <w:t xml:space="preserve">第二章 </w:t>
      </w:r>
      <w:r>
        <w:rPr>
          <w:rFonts w:hint="eastAsia" w:ascii="宋体" w:hAnsi="宋体" w:eastAsia="宋体" w:cs="宋体"/>
          <w:color w:val="auto"/>
          <w:sz w:val="36"/>
          <w:highlight w:val="none"/>
        </w:rPr>
        <w:t xml:space="preserve">投标人须知 </w:t>
      </w:r>
    </w:p>
    <w:p>
      <w:pPr>
        <w:numPr>
          <w:ilvl w:val="0"/>
          <w:numId w:val="0"/>
        </w:numPr>
        <w:pBdr>
          <w:top w:val="none" w:color="000000" w:sz="0" w:space="0"/>
          <w:left w:val="none" w:color="000000" w:sz="0" w:space="0"/>
          <w:bottom w:val="none" w:color="000000" w:sz="0" w:space="0"/>
          <w:right w:val="none" w:color="000000" w:sz="0" w:space="0"/>
        </w:pBdr>
        <w:shd w:val="clear"/>
        <w:spacing w:line="113" w:lineRule="atLeast"/>
        <w:ind w:leftChars="0"/>
        <w:rPr>
          <w:rFonts w:hint="eastAsia" w:ascii="宋体" w:hAnsi="宋体" w:eastAsia="宋体" w:cs="宋体"/>
          <w:color w:val="auto"/>
          <w:highlight w:val="none"/>
        </w:rPr>
      </w:pPr>
      <w:r>
        <w:rPr>
          <w:rFonts w:hint="eastAsia" w:ascii="宋体" w:hAnsi="宋体" w:eastAsia="宋体" w:cs="宋体"/>
          <w:color w:val="auto"/>
          <w:sz w:val="36"/>
          <w:highlight w:val="none"/>
          <w:lang w:val="en-US" w:eastAsia="zh-CN"/>
        </w:rPr>
        <w:t xml:space="preserve">第三章 </w:t>
      </w:r>
      <w:r>
        <w:rPr>
          <w:rFonts w:hint="eastAsia" w:ascii="宋体" w:hAnsi="宋体" w:eastAsia="宋体" w:cs="宋体"/>
          <w:color w:val="auto"/>
          <w:sz w:val="36"/>
          <w:highlight w:val="none"/>
        </w:rPr>
        <w:t>合同文本</w:t>
      </w:r>
    </w:p>
    <w:p>
      <w:pPr>
        <w:numPr>
          <w:ilvl w:val="0"/>
          <w:numId w:val="0"/>
        </w:numPr>
        <w:pBdr>
          <w:top w:val="none" w:color="000000" w:sz="0" w:space="0"/>
          <w:left w:val="none" w:color="000000" w:sz="0" w:space="0"/>
          <w:bottom w:val="none" w:color="000000" w:sz="0" w:space="0"/>
          <w:right w:val="none" w:color="000000" w:sz="0" w:space="0"/>
        </w:pBdr>
        <w:shd w:val="clear"/>
        <w:spacing w:line="113" w:lineRule="atLeast"/>
        <w:ind w:leftChars="0"/>
        <w:rPr>
          <w:rFonts w:hint="eastAsia" w:ascii="宋体" w:hAnsi="宋体" w:eastAsia="宋体" w:cs="宋体"/>
          <w:color w:val="auto"/>
          <w:highlight w:val="none"/>
        </w:rPr>
      </w:pPr>
      <w:r>
        <w:rPr>
          <w:rFonts w:hint="eastAsia" w:ascii="宋体" w:hAnsi="宋体" w:eastAsia="宋体" w:cs="宋体"/>
          <w:color w:val="auto"/>
          <w:sz w:val="36"/>
          <w:highlight w:val="none"/>
          <w:lang w:val="en-US" w:eastAsia="zh-CN"/>
        </w:rPr>
        <w:t xml:space="preserve">第四章 </w:t>
      </w:r>
      <w:r>
        <w:rPr>
          <w:rFonts w:hint="eastAsia" w:ascii="宋体" w:hAnsi="宋体" w:eastAsia="宋体" w:cs="宋体"/>
          <w:color w:val="auto"/>
          <w:sz w:val="36"/>
          <w:highlight w:val="none"/>
        </w:rPr>
        <w:t>采购需求</w:t>
      </w:r>
    </w:p>
    <w:p>
      <w:pPr>
        <w:numPr>
          <w:ilvl w:val="0"/>
          <w:numId w:val="0"/>
        </w:numPr>
        <w:pBdr>
          <w:top w:val="none" w:color="000000" w:sz="0" w:space="0"/>
          <w:left w:val="none" w:color="000000" w:sz="0" w:space="0"/>
          <w:bottom w:val="none" w:color="000000" w:sz="0" w:space="0"/>
          <w:right w:val="none" w:color="000000" w:sz="0" w:space="0"/>
        </w:pBdr>
        <w:shd w:val="clear"/>
        <w:spacing w:line="113" w:lineRule="atLeast"/>
        <w:ind w:leftChars="0"/>
        <w:rPr>
          <w:rFonts w:hint="eastAsia" w:ascii="宋体" w:hAnsi="宋体" w:eastAsia="宋体" w:cs="宋体"/>
          <w:color w:val="auto"/>
          <w:highlight w:val="none"/>
        </w:rPr>
      </w:pPr>
      <w:r>
        <w:rPr>
          <w:rFonts w:hint="eastAsia" w:ascii="宋体" w:hAnsi="宋体" w:eastAsia="宋体" w:cs="宋体"/>
          <w:color w:val="auto"/>
          <w:sz w:val="36"/>
          <w:highlight w:val="none"/>
          <w:lang w:val="en-US" w:eastAsia="zh-CN"/>
        </w:rPr>
        <w:t xml:space="preserve">第五章 </w:t>
      </w:r>
      <w:r>
        <w:rPr>
          <w:rFonts w:hint="eastAsia" w:ascii="宋体" w:hAnsi="宋体" w:eastAsia="宋体" w:cs="宋体"/>
          <w:color w:val="auto"/>
          <w:sz w:val="36"/>
          <w:highlight w:val="none"/>
        </w:rPr>
        <w:t>评标方法与评标标准</w:t>
      </w:r>
    </w:p>
    <w:p>
      <w:pPr>
        <w:numPr>
          <w:ilvl w:val="0"/>
          <w:numId w:val="0"/>
        </w:numPr>
        <w:pBdr>
          <w:top w:val="none" w:color="000000" w:sz="0" w:space="0"/>
          <w:left w:val="none" w:color="000000" w:sz="0" w:space="0"/>
          <w:bottom w:val="none" w:color="000000" w:sz="0" w:space="0"/>
          <w:right w:val="none" w:color="000000" w:sz="0" w:space="0"/>
        </w:pBdr>
        <w:shd w:val="clear"/>
        <w:spacing w:line="113" w:lineRule="atLeast"/>
        <w:ind w:leftChars="0"/>
        <w:rPr>
          <w:rFonts w:hint="eastAsia" w:ascii="宋体" w:hAnsi="宋体" w:eastAsia="宋体" w:cs="宋体"/>
          <w:color w:val="auto"/>
          <w:highlight w:val="none"/>
        </w:rPr>
      </w:pPr>
      <w:r>
        <w:rPr>
          <w:rFonts w:hint="eastAsia" w:ascii="宋体" w:hAnsi="宋体" w:eastAsia="宋体" w:cs="宋体"/>
          <w:color w:val="auto"/>
          <w:sz w:val="36"/>
          <w:highlight w:val="none"/>
          <w:lang w:val="en-US" w:eastAsia="zh-CN"/>
        </w:rPr>
        <w:t xml:space="preserve">第六章 </w:t>
      </w:r>
      <w:r>
        <w:rPr>
          <w:rFonts w:hint="eastAsia" w:ascii="宋体" w:hAnsi="宋体" w:eastAsia="宋体" w:cs="宋体"/>
          <w:color w:val="auto"/>
          <w:sz w:val="36"/>
          <w:highlight w:val="none"/>
        </w:rPr>
        <w:t>投标文件格式</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2"/>
          <w:highlight w:val="none"/>
        </w:rPr>
        <w:t>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2"/>
          <w:highlight w:val="none"/>
        </w:rPr>
        <w:t>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2"/>
          <w:highlight w:val="none"/>
        </w:rPr>
        <w:t>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2"/>
          <w:highlight w:val="none"/>
        </w:rPr>
        <w:t>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2"/>
          <w:highlight w:val="none"/>
        </w:rPr>
        <w:t>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2"/>
          <w:highlight w:val="none"/>
        </w:rPr>
        <w:t>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2"/>
          <w:highlight w:val="none"/>
        </w:rPr>
        <w:t>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2"/>
          <w:highlight w:val="none"/>
        </w:rPr>
        <w:t>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2"/>
          <w:highlight w:val="none"/>
        </w:rPr>
        <w:t>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2"/>
          <w:highlight w:val="none"/>
        </w:rPr>
        <w:t>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2"/>
          <w:highlight w:val="none"/>
        </w:rPr>
        <w:t>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2"/>
          <w:highlight w:val="none"/>
        </w:rPr>
        <w:t>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2"/>
          <w:highlight w:val="none"/>
        </w:rPr>
        <w:t>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2"/>
          <w:highlight w:val="none"/>
        </w:rPr>
        <w:t>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2"/>
          <w:highlight w:val="none"/>
        </w:rPr>
        <w:t>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2"/>
          <w:highlight w:val="none"/>
        </w:rPr>
        <w:t>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2"/>
          <w:highlight w:val="none"/>
        </w:rPr>
        <w:t>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2"/>
          <w:highlight w:val="none"/>
        </w:rPr>
        <w:t>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2"/>
          <w:highlight w:val="none"/>
        </w:rPr>
        <w:t>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2"/>
          <w:highlight w:val="none"/>
        </w:rPr>
        <w:t>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2"/>
          <w:highlight w:val="none"/>
        </w:rPr>
        <w:t>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2"/>
          <w:highlight w:val="none"/>
        </w:rPr>
        <w:t>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2"/>
          <w:highlight w:val="none"/>
        </w:rPr>
        <w:t>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2"/>
          <w:highlight w:val="none"/>
        </w:rPr>
        <w:t>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2"/>
          <w:highlight w:val="none"/>
        </w:rPr>
        <w:t> </w:t>
      </w:r>
    </w:p>
    <w:p>
      <w:pPr>
        <w:pStyle w:val="4"/>
        <w:pBdr>
          <w:top w:val="none" w:color="000000" w:sz="0" w:space="0"/>
          <w:left w:val="none" w:color="000000" w:sz="0" w:space="0"/>
          <w:bottom w:val="none" w:color="000000" w:sz="0" w:space="0"/>
          <w:right w:val="none" w:color="000000" w:sz="0" w:space="0"/>
        </w:pBdr>
        <w:shd w:val="clea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 </w:t>
      </w:r>
      <w:r>
        <w:rPr>
          <w:rFonts w:hint="eastAsia" w:ascii="宋体" w:hAnsi="宋体" w:eastAsia="宋体" w:cs="宋体"/>
          <w:b/>
          <w:color w:val="auto"/>
          <w:sz w:val="44"/>
          <w:highlight w:val="none"/>
        </w:rPr>
        <w:t>第一章 招标公告</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522"/>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16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项目概况</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lang w:eastAsia="zh-CN"/>
              </w:rPr>
              <w:t>2023年农作物病虫害智能监测站项目</w:t>
            </w:r>
            <w:r>
              <w:rPr>
                <w:rFonts w:hint="eastAsia" w:ascii="宋体" w:hAnsi="宋体" w:eastAsia="宋体" w:cs="宋体"/>
                <w:color w:val="auto"/>
                <w:sz w:val="24"/>
                <w:szCs w:val="24"/>
                <w:highlight w:val="none"/>
              </w:rPr>
              <w:t>[</w:t>
            </w:r>
            <w:r>
              <w:rPr>
                <w:rFonts w:hint="eastAsia" w:ascii="宋体" w:hAnsi="宋体" w:cs="宋体"/>
                <w:color w:val="auto"/>
                <w:sz w:val="24"/>
                <w:highlight w:val="none"/>
                <w:lang w:eastAsia="zh-CN"/>
              </w:rPr>
              <w:t>JSZC-321324-XSZX-G2024-0007</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招标项目的潜在投标人应在招标文件提供的时间内，通过“苏采云”系统（网址：http：//jszfcg.jsczt.cn/）或宿迁市政府采购网点击“政府采购管理交易系统（苏采云）”，使用CA锁进入系统从“项目参与”--“采购项目”菜单中，找到本项目获取采购文件（后缀名为“.kedt”）。获取招标文件，并于2024-0</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 xml:space="preserve">05  </w:t>
            </w:r>
            <w:r>
              <w:rPr>
                <w:rFonts w:hint="eastAsia" w:ascii="宋体" w:hAnsi="宋体" w:eastAsia="宋体" w:cs="宋体"/>
                <w:color w:val="auto"/>
                <w:sz w:val="24"/>
                <w:highlight w:val="none"/>
              </w:rPr>
              <w:t>09:00 （北京时间）前递交投标文件。</w:t>
            </w:r>
          </w:p>
        </w:tc>
      </w:tr>
    </w:tbl>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一、项目基本情况</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lang w:eastAsia="zh-CN"/>
        </w:rPr>
      </w:pPr>
      <w:r>
        <w:rPr>
          <w:rFonts w:hint="eastAsia" w:ascii="宋体" w:hAnsi="宋体" w:eastAsia="宋体" w:cs="宋体"/>
          <w:color w:val="auto"/>
          <w:sz w:val="24"/>
          <w:highlight w:val="none"/>
        </w:rPr>
        <w:t>1.项目编号：</w:t>
      </w:r>
      <w:r>
        <w:rPr>
          <w:rFonts w:hint="eastAsia" w:ascii="宋体" w:hAnsi="宋体" w:cs="宋体"/>
          <w:color w:val="auto"/>
          <w:sz w:val="24"/>
          <w:highlight w:val="none"/>
          <w:lang w:eastAsia="zh-CN"/>
        </w:rPr>
        <w:t>JSZC-321324-XSZX-G2024-0007</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2.项目名称：2023年农作物病虫害智能监测站项目</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rPr>
        <w:t>3.预算金额：263.4538万</w:t>
      </w:r>
      <w:r>
        <w:rPr>
          <w:rFonts w:hint="eastAsia" w:ascii="宋体" w:hAnsi="宋体" w:cs="宋体"/>
          <w:color w:val="auto"/>
          <w:sz w:val="24"/>
          <w:highlight w:val="none"/>
          <w:lang w:val="en-US" w:eastAsia="zh-CN"/>
        </w:rPr>
        <w:t>元</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4.本项目</w:t>
      </w:r>
      <w:r>
        <w:rPr>
          <w:rFonts w:hint="eastAsia" w:ascii="宋体" w:hAnsi="宋体" w:eastAsia="宋体" w:cs="宋体"/>
          <w:color w:val="auto"/>
          <w:sz w:val="24"/>
          <w:highlight w:val="none"/>
          <w:u w:val="single"/>
        </w:rPr>
        <w:t xml:space="preserve"> 设定 </w:t>
      </w:r>
      <w:r>
        <w:rPr>
          <w:rFonts w:hint="eastAsia" w:ascii="宋体" w:hAnsi="宋体" w:eastAsia="宋体" w:cs="宋体"/>
          <w:color w:val="auto"/>
          <w:sz w:val="24"/>
          <w:highlight w:val="none"/>
        </w:rPr>
        <w:t>最高限价，最高限价为</w:t>
      </w:r>
      <w:r>
        <w:rPr>
          <w:rFonts w:hint="eastAsia" w:ascii="宋体" w:hAnsi="宋体" w:eastAsia="宋体" w:cs="宋体"/>
          <w:color w:val="auto"/>
          <w:sz w:val="24"/>
          <w:highlight w:val="none"/>
          <w:u w:val="single"/>
        </w:rPr>
        <w:t> 263.4538 </w:t>
      </w:r>
      <w:r>
        <w:rPr>
          <w:rFonts w:hint="eastAsia" w:ascii="宋体" w:hAnsi="宋体" w:eastAsia="宋体" w:cs="宋体"/>
          <w:color w:val="auto"/>
          <w:sz w:val="24"/>
          <w:highlight w:val="none"/>
        </w:rPr>
        <w:t>万元。</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采购需求（简介）：本项目拟购置仪器设备系统31台（套），其中虫情信息自动采集传输设备6套、昆虫性诱智能测报系统7套、农田生境远程实时监测设备5套、田间病害智能(AI)监测仪1台、农业小气象综合监测站6套、小麦赤霉病、稻瘟病自动监测预警系统1套、多媒体会商展示屏及配件1套、农业病虫害AR智能测报仪3台，配套升级农作物病虫害物联网数据分析系统1套，将各类智能物联网设备接入该软件平台（包括但不限于标的的名称、数量、简要技术需求、功能性演示、节能</w:t>
      </w:r>
      <w:r>
        <w:rPr>
          <w:rFonts w:hint="eastAsia" w:ascii="宋体" w:hAnsi="宋体" w:cs="宋体"/>
          <w:color w:val="auto"/>
          <w:sz w:val="24"/>
          <w:highlight w:val="none"/>
          <w:lang w:val="en-US" w:eastAsia="zh-CN"/>
        </w:rPr>
        <w:t>及</w:t>
      </w:r>
      <w:r>
        <w:rPr>
          <w:rFonts w:hint="eastAsia" w:ascii="宋体" w:hAnsi="宋体" w:eastAsia="宋体" w:cs="宋体"/>
          <w:color w:val="auto"/>
          <w:sz w:val="24"/>
          <w:highlight w:val="none"/>
        </w:rPr>
        <w:t>环保产品认证证书、企业业绩、项目实施计划方案、物联网数据分析平台升级建设方案、售后服务或服务要求等），（详细内容见本招标文件第四章）。</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6.合同履行期限：</w:t>
      </w:r>
      <w:r>
        <w:rPr>
          <w:rFonts w:hint="eastAsia" w:ascii="宋体" w:hAnsi="宋体" w:eastAsia="宋体" w:cs="宋体"/>
          <w:color w:val="auto"/>
          <w:sz w:val="24"/>
          <w:highlight w:val="none"/>
          <w:lang w:eastAsia="zh-CN"/>
        </w:rPr>
        <w:t>采购合同签订后90日历天内供货安装调试完毕并交付使用。</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7.本项目 </w:t>
      </w:r>
      <w:r>
        <w:rPr>
          <w:rFonts w:hint="eastAsia" w:ascii="宋体" w:hAnsi="宋体" w:eastAsia="宋体" w:cs="宋体"/>
          <w:color w:val="auto"/>
          <w:sz w:val="24"/>
          <w:highlight w:val="none"/>
          <w:u w:val="single"/>
        </w:rPr>
        <w:t>不接受</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联合体投标。</w:t>
      </w:r>
    </w:p>
    <w:p>
      <w:pPr>
        <w:pStyle w:val="6"/>
        <w:pBdr>
          <w:top w:val="none" w:color="000000" w:sz="0" w:space="0"/>
          <w:left w:val="none" w:color="000000" w:sz="0" w:space="0"/>
          <w:bottom w:val="none" w:color="000000" w:sz="0" w:space="0"/>
          <w:right w:val="none" w:color="000000" w:sz="0" w:space="0"/>
        </w:pBdr>
        <w:shd w:val="clear"/>
        <w:spacing w:before="145" w:after="145" w:line="85" w:lineRule="atLeast"/>
        <w:ind w:firstLine="498"/>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二、申请人的资格要求：</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（一）通用资格要求</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1.具备《中华人民共和国政府采购法》第二十二条第一款规定的6项条件（按要求提供投标声明及承诺函）。</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2.信用信息。信用信息查询渠道：“信用中国”网（www.creditchina.gov.cn）、“中国政府采购”网（www.ccgp.gov.cn）、江苏政府采购网（www.ccgp-jiangsu.gov.cn）。    </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3.不接受联合体投标</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二）</w:t>
      </w:r>
      <w:r>
        <w:rPr>
          <w:rFonts w:hint="eastAsia" w:ascii="宋体" w:hAnsi="宋体" w:eastAsia="宋体" w:cs="宋体"/>
          <w:color w:val="auto"/>
          <w:sz w:val="24"/>
          <w:highlight w:val="none"/>
        </w:rPr>
        <w:t>落实政府采购政策需满足的资格要求：本项目为专门面向中小企业采购的项目,</w:t>
      </w:r>
      <w:r>
        <w:rPr>
          <w:rFonts w:hint="eastAsia" w:ascii="宋体" w:hAnsi="宋体" w:eastAsia="宋体" w:cs="宋体"/>
          <w:color w:val="auto"/>
          <w:sz w:val="24"/>
          <w:highlight w:val="none"/>
          <w:lang w:val="en-US" w:eastAsia="zh-CN"/>
        </w:rPr>
        <w:t>投标人</w:t>
      </w:r>
      <w:r>
        <w:rPr>
          <w:rFonts w:hint="eastAsia" w:ascii="宋体" w:hAnsi="宋体" w:eastAsia="宋体" w:cs="宋体"/>
          <w:color w:val="auto"/>
          <w:sz w:val="24"/>
          <w:highlight w:val="none"/>
        </w:rPr>
        <w:t>须为中小微企业、监狱企业、残疾人福利性单位（须提供《中小企业或残疾人福利性单位声明函》）。非中小型企业参与本项目投标，将作无效标处理。</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三</w:t>
      </w:r>
      <w:r>
        <w:rPr>
          <w:rFonts w:hint="eastAsia" w:ascii="宋体" w:hAnsi="宋体" w:eastAsia="宋体" w:cs="宋体"/>
          <w:color w:val="auto"/>
          <w:sz w:val="24"/>
          <w:highlight w:val="none"/>
        </w:rPr>
        <w:t>）本项目的特定资格要求：无。</w:t>
      </w:r>
    </w:p>
    <w:p>
      <w:pPr>
        <w:pStyle w:val="6"/>
        <w:pBdr>
          <w:top w:val="none" w:color="000000" w:sz="0" w:space="0"/>
          <w:left w:val="none" w:color="000000" w:sz="0" w:space="0"/>
          <w:bottom w:val="none" w:color="000000" w:sz="0" w:space="0"/>
          <w:right w:val="none" w:color="000000" w:sz="0" w:space="0"/>
        </w:pBdr>
        <w:shd w:val="clear"/>
        <w:spacing w:before="145" w:after="145" w:line="85" w:lineRule="atLeast"/>
        <w:ind w:firstLine="498"/>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三、获取招标文件</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1.时间：2024年</w:t>
      </w:r>
      <w:r>
        <w:rPr>
          <w:rFonts w:hint="eastAsia" w:ascii="宋体" w:hAnsi="宋体" w:cs="宋体"/>
          <w:color w:val="auto"/>
          <w:sz w:val="24"/>
          <w:highlight w:val="none"/>
          <w:lang w:val="en-US" w:eastAsia="zh-CN"/>
        </w:rPr>
        <w:t>07</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15</w:t>
      </w:r>
      <w:r>
        <w:rPr>
          <w:rFonts w:hint="eastAsia" w:ascii="宋体" w:hAnsi="宋体" w:eastAsia="宋体" w:cs="宋体"/>
          <w:color w:val="auto"/>
          <w:sz w:val="24"/>
          <w:highlight w:val="none"/>
        </w:rPr>
        <w:t>日至2024年</w:t>
      </w:r>
      <w:r>
        <w:rPr>
          <w:rFonts w:hint="eastAsia" w:ascii="宋体" w:hAnsi="宋体" w:cs="宋体"/>
          <w:color w:val="auto"/>
          <w:sz w:val="24"/>
          <w:highlight w:val="none"/>
          <w:lang w:val="en-US" w:eastAsia="zh-CN"/>
        </w:rPr>
        <w:t>07</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19</w:t>
      </w:r>
      <w:r>
        <w:rPr>
          <w:rFonts w:hint="eastAsia" w:ascii="宋体" w:hAnsi="宋体" w:eastAsia="宋体" w:cs="宋体"/>
          <w:color w:val="auto"/>
          <w:sz w:val="24"/>
          <w:highlight w:val="none"/>
        </w:rPr>
        <w:t>日，每天上午00:00-12:00，下午 12:00- 23：59（北京时间，法定节假日除外）。</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地点：投标人应在招标文件提供的时间内，通过“苏采云”系统（网址： http://jszfcg.jsczt.cn/）或宿迁市政府采购网点击“政府采购管理交易系统（苏采云）”，使用CA锁进入系统从“项目参与”--“采购项目”菜单中，找到本项目获取采购文件（后缀名为“.kedt”）。</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4.本项目共分一个包。投标人参与多个包投标的，应按包分别获取招标文件。投标人未按要求获取招标文件导致无法投标的，后果自负（其投标文件不予接受）。</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售价：0.00元 </w:t>
      </w:r>
    </w:p>
    <w:p>
      <w:pPr>
        <w:pStyle w:val="6"/>
        <w:pBdr>
          <w:top w:val="none" w:color="000000" w:sz="0" w:space="0"/>
          <w:left w:val="none" w:color="000000" w:sz="0" w:space="0"/>
          <w:bottom w:val="none" w:color="000000" w:sz="0" w:space="0"/>
          <w:right w:val="none" w:color="000000" w:sz="0" w:space="0"/>
        </w:pBdr>
        <w:shd w:val="clear"/>
        <w:spacing w:before="145" w:after="145" w:line="85" w:lineRule="atLeast"/>
        <w:ind w:firstLine="498"/>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四、提交投标文件截止时间、开标时间和地点</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1.提交投标文件截止时间、开标时间：</w:t>
      </w:r>
      <w:r>
        <w:rPr>
          <w:rFonts w:hint="eastAsia" w:ascii="宋体" w:hAnsi="宋体" w:eastAsia="宋体" w:cs="宋体"/>
          <w:color w:val="auto"/>
          <w:sz w:val="24"/>
          <w:highlight w:val="none"/>
          <w:u w:val="single"/>
        </w:rPr>
        <w:t>2024年</w:t>
      </w:r>
      <w:r>
        <w:rPr>
          <w:rFonts w:hint="eastAsia" w:ascii="宋体" w:hAnsi="宋体" w:cs="宋体"/>
          <w:color w:val="auto"/>
          <w:sz w:val="24"/>
          <w:highlight w:val="none"/>
          <w:u w:val="single"/>
          <w:lang w:val="en-US" w:eastAsia="zh-CN"/>
        </w:rPr>
        <w:t>08</w:t>
      </w:r>
      <w:r>
        <w:rPr>
          <w:rFonts w:hint="eastAsia" w:ascii="宋体" w:hAnsi="宋体" w:eastAsia="宋体" w:cs="宋体"/>
          <w:color w:val="auto"/>
          <w:sz w:val="24"/>
          <w:highlight w:val="none"/>
          <w:u w:val="single"/>
        </w:rPr>
        <w:t>月</w:t>
      </w:r>
      <w:r>
        <w:rPr>
          <w:rFonts w:hint="eastAsia" w:ascii="宋体" w:hAnsi="宋体" w:cs="宋体"/>
          <w:color w:val="auto"/>
          <w:sz w:val="24"/>
          <w:highlight w:val="none"/>
          <w:u w:val="single"/>
          <w:lang w:val="en-US" w:eastAsia="zh-CN"/>
        </w:rPr>
        <w:t>05</w:t>
      </w:r>
      <w:r>
        <w:rPr>
          <w:rFonts w:hint="eastAsia" w:ascii="宋体" w:hAnsi="宋体" w:eastAsia="宋体" w:cs="宋体"/>
          <w:color w:val="auto"/>
          <w:sz w:val="24"/>
          <w:highlight w:val="none"/>
          <w:u w:val="single"/>
        </w:rPr>
        <w:t>日09点00分</w:t>
      </w:r>
      <w:r>
        <w:rPr>
          <w:rFonts w:hint="eastAsia" w:ascii="宋体" w:hAnsi="宋体" w:eastAsia="宋体" w:cs="宋体"/>
          <w:color w:val="auto"/>
          <w:sz w:val="24"/>
          <w:highlight w:val="none"/>
        </w:rPr>
        <w:t>（北京时间）</w:t>
      </w:r>
    </w:p>
    <w:p>
      <w:pPr>
        <w:pBdr>
          <w:top w:val="none" w:color="000000" w:sz="0" w:space="0"/>
          <w:left w:val="none" w:color="000000" w:sz="0" w:space="0"/>
          <w:bottom w:val="none" w:color="000000" w:sz="0" w:space="0"/>
          <w:right w:val="none" w:color="000000" w:sz="0" w:space="0"/>
        </w:pBdr>
        <w:shd w:val="clear"/>
        <w:spacing w:before="0" w:after="0" w:line="558" w:lineRule="atLeast"/>
        <w:ind w:left="0" w:right="0" w:firstLine="480"/>
        <w:jc w:val="both"/>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地点：“苏采云”系统（网址： http://jszfcg.jsczt.cn/）</w:t>
      </w:r>
      <w:r>
        <w:rPr>
          <w:rFonts w:hint="eastAsia" w:ascii="宋体" w:hAnsi="宋体" w:eastAsia="宋体" w:cs="宋体"/>
          <w:color w:val="auto"/>
          <w:sz w:val="24"/>
          <w:highlight w:val="none"/>
          <w:lang w:eastAsia="zh-CN"/>
        </w:rPr>
        <w:t>。</w:t>
      </w:r>
    </w:p>
    <w:p>
      <w:pPr>
        <w:pStyle w:val="6"/>
        <w:pBdr>
          <w:top w:val="none" w:color="000000" w:sz="0" w:space="0"/>
          <w:left w:val="none" w:color="000000" w:sz="0" w:space="0"/>
          <w:bottom w:val="none" w:color="000000" w:sz="0" w:space="0"/>
          <w:right w:val="none" w:color="000000" w:sz="0" w:space="0"/>
        </w:pBdr>
        <w:shd w:val="clear"/>
        <w:spacing w:before="145" w:after="145" w:line="85" w:lineRule="atLeast"/>
        <w:ind w:firstLine="498"/>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五、公告期限</w:t>
      </w:r>
    </w:p>
    <w:p>
      <w:pPr>
        <w:pBdr>
          <w:top w:val="none" w:color="000000" w:sz="0" w:space="0"/>
          <w:left w:val="none" w:color="000000" w:sz="0" w:space="0"/>
          <w:bottom w:val="none" w:color="000000" w:sz="0" w:space="0"/>
          <w:right w:val="none" w:color="000000" w:sz="0" w:space="0"/>
        </w:pBdr>
        <w:shd w:val="clear"/>
        <w:spacing w:line="559" w:lineRule="atLeast"/>
        <w:ind w:firstLine="482"/>
        <w:rPr>
          <w:rFonts w:hint="eastAsia" w:ascii="宋体" w:hAnsi="宋体" w:eastAsia="宋体" w:cs="宋体"/>
          <w:color w:val="auto"/>
          <w:highlight w:val="none"/>
        </w:rPr>
      </w:pPr>
      <w:r>
        <w:rPr>
          <w:rFonts w:hint="eastAsia" w:ascii="宋体" w:hAnsi="宋体" w:eastAsia="宋体" w:cs="宋体"/>
          <w:color w:val="auto"/>
          <w:sz w:val="24"/>
          <w:highlight w:val="none"/>
        </w:rPr>
        <w:t>招标公告及招标文件公告期限为自本公告发布之日起5个工作日。招标公告发布媒体：宿迁市政府采购网、宿迁市公共资源交易平台、江苏省财政部门指定的媒体。</w:t>
      </w:r>
    </w:p>
    <w:p>
      <w:pPr>
        <w:pStyle w:val="6"/>
        <w:pBdr>
          <w:top w:val="none" w:color="000000" w:sz="0" w:space="0"/>
          <w:left w:val="none" w:color="000000" w:sz="0" w:space="0"/>
          <w:bottom w:val="none" w:color="000000" w:sz="0" w:space="0"/>
          <w:right w:val="none" w:color="000000" w:sz="0" w:space="0"/>
        </w:pBdr>
        <w:shd w:val="clear"/>
        <w:spacing w:before="145" w:after="145" w:line="85" w:lineRule="atLeast"/>
        <w:ind w:firstLine="498"/>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六、其他补充事宜</w:t>
      </w:r>
    </w:p>
    <w:p>
      <w:pPr>
        <w:pBdr>
          <w:top w:val="none" w:color="000000" w:sz="0" w:space="0"/>
          <w:left w:val="none" w:color="000000" w:sz="0" w:space="0"/>
          <w:bottom w:val="none" w:color="000000" w:sz="0" w:space="0"/>
          <w:right w:val="none" w:color="000000" w:sz="0" w:space="0"/>
        </w:pBdr>
        <w:shd w:val="clear"/>
        <w:spacing w:line="49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1.财政部门监督电话：</w:t>
      </w:r>
      <w:r>
        <w:rPr>
          <w:rFonts w:hint="eastAsia" w:ascii="宋体" w:hAnsi="宋体" w:eastAsia="宋体" w:cs="宋体"/>
          <w:b/>
          <w:color w:val="auto"/>
          <w:sz w:val="24"/>
          <w:highlight w:val="none"/>
          <w:u w:val="single"/>
        </w:rPr>
        <w:t>0527-88359233。</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2.“CA”数字证书办理：“苏采云”系统目前仅支持“苏采云”系统下的意源CA。省内各地区办理的“苏采云”系统下的意源CA全省通用。宿迁地区CA数字证书办理联系方式：18762803891。</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3.宿迁地区“苏采云”技术支持客服电话：0527-84225125、0519-86722806。</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4.如果投标人通过苏采云系统参与政府采购项目，相关操作手册详见链：http://www.ccgpjiangsu.gov.cn/jiangsu/zlxz/ee/ee3a4bc5a3454aa2b0d9312230633ce9.html。</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5.现场勘察及答疑：本</w:t>
      </w:r>
      <w:bookmarkStart w:id="6" w:name="_GoBack"/>
      <w:bookmarkEnd w:id="6"/>
      <w:r>
        <w:rPr>
          <w:rFonts w:hint="eastAsia" w:ascii="宋体" w:hAnsi="宋体" w:eastAsia="宋体" w:cs="宋体"/>
          <w:color w:val="auto"/>
          <w:sz w:val="24"/>
          <w:highlight w:val="none"/>
        </w:rPr>
        <w:t xml:space="preserve">项目不组织集中勘察及答疑，投标人如对采购需求有疑问，请咨询采购单位联系人。 </w:t>
      </w:r>
    </w:p>
    <w:p>
      <w:pPr>
        <w:pStyle w:val="6"/>
        <w:pBdr>
          <w:top w:val="none" w:color="000000" w:sz="0" w:space="0"/>
          <w:left w:val="none" w:color="000000" w:sz="0" w:space="0"/>
          <w:bottom w:val="none" w:color="000000" w:sz="0" w:space="0"/>
          <w:right w:val="none" w:color="000000" w:sz="0" w:space="0"/>
        </w:pBdr>
        <w:shd w:val="clear"/>
        <w:spacing w:before="145" w:after="145" w:line="85" w:lineRule="atLeast"/>
        <w:ind w:firstLine="498"/>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七、本次招标联系方式</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1.采购人信息</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名 称：泗洪县农业农村局</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地址：</w:t>
      </w:r>
      <w:r>
        <w:rPr>
          <w:rFonts w:hint="eastAsia" w:ascii="宋体" w:hAnsi="宋体" w:cs="宋体"/>
          <w:color w:val="auto"/>
          <w:sz w:val="24"/>
          <w:highlight w:val="none"/>
          <w:lang w:eastAsia="zh-CN"/>
        </w:rPr>
        <w:t>泗洪县人民北路10号</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 丁晓娟   </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联系方式：15261287892  </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2.采购代理机构信息</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址：泗洪县洪泽湖大街中央公馆63-202室</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联系人：许艳</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联系方式：19825846139</w:t>
      </w:r>
    </w:p>
    <w:p>
      <w:pPr>
        <w:pStyle w:val="6"/>
        <w:pBdr>
          <w:top w:val="none" w:color="000000" w:sz="0" w:space="0"/>
          <w:left w:val="none" w:color="000000" w:sz="0" w:space="0"/>
          <w:bottom w:val="none" w:color="000000" w:sz="0" w:space="0"/>
          <w:right w:val="none" w:color="000000" w:sz="0" w:space="0"/>
        </w:pBdr>
        <w:shd w:val="clear"/>
        <w:spacing w:before="145" w:after="145" w:line="85" w:lineRule="atLeast"/>
        <w:ind w:firstLine="498"/>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八、其他</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1.有关本次招标的事项若存在变动或修改，敬请及时关注“宿迁市政府采购网”等平台更正公告。</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2.本次招标不收取投标保证金。</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br w:type="page"/>
      </w:r>
    </w:p>
    <w:p>
      <w:pPr>
        <w:pStyle w:val="4"/>
        <w:pBdr>
          <w:top w:val="none" w:color="000000" w:sz="0" w:space="0"/>
          <w:left w:val="none" w:color="000000" w:sz="0" w:space="0"/>
          <w:bottom w:val="none" w:color="000000" w:sz="0" w:space="0"/>
          <w:right w:val="none" w:color="000000" w:sz="0" w:space="0"/>
        </w:pBdr>
        <w:shd w:val="clear"/>
        <w:spacing w:before="0" w:after="0"/>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第二章投标人须知</w:t>
      </w:r>
    </w:p>
    <w:p>
      <w:pPr>
        <w:pStyle w:val="5"/>
        <w:pBdr>
          <w:top w:val="none" w:color="000000" w:sz="0" w:space="0"/>
          <w:left w:val="none" w:color="000000" w:sz="0" w:space="0"/>
          <w:bottom w:val="none" w:color="000000" w:sz="0" w:space="0"/>
          <w:right w:val="none" w:color="000000" w:sz="0" w:space="0"/>
        </w:pBdr>
        <w:shd w:val="clear"/>
        <w:spacing w:before="260" w:after="260" w:line="761" w:lineRule="atLeast"/>
        <w:rPr>
          <w:rFonts w:hint="eastAsia" w:ascii="宋体" w:hAnsi="宋体" w:eastAsia="宋体" w:cs="宋体"/>
          <w:color w:val="auto"/>
          <w:highlight w:val="none"/>
        </w:rPr>
      </w:pPr>
      <w:r>
        <w:rPr>
          <w:rFonts w:hint="eastAsia" w:ascii="宋体" w:hAnsi="宋体" w:eastAsia="宋体" w:cs="宋体"/>
          <w:b/>
          <w:color w:val="auto"/>
          <w:sz w:val="32"/>
          <w:highlight w:val="none"/>
        </w:rPr>
        <w:t>投标人须知前附表：</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834"/>
        <w:gridCol w:w="2127"/>
        <w:gridCol w:w="5445"/>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8" w:hRule="atLeast"/>
        </w:trPr>
        <w:tc>
          <w:tcPr>
            <w:tcW w:w="834" w:type="dxa"/>
            <w:tcBorders>
              <w:top w:val="single" w:color="000000" w:sz="8" w:space="0"/>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序号</w:t>
            </w:r>
          </w:p>
        </w:tc>
        <w:tc>
          <w:tcPr>
            <w:tcW w:w="2127" w:type="dxa"/>
            <w:tcBorders>
              <w:top w:val="single" w:color="000000" w:sz="8" w:space="0"/>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内容</w:t>
            </w:r>
          </w:p>
        </w:tc>
        <w:tc>
          <w:tcPr>
            <w:tcW w:w="5445" w:type="dxa"/>
            <w:tcBorders>
              <w:top w:val="single" w:color="000000" w:sz="8" w:space="0"/>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说明及要求</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34"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p>
        </w:tc>
        <w:tc>
          <w:tcPr>
            <w:tcW w:w="2127"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项目类别</w:t>
            </w:r>
          </w:p>
        </w:tc>
        <w:tc>
          <w:tcPr>
            <w:tcW w:w="5445"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line="499"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本项目为 ☑ 货物 □ 服务 □ 工程 采购。</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34"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p>
        </w:tc>
        <w:tc>
          <w:tcPr>
            <w:tcW w:w="2127"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w:t>
            </w:r>
          </w:p>
        </w:tc>
        <w:tc>
          <w:tcPr>
            <w:tcW w:w="5445"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line="36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本项目不收取投标保证金。</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34"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p>
        </w:tc>
        <w:tc>
          <w:tcPr>
            <w:tcW w:w="2127"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5445"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line="36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60日（从提交投标文件截止之日起算）</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30" w:hRule="atLeast"/>
        </w:trPr>
        <w:tc>
          <w:tcPr>
            <w:tcW w:w="834"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p>
        </w:tc>
        <w:tc>
          <w:tcPr>
            <w:tcW w:w="2127"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投标文件份数</w:t>
            </w:r>
          </w:p>
        </w:tc>
        <w:tc>
          <w:tcPr>
            <w:tcW w:w="5445"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line="36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提交加密电子投标文件1份。</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34"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p>
        </w:tc>
        <w:tc>
          <w:tcPr>
            <w:tcW w:w="2127"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分包要求</w:t>
            </w:r>
          </w:p>
        </w:tc>
        <w:tc>
          <w:tcPr>
            <w:tcW w:w="5445"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line="36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 允许分包，/</w:t>
            </w:r>
          </w:p>
          <w:p>
            <w:pPr>
              <w:pBdr>
                <w:top w:val="none" w:color="000000" w:sz="0" w:space="0"/>
                <w:left w:val="none" w:color="000000" w:sz="0" w:space="0"/>
                <w:bottom w:val="none" w:color="000000" w:sz="0" w:space="0"/>
                <w:right w:val="none" w:color="000000" w:sz="0" w:space="0"/>
              </w:pBdr>
              <w:shd w:val="clear"/>
              <w:spacing w:line="36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 不允许分包。</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34"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w:t>
            </w:r>
          </w:p>
        </w:tc>
        <w:tc>
          <w:tcPr>
            <w:tcW w:w="2127"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w:t>
            </w:r>
          </w:p>
        </w:tc>
        <w:tc>
          <w:tcPr>
            <w:tcW w:w="5445"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line="36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本招标文件设置“□”的,以□内打√项内容为准。</w:t>
            </w:r>
          </w:p>
          <w:p>
            <w:pPr>
              <w:pBdr>
                <w:top w:val="none" w:color="000000" w:sz="0" w:space="0"/>
                <w:left w:val="none" w:color="000000" w:sz="0" w:space="0"/>
                <w:bottom w:val="none" w:color="000000" w:sz="0" w:space="0"/>
                <w:right w:val="none" w:color="000000" w:sz="0" w:space="0"/>
              </w:pBdr>
              <w:shd w:val="clear"/>
              <w:spacing w:line="36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1、踏勘现场：本项目不组织踏勘现场，各投标人自行踏勘，未踏勘或踏勘不仔细造成的损失由投标人自负。</w:t>
            </w:r>
          </w:p>
          <w:p>
            <w:pPr>
              <w:pBdr>
                <w:top w:val="none" w:color="000000" w:sz="0" w:space="0"/>
                <w:left w:val="none" w:color="000000" w:sz="0" w:space="0"/>
                <w:bottom w:val="none" w:color="000000" w:sz="0" w:space="0"/>
                <w:right w:val="none" w:color="000000" w:sz="0" w:space="0"/>
              </w:pBdr>
              <w:shd w:val="clear"/>
              <w:spacing w:line="36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2、中标人在领取中标通知书之前，应提供2份与网上投标文件一致的纸质打印投标文件（含链接的所有扫描件）。</w:t>
            </w:r>
          </w:p>
          <w:p>
            <w:pPr>
              <w:pBdr>
                <w:top w:val="none" w:color="000000" w:sz="0" w:space="0"/>
                <w:left w:val="none" w:color="000000" w:sz="0" w:space="0"/>
                <w:bottom w:val="none" w:color="000000" w:sz="0" w:space="0"/>
                <w:right w:val="none" w:color="000000" w:sz="0" w:space="0"/>
              </w:pBdr>
              <w:shd w:val="clear"/>
              <w:spacing w:line="36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3、采购人或采购代理机构发出的所有通知、答疑、澄清等文件均通过“苏采云”系统（网址： http://jszfcg.jsczt.cn/）或宿迁市政府采购网点击“政府采购管理交易系统（苏采云）”通知所有获取招标文件的投标人，并视为所有投标人已经收到，投标人应注意登录查看，否则，造成对投标不利后果由投标人自负。</w:t>
            </w:r>
          </w:p>
          <w:p>
            <w:pPr>
              <w:pBdr>
                <w:top w:val="none" w:color="000000" w:sz="0" w:space="0"/>
                <w:left w:val="none" w:color="000000" w:sz="0" w:space="0"/>
                <w:bottom w:val="none" w:color="000000" w:sz="0" w:space="0"/>
                <w:right w:val="none" w:color="000000" w:sz="0" w:space="0"/>
              </w:pBdr>
              <w:shd w:val="clear"/>
              <w:spacing w:line="36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4、投标人应该在投标截止时间前上传真实、有效、充分的证明材料的原件扫描件，凡弄虚作假，提供假证明、假文件、假材料的，一经查实，按有关规定予以处罚。</w:t>
            </w:r>
          </w:p>
          <w:p>
            <w:pPr>
              <w:pBdr>
                <w:top w:val="none" w:color="000000" w:sz="0" w:space="0"/>
                <w:left w:val="none" w:color="000000" w:sz="0" w:space="0"/>
                <w:bottom w:val="none" w:color="000000" w:sz="0" w:space="0"/>
                <w:right w:val="none" w:color="000000" w:sz="0" w:space="0"/>
              </w:pBdr>
              <w:shd w:val="clear"/>
              <w:spacing w:line="36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特别提醒：因本项目采用网上不见面开标，请各投标人提前进入网上开标大厅，确保电脑和网络正常，不要影响网上开标。如遇技术问题，请及时联系。宿迁地区“苏采云”技术支持客服电话：0527-84225125、0519-86722806。</w:t>
            </w:r>
          </w:p>
          <w:p>
            <w:pPr>
              <w:pBdr>
                <w:top w:val="none" w:color="000000" w:sz="0" w:space="0"/>
                <w:left w:val="none" w:color="000000" w:sz="0" w:space="0"/>
                <w:bottom w:val="none" w:color="000000" w:sz="0" w:space="0"/>
                <w:right w:val="none" w:color="000000" w:sz="0" w:space="0"/>
              </w:pBdr>
              <w:shd w:val="clear"/>
              <w:spacing w:line="36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6、投标人投标文件由同一台电脑制作生成后上传至评标系统，视同串通竞标。</w:t>
            </w:r>
          </w:p>
          <w:p>
            <w:pPr>
              <w:pBdr>
                <w:top w:val="none" w:color="000000" w:sz="0" w:space="0"/>
                <w:left w:val="none" w:color="000000" w:sz="0" w:space="0"/>
                <w:bottom w:val="none" w:color="000000" w:sz="0" w:space="0"/>
                <w:right w:val="none" w:color="000000" w:sz="0" w:space="0"/>
              </w:pBdr>
              <w:shd w:val="clear"/>
              <w:spacing w:line="36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各投标人：针对近期经常出现的质疑、投诉情况，经研究将投标注意事项告知如下：</w:t>
            </w:r>
          </w:p>
          <w:p>
            <w:pPr>
              <w:pBdr>
                <w:top w:val="none" w:color="000000" w:sz="0" w:space="0"/>
                <w:left w:val="none" w:color="000000" w:sz="0" w:space="0"/>
                <w:bottom w:val="none" w:color="000000" w:sz="0" w:space="0"/>
                <w:right w:val="none" w:color="000000" w:sz="0" w:space="0"/>
              </w:pBdr>
              <w:shd w:val="clear"/>
              <w:spacing w:line="36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（1）投标人按照采购文件规定提供《中小企业声明函》内容不实的，属于提供虚假材料谋取中标，依照《中华人民共和国政府采购法》等有关规定追究投标人相关责任并列入失信名单予以公示。</w:t>
            </w:r>
          </w:p>
          <w:p>
            <w:pPr>
              <w:pBdr>
                <w:top w:val="none" w:color="000000" w:sz="0" w:space="0"/>
                <w:left w:val="none" w:color="000000" w:sz="0" w:space="0"/>
                <w:bottom w:val="none" w:color="000000" w:sz="0" w:space="0"/>
                <w:right w:val="none" w:color="000000" w:sz="0" w:space="0"/>
              </w:pBdr>
              <w:shd w:val="clear"/>
              <w:spacing w:line="36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应当按照采购文件的要求编制投标文件。投标文件应当对采购文件提出的要求和条件作出明确响应。不符合要求的按无效标处理。投标人在编制投标文件时，如投标文件清单中有漏项或改变数量按无效标处理。</w:t>
            </w:r>
          </w:p>
          <w:p>
            <w:pPr>
              <w:pBdr>
                <w:top w:val="none" w:color="000000" w:sz="0" w:space="0"/>
                <w:left w:val="none" w:color="000000" w:sz="0" w:space="0"/>
                <w:bottom w:val="none" w:color="000000" w:sz="0" w:space="0"/>
                <w:right w:val="none" w:color="000000" w:sz="0" w:space="0"/>
              </w:pBdr>
              <w:shd w:val="clear"/>
              <w:spacing w:line="36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货物采购项目中，投标人填写的中小企业申明函应从制造商处获得充分、准确的信息。提供的货物应全部由符合“国家统计局关于印发《中小企业划型标准规定的通知（工信部联企业[2011]300号）的通知”要求的中小企业制造（即货物由中小企业生产且使用该中小企业商号或者注册商标），并按照采购清单中列明的货物逐条填写。未按要求填写的不享受中小企业扶持政策。享受中小企业扶持政策价格折扣的投标人，投标人提供的货物须全部为小微企业制造的货物。</w:t>
            </w:r>
          </w:p>
          <w:p>
            <w:pPr>
              <w:pBdr>
                <w:top w:val="none" w:color="000000" w:sz="0" w:space="0"/>
                <w:left w:val="none" w:color="000000" w:sz="0" w:space="0"/>
                <w:bottom w:val="none" w:color="000000" w:sz="0" w:space="0"/>
                <w:right w:val="none" w:color="000000" w:sz="0" w:space="0"/>
              </w:pBdr>
              <w:shd w:val="clear"/>
              <w:spacing w:line="36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（4）除辅助材料和设备（含以施工为主的条目、标明为定制的设备）之外的其它应该标明品牌、规格型号和产地的设备，在投标文件中必须标明设备的品牌、规格型号和产地，否则按无效标处理。</w:t>
            </w:r>
          </w:p>
          <w:p>
            <w:pPr>
              <w:pBdr>
                <w:top w:val="none" w:color="000000" w:sz="0" w:space="0"/>
                <w:left w:val="none" w:color="000000" w:sz="0" w:space="0"/>
                <w:bottom w:val="none" w:color="000000" w:sz="0" w:space="0"/>
                <w:right w:val="none" w:color="000000" w:sz="0" w:space="0"/>
              </w:pBdr>
              <w:shd w:val="clear"/>
              <w:spacing w:line="36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（5）投诉人在全国范围开标截止前12个月内三次（含）以上投诉查无依据的，禁止其3年内参加政府采购活动。</w:t>
            </w:r>
          </w:p>
          <w:p>
            <w:pPr>
              <w:pBdr>
                <w:top w:val="none" w:color="000000" w:sz="0" w:space="0"/>
                <w:left w:val="none" w:color="000000" w:sz="0" w:space="0"/>
                <w:bottom w:val="none" w:color="000000" w:sz="0" w:space="0"/>
                <w:right w:val="none" w:color="000000" w:sz="0" w:space="0"/>
              </w:pBdr>
              <w:shd w:val="clear"/>
              <w:spacing w:line="36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7、对中标供应商的业绩、企业和人员证书、获奖等信息随中标（成交）结果公告同步予以公示。</w:t>
            </w:r>
          </w:p>
          <w:p>
            <w:pPr>
              <w:pBdr>
                <w:top w:val="none" w:color="000000" w:sz="0" w:space="0"/>
                <w:left w:val="none" w:color="000000" w:sz="0" w:space="0"/>
                <w:bottom w:val="none" w:color="000000" w:sz="0" w:space="0"/>
                <w:right w:val="none" w:color="000000" w:sz="0" w:space="0"/>
              </w:pBdr>
              <w:shd w:val="clear"/>
              <w:spacing w:line="36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8、中标人与采购人应当在达到合同约定验收节点后3个工作日内验收，并发布验收公告。(因投标人原因造成逾期的，将对投标人予以罚款处罚)。</w:t>
            </w:r>
          </w:p>
          <w:p>
            <w:pPr>
              <w:pBdr>
                <w:top w:val="none" w:color="000000" w:sz="0" w:space="0"/>
                <w:left w:val="none" w:color="000000" w:sz="0" w:space="0"/>
                <w:bottom w:val="none" w:color="000000" w:sz="0" w:space="0"/>
                <w:right w:val="none" w:color="000000" w:sz="0" w:space="0"/>
              </w:pBdr>
              <w:shd w:val="clear"/>
              <w:spacing w:line="36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9、政府采购领域数字人民币政策落实：在政府采购评审费、代理服务费和货款资金支付中，作为支付方式之一。</w:t>
            </w:r>
          </w:p>
          <w:p>
            <w:pPr>
              <w:pStyle w:val="45"/>
              <w:shd w:val="clear"/>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10、本项目</w:t>
            </w:r>
            <w:r>
              <w:rPr>
                <w:rFonts w:hint="eastAsia" w:ascii="宋体" w:hAnsi="宋体" w:eastAsia="宋体" w:cs="宋体"/>
                <w:b/>
                <w:bCs/>
                <w:color w:val="auto"/>
                <w:sz w:val="21"/>
                <w:szCs w:val="21"/>
                <w:highlight w:val="none"/>
              </w:rPr>
              <w:t>履约保证金按采购合同总价的5%计取</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收取及退付方式详见投标人须知第31.4条款。</w:t>
            </w:r>
          </w:p>
        </w:tc>
      </w:tr>
    </w:tbl>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2"/>
          <w:highlight w:val="none"/>
        </w:rPr>
        <w:t>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2"/>
          <w:highlight w:val="none"/>
        </w:rPr>
        <w:t> </w:t>
      </w:r>
    </w:p>
    <w:p>
      <w:pPr>
        <w:pStyle w:val="6"/>
        <w:pBdr>
          <w:top w:val="none" w:color="000000" w:sz="0" w:space="0"/>
          <w:left w:val="none" w:color="000000" w:sz="0" w:space="0"/>
          <w:bottom w:val="none" w:color="000000" w:sz="0" w:space="0"/>
          <w:right w:val="none" w:color="000000" w:sz="0" w:space="0"/>
        </w:pBdr>
        <w:shd w:val="clear"/>
        <w:spacing w:before="0" w:after="0" w:line="559" w:lineRule="atLeast"/>
        <w:ind w:firstLine="498"/>
        <w:rPr>
          <w:rFonts w:hint="eastAsia" w:ascii="宋体" w:hAnsi="宋体" w:eastAsia="宋体" w:cs="宋体"/>
          <w:color w:val="auto"/>
          <w:highlight w:val="none"/>
        </w:rPr>
      </w:pPr>
      <w:r>
        <w:rPr>
          <w:rFonts w:hint="eastAsia" w:ascii="宋体" w:hAnsi="宋体" w:eastAsia="宋体" w:cs="宋体"/>
          <w:b/>
          <w:color w:val="auto"/>
          <w:sz w:val="32"/>
          <w:highlight w:val="none"/>
        </w:rPr>
        <w:t>一、总则</w:t>
      </w:r>
    </w:p>
    <w:p>
      <w:pPr>
        <w:pStyle w:val="7"/>
        <w:pBdr>
          <w:top w:val="none" w:color="000000" w:sz="0" w:space="0"/>
          <w:left w:val="none" w:color="000000" w:sz="0" w:space="0"/>
          <w:bottom w:val="none" w:color="000000" w:sz="0" w:space="0"/>
          <w:right w:val="none" w:color="000000" w:sz="0" w:space="0"/>
        </w:pBdr>
        <w:shd w:val="clea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1、招标方式</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1.1 本次招标采取公开招标方式，本招标文件仅适用于招标公告中所述项目。</w:t>
      </w:r>
    </w:p>
    <w:p>
      <w:pPr>
        <w:pStyle w:val="7"/>
        <w:pBdr>
          <w:top w:val="none" w:color="000000" w:sz="0" w:space="0"/>
          <w:left w:val="none" w:color="000000" w:sz="0" w:space="0"/>
          <w:bottom w:val="none" w:color="000000" w:sz="0" w:space="0"/>
          <w:right w:val="none" w:color="000000" w:sz="0" w:space="0"/>
        </w:pBdr>
        <w:shd w:val="clea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2、合格的投标人</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2.1满足招标公告中投标人的资格要求的规定。</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2.2 满足本文件实质性要求和条件的规定。</w:t>
      </w:r>
    </w:p>
    <w:p>
      <w:pPr>
        <w:pStyle w:val="7"/>
        <w:pBdr>
          <w:top w:val="none" w:color="000000" w:sz="0" w:space="0"/>
          <w:left w:val="none" w:color="000000" w:sz="0" w:space="0"/>
          <w:bottom w:val="none" w:color="000000" w:sz="0" w:space="0"/>
          <w:right w:val="none" w:color="000000" w:sz="0" w:space="0"/>
        </w:pBdr>
        <w:shd w:val="clea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3、适用法律</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3.1 本次招标及由此产生的合同受中华人民共和国有关的法律法规制约和保护。</w:t>
      </w:r>
    </w:p>
    <w:p>
      <w:pPr>
        <w:pStyle w:val="7"/>
        <w:pBdr>
          <w:top w:val="none" w:color="000000" w:sz="0" w:space="0"/>
          <w:left w:val="none" w:color="000000" w:sz="0" w:space="0"/>
          <w:bottom w:val="none" w:color="000000" w:sz="0" w:space="0"/>
          <w:right w:val="none" w:color="000000" w:sz="0" w:space="0"/>
        </w:pBdr>
        <w:shd w:val="clea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4、投标费用</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4.1 投标人应自行承担所有与参加投标有关的费用，无论投标过程中的做法和结果如何，</w:t>
      </w:r>
      <w:r>
        <w:rPr>
          <w:rFonts w:hint="eastAsia" w:ascii="宋体" w:hAnsi="宋体" w:eastAsia="宋体" w:cs="宋体"/>
          <w:color w:val="auto"/>
          <w:sz w:val="24"/>
          <w:highlight w:val="none"/>
          <w:u w:val="single"/>
        </w:rPr>
        <w:t>江苏襄盛工程咨询有限公司</w:t>
      </w:r>
      <w:r>
        <w:rPr>
          <w:rFonts w:hint="eastAsia" w:ascii="宋体" w:hAnsi="宋体" w:eastAsia="宋体" w:cs="宋体"/>
          <w:color w:val="auto"/>
          <w:sz w:val="24"/>
          <w:highlight w:val="none"/>
        </w:rPr>
        <w:t>（以下简称采购代理机构）在任何情况下均无义务和责任承担这些费用。</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4.2代理费用收取方式及标准：按以下第</w:t>
      </w:r>
      <w:r>
        <w:rPr>
          <w:rFonts w:hint="eastAsia" w:ascii="宋体" w:hAnsi="宋体" w:eastAsia="宋体" w:cs="宋体"/>
          <w:color w:val="auto"/>
          <w:sz w:val="24"/>
          <w:highlight w:val="none"/>
          <w:u w:val="single"/>
        </w:rPr>
        <w:t> 4.2.2 </w:t>
      </w:r>
      <w:r>
        <w:rPr>
          <w:rFonts w:hint="eastAsia" w:ascii="宋体" w:hAnsi="宋体" w:eastAsia="宋体" w:cs="宋体"/>
          <w:color w:val="auto"/>
          <w:sz w:val="24"/>
          <w:highlight w:val="none"/>
        </w:rPr>
        <w:t>种方式执行</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4.2.1无需支付；</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4.2.2</w:t>
      </w:r>
      <w:r>
        <w:rPr>
          <w:rFonts w:hint="eastAsia" w:ascii="宋体" w:hAnsi="宋体" w:eastAsia="宋体" w:cs="宋体"/>
          <w:color w:val="auto"/>
          <w:sz w:val="24"/>
          <w:highlight w:val="none"/>
          <w:lang w:val="en-US" w:eastAsia="zh-CN"/>
        </w:rPr>
        <w:t>中标</w:t>
      </w:r>
      <w:r>
        <w:rPr>
          <w:rFonts w:hint="eastAsia" w:ascii="宋体" w:hAnsi="宋体" w:eastAsia="宋体" w:cs="宋体"/>
          <w:color w:val="auto"/>
          <w:sz w:val="24"/>
          <w:highlight w:val="none"/>
        </w:rPr>
        <w:t>人支付，具体方式及标准为：</w:t>
      </w:r>
      <w:r>
        <w:rPr>
          <w:rFonts w:hint="eastAsia" w:ascii="宋体" w:hAnsi="宋体" w:eastAsia="宋体" w:cs="宋体"/>
          <w:color w:val="auto"/>
          <w:sz w:val="24"/>
          <w:highlight w:val="none"/>
          <w:u w:val="single"/>
        </w:rPr>
        <w:t>按照苏招协[2022]002 号文标准计取，可以数字人民币方式支付。</w:t>
      </w:r>
      <w:r>
        <w:rPr>
          <w:rFonts w:hint="eastAsia" w:ascii="宋体" w:hAnsi="宋体" w:eastAsia="宋体" w:cs="宋体"/>
          <w:color w:val="auto"/>
          <w:sz w:val="24"/>
          <w:highlight w:val="none"/>
        </w:rPr>
        <w:t>   </w:t>
      </w:r>
    </w:p>
    <w:p>
      <w:pPr>
        <w:pStyle w:val="7"/>
        <w:pBdr>
          <w:top w:val="none" w:color="000000" w:sz="0" w:space="0"/>
          <w:left w:val="none" w:color="000000" w:sz="0" w:space="0"/>
          <w:bottom w:val="none" w:color="000000" w:sz="0" w:space="0"/>
          <w:right w:val="none" w:color="000000" w:sz="0" w:space="0"/>
        </w:pBdr>
        <w:shd w:val="clear"/>
        <w:spacing w:before="0" w:after="0" w:line="559" w:lineRule="atLeast"/>
        <w:ind w:firstLine="602"/>
        <w:rPr>
          <w:rFonts w:hint="eastAsia" w:ascii="宋体" w:hAnsi="宋体" w:eastAsia="宋体" w:cs="宋体"/>
          <w:color w:val="auto"/>
          <w:highlight w:val="none"/>
        </w:rPr>
      </w:pPr>
      <w:r>
        <w:rPr>
          <w:rFonts w:hint="eastAsia" w:ascii="宋体" w:hAnsi="宋体" w:eastAsia="宋体" w:cs="宋体"/>
          <w:color w:val="auto"/>
          <w:sz w:val="30"/>
          <w:highlight w:val="none"/>
        </w:rPr>
        <w:t>5、</w:t>
      </w:r>
      <w:r>
        <w:rPr>
          <w:rFonts w:hint="eastAsia" w:ascii="宋体" w:hAnsi="宋体" w:eastAsia="宋体" w:cs="宋体"/>
          <w:color w:val="auto"/>
          <w:sz w:val="28"/>
          <w:highlight w:val="none"/>
        </w:rPr>
        <w:t>招标文件的约束力</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5.1 投标人一旦参加本项目采购活动，即被认为接受了本招标文件的规定和约束。</w:t>
      </w:r>
    </w:p>
    <w:p>
      <w:pPr>
        <w:pStyle w:val="6"/>
        <w:pBdr>
          <w:top w:val="none" w:color="000000" w:sz="0" w:space="0"/>
          <w:left w:val="none" w:color="000000" w:sz="0" w:space="0"/>
          <w:bottom w:val="none" w:color="000000" w:sz="0" w:space="0"/>
          <w:right w:val="none" w:color="000000" w:sz="0" w:space="0"/>
        </w:pBdr>
        <w:shd w:val="clear"/>
        <w:spacing w:before="0" w:after="0" w:line="559" w:lineRule="atLeast"/>
        <w:ind w:firstLine="321"/>
        <w:rPr>
          <w:rFonts w:hint="eastAsia" w:ascii="宋体" w:hAnsi="宋体" w:eastAsia="宋体" w:cs="宋体"/>
          <w:color w:val="auto"/>
          <w:highlight w:val="none"/>
        </w:rPr>
      </w:pPr>
      <w:r>
        <w:rPr>
          <w:rFonts w:hint="eastAsia" w:ascii="宋体" w:hAnsi="宋体" w:eastAsia="宋体" w:cs="宋体"/>
          <w:b/>
          <w:color w:val="auto"/>
          <w:sz w:val="32"/>
          <w:highlight w:val="none"/>
        </w:rPr>
        <w:t>二、招标文件</w:t>
      </w:r>
    </w:p>
    <w:p>
      <w:pPr>
        <w:pStyle w:val="7"/>
        <w:pBdr>
          <w:top w:val="none" w:color="000000" w:sz="0" w:space="0"/>
          <w:left w:val="none" w:color="000000" w:sz="0" w:space="0"/>
          <w:bottom w:val="none" w:color="000000" w:sz="0" w:space="0"/>
          <w:right w:val="none" w:color="000000" w:sz="0" w:space="0"/>
        </w:pBdr>
        <w:shd w:val="clea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6、招标文件构成</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6.1 招标文件由以下部分组成：</w:t>
      </w:r>
    </w:p>
    <w:p>
      <w:pPr>
        <w:pBdr>
          <w:top w:val="none" w:color="000000" w:sz="0" w:space="0"/>
          <w:left w:val="none" w:color="000000" w:sz="0" w:space="0"/>
          <w:bottom w:val="none" w:color="000000" w:sz="0" w:space="0"/>
          <w:right w:val="none" w:color="000000" w:sz="0" w:space="0"/>
        </w:pBdr>
        <w:shd w:val="clear"/>
        <w:spacing w:line="55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（1）投标邀请</w:t>
      </w:r>
    </w:p>
    <w:p>
      <w:pPr>
        <w:pBdr>
          <w:top w:val="none" w:color="000000" w:sz="0" w:space="0"/>
          <w:left w:val="none" w:color="000000" w:sz="0" w:space="0"/>
          <w:bottom w:val="none" w:color="000000" w:sz="0" w:space="0"/>
          <w:right w:val="none" w:color="000000" w:sz="0" w:space="0"/>
        </w:pBdr>
        <w:shd w:val="clear"/>
        <w:spacing w:line="55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（2）投标人须知</w:t>
      </w:r>
    </w:p>
    <w:p>
      <w:pPr>
        <w:pBdr>
          <w:top w:val="none" w:color="000000" w:sz="0" w:space="0"/>
          <w:left w:val="none" w:color="000000" w:sz="0" w:space="0"/>
          <w:bottom w:val="none" w:color="000000" w:sz="0" w:space="0"/>
          <w:right w:val="none" w:color="000000" w:sz="0" w:space="0"/>
        </w:pBdr>
        <w:shd w:val="clear"/>
        <w:spacing w:line="55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（3）合同文本</w:t>
      </w:r>
    </w:p>
    <w:p>
      <w:pPr>
        <w:pBdr>
          <w:top w:val="none" w:color="000000" w:sz="0" w:space="0"/>
          <w:left w:val="none" w:color="000000" w:sz="0" w:space="0"/>
          <w:bottom w:val="none" w:color="000000" w:sz="0" w:space="0"/>
          <w:right w:val="none" w:color="000000" w:sz="0" w:space="0"/>
        </w:pBdr>
        <w:shd w:val="clear"/>
        <w:spacing w:line="55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（4）采购需求</w:t>
      </w:r>
    </w:p>
    <w:p>
      <w:pPr>
        <w:pBdr>
          <w:top w:val="none" w:color="000000" w:sz="0" w:space="0"/>
          <w:left w:val="none" w:color="000000" w:sz="0" w:space="0"/>
          <w:bottom w:val="none" w:color="000000" w:sz="0" w:space="0"/>
          <w:right w:val="none" w:color="000000" w:sz="0" w:space="0"/>
        </w:pBdr>
        <w:shd w:val="clear"/>
        <w:spacing w:line="55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（5）评标方法与评标标准</w:t>
      </w:r>
    </w:p>
    <w:p>
      <w:pPr>
        <w:pBdr>
          <w:top w:val="none" w:color="000000" w:sz="0" w:space="0"/>
          <w:left w:val="none" w:color="000000" w:sz="0" w:space="0"/>
          <w:bottom w:val="none" w:color="000000" w:sz="0" w:space="0"/>
          <w:right w:val="none" w:color="000000" w:sz="0" w:space="0"/>
        </w:pBdr>
        <w:shd w:val="clear"/>
        <w:spacing w:line="55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（6）投标文件格式</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请仔细检查招标文件是否齐全，如有缺漏请立即与采购代理机构联系解决。</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pStyle w:val="7"/>
        <w:pBdr>
          <w:top w:val="none" w:color="000000" w:sz="0" w:space="0"/>
          <w:left w:val="none" w:color="000000" w:sz="0" w:space="0"/>
          <w:bottom w:val="none" w:color="000000" w:sz="0" w:space="0"/>
          <w:right w:val="none" w:color="000000" w:sz="0" w:space="0"/>
        </w:pBdr>
        <w:shd w:val="clear"/>
        <w:spacing w:before="0" w:after="0" w:line="559" w:lineRule="atLeast"/>
        <w:ind w:firstLine="560"/>
        <w:rPr>
          <w:rFonts w:hint="eastAsia" w:ascii="宋体" w:hAnsi="宋体" w:eastAsia="宋体" w:cs="宋体"/>
          <w:color w:val="auto"/>
          <w:highlight w:val="none"/>
        </w:rPr>
      </w:pPr>
      <w:r>
        <w:rPr>
          <w:rFonts w:hint="eastAsia" w:ascii="宋体" w:hAnsi="宋体" w:eastAsia="宋体" w:cs="宋体"/>
          <w:color w:val="auto"/>
          <w:sz w:val="28"/>
          <w:highlight w:val="none"/>
        </w:rPr>
        <w:t>7、招标文件的澄清</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7.1 任何要求对招标文件进行澄清的投标人，应在投标截止期</w:t>
      </w:r>
      <w:r>
        <w:rPr>
          <w:rFonts w:hint="eastAsia" w:ascii="宋体" w:hAnsi="宋体" w:eastAsia="宋体" w:cs="宋体"/>
          <w:b/>
          <w:color w:val="auto"/>
          <w:sz w:val="24"/>
          <w:highlight w:val="none"/>
        </w:rPr>
        <w:t>十日</w:t>
      </w:r>
      <w:r>
        <w:rPr>
          <w:rFonts w:hint="eastAsia" w:ascii="宋体" w:hAnsi="宋体" w:eastAsia="宋体" w:cs="宋体"/>
          <w:color w:val="auto"/>
          <w:sz w:val="24"/>
          <w:highlight w:val="none"/>
        </w:rPr>
        <w:t>前按招标公告中的通讯地址，以书面形式通知采购代理机构。</w:t>
      </w:r>
    </w:p>
    <w:p>
      <w:pPr>
        <w:pStyle w:val="7"/>
        <w:pBdr>
          <w:top w:val="none" w:color="000000" w:sz="0" w:space="0"/>
          <w:left w:val="none" w:color="000000" w:sz="0" w:space="0"/>
          <w:bottom w:val="none" w:color="000000" w:sz="0" w:space="0"/>
          <w:right w:val="none" w:color="000000" w:sz="0" w:space="0"/>
        </w:pBdr>
        <w:shd w:val="clear"/>
        <w:spacing w:before="0" w:after="0" w:line="559" w:lineRule="atLeast"/>
        <w:ind w:firstLine="560"/>
        <w:rPr>
          <w:rFonts w:hint="eastAsia" w:ascii="宋体" w:hAnsi="宋体" w:eastAsia="宋体" w:cs="宋体"/>
          <w:color w:val="auto"/>
          <w:highlight w:val="none"/>
        </w:rPr>
      </w:pPr>
      <w:r>
        <w:rPr>
          <w:rFonts w:hint="eastAsia" w:ascii="宋体" w:hAnsi="宋体" w:eastAsia="宋体" w:cs="宋体"/>
          <w:color w:val="auto"/>
          <w:sz w:val="28"/>
          <w:highlight w:val="none"/>
        </w:rPr>
        <w:t>8、招标文件的修改</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8.2 在投标截止时间前，采购代理机构可以对招标文件进行修改。</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8.3 采购代理机构有权按照法定的要求推迟投标截止日期和开标日期。</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8.4招标文件的修改将在将在原公告媒体上发布更正公告，补充文件将作为招标文件的组成部分，并对投标人具有约束力，发布的更正公告视同为以书面形式通知所有获取招标文件的潜在投标人。</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 xml:space="preserve">8.5投标人应及时登录“苏采云”系统获取澄清答疑文件（修改后招标文件），如因投标人原因未能及时下载澄清和修改后的招标文件，由此造成的相关责任，由投标人承担。 </w:t>
      </w:r>
    </w:p>
    <w:p>
      <w:pPr>
        <w:pStyle w:val="6"/>
        <w:pBdr>
          <w:top w:val="none" w:color="000000" w:sz="0" w:space="0"/>
          <w:left w:val="none" w:color="000000" w:sz="0" w:space="0"/>
          <w:bottom w:val="none" w:color="000000" w:sz="0" w:space="0"/>
          <w:right w:val="none" w:color="000000" w:sz="0" w:space="0"/>
        </w:pBdr>
        <w:shd w:val="clear"/>
        <w:spacing w:before="0" w:after="0" w:line="559" w:lineRule="atLeast"/>
        <w:ind w:firstLine="482"/>
        <w:rPr>
          <w:rFonts w:hint="eastAsia" w:ascii="宋体" w:hAnsi="宋体" w:eastAsia="宋体" w:cs="宋体"/>
          <w:color w:val="auto"/>
          <w:highlight w:val="none"/>
        </w:rPr>
      </w:pPr>
      <w:r>
        <w:rPr>
          <w:rFonts w:hint="eastAsia" w:ascii="宋体" w:hAnsi="宋体" w:eastAsia="宋体" w:cs="宋体"/>
          <w:b/>
          <w:color w:val="auto"/>
          <w:sz w:val="32"/>
          <w:highlight w:val="none"/>
        </w:rPr>
        <w:t>三、投标文件的编制</w:t>
      </w:r>
    </w:p>
    <w:p>
      <w:pPr>
        <w:pStyle w:val="7"/>
        <w:pBdr>
          <w:top w:val="none" w:color="000000" w:sz="0" w:space="0"/>
          <w:left w:val="none" w:color="000000" w:sz="0" w:space="0"/>
          <w:bottom w:val="none" w:color="000000" w:sz="0" w:space="0"/>
          <w:right w:val="none" w:color="000000" w:sz="0" w:space="0"/>
        </w:pBdr>
        <w:shd w:val="clear"/>
        <w:spacing w:before="0" w:after="0" w:line="559" w:lineRule="atLeast"/>
        <w:ind w:firstLine="560"/>
        <w:rPr>
          <w:rFonts w:hint="eastAsia" w:ascii="宋体" w:hAnsi="宋体" w:eastAsia="宋体" w:cs="宋体"/>
          <w:color w:val="auto"/>
          <w:highlight w:val="none"/>
        </w:rPr>
      </w:pPr>
      <w:r>
        <w:rPr>
          <w:rFonts w:hint="eastAsia" w:ascii="宋体" w:hAnsi="宋体" w:eastAsia="宋体" w:cs="宋体"/>
          <w:color w:val="auto"/>
          <w:sz w:val="28"/>
          <w:highlight w:val="none"/>
        </w:rPr>
        <w:t>9、投标文件的语言及度量衡单位</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9.1 投标人提交的投标文件以及投标人与采购代理机构就有关投标的所有来往通知、函件和文件均应使用</w:t>
      </w:r>
      <w:r>
        <w:rPr>
          <w:rFonts w:hint="eastAsia" w:ascii="宋体" w:hAnsi="宋体" w:eastAsia="宋体" w:cs="宋体"/>
          <w:b/>
          <w:color w:val="auto"/>
          <w:sz w:val="24"/>
          <w:highlight w:val="none"/>
        </w:rPr>
        <w:t>简体中文</w:t>
      </w:r>
      <w:r>
        <w:rPr>
          <w:rFonts w:hint="eastAsia" w:ascii="宋体" w:hAnsi="宋体" w:eastAsia="宋体" w:cs="宋体"/>
          <w:color w:val="auto"/>
          <w:sz w:val="24"/>
          <w:highlight w:val="none"/>
        </w:rPr>
        <w:t>。</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9.2 除技术性能另有规定外，投标文件所使用的度量衡单位，均须采用国家法定计量单位。</w:t>
      </w:r>
    </w:p>
    <w:p>
      <w:pPr>
        <w:pStyle w:val="7"/>
        <w:pBdr>
          <w:top w:val="none" w:color="000000" w:sz="0" w:space="0"/>
          <w:left w:val="none" w:color="000000" w:sz="0" w:space="0"/>
          <w:bottom w:val="none" w:color="000000" w:sz="0" w:space="0"/>
          <w:right w:val="none" w:color="000000" w:sz="0" w:space="0"/>
        </w:pBdr>
        <w:shd w:val="clea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10、投标文件构成</w:t>
      </w:r>
    </w:p>
    <w:p>
      <w:pPr>
        <w:pBdr>
          <w:top w:val="none" w:color="000000" w:sz="0" w:space="0"/>
          <w:left w:val="none" w:color="000000" w:sz="0" w:space="0"/>
          <w:bottom w:val="none" w:color="000000" w:sz="0" w:space="0"/>
          <w:right w:val="none" w:color="000000" w:sz="0" w:space="0"/>
        </w:pBdr>
        <w:shd w:val="clear"/>
        <w:spacing w:line="559" w:lineRule="atLeast"/>
        <w:ind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各投标人在编制投标文件时请按照招标文件第六章规定的格式进行，混乱的编排导致投标文件被误读或评委会查找不到有效文件是投标人的风险。</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10.2 投标人编写的投标文件应包括资格证明文件、符合性证明文件、投标分项报价表、响应及偏离表、其他证明文件、投标函、开标一览表等部分。</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10.5 如标书制作工具中格式和内容与“宿迁市政府采购网”发布的招标文件不一致，请以“宿迁市政府采购网”发布的招标文件为准。</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 xml:space="preserve">10.6中标后按相关要求提供与电子投标文件一致的纸质打印投标文件2份。 </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p>
    <w:p>
      <w:pPr>
        <w:pStyle w:val="7"/>
        <w:pBdr>
          <w:top w:val="none" w:color="000000" w:sz="0" w:space="0"/>
          <w:left w:val="none" w:color="000000" w:sz="0" w:space="0"/>
          <w:bottom w:val="none" w:color="000000" w:sz="0" w:space="0"/>
          <w:right w:val="none" w:color="000000" w:sz="0" w:space="0"/>
        </w:pBdr>
        <w:shd w:val="clea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11、证明投标人及投标标的符合招标文件规定的文件</w:t>
      </w:r>
    </w:p>
    <w:p>
      <w:pPr>
        <w:pBdr>
          <w:top w:val="none" w:color="000000" w:sz="0" w:space="0"/>
          <w:left w:val="none" w:color="000000" w:sz="0" w:space="0"/>
          <w:bottom w:val="none" w:color="000000" w:sz="0" w:space="0"/>
          <w:right w:val="none" w:color="000000" w:sz="0" w:space="0"/>
        </w:pBdr>
        <w:shd w:val="clear"/>
        <w:spacing w:line="559" w:lineRule="atLeast"/>
        <w:ind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11.1 投标人应按照法律、法规、规章和规范性文件以及招标文件要求提交证明文件，证明其及投标标的符合招标文件规定。</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11.2招标文件对证明文件无明确形式要求的，证明文件可以以文字资料、图纸和数据等形式提交。</w:t>
      </w:r>
    </w:p>
    <w:p>
      <w:pPr>
        <w:pStyle w:val="7"/>
        <w:pBdr>
          <w:top w:val="none" w:color="000000" w:sz="0" w:space="0"/>
          <w:left w:val="none" w:color="000000" w:sz="0" w:space="0"/>
          <w:bottom w:val="none" w:color="000000" w:sz="0" w:space="0"/>
          <w:right w:val="none" w:color="000000" w:sz="0" w:space="0"/>
        </w:pBdr>
        <w:shd w:val="clea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12、投标分项报价表</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12.1 投标人应按照招标文件规定格式填报投标分项报价表。</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12.2投标货币。投标文件中的单价和总价无特殊规定的采用人民币报价，以元为单位标注。招标文件中另有规定的按规定执行。</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12.3本项目不接受备选的投标方案或有选择的报价，只允许有一个报价。投标报价内容包括：响应报价应包括货款、标准附件、备品备件、专用工具、包装、运输、装卸、保险、税金、货到就位以及安装、调试、培训、保修等完成本项目所涉及到的一切相关费用。</w:t>
      </w:r>
    </w:p>
    <w:p>
      <w:pPr>
        <w:pStyle w:val="7"/>
        <w:pBdr>
          <w:top w:val="none" w:color="000000" w:sz="0" w:space="0"/>
          <w:left w:val="none" w:color="000000" w:sz="0" w:space="0"/>
          <w:bottom w:val="none" w:color="000000" w:sz="0" w:space="0"/>
          <w:right w:val="none" w:color="000000" w:sz="0" w:space="0"/>
        </w:pBdr>
        <w:shd w:val="clea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13、技术要求响应及偏离表、商务要求响应及偏离表</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13.1 投标人需对招标文件中的技术要求与商务要求逐项作出响应或偏离，并说明原因。</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13.2 投标人可在投标文件中提供认为需要的其他技术文件或说明。</w:t>
      </w:r>
    </w:p>
    <w:p>
      <w:pPr>
        <w:pBdr>
          <w:top w:val="none" w:color="000000" w:sz="0" w:space="0"/>
          <w:left w:val="none" w:color="000000" w:sz="0" w:space="0"/>
          <w:bottom w:val="none" w:color="000000" w:sz="0" w:space="0"/>
          <w:right w:val="none" w:color="000000" w:sz="0" w:space="0"/>
        </w:pBdr>
        <w:shd w:val="clear"/>
        <w:spacing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14、服务承诺、培训计划、人员安排及其他</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14.1 投标人需根据招标文件要求提供有关售后服务的管理制度，售后服务机构的分布情况，售后服务人员的数量、素质、技术水平及售后服务的反应能力等。</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14.2 投标人需根据招标文件要求提供培训计划。</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14.3 投标人需根据招标文件要求提供所投标的的主要组成部分、功能设计、实现思路及关键技术等。</w:t>
      </w:r>
    </w:p>
    <w:p>
      <w:pPr>
        <w:pStyle w:val="7"/>
        <w:pBdr>
          <w:top w:val="none" w:color="000000" w:sz="0" w:space="0"/>
          <w:left w:val="none" w:color="000000" w:sz="0" w:space="0"/>
          <w:bottom w:val="none" w:color="000000" w:sz="0" w:space="0"/>
          <w:right w:val="none" w:color="000000" w:sz="0" w:space="0"/>
        </w:pBdr>
        <w:shd w:val="clea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15、投标声明及承诺函和开标一览表</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15.1 投标人应按照招标文件中提供的格式完整、正确填写投标声明及承诺函、开标一览表。</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highlight w:val="none"/>
        </w:rPr>
        <w:t>。</w:t>
      </w:r>
    </w:p>
    <w:p>
      <w:pPr>
        <w:pStyle w:val="7"/>
        <w:pBdr>
          <w:top w:val="none" w:color="000000" w:sz="0" w:space="0"/>
          <w:left w:val="none" w:color="000000" w:sz="0" w:space="0"/>
          <w:bottom w:val="none" w:color="000000" w:sz="0" w:space="0"/>
          <w:right w:val="none" w:color="000000" w:sz="0" w:space="0"/>
        </w:pBdr>
        <w:shd w:val="clea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16、投标有效期</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16.1 投标有效期为开标之日后</w:t>
      </w:r>
      <w:r>
        <w:rPr>
          <w:rFonts w:hint="eastAsia" w:ascii="宋体" w:hAnsi="宋体" w:eastAsia="宋体" w:cs="宋体"/>
          <w:b/>
          <w:color w:val="auto"/>
          <w:sz w:val="24"/>
          <w:highlight w:val="none"/>
          <w:u w:val="single"/>
        </w:rPr>
        <w:t>六十（60）天</w:t>
      </w:r>
      <w:r>
        <w:rPr>
          <w:rFonts w:hint="eastAsia" w:ascii="宋体" w:hAnsi="宋体" w:eastAsia="宋体" w:cs="宋体"/>
          <w:color w:val="auto"/>
          <w:sz w:val="24"/>
          <w:highlight w:val="none"/>
        </w:rPr>
        <w:t>。投标有效期比规定短的将被视为未实质性响应招标文件而予以拒绝。</w:t>
      </w:r>
    </w:p>
    <w:p>
      <w:pPr>
        <w:pStyle w:val="7"/>
        <w:pBdr>
          <w:top w:val="none" w:color="000000" w:sz="0" w:space="0"/>
          <w:left w:val="none" w:color="000000" w:sz="0" w:space="0"/>
          <w:bottom w:val="none" w:color="000000" w:sz="0" w:space="0"/>
          <w:right w:val="none" w:color="000000" w:sz="0" w:space="0"/>
        </w:pBdr>
        <w:shd w:val="clea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17、投标有效期的延长</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17.1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 xml:space="preserve">17.2中标人的投标文件作为项目合同的附件，其有效期至中标人全部合同义务履行完毕为止。 </w:t>
      </w:r>
    </w:p>
    <w:p>
      <w:pPr>
        <w:pStyle w:val="6"/>
        <w:pBdr>
          <w:top w:val="none" w:color="000000" w:sz="0" w:space="0"/>
          <w:left w:val="none" w:color="000000" w:sz="0" w:space="0"/>
          <w:bottom w:val="none" w:color="000000" w:sz="0" w:space="0"/>
          <w:right w:val="none" w:color="000000" w:sz="0" w:space="0"/>
        </w:pBdr>
        <w:shd w:val="clear"/>
        <w:spacing w:before="0" w:after="0" w:line="559" w:lineRule="atLeast"/>
        <w:ind w:firstLine="482"/>
        <w:rPr>
          <w:rFonts w:hint="eastAsia" w:ascii="宋体" w:hAnsi="宋体" w:eastAsia="宋体" w:cs="宋体"/>
          <w:color w:val="auto"/>
          <w:highlight w:val="none"/>
        </w:rPr>
      </w:pPr>
      <w:r>
        <w:rPr>
          <w:rFonts w:hint="eastAsia" w:ascii="宋体" w:hAnsi="宋体" w:eastAsia="宋体" w:cs="宋体"/>
          <w:b/>
          <w:color w:val="auto"/>
          <w:sz w:val="32"/>
          <w:highlight w:val="none"/>
        </w:rPr>
        <w:t>四、投标文件的递交</w:t>
      </w:r>
    </w:p>
    <w:p>
      <w:pPr>
        <w:pStyle w:val="7"/>
        <w:pBdr>
          <w:top w:val="none" w:color="000000" w:sz="0" w:space="0"/>
          <w:left w:val="none" w:color="000000" w:sz="0" w:space="0"/>
          <w:bottom w:val="none" w:color="000000" w:sz="0" w:space="0"/>
          <w:right w:val="none" w:color="000000" w:sz="0" w:space="0"/>
        </w:pBdr>
        <w:shd w:val="clear"/>
        <w:spacing w:before="0" w:after="0" w:line="559" w:lineRule="atLeast"/>
        <w:ind w:firstLine="560"/>
        <w:rPr>
          <w:rFonts w:hint="eastAsia" w:ascii="宋体" w:hAnsi="宋体" w:eastAsia="宋体" w:cs="宋体"/>
          <w:color w:val="auto"/>
          <w:highlight w:val="none"/>
        </w:rPr>
      </w:pPr>
      <w:r>
        <w:rPr>
          <w:rFonts w:hint="eastAsia" w:ascii="宋体" w:hAnsi="宋体" w:eastAsia="宋体" w:cs="宋体"/>
          <w:color w:val="auto"/>
          <w:sz w:val="28"/>
          <w:highlight w:val="none"/>
        </w:rPr>
        <w:t>18、投标文件的递交</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18.1投标人应当按照《操作手册》规定，在投标截止时间前制作并上传电子投标文件。</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18.2投标人通过“苏采云”系统不见面开标大厅在线参与开标活动。（具体操作详见《“苏采云”系统投标人操作手册》，网址链接</w:t>
      </w:r>
      <w:r>
        <w:rPr>
          <w:rFonts w:hint="eastAsia" w:ascii="宋体" w:hAnsi="宋体" w:eastAsia="宋体" w:cs="宋体"/>
          <w:color w:val="auto"/>
          <w:sz w:val="22"/>
          <w:highlight w:val="none"/>
        </w:rPr>
        <w:t>http://www.ccgp-jiangsu.gov.cn//webfile/jiangsu/202311/1699268553318052447.pdf）</w:t>
      </w:r>
    </w:p>
    <w:p>
      <w:pPr>
        <w:pStyle w:val="7"/>
        <w:pBdr>
          <w:top w:val="none" w:color="000000" w:sz="0" w:space="0"/>
          <w:left w:val="none" w:color="000000" w:sz="0" w:space="0"/>
          <w:bottom w:val="none" w:color="000000" w:sz="0" w:space="0"/>
          <w:right w:val="none" w:color="000000" w:sz="0" w:space="0"/>
        </w:pBdr>
        <w:shd w:val="clea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19、投标截止时间</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19.1 投标人上传电子投标文件的时间不得迟于招标公告中规定的投标截止时间。</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投标人应充分考虑到网络环境、网络带宽等风险因素，如因投标人自身原因造成的电子投标文件上传不成功的按照本招标文件第二章第27.1.2条规定做无效投标处理。</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19.2 采购代理机构可以按照规定，通过修改招标文件酌情延长投标截止时间，在此情况下，投标人的所有权利和义务以及投标人受制的截止时间均应以延长后新的截止时间为准。</w:t>
      </w:r>
    </w:p>
    <w:p>
      <w:pPr>
        <w:pStyle w:val="7"/>
        <w:pBdr>
          <w:top w:val="none" w:color="000000" w:sz="0" w:space="0"/>
          <w:left w:val="none" w:color="000000" w:sz="0" w:space="0"/>
          <w:bottom w:val="none" w:color="000000" w:sz="0" w:space="0"/>
          <w:right w:val="none" w:color="000000" w:sz="0" w:space="0"/>
        </w:pBdr>
        <w:shd w:val="clea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20、投标文件的拒收</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20.1采购代理机构拒绝接收在其规定的投标截止时间后上传的任何投标文件。</w:t>
      </w:r>
    </w:p>
    <w:p>
      <w:pPr>
        <w:pStyle w:val="7"/>
        <w:pBdr>
          <w:top w:val="none" w:color="000000" w:sz="0" w:space="0"/>
          <w:left w:val="none" w:color="000000" w:sz="0" w:space="0"/>
          <w:bottom w:val="none" w:color="000000" w:sz="0" w:space="0"/>
          <w:right w:val="none" w:color="000000" w:sz="0" w:space="0"/>
        </w:pBdr>
        <w:shd w:val="clea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21、投标文件的撤回和修改</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21.1 投标文件的撤回</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21.1.1 电子投标文件的撤回</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投标人可在投标截止时间前，撤回其电子投标文件，具体操作方法见《操作手册》。</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21.1.2 投标人撤回电子投标文件，则认为其不再参与本项目投标活动。</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21.2 投标文件的修改</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21.2.1投标人可在投标截止时间前，对其电子投标文件进行修改，具体操作方法见《操作手册》。</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21.2.2 在投标截止时间之后，投标人不得对其电子投标文件作任何修改。</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21.3 在投标截止时间至招标文件中规定的投标有效期满之间的这段时间内，投标人不得撤回其投标。</w:t>
      </w:r>
    </w:p>
    <w:p>
      <w:pPr>
        <w:pStyle w:val="6"/>
        <w:pBdr>
          <w:top w:val="none" w:color="000000" w:sz="0" w:space="0"/>
          <w:left w:val="none" w:color="000000" w:sz="0" w:space="0"/>
          <w:bottom w:val="none" w:color="000000" w:sz="0" w:space="0"/>
          <w:right w:val="none" w:color="000000" w:sz="0" w:space="0"/>
        </w:pBdr>
        <w:shd w:val="clear"/>
        <w:spacing w:before="0" w:after="0" w:line="559" w:lineRule="atLeast"/>
        <w:ind w:firstLine="482"/>
        <w:rPr>
          <w:rFonts w:hint="eastAsia" w:ascii="宋体" w:hAnsi="宋体" w:eastAsia="宋体" w:cs="宋体"/>
          <w:color w:val="auto"/>
          <w:highlight w:val="none"/>
        </w:rPr>
      </w:pPr>
      <w:r>
        <w:rPr>
          <w:rFonts w:hint="eastAsia" w:ascii="宋体" w:hAnsi="宋体" w:eastAsia="宋体" w:cs="宋体"/>
          <w:b/>
          <w:color w:val="auto"/>
          <w:sz w:val="32"/>
          <w:highlight w:val="none"/>
        </w:rPr>
        <w:t>五、开标与评标</w:t>
      </w:r>
    </w:p>
    <w:p>
      <w:pPr>
        <w:pStyle w:val="7"/>
        <w:pBdr>
          <w:top w:val="none" w:color="000000" w:sz="0" w:space="0"/>
          <w:left w:val="none" w:color="000000" w:sz="0" w:space="0"/>
          <w:bottom w:val="none" w:color="000000" w:sz="0" w:space="0"/>
          <w:right w:val="none" w:color="000000" w:sz="0" w:space="0"/>
        </w:pBdr>
        <w:shd w:val="clea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22、开标</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22.1 采购代理机构将在招标公告中规定的时间和地点组织公开开标。投标人应当按照《“苏采云”系统供应商操作手册》规定，参加开标活动和在“苏采云”系统规定的时间内对投标文件进行解密。</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22.3投标人在开标过程中涉及到的投标文件解密、开标结果确认等工作，应按照《操作手册》规定执行。</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22.4投标人如果对开标过程和开标记录有疑义，应当根据《操作手册》规定提出，如 “苏采云”系统中《开标记录表》宣布后5分钟内未提出的，视同认可开标结果。</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23、评标委员会</w:t>
      </w:r>
    </w:p>
    <w:p>
      <w:pPr>
        <w:pBdr>
          <w:top w:val="none" w:color="000000" w:sz="0" w:space="0"/>
          <w:left w:val="none" w:color="000000" w:sz="0" w:space="0"/>
          <w:bottom w:val="none" w:color="000000" w:sz="0" w:space="0"/>
          <w:right w:val="none" w:color="000000" w:sz="0" w:space="0"/>
        </w:pBdr>
        <w:shd w:val="clear"/>
        <w:spacing w:line="559" w:lineRule="atLeas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23.1 开标后，采购代理机构将立即组织评标委员会（以下简称评委会）进行评标。</w:t>
      </w:r>
    </w:p>
    <w:p>
      <w:pPr>
        <w:pBdr>
          <w:top w:val="none" w:color="000000" w:sz="0" w:space="0"/>
          <w:left w:val="none" w:color="000000" w:sz="0" w:space="0"/>
          <w:bottom w:val="none" w:color="000000" w:sz="0" w:space="0"/>
          <w:right w:val="none" w:color="000000" w:sz="0" w:space="0"/>
        </w:pBdr>
        <w:shd w:val="clear"/>
        <w:spacing w:line="559" w:lineRule="atLeas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23.2 评委会由采购人代表和有关技术、经济等方面的专家组成，且人员构成符合政府采购有关规定。</w:t>
      </w:r>
    </w:p>
    <w:p>
      <w:pPr>
        <w:pBdr>
          <w:top w:val="none" w:color="000000" w:sz="0" w:space="0"/>
          <w:left w:val="none" w:color="000000" w:sz="0" w:space="0"/>
          <w:bottom w:val="none" w:color="000000" w:sz="0" w:space="0"/>
          <w:right w:val="none" w:color="000000" w:sz="0" w:space="0"/>
        </w:pBdr>
        <w:shd w:val="clear"/>
        <w:spacing w:line="559" w:lineRule="atLeas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23.3评委会独立工作，负责评审所有投标文件并确定中标侯选人。</w:t>
      </w:r>
    </w:p>
    <w:p>
      <w:pPr>
        <w:pStyle w:val="7"/>
        <w:pBdr>
          <w:top w:val="none" w:color="000000" w:sz="0" w:space="0"/>
          <w:left w:val="none" w:color="000000" w:sz="0" w:space="0"/>
          <w:bottom w:val="none" w:color="000000" w:sz="0" w:space="0"/>
          <w:right w:val="none" w:color="000000" w:sz="0" w:space="0"/>
        </w:pBdr>
        <w:shd w:val="clea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24、评标过程的保密与公正</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24.1凡是与审查、澄清、评价和比较投标的有关资料以及授标建议等，采购人、评委、采购代理机构均不得向投标人或与评标无关的其他人员透露。</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24.2在评标过程中，投标人不得以任何行为影响评标过程，否则其投标文件将被作为无效投标文件。</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24.3 采购代理机构和评委会不向未中标的投标人解释未中标原因，也不公布评标过程中的相关细节。</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24.4 采用综合评分法的项目，未中标的投标人可于中标结果公告期限届满之日起通过“苏采云”系统查看自己的评审得分及排序情况。</w:t>
      </w:r>
    </w:p>
    <w:p>
      <w:pPr>
        <w:pStyle w:val="7"/>
        <w:pBdr>
          <w:top w:val="none" w:color="000000" w:sz="0" w:space="0"/>
          <w:left w:val="none" w:color="000000" w:sz="0" w:space="0"/>
          <w:bottom w:val="none" w:color="000000" w:sz="0" w:space="0"/>
          <w:right w:val="none" w:color="000000" w:sz="0" w:space="0"/>
        </w:pBdr>
        <w:shd w:val="clea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25、投标文件的澄清</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25.1评标期间，评委会对投标文件中含义不明确、同类问题表述不一致或者有明显文字和计算错误的内容 ，有权要求投标人作出必要的澄清、说明或者补正。</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投标人的澄清、说明或者补正不得超出投标文件的范围或者改变投标文件的实质性内容。</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评委会并非对每个投标人都做澄清要求。</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p>
    <w:p>
      <w:pPr>
        <w:pBdr>
          <w:top w:val="none" w:color="000000" w:sz="0" w:space="0"/>
          <w:left w:val="none" w:color="000000" w:sz="0" w:space="0"/>
          <w:bottom w:val="none" w:color="000000" w:sz="0" w:space="0"/>
          <w:right w:val="none" w:color="000000" w:sz="0" w:space="0"/>
        </w:pBdr>
        <w:shd w:val="clear"/>
        <w:spacing w:line="559" w:lineRule="atLeas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25.3 接到评委会澄清、说明和补正要求的投标人如未按规定做出澄清、说明和补正，其风险由投标人自行承担。</w:t>
      </w:r>
    </w:p>
    <w:p>
      <w:pPr>
        <w:pStyle w:val="7"/>
        <w:pBdr>
          <w:top w:val="none" w:color="000000" w:sz="0" w:space="0"/>
          <w:left w:val="none" w:color="000000" w:sz="0" w:space="0"/>
          <w:bottom w:val="none" w:color="000000" w:sz="0" w:space="0"/>
          <w:right w:val="none" w:color="000000" w:sz="0" w:space="0"/>
        </w:pBdr>
        <w:shd w:val="clea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26、对投标文件的初审</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26.1投标文件初审分为资格审查和符合性审查。</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26.1.1 资格审查：依据法律法规和招标文件的规定，由采购人或其委托的代理机构对投标文件中的资格证明文件进行审查，以确定投标人是否具备投标资格。</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采购人在进行资格性审查的同时，将在“信用中国”网站（www.creditchina.gov.cn）查询投标人的信用记录，以确定投标人是否具备投标资格,查询结果留存并归档。</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接受联合体的项目，两个以上的自然人、法人或者其他组织组成一个联合体，以一个投标人的身份共同参加政府采购活动的,联合体成员存在不良信用记录的，视同联合体存在不良应用记录。</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26.1.2 符合性审查：依据招标文件的规定，由评委会从投标文件的有效性、完整性和对招标文件的响应程度进行审查，以确定是否对招标文件的实质性要求作出响应。</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26.1.3对各投标人符合性审查过程中，对初步被认定为无效投标者，由评委会组长或采购人代表将集体意见通过“苏采云”系统中告知未通过符合性审查的原因，评标结束后，将不再告知未通过符合性审查的原因。</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26.2在详细评标之前，评委会将首先审查每份投标文件是否实质性响应了招标文件的要求。实质性响应的投标应该是与招标文件要求的全部条款、条件和规格相符，没有重大偏离或保留的投标。</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26.3如果投标文件实质上没有响应招标文件的要求，评委会将予以拒绝，投标人不得通过修改或撤销不合要求的偏离或保留而使其投标成为实质性响应的投标。</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26.4评委会将对确定为实质性响应的投标进行进一步审核，确定其是否有计算上或累加上的算术错误，修正错误的原则如下：</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（1）投标文件中开标一览表内容与投标文件中相应内容不一致的，以开标一览表为准。</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（2）大写金额和小写金额不一致的，以大写金额为准。</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（3）单价金额小数点或者百分比有明显错位的，以开标一览表的总价为准，并修改单价。</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（4）总价金额与按单价汇总金额不一致的，以单价金额计算结果为准。</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同时出现两种以上错误的，按照前款规定的顺序修正。</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26.5 评委会将按上述修正错误的方法调整投标文件中的投标报价，并通过“苏采云”系统告知投标人，调整后的价格应对投标人具有约束力。如果投标人不接受修正后的价格，则其投标将被拒绝。</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pPr>
        <w:pBdr>
          <w:top w:val="none" w:color="000000" w:sz="0" w:space="0"/>
          <w:left w:val="none" w:color="000000" w:sz="0" w:space="0"/>
          <w:bottom w:val="none" w:color="000000" w:sz="0" w:space="0"/>
          <w:right w:val="none" w:color="000000" w:sz="0" w:space="0"/>
        </w:pBdr>
        <w:shd w:val="clear"/>
        <w:spacing w:line="559" w:lineRule="atLeast"/>
        <w:ind w:firstLine="420"/>
        <w:rPr>
          <w:rFonts w:hint="eastAsia" w:ascii="宋体" w:hAnsi="宋体" w:eastAsia="宋体" w:cs="宋体"/>
          <w:color w:val="auto"/>
          <w:highlight w:val="none"/>
        </w:rPr>
      </w:pPr>
      <w:r>
        <w:rPr>
          <w:rFonts w:hint="eastAsia" w:ascii="宋体" w:hAnsi="宋体" w:eastAsia="宋体" w:cs="宋体"/>
          <w:color w:val="auto"/>
          <w:sz w:val="24"/>
          <w:highlight w:val="none"/>
        </w:rPr>
        <w:t>非单一产品采购项目，招标文件中将载明其中的核心产品。多家投标人提供的核心产品品牌相同的，按前两款规定处理。</w:t>
      </w:r>
    </w:p>
    <w:p>
      <w:pPr>
        <w:pBdr>
          <w:top w:val="none" w:color="000000" w:sz="0" w:space="0"/>
          <w:left w:val="none" w:color="000000" w:sz="0" w:space="0"/>
          <w:bottom w:val="none" w:color="000000" w:sz="0" w:space="0"/>
          <w:right w:val="none" w:color="000000" w:sz="0" w:space="0"/>
        </w:pBdr>
        <w:shd w:val="clear"/>
        <w:spacing w:line="559" w:lineRule="atLeast"/>
        <w:ind w:firstLine="420"/>
        <w:rPr>
          <w:rFonts w:hint="eastAsia" w:ascii="宋体" w:hAnsi="宋体" w:eastAsia="宋体" w:cs="宋体"/>
          <w:color w:val="auto"/>
          <w:highlight w:val="none"/>
        </w:rPr>
      </w:pPr>
      <w:r>
        <w:rPr>
          <w:rFonts w:hint="eastAsia" w:ascii="宋体" w:hAnsi="宋体" w:eastAsia="宋体" w:cs="宋体"/>
          <w:color w:val="auto"/>
          <w:sz w:val="24"/>
          <w:highlight w:val="none"/>
        </w:rPr>
        <w:t>26.7投标人在开、评标全过程中应随时保持系统在线，及时在“苏采云”系统查阅、答复相关信息。</w:t>
      </w:r>
    </w:p>
    <w:p>
      <w:pPr>
        <w:pStyle w:val="7"/>
        <w:pBdr>
          <w:top w:val="none" w:color="000000" w:sz="0" w:space="0"/>
          <w:left w:val="none" w:color="000000" w:sz="0" w:space="0"/>
          <w:bottom w:val="none" w:color="000000" w:sz="0" w:space="0"/>
          <w:right w:val="none" w:color="000000" w:sz="0" w:space="0"/>
        </w:pBdr>
        <w:shd w:val="clea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27、无效投标条款和废标条款</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27.1无效投标条款</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27.1.1 投标人在“苏采云”系统规定的时间内未成功解密电子投标文件的。</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27.1.2 投标人未按照招标文件要求上传电子投标文件的。</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27.1.3同一投标人提交两个（含两个）以上不同的投标报价的。</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27.1.4投标人不具备招标文件中规定资格要求的。</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27.1.5投标人的报价超过了采购预算或最高限价的。</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27.1.6未通过符合性审查的。</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27.1.7不符合招标文件中规定的实质性要求和条件的（</w:t>
      </w:r>
      <w:r>
        <w:rPr>
          <w:rFonts w:hint="eastAsia" w:ascii="宋体" w:hAnsi="宋体" w:eastAsia="宋体" w:cs="宋体"/>
          <w:i/>
          <w:color w:val="auto"/>
          <w:sz w:val="24"/>
          <w:highlight w:val="none"/>
          <w:u w:val="single"/>
        </w:rPr>
        <w:t>加斜体下划线内容或打“★”内容为实质性要求和条件）。</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27.1.9 投标文件含有采购人不能接受的附加条件的。</w:t>
      </w:r>
    </w:p>
    <w:p>
      <w:pPr>
        <w:pBdr>
          <w:top w:val="none" w:color="000000" w:sz="0" w:space="0"/>
          <w:left w:val="none" w:color="000000" w:sz="0" w:space="0"/>
          <w:bottom w:val="none" w:color="000000" w:sz="0" w:space="0"/>
          <w:right w:val="none" w:color="000000" w:sz="0" w:space="0"/>
        </w:pBdr>
        <w:shd w:val="clear"/>
        <w:spacing w:line="559" w:lineRule="atLeast"/>
        <w:ind w:firstLine="420"/>
        <w:rPr>
          <w:rFonts w:hint="eastAsia" w:ascii="宋体" w:hAnsi="宋体" w:eastAsia="宋体" w:cs="宋体"/>
          <w:color w:val="auto"/>
          <w:highlight w:val="none"/>
        </w:rPr>
      </w:pPr>
      <w:r>
        <w:rPr>
          <w:rFonts w:hint="eastAsia" w:ascii="宋体" w:hAnsi="宋体" w:eastAsia="宋体" w:cs="宋体"/>
          <w:color w:val="auto"/>
          <w:sz w:val="24"/>
          <w:highlight w:val="none"/>
        </w:rPr>
        <w:t>27.1.10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p>
    <w:p>
      <w:pPr>
        <w:pBdr>
          <w:top w:val="none" w:color="000000" w:sz="0" w:space="0"/>
          <w:left w:val="none" w:color="000000" w:sz="0" w:space="0"/>
          <w:bottom w:val="none" w:color="000000" w:sz="0" w:space="0"/>
          <w:right w:val="none" w:color="000000" w:sz="0" w:space="0"/>
        </w:pBdr>
        <w:shd w:val="clear"/>
        <w:spacing w:line="559" w:lineRule="atLeast"/>
        <w:ind w:firstLine="420"/>
        <w:rPr>
          <w:rFonts w:hint="eastAsia" w:ascii="宋体" w:hAnsi="宋体" w:eastAsia="宋体" w:cs="宋体"/>
          <w:color w:val="auto"/>
          <w:highlight w:val="none"/>
        </w:rPr>
      </w:pPr>
      <w:r>
        <w:rPr>
          <w:rFonts w:hint="eastAsia" w:ascii="宋体" w:hAnsi="宋体" w:eastAsia="宋体" w:cs="宋体"/>
          <w:color w:val="auto"/>
          <w:sz w:val="24"/>
          <w:highlight w:val="none"/>
        </w:rPr>
        <w:t>27.1.11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27.1.12 投标文件未按照招标文件要求加盖CA电子公章的。</w:t>
      </w:r>
    </w:p>
    <w:p>
      <w:pPr>
        <w:pBdr>
          <w:top w:val="none" w:color="000000" w:sz="0" w:space="0"/>
          <w:left w:val="none" w:color="000000" w:sz="0" w:space="0"/>
          <w:bottom w:val="none" w:color="000000" w:sz="0" w:space="0"/>
          <w:right w:val="none" w:color="000000" w:sz="0" w:space="0"/>
        </w:pBdr>
        <w:shd w:val="clear"/>
        <w:spacing w:line="559" w:lineRule="atLeast"/>
        <w:ind w:firstLine="42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27.1.13其他法律、法规及本招标文件规定的属无效投标的</w:t>
      </w:r>
      <w:r>
        <w:rPr>
          <w:rFonts w:hint="eastAsia" w:ascii="宋体" w:hAnsi="宋体" w:eastAsia="宋体" w:cs="宋体"/>
          <w:color w:val="auto"/>
          <w:sz w:val="24"/>
          <w:highlight w:val="none"/>
          <w:lang w:eastAsia="zh-CN"/>
        </w:rPr>
        <w:t>。</w:t>
      </w:r>
    </w:p>
    <w:p>
      <w:pPr>
        <w:pBdr>
          <w:top w:val="none" w:color="000000" w:sz="0" w:space="0"/>
          <w:left w:val="none" w:color="000000" w:sz="0" w:space="0"/>
          <w:bottom w:val="none" w:color="000000" w:sz="0" w:space="0"/>
          <w:right w:val="none" w:color="000000" w:sz="0" w:space="0"/>
        </w:pBdr>
        <w:shd w:val="clear"/>
        <w:spacing w:line="559" w:lineRule="atLeast"/>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27.2废标条款</w:t>
      </w:r>
    </w:p>
    <w:p>
      <w:pPr>
        <w:pBdr>
          <w:top w:val="none" w:color="000000" w:sz="0" w:space="0"/>
          <w:left w:val="none" w:color="000000" w:sz="0" w:space="0"/>
          <w:bottom w:val="none" w:color="000000" w:sz="0" w:space="0"/>
          <w:right w:val="none" w:color="000000" w:sz="0" w:space="0"/>
        </w:pBdr>
        <w:shd w:val="clear"/>
        <w:spacing w:line="559" w:lineRule="atLeast"/>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27.2.1符合专业条件的投标人或者对招标文件作实质响应的投标人不足三家的。</w:t>
      </w:r>
    </w:p>
    <w:p>
      <w:pPr>
        <w:pBdr>
          <w:top w:val="none" w:color="000000" w:sz="0" w:space="0"/>
          <w:left w:val="none" w:color="000000" w:sz="0" w:space="0"/>
          <w:bottom w:val="none" w:color="000000" w:sz="0" w:space="0"/>
          <w:right w:val="none" w:color="000000" w:sz="0" w:space="0"/>
        </w:pBdr>
        <w:shd w:val="clear"/>
        <w:spacing w:line="559" w:lineRule="atLeast"/>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27.2.2出现影响采购公正的违法、违规行为的。</w:t>
      </w:r>
    </w:p>
    <w:p>
      <w:pPr>
        <w:pBdr>
          <w:top w:val="none" w:color="000000" w:sz="0" w:space="0"/>
          <w:left w:val="none" w:color="000000" w:sz="0" w:space="0"/>
          <w:bottom w:val="none" w:color="000000" w:sz="0" w:space="0"/>
          <w:right w:val="none" w:color="000000" w:sz="0" w:space="0"/>
        </w:pBdr>
        <w:shd w:val="clear"/>
        <w:spacing w:line="559" w:lineRule="atLeast"/>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27.2.3因重大变故，采购任务取消的。</w:t>
      </w:r>
    </w:p>
    <w:p>
      <w:pPr>
        <w:pBdr>
          <w:top w:val="none" w:color="000000" w:sz="0" w:space="0"/>
          <w:left w:val="none" w:color="000000" w:sz="0" w:space="0"/>
          <w:bottom w:val="none" w:color="000000" w:sz="0" w:space="0"/>
          <w:right w:val="none" w:color="000000" w:sz="0" w:space="0"/>
        </w:pBdr>
        <w:shd w:val="clear"/>
        <w:spacing w:line="559" w:lineRule="atLeast"/>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27.2.4评委会认定招标文件存在歧义、重大缺陷导致评审工作无法进行。</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27.2.5 因“苏采云”系统系统故障原因造成开标不成功的。</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27.3 投标截止时间结束后参加投标的投标人不足三家的处理：</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27.3.1如出现投标截止时间结束后参加投标的投标人或者在评标期间对招标文件做出实质响应的投标人不足三家情况，按政府采购相关规定执行。</w:t>
      </w:r>
    </w:p>
    <w:p>
      <w:pPr>
        <w:pStyle w:val="6"/>
        <w:pBdr>
          <w:top w:val="none" w:color="000000" w:sz="0" w:space="0"/>
          <w:left w:val="none" w:color="000000" w:sz="0" w:space="0"/>
          <w:bottom w:val="none" w:color="000000" w:sz="0" w:space="0"/>
          <w:right w:val="none" w:color="000000" w:sz="0" w:space="0"/>
        </w:pBdr>
        <w:shd w:val="clear"/>
        <w:spacing w:before="0" w:after="0" w:line="559" w:lineRule="atLeast"/>
        <w:ind w:firstLine="482"/>
        <w:rPr>
          <w:rFonts w:hint="eastAsia" w:ascii="宋体" w:hAnsi="宋体" w:eastAsia="宋体" w:cs="宋体"/>
          <w:color w:val="auto"/>
          <w:highlight w:val="none"/>
        </w:rPr>
      </w:pPr>
      <w:r>
        <w:rPr>
          <w:rFonts w:hint="eastAsia" w:ascii="宋体" w:hAnsi="宋体" w:eastAsia="宋体" w:cs="宋体"/>
          <w:b/>
          <w:color w:val="auto"/>
          <w:sz w:val="32"/>
          <w:highlight w:val="none"/>
        </w:rPr>
        <w:t>六、定标</w:t>
      </w:r>
    </w:p>
    <w:p>
      <w:pPr>
        <w:pStyle w:val="7"/>
        <w:pBdr>
          <w:top w:val="none" w:color="000000" w:sz="0" w:space="0"/>
          <w:left w:val="none" w:color="000000" w:sz="0" w:space="0"/>
          <w:bottom w:val="none" w:color="000000" w:sz="0" w:space="0"/>
          <w:right w:val="none" w:color="000000" w:sz="0" w:space="0"/>
        </w:pBdr>
        <w:shd w:val="clear"/>
        <w:spacing w:before="0" w:after="0" w:line="559" w:lineRule="atLeast"/>
        <w:ind w:firstLine="600"/>
        <w:rPr>
          <w:rFonts w:hint="eastAsia" w:ascii="宋体" w:hAnsi="宋体" w:eastAsia="宋体" w:cs="宋体"/>
          <w:color w:val="auto"/>
          <w:highlight w:val="none"/>
        </w:rPr>
      </w:pPr>
      <w:r>
        <w:rPr>
          <w:rFonts w:hint="eastAsia" w:ascii="宋体" w:hAnsi="宋体" w:eastAsia="宋体" w:cs="宋体"/>
          <w:color w:val="auto"/>
          <w:sz w:val="30"/>
          <w:highlight w:val="none"/>
        </w:rPr>
        <w:t>28、确定中标单位</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28.1中标候选人的选取原则和数量见招标文件第五章规定。 </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28.2 按以下第</w:t>
      </w:r>
      <w:r>
        <w:rPr>
          <w:rFonts w:hint="eastAsia" w:ascii="宋体" w:hAnsi="宋体" w:eastAsia="宋体" w:cs="宋体"/>
          <w:color w:val="auto"/>
          <w:sz w:val="24"/>
          <w:highlight w:val="none"/>
          <w:u w:val="single"/>
        </w:rPr>
        <w:t>（2 ）</w:t>
      </w:r>
      <w:r>
        <w:rPr>
          <w:rFonts w:hint="eastAsia" w:ascii="宋体" w:hAnsi="宋体" w:eastAsia="宋体" w:cs="宋体"/>
          <w:color w:val="auto"/>
          <w:sz w:val="24"/>
          <w:highlight w:val="none"/>
        </w:rPr>
        <w:t>种方式确定中标人</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（1）评委会直接确定排名第一的中标候选人为中标人；</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（2）采购人在评委会推荐的中标候选人中按顺序确定中标人。</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按第2种方式确定中标人的，采购代理机构自评审结束之日起两个工作日内将评审报告送交采购人，采购人自收到评审报告之日起五个工作日内在评审报告推荐的中标候选人中按顺序确定中标人。</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28.3 采购代理机构将在“宿迁市政府采购网”发布中标公告，公告期限为1个工作日。</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28.4 若有充分证据证明，中标人出现下列情况之一的，一经查实，将被取消中标资格：</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28.4.1提供虚假材料谋取中标的。</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28.4.2向采购人、采购代理机构行贿或者提供其他不正当利益的。</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28.4.3属于本文件规定的无效条件，但在评标过程中又未被评委会发现的。</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28.4.4与采购人或者其他投标人恶意串通的。</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28.4.5采取不正当手段诋毁、排挤其他投标人的。</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28.5 有下列情形之一的，视为投标人串通投标，投标无效：</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28.5.1不同投标人的投标文件由同一单位或者个人编制。</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28.5.2不同投标人委托同一单位或者个人办理投标事宜。</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28.5.3 不同投标人的投标文件载明的项目管理成员或者联系人员为同一人。</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28.5.4不同投标人的投标文件异常一致或者投标报价呈规律性差异。</w:t>
      </w:r>
    </w:p>
    <w:p>
      <w:pPr>
        <w:pStyle w:val="7"/>
        <w:pBdr>
          <w:top w:val="none" w:color="000000" w:sz="0" w:space="0"/>
          <w:left w:val="none" w:color="000000" w:sz="0" w:space="0"/>
          <w:bottom w:val="none" w:color="000000" w:sz="0" w:space="0"/>
          <w:right w:val="none" w:color="000000" w:sz="0" w:space="0"/>
        </w:pBdr>
        <w:shd w:val="clear"/>
        <w:spacing w:before="0" w:after="0" w:line="559" w:lineRule="atLeast"/>
        <w:ind w:firstLine="600"/>
        <w:rPr>
          <w:rFonts w:hint="eastAsia" w:ascii="宋体" w:hAnsi="宋体" w:eastAsia="宋体" w:cs="宋体"/>
          <w:color w:val="auto"/>
          <w:highlight w:val="none"/>
        </w:rPr>
      </w:pPr>
      <w:r>
        <w:rPr>
          <w:rFonts w:hint="eastAsia" w:ascii="宋体" w:hAnsi="宋体" w:eastAsia="宋体" w:cs="宋体"/>
          <w:color w:val="auto"/>
          <w:sz w:val="30"/>
          <w:highlight w:val="none"/>
        </w:rPr>
        <w:t>29、质疑处理</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29.1 提出质疑的投标人应当是参与所质疑项目采购活动的投标人。潜在投标人依法获取其可质疑的采购文件的，可以对采购文件提出质疑。</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29.2.1对可以质疑的采购文件提出质疑的，为收到采购文件之日或者采购文件公告期限届满之日；</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29.2.2对采购过程提出质疑的，为各采购程序环节结束之日；</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29.2.3对中标或者成交结果提出质疑的，为中标或者成交结果公告期限届满之日。</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投标人应当在法定质疑期内一次性提出针对同一采购程序环节的质疑。投标人如在法定期限内对同一采购程序环节提出多次质疑的，采购代理机构、采购人将只对投标人第一次质疑作出答复。</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29.3质疑函必须按照本招标文件中《质疑函范本》要求的格式和内容进行填写。投标人如组成联合体参加投标，则《质疑函范本》中要求签字、盖章、加盖公章之处，联合体各方均须按要求签字、盖章、加盖公章。</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29.4 投标人应以书面形式向采购人或者其委托的采购代理机构提出质疑。质疑超出采购机构代理范围的，投标人应当向采购人提出。</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接收质疑函的方式：现场接收或邮寄接收。</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联系部门：泗洪县农业农村局/ 江苏襄盛工程咨询有限公司</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联系电话：15261287892/19825846139</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通讯地址：</w:t>
      </w:r>
      <w:r>
        <w:rPr>
          <w:rFonts w:hint="eastAsia" w:ascii="宋体" w:hAnsi="宋体" w:cs="宋体"/>
          <w:color w:val="auto"/>
          <w:sz w:val="24"/>
          <w:highlight w:val="none"/>
          <w:lang w:eastAsia="zh-CN"/>
        </w:rPr>
        <w:t>泗洪县人民北路10号</w:t>
      </w:r>
      <w:r>
        <w:rPr>
          <w:rFonts w:hint="eastAsia" w:ascii="宋体" w:hAnsi="宋体" w:eastAsia="宋体" w:cs="宋体"/>
          <w:color w:val="auto"/>
          <w:sz w:val="24"/>
          <w:highlight w:val="none"/>
        </w:rPr>
        <w:t>/泗洪县洪泽湖大街中央公馆63-202室</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29.5 以下情形的质疑不予受理</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29.5.1 内容不符合《政府采购质疑和投诉办法》第十二条规定的质疑。</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29.5.2 超出政府采购法定期限的质疑。</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29.5.3 以传真、电子邮件等方式递交的非原件形式的质疑。</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29.5.4 未参加投标活动的投标人或在投标活动中自身权益未受到损害的投标人所提出的质疑。</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29.5.5投标人组成联合体参加投标，联合体中任何一方或多方未按要求签字、盖章、加盖公章的质疑。</w:t>
      </w:r>
    </w:p>
    <w:p>
      <w:pPr>
        <w:pBdr>
          <w:top w:val="none" w:color="000000" w:sz="0" w:space="0"/>
          <w:left w:val="none" w:color="000000" w:sz="0" w:space="0"/>
          <w:bottom w:val="none" w:color="000000" w:sz="0" w:space="0"/>
          <w:right w:val="none" w:color="000000" w:sz="0" w:space="0"/>
        </w:pBdr>
        <w:shd w:val="clear"/>
        <w:spacing w:line="559" w:lineRule="atLeast"/>
        <w:ind w:firstLine="468"/>
        <w:rPr>
          <w:rFonts w:hint="eastAsia" w:ascii="宋体" w:hAnsi="宋体" w:eastAsia="宋体" w:cs="宋体"/>
          <w:color w:val="auto"/>
          <w:highlight w:val="none"/>
        </w:rPr>
      </w:pPr>
      <w:r>
        <w:rPr>
          <w:rFonts w:hint="eastAsia" w:ascii="宋体" w:hAnsi="宋体" w:eastAsia="宋体" w:cs="宋体"/>
          <w:color w:val="auto"/>
          <w:sz w:val="24"/>
          <w:highlight w:val="none"/>
        </w:rPr>
        <w:t>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p>
    <w:p>
      <w:pPr>
        <w:pBdr>
          <w:top w:val="none" w:color="000000" w:sz="0" w:space="0"/>
          <w:left w:val="none" w:color="000000" w:sz="0" w:space="0"/>
          <w:bottom w:val="none" w:color="000000" w:sz="0" w:space="0"/>
          <w:right w:val="none" w:color="000000" w:sz="0" w:space="0"/>
        </w:pBdr>
        <w:shd w:val="clear"/>
        <w:spacing w:line="559" w:lineRule="atLeast"/>
        <w:ind w:firstLine="468"/>
        <w:rPr>
          <w:rFonts w:hint="eastAsia" w:ascii="宋体" w:hAnsi="宋体" w:eastAsia="宋体" w:cs="宋体"/>
          <w:color w:val="auto"/>
          <w:highlight w:val="none"/>
        </w:rPr>
      </w:pPr>
      <w:r>
        <w:rPr>
          <w:rFonts w:hint="eastAsia" w:ascii="宋体" w:hAnsi="宋体" w:eastAsia="宋体" w:cs="宋体"/>
          <w:color w:val="auto"/>
          <w:sz w:val="24"/>
          <w:highlight w:val="none"/>
        </w:rPr>
        <w:t>29.7  质疑供应商对采购人、采购代理机构的答复不满意，或者采购人、采购代理机构未在规定时间内作出答复的，可以在答复期满后15个工作日内向同级财政部门提起投诉。</w:t>
      </w:r>
    </w:p>
    <w:p>
      <w:pPr>
        <w:pStyle w:val="7"/>
        <w:pBdr>
          <w:top w:val="none" w:color="000000" w:sz="0" w:space="0"/>
          <w:left w:val="none" w:color="000000" w:sz="0" w:space="0"/>
          <w:bottom w:val="none" w:color="000000" w:sz="0" w:space="0"/>
          <w:right w:val="none" w:color="000000" w:sz="0" w:space="0"/>
        </w:pBdr>
        <w:shd w:val="clear"/>
        <w:spacing w:before="0" w:after="0" w:line="559" w:lineRule="atLeast"/>
        <w:ind w:firstLine="600"/>
        <w:rPr>
          <w:rFonts w:hint="eastAsia" w:ascii="宋体" w:hAnsi="宋体" w:eastAsia="宋体" w:cs="宋体"/>
          <w:color w:val="auto"/>
          <w:highlight w:val="none"/>
        </w:rPr>
      </w:pPr>
      <w:r>
        <w:rPr>
          <w:rFonts w:hint="eastAsia" w:ascii="宋体" w:hAnsi="宋体" w:eastAsia="宋体" w:cs="宋体"/>
          <w:color w:val="auto"/>
          <w:sz w:val="30"/>
          <w:highlight w:val="none"/>
        </w:rPr>
        <w:t>30、中标通知书</w:t>
      </w:r>
    </w:p>
    <w:p>
      <w:pPr>
        <w:pBdr>
          <w:top w:val="none" w:color="000000" w:sz="0" w:space="0"/>
          <w:left w:val="none" w:color="000000" w:sz="0" w:space="0"/>
          <w:bottom w:val="none" w:color="000000" w:sz="0" w:space="0"/>
          <w:right w:val="none" w:color="000000" w:sz="0" w:space="0"/>
        </w:pBdr>
        <w:shd w:val="clear"/>
        <w:spacing w:line="559" w:lineRule="atLeast"/>
        <w:ind w:firstLine="600"/>
        <w:rPr>
          <w:rFonts w:hint="eastAsia" w:ascii="宋体" w:hAnsi="宋体" w:eastAsia="宋体" w:cs="宋体"/>
          <w:color w:val="auto"/>
          <w:highlight w:val="none"/>
        </w:rPr>
      </w:pPr>
      <w:r>
        <w:rPr>
          <w:rFonts w:hint="eastAsia" w:ascii="宋体" w:hAnsi="宋体" w:eastAsia="宋体" w:cs="宋体"/>
          <w:color w:val="auto"/>
          <w:sz w:val="24"/>
          <w:highlight w:val="none"/>
        </w:rPr>
        <w:t>30.l</w:t>
      </w:r>
      <w:r>
        <w:rPr>
          <w:rFonts w:hint="eastAsia" w:ascii="宋体" w:hAnsi="宋体" w:eastAsia="宋体" w:cs="宋体"/>
          <w:b/>
          <w:color w:val="auto"/>
          <w:sz w:val="24"/>
          <w:highlight w:val="none"/>
        </w:rPr>
        <w:t> </w:t>
      </w:r>
      <w:r>
        <w:rPr>
          <w:rFonts w:hint="eastAsia" w:ascii="宋体" w:hAnsi="宋体" w:eastAsia="宋体" w:cs="宋体"/>
          <w:color w:val="auto"/>
          <w:sz w:val="24"/>
          <w:highlight w:val="none"/>
        </w:rPr>
        <w:t>中标结果确定后，代理机构将向中标人发出中标通知书。请中标人使用CA数字证书登录“苏采云系统”及时下载中标通知书。中标供应商可自行下载打印《中标通知书》，《中标通知书》将作为授予合同资格的唯一合法依据。</w:t>
      </w:r>
    </w:p>
    <w:p>
      <w:pPr>
        <w:pBdr>
          <w:top w:val="none" w:color="000000" w:sz="0" w:space="0"/>
          <w:left w:val="none" w:color="000000" w:sz="0" w:space="0"/>
          <w:bottom w:val="none" w:color="000000" w:sz="0" w:space="0"/>
          <w:right w:val="none" w:color="000000" w:sz="0" w:space="0"/>
        </w:pBdr>
        <w:shd w:val="clear"/>
        <w:spacing w:line="559" w:lineRule="atLeast"/>
        <w:ind w:firstLine="600"/>
        <w:rPr>
          <w:rFonts w:hint="eastAsia" w:ascii="宋体" w:hAnsi="宋体" w:eastAsia="宋体" w:cs="宋体"/>
          <w:color w:val="auto"/>
          <w:highlight w:val="none"/>
        </w:rPr>
      </w:pPr>
      <w:r>
        <w:rPr>
          <w:rFonts w:hint="eastAsia" w:ascii="宋体" w:hAnsi="宋体" w:eastAsia="宋体" w:cs="宋体"/>
          <w:color w:val="auto"/>
          <w:sz w:val="24"/>
          <w:highlight w:val="none"/>
        </w:rPr>
        <w:t>30.2中标通知书将是合同的一个组成部分。对采购人和中标人均具有法律效力。中标通知书发出后，采购人改变中标结果的，或者中标人放弃中标项目的，应当依法承担法律责任。</w:t>
      </w:r>
    </w:p>
    <w:p>
      <w:pPr>
        <w:pStyle w:val="6"/>
        <w:pBdr>
          <w:top w:val="none" w:color="000000" w:sz="0" w:space="0"/>
          <w:left w:val="none" w:color="000000" w:sz="0" w:space="0"/>
          <w:bottom w:val="none" w:color="000000" w:sz="0" w:space="0"/>
          <w:right w:val="none" w:color="000000" w:sz="0" w:space="0"/>
        </w:pBdr>
        <w:shd w:val="clear"/>
        <w:spacing w:before="0" w:after="0" w:line="559" w:lineRule="atLeast"/>
        <w:rPr>
          <w:rFonts w:hint="eastAsia" w:ascii="宋体" w:hAnsi="宋体" w:eastAsia="宋体" w:cs="宋体"/>
          <w:color w:val="auto"/>
          <w:highlight w:val="none"/>
        </w:rPr>
      </w:pPr>
      <w:r>
        <w:rPr>
          <w:rFonts w:hint="eastAsia" w:ascii="宋体" w:hAnsi="宋体" w:eastAsia="宋体" w:cs="宋体"/>
          <w:b/>
          <w:color w:val="auto"/>
          <w:sz w:val="32"/>
          <w:highlight w:val="none"/>
        </w:rPr>
        <w:t>七、授予合同</w:t>
      </w:r>
    </w:p>
    <w:p>
      <w:pPr>
        <w:pStyle w:val="7"/>
        <w:pBdr>
          <w:top w:val="none" w:color="000000" w:sz="0" w:space="0"/>
          <w:left w:val="none" w:color="000000" w:sz="0" w:space="0"/>
          <w:bottom w:val="none" w:color="000000" w:sz="0" w:space="0"/>
          <w:right w:val="none" w:color="000000" w:sz="0" w:space="0"/>
        </w:pBdr>
        <w:shd w:val="clear"/>
        <w:spacing w:before="0" w:after="0" w:line="559" w:lineRule="atLeast"/>
        <w:ind w:firstLine="600"/>
        <w:rPr>
          <w:rFonts w:hint="eastAsia" w:ascii="宋体" w:hAnsi="宋体" w:eastAsia="宋体" w:cs="宋体"/>
          <w:color w:val="auto"/>
          <w:highlight w:val="none"/>
        </w:rPr>
      </w:pPr>
      <w:r>
        <w:rPr>
          <w:rFonts w:hint="eastAsia" w:ascii="宋体" w:hAnsi="宋体" w:eastAsia="宋体" w:cs="宋体"/>
          <w:color w:val="auto"/>
          <w:sz w:val="30"/>
          <w:highlight w:val="none"/>
        </w:rPr>
        <w:t>31. 签订合同</w:t>
      </w:r>
    </w:p>
    <w:p>
      <w:pPr>
        <w:pBdr>
          <w:top w:val="none" w:color="000000" w:sz="0" w:space="0"/>
          <w:left w:val="none" w:color="000000" w:sz="0" w:space="0"/>
          <w:bottom w:val="none" w:color="000000" w:sz="0" w:space="0"/>
          <w:right w:val="none" w:color="000000" w:sz="0" w:space="0"/>
        </w:pBdr>
        <w:shd w:val="clear"/>
        <w:spacing w:line="559" w:lineRule="atLeast"/>
        <w:ind w:firstLine="600"/>
        <w:rPr>
          <w:rFonts w:hint="eastAsia" w:ascii="宋体" w:hAnsi="宋体" w:eastAsia="宋体" w:cs="宋体"/>
          <w:color w:val="auto"/>
          <w:highlight w:val="none"/>
          <w:lang w:eastAsia="zh-CN"/>
        </w:rPr>
      </w:pPr>
      <w:r>
        <w:rPr>
          <w:rFonts w:hint="eastAsia" w:ascii="宋体" w:hAnsi="宋体" w:eastAsia="宋体" w:cs="宋体"/>
          <w:color w:val="auto"/>
          <w:sz w:val="24"/>
          <w:highlight w:val="none"/>
        </w:rPr>
        <w:t>31.l中标人应当在中标通知书发出之日起15日内，按照招标文件确定的事项与采购人签订政府采购合同。并在签订之日起2个工作日内将政府采购合同在指定的媒体上公告，但政府采购合同中涉及国家秘密、商业秘密的内容除外</w:t>
      </w:r>
      <w:r>
        <w:rPr>
          <w:rFonts w:hint="eastAsia" w:ascii="宋体" w:hAnsi="宋体" w:eastAsia="宋体" w:cs="宋体"/>
          <w:color w:val="auto"/>
          <w:sz w:val="24"/>
          <w:highlight w:val="none"/>
          <w:lang w:eastAsia="zh-CN"/>
        </w:rPr>
        <w:t>。</w:t>
      </w:r>
    </w:p>
    <w:p>
      <w:pPr>
        <w:pBdr>
          <w:top w:val="none" w:color="000000" w:sz="0" w:space="0"/>
          <w:left w:val="none" w:color="000000" w:sz="0" w:space="0"/>
          <w:bottom w:val="none" w:color="000000" w:sz="0" w:space="0"/>
          <w:right w:val="none" w:color="000000" w:sz="0" w:space="0"/>
        </w:pBdr>
        <w:shd w:val="clear"/>
        <w:spacing w:line="559" w:lineRule="atLeast"/>
        <w:ind w:firstLine="600"/>
        <w:rPr>
          <w:rFonts w:hint="eastAsia" w:ascii="宋体" w:hAnsi="宋体" w:eastAsia="宋体" w:cs="宋体"/>
          <w:color w:val="auto"/>
          <w:highlight w:val="none"/>
        </w:rPr>
      </w:pPr>
      <w:r>
        <w:rPr>
          <w:rFonts w:hint="eastAsia" w:ascii="宋体" w:hAnsi="宋体" w:eastAsia="宋体" w:cs="宋体"/>
          <w:color w:val="auto"/>
          <w:sz w:val="24"/>
          <w:highlight w:val="none"/>
        </w:rPr>
        <w:t>31.2</w:t>
      </w:r>
      <w:r>
        <w:rPr>
          <w:rFonts w:hint="eastAsia" w:ascii="宋体" w:hAnsi="宋体" w:eastAsia="宋体" w:cs="宋体"/>
          <w:b/>
          <w:color w:val="auto"/>
          <w:sz w:val="24"/>
          <w:highlight w:val="none"/>
        </w:rPr>
        <w:t> </w:t>
      </w:r>
      <w:r>
        <w:rPr>
          <w:rFonts w:hint="eastAsia" w:ascii="宋体" w:hAnsi="宋体" w:eastAsia="宋体" w:cs="宋体"/>
          <w:color w:val="auto"/>
          <w:sz w:val="24"/>
          <w:highlight w:val="none"/>
        </w:rPr>
        <w:t>招标文件、中标人的投标文件及招标过程中有关澄清、承诺文件均应作为合同附件。</w:t>
      </w:r>
    </w:p>
    <w:p>
      <w:pPr>
        <w:pBdr>
          <w:top w:val="none" w:color="000000" w:sz="0" w:space="0"/>
          <w:left w:val="none" w:color="000000" w:sz="0" w:space="0"/>
          <w:bottom w:val="none" w:color="000000" w:sz="0" w:space="0"/>
          <w:right w:val="none" w:color="000000" w:sz="0" w:space="0"/>
        </w:pBdr>
        <w:shd w:val="clear"/>
        <w:spacing w:line="559" w:lineRule="atLeast"/>
        <w:ind w:firstLine="600"/>
        <w:rPr>
          <w:rFonts w:hint="eastAsia" w:ascii="宋体" w:hAnsi="宋体" w:eastAsia="宋体" w:cs="宋体"/>
          <w:color w:val="auto"/>
          <w:highlight w:val="none"/>
        </w:rPr>
      </w:pPr>
      <w:r>
        <w:rPr>
          <w:rFonts w:hint="eastAsia" w:ascii="宋体" w:hAnsi="宋体" w:eastAsia="宋体" w:cs="宋体"/>
          <w:color w:val="auto"/>
          <w:sz w:val="24"/>
          <w:highlight w:val="none"/>
        </w:rPr>
        <w:t>31.4本项目的非主体、非关键性工作是否允许分包按以下第</w:t>
      </w:r>
      <w:r>
        <w:rPr>
          <w:rFonts w:hint="eastAsia" w:ascii="宋体" w:hAnsi="宋体" w:eastAsia="宋体" w:cs="宋体"/>
          <w:color w:val="auto"/>
          <w:sz w:val="24"/>
          <w:highlight w:val="none"/>
          <w:u w:val="single"/>
        </w:rPr>
        <w:t> 2 </w:t>
      </w:r>
      <w:r>
        <w:rPr>
          <w:rFonts w:hint="eastAsia" w:ascii="宋体" w:hAnsi="宋体" w:eastAsia="宋体" w:cs="宋体"/>
          <w:color w:val="auto"/>
          <w:sz w:val="24"/>
          <w:highlight w:val="none"/>
        </w:rPr>
        <w:t>种方式确定：</w:t>
      </w:r>
    </w:p>
    <w:p>
      <w:pPr>
        <w:pBdr>
          <w:top w:val="none" w:color="000000" w:sz="0" w:space="0"/>
          <w:left w:val="none" w:color="000000" w:sz="0" w:space="0"/>
          <w:bottom w:val="none" w:color="000000" w:sz="0" w:space="0"/>
          <w:right w:val="none" w:color="000000" w:sz="0" w:space="0"/>
        </w:pBdr>
        <w:shd w:val="clear"/>
        <w:spacing w:line="559" w:lineRule="atLeast"/>
        <w:ind w:firstLine="720"/>
        <w:rPr>
          <w:rFonts w:hint="eastAsia" w:ascii="宋体" w:hAnsi="宋体" w:eastAsia="宋体" w:cs="宋体"/>
          <w:color w:val="auto"/>
          <w:highlight w:val="none"/>
        </w:rPr>
      </w:pPr>
      <w:r>
        <w:rPr>
          <w:rFonts w:hint="eastAsia" w:ascii="宋体" w:hAnsi="宋体" w:eastAsia="宋体" w:cs="宋体"/>
          <w:color w:val="auto"/>
          <w:sz w:val="24"/>
          <w:highlight w:val="none"/>
        </w:rPr>
        <w:t>1.允许分包，允许大中型企业向一家或者多家小微企业分包，分包具体内容、金额或比例：</w:t>
      </w:r>
      <w:r>
        <w:rPr>
          <w:rFonts w:hint="eastAsia" w:ascii="宋体" w:hAnsi="宋体" w:eastAsia="宋体" w:cs="宋体"/>
          <w:color w:val="auto"/>
          <w:sz w:val="24"/>
          <w:highlight w:val="none"/>
          <w:u w:val="single"/>
        </w:rPr>
        <w:t> / </w:t>
      </w:r>
      <w:r>
        <w:rPr>
          <w:rFonts w:hint="eastAsia" w:ascii="宋体" w:hAnsi="宋体" w:eastAsia="宋体" w:cs="宋体"/>
          <w:color w:val="auto"/>
          <w:sz w:val="24"/>
          <w:highlight w:val="none"/>
        </w:rPr>
        <w:t>；</w:t>
      </w:r>
    </w:p>
    <w:p>
      <w:pPr>
        <w:pBdr>
          <w:top w:val="none" w:color="000000" w:sz="0" w:space="0"/>
          <w:left w:val="none" w:color="000000" w:sz="0" w:space="0"/>
          <w:bottom w:val="none" w:color="000000" w:sz="0" w:space="0"/>
          <w:right w:val="none" w:color="000000" w:sz="0" w:space="0"/>
        </w:pBdr>
        <w:shd w:val="clear"/>
        <w:spacing w:line="559" w:lineRule="atLeast"/>
        <w:ind w:firstLine="600"/>
        <w:rPr>
          <w:rFonts w:hint="eastAsia" w:ascii="宋体" w:hAnsi="宋体" w:eastAsia="宋体" w:cs="宋体"/>
          <w:color w:val="auto"/>
          <w:highlight w:val="none"/>
        </w:rPr>
      </w:pPr>
      <w:r>
        <w:rPr>
          <w:rFonts w:hint="eastAsia" w:ascii="宋体" w:hAnsi="宋体" w:eastAsia="宋体" w:cs="宋体"/>
          <w:color w:val="auto"/>
          <w:sz w:val="24"/>
          <w:highlight w:val="none"/>
        </w:rPr>
        <w:t> 2.不允许分包。未经采购人同意，中标人也不得采用分包形式履行合同,否则采购人有权终止合同。转包或分包造成采购人损失的，中标人应承担相应赔偿责任。</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31.4履约保证金</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按照以下第</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highlight w:val="none"/>
          <w:u w:val="single"/>
          <w:lang w:val="en-US" w:eastAsia="zh-CN"/>
        </w:rPr>
        <w:t xml:space="preserve">2）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方式确定履约保证收取方式。</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(1)不收取履约保证金。</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(2)履约保证金应在采购合同签订前提交，履约保证金的金额：</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按采购合同总价的</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val="en-US" w:eastAsia="zh-CN"/>
        </w:rPr>
        <w:t>5</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%计取。除银行电汇、网上银行、数字人民币外，投标人还可选用银行保函、担保公司的保证担保或保险公司的保证保险、等多种形式向采购人缴纳；</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履约保证金退还的条件：按以下方式实行：</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货物类项目，项目验收合格，出具验收报告及履约保证金收据申请退付；</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履约保证金退还时间：采购单位收到投标人退付申请后5个工作日内退还；</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履约保证金不予退还情形：除不可抗力外，投标人不履行与采购人订立的采购合同的，履约保证金不予退还，给采购人造成的损失超过履约保证金数额的，还应当对超过部分予以赔偿；</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逾期退还履约保证金的违约责任：除应当退还履约保证金外，还应当按中国人民银行同期贷款基准利率上浮 20％后的利率支付超期资金占用费，但因投标人自身原因导致无法及时退还的除外。</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color w:val="auto"/>
          <w:sz w:val="24"/>
          <w:highlight w:val="none"/>
          <w:lang w:val="en-US" w:eastAsia="zh-CN"/>
        </w:rPr>
        <w:t>网址（</w:t>
      </w:r>
      <w:r>
        <w:rPr>
          <w:rFonts w:hint="eastAsia" w:ascii="宋体" w:hAnsi="宋体" w:eastAsia="宋体" w:cs="宋体"/>
          <w:color w:val="auto"/>
          <w:sz w:val="24"/>
          <w:highlight w:val="none"/>
        </w:rPr>
        <w:t>https://jsdzbh.com/webSite/bHIndex</w:t>
      </w:r>
      <w:r>
        <w:rPr>
          <w:rFonts w:hint="eastAsia" w:ascii="宋体" w:hAnsi="宋体" w:eastAsia="宋体" w:cs="宋体"/>
          <w:color w:val="auto"/>
          <w:sz w:val="24"/>
          <w:highlight w:val="none"/>
          <w:lang w:eastAsia="zh-CN"/>
        </w:rPr>
        <w:t>）。</w:t>
      </w:r>
    </w:p>
    <w:p>
      <w:pPr>
        <w:shd w:val="clear"/>
        <w:rPr>
          <w:rFonts w:hint="eastAsia" w:ascii="宋体" w:hAnsi="宋体" w:eastAsia="宋体" w:cs="宋体"/>
          <w:color w:val="auto"/>
          <w:highlight w:val="none"/>
        </w:rPr>
      </w:pP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b/>
          <w:bCs/>
          <w:color w:val="auto"/>
          <w:sz w:val="30"/>
          <w:szCs w:val="26"/>
          <w:highlight w:val="none"/>
        </w:rPr>
      </w:pPr>
      <w:r>
        <w:rPr>
          <w:rFonts w:hint="eastAsia" w:ascii="宋体" w:hAnsi="宋体" w:eastAsia="宋体" w:cs="宋体"/>
          <w:b/>
          <w:bCs/>
          <w:color w:val="auto"/>
          <w:sz w:val="30"/>
          <w:szCs w:val="26"/>
          <w:highlight w:val="none"/>
        </w:rPr>
        <w:t>32、货物（包含与货物相关的服务）的追加</w:t>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p>
      <w:pPr>
        <w:pStyle w:val="7"/>
        <w:pBdr>
          <w:top w:val="none" w:color="000000" w:sz="0" w:space="0"/>
          <w:left w:val="none" w:color="000000" w:sz="0" w:space="0"/>
          <w:bottom w:val="none" w:color="000000" w:sz="0" w:space="0"/>
          <w:right w:val="none" w:color="000000" w:sz="0" w:space="0"/>
        </w:pBdr>
        <w:shd w:val="clear"/>
        <w:spacing w:before="0" w:after="0" w:line="559" w:lineRule="atLeast"/>
        <w:ind w:firstLine="600"/>
        <w:rPr>
          <w:rFonts w:hint="eastAsia" w:ascii="宋体" w:hAnsi="宋体" w:eastAsia="宋体" w:cs="宋体"/>
          <w:color w:val="auto"/>
          <w:highlight w:val="none"/>
        </w:rPr>
      </w:pPr>
      <w:r>
        <w:rPr>
          <w:rFonts w:hint="eastAsia" w:ascii="宋体" w:hAnsi="宋体" w:eastAsia="宋体" w:cs="宋体"/>
          <w:color w:val="auto"/>
          <w:sz w:val="30"/>
          <w:highlight w:val="none"/>
        </w:rPr>
        <w:t>33、政府采购履约资金扶持政策</w:t>
      </w:r>
    </w:p>
    <w:p>
      <w:pPr>
        <w:pBdr>
          <w:top w:val="none" w:color="000000" w:sz="0" w:space="0"/>
          <w:left w:val="none" w:color="000000" w:sz="0" w:space="0"/>
          <w:bottom w:val="none" w:color="000000" w:sz="0" w:space="0"/>
          <w:right w:val="none" w:color="000000" w:sz="0" w:space="0"/>
        </w:pBdr>
        <w:shd w:val="clear"/>
        <w:spacing w:line="559" w:lineRule="atLeast"/>
        <w:ind w:firstLine="420"/>
        <w:rPr>
          <w:rFonts w:hint="eastAsia" w:ascii="宋体" w:hAnsi="宋体" w:eastAsia="宋体" w:cs="宋体"/>
          <w:color w:val="auto"/>
          <w:highlight w:val="none"/>
        </w:rPr>
      </w:pPr>
      <w:r>
        <w:rPr>
          <w:rFonts w:hint="eastAsia" w:ascii="宋体" w:hAnsi="宋体" w:eastAsia="宋体" w:cs="宋体"/>
          <w:color w:val="auto"/>
          <w:sz w:val="24"/>
          <w:highlight w:val="none"/>
        </w:rPr>
        <w:t>33.1依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p>
    <w:p>
      <w:pPr>
        <w:pStyle w:val="7"/>
        <w:pBdr>
          <w:top w:val="none" w:color="000000" w:sz="0" w:space="0"/>
          <w:left w:val="none" w:color="000000" w:sz="0" w:space="0"/>
          <w:bottom w:val="none" w:color="000000" w:sz="0" w:space="0"/>
          <w:right w:val="none" w:color="000000" w:sz="0" w:space="0"/>
        </w:pBdr>
        <w:shd w:val="clear"/>
        <w:spacing w:before="0" w:after="0" w:line="559" w:lineRule="atLeast"/>
        <w:ind w:firstLine="602"/>
        <w:rPr>
          <w:rFonts w:hint="eastAsia" w:ascii="宋体" w:hAnsi="宋体" w:eastAsia="宋体" w:cs="宋体"/>
          <w:color w:val="auto"/>
          <w:highlight w:val="none"/>
        </w:rPr>
      </w:pPr>
      <w:r>
        <w:rPr>
          <w:rFonts w:hint="eastAsia" w:ascii="宋体" w:hAnsi="宋体" w:eastAsia="宋体" w:cs="宋体"/>
          <w:color w:val="auto"/>
          <w:sz w:val="30"/>
          <w:highlight w:val="none"/>
        </w:rPr>
        <w:t>34、验收及付款</w:t>
      </w:r>
    </w:p>
    <w:p>
      <w:pPr>
        <w:pBdr>
          <w:top w:val="none" w:color="000000" w:sz="0" w:space="0"/>
          <w:left w:val="none" w:color="000000" w:sz="0" w:space="0"/>
          <w:bottom w:val="none" w:color="000000" w:sz="0" w:space="0"/>
          <w:right w:val="none" w:color="000000" w:sz="0" w:space="0"/>
        </w:pBdr>
        <w:shd w:val="clear"/>
        <w:spacing w:line="559" w:lineRule="atLeast"/>
        <w:ind w:firstLine="482"/>
        <w:rPr>
          <w:rFonts w:hint="eastAsia" w:ascii="宋体" w:hAnsi="宋体" w:eastAsia="宋体" w:cs="宋体"/>
          <w:color w:val="auto"/>
          <w:highlight w:val="none"/>
        </w:rPr>
      </w:pPr>
      <w:r>
        <w:rPr>
          <w:rFonts w:hint="eastAsia" w:ascii="宋体" w:hAnsi="宋体" w:eastAsia="宋体" w:cs="宋体"/>
          <w:color w:val="auto"/>
          <w:sz w:val="24"/>
          <w:highlight w:val="none"/>
        </w:rPr>
        <w:t>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pPr>
        <w:pBdr>
          <w:top w:val="none" w:color="000000" w:sz="0" w:space="0"/>
          <w:left w:val="none" w:color="000000" w:sz="0" w:space="0"/>
          <w:bottom w:val="none" w:color="000000" w:sz="0" w:space="0"/>
          <w:right w:val="none" w:color="000000" w:sz="0" w:space="0"/>
        </w:pBdr>
        <w:shd w:val="clear"/>
        <w:spacing w:line="559" w:lineRule="atLeast"/>
        <w:ind w:firstLine="482"/>
        <w:rPr>
          <w:rFonts w:hint="eastAsia" w:ascii="宋体" w:hAnsi="宋体" w:eastAsia="宋体" w:cs="宋体"/>
          <w:color w:val="auto"/>
          <w:highlight w:val="none"/>
        </w:rPr>
      </w:pPr>
      <w:r>
        <w:rPr>
          <w:rFonts w:hint="eastAsia" w:ascii="宋体" w:hAnsi="宋体" w:eastAsia="宋体" w:cs="宋体"/>
          <w:color w:val="auto"/>
          <w:sz w:val="24"/>
          <w:highlight w:val="none"/>
        </w:rPr>
        <w:t>34.2采购人可以邀请参加本项目的其他投标人或者第三方机构参与验收。参与验收的投标人或者第三方机构的意见作为验收书的参考资料一并存档。</w:t>
      </w:r>
    </w:p>
    <w:p>
      <w:pPr>
        <w:pBdr>
          <w:top w:val="none" w:color="000000" w:sz="0" w:space="0"/>
          <w:left w:val="none" w:color="000000" w:sz="0" w:space="0"/>
          <w:bottom w:val="none" w:color="000000" w:sz="0" w:space="0"/>
          <w:right w:val="none" w:color="000000" w:sz="0" w:space="0"/>
        </w:pBdr>
        <w:shd w:val="clear"/>
        <w:spacing w:line="559" w:lineRule="atLeast"/>
        <w:ind w:firstLine="482"/>
        <w:rPr>
          <w:rFonts w:hint="eastAsia" w:ascii="宋体" w:hAnsi="宋体" w:eastAsia="宋体" w:cs="宋体"/>
          <w:color w:val="auto"/>
          <w:highlight w:val="none"/>
        </w:rPr>
      </w:pPr>
      <w:r>
        <w:rPr>
          <w:rFonts w:hint="eastAsia" w:ascii="宋体" w:hAnsi="宋体" w:eastAsia="宋体" w:cs="宋体"/>
          <w:color w:val="auto"/>
          <w:sz w:val="24"/>
          <w:highlight w:val="none"/>
        </w:rPr>
        <w:t>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pBdr>
          <w:top w:val="none" w:color="000000" w:sz="0" w:space="0"/>
          <w:left w:val="none" w:color="000000" w:sz="0" w:space="0"/>
          <w:bottom w:val="none" w:color="000000" w:sz="0" w:space="0"/>
          <w:right w:val="none" w:color="000000" w:sz="0" w:space="0"/>
        </w:pBdr>
        <w:shd w:val="clear"/>
        <w:spacing w:line="559" w:lineRule="atLeast"/>
        <w:ind w:firstLine="482"/>
        <w:rPr>
          <w:rFonts w:hint="eastAsia" w:ascii="宋体" w:hAnsi="宋体" w:eastAsia="宋体" w:cs="宋体"/>
          <w:color w:val="auto"/>
          <w:highlight w:val="none"/>
        </w:rPr>
      </w:pPr>
      <w:r>
        <w:rPr>
          <w:rFonts w:hint="eastAsia" w:ascii="宋体" w:hAnsi="宋体" w:eastAsia="宋体" w:cs="宋体"/>
          <w:color w:val="auto"/>
          <w:sz w:val="24"/>
          <w:highlight w:val="none"/>
        </w:rPr>
        <w:t>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pBdr>
          <w:top w:val="none" w:color="000000" w:sz="0" w:space="0"/>
          <w:left w:val="none" w:color="000000" w:sz="0" w:space="0"/>
          <w:bottom w:val="none" w:color="000000" w:sz="0" w:space="0"/>
          <w:right w:val="none" w:color="000000" w:sz="0" w:space="0"/>
        </w:pBdr>
        <w:shd w:val="clear"/>
        <w:spacing w:line="559" w:lineRule="atLeast"/>
        <w:ind w:firstLine="482"/>
        <w:rPr>
          <w:rFonts w:hint="eastAsia" w:ascii="宋体" w:hAnsi="宋体" w:eastAsia="宋体" w:cs="宋体"/>
          <w:color w:val="auto"/>
          <w:highlight w:val="none"/>
        </w:rPr>
      </w:pPr>
      <w:r>
        <w:rPr>
          <w:rFonts w:hint="eastAsia" w:ascii="宋体" w:hAnsi="宋体" w:eastAsia="宋体" w:cs="宋体"/>
          <w:b/>
          <w:color w:val="auto"/>
          <w:sz w:val="24"/>
          <w:highlight w:val="none"/>
        </w:rPr>
        <w:t>35、付款</w:t>
      </w:r>
    </w:p>
    <w:p>
      <w:pPr>
        <w:pBdr>
          <w:top w:val="none" w:color="000000" w:sz="0" w:space="0"/>
          <w:left w:val="none" w:color="000000" w:sz="0" w:space="0"/>
          <w:bottom w:val="none" w:color="000000" w:sz="0" w:space="0"/>
          <w:right w:val="none" w:color="000000" w:sz="0" w:space="0"/>
        </w:pBdr>
        <w:shd w:val="clear"/>
        <w:spacing w:line="559" w:lineRule="atLeast"/>
        <w:ind w:firstLine="482"/>
        <w:rPr>
          <w:rFonts w:hint="eastAsia" w:ascii="宋体" w:hAnsi="宋体" w:eastAsia="宋体" w:cs="宋体"/>
          <w:color w:val="auto"/>
          <w:highlight w:val="none"/>
        </w:rPr>
      </w:pPr>
      <w:r>
        <w:rPr>
          <w:rFonts w:hint="eastAsia" w:ascii="宋体" w:hAnsi="宋体" w:eastAsia="宋体" w:cs="宋体"/>
          <w:color w:val="auto"/>
          <w:sz w:val="24"/>
          <w:highlight w:val="none"/>
        </w:rPr>
        <w:t> 按照以下确定的付款方式，采购人及时办理付款手续。对于满足合同约定支付条件的，自收到发票后10个工作日内将资金支付到合同约定的供应商账户或供应商数字人民币账户。</w:t>
      </w:r>
    </w:p>
    <w:p>
      <w:pPr>
        <w:pBdr>
          <w:top w:val="none" w:color="000000" w:sz="0" w:space="0"/>
          <w:left w:val="none" w:color="000000" w:sz="0" w:space="0"/>
          <w:bottom w:val="none" w:color="000000" w:sz="0" w:space="0"/>
          <w:right w:val="none" w:color="000000" w:sz="0" w:space="0"/>
        </w:pBdr>
        <w:shd w:val="clear"/>
        <w:spacing w:line="559" w:lineRule="atLeast"/>
        <w:ind w:firstLine="482"/>
        <w:rPr>
          <w:rFonts w:hint="eastAsia" w:ascii="宋体" w:hAnsi="宋体" w:eastAsia="宋体" w:cs="宋体"/>
          <w:color w:val="auto"/>
          <w:highlight w:val="none"/>
        </w:rPr>
      </w:pPr>
      <w:r>
        <w:rPr>
          <w:rFonts w:hint="eastAsia" w:ascii="宋体" w:hAnsi="宋体" w:eastAsia="宋体" w:cs="宋体"/>
          <w:color w:val="auto"/>
          <w:sz w:val="24"/>
          <w:highlight w:val="none"/>
        </w:rPr>
        <w:t>预付款：合同金额的</w:t>
      </w:r>
      <w:r>
        <w:rPr>
          <w:rFonts w:hint="eastAsia" w:ascii="宋体" w:hAnsi="宋体" w:eastAsia="宋体" w:cs="宋体"/>
          <w:color w:val="auto"/>
          <w:sz w:val="24"/>
          <w:highlight w:val="none"/>
          <w:u w:val="single"/>
        </w:rPr>
        <w:t xml:space="preserve"> 30% </w:t>
      </w:r>
      <w:r>
        <w:rPr>
          <w:rFonts w:hint="eastAsia" w:ascii="宋体" w:hAnsi="宋体" w:eastAsia="宋体" w:cs="宋体"/>
          <w:color w:val="auto"/>
          <w:sz w:val="24"/>
          <w:highlight w:val="none"/>
        </w:rPr>
        <w:t xml:space="preserve">，合同签订后按规定支付； </w:t>
      </w:r>
    </w:p>
    <w:p>
      <w:pPr>
        <w:pBdr>
          <w:top w:val="none" w:color="000000" w:sz="0" w:space="0"/>
          <w:left w:val="none" w:color="000000" w:sz="0" w:space="0"/>
          <w:bottom w:val="none" w:color="000000" w:sz="0" w:space="0"/>
          <w:right w:val="none" w:color="000000" w:sz="0" w:space="0"/>
        </w:pBdr>
        <w:shd w:val="clear"/>
        <w:spacing w:line="499" w:lineRule="atLeast"/>
        <w:ind w:firstLine="448" w:firstLineChars="204"/>
        <w:rPr>
          <w:rFonts w:hint="eastAsia" w:ascii="宋体" w:hAnsi="宋体" w:eastAsia="宋体" w:cs="宋体"/>
          <w:color w:val="auto"/>
          <w:sz w:val="22"/>
          <w:highlight w:val="none"/>
          <w:u w:val="single"/>
        </w:rPr>
      </w:pPr>
      <w:r>
        <w:rPr>
          <w:rFonts w:hint="eastAsia" w:ascii="宋体" w:hAnsi="宋体" w:eastAsia="宋体" w:cs="宋体"/>
          <w:color w:val="auto"/>
          <w:sz w:val="22"/>
          <w:highlight w:val="none"/>
        </w:rPr>
        <w:t>进度款：</w:t>
      </w:r>
      <w:r>
        <w:rPr>
          <w:rFonts w:hint="eastAsia" w:ascii="宋体" w:hAnsi="宋体" w:eastAsia="宋体" w:cs="宋体"/>
          <w:color w:val="auto"/>
          <w:sz w:val="22"/>
          <w:highlight w:val="none"/>
          <w:u w:val="single"/>
          <w:lang w:eastAsia="zh-CN"/>
        </w:rPr>
        <w:t>初验完成试运行正常，供应商提供项目完整技术文档，采购人3个工作日内组织终验并出具终验报告付至合同总金额100%</w:t>
      </w:r>
      <w:r>
        <w:rPr>
          <w:rFonts w:hint="eastAsia" w:ascii="宋体" w:hAnsi="宋体" w:eastAsia="宋体" w:cs="宋体"/>
          <w:color w:val="auto"/>
          <w:sz w:val="22"/>
          <w:highlight w:val="none"/>
          <w:u w:val="single"/>
        </w:rPr>
        <w:t>。</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u w:val="single"/>
        </w:rPr>
      </w:pPr>
      <w:r>
        <w:rPr>
          <w:rFonts w:hint="eastAsia" w:ascii="宋体" w:hAnsi="宋体" w:eastAsia="宋体" w:cs="宋体"/>
          <w:color w:val="auto"/>
          <w:sz w:val="22"/>
          <w:highlight w:val="none"/>
          <w:u w:val="single"/>
          <w:lang w:val="zh-CN"/>
        </w:rPr>
        <w:t>资金支付的</w:t>
      </w:r>
      <w:r>
        <w:rPr>
          <w:rFonts w:hint="eastAsia" w:ascii="宋体" w:hAnsi="宋体" w:eastAsia="宋体" w:cs="宋体"/>
          <w:color w:val="auto"/>
          <w:sz w:val="22"/>
          <w:highlight w:val="none"/>
          <w:u w:val="single"/>
        </w:rPr>
        <w:t>时间</w:t>
      </w:r>
      <w:r>
        <w:rPr>
          <w:rFonts w:hint="eastAsia" w:ascii="宋体" w:hAnsi="宋体" w:eastAsia="宋体" w:cs="宋体"/>
          <w:color w:val="auto"/>
          <w:sz w:val="22"/>
          <w:highlight w:val="none"/>
          <w:u w:val="single"/>
          <w:lang w:val="zh-CN"/>
        </w:rPr>
        <w:t>：</w:t>
      </w:r>
      <w:r>
        <w:rPr>
          <w:rFonts w:hint="eastAsia" w:ascii="宋体" w:hAnsi="宋体" w:eastAsia="宋体" w:cs="宋体"/>
          <w:color w:val="auto"/>
          <w:sz w:val="22"/>
          <w:highlight w:val="none"/>
          <w:u w:val="single"/>
        </w:rPr>
        <w:t>收到供应商发票10个工作日内。</w:t>
      </w:r>
    </w:p>
    <w:p>
      <w:pPr>
        <w:pBdr>
          <w:top w:val="none" w:color="000000" w:sz="0" w:space="0"/>
          <w:left w:val="none" w:color="000000" w:sz="0" w:space="0"/>
          <w:bottom w:val="none" w:color="000000" w:sz="0" w:space="0"/>
          <w:right w:val="none" w:color="000000" w:sz="0" w:space="0"/>
        </w:pBdr>
        <w:spacing w:line="499" w:lineRule="atLeast"/>
        <w:ind w:firstLine="220" w:firstLineChars="100"/>
        <w:rPr>
          <w:rFonts w:hint="eastAsia" w:ascii="宋体" w:hAnsi="宋体" w:eastAsia="宋体" w:cs="宋体"/>
          <w:color w:val="auto"/>
          <w:sz w:val="22"/>
          <w:highlight w:val="none"/>
        </w:rPr>
      </w:pPr>
      <w:r>
        <w:rPr>
          <w:rFonts w:hint="eastAsia" w:ascii="宋体" w:hAnsi="宋体" w:eastAsia="宋体" w:cs="宋体"/>
          <w:color w:val="auto"/>
          <w:sz w:val="22"/>
          <w:highlight w:val="none"/>
        </w:rPr>
        <w:t>备注:</w:t>
      </w:r>
    </w:p>
    <w:p>
      <w:pPr>
        <w:pBdr>
          <w:top w:val="none" w:color="000000" w:sz="0" w:space="0"/>
          <w:left w:val="none" w:color="000000" w:sz="0" w:space="0"/>
          <w:bottom w:val="none" w:color="000000" w:sz="0" w:space="0"/>
          <w:right w:val="none" w:color="000000" w:sz="0" w:space="0"/>
        </w:pBd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(1)可以采用数字人民币支付。</w:t>
      </w:r>
    </w:p>
    <w:p>
      <w:pPr>
        <w:pBdr>
          <w:top w:val="none" w:color="000000" w:sz="0" w:space="0"/>
          <w:left w:val="none" w:color="000000" w:sz="0" w:space="0"/>
          <w:bottom w:val="none" w:color="000000" w:sz="0" w:space="0"/>
          <w:right w:val="none" w:color="000000" w:sz="0" w:space="0"/>
        </w:pBd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(2)资金支付的时间:收到供应商发票</w:t>
      </w:r>
      <w:r>
        <w:rPr>
          <w:rFonts w:hint="eastAsia" w:ascii="宋体" w:hAnsi="宋体" w:eastAsia="宋体" w:cs="宋体"/>
          <w:color w:val="auto"/>
          <w:sz w:val="22"/>
          <w:highlight w:val="none"/>
          <w:lang w:val="en-US" w:eastAsia="zh-CN"/>
        </w:rPr>
        <w:t>后</w:t>
      </w:r>
      <w:r>
        <w:rPr>
          <w:rFonts w:hint="eastAsia" w:ascii="宋体" w:hAnsi="宋体" w:eastAsia="宋体" w:cs="宋体"/>
          <w:color w:val="auto"/>
          <w:sz w:val="22"/>
          <w:highlight w:val="none"/>
        </w:rPr>
        <w:t>10个工作日内。</w:t>
      </w:r>
    </w:p>
    <w:p>
      <w:pPr>
        <w:pBdr>
          <w:top w:val="none" w:color="000000" w:sz="0" w:space="0"/>
          <w:left w:val="none" w:color="000000" w:sz="0" w:space="0"/>
          <w:bottom w:val="none" w:color="000000" w:sz="0" w:space="0"/>
          <w:right w:val="none" w:color="000000" w:sz="0" w:space="0"/>
        </w:pBd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(3)资金支付的条件:满足相应阶段的要求且收到供应商发票。</w:t>
      </w:r>
    </w:p>
    <w:p>
      <w:pPr>
        <w:pBdr>
          <w:top w:val="none" w:color="000000" w:sz="0" w:space="0"/>
          <w:left w:val="none" w:color="000000" w:sz="0" w:space="0"/>
          <w:bottom w:val="none" w:color="000000" w:sz="0" w:space="0"/>
          <w:right w:val="none" w:color="000000" w:sz="0" w:space="0"/>
        </w:pBd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(4)当采购数量与实际使用数量不一致时，供应商应根据实际使用量供货，合同的最终结算金额按实际使用量乘以成交单价进行计算。</w:t>
      </w:r>
    </w:p>
    <w:p>
      <w:pPr>
        <w:pBdr>
          <w:top w:val="none" w:color="000000" w:sz="0" w:space="0"/>
          <w:left w:val="none" w:color="000000" w:sz="0" w:space="0"/>
          <w:bottom w:val="none" w:color="000000" w:sz="0" w:space="0"/>
          <w:right w:val="none" w:color="000000" w:sz="0" w:space="0"/>
        </w:pBd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(5)在签订合同时，供应商明确表示无需预付款或者主动要求降低预付款比例的，采购人可不适用前述规定。</w:t>
      </w:r>
    </w:p>
    <w:p>
      <w:pPr>
        <w:pStyle w:val="42"/>
        <w:shd w:val="clear"/>
        <w:rPr>
          <w:rFonts w:hint="eastAsia" w:ascii="宋体" w:hAnsi="宋体" w:eastAsia="宋体" w:cs="宋体"/>
          <w:color w:val="auto"/>
          <w:highlight w:val="none"/>
        </w:rPr>
      </w:pPr>
    </w:p>
    <w:p>
      <w:pPr>
        <w:pBdr>
          <w:top w:val="none" w:color="000000" w:sz="0" w:space="0"/>
          <w:left w:val="none" w:color="000000" w:sz="0" w:space="0"/>
          <w:bottom w:val="none" w:color="000000" w:sz="0" w:space="0"/>
          <w:right w:val="none" w:color="000000" w:sz="0" w:space="0"/>
        </w:pBdr>
        <w:shd w:val="clear"/>
        <w:spacing w:line="559" w:lineRule="atLeast"/>
        <w:ind w:firstLine="482"/>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
        <w:shd w:val="clear"/>
        <w:rPr>
          <w:rFonts w:hint="eastAsia" w:ascii="宋体" w:hAnsi="宋体" w:eastAsia="宋体" w:cs="宋体"/>
          <w:b/>
          <w:color w:val="auto"/>
          <w:sz w:val="44"/>
          <w:szCs w:val="28"/>
          <w:highlight w:val="none"/>
        </w:rPr>
      </w:pPr>
      <w:bookmarkStart w:id="0" w:name="_Toc104802328"/>
      <w:bookmarkStart w:id="1" w:name="_Toc118461986"/>
      <w:bookmarkStart w:id="2" w:name="_Toc155086566"/>
      <w:r>
        <w:rPr>
          <w:rFonts w:hint="eastAsia" w:ascii="宋体" w:hAnsi="宋体" w:eastAsia="宋体" w:cs="宋体"/>
          <w:b/>
          <w:color w:val="auto"/>
          <w:sz w:val="44"/>
          <w:szCs w:val="28"/>
          <w:highlight w:val="none"/>
        </w:rPr>
        <w:t>第三章  合同文本</w:t>
      </w:r>
      <w:bookmarkEnd w:id="0"/>
      <w:bookmarkEnd w:id="1"/>
      <w:bookmarkEnd w:id="2"/>
    </w:p>
    <w:p>
      <w:pPr>
        <w:pStyle w:val="2"/>
        <w:shd w:val="clear"/>
        <w:jc w:val="center"/>
        <w:rPr>
          <w:rFonts w:hint="eastAsia" w:ascii="宋体" w:hAnsi="宋体" w:eastAsia="宋体" w:cs="宋体"/>
          <w:b/>
          <w:bCs/>
          <w:color w:val="auto"/>
          <w:spacing w:val="-20"/>
          <w:kern w:val="44"/>
          <w:sz w:val="48"/>
          <w:szCs w:val="48"/>
          <w:highlight w:val="none"/>
        </w:rPr>
      </w:pPr>
    </w:p>
    <w:p>
      <w:pPr>
        <w:pStyle w:val="2"/>
        <w:shd w:val="clear"/>
        <w:jc w:val="center"/>
        <w:rPr>
          <w:rFonts w:hint="eastAsia" w:ascii="宋体" w:hAnsi="宋体" w:eastAsia="宋体" w:cs="宋体"/>
          <w:b/>
          <w:bCs/>
          <w:color w:val="auto"/>
          <w:spacing w:val="-20"/>
          <w:kern w:val="44"/>
          <w:sz w:val="48"/>
          <w:szCs w:val="48"/>
          <w:highlight w:val="none"/>
        </w:rPr>
      </w:pPr>
      <w:r>
        <w:rPr>
          <w:rFonts w:hint="eastAsia" w:ascii="宋体" w:hAnsi="宋体" w:eastAsia="宋体" w:cs="宋体"/>
          <w:b/>
          <w:bCs/>
          <w:color w:val="auto"/>
          <w:spacing w:val="-20"/>
          <w:kern w:val="44"/>
          <w:sz w:val="48"/>
          <w:szCs w:val="48"/>
          <w:highlight w:val="none"/>
        </w:rPr>
        <w:t>政府采购货物买卖合同</w:t>
      </w:r>
    </w:p>
    <w:p>
      <w:pPr>
        <w:shd w:val="clear"/>
        <w:rPr>
          <w:rFonts w:hint="eastAsia" w:ascii="宋体" w:hAnsi="宋体" w:eastAsia="宋体" w:cs="宋体"/>
          <w:b/>
          <w:bCs/>
          <w:color w:val="auto"/>
          <w:spacing w:val="-20"/>
          <w:kern w:val="44"/>
          <w:sz w:val="40"/>
          <w:szCs w:val="40"/>
          <w:highlight w:val="none"/>
        </w:rPr>
      </w:pPr>
      <w:r>
        <w:rPr>
          <w:rFonts w:hint="eastAsia" w:ascii="宋体" w:hAnsi="宋体" w:eastAsia="宋体" w:cs="宋体"/>
          <w:b/>
          <w:bCs/>
          <w:color w:val="auto"/>
          <w:spacing w:val="-20"/>
          <w:kern w:val="44"/>
          <w:sz w:val="40"/>
          <w:szCs w:val="40"/>
          <w:highlight w:val="none"/>
        </w:rPr>
        <w:t xml:space="preserve">    </w:t>
      </w:r>
    </w:p>
    <w:p>
      <w:pPr>
        <w:pStyle w:val="45"/>
        <w:shd w:val="clear"/>
        <w:rPr>
          <w:rFonts w:hint="eastAsia" w:ascii="宋体" w:hAnsi="宋体" w:eastAsia="宋体" w:cs="宋体"/>
          <w:color w:val="auto"/>
          <w:highlight w:val="none"/>
        </w:rPr>
      </w:pPr>
    </w:p>
    <w:p>
      <w:pPr>
        <w:shd w:val="clear"/>
        <w:rPr>
          <w:rFonts w:hint="eastAsia" w:ascii="宋体" w:hAnsi="宋体" w:eastAsia="宋体" w:cs="宋体"/>
          <w:b/>
          <w:bCs/>
          <w:color w:val="auto"/>
          <w:spacing w:val="-20"/>
          <w:kern w:val="44"/>
          <w:sz w:val="40"/>
          <w:szCs w:val="40"/>
          <w:highlight w:val="none"/>
        </w:rPr>
      </w:pPr>
    </w:p>
    <w:p>
      <w:pPr>
        <w:shd w:val="clear"/>
        <w:rPr>
          <w:rFonts w:hint="eastAsia" w:ascii="宋体" w:hAnsi="宋体" w:eastAsia="宋体" w:cs="宋体"/>
          <w:b/>
          <w:bCs/>
          <w:color w:val="auto"/>
          <w:spacing w:val="-20"/>
          <w:kern w:val="44"/>
          <w:sz w:val="40"/>
          <w:szCs w:val="40"/>
          <w:highlight w:val="none"/>
        </w:rPr>
      </w:pPr>
    </w:p>
    <w:p>
      <w:pPr>
        <w:shd w:val="clear"/>
        <w:spacing w:line="360" w:lineRule="auto"/>
        <w:ind w:left="420" w:leftChars="20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项目名称：</w:t>
      </w:r>
      <w:r>
        <w:rPr>
          <w:rFonts w:hint="eastAsia" w:ascii="宋体" w:hAnsi="宋体" w:eastAsia="宋体" w:cs="宋体"/>
          <w:color w:val="auto"/>
          <w:sz w:val="32"/>
          <w:szCs w:val="32"/>
          <w:highlight w:val="none"/>
          <w:u w:val="single"/>
        </w:rPr>
        <w:t xml:space="preserve">                             </w:t>
      </w:r>
    </w:p>
    <w:p>
      <w:pPr>
        <w:shd w:val="clear"/>
        <w:spacing w:line="360" w:lineRule="auto"/>
        <w:ind w:left="420" w:leftChars="200"/>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合同编号：</w:t>
      </w:r>
      <w:r>
        <w:rPr>
          <w:rFonts w:hint="eastAsia" w:ascii="宋体" w:hAnsi="宋体" w:eastAsia="宋体" w:cs="宋体"/>
          <w:color w:val="auto"/>
          <w:sz w:val="32"/>
          <w:szCs w:val="32"/>
          <w:highlight w:val="none"/>
          <w:u w:val="single"/>
        </w:rPr>
        <w:t xml:space="preserve">                             </w:t>
      </w:r>
    </w:p>
    <w:p>
      <w:pPr>
        <w:shd w:val="clear"/>
        <w:spacing w:line="360" w:lineRule="auto"/>
        <w:ind w:left="420" w:leftChars="20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甲    方：</w:t>
      </w:r>
      <w:r>
        <w:rPr>
          <w:rFonts w:hint="eastAsia" w:ascii="宋体" w:hAnsi="宋体" w:eastAsia="宋体" w:cs="宋体"/>
          <w:color w:val="auto"/>
          <w:sz w:val="32"/>
          <w:szCs w:val="32"/>
          <w:highlight w:val="none"/>
          <w:u w:val="single"/>
        </w:rPr>
        <w:t xml:space="preserve">                             </w:t>
      </w:r>
    </w:p>
    <w:p>
      <w:pPr>
        <w:shd w:val="clear"/>
        <w:spacing w:line="360" w:lineRule="auto"/>
        <w:ind w:left="420" w:leftChars="200"/>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乙    方：</w:t>
      </w:r>
      <w:r>
        <w:rPr>
          <w:rFonts w:hint="eastAsia" w:ascii="宋体" w:hAnsi="宋体" w:eastAsia="宋体" w:cs="宋体"/>
          <w:color w:val="auto"/>
          <w:sz w:val="32"/>
          <w:szCs w:val="32"/>
          <w:highlight w:val="none"/>
          <w:u w:val="single"/>
        </w:rPr>
        <w:t xml:space="preserve">                             </w:t>
      </w:r>
    </w:p>
    <w:p>
      <w:pPr>
        <w:shd w:val="clear"/>
        <w:spacing w:line="360" w:lineRule="auto"/>
        <w:ind w:left="420" w:leftChars="20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签订时间：</w:t>
      </w:r>
      <w:r>
        <w:rPr>
          <w:rFonts w:hint="eastAsia" w:ascii="宋体" w:hAnsi="宋体" w:eastAsia="宋体" w:cs="宋体"/>
          <w:color w:val="auto"/>
          <w:sz w:val="32"/>
          <w:szCs w:val="32"/>
          <w:highlight w:val="none"/>
          <w:u w:val="single"/>
        </w:rPr>
        <w:t xml:space="preserve">                             </w:t>
      </w: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shd w:val="clea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使 用 说 明</w:t>
      </w:r>
    </w:p>
    <w:p>
      <w:pPr>
        <w:shd w:val="clear"/>
        <w:ind w:firstLine="640" w:firstLineChars="200"/>
        <w:rPr>
          <w:rFonts w:hint="eastAsia" w:ascii="宋体" w:hAnsi="宋体" w:eastAsia="宋体" w:cs="宋体"/>
          <w:color w:val="auto"/>
          <w:sz w:val="32"/>
          <w:szCs w:val="32"/>
          <w:highlight w:val="none"/>
        </w:rPr>
      </w:pPr>
    </w:p>
    <w:p>
      <w:pPr>
        <w:shd w:val="clear"/>
        <w:ind w:firstLine="640" w:firstLineChars="20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1.本合同标准文本适用于购买现成货物的采购项目，不包括需要供应商定制开发、创新研发的货物采购项目。</w:t>
      </w:r>
    </w:p>
    <w:p>
      <w:pPr>
        <w:shd w:val="clea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   </w:t>
      </w:r>
      <w:r>
        <w:rPr>
          <w:rFonts w:hint="eastAsia" w:ascii="宋体" w:hAnsi="宋体" w:eastAsia="宋体" w:cs="宋体"/>
          <w:color w:val="auto"/>
          <w:sz w:val="32"/>
          <w:szCs w:val="32"/>
          <w:highlight w:val="none"/>
        </w:rPr>
        <w:t>2.本合同标准文本为政府采购货物买卖合同编制提供参考，可以结合采购项目具体情况，对文本作必要的调整修订后使用。</w:t>
      </w:r>
    </w:p>
    <w:p>
      <w:pPr>
        <w:shd w:val="clear"/>
        <w:ind w:firstLine="640" w:firstLineChars="200"/>
        <w:rPr>
          <w:rFonts w:hint="eastAsia" w:ascii="宋体" w:hAnsi="宋体" w:eastAsia="宋体" w:cs="宋体"/>
          <w:color w:val="auto"/>
          <w:sz w:val="44"/>
          <w:szCs w:val="44"/>
          <w:highlight w:val="none"/>
        </w:rPr>
        <w:sectPr>
          <w:footerReference r:id="rId3" w:type="default"/>
          <w:pgSz w:w="11906" w:h="16838"/>
          <w:pgMar w:top="1440" w:right="1800" w:bottom="1440" w:left="1800" w:header="851" w:footer="992" w:gutter="0"/>
          <w:cols w:space="720" w:num="1"/>
          <w:docGrid w:type="lines" w:linePitch="312" w:charSpace="0"/>
        </w:sectPr>
      </w:pPr>
      <w:r>
        <w:rPr>
          <w:rFonts w:hint="eastAsia" w:ascii="宋体" w:hAnsi="宋体" w:eastAsia="宋体" w:cs="宋体"/>
          <w:color w:val="auto"/>
          <w:sz w:val="32"/>
          <w:szCs w:val="32"/>
          <w:highlight w:val="none"/>
        </w:rPr>
        <w:t>3.本合同标准文本各条款中，如涉及填写多家供应商、制造商，多种采购标的、分包主要内容等信息的，可根据采购项目具体情况添加信息项。</w:t>
      </w:r>
    </w:p>
    <w:p>
      <w:pPr>
        <w:pStyle w:val="5"/>
        <w:shd w:val="clear"/>
        <w:adjustRightInd w:val="0"/>
        <w:snapToGrid w:val="0"/>
        <w:spacing w:line="400" w:lineRule="exact"/>
        <w:jc w:val="center"/>
        <w:rPr>
          <w:rFonts w:hint="eastAsia" w:ascii="宋体" w:hAnsi="宋体" w:eastAsia="宋体" w:cs="宋体"/>
          <w:color w:val="auto"/>
          <w:sz w:val="28"/>
          <w:szCs w:val="28"/>
          <w:highlight w:val="none"/>
        </w:rPr>
      </w:pPr>
      <w:bookmarkStart w:id="3" w:name="_Toc22209"/>
      <w:r>
        <w:rPr>
          <w:rFonts w:hint="eastAsia" w:ascii="宋体" w:hAnsi="宋体" w:eastAsia="宋体" w:cs="宋体"/>
          <w:color w:val="auto"/>
          <w:sz w:val="28"/>
          <w:szCs w:val="28"/>
          <w:highlight w:val="none"/>
        </w:rPr>
        <w:t>第一节 政府采购合同协议书</w:t>
      </w:r>
      <w:bookmarkEnd w:id="3"/>
    </w:p>
    <w:p>
      <w:pPr>
        <w:shd w:val="clear"/>
        <w:adjustRightInd w:val="0"/>
        <w:snapToGrid w:val="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甲方（全称）：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（采购人、受采购人委托签订合同的单位或采购文件约定的合同甲方）</w:t>
      </w:r>
    </w:p>
    <w:p>
      <w:pPr>
        <w:shd w:val="clear"/>
        <w:adjustRightInd w:val="0"/>
        <w:snapToGrid w:val="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乙方1（全称）：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（供应商）</w:t>
      </w:r>
    </w:p>
    <w:p>
      <w:pPr>
        <w:shd w:val="clear"/>
        <w:adjustRightInd w:val="0"/>
        <w:snapToGrid w:val="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乙方2（全称）：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（联合体成员供应商或其他合同主体）（如有）</w:t>
      </w:r>
    </w:p>
    <w:p>
      <w:pPr>
        <w:shd w:val="clear"/>
        <w:adjustRightInd w:val="0"/>
        <w:snapToGrid w:val="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乙方3（全称）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（联合体成员供应商或其他合同主体）（如有）</w:t>
      </w:r>
    </w:p>
    <w:p>
      <w:pPr>
        <w:shd w:val="clear"/>
        <w:spacing w:line="400" w:lineRule="exact"/>
        <w:rPr>
          <w:rFonts w:hint="eastAsia" w:ascii="宋体" w:hAnsi="宋体" w:eastAsia="宋体" w:cs="宋体"/>
          <w:color w:val="auto"/>
          <w:highlight w:val="none"/>
        </w:rPr>
      </w:pPr>
    </w:p>
    <w:p>
      <w:pPr>
        <w:pStyle w:val="15"/>
        <w:shd w:val="clea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kern w:val="2"/>
          <w:sz w:val="21"/>
          <w:highlight w:val="none"/>
        </w:rPr>
        <w:t>依据《中华人民共和国民法典》、《中华人民共和国政府采购法》等有关的法律法规，以及本采购项目的招标文件等采购文件、乙方的《投标（响应）文件》及《中标（成交）通知书》，甲乙双方同意签订本合同。具体情况及要求如下：</w:t>
      </w:r>
      <w:r>
        <w:rPr>
          <w:rFonts w:hint="eastAsia" w:ascii="宋体" w:hAnsi="宋体" w:eastAsia="宋体" w:cs="宋体"/>
          <w:color w:val="auto"/>
          <w:highlight w:val="none"/>
        </w:rPr>
        <w:t xml:space="preserve">     </w:t>
      </w:r>
    </w:p>
    <w:p>
      <w:pPr>
        <w:numPr>
          <w:ilvl w:val="0"/>
          <w:numId w:val="5"/>
        </w:numPr>
        <w:shd w:val="clear"/>
        <w:adjustRightInd w:val="0"/>
        <w:snapToGrid w:val="0"/>
        <w:spacing w:line="400" w:lineRule="exact"/>
        <w:ind w:firstLine="422" w:firstLineChars="200"/>
        <w:rPr>
          <w:rFonts w:hint="eastAsia" w:ascii="宋体" w:hAnsi="宋体" w:eastAsia="宋体" w:cs="宋体"/>
          <w:b/>
          <w:color w:val="auto"/>
          <w:highlight w:val="none"/>
        </w:rPr>
      </w:pPr>
      <w:r>
        <w:rPr>
          <w:rFonts w:hint="eastAsia" w:ascii="宋体" w:hAnsi="宋体" w:eastAsia="宋体" w:cs="宋体"/>
          <w:b/>
          <w:color w:val="auto"/>
          <w:highlight w:val="none"/>
        </w:rPr>
        <w:t>项目信息</w:t>
      </w:r>
    </w:p>
    <w:p>
      <w:pPr>
        <w:pStyle w:val="15"/>
        <w:numPr>
          <w:ilvl w:val="0"/>
          <w:numId w:val="6"/>
        </w:numPr>
        <w:shd w:val="clear"/>
        <w:adjustRightInd w:val="0"/>
        <w:snapToGrid w:val="0"/>
        <w:spacing w:line="400" w:lineRule="exact"/>
        <w:ind w:firstLine="420" w:firstLineChars="200"/>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采购项目名称：</w:t>
      </w:r>
      <w:r>
        <w:rPr>
          <w:rFonts w:hint="eastAsia" w:ascii="宋体" w:hAnsi="宋体" w:eastAsia="宋体" w:cs="宋体"/>
          <w:color w:val="auto"/>
          <w:sz w:val="21"/>
          <w:highlight w:val="none"/>
          <w:u w:val="single"/>
        </w:rPr>
        <w:t xml:space="preserve">                                          </w:t>
      </w:r>
    </w:p>
    <w:p>
      <w:pPr>
        <w:pStyle w:val="15"/>
        <w:shd w:val="clear"/>
        <w:tabs>
          <w:tab w:val="left" w:pos="999"/>
        </w:tabs>
        <w:adjustRightInd w:val="0"/>
        <w:snapToGrid w:val="0"/>
        <w:spacing w:line="400" w:lineRule="exact"/>
        <w:ind w:firstLine="0" w:firstLineChars="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采购项目编号：</w:t>
      </w:r>
      <w:r>
        <w:rPr>
          <w:rFonts w:hint="eastAsia" w:ascii="宋体" w:hAnsi="宋体" w:eastAsia="宋体" w:cs="宋体"/>
          <w:color w:val="auto"/>
          <w:sz w:val="21"/>
          <w:highlight w:val="none"/>
          <w:u w:val="single"/>
        </w:rPr>
        <w:t xml:space="preserve">                                          </w:t>
      </w:r>
    </w:p>
    <w:p>
      <w:pPr>
        <w:pStyle w:val="15"/>
        <w:shd w:val="clea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sz w:val="21"/>
          <w:highlight w:val="none"/>
        </w:rPr>
        <w:t>（2）采购计划编号：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pPr>
        <w:shd w:val="clea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（3）项目内容：</w:t>
      </w:r>
    </w:p>
    <w:p>
      <w:pPr>
        <w:shd w:val="clea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     采购标的及数量（台/套</w:t>
      </w:r>
      <w:r>
        <w:rPr>
          <w:rFonts w:hint="eastAsia" w:ascii="宋体" w:hAnsi="宋体" w:eastAsia="宋体" w:cs="宋体"/>
          <w:color w:val="auto"/>
          <w:highlight w:val="none"/>
          <w:lang w:val="en"/>
        </w:rPr>
        <w:t>/个/架/组等</w:t>
      </w:r>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pPr>
        <w:shd w:val="clear"/>
        <w:adjustRightInd w:val="0"/>
        <w:snapToGrid w:val="0"/>
        <w:spacing w:line="400" w:lineRule="exact"/>
        <w:ind w:firstLine="420" w:firstLineChars="200"/>
        <w:rPr>
          <w:rFonts w:hint="eastAsia" w:ascii="宋体" w:hAnsi="宋体" w:eastAsia="宋体" w:cs="宋体"/>
          <w:color w:val="auto"/>
          <w:highlight w:val="none"/>
          <w:lang w:val="en"/>
        </w:rPr>
      </w:pPr>
      <w:r>
        <w:rPr>
          <w:rFonts w:hint="eastAsia" w:ascii="宋体" w:hAnsi="宋体" w:eastAsia="宋体" w:cs="宋体"/>
          <w:color w:val="auto"/>
          <w:highlight w:val="none"/>
        </w:rPr>
        <w:t xml:space="preserve">     品牌：</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lang w:val="en"/>
        </w:rPr>
        <w:t xml:space="preserve">     </w:t>
      </w:r>
      <w:r>
        <w:rPr>
          <w:rFonts w:hint="eastAsia" w:ascii="宋体" w:hAnsi="宋体" w:eastAsia="宋体" w:cs="宋体"/>
          <w:color w:val="auto"/>
          <w:highlight w:val="none"/>
        </w:rPr>
        <w:t>规格型号：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
        </w:rPr>
        <w:t xml:space="preserve">   </w:t>
      </w:r>
    </w:p>
    <w:p>
      <w:pPr>
        <w:shd w:val="clear"/>
        <w:adjustRightInd w:val="0"/>
        <w:snapToGrid w:val="0"/>
        <w:spacing w:line="400" w:lineRule="exact"/>
        <w:ind w:firstLine="945" w:firstLineChars="450"/>
        <w:rPr>
          <w:rFonts w:hint="eastAsia" w:ascii="宋体" w:hAnsi="宋体" w:eastAsia="宋体" w:cs="宋体"/>
          <w:color w:val="auto"/>
          <w:highlight w:val="none"/>
          <w:u w:val="single"/>
        </w:rPr>
      </w:pPr>
      <w:r>
        <w:rPr>
          <w:rFonts w:hint="eastAsia" w:ascii="宋体" w:hAnsi="宋体" w:eastAsia="宋体" w:cs="宋体"/>
          <w:color w:val="auto"/>
          <w:highlight w:val="none"/>
        </w:rPr>
        <w:t>采购标的的技术要求、商务要求具体见附件。</w:t>
      </w:r>
    </w:p>
    <w:p>
      <w:pPr>
        <w:shd w:val="clear"/>
        <w:adjustRightInd w:val="0"/>
        <w:snapToGrid w:val="0"/>
        <w:spacing w:line="400" w:lineRule="exact"/>
        <w:ind w:firstLine="945" w:firstLineChars="450"/>
        <w:rPr>
          <w:rFonts w:hint="eastAsia" w:ascii="宋体" w:hAnsi="宋体" w:eastAsia="宋体" w:cs="宋体"/>
          <w:color w:val="auto"/>
          <w:highlight w:val="none"/>
        </w:rPr>
      </w:pPr>
      <w:r>
        <w:rPr>
          <w:rFonts w:hint="eastAsia" w:ascii="宋体" w:hAnsi="宋体" w:eastAsia="宋体" w:cs="宋体"/>
          <w:color w:val="auto"/>
          <w:highlight w:val="none"/>
        </w:rPr>
        <w:t>①涉及信息类产品，请填写该产品关键部件的品牌、型号：</w:t>
      </w:r>
    </w:p>
    <w:p>
      <w:pPr>
        <w:shd w:val="clear"/>
        <w:adjustRightInd w:val="0"/>
        <w:snapToGrid w:val="0"/>
        <w:spacing w:line="400" w:lineRule="exact"/>
        <w:ind w:firstLine="420" w:firstLineChars="200"/>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标的名称：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
        </w:rPr>
        <w:t xml:space="preserve">               </w:t>
      </w:r>
      <w:r>
        <w:rPr>
          <w:rFonts w:hint="eastAsia" w:ascii="宋体" w:hAnsi="宋体" w:eastAsia="宋体" w:cs="宋体"/>
          <w:color w:val="auto"/>
          <w:highlight w:val="none"/>
          <w:u w:val="single"/>
        </w:rPr>
        <w:t xml:space="preserve">    </w:t>
      </w:r>
    </w:p>
    <w:p>
      <w:pPr>
        <w:shd w:val="clea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     关键部件：</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品牌：</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型号：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pPr>
        <w:pStyle w:val="45"/>
        <w:shd w:val="clear"/>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宋体" w:hAnsi="宋体" w:eastAsia="宋体" w:cs="宋体"/>
          <w:color w:val="auto"/>
          <w:kern w:val="2"/>
          <w:sz w:val="21"/>
          <w:highlight w:val="none"/>
        </w:rPr>
        <w:t>关键部件</w:t>
      </w:r>
      <w:r>
        <w:rPr>
          <w:rFonts w:hint="eastAsia" w:ascii="宋体" w:hAnsi="宋体" w:eastAsia="宋体" w:cs="宋体"/>
          <w:color w:val="auto"/>
          <w:sz w:val="21"/>
          <w:highlight w:val="none"/>
        </w:rPr>
        <w:t>：</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p>
    <w:p>
      <w:pPr>
        <w:pStyle w:val="45"/>
        <w:shd w:val="clear"/>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p>
    <w:p>
      <w:pPr>
        <w:pStyle w:val="45"/>
        <w:shd w:val="clear"/>
        <w:snapToGrid w:val="0"/>
        <w:ind w:firstLine="0" w:firstLineChars="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45"/>
        <w:shd w:val="clear"/>
        <w:snapToGrid w:val="0"/>
        <w:ind w:firstLine="0" w:firstLineChars="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②涉及车辆采购，请填写是否属于新能源汽车：</w:t>
      </w:r>
    </w:p>
    <w:p>
      <w:pPr>
        <w:pStyle w:val="45"/>
        <w:shd w:val="clear"/>
        <w:snapToGrid w:val="0"/>
        <w:ind w:firstLine="0" w:firstLineChars="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rPr>
        <w:sym w:font="Wingdings" w:char="00A8"/>
      </w:r>
      <w:r>
        <w:rPr>
          <w:rFonts w:hint="eastAsia" w:ascii="宋体" w:hAnsi="宋体" w:eastAsia="宋体" w:cs="宋体"/>
          <w:color w:val="auto"/>
          <w:sz w:val="21"/>
          <w:highlight w:val="none"/>
        </w:rPr>
        <w:t>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p>
    <w:p>
      <w:pPr>
        <w:pStyle w:val="45"/>
        <w:shd w:val="clear"/>
        <w:snapToGrid w:val="0"/>
        <w:ind w:firstLine="0" w:firstLineChars="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宋体" w:hAnsi="宋体" w:eastAsia="宋体" w:cs="宋体"/>
          <w:color w:val="auto"/>
          <w:highlight w:val="none"/>
        </w:rPr>
        <w:sym w:font="Wingdings" w:char="00FE"/>
      </w:r>
      <w:r>
        <w:rPr>
          <w:rFonts w:hint="eastAsia" w:ascii="宋体" w:hAnsi="宋体" w:eastAsia="宋体" w:cs="宋体"/>
          <w:color w:val="auto"/>
          <w:sz w:val="21"/>
          <w:highlight w:val="none"/>
        </w:rPr>
        <w:t>否</w:t>
      </w:r>
    </w:p>
    <w:p>
      <w:pPr>
        <w:pStyle w:val="45"/>
        <w:shd w:val="clear"/>
        <w:snapToGrid w:val="0"/>
        <w:ind w:firstLine="0" w:firstLineChars="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lang w:val="en"/>
        </w:rPr>
        <w:t>4</w:t>
      </w:r>
      <w:r>
        <w:rPr>
          <w:rFonts w:hint="eastAsia" w:ascii="宋体" w:hAnsi="宋体" w:eastAsia="宋体" w:cs="宋体"/>
          <w:color w:val="auto"/>
          <w:sz w:val="21"/>
          <w:highlight w:val="none"/>
        </w:rPr>
        <w:t>）政府采购组织形式：</w:t>
      </w:r>
      <w:r>
        <w:rPr>
          <w:rFonts w:hint="eastAsia" w:ascii="宋体" w:hAnsi="宋体" w:eastAsia="宋体" w:cs="宋体"/>
          <w:color w:val="auto"/>
          <w:sz w:val="21"/>
          <w:highlight w:val="none"/>
        </w:rPr>
        <w:sym w:font="Wingdings" w:char="00A8"/>
      </w:r>
      <w:r>
        <w:rPr>
          <w:rFonts w:hint="eastAsia" w:ascii="宋体" w:hAnsi="宋体" w:eastAsia="宋体" w:cs="宋体"/>
          <w:color w:val="auto"/>
          <w:sz w:val="21"/>
          <w:highlight w:val="none"/>
        </w:rPr>
        <w:t xml:space="preserve">政府集中采购  </w:t>
      </w:r>
      <w:r>
        <w:rPr>
          <w:rFonts w:hint="eastAsia" w:ascii="宋体" w:hAnsi="宋体" w:eastAsia="宋体" w:cs="宋体"/>
          <w:color w:val="auto"/>
          <w:sz w:val="21"/>
          <w:highlight w:val="none"/>
        </w:rPr>
        <w:sym w:font="Wingdings" w:char="00A8"/>
      </w:r>
      <w:r>
        <w:rPr>
          <w:rFonts w:hint="eastAsia" w:ascii="宋体" w:hAnsi="宋体" w:eastAsia="宋体" w:cs="宋体"/>
          <w:color w:val="auto"/>
          <w:sz w:val="21"/>
          <w:highlight w:val="none"/>
        </w:rPr>
        <w:t xml:space="preserve">部门集中采购  </w:t>
      </w:r>
      <w:r>
        <w:rPr>
          <w:rFonts w:hint="eastAsia" w:ascii="宋体" w:hAnsi="宋体" w:eastAsia="宋体" w:cs="宋体"/>
          <w:color w:val="auto"/>
          <w:highlight w:val="none"/>
        </w:rPr>
        <w:sym w:font="Wingdings" w:char="00FE"/>
      </w:r>
      <w:r>
        <w:rPr>
          <w:rFonts w:hint="eastAsia" w:ascii="宋体" w:hAnsi="宋体" w:eastAsia="宋体" w:cs="宋体"/>
          <w:color w:val="auto"/>
          <w:sz w:val="21"/>
          <w:highlight w:val="none"/>
        </w:rPr>
        <w:t>分散采购</w:t>
      </w:r>
    </w:p>
    <w:p>
      <w:pPr>
        <w:pStyle w:val="45"/>
        <w:shd w:val="clear"/>
        <w:snapToGrid w:val="0"/>
        <w:ind w:firstLine="420" w:firstLineChars="0"/>
        <w:rPr>
          <w:rFonts w:hint="eastAsia" w:ascii="宋体" w:hAnsi="宋体" w:eastAsia="宋体" w:cs="宋体"/>
          <w:color w:val="auto"/>
          <w:sz w:val="21"/>
          <w:highlight w:val="none"/>
        </w:rPr>
      </w:pPr>
      <w:r>
        <w:rPr>
          <w:rFonts w:hint="eastAsia" w:ascii="宋体" w:hAnsi="宋体" w:eastAsia="宋体" w:cs="宋体"/>
          <w:color w:val="auto"/>
          <w:sz w:val="21"/>
          <w:highlight w:val="none"/>
        </w:rPr>
        <w:t>（</w:t>
      </w:r>
      <w:r>
        <w:rPr>
          <w:rFonts w:hint="eastAsia" w:ascii="宋体" w:hAnsi="宋体" w:eastAsia="宋体" w:cs="宋体"/>
          <w:color w:val="auto"/>
          <w:sz w:val="21"/>
          <w:highlight w:val="none"/>
          <w:lang w:val="en"/>
        </w:rPr>
        <w:t>5</w:t>
      </w:r>
      <w:r>
        <w:rPr>
          <w:rFonts w:hint="eastAsia" w:ascii="宋体" w:hAnsi="宋体" w:eastAsia="宋体" w:cs="宋体"/>
          <w:color w:val="auto"/>
          <w:sz w:val="21"/>
          <w:highlight w:val="none"/>
        </w:rPr>
        <w:t>）政府采购方式：</w:t>
      </w:r>
      <w:r>
        <w:rPr>
          <w:rFonts w:hint="eastAsia" w:ascii="宋体" w:hAnsi="宋体" w:eastAsia="宋体" w:cs="宋体"/>
          <w:color w:val="auto"/>
          <w:highlight w:val="none"/>
        </w:rPr>
        <w:sym w:font="Wingdings" w:char="00FE"/>
      </w:r>
      <w:r>
        <w:rPr>
          <w:rFonts w:hint="eastAsia" w:ascii="宋体" w:hAnsi="宋体" w:eastAsia="宋体" w:cs="宋体"/>
          <w:color w:val="auto"/>
          <w:sz w:val="21"/>
          <w:highlight w:val="none"/>
        </w:rPr>
        <w:t xml:space="preserve">公开招标 </w:t>
      </w:r>
      <w:r>
        <w:rPr>
          <w:rFonts w:hint="eastAsia" w:ascii="宋体" w:hAnsi="宋体" w:eastAsia="宋体" w:cs="宋体"/>
          <w:color w:val="auto"/>
          <w:sz w:val="21"/>
          <w:highlight w:val="none"/>
        </w:rPr>
        <w:sym w:font="Wingdings" w:char="00A8"/>
      </w:r>
      <w:r>
        <w:rPr>
          <w:rFonts w:hint="eastAsia" w:ascii="宋体" w:hAnsi="宋体" w:eastAsia="宋体" w:cs="宋体"/>
          <w:color w:val="auto"/>
          <w:sz w:val="21"/>
          <w:highlight w:val="none"/>
        </w:rPr>
        <w:t xml:space="preserve">邀请招标 </w:t>
      </w:r>
      <w:r>
        <w:rPr>
          <w:rFonts w:hint="eastAsia" w:ascii="宋体" w:hAnsi="宋体" w:eastAsia="宋体" w:cs="宋体"/>
          <w:color w:val="auto"/>
          <w:sz w:val="21"/>
          <w:highlight w:val="none"/>
        </w:rPr>
        <w:sym w:font="Wingdings" w:char="00A8"/>
      </w:r>
      <w:r>
        <w:rPr>
          <w:rFonts w:hint="eastAsia" w:ascii="宋体" w:hAnsi="宋体" w:eastAsia="宋体" w:cs="宋体"/>
          <w:color w:val="auto"/>
          <w:sz w:val="21"/>
          <w:highlight w:val="none"/>
        </w:rPr>
        <w:t xml:space="preserve">竞争性谈判 </w:t>
      </w:r>
      <w:r>
        <w:rPr>
          <w:rFonts w:hint="eastAsia" w:ascii="宋体" w:hAnsi="宋体" w:eastAsia="宋体" w:cs="宋体"/>
          <w:color w:val="auto"/>
          <w:sz w:val="21"/>
          <w:highlight w:val="none"/>
        </w:rPr>
        <w:sym w:font="Wingdings" w:char="00A8"/>
      </w:r>
      <w:r>
        <w:rPr>
          <w:rFonts w:hint="eastAsia" w:ascii="宋体" w:hAnsi="宋体" w:eastAsia="宋体" w:cs="宋体"/>
          <w:color w:val="auto"/>
          <w:sz w:val="21"/>
          <w:highlight w:val="none"/>
        </w:rPr>
        <w:t>竞争性磋商</w:t>
      </w:r>
    </w:p>
    <w:p>
      <w:pPr>
        <w:pStyle w:val="45"/>
        <w:shd w:val="clear"/>
        <w:snapToGrid w:val="0"/>
        <w:ind w:firstLine="420" w:firstLineChars="0"/>
        <w:rPr>
          <w:rFonts w:hint="eastAsia" w:ascii="宋体" w:hAnsi="宋体" w:eastAsia="宋体" w:cs="宋体"/>
          <w:color w:val="auto"/>
          <w:sz w:val="21"/>
          <w:highlight w:val="none"/>
          <w:u w:val="single"/>
        </w:rPr>
      </w:pPr>
      <w:r>
        <w:rPr>
          <w:rFonts w:hint="eastAsia" w:ascii="宋体" w:hAnsi="宋体" w:eastAsia="宋体" w:cs="宋体"/>
          <w:color w:val="auto"/>
          <w:highlight w:val="none"/>
        </w:rPr>
        <w:t xml:space="preserve">                  </w:t>
      </w:r>
      <w:r>
        <w:rPr>
          <w:rFonts w:hint="eastAsia" w:ascii="宋体" w:hAnsi="宋体" w:eastAsia="宋体" w:cs="宋体"/>
          <w:color w:val="auto"/>
          <w:sz w:val="21"/>
          <w:highlight w:val="none"/>
        </w:rPr>
        <w:sym w:font="Wingdings" w:char="00A8"/>
      </w:r>
      <w:r>
        <w:rPr>
          <w:rFonts w:hint="eastAsia" w:ascii="宋体" w:hAnsi="宋体" w:eastAsia="宋体" w:cs="宋体"/>
          <w:color w:val="auto"/>
          <w:sz w:val="21"/>
          <w:highlight w:val="none"/>
        </w:rPr>
        <w:t xml:space="preserve">询价 </w:t>
      </w:r>
      <w:r>
        <w:rPr>
          <w:rFonts w:hint="eastAsia" w:ascii="宋体" w:hAnsi="宋体" w:eastAsia="宋体" w:cs="宋体"/>
          <w:color w:val="auto"/>
          <w:sz w:val="21"/>
          <w:highlight w:val="none"/>
        </w:rPr>
        <w:sym w:font="Wingdings" w:char="00A8"/>
      </w:r>
      <w:r>
        <w:rPr>
          <w:rFonts w:hint="eastAsia" w:ascii="宋体" w:hAnsi="宋体" w:eastAsia="宋体" w:cs="宋体"/>
          <w:color w:val="auto"/>
          <w:sz w:val="21"/>
          <w:highlight w:val="none"/>
        </w:rPr>
        <w:t xml:space="preserve">单一来源 </w:t>
      </w:r>
      <w:r>
        <w:rPr>
          <w:rFonts w:hint="eastAsia" w:ascii="宋体" w:hAnsi="宋体" w:eastAsia="宋体" w:cs="宋体"/>
          <w:color w:val="auto"/>
          <w:sz w:val="21"/>
          <w:highlight w:val="none"/>
        </w:rPr>
        <w:sym w:font="Wingdings" w:char="00A8"/>
      </w:r>
      <w:r>
        <w:rPr>
          <w:rFonts w:hint="eastAsia" w:ascii="宋体" w:hAnsi="宋体" w:eastAsia="宋体" w:cs="宋体"/>
          <w:color w:val="auto"/>
          <w:sz w:val="21"/>
          <w:highlight w:val="none"/>
        </w:rPr>
        <w:t xml:space="preserve">框架协议 </w:t>
      </w:r>
      <w:r>
        <w:rPr>
          <w:rFonts w:hint="eastAsia" w:ascii="宋体" w:hAnsi="宋体" w:eastAsia="宋体" w:cs="宋体"/>
          <w:color w:val="auto"/>
          <w:sz w:val="21"/>
          <w:highlight w:val="none"/>
        </w:rPr>
        <w:sym w:font="Wingdings" w:char="00A8"/>
      </w:r>
      <w:r>
        <w:rPr>
          <w:rFonts w:hint="eastAsia" w:ascii="宋体" w:hAnsi="宋体" w:eastAsia="宋体" w:cs="宋体"/>
          <w:color w:val="auto"/>
          <w:sz w:val="21"/>
          <w:highlight w:val="none"/>
        </w:rPr>
        <w:t>其他：</w:t>
      </w:r>
      <w:r>
        <w:rPr>
          <w:rFonts w:hint="eastAsia" w:ascii="宋体" w:hAnsi="宋体" w:eastAsia="宋体" w:cs="宋体"/>
          <w:color w:val="auto"/>
          <w:sz w:val="21"/>
          <w:highlight w:val="none"/>
          <w:u w:val="single"/>
        </w:rPr>
        <w:t xml:space="preserve">          </w:t>
      </w:r>
    </w:p>
    <w:p>
      <w:pPr>
        <w:pStyle w:val="45"/>
        <w:shd w:val="clear"/>
        <w:snapToGrid w:val="0"/>
        <w:ind w:firstLine="420" w:firstLineChars="0"/>
        <w:rPr>
          <w:rFonts w:hint="eastAsia" w:ascii="宋体" w:hAnsi="宋体" w:eastAsia="宋体" w:cs="宋体"/>
          <w:color w:val="auto"/>
          <w:sz w:val="21"/>
          <w:highlight w:val="none"/>
        </w:rPr>
      </w:pPr>
      <w:r>
        <w:rPr>
          <w:rFonts w:hint="eastAsia" w:ascii="宋体" w:hAnsi="宋体" w:eastAsia="宋体" w:cs="宋体"/>
          <w:color w:val="auto"/>
          <w:sz w:val="21"/>
          <w:highlight w:val="none"/>
        </w:rPr>
        <w:t>（注：在框架协议采购的第二阶段，可选择使用该合同文本）</w:t>
      </w:r>
    </w:p>
    <w:p>
      <w:pPr>
        <w:pStyle w:val="45"/>
        <w:shd w:val="clear"/>
        <w:snapToGrid w:val="0"/>
        <w:ind w:firstLine="220" w:firstLineChars="100"/>
        <w:rPr>
          <w:rFonts w:hint="eastAsia" w:ascii="宋体" w:hAnsi="宋体" w:eastAsia="宋体" w:cs="宋体"/>
          <w:color w:val="auto"/>
          <w:kern w:val="2"/>
          <w:sz w:val="21"/>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
        </w:rPr>
        <w:t>6</w:t>
      </w:r>
      <w:r>
        <w:rPr>
          <w:rFonts w:hint="eastAsia" w:ascii="宋体" w:hAnsi="宋体" w:eastAsia="宋体" w:cs="宋体"/>
          <w:color w:val="auto"/>
          <w:highlight w:val="none"/>
        </w:rPr>
        <w:t>）</w:t>
      </w:r>
      <w:r>
        <w:rPr>
          <w:rFonts w:hint="eastAsia" w:ascii="宋体" w:hAnsi="宋体" w:eastAsia="宋体" w:cs="宋体"/>
          <w:color w:val="auto"/>
          <w:kern w:val="2"/>
          <w:sz w:val="21"/>
          <w:highlight w:val="none"/>
        </w:rPr>
        <w:t>中标（成交）采购标的制造商是否为中小企业：</w:t>
      </w:r>
      <w:r>
        <w:rPr>
          <w:rFonts w:hint="eastAsia" w:ascii="宋体" w:hAnsi="宋体" w:eastAsia="宋体" w:cs="宋体"/>
          <w:color w:val="auto"/>
          <w:kern w:val="2"/>
          <w:sz w:val="21"/>
          <w:highlight w:val="none"/>
        </w:rPr>
        <w:sym w:font="Wingdings" w:char="00A8"/>
      </w:r>
      <w:r>
        <w:rPr>
          <w:rFonts w:hint="eastAsia" w:ascii="宋体" w:hAnsi="宋体" w:eastAsia="宋体" w:cs="宋体"/>
          <w:color w:val="auto"/>
          <w:kern w:val="2"/>
          <w:sz w:val="21"/>
          <w:highlight w:val="none"/>
        </w:rPr>
        <w:t xml:space="preserve">是      </w:t>
      </w:r>
      <w:r>
        <w:rPr>
          <w:rFonts w:hint="eastAsia" w:ascii="宋体" w:hAnsi="宋体" w:eastAsia="宋体" w:cs="宋体"/>
          <w:color w:val="auto"/>
          <w:kern w:val="2"/>
          <w:sz w:val="21"/>
          <w:highlight w:val="none"/>
        </w:rPr>
        <w:sym w:font="Wingdings" w:char="00A8"/>
      </w:r>
      <w:r>
        <w:rPr>
          <w:rFonts w:hint="eastAsia" w:ascii="宋体" w:hAnsi="宋体" w:eastAsia="宋体" w:cs="宋体"/>
          <w:color w:val="auto"/>
          <w:kern w:val="2"/>
          <w:sz w:val="21"/>
          <w:highlight w:val="none"/>
        </w:rPr>
        <w:t>否</w:t>
      </w:r>
    </w:p>
    <w:p>
      <w:pPr>
        <w:shd w:val="clear"/>
        <w:adjustRightInd w:val="0"/>
        <w:snapToGrid w:val="0"/>
        <w:spacing w:line="400" w:lineRule="exact"/>
        <w:ind w:firstLine="840" w:firstLineChars="400"/>
        <w:rPr>
          <w:rFonts w:hint="eastAsia" w:ascii="宋体" w:hAnsi="宋体" w:eastAsia="宋体" w:cs="宋体"/>
          <w:iCs/>
          <w:color w:val="auto"/>
          <w:highlight w:val="none"/>
        </w:rPr>
      </w:pPr>
      <w:r>
        <w:rPr>
          <w:rFonts w:hint="eastAsia" w:ascii="宋体" w:hAnsi="宋体" w:eastAsia="宋体" w:cs="宋体"/>
          <w:color w:val="auto"/>
          <w:highlight w:val="none"/>
        </w:rPr>
        <w:t>本合同是否为专门面向中小企业的采购合同（中小企业预留合同）：</w:t>
      </w:r>
      <w:r>
        <w:rPr>
          <w:rFonts w:hint="eastAsia" w:ascii="宋体" w:hAnsi="宋体" w:eastAsia="宋体" w:cs="宋体"/>
          <w:iCs/>
          <w:color w:val="auto"/>
          <w:highlight w:val="none"/>
        </w:rPr>
        <w:t xml:space="preserve"> </w:t>
      </w:r>
      <w:r>
        <w:rPr>
          <w:rFonts w:hint="eastAsia" w:ascii="宋体" w:hAnsi="宋体" w:eastAsia="宋体" w:cs="宋体"/>
          <w:iCs/>
          <w:color w:val="auto"/>
          <w:highlight w:val="none"/>
        </w:rPr>
        <w:sym w:font="Wingdings" w:char="00FE"/>
      </w:r>
      <w:r>
        <w:rPr>
          <w:rFonts w:hint="eastAsia" w:ascii="宋体" w:hAnsi="宋体" w:eastAsia="宋体" w:cs="宋体"/>
          <w:iCs/>
          <w:color w:val="auto"/>
          <w:highlight w:val="none"/>
        </w:rPr>
        <w:t>是</w:t>
      </w:r>
      <w:r>
        <w:rPr>
          <w:rFonts w:hint="eastAsia" w:ascii="宋体" w:hAnsi="宋体" w:eastAsia="宋体" w:cs="宋体"/>
          <w:color w:val="auto"/>
          <w:highlight w:val="none"/>
        </w:rPr>
        <w:sym w:font="Wingdings" w:char="00A8"/>
      </w:r>
      <w:r>
        <w:rPr>
          <w:rFonts w:hint="eastAsia" w:ascii="宋体" w:hAnsi="宋体" w:eastAsia="宋体" w:cs="宋体"/>
          <w:iCs/>
          <w:color w:val="auto"/>
          <w:highlight w:val="none"/>
        </w:rPr>
        <w:t>否</w:t>
      </w:r>
    </w:p>
    <w:p>
      <w:pPr>
        <w:shd w:val="clear"/>
        <w:adjustRightInd w:val="0"/>
        <w:snapToGrid w:val="0"/>
        <w:spacing w:line="400" w:lineRule="exact"/>
        <w:rPr>
          <w:rFonts w:hint="eastAsia" w:ascii="宋体" w:hAnsi="宋体" w:eastAsia="宋体" w:cs="宋体"/>
          <w:iCs/>
          <w:color w:val="auto"/>
          <w:highlight w:val="none"/>
        </w:rPr>
      </w:pPr>
      <w:r>
        <w:rPr>
          <w:rFonts w:hint="eastAsia" w:ascii="宋体" w:hAnsi="宋体" w:eastAsia="宋体" w:cs="宋体"/>
          <w:color w:val="auto"/>
          <w:highlight w:val="none"/>
        </w:rPr>
        <w:t xml:space="preserve">         若本项目不专门面向中小企业采购，是否给予小微企业评审优惠：</w:t>
      </w:r>
      <w:r>
        <w:rPr>
          <w:rFonts w:hint="eastAsia" w:ascii="宋体" w:hAnsi="宋体" w:eastAsia="宋体" w:cs="宋体"/>
          <w:color w:val="auto"/>
          <w:highlight w:val="none"/>
        </w:rPr>
        <w:sym w:font="Wingdings" w:char="00A8"/>
      </w:r>
      <w:r>
        <w:rPr>
          <w:rFonts w:hint="eastAsia" w:ascii="宋体" w:hAnsi="宋体" w:eastAsia="宋体" w:cs="宋体"/>
          <w:color w:val="auto"/>
          <w:sz w:val="21"/>
          <w:highlight w:val="none"/>
          <w:lang w:eastAsia="zh-CN"/>
        </w:rPr>
        <w:t>□</w:t>
      </w:r>
      <w:r>
        <w:rPr>
          <w:rFonts w:hint="eastAsia" w:ascii="宋体" w:hAnsi="宋体" w:eastAsia="宋体" w:cs="宋体"/>
          <w:iCs/>
          <w:color w:val="auto"/>
          <w:highlight w:val="none"/>
        </w:rPr>
        <w:t xml:space="preserve">是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否</w:t>
      </w:r>
    </w:p>
    <w:p>
      <w:pPr>
        <w:shd w:val="clear"/>
        <w:adjustRightInd w:val="0"/>
        <w:snapToGrid w:val="0"/>
        <w:spacing w:line="400" w:lineRule="exact"/>
        <w:rPr>
          <w:rFonts w:hint="eastAsia" w:ascii="宋体" w:hAnsi="宋体" w:eastAsia="宋体" w:cs="宋体"/>
          <w:iCs/>
          <w:color w:val="auto"/>
          <w:highlight w:val="none"/>
        </w:rPr>
      </w:pPr>
      <w:r>
        <w:rPr>
          <w:rFonts w:hint="eastAsia" w:ascii="宋体" w:hAnsi="宋体" w:eastAsia="宋体" w:cs="宋体"/>
          <w:color w:val="auto"/>
          <w:highlight w:val="none"/>
        </w:rPr>
        <w:t xml:space="preserve">         中标（成交）采购标的制造商是否为残疾人福利性单位：</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是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否</w:t>
      </w:r>
    </w:p>
    <w:p>
      <w:pPr>
        <w:shd w:val="clear"/>
        <w:snapToGrid w:val="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中标（成交）采购标的制造商是否为监狱企业：</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是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否</w:t>
      </w:r>
    </w:p>
    <w:p>
      <w:pPr>
        <w:shd w:val="clea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
        </w:rPr>
        <w:t>7</w:t>
      </w:r>
      <w:r>
        <w:rPr>
          <w:rFonts w:hint="eastAsia" w:ascii="宋体" w:hAnsi="宋体" w:eastAsia="宋体" w:cs="宋体"/>
          <w:color w:val="auto"/>
          <w:highlight w:val="none"/>
        </w:rPr>
        <w:t>）合同是否分包：</w:t>
      </w:r>
      <w:r>
        <w:rPr>
          <w:rFonts w:hint="eastAsia" w:ascii="宋体" w:hAnsi="宋体" w:eastAsia="宋体" w:cs="宋体"/>
          <w:color w:val="auto"/>
          <w:highlight w:val="none"/>
        </w:rPr>
        <w:sym w:font="Wingdings" w:char="00A8"/>
      </w:r>
      <w:r>
        <w:rPr>
          <w:rFonts w:hint="eastAsia" w:ascii="宋体" w:hAnsi="宋体" w:eastAsia="宋体" w:cs="宋体"/>
          <w:iCs/>
          <w:color w:val="auto"/>
          <w:highlight w:val="none"/>
        </w:rPr>
        <w:t xml:space="preserve">是       </w:t>
      </w:r>
      <w:r>
        <w:rPr>
          <w:rFonts w:hint="eastAsia" w:ascii="宋体" w:hAnsi="宋体" w:eastAsia="宋体" w:cs="宋体"/>
          <w:iCs/>
          <w:color w:val="auto"/>
          <w:highlight w:val="none"/>
        </w:rPr>
        <w:sym w:font="Wingdings" w:char="00FE"/>
      </w:r>
      <w:r>
        <w:rPr>
          <w:rFonts w:hint="eastAsia" w:ascii="宋体" w:hAnsi="宋体" w:eastAsia="宋体" w:cs="宋体"/>
          <w:iCs/>
          <w:color w:val="auto"/>
          <w:highlight w:val="none"/>
        </w:rPr>
        <w:t>否</w:t>
      </w:r>
    </w:p>
    <w:p>
      <w:pPr>
        <w:shd w:val="clear"/>
        <w:adjustRightInd w:val="0"/>
        <w:snapToGrid w:val="0"/>
        <w:spacing w:line="400" w:lineRule="exact"/>
        <w:ind w:firstLine="840" w:firstLineChars="400"/>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分包主要内容：</w:t>
      </w:r>
      <w:r>
        <w:rPr>
          <w:rFonts w:hint="eastAsia" w:ascii="宋体" w:hAnsi="宋体" w:eastAsia="宋体" w:cs="宋体"/>
          <w:color w:val="auto"/>
          <w:highlight w:val="none"/>
          <w:u w:val="single"/>
        </w:rPr>
        <w:t xml:space="preserve">                                            </w:t>
      </w:r>
    </w:p>
    <w:p>
      <w:pPr>
        <w:shd w:val="clear"/>
        <w:adjustRightInd w:val="0"/>
        <w:snapToGrid w:val="0"/>
        <w:spacing w:line="400" w:lineRule="exact"/>
        <w:ind w:firstLine="840" w:firstLineChars="400"/>
        <w:rPr>
          <w:rFonts w:hint="eastAsia" w:ascii="宋体" w:hAnsi="宋体" w:eastAsia="宋体" w:cs="宋体"/>
          <w:color w:val="auto"/>
          <w:highlight w:val="none"/>
        </w:rPr>
      </w:pPr>
      <w:r>
        <w:rPr>
          <w:rFonts w:hint="eastAsia" w:ascii="宋体" w:hAnsi="宋体" w:eastAsia="宋体" w:cs="宋体"/>
          <w:color w:val="auto"/>
          <w:highlight w:val="none"/>
        </w:rPr>
        <w:t xml:space="preserve"> 分包供应商/制造商名称（如供应商和制造商不同，请分别填写）：</w:t>
      </w:r>
    </w:p>
    <w:p>
      <w:pPr>
        <w:shd w:val="clear"/>
        <w:adjustRightInd w:val="0"/>
        <w:snapToGrid w:val="0"/>
        <w:spacing w:line="400" w:lineRule="exact"/>
        <w:ind w:firstLine="840" w:firstLineChars="400"/>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p>
    <w:p>
      <w:pPr>
        <w:shd w:val="clear"/>
        <w:adjustRightInd w:val="0"/>
        <w:snapToGrid w:val="0"/>
        <w:spacing w:line="400" w:lineRule="exact"/>
        <w:ind w:firstLine="840" w:firstLineChars="400"/>
        <w:rPr>
          <w:rFonts w:hint="eastAsia" w:ascii="宋体" w:hAnsi="宋体" w:eastAsia="宋体" w:cs="宋体"/>
          <w:color w:val="auto"/>
          <w:highlight w:val="none"/>
        </w:rPr>
      </w:pPr>
      <w:r>
        <w:rPr>
          <w:rFonts w:hint="eastAsia" w:ascii="宋体" w:hAnsi="宋体" w:eastAsia="宋体" w:cs="宋体"/>
          <w:color w:val="auto"/>
          <w:highlight w:val="none"/>
        </w:rPr>
        <w:t xml:space="preserve"> 分包供应商/制造商类型（如果供应商和制造商不同，只填写制造商类型）：</w:t>
      </w:r>
    </w:p>
    <w:p>
      <w:pPr>
        <w:shd w:val="clear"/>
        <w:adjustRightInd w:val="0"/>
        <w:snapToGrid w:val="0"/>
        <w:spacing w:line="400" w:lineRule="exact"/>
        <w:ind w:firstLine="840" w:firstLineChars="400"/>
        <w:rPr>
          <w:rFonts w:hint="eastAsia" w:ascii="宋体" w:hAnsi="宋体" w:eastAsia="宋体" w:cs="宋体"/>
          <w:iCs/>
          <w:color w:val="auto"/>
          <w:highlight w:val="none"/>
        </w:rPr>
      </w:pPr>
      <w:r>
        <w:rPr>
          <w:rFonts w:hint="eastAsia" w:ascii="宋体" w:hAnsi="宋体" w:eastAsia="宋体" w:cs="宋体"/>
          <w:iCs/>
          <w:color w:val="auto"/>
          <w:highlight w:val="none"/>
        </w:rPr>
        <w:t xml:space="preserve">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大型企业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中型企业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小微型企业  </w:t>
      </w:r>
    </w:p>
    <w:p>
      <w:pPr>
        <w:shd w:val="clear"/>
        <w:adjustRightInd w:val="0"/>
        <w:snapToGrid w:val="0"/>
        <w:spacing w:line="400" w:lineRule="exact"/>
        <w:ind w:firstLine="840" w:firstLineChars="400"/>
        <w:rPr>
          <w:rFonts w:hint="eastAsia" w:ascii="宋体" w:hAnsi="宋体" w:eastAsia="宋体" w:cs="宋体"/>
          <w:color w:val="auto"/>
          <w:highlight w:val="none"/>
        </w:rPr>
      </w:pPr>
      <w:r>
        <w:rPr>
          <w:rFonts w:hint="eastAsia" w:ascii="宋体" w:hAnsi="宋体" w:eastAsia="宋体" w:cs="宋体"/>
          <w:iCs/>
          <w:color w:val="auto"/>
          <w:highlight w:val="none"/>
        </w:rPr>
        <w:t xml:space="preserve">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残疾人福利性单位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监狱企业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其他</w:t>
      </w:r>
    </w:p>
    <w:p>
      <w:pPr>
        <w:shd w:val="clear"/>
        <w:adjustRightInd w:val="0"/>
        <w:snapToGrid w:val="0"/>
        <w:spacing w:line="400" w:lineRule="exact"/>
        <w:rPr>
          <w:rFonts w:hint="eastAsia" w:ascii="宋体" w:hAnsi="宋体" w:eastAsia="宋体" w:cs="宋体"/>
          <w:iCs/>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
        </w:rPr>
        <w:t>8</w:t>
      </w:r>
      <w:r>
        <w:rPr>
          <w:rFonts w:hint="eastAsia" w:ascii="宋体" w:hAnsi="宋体" w:eastAsia="宋体" w:cs="宋体"/>
          <w:color w:val="auto"/>
          <w:highlight w:val="none"/>
        </w:rPr>
        <w:t>）中标（成交）供应商是否为外商投资企业：</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是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否</w:t>
      </w:r>
    </w:p>
    <w:p>
      <w:pPr>
        <w:pStyle w:val="45"/>
        <w:shd w:val="clear"/>
        <w:tabs>
          <w:tab w:val="left" w:pos="1340"/>
        </w:tabs>
        <w:ind w:firstLine="420"/>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hint="eastAsia" w:ascii="宋体" w:hAnsi="宋体" w:eastAsia="宋体" w:cs="宋体"/>
          <w:iCs/>
          <w:color w:val="auto"/>
          <w:sz w:val="21"/>
          <w:highlight w:val="none"/>
        </w:rPr>
        <w:sym w:font="Wingdings" w:char="00A8"/>
      </w:r>
      <w:r>
        <w:rPr>
          <w:rFonts w:hint="eastAsia" w:ascii="宋体" w:hAnsi="宋体" w:eastAsia="宋体" w:cs="宋体"/>
          <w:color w:val="auto"/>
          <w:sz w:val="21"/>
          <w:highlight w:val="none"/>
        </w:rPr>
        <w:t xml:space="preserve">全部由外国投资者投资  </w:t>
      </w:r>
      <w:r>
        <w:rPr>
          <w:rFonts w:hint="eastAsia" w:ascii="宋体" w:hAnsi="宋体" w:eastAsia="宋体" w:cs="宋体"/>
          <w:iCs/>
          <w:color w:val="auto"/>
          <w:sz w:val="21"/>
          <w:highlight w:val="none"/>
        </w:rPr>
        <w:sym w:font="Wingdings" w:char="00A8"/>
      </w:r>
      <w:r>
        <w:rPr>
          <w:rFonts w:hint="eastAsia" w:ascii="宋体" w:hAnsi="宋体" w:eastAsia="宋体" w:cs="宋体"/>
          <w:iCs/>
          <w:color w:val="auto"/>
          <w:sz w:val="21"/>
          <w:highlight w:val="none"/>
        </w:rPr>
        <w:t>部分由外国投资者投资</w:t>
      </w:r>
    </w:p>
    <w:p>
      <w:pPr>
        <w:shd w:val="clea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
        </w:rPr>
        <w:t>9</w:t>
      </w:r>
      <w:r>
        <w:rPr>
          <w:rFonts w:hint="eastAsia" w:ascii="宋体" w:hAnsi="宋体" w:eastAsia="宋体" w:cs="宋体"/>
          <w:color w:val="auto"/>
          <w:highlight w:val="none"/>
        </w:rPr>
        <w:t>）是否涉及进口产品：</w:t>
      </w:r>
    </w:p>
    <w:p>
      <w:pPr>
        <w:shd w:val="clear"/>
        <w:adjustRightInd w:val="0"/>
        <w:snapToGrid w:val="0"/>
        <w:spacing w:line="400" w:lineRule="exact"/>
        <w:ind w:firstLine="840" w:firstLineChars="400"/>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是，《政府采购品目分类目录》底级品目名称：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金额：</w:t>
      </w:r>
      <w:r>
        <w:rPr>
          <w:rFonts w:hint="eastAsia" w:ascii="宋体" w:hAnsi="宋体" w:eastAsia="宋体" w:cs="宋体"/>
          <w:color w:val="auto"/>
          <w:highlight w:val="none"/>
          <w:u w:val="single"/>
        </w:rPr>
        <w:t xml:space="preserve">        </w:t>
      </w:r>
    </w:p>
    <w:p>
      <w:pPr>
        <w:shd w:val="clear"/>
        <w:adjustRightInd w:val="0"/>
        <w:snapToGrid w:val="0"/>
        <w:spacing w:line="400" w:lineRule="exact"/>
        <w:ind w:firstLine="840" w:firstLineChars="400"/>
        <w:rPr>
          <w:rFonts w:hint="eastAsia" w:ascii="宋体" w:hAnsi="宋体" w:eastAsia="宋体" w:cs="宋体"/>
          <w:color w:val="auto"/>
          <w:highlight w:val="none"/>
        </w:rPr>
      </w:pPr>
      <w:r>
        <w:rPr>
          <w:rFonts w:hint="eastAsia" w:ascii="宋体" w:hAnsi="宋体" w:eastAsia="宋体" w:cs="宋体"/>
          <w:color w:val="auto"/>
          <w:highlight w:val="none"/>
        </w:rPr>
        <w:t xml:space="preserve">        国别：</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品牌：</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规格型号：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pPr>
        <w:shd w:val="clear"/>
        <w:adjustRightInd w:val="0"/>
        <w:snapToGrid w:val="0"/>
        <w:spacing w:line="400" w:lineRule="exact"/>
        <w:ind w:firstLine="840" w:firstLineChars="40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sym w:font="Wingdings" w:char="00FE"/>
      </w:r>
      <w:r>
        <w:rPr>
          <w:rFonts w:hint="eastAsia" w:ascii="宋体" w:hAnsi="宋体" w:eastAsia="宋体" w:cs="宋体"/>
          <w:color w:val="auto"/>
          <w:highlight w:val="none"/>
        </w:rPr>
        <w:t>否</w:t>
      </w:r>
    </w:p>
    <w:p>
      <w:pPr>
        <w:shd w:val="clear"/>
        <w:tabs>
          <w:tab w:val="left" w:pos="740"/>
        </w:tabs>
        <w:adjustRightInd w:val="0"/>
        <w:snapToGrid w:val="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（1</w:t>
      </w:r>
      <w:r>
        <w:rPr>
          <w:rFonts w:hint="eastAsia" w:ascii="宋体" w:hAnsi="宋体" w:eastAsia="宋体" w:cs="宋体"/>
          <w:color w:val="auto"/>
          <w:highlight w:val="none"/>
          <w:lang w:val="en"/>
        </w:rPr>
        <w:t>0</w:t>
      </w:r>
      <w:r>
        <w:rPr>
          <w:rFonts w:hint="eastAsia" w:ascii="宋体" w:hAnsi="宋体" w:eastAsia="宋体" w:cs="宋体"/>
          <w:color w:val="auto"/>
          <w:highlight w:val="none"/>
        </w:rPr>
        <w:t>）是否涉及节能产品：</w:t>
      </w:r>
    </w:p>
    <w:p>
      <w:pPr>
        <w:shd w:val="clear"/>
        <w:tabs>
          <w:tab w:val="left" w:pos="740"/>
        </w:tabs>
        <w:adjustRightInd w:val="0"/>
        <w:snapToGrid w:val="0"/>
        <w:spacing w:line="400" w:lineRule="exact"/>
        <w:rPr>
          <w:rFonts w:hint="eastAsia" w:ascii="宋体" w:hAnsi="宋体" w:eastAsia="宋体" w:cs="宋体"/>
          <w:iCs/>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是，《节能产品政府采购品目清单》的底级品目名称：</w:t>
      </w:r>
      <w:r>
        <w:rPr>
          <w:rFonts w:hint="eastAsia" w:ascii="宋体" w:hAnsi="宋体" w:eastAsia="宋体" w:cs="宋体"/>
          <w:color w:val="auto"/>
          <w:highlight w:val="none"/>
          <w:u w:val="single"/>
        </w:rPr>
        <w:t xml:space="preserve">         </w:t>
      </w:r>
      <w:r>
        <w:rPr>
          <w:rFonts w:hint="eastAsia" w:ascii="宋体" w:hAnsi="宋体" w:eastAsia="宋体" w:cs="宋体"/>
          <w:iCs/>
          <w:color w:val="auto"/>
          <w:highlight w:val="none"/>
        </w:rPr>
        <w:t xml:space="preserve">     </w:t>
      </w:r>
    </w:p>
    <w:p>
      <w:pPr>
        <w:shd w:val="clear"/>
        <w:tabs>
          <w:tab w:val="left" w:pos="740"/>
        </w:tabs>
        <w:adjustRightInd w:val="0"/>
        <w:snapToGrid w:val="0"/>
        <w:spacing w:line="400" w:lineRule="exact"/>
        <w:rPr>
          <w:rFonts w:hint="eastAsia" w:ascii="宋体" w:hAnsi="宋体" w:eastAsia="宋体" w:cs="宋体"/>
          <w:iCs/>
          <w:color w:val="auto"/>
          <w:highlight w:val="none"/>
        </w:rPr>
      </w:pPr>
      <w:r>
        <w:rPr>
          <w:rFonts w:hint="eastAsia" w:ascii="宋体" w:hAnsi="宋体" w:eastAsia="宋体" w:cs="宋体"/>
          <w:iCs/>
          <w:color w:val="auto"/>
          <w:highlight w:val="none"/>
        </w:rPr>
        <w:t xml:space="preserve">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强制采购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优先采购    </w:t>
      </w:r>
    </w:p>
    <w:p>
      <w:pPr>
        <w:shd w:val="clear"/>
        <w:tabs>
          <w:tab w:val="left" w:pos="740"/>
        </w:tabs>
        <w:adjustRightInd w:val="0"/>
        <w:snapToGrid w:val="0"/>
        <w:spacing w:line="400" w:lineRule="exact"/>
        <w:rPr>
          <w:rFonts w:hint="eastAsia" w:ascii="宋体" w:hAnsi="宋体" w:eastAsia="宋体" w:cs="宋体"/>
          <w:color w:val="auto"/>
          <w:highlight w:val="none"/>
        </w:rPr>
      </w:pPr>
      <w:r>
        <w:rPr>
          <w:rFonts w:hint="eastAsia" w:ascii="宋体" w:hAnsi="宋体" w:eastAsia="宋体" w:cs="宋体"/>
          <w:iCs/>
          <w:color w:val="auto"/>
          <w:highlight w:val="none"/>
        </w:rPr>
        <w:t xml:space="preserve">         </w:t>
      </w: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否</w:t>
      </w:r>
    </w:p>
    <w:p>
      <w:pPr>
        <w:shd w:val="clear"/>
        <w:tabs>
          <w:tab w:val="left" w:pos="740"/>
        </w:tabs>
        <w:adjustRightInd w:val="0"/>
        <w:snapToGrid w:val="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是否涉及环境标志产品：</w:t>
      </w:r>
    </w:p>
    <w:p>
      <w:pPr>
        <w:shd w:val="clear"/>
        <w:tabs>
          <w:tab w:val="left" w:pos="740"/>
        </w:tabs>
        <w:adjustRightInd w:val="0"/>
        <w:snapToGrid w:val="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是，《环境标志产品政府采购品目清单》的底级品目名称：</w:t>
      </w:r>
      <w:r>
        <w:rPr>
          <w:rFonts w:hint="eastAsia" w:ascii="宋体" w:hAnsi="宋体" w:eastAsia="宋体" w:cs="宋体"/>
          <w:color w:val="auto"/>
          <w:highlight w:val="none"/>
          <w:u w:val="single"/>
        </w:rPr>
        <w:t xml:space="preserve">         </w:t>
      </w:r>
      <w:r>
        <w:rPr>
          <w:rFonts w:hint="eastAsia" w:ascii="宋体" w:hAnsi="宋体" w:eastAsia="宋体" w:cs="宋体"/>
          <w:iCs/>
          <w:color w:val="auto"/>
          <w:highlight w:val="none"/>
        </w:rPr>
        <w:t xml:space="preserve"> </w:t>
      </w:r>
    </w:p>
    <w:p>
      <w:pPr>
        <w:shd w:val="clear"/>
        <w:tabs>
          <w:tab w:val="left" w:pos="740"/>
        </w:tabs>
        <w:adjustRightInd w:val="0"/>
        <w:snapToGrid w:val="0"/>
        <w:spacing w:line="400" w:lineRule="exact"/>
        <w:rPr>
          <w:rFonts w:hint="eastAsia" w:ascii="宋体" w:hAnsi="宋体" w:eastAsia="宋体" w:cs="宋体"/>
          <w:iCs/>
          <w:color w:val="auto"/>
          <w:highlight w:val="none"/>
        </w:rPr>
      </w:pPr>
      <w:r>
        <w:rPr>
          <w:rFonts w:hint="eastAsia" w:ascii="宋体" w:hAnsi="宋体" w:eastAsia="宋体" w:cs="宋体"/>
          <w:iCs/>
          <w:color w:val="auto"/>
          <w:highlight w:val="none"/>
        </w:rPr>
        <w:t xml:space="preserve">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强制采购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优先采购    </w:t>
      </w:r>
    </w:p>
    <w:p>
      <w:pPr>
        <w:shd w:val="clear"/>
        <w:tabs>
          <w:tab w:val="left" w:pos="740"/>
        </w:tabs>
        <w:adjustRightInd w:val="0"/>
        <w:snapToGrid w:val="0"/>
        <w:spacing w:line="400" w:lineRule="exact"/>
        <w:rPr>
          <w:rFonts w:hint="eastAsia" w:ascii="宋体" w:hAnsi="宋体" w:eastAsia="宋体" w:cs="宋体"/>
          <w:color w:val="auto"/>
          <w:highlight w:val="none"/>
        </w:rPr>
      </w:pPr>
      <w:r>
        <w:rPr>
          <w:rFonts w:hint="eastAsia" w:ascii="宋体" w:hAnsi="宋体" w:eastAsia="宋体" w:cs="宋体"/>
          <w:iCs/>
          <w:color w:val="auto"/>
          <w:highlight w:val="none"/>
        </w:rPr>
        <w:t xml:space="preserve">         </w:t>
      </w: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否</w:t>
      </w:r>
    </w:p>
    <w:p>
      <w:pPr>
        <w:pStyle w:val="45"/>
        <w:shd w:val="clear"/>
        <w:snapToGrid w:val="0"/>
        <w:ind w:firstLine="0" w:firstLineChars="0"/>
        <w:rPr>
          <w:rFonts w:hint="eastAsia" w:ascii="宋体" w:hAnsi="宋体" w:eastAsia="宋体" w:cs="宋体"/>
          <w:color w:val="auto"/>
          <w:kern w:val="2"/>
          <w:sz w:val="21"/>
          <w:highlight w:val="none"/>
        </w:rPr>
      </w:pPr>
      <w:r>
        <w:rPr>
          <w:rFonts w:hint="eastAsia" w:ascii="宋体" w:hAnsi="宋体" w:eastAsia="宋体" w:cs="宋体"/>
          <w:color w:val="auto"/>
          <w:sz w:val="21"/>
          <w:highlight w:val="none"/>
        </w:rPr>
        <w:t xml:space="preserve">          </w:t>
      </w:r>
      <w:r>
        <w:rPr>
          <w:rFonts w:hint="eastAsia" w:ascii="宋体" w:hAnsi="宋体" w:eastAsia="宋体" w:cs="宋体"/>
          <w:color w:val="auto"/>
          <w:kern w:val="2"/>
          <w:sz w:val="21"/>
          <w:highlight w:val="none"/>
        </w:rPr>
        <w:t xml:space="preserve">是否涉及绿色产品： </w:t>
      </w:r>
    </w:p>
    <w:p>
      <w:pPr>
        <w:pStyle w:val="45"/>
        <w:shd w:val="clear"/>
        <w:ind w:firstLine="420" w:firstLineChars="0"/>
        <w:rPr>
          <w:rFonts w:hint="eastAsia" w:ascii="宋体" w:hAnsi="宋体" w:eastAsia="宋体" w:cs="宋体"/>
          <w:color w:val="auto"/>
          <w:highlight w:val="none"/>
          <w:u w:val="single"/>
        </w:rPr>
      </w:pPr>
      <w:r>
        <w:rPr>
          <w:rFonts w:hint="eastAsia" w:ascii="宋体" w:hAnsi="宋体" w:eastAsia="宋体" w:cs="宋体"/>
          <w:color w:val="auto"/>
          <w:kern w:val="2"/>
          <w:sz w:val="21"/>
          <w:highlight w:val="none"/>
        </w:rPr>
        <w:t xml:space="preserve">     </w:t>
      </w:r>
      <w:r>
        <w:rPr>
          <w:rFonts w:hint="eastAsia" w:ascii="宋体" w:hAnsi="宋体" w:eastAsia="宋体" w:cs="宋体"/>
          <w:color w:val="auto"/>
          <w:kern w:val="2"/>
          <w:sz w:val="21"/>
          <w:highlight w:val="none"/>
        </w:rPr>
        <w:sym w:font="Wingdings" w:char="00A8"/>
      </w:r>
      <w:r>
        <w:rPr>
          <w:rFonts w:hint="eastAsia" w:ascii="宋体" w:hAnsi="宋体" w:eastAsia="宋体" w:cs="宋体"/>
          <w:color w:val="auto"/>
          <w:kern w:val="2"/>
          <w:sz w:val="21"/>
          <w:highlight w:val="none"/>
        </w:rPr>
        <w:t>是，绿色产品政府采购相关政策确定的底级品目名称：</w:t>
      </w:r>
      <w:r>
        <w:rPr>
          <w:rFonts w:hint="eastAsia" w:ascii="宋体" w:hAnsi="宋体" w:eastAsia="宋体" w:cs="宋体"/>
          <w:color w:val="auto"/>
          <w:highlight w:val="none"/>
          <w:u w:val="single"/>
        </w:rPr>
        <w:t xml:space="preserve">         </w:t>
      </w:r>
    </w:p>
    <w:p>
      <w:pPr>
        <w:shd w:val="clear"/>
        <w:tabs>
          <w:tab w:val="left" w:pos="740"/>
        </w:tabs>
        <w:adjustRightInd w:val="0"/>
        <w:snapToGrid w:val="0"/>
        <w:spacing w:line="400" w:lineRule="exact"/>
        <w:rPr>
          <w:rFonts w:hint="eastAsia" w:ascii="宋体" w:hAnsi="宋体" w:eastAsia="宋体" w:cs="宋体"/>
          <w:iCs/>
          <w:color w:val="auto"/>
          <w:highlight w:val="none"/>
        </w:rPr>
      </w:pPr>
      <w:r>
        <w:rPr>
          <w:rFonts w:hint="eastAsia" w:ascii="宋体" w:hAnsi="宋体" w:eastAsia="宋体" w:cs="宋体"/>
          <w:iCs/>
          <w:color w:val="auto"/>
          <w:highlight w:val="none"/>
        </w:rPr>
        <w:t xml:space="preserve">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强制采购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优先采购    </w:t>
      </w:r>
    </w:p>
    <w:p>
      <w:pPr>
        <w:pStyle w:val="45"/>
        <w:shd w:val="clear"/>
        <w:ind w:firstLine="420" w:firstLineChars="0"/>
        <w:rPr>
          <w:rFonts w:hint="eastAsia" w:ascii="宋体" w:hAnsi="宋体" w:eastAsia="宋体" w:cs="宋体"/>
          <w:color w:val="auto"/>
          <w:sz w:val="21"/>
          <w:highlight w:val="none"/>
        </w:rPr>
      </w:pPr>
      <w:r>
        <w:rPr>
          <w:rFonts w:hint="eastAsia" w:ascii="宋体" w:hAnsi="宋体" w:eastAsia="宋体" w:cs="宋体"/>
          <w:color w:val="auto"/>
          <w:kern w:val="2"/>
          <w:sz w:val="21"/>
          <w:highlight w:val="none"/>
        </w:rPr>
        <w:t xml:space="preserve">     </w:t>
      </w:r>
      <w:r>
        <w:rPr>
          <w:rFonts w:hint="eastAsia" w:ascii="宋体" w:hAnsi="宋体" w:eastAsia="宋体" w:cs="宋体"/>
          <w:color w:val="auto"/>
          <w:kern w:val="2"/>
          <w:sz w:val="21"/>
          <w:highlight w:val="none"/>
        </w:rPr>
        <w:sym w:font="Wingdings" w:char="00FE"/>
      </w:r>
      <w:r>
        <w:rPr>
          <w:rFonts w:hint="eastAsia" w:ascii="宋体" w:hAnsi="宋体" w:eastAsia="宋体" w:cs="宋体"/>
          <w:color w:val="auto"/>
          <w:kern w:val="2"/>
          <w:sz w:val="21"/>
          <w:highlight w:val="none"/>
        </w:rPr>
        <w:t>否</w:t>
      </w:r>
    </w:p>
    <w:p>
      <w:pPr>
        <w:shd w:val="clear"/>
        <w:adjustRightInd w:val="0"/>
        <w:snapToGrid w:val="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（1</w:t>
      </w:r>
      <w:r>
        <w:rPr>
          <w:rFonts w:hint="eastAsia" w:ascii="宋体" w:hAnsi="宋体" w:eastAsia="宋体" w:cs="宋体"/>
          <w:color w:val="auto"/>
          <w:highlight w:val="none"/>
          <w:lang w:val="en"/>
        </w:rPr>
        <w:t>1</w:t>
      </w:r>
      <w:r>
        <w:rPr>
          <w:rFonts w:hint="eastAsia" w:ascii="宋体" w:hAnsi="宋体" w:eastAsia="宋体" w:cs="宋体"/>
          <w:color w:val="auto"/>
          <w:highlight w:val="none"/>
        </w:rPr>
        <w:t>）涉及商品包装和快递包装的，是否参考《商品包装政府采购需求标准（试行）》、《快递包装政府采购需求标准（试行）》明确产品及相关快递服务的具体包装要求：</w:t>
      </w:r>
    </w:p>
    <w:p>
      <w:pPr>
        <w:shd w:val="clear"/>
        <w:adjustRightInd w:val="0"/>
        <w:snapToGrid w:val="0"/>
        <w:spacing w:line="400" w:lineRule="exact"/>
        <w:ind w:firstLine="840" w:firstLineChars="400"/>
        <w:rPr>
          <w:rFonts w:hint="eastAsia" w:ascii="宋体" w:hAnsi="宋体" w:eastAsia="宋体" w:cs="宋体"/>
          <w:color w:val="auto"/>
          <w:highlight w:val="none"/>
        </w:rPr>
      </w:pPr>
      <w:r>
        <w:rPr>
          <w:rFonts w:hint="eastAsia" w:ascii="宋体" w:hAnsi="宋体" w:eastAsia="宋体" w:cs="宋体"/>
          <w:color w:val="auto"/>
          <w:highlight w:val="none"/>
        </w:rPr>
        <w:sym w:font="Wingdings" w:char="00FE"/>
      </w:r>
      <w:r>
        <w:rPr>
          <w:rFonts w:hint="eastAsia" w:ascii="宋体" w:hAnsi="宋体" w:eastAsia="宋体" w:cs="宋体"/>
          <w:color w:val="auto"/>
          <w:highlight w:val="none"/>
        </w:rPr>
        <w:t xml:space="preserve">是       </w:t>
      </w: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 xml:space="preserve">否      </w:t>
      </w: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不涉及</w:t>
      </w:r>
    </w:p>
    <w:p>
      <w:pPr>
        <w:numPr>
          <w:ilvl w:val="0"/>
          <w:numId w:val="5"/>
        </w:numPr>
        <w:shd w:val="clear"/>
        <w:adjustRightInd w:val="0"/>
        <w:snapToGrid w:val="0"/>
        <w:spacing w:line="400" w:lineRule="exact"/>
        <w:ind w:firstLine="422" w:firstLineChars="200"/>
        <w:rPr>
          <w:rFonts w:hint="eastAsia" w:ascii="宋体" w:hAnsi="宋体" w:eastAsia="宋体" w:cs="宋体"/>
          <w:b/>
          <w:color w:val="auto"/>
          <w:highlight w:val="none"/>
        </w:rPr>
      </w:pPr>
      <w:r>
        <w:rPr>
          <w:rFonts w:hint="eastAsia" w:ascii="宋体" w:hAnsi="宋体" w:eastAsia="宋体" w:cs="宋体"/>
          <w:b/>
          <w:color w:val="auto"/>
          <w:highlight w:val="none"/>
        </w:rPr>
        <w:t>合同金额</w:t>
      </w:r>
    </w:p>
    <w:p>
      <w:pPr>
        <w:shd w:val="clea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（1）合同金额小写：</w:t>
      </w:r>
      <w:r>
        <w:rPr>
          <w:rFonts w:hint="eastAsia" w:ascii="宋体" w:hAnsi="宋体" w:eastAsia="宋体" w:cs="宋体"/>
          <w:color w:val="auto"/>
          <w:highlight w:val="none"/>
          <w:u w:val="single"/>
        </w:rPr>
        <w:t xml:space="preserve">                           </w:t>
      </w:r>
    </w:p>
    <w:p>
      <w:pPr>
        <w:shd w:val="clear"/>
        <w:adjustRightInd w:val="0"/>
        <w:snapToGrid w:val="0"/>
        <w:spacing w:line="4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大写：</w:t>
      </w:r>
      <w:r>
        <w:rPr>
          <w:rFonts w:hint="eastAsia" w:ascii="宋体" w:hAnsi="宋体" w:eastAsia="宋体" w:cs="宋体"/>
          <w:color w:val="auto"/>
          <w:highlight w:val="none"/>
          <w:u w:val="single"/>
        </w:rPr>
        <w:t xml:space="preserve">                           </w:t>
      </w:r>
    </w:p>
    <w:p>
      <w:pPr>
        <w:shd w:val="clear"/>
        <w:adjustRightInd w:val="0"/>
        <w:snapToGrid w:val="0"/>
        <w:spacing w:line="400" w:lineRule="exact"/>
        <w:ind w:firstLine="630" w:firstLineChars="300"/>
        <w:rPr>
          <w:rFonts w:hint="eastAsia" w:ascii="宋体" w:hAnsi="宋体" w:eastAsia="宋体" w:cs="宋体"/>
          <w:color w:val="auto"/>
          <w:highlight w:val="none"/>
        </w:rPr>
      </w:pPr>
      <w:r>
        <w:rPr>
          <w:rFonts w:hint="eastAsia" w:ascii="宋体" w:hAnsi="宋体" w:eastAsia="宋体" w:cs="宋体"/>
          <w:color w:val="auto"/>
          <w:highlight w:val="none"/>
        </w:rPr>
        <w:t>分包金额（如有）小写：</w:t>
      </w:r>
      <w:r>
        <w:rPr>
          <w:rFonts w:hint="eastAsia" w:ascii="宋体" w:hAnsi="宋体" w:eastAsia="宋体" w:cs="宋体"/>
          <w:color w:val="auto"/>
          <w:highlight w:val="none"/>
          <w:u w:val="single"/>
        </w:rPr>
        <w:t xml:space="preserve">                      </w:t>
      </w:r>
    </w:p>
    <w:p>
      <w:pPr>
        <w:shd w:val="clear"/>
        <w:adjustRightInd w:val="0"/>
        <w:snapToGrid w:val="0"/>
        <w:spacing w:line="4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大写：</w:t>
      </w:r>
      <w:r>
        <w:rPr>
          <w:rFonts w:hint="eastAsia" w:ascii="宋体" w:hAnsi="宋体" w:eastAsia="宋体" w:cs="宋体"/>
          <w:color w:val="auto"/>
          <w:highlight w:val="none"/>
          <w:u w:val="single"/>
        </w:rPr>
        <w:t xml:space="preserve">                       </w:t>
      </w:r>
    </w:p>
    <w:p>
      <w:pPr>
        <w:shd w:val="clear"/>
        <w:adjustRightInd w:val="0"/>
        <w:snapToGrid w:val="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（注：固定单价合同应填写单价和最高限价）</w:t>
      </w:r>
    </w:p>
    <w:p>
      <w:pPr>
        <w:shd w:val="clear"/>
        <w:adjustRightInd w:val="0"/>
        <w:snapToGrid w:val="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（2）合同定价方式（采用组合定价方式的，可以勾选多项）：</w:t>
      </w:r>
    </w:p>
    <w:p>
      <w:pPr>
        <w:shd w:val="clea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iCs/>
          <w:color w:val="auto"/>
          <w:highlight w:val="none"/>
        </w:rPr>
        <w:t xml:space="preserve">  </w:t>
      </w:r>
      <w:r>
        <w:rPr>
          <w:rFonts w:hint="eastAsia" w:ascii="宋体" w:hAnsi="宋体" w:eastAsia="宋体" w:cs="宋体"/>
          <w:color w:val="auto"/>
          <w:highlight w:val="none"/>
        </w:rPr>
        <w:sym w:font="Wingdings" w:char="00FE"/>
      </w:r>
      <w:r>
        <w:rPr>
          <w:rFonts w:hint="eastAsia" w:ascii="宋体" w:hAnsi="宋体" w:eastAsia="宋体" w:cs="宋体"/>
          <w:iCs/>
          <w:color w:val="auto"/>
          <w:highlight w:val="none"/>
        </w:rPr>
        <w:t xml:space="preserve">固定总价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固定单价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固定费率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成本补偿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绩效激励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其他</w:t>
      </w:r>
      <w:r>
        <w:rPr>
          <w:rFonts w:hint="eastAsia" w:ascii="宋体" w:hAnsi="宋体" w:eastAsia="宋体" w:cs="宋体"/>
          <w:color w:val="auto"/>
          <w:highlight w:val="none"/>
          <w:u w:val="single"/>
        </w:rPr>
        <w:t xml:space="preserve">       </w:t>
      </w:r>
    </w:p>
    <w:p>
      <w:pPr>
        <w:pStyle w:val="269"/>
        <w:shd w:val="clea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（3）付款方式（按项目实际勾选填写）：</w:t>
      </w:r>
    </w:p>
    <w:p>
      <w:pPr>
        <w:shd w:val="clear"/>
        <w:adjustRightInd w:val="0"/>
        <w:snapToGrid w:val="0"/>
        <w:spacing w:line="400" w:lineRule="exact"/>
        <w:ind w:firstLine="630" w:firstLineChars="300"/>
        <w:rPr>
          <w:rFonts w:hint="eastAsia" w:ascii="宋体" w:hAnsi="宋体" w:eastAsia="宋体" w:cs="宋体"/>
          <w:color w:val="auto"/>
          <w:highlight w:val="none"/>
          <w:u w:val="single"/>
        </w:rPr>
      </w:pP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全额付款：</w:t>
      </w:r>
      <w:r>
        <w:rPr>
          <w:rFonts w:hint="eastAsia" w:ascii="宋体" w:hAnsi="宋体" w:eastAsia="宋体" w:cs="宋体"/>
          <w:color w:val="auto"/>
          <w:highlight w:val="none"/>
          <w:u w:val="single"/>
        </w:rPr>
        <w:t xml:space="preserve">     （应明确一次性支付合同款项的条件）                    </w:t>
      </w:r>
    </w:p>
    <w:p>
      <w:pPr>
        <w:shd w:val="clear"/>
        <w:snapToGrid w:val="0"/>
        <w:spacing w:line="400" w:lineRule="exact"/>
        <w:ind w:firstLine="630" w:firstLineChars="300"/>
        <w:rPr>
          <w:rFonts w:hint="eastAsia" w:ascii="宋体" w:hAnsi="宋体" w:eastAsia="宋体" w:cs="宋体"/>
          <w:color w:val="auto"/>
          <w:highlight w:val="none"/>
        </w:rPr>
      </w:pPr>
      <w:r>
        <w:rPr>
          <w:rFonts w:hint="eastAsia" w:ascii="宋体" w:hAnsi="宋体" w:eastAsia="宋体" w:cs="宋体"/>
          <w:color w:val="auto"/>
          <w:highlight w:val="none"/>
        </w:rPr>
        <w:sym w:font="Wingdings" w:char="00FE"/>
      </w:r>
      <w:r>
        <w:rPr>
          <w:rFonts w:hint="eastAsia" w:ascii="宋体" w:hAnsi="宋体" w:eastAsia="宋体" w:cs="宋体"/>
          <w:color w:val="auto"/>
          <w:highlight w:val="none"/>
        </w:rPr>
        <w:t>分期付款：</w:t>
      </w:r>
      <w:r>
        <w:rPr>
          <w:rFonts w:hint="eastAsia" w:ascii="宋体" w:hAnsi="宋体" w:eastAsia="宋体" w:cs="宋体"/>
          <w:color w:val="auto"/>
          <w:highlight w:val="none"/>
          <w:u w:val="single"/>
          <w:lang w:eastAsia="zh-CN"/>
        </w:rPr>
        <w:t>初验完成试运行正常，供应商提供项目完整技术文档，采购人3个工作日内组织终验并出具终验报告付至合同总金额100%</w:t>
      </w:r>
      <w:r>
        <w:rPr>
          <w:rFonts w:hint="eastAsia" w:ascii="宋体" w:hAnsi="宋体" w:eastAsia="宋体" w:cs="宋体"/>
          <w:color w:val="auto"/>
          <w:highlight w:val="none"/>
        </w:rPr>
        <w:t>，其中涉及预付款的：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zh-CN"/>
        </w:rPr>
        <w:t>签订合同后，</w:t>
      </w:r>
      <w:r>
        <w:rPr>
          <w:rFonts w:hint="eastAsia" w:ascii="宋体" w:hAnsi="宋体" w:eastAsia="宋体" w:cs="宋体"/>
          <w:color w:val="auto"/>
          <w:highlight w:val="none"/>
          <w:u w:val="single"/>
        </w:rPr>
        <w:t>自收到供应商发票后10个工作日内</w:t>
      </w:r>
      <w:r>
        <w:rPr>
          <w:rFonts w:hint="eastAsia" w:ascii="宋体" w:hAnsi="宋体" w:eastAsia="宋体" w:cs="宋体"/>
          <w:color w:val="auto"/>
          <w:highlight w:val="none"/>
          <w:u w:val="single"/>
          <w:lang w:val="zh-CN"/>
        </w:rPr>
        <w:t>支付合同</w:t>
      </w:r>
      <w:r>
        <w:rPr>
          <w:rFonts w:hint="eastAsia" w:ascii="宋体" w:hAnsi="宋体" w:eastAsia="宋体" w:cs="宋体"/>
          <w:color w:val="auto"/>
          <w:highlight w:val="none"/>
          <w:u w:val="single"/>
          <w:lang w:eastAsia="zh-CN"/>
        </w:rPr>
        <w:t>总金额</w:t>
      </w:r>
      <w:r>
        <w:rPr>
          <w:rFonts w:hint="eastAsia" w:ascii="宋体" w:hAnsi="宋体" w:eastAsia="宋体" w:cs="宋体"/>
          <w:color w:val="auto"/>
          <w:highlight w:val="none"/>
          <w:u w:val="single"/>
          <w:lang w:val="zh-CN"/>
        </w:rPr>
        <w:t>的30%</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pPr>
        <w:shd w:val="clear"/>
        <w:adjustRightInd w:val="0"/>
        <w:snapToGrid w:val="0"/>
        <w:spacing w:line="400" w:lineRule="exact"/>
        <w:ind w:firstLine="42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备注:</w:t>
      </w:r>
    </w:p>
    <w:p>
      <w:pPr>
        <w:shd w:val="clear"/>
        <w:adjustRightInd w:val="0"/>
        <w:snapToGrid w:val="0"/>
        <w:spacing w:line="400" w:lineRule="exact"/>
        <w:ind w:firstLine="42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(1)可以采用数字人民币支付。</w:t>
      </w:r>
    </w:p>
    <w:p>
      <w:pPr>
        <w:shd w:val="clear"/>
        <w:adjustRightInd w:val="0"/>
        <w:snapToGrid w:val="0"/>
        <w:spacing w:line="400" w:lineRule="exact"/>
        <w:ind w:firstLine="42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(2)资金支付的时间:收到供应商发票</w:t>
      </w:r>
      <w:r>
        <w:rPr>
          <w:rFonts w:hint="eastAsia" w:ascii="宋体" w:hAnsi="宋体" w:eastAsia="宋体" w:cs="宋体"/>
          <w:bCs/>
          <w:color w:val="auto"/>
          <w:highlight w:val="none"/>
          <w:lang w:val="en-US" w:eastAsia="zh-CN"/>
        </w:rPr>
        <w:t>后</w:t>
      </w:r>
      <w:r>
        <w:rPr>
          <w:rFonts w:hint="eastAsia" w:ascii="宋体" w:hAnsi="宋体" w:eastAsia="宋体" w:cs="宋体"/>
          <w:bCs/>
          <w:color w:val="auto"/>
          <w:highlight w:val="none"/>
        </w:rPr>
        <w:t>10个工作日内。</w:t>
      </w:r>
    </w:p>
    <w:p>
      <w:pPr>
        <w:shd w:val="clear"/>
        <w:adjustRightInd w:val="0"/>
        <w:snapToGrid w:val="0"/>
        <w:spacing w:line="400" w:lineRule="exact"/>
        <w:ind w:firstLine="42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(3)资金支付的条件:满足相应阶段的要求且收到供应商发票。</w:t>
      </w:r>
    </w:p>
    <w:p>
      <w:pPr>
        <w:shd w:val="clear"/>
        <w:adjustRightInd w:val="0"/>
        <w:snapToGrid w:val="0"/>
        <w:spacing w:line="400" w:lineRule="exact"/>
        <w:ind w:firstLine="42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(4)当采购数量与实际使用数量不一致时，供应商应根据实际使用量供货，合同的最终结算金额按实际使用量乘以成交单价进行计算。</w:t>
      </w:r>
    </w:p>
    <w:p>
      <w:pPr>
        <w:shd w:val="clea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bCs/>
          <w:color w:val="auto"/>
          <w:highlight w:val="none"/>
        </w:rPr>
        <w:t>(5)在签订合同时，供应商明确表示无需预付款或者主动要求降低预付款比例的，采购人可不适用前述规定。</w:t>
      </w:r>
    </w:p>
    <w:p>
      <w:pPr>
        <w:shd w:val="clear"/>
        <w:adjustRightInd w:val="0"/>
        <w:snapToGrid w:val="0"/>
        <w:spacing w:line="400" w:lineRule="exact"/>
        <w:ind w:firstLine="630" w:firstLineChars="300"/>
        <w:rPr>
          <w:rFonts w:hint="eastAsia" w:ascii="宋体" w:hAnsi="宋体" w:eastAsia="宋体" w:cs="宋体"/>
          <w:color w:val="auto"/>
          <w:highlight w:val="none"/>
          <w:u w:val="single"/>
        </w:rPr>
      </w:pP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成本补偿：</w:t>
      </w:r>
      <w:r>
        <w:rPr>
          <w:rFonts w:hint="eastAsia" w:ascii="宋体" w:hAnsi="宋体" w:eastAsia="宋体" w:cs="宋体"/>
          <w:color w:val="auto"/>
          <w:highlight w:val="none"/>
          <w:u w:val="single"/>
        </w:rPr>
        <w:t xml:space="preserve">  （应明确按照成本补偿方式的支付方式和支付条件）   </w:t>
      </w:r>
    </w:p>
    <w:p>
      <w:pPr>
        <w:shd w:val="clear"/>
        <w:adjustRightInd w:val="0"/>
        <w:snapToGrid w:val="0"/>
        <w:spacing w:line="400" w:lineRule="exact"/>
        <w:ind w:firstLine="630" w:firstLineChars="300"/>
        <w:rPr>
          <w:rFonts w:hint="eastAsia" w:ascii="宋体" w:hAnsi="宋体" w:eastAsia="宋体" w:cs="宋体"/>
          <w:color w:val="auto"/>
          <w:highlight w:val="none"/>
        </w:rPr>
      </w:pP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绩效激励：</w:t>
      </w:r>
      <w:r>
        <w:rPr>
          <w:rFonts w:hint="eastAsia" w:ascii="宋体" w:hAnsi="宋体" w:eastAsia="宋体" w:cs="宋体"/>
          <w:color w:val="auto"/>
          <w:highlight w:val="none"/>
          <w:u w:val="single"/>
        </w:rPr>
        <w:t xml:space="preserve">  （应明确按照绩效激励方式的支付方式和支付条件）   </w:t>
      </w:r>
    </w:p>
    <w:p>
      <w:pPr>
        <w:numPr>
          <w:ilvl w:val="0"/>
          <w:numId w:val="5"/>
        </w:numPr>
        <w:shd w:val="clear"/>
        <w:adjustRightInd w:val="0"/>
        <w:snapToGrid w:val="0"/>
        <w:spacing w:line="400" w:lineRule="exact"/>
        <w:ind w:firstLine="422" w:firstLineChars="200"/>
        <w:rPr>
          <w:rFonts w:hint="eastAsia" w:ascii="宋体" w:hAnsi="宋体" w:eastAsia="宋体" w:cs="宋体"/>
          <w:b/>
          <w:color w:val="auto"/>
          <w:highlight w:val="none"/>
          <w:u w:val="single"/>
        </w:rPr>
      </w:pPr>
      <w:r>
        <w:rPr>
          <w:rFonts w:hint="eastAsia" w:ascii="宋体" w:hAnsi="宋体" w:eastAsia="宋体" w:cs="宋体"/>
          <w:b/>
          <w:color w:val="auto"/>
          <w:highlight w:val="none"/>
        </w:rPr>
        <w:t>合同履行</w:t>
      </w:r>
    </w:p>
    <w:p>
      <w:pPr>
        <w:shd w:val="clea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（1）起始日期：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日，完成日期：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pPr>
        <w:shd w:val="clear"/>
        <w:adjustRightInd w:val="0"/>
        <w:snapToGrid w:val="0"/>
        <w:spacing w:line="400" w:lineRule="exact"/>
        <w:ind w:firstLine="420" w:firstLineChars="200"/>
        <w:rPr>
          <w:rFonts w:hint="eastAsia" w:ascii="宋体" w:hAnsi="宋体" w:eastAsia="宋体" w:cs="宋体"/>
          <w:color w:val="auto"/>
          <w:highlight w:val="none"/>
          <w:u w:val="single"/>
        </w:rPr>
      </w:pPr>
      <w:r>
        <w:rPr>
          <w:rFonts w:hint="eastAsia" w:ascii="宋体" w:hAnsi="宋体" w:eastAsia="宋体" w:cs="宋体"/>
          <w:color w:val="auto"/>
          <w:highlight w:val="none"/>
        </w:rPr>
        <w:t>（2）履约地点</w:t>
      </w:r>
      <w:r>
        <w:rPr>
          <w:rFonts w:hint="eastAsia" w:ascii="宋体" w:hAnsi="宋体" w:eastAsia="宋体" w:cs="宋体"/>
          <w:bCs/>
          <w:color w:val="auto"/>
          <w:highlight w:val="none"/>
        </w:rPr>
        <w:t>：</w:t>
      </w:r>
      <w:r>
        <w:rPr>
          <w:rFonts w:hint="eastAsia" w:ascii="宋体" w:hAnsi="宋体" w:eastAsia="宋体" w:cs="宋体"/>
          <w:color w:val="auto"/>
          <w:highlight w:val="none"/>
          <w:u w:val="single"/>
        </w:rPr>
        <w:t xml:space="preserve"> 采购人指定地点 </w:t>
      </w:r>
      <w:r>
        <w:rPr>
          <w:rFonts w:hint="eastAsia" w:ascii="宋体" w:hAnsi="宋体" w:eastAsia="宋体" w:cs="宋体"/>
          <w:color w:val="auto"/>
          <w:highlight w:val="none"/>
        </w:rPr>
        <w:t>。</w:t>
      </w:r>
    </w:p>
    <w:p>
      <w:pPr>
        <w:shd w:val="clea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bCs/>
          <w:color w:val="auto"/>
          <w:highlight w:val="none"/>
        </w:rPr>
        <w:t>（3）履约担保：</w:t>
      </w:r>
      <w:r>
        <w:rPr>
          <w:rFonts w:hint="eastAsia" w:ascii="宋体" w:hAnsi="宋体" w:eastAsia="宋体" w:cs="宋体"/>
          <w:color w:val="auto"/>
          <w:highlight w:val="none"/>
        </w:rPr>
        <w:t>是否收取履约保证金：</w:t>
      </w:r>
      <w:r>
        <w:rPr>
          <w:rFonts w:hint="eastAsia" w:ascii="宋体" w:hAnsi="宋体" w:eastAsia="宋体" w:cs="宋体"/>
          <w:color w:val="auto"/>
          <w:highlight w:val="none"/>
        </w:rPr>
        <w:sym w:font="Wingdings" w:char="00FE"/>
      </w:r>
      <w:r>
        <w:rPr>
          <w:rFonts w:hint="eastAsia" w:ascii="宋体" w:hAnsi="宋体" w:eastAsia="宋体" w:cs="宋体"/>
          <w:color w:val="auto"/>
          <w:highlight w:val="none"/>
        </w:rPr>
        <w:t xml:space="preserve">是    </w:t>
      </w: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否</w:t>
      </w:r>
    </w:p>
    <w:p>
      <w:pPr>
        <w:pStyle w:val="45"/>
        <w:shd w:val="clear"/>
        <w:rPr>
          <w:rFonts w:hint="eastAsia" w:ascii="宋体" w:hAnsi="宋体" w:eastAsia="宋体" w:cs="宋体"/>
          <w:color w:val="auto"/>
          <w:sz w:val="21"/>
          <w:highlight w:val="none"/>
        </w:rPr>
      </w:pPr>
      <w:r>
        <w:rPr>
          <w:rFonts w:hint="eastAsia" w:ascii="宋体" w:hAnsi="宋体" w:eastAsia="宋体" w:cs="宋体"/>
          <w:bCs/>
          <w:color w:val="auto"/>
          <w:highlight w:val="none"/>
        </w:rPr>
        <w:t xml:space="preserve">  </w:t>
      </w:r>
      <w:r>
        <w:rPr>
          <w:rFonts w:hint="eastAsia" w:ascii="宋体" w:hAnsi="宋体" w:eastAsia="宋体" w:cs="宋体"/>
          <w:color w:val="auto"/>
          <w:sz w:val="21"/>
          <w:highlight w:val="none"/>
        </w:rPr>
        <w:t xml:space="preserve">  收取履约保证金形式：</w:t>
      </w:r>
      <w:r>
        <w:rPr>
          <w:rFonts w:hint="eastAsia" w:ascii="宋体" w:hAnsi="宋体" w:eastAsia="宋体" w:cs="宋体"/>
          <w:bCs/>
          <w:color w:val="auto"/>
          <w:sz w:val="21"/>
          <w:highlight w:val="none"/>
          <w:u w:val="single"/>
        </w:rPr>
        <w:t>除银行电汇、网上银行、数字人民币外，投标人还可选用银行保函、担保公司的保证担保或保险公司的保证保险、等多种形式向甲方缴纳；</w:t>
      </w:r>
    </w:p>
    <w:p>
      <w:pPr>
        <w:pStyle w:val="45"/>
        <w:shd w:val="clear"/>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收取履约保证金金额：</w:t>
      </w:r>
      <w:r>
        <w:rPr>
          <w:rFonts w:hint="eastAsia" w:ascii="宋体" w:hAnsi="宋体" w:eastAsia="宋体" w:cs="宋体"/>
          <w:bCs/>
          <w:color w:val="auto"/>
          <w:sz w:val="21"/>
          <w:highlight w:val="none"/>
          <w:u w:val="single"/>
          <w:lang w:val="zh-CN"/>
        </w:rPr>
        <w:t>采购合同总价的</w:t>
      </w:r>
      <w:r>
        <w:rPr>
          <w:rFonts w:hint="eastAsia" w:ascii="宋体" w:hAnsi="宋体" w:eastAsia="宋体" w:cs="宋体"/>
          <w:bCs/>
          <w:color w:val="auto"/>
          <w:sz w:val="21"/>
          <w:highlight w:val="none"/>
          <w:u w:val="single"/>
        </w:rPr>
        <w:t>5</w:t>
      </w:r>
      <w:r>
        <w:rPr>
          <w:rFonts w:hint="eastAsia" w:ascii="宋体" w:hAnsi="宋体" w:eastAsia="宋体" w:cs="宋体"/>
          <w:bCs/>
          <w:color w:val="auto"/>
          <w:sz w:val="21"/>
          <w:highlight w:val="none"/>
          <w:u w:val="single"/>
          <w:lang w:val="zh-CN"/>
        </w:rPr>
        <w:t>%</w:t>
      </w:r>
    </w:p>
    <w:p>
      <w:pPr>
        <w:shd w:val="clear"/>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bCs/>
          <w:color w:val="auto"/>
          <w:highlight w:val="none"/>
        </w:rPr>
        <w:t xml:space="preserve">    履约担保期限：</w:t>
      </w:r>
      <w:r>
        <w:rPr>
          <w:rFonts w:hint="eastAsia" w:ascii="宋体" w:hAnsi="宋体" w:eastAsia="宋体" w:cs="宋体"/>
          <w:bCs/>
          <w:color w:val="auto"/>
          <w:highlight w:val="none"/>
          <w:u w:val="single"/>
        </w:rPr>
        <w:t xml:space="preserve">履约验收合格为止。 </w:t>
      </w:r>
    </w:p>
    <w:p>
      <w:pPr>
        <w:shd w:val="clear"/>
        <w:adjustRightInd w:val="0"/>
        <w:snapToGrid w:val="0"/>
        <w:spacing w:line="400" w:lineRule="exact"/>
        <w:ind w:firstLine="42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（4）分期履行要求：</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w:t>
      </w:r>
      <w:r>
        <w:rPr>
          <w:rFonts w:hint="eastAsia" w:ascii="宋体" w:hAnsi="宋体" w:eastAsia="宋体" w:cs="宋体"/>
          <w:bCs/>
          <w:color w:val="auto"/>
          <w:highlight w:val="none"/>
          <w:u w:val="single"/>
        </w:rPr>
        <w:t xml:space="preserve">     </w:t>
      </w:r>
    </w:p>
    <w:p>
      <w:pPr>
        <w:shd w:val="clear"/>
        <w:adjustRightInd w:val="0"/>
        <w:snapToGrid w:val="0"/>
        <w:spacing w:line="400" w:lineRule="exact"/>
        <w:ind w:firstLine="420" w:firstLineChars="200"/>
        <w:rPr>
          <w:rFonts w:hint="eastAsia" w:ascii="宋体" w:hAnsi="宋体" w:eastAsia="宋体" w:cs="宋体"/>
          <w:color w:val="auto"/>
          <w:highlight w:val="none"/>
          <w:u w:val="single"/>
        </w:rPr>
      </w:pPr>
      <w:r>
        <w:rPr>
          <w:rFonts w:hint="eastAsia" w:ascii="宋体" w:hAnsi="宋体" w:eastAsia="宋体" w:cs="宋体"/>
          <w:bCs/>
          <w:color w:val="auto"/>
          <w:highlight w:val="none"/>
        </w:rPr>
        <w:t>（5）风险处置措施和替代方案：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w:t>
      </w:r>
      <w:r>
        <w:rPr>
          <w:rFonts w:hint="eastAsia" w:ascii="宋体" w:hAnsi="宋体" w:eastAsia="宋体" w:cs="宋体"/>
          <w:color w:val="auto"/>
          <w:highlight w:val="none"/>
          <w:u w:val="single"/>
        </w:rPr>
        <w:t xml:space="preserve">    </w:t>
      </w:r>
    </w:p>
    <w:p>
      <w:pPr>
        <w:numPr>
          <w:ilvl w:val="0"/>
          <w:numId w:val="5"/>
        </w:numPr>
        <w:shd w:val="clear"/>
        <w:adjustRightInd w:val="0"/>
        <w:snapToGrid w:val="0"/>
        <w:spacing w:line="400" w:lineRule="exact"/>
        <w:ind w:firstLine="422" w:firstLineChars="200"/>
        <w:rPr>
          <w:rFonts w:hint="eastAsia" w:ascii="宋体" w:hAnsi="宋体" w:eastAsia="宋体" w:cs="宋体"/>
          <w:b/>
          <w:color w:val="auto"/>
          <w:highlight w:val="none"/>
        </w:rPr>
      </w:pPr>
      <w:r>
        <w:rPr>
          <w:rFonts w:hint="eastAsia" w:ascii="宋体" w:hAnsi="宋体" w:eastAsia="宋体" w:cs="宋体"/>
          <w:b/>
          <w:color w:val="auto"/>
          <w:highlight w:val="none"/>
        </w:rPr>
        <w:t>合同验收</w:t>
      </w:r>
    </w:p>
    <w:p>
      <w:pPr>
        <w:numPr>
          <w:ilvl w:val="0"/>
          <w:numId w:val="7"/>
        </w:numPr>
        <w:shd w:val="clear"/>
        <w:adjustRightInd w:val="0"/>
        <w:snapToGrid w:val="0"/>
        <w:spacing w:line="400" w:lineRule="exact"/>
        <w:ind w:firstLine="42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验收组织方式：</w:t>
      </w:r>
      <w:r>
        <w:rPr>
          <w:rFonts w:hint="eastAsia" w:ascii="宋体" w:hAnsi="宋体" w:eastAsia="宋体" w:cs="宋体"/>
          <w:color w:val="auto"/>
          <w:highlight w:val="none"/>
          <w:lang w:eastAsia="zh-CN"/>
        </w:rPr>
        <w:t>□</w:t>
      </w:r>
      <w:r>
        <w:rPr>
          <w:rFonts w:hint="eastAsia" w:ascii="宋体" w:hAnsi="宋体" w:eastAsia="宋体" w:cs="宋体"/>
          <w:bCs/>
          <w:color w:val="auto"/>
          <w:highlight w:val="none"/>
        </w:rPr>
        <w:t xml:space="preserve">自行组织 </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委托第三方组织</w:t>
      </w:r>
    </w:p>
    <w:p>
      <w:pPr>
        <w:shd w:val="clear"/>
        <w:adjustRightInd w:val="0"/>
        <w:snapToGrid w:val="0"/>
        <w:spacing w:line="400" w:lineRule="exact"/>
        <w:rPr>
          <w:rFonts w:hint="eastAsia" w:ascii="宋体" w:hAnsi="宋体" w:eastAsia="宋体" w:cs="宋体"/>
          <w:bCs/>
          <w:color w:val="auto"/>
          <w:highlight w:val="none"/>
          <w:u w:val="single"/>
        </w:rPr>
      </w:pPr>
      <w:r>
        <w:rPr>
          <w:rFonts w:hint="eastAsia" w:ascii="宋体" w:hAnsi="宋体" w:eastAsia="宋体" w:cs="宋体"/>
          <w:bCs/>
          <w:color w:val="auto"/>
          <w:highlight w:val="none"/>
        </w:rPr>
        <w:t xml:space="preserve">         验收主体：</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eastAsia="zh-CN"/>
        </w:rPr>
        <w:t>泗洪县农业农村局</w:t>
      </w:r>
      <w:r>
        <w:rPr>
          <w:rFonts w:hint="eastAsia" w:ascii="宋体" w:hAnsi="宋体" w:eastAsia="宋体" w:cs="宋体"/>
          <w:bCs/>
          <w:color w:val="auto"/>
          <w:highlight w:val="none"/>
          <w:u w:val="single"/>
        </w:rPr>
        <w:t xml:space="preserve">  </w:t>
      </w:r>
    </w:p>
    <w:p>
      <w:pPr>
        <w:shd w:val="clear"/>
        <w:adjustRightInd w:val="0"/>
        <w:snapToGrid w:val="0"/>
        <w:spacing w:line="40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是否邀请本项目的其他供应商参加验收：</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 xml:space="preserve">是  </w:t>
      </w:r>
      <w:r>
        <w:rPr>
          <w:rFonts w:hint="eastAsia" w:ascii="宋体" w:hAnsi="宋体" w:eastAsia="宋体" w:cs="宋体"/>
          <w:color w:val="auto"/>
          <w:highlight w:val="none"/>
        </w:rPr>
        <w:sym w:font="Wingdings" w:char="00FE"/>
      </w:r>
      <w:r>
        <w:rPr>
          <w:rFonts w:hint="eastAsia" w:ascii="宋体" w:hAnsi="宋体" w:eastAsia="宋体" w:cs="宋体"/>
          <w:bCs/>
          <w:color w:val="auto"/>
          <w:highlight w:val="none"/>
        </w:rPr>
        <w:t>否</w:t>
      </w:r>
    </w:p>
    <w:p>
      <w:pPr>
        <w:shd w:val="clear"/>
        <w:adjustRightInd w:val="0"/>
        <w:snapToGrid w:val="0"/>
        <w:spacing w:line="400" w:lineRule="exact"/>
        <w:ind w:firstLine="840" w:firstLineChars="400"/>
        <w:rPr>
          <w:rFonts w:hint="eastAsia" w:ascii="宋体" w:hAnsi="宋体" w:eastAsia="宋体" w:cs="宋体"/>
          <w:bCs/>
          <w:color w:val="auto"/>
          <w:highlight w:val="none"/>
        </w:rPr>
      </w:pPr>
      <w:r>
        <w:rPr>
          <w:rFonts w:hint="eastAsia" w:ascii="宋体" w:hAnsi="宋体" w:eastAsia="宋体" w:cs="宋体"/>
          <w:bCs/>
          <w:color w:val="auto"/>
          <w:highlight w:val="none"/>
        </w:rPr>
        <w:t>是否邀请专家参加验收：</w:t>
      </w:r>
      <w:r>
        <w:rPr>
          <w:rFonts w:hint="eastAsia" w:ascii="宋体" w:hAnsi="宋体" w:eastAsia="宋体" w:cs="宋体"/>
          <w:color w:val="auto"/>
          <w:highlight w:val="none"/>
        </w:rPr>
        <w:sym w:font="Wingdings" w:char="00FE"/>
      </w:r>
      <w:r>
        <w:rPr>
          <w:rFonts w:hint="eastAsia" w:ascii="宋体" w:hAnsi="宋体" w:eastAsia="宋体" w:cs="宋体"/>
          <w:bCs/>
          <w:color w:val="auto"/>
          <w:highlight w:val="none"/>
        </w:rPr>
        <w:t xml:space="preserve">是  </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否</w:t>
      </w:r>
    </w:p>
    <w:p>
      <w:pPr>
        <w:shd w:val="clear"/>
        <w:adjustRightInd w:val="0"/>
        <w:snapToGrid w:val="0"/>
        <w:spacing w:line="400" w:lineRule="exact"/>
        <w:ind w:firstLine="840" w:firstLineChars="400"/>
        <w:rPr>
          <w:rFonts w:hint="eastAsia" w:ascii="宋体" w:hAnsi="宋体" w:eastAsia="宋体" w:cs="宋体"/>
          <w:bCs/>
          <w:color w:val="auto"/>
          <w:highlight w:val="none"/>
        </w:rPr>
      </w:pPr>
      <w:r>
        <w:rPr>
          <w:rFonts w:hint="eastAsia" w:ascii="宋体" w:hAnsi="宋体" w:eastAsia="宋体" w:cs="宋体"/>
          <w:bCs/>
          <w:color w:val="auto"/>
          <w:highlight w:val="none"/>
        </w:rPr>
        <w:t>是否邀请服务对象参加验收：</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 xml:space="preserve">是  </w:t>
      </w:r>
      <w:r>
        <w:rPr>
          <w:rFonts w:hint="eastAsia" w:ascii="宋体" w:hAnsi="宋体" w:eastAsia="宋体" w:cs="宋体"/>
          <w:color w:val="auto"/>
          <w:highlight w:val="none"/>
        </w:rPr>
        <w:sym w:font="Wingdings" w:char="00FE"/>
      </w:r>
      <w:r>
        <w:rPr>
          <w:rFonts w:hint="eastAsia" w:ascii="宋体" w:hAnsi="宋体" w:eastAsia="宋体" w:cs="宋体"/>
          <w:bCs/>
          <w:color w:val="auto"/>
          <w:highlight w:val="none"/>
        </w:rPr>
        <w:t>否</w:t>
      </w:r>
    </w:p>
    <w:p>
      <w:pPr>
        <w:shd w:val="clear"/>
        <w:adjustRightInd w:val="0"/>
        <w:snapToGrid w:val="0"/>
        <w:spacing w:line="400" w:lineRule="exact"/>
        <w:ind w:firstLine="840" w:firstLineChars="400"/>
        <w:rPr>
          <w:rFonts w:hint="eastAsia" w:ascii="宋体" w:hAnsi="宋体" w:eastAsia="宋体" w:cs="宋体"/>
          <w:bCs/>
          <w:color w:val="auto"/>
          <w:highlight w:val="none"/>
        </w:rPr>
      </w:pPr>
      <w:r>
        <w:rPr>
          <w:rFonts w:hint="eastAsia" w:ascii="宋体" w:hAnsi="宋体" w:eastAsia="宋体" w:cs="宋体"/>
          <w:bCs/>
          <w:color w:val="auto"/>
          <w:highlight w:val="none"/>
        </w:rPr>
        <w:t>是否邀请第三方检测机构参加验收：</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 xml:space="preserve">是  </w:t>
      </w:r>
      <w:r>
        <w:rPr>
          <w:rFonts w:hint="eastAsia" w:ascii="宋体" w:hAnsi="宋体" w:eastAsia="宋体" w:cs="宋体"/>
          <w:color w:val="auto"/>
          <w:highlight w:val="none"/>
        </w:rPr>
        <w:sym w:font="Wingdings" w:char="00FE"/>
      </w:r>
      <w:r>
        <w:rPr>
          <w:rFonts w:hint="eastAsia" w:ascii="宋体" w:hAnsi="宋体" w:eastAsia="宋体" w:cs="宋体"/>
          <w:bCs/>
          <w:color w:val="auto"/>
          <w:highlight w:val="none"/>
        </w:rPr>
        <w:t>否</w:t>
      </w:r>
    </w:p>
    <w:p>
      <w:pPr>
        <w:shd w:val="clear"/>
        <w:adjustRightInd w:val="0"/>
        <w:snapToGrid w:val="0"/>
        <w:spacing w:line="400" w:lineRule="exact"/>
        <w:ind w:firstLine="840" w:firstLineChars="400"/>
        <w:rPr>
          <w:rFonts w:hint="eastAsia" w:ascii="宋体" w:hAnsi="宋体" w:eastAsia="宋体" w:cs="宋体"/>
          <w:bCs/>
          <w:color w:val="auto"/>
          <w:highlight w:val="none"/>
        </w:rPr>
      </w:pPr>
      <w:r>
        <w:rPr>
          <w:rFonts w:hint="eastAsia" w:ascii="宋体" w:hAnsi="宋体" w:eastAsia="宋体" w:cs="宋体"/>
          <w:bCs/>
          <w:color w:val="auto"/>
          <w:highlight w:val="none"/>
        </w:rPr>
        <w:t>是否进行抽查检测：</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是，抽查比例：</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r>
        <w:rPr>
          <w:rFonts w:hint="eastAsia" w:ascii="宋体" w:hAnsi="宋体" w:eastAsia="宋体" w:cs="宋体"/>
          <w:color w:val="auto"/>
          <w:highlight w:val="none"/>
        </w:rPr>
        <w:sym w:font="Wingdings" w:char="00FE"/>
      </w:r>
      <w:r>
        <w:rPr>
          <w:rFonts w:hint="eastAsia" w:ascii="宋体" w:hAnsi="宋体" w:eastAsia="宋体" w:cs="宋体"/>
          <w:bCs/>
          <w:color w:val="auto"/>
          <w:highlight w:val="none"/>
        </w:rPr>
        <w:t>否</w:t>
      </w:r>
    </w:p>
    <w:p>
      <w:pPr>
        <w:shd w:val="clear"/>
        <w:adjustRightInd w:val="0"/>
        <w:snapToGrid w:val="0"/>
        <w:spacing w:line="400" w:lineRule="exact"/>
        <w:ind w:firstLine="840" w:firstLineChars="400"/>
        <w:rPr>
          <w:rFonts w:hint="eastAsia" w:ascii="宋体" w:hAnsi="宋体" w:eastAsia="宋体" w:cs="宋体"/>
          <w:bCs/>
          <w:color w:val="auto"/>
          <w:highlight w:val="none"/>
          <w:u w:val="single"/>
        </w:rPr>
      </w:pPr>
      <w:r>
        <w:rPr>
          <w:rFonts w:hint="eastAsia" w:ascii="宋体" w:hAnsi="宋体" w:eastAsia="宋体" w:cs="宋体"/>
          <w:bCs/>
          <w:color w:val="auto"/>
          <w:highlight w:val="none"/>
        </w:rPr>
        <w:t>是否存在破坏性检测：</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是，</w:t>
      </w:r>
      <w:r>
        <w:rPr>
          <w:rFonts w:hint="eastAsia" w:ascii="宋体" w:hAnsi="宋体" w:eastAsia="宋体" w:cs="宋体"/>
          <w:bCs/>
          <w:color w:val="auto"/>
          <w:highlight w:val="none"/>
          <w:u w:val="single"/>
        </w:rPr>
        <w:t>（应明确对被破坏的检测产品的处理方式）</w:t>
      </w:r>
    </w:p>
    <w:p>
      <w:pPr>
        <w:shd w:val="clear"/>
        <w:adjustRightInd w:val="0"/>
        <w:snapToGrid w:val="0"/>
        <w:spacing w:line="400" w:lineRule="exact"/>
        <w:ind w:firstLine="840" w:firstLineChars="400"/>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rPr>
          <w:rFonts w:hint="eastAsia" w:ascii="宋体" w:hAnsi="宋体" w:eastAsia="宋体" w:cs="宋体"/>
          <w:color w:val="auto"/>
          <w:highlight w:val="none"/>
        </w:rPr>
        <w:sym w:font="Wingdings" w:char="00FE"/>
      </w:r>
      <w:r>
        <w:rPr>
          <w:rFonts w:hint="eastAsia" w:ascii="宋体" w:hAnsi="宋体" w:eastAsia="宋体" w:cs="宋体"/>
          <w:bCs/>
          <w:color w:val="auto"/>
          <w:highlight w:val="none"/>
        </w:rPr>
        <w:t>否</w:t>
      </w:r>
    </w:p>
    <w:p>
      <w:pPr>
        <w:shd w:val="clear"/>
        <w:adjustRightInd w:val="0"/>
        <w:snapToGrid w:val="0"/>
        <w:spacing w:line="400" w:lineRule="exact"/>
        <w:ind w:firstLine="840" w:firstLineChars="400"/>
        <w:rPr>
          <w:rFonts w:hint="eastAsia" w:ascii="宋体" w:hAnsi="宋体" w:eastAsia="宋体" w:cs="宋体"/>
          <w:bCs/>
          <w:color w:val="auto"/>
          <w:highlight w:val="none"/>
          <w:u w:val="single"/>
        </w:rPr>
      </w:pPr>
      <w:r>
        <w:rPr>
          <w:rFonts w:hint="eastAsia" w:ascii="宋体" w:hAnsi="宋体" w:eastAsia="宋体" w:cs="宋体"/>
          <w:bCs/>
          <w:color w:val="auto"/>
          <w:highlight w:val="none"/>
        </w:rPr>
        <w:t>验收组织的其他事项：</w:t>
      </w:r>
      <w:r>
        <w:rPr>
          <w:rFonts w:hint="eastAsia" w:ascii="宋体" w:hAnsi="宋体" w:eastAsia="宋体" w:cs="宋体"/>
          <w:bCs/>
          <w:color w:val="auto"/>
          <w:highlight w:val="none"/>
          <w:u w:val="single"/>
        </w:rPr>
        <w:t xml:space="preserve"> 无 。</w:t>
      </w:r>
    </w:p>
    <w:p>
      <w:pPr>
        <w:shd w:val="clear"/>
        <w:adjustRightInd w:val="0"/>
        <w:snapToGrid w:val="0"/>
        <w:spacing w:line="400" w:lineRule="exact"/>
        <w:ind w:firstLine="420" w:firstLineChars="200"/>
        <w:rPr>
          <w:rFonts w:hint="eastAsia" w:ascii="宋体" w:hAnsi="宋体" w:eastAsia="宋体" w:cs="宋体"/>
          <w:bCs/>
          <w:color w:val="auto"/>
          <w:highlight w:val="none"/>
          <w:u w:val="single"/>
        </w:rPr>
      </w:pPr>
      <w:r>
        <w:rPr>
          <w:rFonts w:hint="eastAsia" w:ascii="宋体" w:hAnsi="宋体" w:eastAsia="宋体" w:cs="宋体"/>
          <w:bCs/>
          <w:color w:val="auto"/>
          <w:highlight w:val="none"/>
        </w:rPr>
        <w:t>（2）履约验收时间：</w:t>
      </w:r>
      <w:r>
        <w:rPr>
          <w:rFonts w:hint="eastAsia" w:ascii="宋体" w:hAnsi="宋体" w:eastAsia="宋体" w:cs="宋体"/>
          <w:bCs/>
          <w:color w:val="auto"/>
          <w:highlight w:val="none"/>
          <w:u w:val="single"/>
        </w:rPr>
        <w:t>（计划于何时验收/供应商提出验收申请之日起3日内组织验收）</w:t>
      </w:r>
    </w:p>
    <w:p>
      <w:pPr>
        <w:shd w:val="clear"/>
        <w:adjustRightInd w:val="0"/>
        <w:snapToGrid w:val="0"/>
        <w:spacing w:line="400" w:lineRule="exact"/>
        <w:ind w:firstLine="42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（3）履约验收方式：</w:t>
      </w:r>
      <w:r>
        <w:rPr>
          <w:rFonts w:hint="eastAsia" w:ascii="宋体" w:hAnsi="宋体" w:eastAsia="宋体" w:cs="宋体"/>
          <w:color w:val="auto"/>
          <w:highlight w:val="none"/>
        </w:rPr>
        <w:sym w:font="Wingdings" w:char="00FE"/>
      </w:r>
      <w:r>
        <w:rPr>
          <w:rFonts w:hint="eastAsia" w:ascii="宋体" w:hAnsi="宋体" w:eastAsia="宋体" w:cs="宋体"/>
          <w:bCs/>
          <w:color w:val="auto"/>
          <w:highlight w:val="none"/>
        </w:rPr>
        <w:t xml:space="preserve">一次性验收         </w:t>
      </w:r>
    </w:p>
    <w:p>
      <w:pPr>
        <w:shd w:val="clear"/>
        <w:adjustRightInd w:val="0"/>
        <w:snapToGrid w:val="0"/>
        <w:spacing w:line="40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分期/分项验收：</w:t>
      </w:r>
      <w:r>
        <w:rPr>
          <w:rFonts w:hint="eastAsia" w:ascii="宋体" w:hAnsi="宋体" w:eastAsia="宋体" w:cs="宋体"/>
          <w:bCs/>
          <w:color w:val="auto"/>
          <w:highlight w:val="none"/>
          <w:u w:val="single"/>
        </w:rPr>
        <w:t xml:space="preserve"> （应明确分期</w:t>
      </w:r>
      <w:r>
        <w:rPr>
          <w:rFonts w:hint="eastAsia" w:ascii="宋体" w:hAnsi="宋体" w:eastAsia="宋体" w:cs="宋体"/>
          <w:bCs/>
          <w:color w:val="auto"/>
          <w:highlight w:val="none"/>
          <w:u w:val="single"/>
          <w:lang w:val="en"/>
        </w:rPr>
        <w:t>/分项验收的工作安排</w:t>
      </w:r>
      <w:r>
        <w:rPr>
          <w:rFonts w:hint="eastAsia" w:ascii="宋体" w:hAnsi="宋体" w:eastAsia="宋体" w:cs="宋体"/>
          <w:bCs/>
          <w:color w:val="auto"/>
          <w:highlight w:val="none"/>
          <w:u w:val="single"/>
        </w:rPr>
        <w:t xml:space="preserve">）  </w:t>
      </w:r>
    </w:p>
    <w:p>
      <w:pPr>
        <w:shd w:val="clear"/>
        <w:adjustRightInd w:val="0"/>
        <w:snapToGrid w:val="0"/>
        <w:spacing w:line="400" w:lineRule="exact"/>
        <w:ind w:firstLine="42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（4）履约验收程序：</w:t>
      </w:r>
    </w:p>
    <w:p>
      <w:pPr>
        <w:shd w:val="clear"/>
        <w:adjustRightInd w:val="0"/>
        <w:snapToGrid w:val="0"/>
        <w:spacing w:line="400" w:lineRule="exact"/>
        <w:ind w:firstLine="420" w:firstLineChars="200"/>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（一）归集验收依据。实施验收前，甲方应当将采购合同、采购文件、供应商响应文件等验收依据进行归集。</w:t>
      </w:r>
    </w:p>
    <w:p>
      <w:pPr>
        <w:shd w:val="clear"/>
        <w:adjustRightInd w:val="0"/>
        <w:snapToGrid w:val="0"/>
        <w:spacing w:line="400" w:lineRule="exact"/>
        <w:ind w:firstLine="420" w:firstLineChars="200"/>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二）制定验收方案。甲方应当根据采购合同规定的每项技术、服务、安全、质量、数量等内容，结合采购文件和供应商响应文件内容，认真编制“验收内容项及其验收标准清单”，验收清单要全面客观反映货物供给、服务承接和工程施工完结情况，并依据验收清单内容的特点制定验收实施方法，形成总体验收方案。验收方案应当全面完整，确保合同履约要素验收不缺项漏项和不降低标准。</w:t>
      </w:r>
    </w:p>
    <w:p>
      <w:pPr>
        <w:shd w:val="clear"/>
        <w:adjustRightInd w:val="0"/>
        <w:snapToGrid w:val="0"/>
        <w:spacing w:line="400" w:lineRule="exact"/>
        <w:ind w:firstLine="420" w:firstLineChars="200"/>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三）验收实施。甲方应当根据制定的验收实施方法和验收清单开展验收工作。对验收清单列明的验收内容及标准进行逐项验收，并提供相对应的验收印证资料进行验收印证。验收印证资料包括不限于技术资料、测试测评资料、检验检测资料、专家论证资料、调研分析资料、分期验收资料、工作量及采购需求变更情况说明材料等，验收印证资料应当具有针对性和完整性，并确保相关验收印证资料具有证明效力。</w:t>
      </w:r>
    </w:p>
    <w:p>
      <w:pPr>
        <w:shd w:val="clear"/>
        <w:adjustRightInd w:val="0"/>
        <w:snapToGrid w:val="0"/>
        <w:spacing w:line="400" w:lineRule="exact"/>
        <w:ind w:firstLine="420" w:firstLineChars="200"/>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四）出具验收意见。验收结束后，验收小组应当出具验收意见。验收意见报告应当根据验收方案制作，并经验收小组全体成员签字。验收小组成员对验收意见报告载明的结论有异议的，应当在验收意见报告上签署不同意见并说明理由。甲方应当对验收小组出具的验收意见进行审查，验收意见与采购合同不一致的，甲方应当根据验收意见中载明的具体偏差内容和处置建议，研究确定验收意见；验收意见中存在验收小组成员其他意见的，甲方应当对异议事项进行复核，妥善处置。</w:t>
      </w:r>
    </w:p>
    <w:p>
      <w:pPr>
        <w:shd w:val="clear"/>
        <w:adjustRightInd w:val="0"/>
        <w:snapToGrid w:val="0"/>
        <w:spacing w:line="400" w:lineRule="exact"/>
        <w:ind w:firstLine="420" w:firstLineChars="200"/>
        <w:rPr>
          <w:rFonts w:hint="eastAsia" w:ascii="宋体" w:hAnsi="宋体" w:eastAsia="宋体" w:cs="宋体"/>
          <w:bCs/>
          <w:color w:val="auto"/>
          <w:highlight w:val="none"/>
        </w:rPr>
      </w:pPr>
      <w:r>
        <w:rPr>
          <w:rFonts w:hint="eastAsia" w:ascii="宋体" w:hAnsi="宋体" w:eastAsia="宋体" w:cs="宋体"/>
          <w:bCs/>
          <w:color w:val="auto"/>
          <w:highlight w:val="none"/>
          <w:u w:val="single"/>
        </w:rPr>
        <w:t>验收结束后，甲方应当出具验收书，列明各项标准的验收情况及项目总体评价，由合同当事人双方共同签署。</w:t>
      </w:r>
    </w:p>
    <w:p>
      <w:pPr>
        <w:shd w:val="clear"/>
        <w:adjustRightInd w:val="0"/>
        <w:snapToGrid w:val="0"/>
        <w:spacing w:line="400" w:lineRule="exact"/>
        <w:ind w:firstLine="420" w:firstLineChars="200"/>
        <w:rPr>
          <w:rFonts w:hint="eastAsia" w:ascii="宋体" w:hAnsi="宋体" w:eastAsia="宋体" w:cs="宋体"/>
          <w:bCs/>
          <w:color w:val="auto"/>
          <w:highlight w:val="none"/>
          <w:u w:val="single"/>
        </w:rPr>
      </w:pPr>
      <w:r>
        <w:rPr>
          <w:rFonts w:hint="eastAsia" w:ascii="宋体" w:hAnsi="宋体" w:eastAsia="宋体" w:cs="宋体"/>
          <w:bCs/>
          <w:color w:val="auto"/>
          <w:highlight w:val="none"/>
        </w:rPr>
        <w:t>（5）履约验收的内容：</w:t>
      </w:r>
      <w:r>
        <w:rPr>
          <w:rFonts w:hint="eastAsia" w:ascii="宋体" w:hAnsi="宋体" w:eastAsia="宋体" w:cs="宋体"/>
          <w:bCs/>
          <w:color w:val="auto"/>
          <w:highlight w:val="none"/>
          <w:u w:val="single"/>
        </w:rPr>
        <w:t>按照采购合同的约定对每一项技术、服务、安全标准的履约情况进行确认。</w:t>
      </w:r>
    </w:p>
    <w:p>
      <w:pPr>
        <w:shd w:val="clear"/>
        <w:adjustRightInd w:val="0"/>
        <w:snapToGrid w:val="0"/>
        <w:spacing w:line="400" w:lineRule="exact"/>
        <w:ind w:firstLine="420" w:firstLineChars="200"/>
        <w:rPr>
          <w:rFonts w:hint="eastAsia" w:ascii="宋体" w:hAnsi="宋体" w:eastAsia="宋体" w:cs="宋体"/>
          <w:bCs/>
          <w:color w:val="auto"/>
          <w:highlight w:val="none"/>
          <w:u w:val="single"/>
        </w:rPr>
      </w:pPr>
      <w:r>
        <w:rPr>
          <w:rFonts w:hint="eastAsia" w:ascii="宋体" w:hAnsi="宋体" w:eastAsia="宋体" w:cs="宋体"/>
          <w:bCs/>
          <w:color w:val="auto"/>
          <w:highlight w:val="none"/>
        </w:rPr>
        <w:t>（6）履约验收标准：</w:t>
      </w:r>
      <w:r>
        <w:rPr>
          <w:rFonts w:hint="eastAsia" w:ascii="宋体" w:hAnsi="宋体" w:eastAsia="宋体" w:cs="宋体"/>
          <w:bCs/>
          <w:color w:val="auto"/>
          <w:highlight w:val="none"/>
          <w:u w:val="single"/>
        </w:rPr>
        <w:t>对乙方提供的货物结合产品性能及质量有国家标准的应符合国家标准。无国家标准的应符合行业标准、地方标准或者其他标准、规范，并满足采购文件要求</w:t>
      </w:r>
      <w:r>
        <w:rPr>
          <w:rFonts w:hint="eastAsia" w:ascii="宋体" w:hAnsi="宋体" w:eastAsia="宋体" w:cs="宋体"/>
          <w:bCs/>
          <w:color w:val="auto"/>
          <w:highlight w:val="none"/>
        </w:rPr>
        <w:t>。</w:t>
      </w:r>
    </w:p>
    <w:p>
      <w:pPr>
        <w:pStyle w:val="45"/>
        <w:shd w:val="clear"/>
        <w:ind w:firstLine="420"/>
        <w:rPr>
          <w:rFonts w:hint="eastAsia" w:ascii="宋体" w:hAnsi="宋体" w:eastAsia="宋体" w:cs="宋体"/>
          <w:color w:val="auto"/>
          <w:sz w:val="21"/>
          <w:highlight w:val="none"/>
        </w:rPr>
      </w:pPr>
      <w:r>
        <w:rPr>
          <w:rFonts w:hint="eastAsia" w:ascii="宋体" w:hAnsi="宋体" w:eastAsia="宋体" w:cs="宋体"/>
          <w:bCs/>
          <w:color w:val="auto"/>
          <w:sz w:val="21"/>
          <w:highlight w:val="none"/>
        </w:rPr>
        <w:t>（7）是否以采购活动中供应商提供的样品作为参考：</w:t>
      </w:r>
      <w:r>
        <w:rPr>
          <w:rFonts w:hint="eastAsia" w:ascii="宋体" w:hAnsi="宋体" w:eastAsia="宋体" w:cs="宋体"/>
          <w:color w:val="auto"/>
          <w:sz w:val="21"/>
          <w:highlight w:val="none"/>
        </w:rPr>
        <w:sym w:font="Wingdings" w:char="00A8"/>
      </w:r>
      <w:r>
        <w:rPr>
          <w:rFonts w:hint="eastAsia" w:ascii="宋体" w:hAnsi="宋体" w:eastAsia="宋体" w:cs="宋体"/>
          <w:bCs/>
          <w:color w:val="auto"/>
          <w:sz w:val="21"/>
          <w:highlight w:val="none"/>
        </w:rPr>
        <w:t xml:space="preserve">是  </w:t>
      </w:r>
      <w:r>
        <w:rPr>
          <w:rFonts w:hint="eastAsia" w:ascii="宋体" w:hAnsi="宋体" w:eastAsia="宋体" w:cs="宋体"/>
          <w:color w:val="auto"/>
          <w:sz w:val="21"/>
          <w:highlight w:val="none"/>
        </w:rPr>
        <w:sym w:font="Wingdings" w:char="00FE"/>
      </w:r>
      <w:r>
        <w:rPr>
          <w:rFonts w:hint="eastAsia" w:ascii="宋体" w:hAnsi="宋体" w:eastAsia="宋体" w:cs="宋体"/>
          <w:bCs/>
          <w:color w:val="auto"/>
          <w:sz w:val="21"/>
          <w:highlight w:val="none"/>
        </w:rPr>
        <w:t>否</w:t>
      </w:r>
    </w:p>
    <w:p>
      <w:pPr>
        <w:shd w:val="clear"/>
        <w:adjustRightInd w:val="0"/>
        <w:snapToGrid w:val="0"/>
        <w:spacing w:line="400" w:lineRule="exact"/>
        <w:ind w:firstLine="420" w:firstLineChars="200"/>
        <w:rPr>
          <w:rFonts w:hint="eastAsia" w:ascii="宋体" w:hAnsi="宋体" w:eastAsia="宋体" w:cs="宋体"/>
          <w:bCs/>
          <w:color w:val="auto"/>
          <w:highlight w:val="none"/>
          <w:u w:val="single"/>
        </w:rPr>
      </w:pPr>
      <w:r>
        <w:rPr>
          <w:rFonts w:hint="eastAsia" w:ascii="宋体" w:hAnsi="宋体" w:eastAsia="宋体" w:cs="宋体"/>
          <w:bCs/>
          <w:color w:val="auto"/>
          <w:highlight w:val="none"/>
        </w:rPr>
        <w:t>（8）履约验收其他事项：</w:t>
      </w:r>
      <w:r>
        <w:rPr>
          <w:rFonts w:hint="eastAsia" w:ascii="宋体" w:hAnsi="宋体" w:eastAsia="宋体" w:cs="宋体"/>
          <w:bCs/>
          <w:color w:val="auto"/>
          <w:highlight w:val="none"/>
          <w:u w:val="single"/>
        </w:rPr>
        <w:t>/。</w:t>
      </w:r>
    </w:p>
    <w:p>
      <w:pPr>
        <w:numPr>
          <w:ilvl w:val="0"/>
          <w:numId w:val="5"/>
        </w:numPr>
        <w:shd w:val="clear"/>
        <w:adjustRightInd w:val="0"/>
        <w:snapToGrid w:val="0"/>
        <w:spacing w:line="400" w:lineRule="exact"/>
        <w:ind w:firstLine="422" w:firstLineChars="200"/>
        <w:rPr>
          <w:rFonts w:hint="eastAsia" w:ascii="宋体" w:hAnsi="宋体" w:eastAsia="宋体" w:cs="宋体"/>
          <w:b/>
          <w:color w:val="auto"/>
          <w:highlight w:val="none"/>
        </w:rPr>
      </w:pPr>
      <w:r>
        <w:rPr>
          <w:rFonts w:hint="eastAsia" w:ascii="宋体" w:hAnsi="宋体" w:eastAsia="宋体" w:cs="宋体"/>
          <w:b/>
          <w:color w:val="auto"/>
          <w:highlight w:val="none"/>
        </w:rPr>
        <w:t>组成合同的文件</w:t>
      </w:r>
    </w:p>
    <w:p>
      <w:pPr>
        <w:shd w:val="clea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本协议书与下列文件一起构成合同文件，如下述文件之间有任何抵触、矛盾或歧义，应按以下顺序解释：</w:t>
      </w:r>
    </w:p>
    <w:p>
      <w:pPr>
        <w:shd w:val="clea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（1）政府采购合同协议书及其变更、补充协议</w:t>
      </w:r>
    </w:p>
    <w:p>
      <w:pPr>
        <w:shd w:val="clea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（2）政府采购合同专用条款</w:t>
      </w:r>
    </w:p>
    <w:p>
      <w:pPr>
        <w:shd w:val="clea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（3）政府采购合同通用条款</w:t>
      </w:r>
    </w:p>
    <w:p>
      <w:pPr>
        <w:pStyle w:val="45"/>
        <w:shd w:val="clear"/>
        <w:rPr>
          <w:rFonts w:hint="eastAsia" w:ascii="宋体" w:hAnsi="宋体" w:eastAsia="宋体" w:cs="宋体"/>
          <w:color w:val="auto"/>
          <w:highlight w:val="none"/>
        </w:rPr>
      </w:pPr>
      <w:r>
        <w:rPr>
          <w:rFonts w:hint="eastAsia" w:ascii="宋体" w:hAnsi="宋体" w:eastAsia="宋体" w:cs="宋体"/>
          <w:color w:val="auto"/>
          <w:highlight w:val="none"/>
        </w:rPr>
        <w:t>（4）中标（成交）通知书</w:t>
      </w:r>
    </w:p>
    <w:p>
      <w:pPr>
        <w:shd w:val="clea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（5）投标（响应）文件</w:t>
      </w:r>
    </w:p>
    <w:p>
      <w:pPr>
        <w:shd w:val="clea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（6）采购文件</w:t>
      </w:r>
    </w:p>
    <w:p>
      <w:pPr>
        <w:shd w:val="clea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（7）有关技术文件，图纸</w:t>
      </w:r>
    </w:p>
    <w:p>
      <w:pPr>
        <w:pStyle w:val="45"/>
        <w:shd w:val="clear"/>
        <w:ind w:firstLine="420"/>
        <w:rPr>
          <w:rFonts w:hint="eastAsia" w:ascii="宋体" w:hAnsi="宋体" w:eastAsia="宋体" w:cs="宋体"/>
          <w:color w:val="auto"/>
          <w:kern w:val="2"/>
          <w:sz w:val="21"/>
          <w:highlight w:val="none"/>
        </w:rPr>
      </w:pPr>
      <w:r>
        <w:rPr>
          <w:rFonts w:hint="eastAsia" w:ascii="宋体" w:hAnsi="宋体" w:eastAsia="宋体" w:cs="宋体"/>
          <w:color w:val="auto"/>
          <w:sz w:val="21"/>
          <w:highlight w:val="none"/>
        </w:rPr>
        <w:t>（8）</w:t>
      </w:r>
      <w:r>
        <w:rPr>
          <w:rFonts w:hint="eastAsia" w:ascii="宋体" w:hAnsi="宋体" w:eastAsia="宋体" w:cs="宋体"/>
          <w:color w:val="auto"/>
          <w:kern w:val="2"/>
          <w:sz w:val="21"/>
          <w:highlight w:val="none"/>
        </w:rPr>
        <w:t>国家法律、行政法规和规章制度规定或合同约定的作为合同组成部分的其他文件</w:t>
      </w:r>
    </w:p>
    <w:p>
      <w:pPr>
        <w:numPr>
          <w:ilvl w:val="0"/>
          <w:numId w:val="5"/>
        </w:numPr>
        <w:shd w:val="clear"/>
        <w:adjustRightInd w:val="0"/>
        <w:snapToGrid w:val="0"/>
        <w:spacing w:line="400" w:lineRule="exact"/>
        <w:ind w:firstLine="422" w:firstLineChars="200"/>
        <w:rPr>
          <w:rFonts w:hint="eastAsia" w:ascii="宋体" w:hAnsi="宋体" w:eastAsia="宋体" w:cs="宋体"/>
          <w:b/>
          <w:color w:val="auto"/>
          <w:highlight w:val="none"/>
        </w:rPr>
      </w:pPr>
      <w:r>
        <w:rPr>
          <w:rFonts w:hint="eastAsia" w:ascii="宋体" w:hAnsi="宋体" w:eastAsia="宋体" w:cs="宋体"/>
          <w:b/>
          <w:color w:val="auto"/>
          <w:highlight w:val="none"/>
        </w:rPr>
        <w:t>合同生效</w:t>
      </w:r>
    </w:p>
    <w:p>
      <w:pPr>
        <w:shd w:val="clea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本合同自</w:t>
      </w:r>
      <w:r>
        <w:rPr>
          <w:rFonts w:hint="eastAsia" w:ascii="宋体" w:hAnsi="宋体" w:eastAsia="宋体" w:cs="宋体"/>
          <w:color w:val="auto"/>
          <w:highlight w:val="none"/>
          <w:u w:val="single"/>
        </w:rPr>
        <w:t xml:space="preserve"> 签订之日起 </w:t>
      </w:r>
      <w:r>
        <w:rPr>
          <w:rFonts w:hint="eastAsia" w:ascii="宋体" w:hAnsi="宋体" w:eastAsia="宋体" w:cs="宋体"/>
          <w:color w:val="auto"/>
          <w:highlight w:val="none"/>
        </w:rPr>
        <w:t>生效。</w:t>
      </w:r>
    </w:p>
    <w:p>
      <w:pPr>
        <w:numPr>
          <w:ilvl w:val="0"/>
          <w:numId w:val="5"/>
        </w:numPr>
        <w:shd w:val="clear"/>
        <w:adjustRightInd w:val="0"/>
        <w:snapToGrid w:val="0"/>
        <w:spacing w:line="400" w:lineRule="exact"/>
        <w:ind w:firstLine="422" w:firstLineChars="200"/>
        <w:rPr>
          <w:rFonts w:hint="eastAsia" w:ascii="宋体" w:hAnsi="宋体" w:eastAsia="宋体" w:cs="宋体"/>
          <w:b/>
          <w:color w:val="auto"/>
          <w:highlight w:val="none"/>
        </w:rPr>
      </w:pPr>
      <w:r>
        <w:rPr>
          <w:rFonts w:hint="eastAsia" w:ascii="宋体" w:hAnsi="宋体" w:eastAsia="宋体" w:cs="宋体"/>
          <w:b/>
          <w:color w:val="auto"/>
          <w:highlight w:val="none"/>
        </w:rPr>
        <w:t>合同份数</w:t>
      </w:r>
    </w:p>
    <w:p>
      <w:pPr>
        <w:shd w:val="clea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本合同一式</w:t>
      </w:r>
      <w:r>
        <w:rPr>
          <w:rFonts w:hint="eastAsia" w:ascii="宋体" w:hAnsi="宋体" w:eastAsia="宋体" w:cs="宋体"/>
          <w:color w:val="auto"/>
          <w:highlight w:val="none"/>
          <w:u w:val="single"/>
        </w:rPr>
        <w:t xml:space="preserve"> 肆 </w:t>
      </w:r>
      <w:r>
        <w:rPr>
          <w:rFonts w:hint="eastAsia" w:ascii="宋体" w:hAnsi="宋体" w:eastAsia="宋体" w:cs="宋体"/>
          <w:color w:val="auto"/>
          <w:highlight w:val="none"/>
        </w:rPr>
        <w:t>份，甲方执</w:t>
      </w:r>
      <w:r>
        <w:rPr>
          <w:rFonts w:hint="eastAsia" w:ascii="宋体" w:hAnsi="宋体" w:eastAsia="宋体" w:cs="宋体"/>
          <w:color w:val="auto"/>
          <w:highlight w:val="none"/>
          <w:u w:val="single"/>
        </w:rPr>
        <w:t xml:space="preserve"> 贰 </w:t>
      </w:r>
      <w:r>
        <w:rPr>
          <w:rFonts w:hint="eastAsia" w:ascii="宋体" w:hAnsi="宋体" w:eastAsia="宋体" w:cs="宋体"/>
          <w:color w:val="auto"/>
          <w:highlight w:val="none"/>
        </w:rPr>
        <w:t>份，乙方执</w:t>
      </w:r>
      <w:r>
        <w:rPr>
          <w:rFonts w:hint="eastAsia" w:ascii="宋体" w:hAnsi="宋体" w:eastAsia="宋体" w:cs="宋体"/>
          <w:color w:val="auto"/>
          <w:highlight w:val="none"/>
          <w:u w:val="single"/>
        </w:rPr>
        <w:t xml:space="preserve"> 贰 </w:t>
      </w:r>
      <w:r>
        <w:rPr>
          <w:rFonts w:hint="eastAsia" w:ascii="宋体" w:hAnsi="宋体" w:eastAsia="宋体" w:cs="宋体"/>
          <w:color w:val="auto"/>
          <w:highlight w:val="none"/>
        </w:rPr>
        <w:t>份，均具有同等法律效力。</w:t>
      </w:r>
    </w:p>
    <w:p>
      <w:pPr>
        <w:shd w:val="clea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合同订立时间：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pPr>
        <w:shd w:val="clea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合同订立地点：</w:t>
      </w:r>
      <w:r>
        <w:rPr>
          <w:rFonts w:hint="eastAsia" w:ascii="宋体" w:hAnsi="宋体" w:eastAsia="宋体" w:cs="宋体"/>
          <w:color w:val="auto"/>
          <w:highlight w:val="none"/>
          <w:u w:val="single"/>
        </w:rPr>
        <w:t xml:space="preserve">                           </w:t>
      </w:r>
    </w:p>
    <w:p>
      <w:pPr>
        <w:shd w:val="clea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附件：具体标的及其技术要求和商务要求、联合协议、分包意向协议等。</w:t>
      </w: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ind w:left="0" w:leftChars="0" w:firstLine="0" w:firstLineChars="0"/>
        <w:rPr>
          <w:rFonts w:hint="eastAsia" w:ascii="宋体" w:hAnsi="宋体" w:eastAsia="宋体" w:cs="宋体"/>
          <w:color w:val="auto"/>
          <w:highlight w:val="none"/>
        </w:rPr>
      </w:pPr>
    </w:p>
    <w:p>
      <w:pPr>
        <w:shd w:val="clear"/>
        <w:rPr>
          <w:rFonts w:hint="eastAsia" w:ascii="宋体" w:hAnsi="宋体" w:eastAsia="宋体" w:cs="宋体"/>
          <w:color w:val="auto"/>
          <w:highlight w:val="none"/>
        </w:rPr>
      </w:pPr>
    </w:p>
    <w:p>
      <w:pPr>
        <w:pStyle w:val="269"/>
        <w:shd w:val="clear"/>
        <w:rPr>
          <w:rFonts w:hint="eastAsia" w:ascii="宋体" w:hAnsi="宋体" w:eastAsia="宋体" w:cs="宋体"/>
          <w:color w:val="auto"/>
          <w:highlight w:val="none"/>
          <w:lang w:eastAsia="zh-CN"/>
        </w:rPr>
      </w:pPr>
    </w:p>
    <w:tbl>
      <w:tblPr>
        <w:tblStyle w:val="33"/>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865"/>
        <w:gridCol w:w="2379"/>
        <w:gridCol w:w="1951"/>
        <w:gridCol w:w="2088"/>
      </w:tblGrid>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甲方（采购人、受采购人委托签订合同的单位或采购文件约定的合同甲方）</w:t>
            </w:r>
          </w:p>
        </w:tc>
        <w:tc>
          <w:tcPr>
            <w:tcW w:w="2437" w:type="pct"/>
            <w:gridSpan w:val="2"/>
            <w:tcBorders>
              <w:left w:val="single" w:color="auto" w:sz="2" w:space="0"/>
              <w:bottom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乙方（供应商）</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单位名称（公章或合同章）</w:t>
            </w:r>
          </w:p>
        </w:tc>
        <w:tc>
          <w:tcPr>
            <w:tcW w:w="1436" w:type="pct"/>
            <w:tcBorders>
              <w:top w:val="single" w:color="auto" w:sz="2" w:space="0"/>
              <w:left w:val="single" w:color="auto" w:sz="2" w:space="0"/>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单位名称（公章或合同章）</w:t>
            </w:r>
          </w:p>
        </w:tc>
        <w:tc>
          <w:tcPr>
            <w:tcW w:w="1259" w:type="pct"/>
            <w:tcBorders>
              <w:top w:val="single" w:color="auto" w:sz="2" w:space="0"/>
              <w:left w:val="single" w:color="auto" w:sz="2" w:space="0"/>
              <w:bottom w:val="single" w:color="auto" w:sz="2" w:space="0"/>
            </w:tcBorders>
            <w:vAlign w:val="center"/>
          </w:tcPr>
          <w:p>
            <w:pPr>
              <w:shd w:val="clear"/>
              <w:adjustRightInd w:val="0"/>
              <w:snapToGrid w:val="0"/>
              <w:spacing w:line="300" w:lineRule="exact"/>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法定代表人</w:t>
            </w:r>
          </w:p>
          <w:p>
            <w:pPr>
              <w:shd w:val="clear"/>
              <w:adjustRightInd w:val="0"/>
              <w:snapToGrid w:val="0"/>
              <w:spacing w:line="300" w:lineRule="exact"/>
              <w:ind w:firstLine="100" w:firstLineChars="48"/>
              <w:jc w:val="center"/>
              <w:rPr>
                <w:rFonts w:hint="eastAsia" w:ascii="宋体" w:hAnsi="宋体" w:eastAsia="宋体" w:cs="宋体"/>
                <w:color w:val="auto"/>
                <w:highlight w:val="none"/>
              </w:rPr>
            </w:pPr>
            <w:r>
              <w:rPr>
                <w:rFonts w:hint="eastAsia" w:ascii="宋体" w:hAnsi="宋体" w:eastAsia="宋体" w:cs="宋体"/>
                <w:color w:val="auto"/>
                <w:highlight w:val="none"/>
              </w:rPr>
              <w:t>或其委托代理人（签章）</w:t>
            </w:r>
          </w:p>
        </w:tc>
        <w:tc>
          <w:tcPr>
            <w:tcW w:w="1436" w:type="pct"/>
            <w:vMerge w:val="restart"/>
            <w:tcBorders>
              <w:top w:val="single" w:color="auto" w:sz="2" w:space="0"/>
              <w:left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p>
        </w:tc>
        <w:tc>
          <w:tcPr>
            <w:tcW w:w="1178" w:type="pct"/>
            <w:tcBorders>
              <w:top w:val="single" w:color="auto" w:sz="2" w:space="0"/>
              <w:left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法定代表人</w:t>
            </w:r>
          </w:p>
          <w:p>
            <w:pPr>
              <w:shd w:val="clear"/>
              <w:adjustRightInd w:val="0"/>
              <w:snapToGrid w:val="0"/>
              <w:spacing w:line="3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或其委托代理人（签章）</w:t>
            </w:r>
          </w:p>
        </w:tc>
        <w:tc>
          <w:tcPr>
            <w:tcW w:w="1259" w:type="pct"/>
            <w:tcBorders>
              <w:top w:val="single" w:color="auto" w:sz="2" w:space="0"/>
              <w:left w:val="single" w:color="auto" w:sz="2" w:space="0"/>
              <w:bottom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p>
        </w:tc>
        <w:tc>
          <w:tcPr>
            <w:tcW w:w="1436" w:type="pct"/>
            <w:vMerge w:val="continue"/>
            <w:tcBorders>
              <w:left w:val="single" w:color="auto" w:sz="2" w:space="0"/>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拥有者性别</w:t>
            </w:r>
          </w:p>
        </w:tc>
        <w:tc>
          <w:tcPr>
            <w:tcW w:w="1259" w:type="pct"/>
            <w:tcBorders>
              <w:top w:val="single" w:color="auto" w:sz="2" w:space="0"/>
              <w:left w:val="single" w:color="auto" w:sz="2" w:space="0"/>
              <w:bottom w:val="single" w:color="auto" w:sz="2" w:space="0"/>
            </w:tcBorders>
            <w:vAlign w:val="center"/>
          </w:tcPr>
          <w:p>
            <w:pPr>
              <w:shd w:val="clear"/>
              <w:adjustRightInd w:val="0"/>
              <w:snapToGrid w:val="0"/>
              <w:spacing w:line="300" w:lineRule="exact"/>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住  所</w:t>
            </w:r>
          </w:p>
        </w:tc>
        <w:tc>
          <w:tcPr>
            <w:tcW w:w="1436" w:type="pct"/>
            <w:tcBorders>
              <w:top w:val="single" w:color="auto" w:sz="2" w:space="0"/>
              <w:left w:val="single" w:color="auto" w:sz="2" w:space="0"/>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住  所</w:t>
            </w:r>
          </w:p>
        </w:tc>
        <w:tc>
          <w:tcPr>
            <w:tcW w:w="1259" w:type="pct"/>
            <w:tcBorders>
              <w:top w:val="single" w:color="auto" w:sz="2" w:space="0"/>
              <w:left w:val="single" w:color="auto" w:sz="2" w:space="0"/>
              <w:bottom w:val="single" w:color="auto" w:sz="2" w:space="0"/>
            </w:tcBorders>
            <w:vAlign w:val="center"/>
          </w:tcPr>
          <w:p>
            <w:pPr>
              <w:shd w:val="clear"/>
              <w:adjustRightInd w:val="0"/>
              <w:snapToGrid w:val="0"/>
              <w:spacing w:line="300" w:lineRule="exact"/>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联 系 人</w:t>
            </w:r>
          </w:p>
        </w:tc>
        <w:tc>
          <w:tcPr>
            <w:tcW w:w="1259" w:type="pct"/>
            <w:tcBorders>
              <w:top w:val="single" w:color="auto" w:sz="2" w:space="0"/>
              <w:left w:val="single" w:color="auto" w:sz="2" w:space="0"/>
              <w:bottom w:val="single" w:color="auto" w:sz="2" w:space="0"/>
            </w:tcBorders>
            <w:vAlign w:val="center"/>
          </w:tcPr>
          <w:p>
            <w:pPr>
              <w:shd w:val="clear"/>
              <w:adjustRightInd w:val="0"/>
              <w:snapToGrid w:val="0"/>
              <w:spacing w:line="300" w:lineRule="exact"/>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联系电话</w:t>
            </w:r>
          </w:p>
        </w:tc>
        <w:tc>
          <w:tcPr>
            <w:tcW w:w="1259" w:type="pct"/>
            <w:tcBorders>
              <w:top w:val="single" w:color="auto" w:sz="2" w:space="0"/>
              <w:left w:val="single" w:color="auto" w:sz="2" w:space="0"/>
              <w:bottom w:val="single" w:color="auto" w:sz="2" w:space="0"/>
            </w:tcBorders>
            <w:vAlign w:val="center"/>
          </w:tcPr>
          <w:p>
            <w:pPr>
              <w:shd w:val="clear"/>
              <w:adjustRightInd w:val="0"/>
              <w:snapToGrid w:val="0"/>
              <w:spacing w:line="300" w:lineRule="exact"/>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通信地址</w:t>
            </w:r>
          </w:p>
        </w:tc>
        <w:tc>
          <w:tcPr>
            <w:tcW w:w="1259" w:type="pct"/>
            <w:tcBorders>
              <w:top w:val="single" w:color="auto" w:sz="2" w:space="0"/>
              <w:left w:val="single" w:color="auto" w:sz="2" w:space="0"/>
              <w:bottom w:val="single" w:color="auto" w:sz="2" w:space="0"/>
            </w:tcBorders>
            <w:vAlign w:val="center"/>
          </w:tcPr>
          <w:p>
            <w:pPr>
              <w:shd w:val="clear"/>
              <w:adjustRightInd w:val="0"/>
              <w:snapToGrid w:val="0"/>
              <w:spacing w:line="300" w:lineRule="exact"/>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邮政编码</w:t>
            </w:r>
          </w:p>
        </w:tc>
        <w:tc>
          <w:tcPr>
            <w:tcW w:w="1259" w:type="pct"/>
            <w:tcBorders>
              <w:top w:val="single" w:color="auto" w:sz="2" w:space="0"/>
              <w:left w:val="single" w:color="auto" w:sz="2" w:space="0"/>
              <w:bottom w:val="single" w:color="auto" w:sz="2" w:space="0"/>
            </w:tcBorders>
            <w:vAlign w:val="center"/>
          </w:tcPr>
          <w:p>
            <w:pPr>
              <w:shd w:val="clear"/>
              <w:adjustRightInd w:val="0"/>
              <w:snapToGrid w:val="0"/>
              <w:spacing w:line="300" w:lineRule="exact"/>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电子邮箱</w:t>
            </w:r>
          </w:p>
        </w:tc>
        <w:tc>
          <w:tcPr>
            <w:tcW w:w="1259" w:type="pct"/>
            <w:tcBorders>
              <w:top w:val="single" w:color="auto" w:sz="2" w:space="0"/>
              <w:left w:val="single" w:color="auto" w:sz="2" w:space="0"/>
              <w:bottom w:val="single" w:color="auto" w:sz="2" w:space="0"/>
            </w:tcBorders>
            <w:vAlign w:val="center"/>
          </w:tcPr>
          <w:p>
            <w:pPr>
              <w:shd w:val="clear"/>
              <w:adjustRightInd w:val="0"/>
              <w:snapToGrid w:val="0"/>
              <w:spacing w:line="300" w:lineRule="exact"/>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统一社会信用代码</w:t>
            </w:r>
          </w:p>
        </w:tc>
        <w:tc>
          <w:tcPr>
            <w:tcW w:w="1259" w:type="pct"/>
            <w:tcBorders>
              <w:top w:val="single" w:color="auto" w:sz="2" w:space="0"/>
              <w:left w:val="single" w:color="auto" w:sz="2" w:space="0"/>
              <w:bottom w:val="single" w:color="auto" w:sz="2" w:space="0"/>
            </w:tcBorders>
            <w:vAlign w:val="center"/>
          </w:tcPr>
          <w:p>
            <w:pPr>
              <w:shd w:val="clear"/>
              <w:adjustRightInd w:val="0"/>
              <w:snapToGrid w:val="0"/>
              <w:spacing w:line="300" w:lineRule="exact"/>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开户名称</w:t>
            </w:r>
          </w:p>
        </w:tc>
        <w:tc>
          <w:tcPr>
            <w:tcW w:w="1259" w:type="pct"/>
            <w:tcBorders>
              <w:top w:val="single" w:color="auto" w:sz="2" w:space="0"/>
              <w:left w:val="single" w:color="auto" w:sz="2" w:space="0"/>
              <w:bottom w:val="single" w:color="auto" w:sz="2" w:space="0"/>
            </w:tcBorders>
            <w:vAlign w:val="center"/>
          </w:tcPr>
          <w:p>
            <w:pPr>
              <w:shd w:val="clear"/>
              <w:adjustRightInd w:val="0"/>
              <w:snapToGrid w:val="0"/>
              <w:spacing w:line="300" w:lineRule="exact"/>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开户银行</w:t>
            </w:r>
          </w:p>
        </w:tc>
        <w:tc>
          <w:tcPr>
            <w:tcW w:w="1259" w:type="pct"/>
            <w:tcBorders>
              <w:top w:val="single" w:color="auto" w:sz="2" w:space="0"/>
              <w:left w:val="single" w:color="auto" w:sz="2" w:space="0"/>
              <w:bottom w:val="single" w:color="auto" w:sz="2" w:space="0"/>
            </w:tcBorders>
            <w:vAlign w:val="center"/>
          </w:tcPr>
          <w:p>
            <w:pPr>
              <w:shd w:val="clear"/>
              <w:adjustRightInd w:val="0"/>
              <w:snapToGrid w:val="0"/>
              <w:spacing w:line="300" w:lineRule="exact"/>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shd w:val="clear"/>
              <w:adjustRightInd w:val="0"/>
              <w:snapToGrid w:val="0"/>
              <w:spacing w:line="3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银行账号</w:t>
            </w:r>
          </w:p>
        </w:tc>
        <w:tc>
          <w:tcPr>
            <w:tcW w:w="1259" w:type="pct"/>
            <w:tcBorders>
              <w:top w:val="single" w:color="auto" w:sz="2" w:space="0"/>
              <w:left w:val="single" w:color="auto" w:sz="2" w:space="0"/>
              <w:bottom w:val="single" w:color="auto" w:sz="2" w:space="0"/>
            </w:tcBorders>
            <w:vAlign w:val="center"/>
          </w:tcPr>
          <w:p>
            <w:pPr>
              <w:shd w:val="clear"/>
              <w:adjustRightInd w:val="0"/>
              <w:snapToGrid w:val="0"/>
              <w:spacing w:line="300" w:lineRule="exact"/>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pPr>
              <w:pStyle w:val="15"/>
              <w:shd w:val="clear"/>
              <w:adjustRightInd w:val="0"/>
              <w:snapToGrid w:val="0"/>
              <w:spacing w:before="120" w:beforeLines="50" w:line="360" w:lineRule="auto"/>
              <w:ind w:firstLine="720"/>
              <w:jc w:val="left"/>
              <w:rPr>
                <w:rFonts w:hint="eastAsia" w:ascii="宋体" w:hAnsi="宋体" w:eastAsia="宋体" w:cs="宋体"/>
                <w:color w:val="auto"/>
                <w:spacing w:val="20"/>
                <w:highlight w:val="none"/>
              </w:rPr>
            </w:pPr>
            <w:r>
              <w:rPr>
                <w:rFonts w:hint="eastAsia" w:ascii="宋体" w:hAnsi="宋体" w:eastAsia="宋体" w:cs="宋体"/>
                <w:color w:val="auto"/>
                <w:highlight w:val="none"/>
              </w:rPr>
              <w:t>注：涉及联合体或其他合同主体的信息应按上表格式加列。</w:t>
            </w:r>
          </w:p>
        </w:tc>
      </w:tr>
    </w:tbl>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rPr>
          <w:rFonts w:hint="eastAsia" w:ascii="宋体" w:hAnsi="宋体" w:eastAsia="宋体" w:cs="宋体"/>
          <w:color w:val="auto"/>
          <w:highlight w:val="none"/>
        </w:rPr>
      </w:pPr>
    </w:p>
    <w:p>
      <w:pPr>
        <w:pStyle w:val="45"/>
        <w:shd w:val="clear"/>
        <w:ind w:left="0" w:leftChars="0" w:firstLine="0" w:firstLineChars="0"/>
        <w:rPr>
          <w:rFonts w:hint="eastAsia" w:ascii="宋体" w:hAnsi="宋体" w:eastAsia="宋体" w:cs="宋体"/>
          <w:color w:val="auto"/>
          <w:highlight w:val="none"/>
        </w:rPr>
      </w:pPr>
    </w:p>
    <w:p>
      <w:pPr>
        <w:pStyle w:val="45"/>
        <w:shd w:val="clear"/>
        <w:ind w:firstLine="0" w:firstLineChars="0"/>
        <w:rPr>
          <w:rFonts w:hint="eastAsia" w:ascii="宋体" w:hAnsi="宋体" w:eastAsia="宋体" w:cs="宋体"/>
          <w:color w:val="auto"/>
          <w:highlight w:val="none"/>
        </w:rPr>
      </w:pPr>
    </w:p>
    <w:p>
      <w:pPr>
        <w:pStyle w:val="5"/>
        <w:shd w:val="clear"/>
        <w:adjustRightInd w:val="0"/>
        <w:snapToGrid w:val="0"/>
        <w:spacing w:before="120" w:beforeLines="50"/>
        <w:jc w:val="center"/>
        <w:rPr>
          <w:rFonts w:hint="eastAsia" w:ascii="宋体" w:hAnsi="宋体" w:eastAsia="宋体" w:cs="宋体"/>
          <w:color w:val="auto"/>
          <w:sz w:val="28"/>
          <w:szCs w:val="28"/>
          <w:highlight w:val="none"/>
        </w:rPr>
      </w:pPr>
      <w:bookmarkStart w:id="4" w:name="_Toc27624"/>
      <w:r>
        <w:rPr>
          <w:rFonts w:hint="eastAsia" w:ascii="宋体" w:hAnsi="宋体" w:eastAsia="宋体" w:cs="宋体"/>
          <w:color w:val="auto"/>
          <w:sz w:val="28"/>
          <w:szCs w:val="28"/>
          <w:highlight w:val="none"/>
        </w:rPr>
        <w:t>第二节 政府采购合同通用条款</w:t>
      </w:r>
      <w:bookmarkEnd w:id="4"/>
    </w:p>
    <w:p>
      <w:pPr>
        <w:shd w:val="clear"/>
        <w:tabs>
          <w:tab w:val="left" w:pos="8820"/>
          <w:tab w:val="left" w:pos="9345"/>
          <w:tab w:val="left" w:pos="9765"/>
        </w:tabs>
        <w:adjustRightInd w:val="0"/>
        <w:snapToGrid w:val="0"/>
        <w:spacing w:line="400" w:lineRule="exact"/>
        <w:jc w:val="lef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1. </w:t>
      </w:r>
      <w:r>
        <w:rPr>
          <w:rFonts w:hint="eastAsia" w:ascii="宋体" w:hAnsi="宋体" w:eastAsia="宋体" w:cs="宋体"/>
          <w:b/>
          <w:bCs/>
          <w:color w:val="auto"/>
          <w:sz w:val="24"/>
          <w:highlight w:val="none"/>
        </w:rPr>
        <w:t>定义</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1.1合同当事人</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（1）采购人（以下称甲方）是指使用财政性资金，通过政府采购方式向供应商购买货物及其相关服务的国家机关、事业单位、团体组织。</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（2）供应商（以下称乙方）是指参加政府采购活动并且中标（成交），向采购人提供合同约定的货物及其相关服务的法人、非法人组织或者自然人。</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（3）其他合同主体是指除采购人和供应商以外，</w:t>
      </w:r>
      <w:r>
        <w:rPr>
          <w:rFonts w:hint="eastAsia" w:ascii="宋体" w:hAnsi="宋体" w:eastAsia="宋体" w:cs="宋体"/>
          <w:bCs/>
          <w:color w:val="auto"/>
          <w:highlight w:val="none"/>
        </w:rPr>
        <w:t>依法参与合同缔结或履行，享有权利、承担义务的合同当事人</w:t>
      </w:r>
      <w:r>
        <w:rPr>
          <w:rFonts w:hint="eastAsia" w:ascii="宋体" w:hAnsi="宋体" w:eastAsia="宋体" w:cs="宋体"/>
          <w:color w:val="auto"/>
          <w:highlight w:val="none"/>
        </w:rPr>
        <w:t>。</w:t>
      </w:r>
    </w:p>
    <w:p>
      <w:pPr>
        <w:shd w:val="clear"/>
        <w:tabs>
          <w:tab w:val="left" w:pos="570"/>
          <w:tab w:val="left" w:pos="9240"/>
          <w:tab w:val="left" w:pos="9555"/>
        </w:tabs>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1.2本合同下列术语应解释为：</w:t>
      </w:r>
    </w:p>
    <w:p>
      <w:pPr>
        <w:shd w:val="clear"/>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（1）“合同”系指</w:t>
      </w:r>
      <w:r>
        <w:rPr>
          <w:rFonts w:hint="eastAsia" w:ascii="宋体" w:hAnsi="宋体" w:eastAsia="宋体" w:cs="宋体"/>
          <w:bCs/>
          <w:color w:val="auto"/>
          <w:highlight w:val="none"/>
        </w:rPr>
        <w:t>合同当事人意思表示达成一致的任何协议，包括签署的</w:t>
      </w:r>
      <w:r>
        <w:rPr>
          <w:rFonts w:hint="eastAsia" w:ascii="宋体" w:hAnsi="宋体" w:eastAsia="宋体" w:cs="宋体"/>
          <w:color w:val="auto"/>
          <w:highlight w:val="none"/>
        </w:rPr>
        <w:t>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auto"/>
          <w:kern w:val="2"/>
          <w:highlight w:val="none"/>
        </w:rPr>
        <w:t>国家法律、行政法规和规章制度规定或合同约定的作为合同组成部分的其他文件</w:t>
      </w:r>
      <w:r>
        <w:rPr>
          <w:rFonts w:hint="eastAsia" w:ascii="宋体" w:hAnsi="宋体" w:eastAsia="宋体" w:cs="宋体"/>
          <w:color w:val="auto"/>
          <w:highlight w:val="none"/>
        </w:rPr>
        <w:t>。</w:t>
      </w:r>
    </w:p>
    <w:p>
      <w:pPr>
        <w:shd w:val="clear"/>
        <w:tabs>
          <w:tab w:val="left" w:pos="570"/>
          <w:tab w:val="left" w:pos="9240"/>
          <w:tab w:val="left" w:pos="9555"/>
        </w:tabs>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（2）“合同价款”系指根据本合同规定乙方在全面履行合同义务后甲方应支付给乙方的价款。</w:t>
      </w:r>
    </w:p>
    <w:p>
      <w:pPr>
        <w:shd w:val="clear"/>
        <w:tabs>
          <w:tab w:val="left" w:pos="570"/>
          <w:tab w:val="left" w:pos="9240"/>
          <w:tab w:val="left" w:pos="9555"/>
        </w:tabs>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（3）“货物”系指乙方根据本合同规定须向甲方提供的各种形态和种类的物品，包括原材料、设备、产品（包括软件）及相关的其备品备件、工具、手册及</w:t>
      </w:r>
      <w:r>
        <w:rPr>
          <w:rFonts w:hint="eastAsia" w:ascii="宋体" w:hAnsi="宋体" w:eastAsia="宋体" w:cs="宋体"/>
          <w:color w:val="auto"/>
          <w:highlight w:val="none"/>
          <w:lang w:val="en"/>
        </w:rPr>
        <w:t>其他</w:t>
      </w:r>
      <w:r>
        <w:rPr>
          <w:rFonts w:hint="eastAsia" w:ascii="宋体" w:hAnsi="宋体" w:eastAsia="宋体" w:cs="宋体"/>
          <w:color w:val="auto"/>
          <w:highlight w:val="none"/>
        </w:rPr>
        <w:t>技术资料和材料等。</w:t>
      </w:r>
    </w:p>
    <w:p>
      <w:pPr>
        <w:shd w:val="clear"/>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（4）“相关服务”系指根据合同规定，乙方应提供的与货物有关的技术、管理和</w:t>
      </w:r>
      <w:r>
        <w:rPr>
          <w:rFonts w:hint="eastAsia" w:ascii="宋体" w:hAnsi="宋体" w:eastAsia="宋体" w:cs="宋体"/>
          <w:color w:val="auto"/>
          <w:highlight w:val="none"/>
          <w:lang w:val="en"/>
        </w:rPr>
        <w:t>其他</w:t>
      </w:r>
      <w:r>
        <w:rPr>
          <w:rFonts w:hint="eastAsia" w:ascii="宋体" w:hAnsi="宋体" w:eastAsia="宋体" w:cs="宋体"/>
          <w:color w:val="auto"/>
          <w:highlight w:val="none"/>
        </w:rPr>
        <w:t>服务，包括但不限于：管理和质量保证、运输、保险、检验、现场准备、安装、集成、调试、培训、维修、废弃处置、技术支持等以及合同中规定乙方应承担的</w:t>
      </w:r>
      <w:r>
        <w:rPr>
          <w:rFonts w:hint="eastAsia" w:ascii="宋体" w:hAnsi="宋体" w:eastAsia="宋体" w:cs="宋体"/>
          <w:color w:val="auto"/>
          <w:highlight w:val="none"/>
          <w:lang w:val="en"/>
        </w:rPr>
        <w:t>其他</w:t>
      </w:r>
      <w:r>
        <w:rPr>
          <w:rFonts w:hint="eastAsia" w:ascii="宋体" w:hAnsi="宋体" w:eastAsia="宋体" w:cs="宋体"/>
          <w:color w:val="auto"/>
          <w:highlight w:val="none"/>
        </w:rPr>
        <w:t>义务。</w:t>
      </w:r>
    </w:p>
    <w:p>
      <w:pPr>
        <w:shd w:val="clear"/>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（5）“分包”系指中标（成交）供应商按采购文件、投标（响应）文件的规定，根据分包意向协议，将中标（成交）项目中的部分履约内容，分给具有相应资质条件的供应商履行合同的行为。</w:t>
      </w:r>
    </w:p>
    <w:p>
      <w:pPr>
        <w:shd w:val="clear"/>
        <w:tabs>
          <w:tab w:val="left" w:pos="570"/>
          <w:tab w:val="left" w:pos="9240"/>
          <w:tab w:val="left" w:pos="9555"/>
        </w:tabs>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highlight w:val="none"/>
        </w:rPr>
        <w:t>政府采购合同专用条款</w:t>
      </w:r>
      <w:r>
        <w:rPr>
          <w:rFonts w:hint="eastAsia" w:ascii="宋体" w:hAnsi="宋体" w:eastAsia="宋体" w:cs="宋体"/>
          <w:color w:val="auto"/>
          <w:highlight w:val="none"/>
        </w:rPr>
        <w:t>】。</w:t>
      </w:r>
    </w:p>
    <w:p>
      <w:pPr>
        <w:shd w:val="clear"/>
        <w:tabs>
          <w:tab w:val="left" w:pos="570"/>
          <w:tab w:val="left" w:pos="9240"/>
          <w:tab w:val="left" w:pos="9555"/>
        </w:tabs>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（7）其他术语解释，见【</w:t>
      </w:r>
      <w:r>
        <w:rPr>
          <w:rFonts w:hint="eastAsia" w:ascii="宋体" w:hAnsi="宋体" w:eastAsia="宋体" w:cs="宋体"/>
          <w:b/>
          <w:bCs/>
          <w:color w:val="auto"/>
          <w:highlight w:val="none"/>
        </w:rPr>
        <w:t>政府采购合同专用条款</w:t>
      </w:r>
      <w:r>
        <w:rPr>
          <w:rFonts w:hint="eastAsia" w:ascii="宋体" w:hAnsi="宋体" w:eastAsia="宋体" w:cs="宋体"/>
          <w:color w:val="auto"/>
          <w:highlight w:val="none"/>
        </w:rPr>
        <w:t>】。</w:t>
      </w:r>
    </w:p>
    <w:p>
      <w:pPr>
        <w:numPr>
          <w:ilvl w:val="0"/>
          <w:numId w:val="8"/>
        </w:numPr>
        <w:shd w:val="clear"/>
        <w:autoSpaceDE w:val="0"/>
        <w:autoSpaceDN w:val="0"/>
        <w:adjustRightInd w:val="0"/>
        <w:snapToGrid w:val="0"/>
        <w:spacing w:line="400" w:lineRule="exact"/>
        <w:jc w:val="lef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合同标的及金额</w:t>
      </w:r>
    </w:p>
    <w:p>
      <w:pPr>
        <w:shd w:val="clear"/>
        <w:autoSpaceDE w:val="0"/>
        <w:autoSpaceDN w:val="0"/>
        <w:adjustRightInd w:val="0"/>
        <w:snapToGrid w:val="0"/>
        <w:spacing w:line="400" w:lineRule="exact"/>
        <w:ind w:firstLine="420" w:firstLineChars="200"/>
        <w:jc w:val="left"/>
        <w:rPr>
          <w:rFonts w:hint="eastAsia" w:ascii="宋体" w:hAnsi="宋体" w:eastAsia="宋体" w:cs="宋体"/>
          <w:b/>
          <w:bCs/>
          <w:i/>
          <w:iCs/>
          <w:color w:val="auto"/>
          <w:highlight w:val="none"/>
        </w:rPr>
      </w:pPr>
      <w:r>
        <w:rPr>
          <w:rFonts w:hint="eastAsia" w:ascii="宋体" w:hAnsi="宋体" w:eastAsia="宋体" w:cs="宋体"/>
          <w:color w:val="auto"/>
          <w:highlight w:val="none"/>
        </w:rPr>
        <w:t>2.1 合同标的及金额应与中标（成交）结果一致。乙方为履行本合同而发生的所有费用均应包含在合同价款中，甲方不再另行支付</w:t>
      </w:r>
      <w:r>
        <w:rPr>
          <w:rFonts w:hint="eastAsia" w:ascii="宋体" w:hAnsi="宋体" w:eastAsia="宋体" w:cs="宋体"/>
          <w:color w:val="auto"/>
          <w:highlight w:val="none"/>
          <w:lang w:val="en"/>
        </w:rPr>
        <w:t>其他</w:t>
      </w:r>
      <w:r>
        <w:rPr>
          <w:rFonts w:hint="eastAsia" w:ascii="宋体" w:hAnsi="宋体" w:eastAsia="宋体" w:cs="宋体"/>
          <w:color w:val="auto"/>
          <w:highlight w:val="none"/>
        </w:rPr>
        <w:t>任何费用。</w:t>
      </w:r>
    </w:p>
    <w:p>
      <w:pPr>
        <w:shd w:val="clear"/>
        <w:adjustRightInd w:val="0"/>
        <w:snapToGrid w:val="0"/>
        <w:spacing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 履行合同的时间、地点和方式</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3.1 乙方应当在约定的时间、地点，按照约定方式履行合同。</w:t>
      </w:r>
    </w:p>
    <w:p>
      <w:pPr>
        <w:shd w:val="clear"/>
        <w:autoSpaceDE w:val="0"/>
        <w:autoSpaceDN w:val="0"/>
        <w:adjustRightInd w:val="0"/>
        <w:snapToGrid w:val="0"/>
        <w:spacing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 甲方的权利和义务</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4.1 签署合同后，甲方应确定项目负责人（或项目联系人），负责与本合同有关的事务。甲方有权对乙方的履约行为进行检查，并及时确认乙方提交的事项。甲方应当配合乙方完成相关项目实施工作。</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4.2 甲方有权要求乙方按时提交各阶段有关安排计划，并有权定期核对乙方提供货物数量、规格、质量等内容。甲方有权督促乙方工作并要求乙方更换不符合要求的货物。</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4.3 甲方有权要求乙方对缺陷部分予以修复，并按合同约定享有货物保修及其他合同约定的权利。</w:t>
      </w:r>
    </w:p>
    <w:p>
      <w:pPr>
        <w:shd w:val="clear"/>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4.4 甲方应当按照合同约定及时对交付的货物进行验收，未在</w:t>
      </w:r>
      <w:r>
        <w:rPr>
          <w:rFonts w:hint="eastAsia" w:ascii="宋体" w:hAnsi="宋体" w:eastAsia="宋体" w:cs="宋体"/>
          <w:b/>
          <w:bCs/>
          <w:color w:val="auto"/>
          <w:highlight w:val="none"/>
        </w:rPr>
        <w:t>【政府采购合同专用条款】</w:t>
      </w:r>
      <w:r>
        <w:rPr>
          <w:rFonts w:hint="eastAsia" w:ascii="宋体" w:hAnsi="宋体" w:eastAsia="宋体" w:cs="宋体"/>
          <w:color w:val="auto"/>
          <w:highlight w:val="none"/>
        </w:rPr>
        <w:t>约定的期限内对乙方履约提出任何异议或者向乙方作出任何说明的，视为验收通过。</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4.5 甲方应当根据合同约定及时向乙方支付合同价款，不得以内部人员变更、履行内部付款流程等为由，拒绝或迟延支付。</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4.6 国家法律法规规定及</w:t>
      </w:r>
      <w:r>
        <w:rPr>
          <w:rFonts w:hint="eastAsia" w:ascii="宋体" w:hAnsi="宋体" w:eastAsia="宋体" w:cs="宋体"/>
          <w:b/>
          <w:bCs/>
          <w:color w:val="auto"/>
          <w:highlight w:val="none"/>
        </w:rPr>
        <w:t>【政府采购合同专用条款】</w:t>
      </w:r>
      <w:r>
        <w:rPr>
          <w:rFonts w:hint="eastAsia" w:ascii="宋体" w:hAnsi="宋体" w:eastAsia="宋体" w:cs="宋体"/>
          <w:color w:val="auto"/>
          <w:highlight w:val="none"/>
        </w:rPr>
        <w:t>约定应由甲方承担的其他义务和责任。</w:t>
      </w:r>
    </w:p>
    <w:p>
      <w:pPr>
        <w:shd w:val="clear"/>
        <w:autoSpaceDE w:val="0"/>
        <w:autoSpaceDN w:val="0"/>
        <w:adjustRightInd w:val="0"/>
        <w:snapToGrid w:val="0"/>
        <w:spacing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5. 乙方的权利和义务</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5.1 签署合同后，乙方应确定项目负责人（或项目联系人），负责与本合同有关的事务。</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pPr>
        <w:pStyle w:val="2"/>
        <w:shd w:val="clear"/>
        <w:spacing w:line="400" w:lineRule="exact"/>
        <w:ind w:firstLine="369" w:firstLineChars="176"/>
        <w:rPr>
          <w:rFonts w:hint="eastAsia" w:ascii="宋体" w:hAnsi="宋体" w:eastAsia="宋体" w:cs="宋体"/>
          <w:color w:val="auto"/>
          <w:sz w:val="21"/>
          <w:highlight w:val="none"/>
        </w:rPr>
      </w:pPr>
      <w:r>
        <w:rPr>
          <w:rFonts w:hint="eastAsia" w:ascii="宋体" w:hAnsi="宋体" w:eastAsia="宋体" w:cs="宋体"/>
          <w:color w:val="auto"/>
          <w:sz w:val="21"/>
          <w:highlight w:val="none"/>
        </w:rPr>
        <w:t>5.3乙方有权根据合同约定向甲方收取合同价款。</w:t>
      </w:r>
    </w:p>
    <w:p>
      <w:pPr>
        <w:pStyle w:val="2"/>
        <w:shd w:val="clear"/>
        <w:spacing w:line="400" w:lineRule="exact"/>
        <w:ind w:firstLine="369" w:firstLineChars="176"/>
        <w:rPr>
          <w:rFonts w:hint="eastAsia" w:ascii="宋体" w:hAnsi="宋体" w:eastAsia="宋体" w:cs="宋体"/>
          <w:color w:val="auto"/>
          <w:sz w:val="21"/>
          <w:highlight w:val="none"/>
        </w:rPr>
      </w:pPr>
      <w:r>
        <w:rPr>
          <w:rFonts w:hint="eastAsia" w:ascii="宋体" w:hAnsi="宋体" w:eastAsia="宋体" w:cs="宋体"/>
          <w:color w:val="auto"/>
          <w:sz w:val="21"/>
          <w:highlight w:val="none"/>
        </w:rPr>
        <w:t>5.4国家法律法规规定及</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约定应由乙方承担的其他义务和责任。</w:t>
      </w:r>
    </w:p>
    <w:p>
      <w:pPr>
        <w:numPr>
          <w:ilvl w:val="0"/>
          <w:numId w:val="9"/>
        </w:numPr>
        <w:shd w:val="clear"/>
        <w:autoSpaceDE w:val="0"/>
        <w:autoSpaceDN w:val="0"/>
        <w:adjustRightInd w:val="0"/>
        <w:snapToGrid w:val="0"/>
        <w:spacing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合同履行</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6.1 甲乙双方应当按照</w:t>
      </w:r>
      <w:r>
        <w:rPr>
          <w:rFonts w:hint="eastAsia" w:ascii="宋体" w:hAnsi="宋体" w:eastAsia="宋体" w:cs="宋体"/>
          <w:b/>
          <w:bCs/>
          <w:color w:val="auto"/>
          <w:highlight w:val="none"/>
        </w:rPr>
        <w:t>【政府采购合同专用条款】</w:t>
      </w:r>
      <w:r>
        <w:rPr>
          <w:rFonts w:hint="eastAsia" w:ascii="宋体" w:hAnsi="宋体" w:eastAsia="宋体" w:cs="宋体"/>
          <w:color w:val="auto"/>
          <w:highlight w:val="none"/>
        </w:rPr>
        <w:t>约定顺序履行合同义务；如果没有先后顺序的，应当同时履行。</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6.2 甲乙双方按照合同约定顺序履行合同义务时，应当先履行一方未履行的，后履行一方有权拒绝其履行请求。先履行一方履行不符合约定的，后履行一方有权拒绝其相应的履行请求。</w:t>
      </w:r>
    </w:p>
    <w:p>
      <w:pPr>
        <w:shd w:val="clear"/>
        <w:adjustRightInd w:val="0"/>
        <w:snapToGrid w:val="0"/>
        <w:spacing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7. 货物包装、运输、保险和交付要求</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7.1 本合同</w:t>
      </w:r>
      <w:r>
        <w:rPr>
          <w:rFonts w:hint="eastAsia" w:ascii="宋体" w:hAnsi="宋体" w:eastAsia="宋体" w:cs="宋体"/>
          <w:bCs/>
          <w:color w:val="auto"/>
          <w:highlight w:val="none"/>
        </w:rPr>
        <w:t>涉及商品包装、快递包装的，</w:t>
      </w:r>
      <w:r>
        <w:rPr>
          <w:rFonts w:hint="eastAsia" w:ascii="宋体" w:hAnsi="宋体" w:eastAsia="宋体" w:cs="宋体"/>
          <w:color w:val="auto"/>
          <w:highlight w:val="none"/>
        </w:rPr>
        <w:t>除</w:t>
      </w:r>
      <w:r>
        <w:rPr>
          <w:rFonts w:hint="eastAsia" w:ascii="宋体" w:hAnsi="宋体" w:eastAsia="宋体" w:cs="宋体"/>
          <w:b/>
          <w:color w:val="auto"/>
          <w:highlight w:val="none"/>
        </w:rPr>
        <w:t>【政府采购合同专用条款】</w:t>
      </w:r>
      <w:r>
        <w:rPr>
          <w:rFonts w:hint="eastAsia" w:ascii="宋体" w:hAnsi="宋体" w:eastAsia="宋体" w:cs="宋体"/>
          <w:bCs/>
          <w:color w:val="auto"/>
          <w:highlight w:val="none"/>
        </w:rPr>
        <w:t>另有约定外，</w:t>
      </w:r>
      <w:r>
        <w:rPr>
          <w:rFonts w:hint="eastAsia" w:ascii="宋体" w:hAnsi="宋体" w:eastAsia="宋体" w:cs="宋体"/>
          <w:color w:val="auto"/>
          <w:highlight w:val="none"/>
        </w:rPr>
        <w:t>包装应适应远距离运输、防潮、防震、防锈和防野蛮装卸等要求，确保货物安全无损地运抵</w:t>
      </w:r>
      <w:r>
        <w:rPr>
          <w:rFonts w:hint="eastAsia" w:ascii="宋体" w:hAnsi="宋体" w:eastAsia="宋体" w:cs="宋体"/>
          <w:b/>
          <w:color w:val="auto"/>
          <w:highlight w:val="none"/>
        </w:rPr>
        <w:t>【政府采购合同专用条款】</w:t>
      </w:r>
      <w:r>
        <w:rPr>
          <w:rFonts w:hint="eastAsia" w:ascii="宋体" w:hAnsi="宋体" w:eastAsia="宋体" w:cs="宋体"/>
          <w:bCs/>
          <w:color w:val="auto"/>
          <w:highlight w:val="none"/>
        </w:rPr>
        <w:t>约定的</w:t>
      </w:r>
      <w:r>
        <w:rPr>
          <w:rFonts w:hint="eastAsia" w:ascii="宋体" w:hAnsi="宋体" w:eastAsia="宋体" w:cs="宋体"/>
          <w:color w:val="auto"/>
          <w:highlight w:val="none"/>
        </w:rPr>
        <w:t>指定现场。</w:t>
      </w:r>
    </w:p>
    <w:p>
      <w:pPr>
        <w:shd w:val="clear"/>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7.2 除</w:t>
      </w:r>
      <w:r>
        <w:rPr>
          <w:rFonts w:hint="eastAsia" w:ascii="宋体" w:hAnsi="宋体" w:eastAsia="宋体" w:cs="宋体"/>
          <w:b/>
          <w:color w:val="auto"/>
          <w:highlight w:val="none"/>
        </w:rPr>
        <w:t>【政府采购合同专用条款】</w:t>
      </w:r>
      <w:r>
        <w:rPr>
          <w:rFonts w:hint="eastAsia" w:ascii="宋体" w:hAnsi="宋体" w:eastAsia="宋体" w:cs="宋体"/>
          <w:bCs/>
          <w:color w:val="auto"/>
          <w:highlight w:val="none"/>
        </w:rPr>
        <w:t>另有约定外，</w:t>
      </w:r>
      <w:r>
        <w:rPr>
          <w:rFonts w:hint="eastAsia" w:ascii="宋体" w:hAnsi="宋体" w:eastAsia="宋体" w:cs="宋体"/>
          <w:color w:val="auto"/>
          <w:highlight w:val="none"/>
        </w:rPr>
        <w:t>乙方负责办理将货物运抵本合同规定的交货地点，并装卸、交付至甲方的一切运输事项，相关费用应包含在合同价款中。</w:t>
      </w:r>
    </w:p>
    <w:p>
      <w:pPr>
        <w:shd w:val="clear"/>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7.3 货物保险要求按</w:t>
      </w:r>
      <w:r>
        <w:rPr>
          <w:rFonts w:hint="eastAsia" w:ascii="宋体" w:hAnsi="宋体" w:eastAsia="宋体" w:cs="宋体"/>
          <w:b/>
          <w:color w:val="auto"/>
          <w:highlight w:val="none"/>
        </w:rPr>
        <w:t>【政府采购合同专用条款】</w:t>
      </w:r>
      <w:r>
        <w:rPr>
          <w:rFonts w:hint="eastAsia" w:ascii="宋体" w:hAnsi="宋体" w:eastAsia="宋体" w:cs="宋体"/>
          <w:bCs/>
          <w:color w:val="auto"/>
          <w:highlight w:val="none"/>
        </w:rPr>
        <w:t>规定执行</w:t>
      </w:r>
      <w:r>
        <w:rPr>
          <w:rFonts w:hint="eastAsia" w:ascii="宋体" w:hAnsi="宋体" w:eastAsia="宋体" w:cs="宋体"/>
          <w:color w:val="auto"/>
          <w:highlight w:val="none"/>
        </w:rPr>
        <w:t>。</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7.5 乙方在运输到达之前应提前通知甲方，并提示货物运输装卸的注意事项，甲方配合乙方做好货物的接收工作。</w:t>
      </w:r>
    </w:p>
    <w:p>
      <w:pPr>
        <w:pStyle w:val="45"/>
        <w:shd w:val="clear"/>
        <w:ind w:firstLine="420"/>
        <w:rPr>
          <w:rFonts w:hint="eastAsia" w:ascii="宋体" w:hAnsi="宋体" w:eastAsia="宋体" w:cs="宋体"/>
          <w:color w:val="auto"/>
          <w:sz w:val="21"/>
          <w:highlight w:val="none"/>
        </w:rPr>
      </w:pPr>
      <w:r>
        <w:rPr>
          <w:rFonts w:hint="eastAsia" w:ascii="宋体" w:hAnsi="宋体" w:eastAsia="宋体" w:cs="宋体"/>
          <w:color w:val="auto"/>
          <w:kern w:val="2"/>
          <w:sz w:val="21"/>
          <w:highlight w:val="none"/>
        </w:rPr>
        <w:t>7.6 如因包装、运输问题导致货物损毁、丢失或者品质下降，甲方有权要求降价、换货、拒收部分或整批货物，由此产生的费用和损失，均由乙方承担。</w:t>
      </w:r>
    </w:p>
    <w:p>
      <w:pPr>
        <w:shd w:val="clear"/>
        <w:adjustRightInd w:val="0"/>
        <w:snapToGrid w:val="0"/>
        <w:spacing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8. 质量标准和保证</w:t>
      </w:r>
    </w:p>
    <w:p>
      <w:pPr>
        <w:pStyle w:val="18"/>
        <w:shd w:val="clear"/>
        <w:adjustRightInd w:val="0"/>
        <w:snapToGrid w:val="0"/>
        <w:spacing w:line="400" w:lineRule="exact"/>
        <w:ind w:firstLine="420" w:firstLineChars="200"/>
        <w:jc w:val="left"/>
        <w:rPr>
          <w:rFonts w:hint="eastAsia" w:ascii="宋体" w:hAnsi="宋体" w:eastAsia="宋体" w:cs="宋体"/>
          <w:b/>
          <w:color w:val="auto"/>
          <w:highlight w:val="none"/>
        </w:rPr>
      </w:pPr>
      <w:r>
        <w:rPr>
          <w:rFonts w:hint="eastAsia" w:ascii="宋体" w:hAnsi="宋体" w:eastAsia="宋体" w:cs="宋体"/>
          <w:color w:val="auto"/>
          <w:highlight w:val="none"/>
        </w:rPr>
        <w:t>8.1 质量标准</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18"/>
        <w:shd w:val="clear"/>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（2）采用中华人民共和国法定计量单位。</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（3）乙方所提供的货物应符合国家有关安全、环保、卫生的规定。</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（4）乙方应向甲方提交所提供货物的技术文件，包括相应的中文技术文件，如：产品目录、图纸、操作手册、使用说明、维护手册或服务指南等。上述文件应包装好随货物一同发运。</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8.2 保证</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highlight w:val="none"/>
        </w:rPr>
        <w:t>【政府采购合同专用条款】</w:t>
      </w:r>
      <w:r>
        <w:rPr>
          <w:rFonts w:hint="eastAsia" w:ascii="宋体" w:hAnsi="宋体" w:eastAsia="宋体" w:cs="宋体"/>
          <w:color w:val="auto"/>
          <w:highlight w:val="none"/>
        </w:rPr>
        <w:t>规定或乙方书面承诺（两者以较长的为准）的质量保证期内，本保证保持有效。</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（2）在质量保证期内所发现的缺陷，甲方应尽快以书面形式通知乙方。</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（3）乙方收到通知后，应在</w:t>
      </w:r>
      <w:r>
        <w:rPr>
          <w:rFonts w:hint="eastAsia" w:ascii="宋体" w:hAnsi="宋体" w:eastAsia="宋体" w:cs="宋体"/>
          <w:b/>
          <w:color w:val="auto"/>
          <w:highlight w:val="none"/>
        </w:rPr>
        <w:t>【政府采购合同专用条款】</w:t>
      </w:r>
      <w:r>
        <w:rPr>
          <w:rFonts w:hint="eastAsia" w:ascii="宋体" w:hAnsi="宋体" w:eastAsia="宋体" w:cs="宋体"/>
          <w:color w:val="auto"/>
          <w:highlight w:val="none"/>
        </w:rPr>
        <w:t>规定的响应时间内以合理的速度免费维修或更换有缺陷的货物或部件。</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（4）在质量保证期内，如果货物的质量或规格与合同不符，或证实货物是有缺陷的，包括潜在的缺陷或使用不符合要求的材料等，甲方可以根据本合同第15.1条规定以书面形式追究乙方的违约责任。</w:t>
      </w:r>
    </w:p>
    <w:p>
      <w:pPr>
        <w:shd w:val="clear"/>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（5）乙方在约定的时间内未能弥补缺陷，甲方可采取必要的补救措施，但其风险和费用将由乙方承担，甲方根据合同约定对乙方行使的其他权利不受影响。</w:t>
      </w:r>
    </w:p>
    <w:p>
      <w:pPr>
        <w:shd w:val="clear"/>
        <w:adjustRightInd w:val="0"/>
        <w:snapToGrid w:val="0"/>
        <w:spacing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9. 权利瑕疵担保</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9.1 乙方保证对其出售的货物享有合法的权利。</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9.2 </w:t>
      </w:r>
      <w:r>
        <w:rPr>
          <w:rFonts w:hint="eastAsia" w:ascii="宋体" w:hAnsi="宋体" w:eastAsia="宋体" w:cs="宋体"/>
          <w:color w:val="auto"/>
          <w:szCs w:val="15"/>
          <w:highlight w:val="none"/>
        </w:rPr>
        <w:t>乙方保证在交付的货物上不存在抵押权等担保物权。</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9.3 如甲方使用上述货物构成对第三人侵权的，则由乙方承担全部责任。</w:t>
      </w:r>
    </w:p>
    <w:p>
      <w:pPr>
        <w:shd w:val="clear"/>
        <w:autoSpaceDE w:val="0"/>
        <w:autoSpaceDN w:val="0"/>
        <w:adjustRightInd w:val="0"/>
        <w:snapToGrid w:val="0"/>
        <w:spacing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10. 知识产权保护</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10.1 乙方对其所销售的货物应当享有知识产权或经权利人合法授权，保证没有侵犯任何第三人的知识产权等权利。</w:t>
      </w:r>
      <w:bookmarkStart w:id="5" w:name="_Hlk163047038"/>
      <w:r>
        <w:rPr>
          <w:rFonts w:hint="eastAsia" w:ascii="宋体" w:hAnsi="宋体" w:eastAsia="宋体" w:cs="宋体"/>
          <w:color w:val="auto"/>
          <w:szCs w:val="15"/>
          <w:highlight w:val="none"/>
        </w:rPr>
        <w:t>因违反前述约定对第三人构成侵权的，应当由乙方向第三人承担法律责任；甲方依法向第三人赔偿后，有权向乙方追偿。甲方有其他损失的，乙方应当赔偿</w:t>
      </w:r>
      <w:bookmarkEnd w:id="5"/>
      <w:r>
        <w:rPr>
          <w:rFonts w:hint="eastAsia" w:ascii="宋体" w:hAnsi="宋体" w:eastAsia="宋体" w:cs="宋体"/>
          <w:color w:val="auto"/>
          <w:highlight w:val="none"/>
        </w:rPr>
        <w:t>。</w:t>
      </w:r>
    </w:p>
    <w:p>
      <w:pPr>
        <w:shd w:val="clear"/>
        <w:autoSpaceDE w:val="0"/>
        <w:autoSpaceDN w:val="0"/>
        <w:adjustRightInd w:val="0"/>
        <w:snapToGrid w:val="0"/>
        <w:spacing w:line="400" w:lineRule="exact"/>
        <w:ind w:firstLine="482" w:firstLineChars="20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11. 保密义务</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szCs w:val="15"/>
          <w:highlight w:val="none"/>
        </w:rPr>
      </w:pPr>
      <w:r>
        <w:rPr>
          <w:rFonts w:hint="eastAsia" w:ascii="宋体" w:hAnsi="宋体" w:eastAsia="宋体" w:cs="宋体"/>
          <w:color w:val="auto"/>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Cs w:val="15"/>
          <w:highlight w:val="none"/>
        </w:rPr>
        <w:t>【政府采购合同专用条款】</w:t>
      </w:r>
      <w:r>
        <w:rPr>
          <w:rFonts w:hint="eastAsia" w:ascii="宋体" w:hAnsi="宋体" w:eastAsia="宋体" w:cs="宋体"/>
          <w:color w:val="auto"/>
          <w:szCs w:val="15"/>
          <w:highlight w:val="none"/>
        </w:rPr>
        <w:t>中约定。</w:t>
      </w:r>
    </w:p>
    <w:p>
      <w:pPr>
        <w:shd w:val="clear"/>
        <w:autoSpaceDE w:val="0"/>
        <w:autoSpaceDN w:val="0"/>
        <w:adjustRightInd w:val="0"/>
        <w:snapToGrid w:val="0"/>
        <w:spacing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12. 合同价款支付</w:t>
      </w:r>
    </w:p>
    <w:p>
      <w:pPr>
        <w:shd w:val="clear"/>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12.1 合同价款支付按照国库集中支付制度及财政管理相关规定执行。</w:t>
      </w:r>
    </w:p>
    <w:p>
      <w:pPr>
        <w:shd w:val="clear"/>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12.2 </w:t>
      </w:r>
      <w:r>
        <w:rPr>
          <w:rFonts w:hint="eastAsia" w:ascii="宋体" w:hAnsi="宋体" w:eastAsia="宋体" w:cs="宋体"/>
          <w:color w:val="auto"/>
          <w:kern w:val="2"/>
          <w:highlight w:val="none"/>
        </w:rPr>
        <w:t>对于满足合同约定支付条件的，甲方</w:t>
      </w:r>
      <w:r>
        <w:rPr>
          <w:rFonts w:hint="eastAsia" w:ascii="宋体" w:hAnsi="宋体" w:eastAsia="宋体" w:cs="宋体"/>
          <w:color w:val="auto"/>
          <w:highlight w:val="none"/>
        </w:rPr>
        <w:t>原则上应当自收到发票后10个工作日内</w:t>
      </w:r>
      <w:r>
        <w:rPr>
          <w:rFonts w:hint="eastAsia" w:ascii="宋体" w:hAnsi="宋体" w:eastAsia="宋体" w:cs="宋体"/>
          <w:color w:val="auto"/>
          <w:kern w:val="2"/>
          <w:highlight w:val="none"/>
        </w:rPr>
        <w:t>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auto"/>
          <w:kern w:val="2"/>
          <w:highlight w:val="none"/>
        </w:rPr>
        <w:t>政府采购合同专用条款</w:t>
      </w:r>
      <w:r>
        <w:rPr>
          <w:rFonts w:hint="eastAsia" w:ascii="宋体" w:hAnsi="宋体" w:eastAsia="宋体" w:cs="宋体"/>
          <w:color w:val="auto"/>
          <w:kern w:val="2"/>
          <w:highlight w:val="none"/>
        </w:rPr>
        <w:t>】中约定。</w:t>
      </w:r>
    </w:p>
    <w:p>
      <w:pPr>
        <w:pStyle w:val="2"/>
        <w:shd w:val="clea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13. 履约保证金</w:t>
      </w:r>
    </w:p>
    <w:p>
      <w:pPr>
        <w:shd w:val="clear"/>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13.1 </w:t>
      </w:r>
      <w:r>
        <w:rPr>
          <w:rFonts w:hint="eastAsia" w:ascii="宋体" w:hAnsi="宋体" w:eastAsia="宋体" w:cs="宋体"/>
          <w:color w:val="auto"/>
          <w:szCs w:val="15"/>
          <w:highlight w:val="none"/>
        </w:rPr>
        <w:t>乙方</w:t>
      </w:r>
      <w:r>
        <w:rPr>
          <w:rFonts w:hint="eastAsia" w:ascii="宋体" w:hAnsi="宋体" w:eastAsia="宋体" w:cs="宋体"/>
          <w:color w:val="auto"/>
          <w:szCs w:val="15"/>
          <w:highlight w:val="none"/>
          <w:lang w:val="zh-CN"/>
        </w:rPr>
        <w:t>除银行电汇、网上银行、数字人民币外，</w:t>
      </w:r>
      <w:r>
        <w:rPr>
          <w:rFonts w:hint="eastAsia" w:ascii="宋体" w:hAnsi="宋体" w:eastAsia="宋体" w:cs="宋体"/>
          <w:color w:val="auto"/>
          <w:szCs w:val="15"/>
          <w:highlight w:val="none"/>
        </w:rPr>
        <w:t>乙方</w:t>
      </w:r>
      <w:r>
        <w:rPr>
          <w:rFonts w:hint="eastAsia" w:ascii="宋体" w:hAnsi="宋体" w:eastAsia="宋体" w:cs="宋体"/>
          <w:color w:val="auto"/>
          <w:szCs w:val="15"/>
          <w:highlight w:val="none"/>
          <w:lang w:val="zh-CN"/>
        </w:rPr>
        <w:t>还可选用银行保函、担保公司的保证担保或保险公司的保证保险、等多种形式向</w:t>
      </w:r>
      <w:r>
        <w:rPr>
          <w:rFonts w:hint="eastAsia" w:ascii="宋体" w:hAnsi="宋体" w:eastAsia="宋体" w:cs="宋体"/>
          <w:color w:val="auto"/>
          <w:szCs w:val="15"/>
          <w:highlight w:val="none"/>
        </w:rPr>
        <w:t>甲方提交。</w:t>
      </w:r>
    </w:p>
    <w:p>
      <w:pPr>
        <w:shd w:val="clear"/>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13.2 如果乙方出现</w:t>
      </w:r>
      <w:r>
        <w:rPr>
          <w:rFonts w:hint="eastAsia" w:ascii="宋体" w:hAnsi="宋体" w:eastAsia="宋体" w:cs="宋体"/>
          <w:b/>
          <w:bCs/>
          <w:color w:val="auto"/>
          <w:szCs w:val="15"/>
          <w:highlight w:val="none"/>
        </w:rPr>
        <w:t>【政府采购合同专用条款】</w:t>
      </w:r>
      <w:r>
        <w:rPr>
          <w:rFonts w:hint="eastAsia" w:ascii="宋体" w:hAnsi="宋体" w:eastAsia="宋体" w:cs="宋体"/>
          <w:color w:val="auto"/>
          <w:szCs w:val="15"/>
          <w:highlight w:val="none"/>
        </w:rPr>
        <w:t>约定情形的</w:t>
      </w:r>
      <w:r>
        <w:rPr>
          <w:rFonts w:hint="eastAsia" w:ascii="宋体" w:hAnsi="宋体" w:eastAsia="宋体" w:cs="宋体"/>
          <w:color w:val="auto"/>
          <w:highlight w:val="none"/>
        </w:rPr>
        <w:t>，履约保证金不予退还；如果乙方未能按合同约定全面履行义务，甲方有权从履约保证金中取得补偿或赔偿，且不影响甲方要求乙方承担合同约定的超过履约保证金的违约责任的权利。</w:t>
      </w:r>
    </w:p>
    <w:p>
      <w:pPr>
        <w:shd w:val="clear"/>
        <w:spacing w:line="40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13.3 甲方在项目通过验收后按照</w:t>
      </w:r>
      <w:r>
        <w:rPr>
          <w:rFonts w:hint="eastAsia" w:ascii="宋体" w:hAnsi="宋体" w:eastAsia="宋体" w:cs="宋体"/>
          <w:b/>
          <w:color w:val="auto"/>
          <w:highlight w:val="none"/>
        </w:rPr>
        <w:t>【政府采购合同专用条款】</w:t>
      </w:r>
      <w:r>
        <w:rPr>
          <w:rFonts w:hint="eastAsia" w:ascii="宋体" w:hAnsi="宋体" w:eastAsia="宋体" w:cs="宋体"/>
          <w:color w:val="auto"/>
          <w:highlight w:val="none"/>
        </w:rPr>
        <w:t>规定的时间内将履约保证金退还乙方；逾期退还的，乙方可要求甲方支付违约金，违约金按照</w:t>
      </w:r>
      <w:r>
        <w:rPr>
          <w:rFonts w:hint="eastAsia" w:ascii="宋体" w:hAnsi="宋体" w:eastAsia="宋体" w:cs="宋体"/>
          <w:b/>
          <w:color w:val="auto"/>
          <w:highlight w:val="none"/>
        </w:rPr>
        <w:t>【政府采购合同专用条款】</w:t>
      </w:r>
      <w:r>
        <w:rPr>
          <w:rFonts w:hint="eastAsia" w:ascii="宋体" w:hAnsi="宋体" w:eastAsia="宋体" w:cs="宋体"/>
          <w:color w:val="auto"/>
          <w:highlight w:val="none"/>
        </w:rPr>
        <w:t>规定支付。</w:t>
      </w:r>
    </w:p>
    <w:p>
      <w:pPr>
        <w:shd w:val="clear"/>
        <w:autoSpaceDE w:val="0"/>
        <w:autoSpaceDN w:val="0"/>
        <w:adjustRightInd w:val="0"/>
        <w:snapToGrid w:val="0"/>
        <w:spacing w:line="400" w:lineRule="exact"/>
        <w:jc w:val="lef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14. </w:t>
      </w:r>
      <w:r>
        <w:rPr>
          <w:rFonts w:hint="eastAsia" w:ascii="宋体" w:hAnsi="宋体" w:eastAsia="宋体" w:cs="宋体"/>
          <w:b/>
          <w:color w:val="auto"/>
          <w:sz w:val="24"/>
          <w:highlight w:val="none"/>
        </w:rPr>
        <w:t>售后服务</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14.1 除项目不涉及或采购活动中明确约定无须承担外，乙方还应提供下列服务：</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（1）货物的现场移动、安装、调试、启动监督及技术支持；</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（2）提供货物组装和维修所需的专用工具和辅助材料；</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（3）在</w:t>
      </w:r>
      <w:r>
        <w:rPr>
          <w:rFonts w:hint="eastAsia" w:ascii="宋体" w:hAnsi="宋体" w:eastAsia="宋体" w:cs="宋体"/>
          <w:b/>
          <w:bCs/>
          <w:color w:val="auto"/>
          <w:szCs w:val="15"/>
          <w:highlight w:val="none"/>
        </w:rPr>
        <w:t>【政府采购合同专用条款】</w:t>
      </w:r>
      <w:r>
        <w:rPr>
          <w:rFonts w:hint="eastAsia" w:ascii="宋体" w:hAnsi="宋体" w:eastAsia="宋体" w:cs="宋体"/>
          <w:color w:val="auto"/>
          <w:highlight w:val="none"/>
        </w:rPr>
        <w:t>约定的期限内对所有的货物实施运行监督、维修，但前提条件是该服务并不能免除乙方在质量保证期内所承担的义务；</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（4）在制造商所在地或指定现场就货物的安装、启动、运营、维护、废弃处置等对甲方操作人员进行培训</w:t>
      </w:r>
      <w:r>
        <w:rPr>
          <w:rFonts w:hint="eastAsia" w:ascii="宋体" w:hAnsi="宋体" w:eastAsia="宋体" w:cs="宋体"/>
          <w:color w:val="auto"/>
          <w:szCs w:val="15"/>
          <w:highlight w:val="none"/>
        </w:rPr>
        <w:t>；</w:t>
      </w:r>
    </w:p>
    <w:p>
      <w:pPr>
        <w:pStyle w:val="45"/>
        <w:shd w:val="clear"/>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（5）依照法律、行政法规的规定或者按照</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约定，货物在有效使用年限届满后应予回收的，乙方负有自行或者委托第三人对货物予以回收的义务；</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（6）</w:t>
      </w:r>
      <w:r>
        <w:rPr>
          <w:rFonts w:hint="eastAsia" w:ascii="宋体" w:hAnsi="宋体" w:eastAsia="宋体" w:cs="宋体"/>
          <w:b/>
          <w:color w:val="auto"/>
          <w:highlight w:val="none"/>
        </w:rPr>
        <w:t>【政府采购合同专用条款】</w:t>
      </w:r>
      <w:r>
        <w:rPr>
          <w:rFonts w:hint="eastAsia" w:ascii="宋体" w:hAnsi="宋体" w:eastAsia="宋体" w:cs="宋体"/>
          <w:color w:val="auto"/>
          <w:highlight w:val="none"/>
        </w:rPr>
        <w:t>规定由乙方提供的其他服务。</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14.2 乙方提供的售后服务的费用已包含在合同价款中，甲方不再另行支付。</w:t>
      </w:r>
    </w:p>
    <w:p>
      <w:pPr>
        <w:shd w:val="clear"/>
        <w:adjustRightInd w:val="0"/>
        <w:snapToGrid w:val="0"/>
        <w:spacing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15. 违约责任</w:t>
      </w:r>
    </w:p>
    <w:p>
      <w:pPr>
        <w:shd w:val="clear"/>
        <w:adjustRightInd w:val="0"/>
        <w:snapToGrid w:val="0"/>
        <w:spacing w:line="400" w:lineRule="exact"/>
        <w:ind w:firstLine="420" w:firstLineChars="200"/>
        <w:jc w:val="left"/>
        <w:rPr>
          <w:rFonts w:hint="eastAsia" w:ascii="宋体" w:hAnsi="宋体" w:eastAsia="宋体" w:cs="宋体"/>
          <w:bCs/>
          <w:color w:val="auto"/>
          <w:highlight w:val="none"/>
        </w:rPr>
      </w:pPr>
      <w:r>
        <w:rPr>
          <w:rFonts w:hint="eastAsia" w:ascii="宋体" w:hAnsi="宋体" w:eastAsia="宋体" w:cs="宋体"/>
          <w:bCs/>
          <w:color w:val="auto"/>
          <w:highlight w:val="none"/>
        </w:rPr>
        <w:t>15.1质量瑕疵的违约责任</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乙方提供的产品不符合合同约定的质量标准或存在产品质量缺陷，甲方有权要求乙方根据</w:t>
      </w:r>
      <w:r>
        <w:rPr>
          <w:rFonts w:hint="eastAsia" w:ascii="宋体" w:hAnsi="宋体" w:eastAsia="宋体" w:cs="宋体"/>
          <w:b/>
          <w:color w:val="auto"/>
          <w:highlight w:val="none"/>
        </w:rPr>
        <w:t>【政府采购合同专用条款】</w:t>
      </w:r>
      <w:r>
        <w:rPr>
          <w:rFonts w:hint="eastAsia" w:ascii="宋体" w:hAnsi="宋体" w:eastAsia="宋体" w:cs="宋体"/>
          <w:bCs/>
          <w:color w:val="auto"/>
          <w:highlight w:val="none"/>
        </w:rPr>
        <w:t>要求</w:t>
      </w:r>
      <w:r>
        <w:rPr>
          <w:rFonts w:hint="eastAsia" w:ascii="宋体" w:hAnsi="宋体" w:eastAsia="宋体" w:cs="宋体"/>
          <w:color w:val="auto"/>
          <w:highlight w:val="none"/>
        </w:rPr>
        <w:t>及时修理、重作、更换，并承担由此给甲方造成的损失。</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bCs/>
          <w:color w:val="auto"/>
          <w:highlight w:val="none"/>
        </w:rPr>
        <w:t>15.2 迟延交货的违约责任</w:t>
      </w:r>
      <w:r>
        <w:rPr>
          <w:rFonts w:hint="eastAsia" w:ascii="宋体" w:hAnsi="宋体" w:eastAsia="宋体" w:cs="宋体"/>
          <w:color w:val="auto"/>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highlight w:val="none"/>
        </w:rPr>
        <w:t>【政府采购合同专用条款】</w:t>
      </w:r>
      <w:r>
        <w:rPr>
          <w:rFonts w:hint="eastAsia" w:ascii="宋体" w:hAnsi="宋体" w:eastAsia="宋体" w:cs="宋体"/>
          <w:color w:val="auto"/>
          <w:highlight w:val="none"/>
        </w:rPr>
        <w:t>规定执行。如果涉及公共利益，且赔偿金额无法弥补公共利益损失，甲方可要求继续履行或者采取其他补救措施。</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15.3 迟延支付的违约责任</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甲方存在迟延支付乙方合同款项的，应当承担</w:t>
      </w:r>
      <w:r>
        <w:rPr>
          <w:rFonts w:hint="eastAsia" w:ascii="宋体" w:hAnsi="宋体" w:eastAsia="宋体" w:cs="宋体"/>
          <w:b/>
          <w:bCs/>
          <w:color w:val="auto"/>
          <w:highlight w:val="none"/>
        </w:rPr>
        <w:t>【政府采购合同专用条款】</w:t>
      </w:r>
      <w:r>
        <w:rPr>
          <w:rFonts w:hint="eastAsia" w:ascii="宋体" w:hAnsi="宋体" w:eastAsia="宋体" w:cs="宋体"/>
          <w:color w:val="auto"/>
          <w:highlight w:val="none"/>
        </w:rPr>
        <w:t>规定的逾期付款利息。</w:t>
      </w:r>
    </w:p>
    <w:p>
      <w:pPr>
        <w:shd w:val="clear"/>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bCs/>
          <w:color w:val="auto"/>
          <w:highlight w:val="none"/>
        </w:rPr>
        <w:t>15.4其他违约责任根据项目实际需要按</w:t>
      </w:r>
      <w:r>
        <w:rPr>
          <w:rFonts w:hint="eastAsia" w:ascii="宋体" w:hAnsi="宋体" w:eastAsia="宋体" w:cs="宋体"/>
          <w:b/>
          <w:bCs/>
          <w:color w:val="auto"/>
          <w:highlight w:val="none"/>
        </w:rPr>
        <w:t>【政府采购合同专用条款】</w:t>
      </w:r>
      <w:r>
        <w:rPr>
          <w:rFonts w:hint="eastAsia" w:ascii="宋体" w:hAnsi="宋体" w:eastAsia="宋体" w:cs="宋体"/>
          <w:color w:val="auto"/>
          <w:highlight w:val="none"/>
        </w:rPr>
        <w:t>规定执行。</w:t>
      </w:r>
    </w:p>
    <w:p>
      <w:pPr>
        <w:numPr>
          <w:ilvl w:val="0"/>
          <w:numId w:val="10"/>
        </w:numPr>
        <w:shd w:val="clear"/>
        <w:autoSpaceDE w:val="0"/>
        <w:autoSpaceDN w:val="0"/>
        <w:adjustRightInd w:val="0"/>
        <w:snapToGrid w:val="0"/>
        <w:spacing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合同变更、中止与终止</w:t>
      </w:r>
    </w:p>
    <w:p>
      <w:pPr>
        <w:shd w:val="clear"/>
        <w:adjustRightInd w:val="0"/>
        <w:snapToGrid w:val="0"/>
        <w:spacing w:line="40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16.1合同的变更</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政府采购合同履行中，在不改变合同其他条款的前提下，甲方可以在合同价款10%的范围内追加与合同标的相同的货物，并就此与乙方协商一致后签订补充协议。</w:t>
      </w:r>
    </w:p>
    <w:p>
      <w:pPr>
        <w:shd w:val="clear"/>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16.2合同的中止</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（1）合同履行过程中因供应商就采购文件、采购过程或结果提起投诉的，甲方认为有必要的，可以中止合同的履行。</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45"/>
        <w:shd w:val="clear"/>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hd w:val="clear"/>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（4）甲方不得以行政区划调整、政府换届、机构或者职能调整以及相关责任人更替为由中止合同。</w:t>
      </w:r>
    </w:p>
    <w:p>
      <w:pPr>
        <w:shd w:val="clear"/>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16.3合同的终止</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（1）合同因有效期限届满而终止；</w:t>
      </w:r>
    </w:p>
    <w:p>
      <w:pPr>
        <w:shd w:val="clear"/>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（2）乙方未按合同约定履行，构成根本性违约的，甲方有权终止合同，并追究乙方的违约责任。</w:t>
      </w:r>
    </w:p>
    <w:p>
      <w:pPr>
        <w:pStyle w:val="45"/>
        <w:shd w:val="clear"/>
        <w:rPr>
          <w:rFonts w:hint="eastAsia" w:ascii="宋体" w:hAnsi="宋体" w:eastAsia="宋体" w:cs="宋体"/>
          <w:color w:val="auto"/>
          <w:highlight w:val="none"/>
        </w:rPr>
      </w:pPr>
      <w:r>
        <w:rPr>
          <w:rFonts w:hint="eastAsia" w:ascii="宋体" w:hAnsi="宋体" w:eastAsia="宋体" w:cs="宋体"/>
          <w:color w:val="auto"/>
          <w:highlight w:val="none"/>
        </w:rPr>
        <w:t xml:space="preserve">16.4 </w:t>
      </w:r>
      <w:r>
        <w:rPr>
          <w:rFonts w:hint="eastAsia" w:ascii="宋体" w:hAnsi="宋体" w:eastAsia="宋体" w:cs="宋体"/>
          <w:color w:val="auto"/>
          <w:kern w:val="2"/>
          <w:sz w:val="21"/>
          <w:highlight w:val="none"/>
        </w:rPr>
        <w:t>涉及国家利益、社会公共利益的情形</w:t>
      </w:r>
    </w:p>
    <w:p>
      <w:pPr>
        <w:pStyle w:val="45"/>
        <w:shd w:val="clear"/>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政府采购合同继续履行将损害国家利益和社会公共利益的，双方当事人应当变更、中止或者终止合同。有过错的一方应当承担赔偿责任，双方都有过错的，各自承担相应的责任。</w:t>
      </w:r>
    </w:p>
    <w:p>
      <w:pPr>
        <w:shd w:val="clear"/>
        <w:autoSpaceDE w:val="0"/>
        <w:autoSpaceDN w:val="0"/>
        <w:adjustRightInd w:val="0"/>
        <w:snapToGrid w:val="0"/>
        <w:spacing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17. 合同分包</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17.1 乙方不得将合同转包给其他供应商。涉及合同分包的，乙方应根据采购文件和投标（响应）文件规定进行合同分包。</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17.2 乙方执行政府采购政策向中小企业依法分包的，乙方应当按采购文件和投标（响应）文件签订分包意向协议，分包意向协议属于本合同组成部分。</w:t>
      </w:r>
    </w:p>
    <w:p>
      <w:pPr>
        <w:shd w:val="clear"/>
        <w:autoSpaceDE w:val="0"/>
        <w:autoSpaceDN w:val="0"/>
        <w:adjustRightInd w:val="0"/>
        <w:snapToGrid w:val="0"/>
        <w:spacing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18. 不可抗力</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18.1 不可抗力是指合同双方不能预见、不能避免且不能克服的客观情况。</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18.2 任何一方对由于不可抗力造成的部分或全部不能履行合同不承担违约责任。但迟延履行后发生不可抗力的，不能免除责任。</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shd w:val="clear"/>
        <w:autoSpaceDE w:val="0"/>
        <w:autoSpaceDN w:val="0"/>
        <w:adjustRightInd w:val="0"/>
        <w:snapToGrid w:val="0"/>
        <w:spacing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19. 解决争议的方法</w:t>
      </w:r>
    </w:p>
    <w:p>
      <w:pPr>
        <w:pStyle w:val="45"/>
        <w:shd w:val="clear"/>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45"/>
        <w:shd w:val="clear"/>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19.2 选择仲裁的，应在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中明确仲裁机构及仲裁地；通过诉讼方式解决的，可以在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中进一步约定选择与争议有实际联系的地点的人民法院管辖，但管辖法院的约定不得违反级别管辖和专属管辖的规定。</w:t>
      </w:r>
    </w:p>
    <w:p>
      <w:pPr>
        <w:pStyle w:val="45"/>
        <w:shd w:val="clear"/>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19.3 如甲乙双方有争议的事项不影响合同其他部分的履行，在争议解决期间，合同其他部分应当继续履行。</w:t>
      </w:r>
    </w:p>
    <w:p>
      <w:pPr>
        <w:shd w:val="clear"/>
        <w:autoSpaceDE w:val="0"/>
        <w:autoSpaceDN w:val="0"/>
        <w:adjustRightInd w:val="0"/>
        <w:snapToGrid w:val="0"/>
        <w:spacing w:line="400" w:lineRule="exact"/>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20. 政府采购政策</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20.1 </w:t>
      </w:r>
      <w:r>
        <w:rPr>
          <w:rFonts w:hint="eastAsia" w:ascii="宋体" w:hAnsi="宋体" w:eastAsia="宋体" w:cs="宋体"/>
          <w:color w:val="auto"/>
          <w:highlight w:val="none"/>
          <w:lang w:val="en-GB"/>
        </w:rPr>
        <w:t>本合同应当按照规定执行政府采购政策。</w:t>
      </w:r>
    </w:p>
    <w:p>
      <w:pPr>
        <w:shd w:val="clear"/>
        <w:autoSpaceDE w:val="0"/>
        <w:autoSpaceDN w:val="0"/>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20.2 本合同依法执行政府采购政策的方式和内容，属于合同履约验收的范围。甲乙双方</w:t>
      </w:r>
      <w:r>
        <w:rPr>
          <w:rFonts w:hint="eastAsia" w:ascii="宋体" w:hAnsi="宋体" w:eastAsia="宋体" w:cs="宋体"/>
          <w:color w:val="auto"/>
          <w:highlight w:val="none"/>
          <w:lang w:val="en-GB"/>
        </w:rPr>
        <w:t>未按规定要求执行政府采购政策造成损失的</w:t>
      </w:r>
      <w:r>
        <w:rPr>
          <w:rFonts w:hint="eastAsia" w:ascii="宋体" w:hAnsi="宋体" w:eastAsia="宋体" w:cs="宋体"/>
          <w:color w:val="auto"/>
          <w:highlight w:val="none"/>
        </w:rPr>
        <w:t>，有过错的一方应当承担赔偿责任，双方都有过错的，各自承担相应的责任。</w:t>
      </w:r>
    </w:p>
    <w:p>
      <w:pPr>
        <w:pStyle w:val="2"/>
        <w:shd w:val="clear"/>
        <w:spacing w:line="40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shd w:val="clear"/>
        <w:autoSpaceDE w:val="0"/>
        <w:autoSpaceDN w:val="0"/>
        <w:adjustRightInd w:val="0"/>
        <w:snapToGrid w:val="0"/>
        <w:spacing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21. 法律适用</w:t>
      </w:r>
    </w:p>
    <w:p>
      <w:pPr>
        <w:pStyle w:val="45"/>
        <w:shd w:val="clear"/>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21.1 本合同的订立、生效、解释、履行及与本合同有关的争议解决，均适用法律、行政法规。</w:t>
      </w:r>
    </w:p>
    <w:p>
      <w:pPr>
        <w:pStyle w:val="45"/>
        <w:shd w:val="clear"/>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21.2 本合同条款与法律、行政法规的强制性规定不一致的，双方当事人应按照法律、行政法规的强制性规定修改本合同的相关条款。</w:t>
      </w:r>
    </w:p>
    <w:p>
      <w:pPr>
        <w:shd w:val="clear"/>
        <w:autoSpaceDE w:val="0"/>
        <w:autoSpaceDN w:val="0"/>
        <w:adjustRightInd w:val="0"/>
        <w:snapToGrid w:val="0"/>
        <w:spacing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22. 通知</w:t>
      </w:r>
    </w:p>
    <w:p>
      <w:pPr>
        <w:pStyle w:val="45"/>
        <w:shd w:val="clear"/>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22.1 本合同任何一方向对方发出的通知、信件、数据电文等，应当发送至本合同第一部分《政府采购合同协议书》所约定的通讯地址、联系人、联系电话或电子邮箱。</w:t>
      </w:r>
    </w:p>
    <w:p>
      <w:pPr>
        <w:pStyle w:val="45"/>
        <w:shd w:val="clear"/>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22.2 一方当事人变更名称、住所、联系人、联系电话或电子邮箱等信息的，应当在变更后3日内及时书面通知对方，对方实际收到变更通知前的送达仍为有效送达。</w:t>
      </w:r>
    </w:p>
    <w:p>
      <w:pPr>
        <w:shd w:val="clear"/>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22.3本合同一方给另一方的通知均应采用书面形式，传真或快递送到本合同中规定的对方的地址和办理签收手续。</w:t>
      </w:r>
    </w:p>
    <w:p>
      <w:pPr>
        <w:shd w:val="clear"/>
        <w:adjustRightInd w:val="0"/>
        <w:snapToGrid w:val="0"/>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22.4通知以送达之日或通知书中规定的生效之日起生效，两者中以较迟之日为准。</w:t>
      </w:r>
    </w:p>
    <w:p>
      <w:pPr>
        <w:numPr>
          <w:ilvl w:val="0"/>
          <w:numId w:val="11"/>
        </w:numPr>
        <w:shd w:val="clear"/>
        <w:adjustRightInd w:val="0"/>
        <w:snapToGrid w:val="0"/>
        <w:spacing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合同未尽事项</w:t>
      </w:r>
    </w:p>
    <w:p>
      <w:pPr>
        <w:shd w:val="clear"/>
        <w:adjustRightInd w:val="0"/>
        <w:snapToGrid w:val="0"/>
        <w:spacing w:line="400" w:lineRule="exact"/>
        <w:ind w:firstLine="420" w:firstLineChars="200"/>
        <w:jc w:val="left"/>
        <w:rPr>
          <w:rFonts w:hint="eastAsia" w:ascii="宋体" w:hAnsi="宋体" w:eastAsia="宋体" w:cs="宋体"/>
          <w:bCs/>
          <w:color w:val="auto"/>
          <w:highlight w:val="none"/>
        </w:rPr>
      </w:pPr>
      <w:r>
        <w:rPr>
          <w:rFonts w:hint="eastAsia" w:ascii="宋体" w:hAnsi="宋体" w:eastAsia="宋体" w:cs="宋体"/>
          <w:bCs/>
          <w:color w:val="auto"/>
          <w:highlight w:val="none"/>
        </w:rPr>
        <w:t>23.1合同未尽事项见</w:t>
      </w:r>
      <w:r>
        <w:rPr>
          <w:rFonts w:hint="eastAsia" w:ascii="宋体" w:hAnsi="宋体" w:eastAsia="宋体" w:cs="宋体"/>
          <w:b/>
          <w:color w:val="auto"/>
          <w:highlight w:val="none"/>
        </w:rPr>
        <w:t>【政府采购合同专用条款】</w:t>
      </w:r>
      <w:r>
        <w:rPr>
          <w:rFonts w:hint="eastAsia" w:ascii="宋体" w:hAnsi="宋体" w:eastAsia="宋体" w:cs="宋体"/>
          <w:bCs/>
          <w:color w:val="auto"/>
          <w:highlight w:val="none"/>
        </w:rPr>
        <w:t>。</w:t>
      </w:r>
    </w:p>
    <w:p>
      <w:pPr>
        <w:shd w:val="clear"/>
        <w:adjustRightInd w:val="0"/>
        <w:snapToGrid w:val="0"/>
        <w:spacing w:line="400" w:lineRule="exact"/>
        <w:jc w:val="left"/>
        <w:rPr>
          <w:rFonts w:hint="eastAsia" w:ascii="宋体" w:hAnsi="宋体" w:eastAsia="宋体" w:cs="宋体"/>
          <w:color w:val="auto"/>
          <w:sz w:val="28"/>
          <w:szCs w:val="28"/>
          <w:highlight w:val="none"/>
        </w:rPr>
      </w:pPr>
      <w:r>
        <w:rPr>
          <w:rFonts w:hint="eastAsia" w:ascii="宋体" w:hAnsi="宋体" w:eastAsia="宋体" w:cs="宋体"/>
          <w:bCs/>
          <w:color w:val="auto"/>
          <w:highlight w:val="none"/>
        </w:rPr>
        <w:t xml:space="preserve">    23.2 合同附件与合同正文具有同等的法律效力。</w:t>
      </w:r>
    </w:p>
    <w:p>
      <w:pPr>
        <w:pStyle w:val="45"/>
        <w:shd w:val="clear"/>
        <w:rPr>
          <w:rFonts w:hint="eastAsia" w:ascii="宋体" w:hAnsi="宋体" w:eastAsia="宋体" w:cs="宋体"/>
          <w:color w:val="auto"/>
          <w:highlight w:val="none"/>
        </w:rPr>
      </w:pPr>
    </w:p>
    <w:p>
      <w:pPr>
        <w:pStyle w:val="45"/>
        <w:shd w:val="clear"/>
        <w:ind w:firstLine="0" w:firstLineChars="0"/>
        <w:rPr>
          <w:rFonts w:hint="eastAsia" w:ascii="宋体" w:hAnsi="宋体" w:eastAsia="宋体" w:cs="宋体"/>
          <w:color w:val="auto"/>
          <w:highlight w:val="none"/>
        </w:rPr>
      </w:pPr>
    </w:p>
    <w:p>
      <w:pPr>
        <w:pStyle w:val="45"/>
        <w:shd w:val="clear"/>
        <w:ind w:firstLine="0" w:firstLineChars="0"/>
        <w:rPr>
          <w:rFonts w:hint="eastAsia" w:ascii="宋体" w:hAnsi="宋体" w:eastAsia="宋体" w:cs="宋体"/>
          <w:color w:val="auto"/>
          <w:highlight w:val="none"/>
        </w:rPr>
      </w:pPr>
    </w:p>
    <w:p>
      <w:pPr>
        <w:pStyle w:val="45"/>
        <w:shd w:val="clear"/>
        <w:ind w:firstLine="0" w:firstLineChars="0"/>
        <w:rPr>
          <w:rFonts w:hint="eastAsia" w:ascii="宋体" w:hAnsi="宋体" w:eastAsia="宋体" w:cs="宋体"/>
          <w:color w:val="auto"/>
          <w:highlight w:val="none"/>
        </w:rPr>
      </w:pPr>
    </w:p>
    <w:p>
      <w:pPr>
        <w:pStyle w:val="45"/>
        <w:shd w:val="clear"/>
        <w:ind w:firstLine="0" w:firstLineChars="0"/>
        <w:rPr>
          <w:rFonts w:hint="eastAsia" w:ascii="宋体" w:hAnsi="宋体" w:eastAsia="宋体" w:cs="宋体"/>
          <w:color w:val="auto"/>
          <w:highlight w:val="none"/>
        </w:rPr>
      </w:pPr>
    </w:p>
    <w:p>
      <w:pPr>
        <w:pStyle w:val="5"/>
        <w:shd w:val="clear"/>
        <w:adjustRightInd w:val="0"/>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第三节 政府采购合同专用条款</w:t>
      </w:r>
    </w:p>
    <w:tbl>
      <w:tblPr>
        <w:tblStyle w:val="34"/>
        <w:tblW w:w="8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0"/>
        <w:gridCol w:w="1612"/>
        <w:gridCol w:w="57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500"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第二节</w:t>
            </w:r>
          </w:p>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第1.2（6）项</w:t>
            </w:r>
          </w:p>
        </w:tc>
        <w:tc>
          <w:tcPr>
            <w:tcW w:w="1612"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联合体具体要求</w:t>
            </w:r>
          </w:p>
        </w:tc>
        <w:tc>
          <w:tcPr>
            <w:tcW w:w="5777"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见招标文件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00"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第二节</w:t>
            </w:r>
          </w:p>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第1.2（7）项</w:t>
            </w:r>
          </w:p>
        </w:tc>
        <w:tc>
          <w:tcPr>
            <w:tcW w:w="1612"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其他术语解释</w:t>
            </w:r>
          </w:p>
        </w:tc>
        <w:tc>
          <w:tcPr>
            <w:tcW w:w="5777"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lang w:eastAsia="zh-CN"/>
              </w:rPr>
            </w:pPr>
            <w:r>
              <w:rPr>
                <w:rFonts w:hint="eastAsia"/>
                <w:color w:val="auto"/>
                <w:highlight w:val="none"/>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500"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第二节</w:t>
            </w:r>
          </w:p>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第4.4款</w:t>
            </w:r>
          </w:p>
        </w:tc>
        <w:tc>
          <w:tcPr>
            <w:tcW w:w="1612"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履约验收中甲方提出异议或作出说明的期限</w:t>
            </w:r>
          </w:p>
        </w:tc>
        <w:tc>
          <w:tcPr>
            <w:tcW w:w="5777"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收到验收报告后3个工作日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500"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第二节</w:t>
            </w:r>
          </w:p>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第4.6款</w:t>
            </w:r>
          </w:p>
        </w:tc>
        <w:tc>
          <w:tcPr>
            <w:tcW w:w="1612"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约定甲方承担的其他义务和责任</w:t>
            </w:r>
          </w:p>
        </w:tc>
        <w:tc>
          <w:tcPr>
            <w:tcW w:w="5777"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甲方无正当理由拒收货物的，甲方向乙方偿付拒收货款总值0.5% 的违约金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500"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第二节</w:t>
            </w:r>
          </w:p>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第5.4款</w:t>
            </w:r>
          </w:p>
        </w:tc>
        <w:tc>
          <w:tcPr>
            <w:tcW w:w="1612"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约定乙方承担的其他义务和责任</w:t>
            </w:r>
          </w:p>
        </w:tc>
        <w:tc>
          <w:tcPr>
            <w:tcW w:w="5777"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乙方保证所交付的货物（包含与货物相关的服务）的所有权完全属于乙方且无任何抵押、查封等产权瑕疵；</w:t>
            </w:r>
          </w:p>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乙方所供货物质量不符合规定的，由其负责包换或包修，并承担修理、调换或退货而支付的实际费用；</w:t>
            </w:r>
          </w:p>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非因甲方原因，乙方不履行本合同规定的义务，致使工期延误，甲方有权要求其强制履行或解除合同，并要求乙方等额赔偿由此造成的一切损失。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500"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第二节</w:t>
            </w:r>
          </w:p>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第6.1款</w:t>
            </w:r>
          </w:p>
        </w:tc>
        <w:tc>
          <w:tcPr>
            <w:tcW w:w="1612"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履行合同义务的顺序</w:t>
            </w:r>
          </w:p>
        </w:tc>
        <w:tc>
          <w:tcPr>
            <w:tcW w:w="5777"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(1)本合同协议书；(2)中标通知书；(3)投标声明及承诺函等；(4)本合同专用条款；(5)本合同通用条款；(6)技术要求和商务要求；(7)其他合同文件。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1500" w:type="dxa"/>
            <w:vMerge w:val="restart"/>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第二节</w:t>
            </w:r>
          </w:p>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第7.1款</w:t>
            </w:r>
          </w:p>
        </w:tc>
        <w:tc>
          <w:tcPr>
            <w:tcW w:w="1612"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包装特殊要求</w:t>
            </w:r>
          </w:p>
        </w:tc>
        <w:tc>
          <w:tcPr>
            <w:tcW w:w="5777"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1、乙方应在货物发运前对其进行满足运输距离、防潮、防震、防锈和防破损装卸等要求包装，以保证货物安全运达甲方指定地点。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乙方应当提供符合需求标准的产品及相关快递服务的包装。</w:t>
            </w:r>
          </w:p>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2、使用说明书、质量检验证明书、随配附件和工具以及清单一并附于货物内。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vMerge w:val="continue"/>
            <w:noWrap w:val="0"/>
          </w:tcPr>
          <w:p>
            <w:pPr>
              <w:shd w:val="clear"/>
              <w:spacing w:after="0" w:line="240" w:lineRule="auto"/>
              <w:rPr>
                <w:rFonts w:hint="eastAsia" w:ascii="宋体" w:hAnsi="宋体" w:eastAsia="宋体" w:cs="宋体"/>
                <w:color w:val="auto"/>
                <w:highlight w:val="none"/>
              </w:rPr>
            </w:pPr>
          </w:p>
        </w:tc>
        <w:tc>
          <w:tcPr>
            <w:tcW w:w="1612"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指定现场</w:t>
            </w:r>
          </w:p>
        </w:tc>
        <w:tc>
          <w:tcPr>
            <w:tcW w:w="5777"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甲方指定的项目现场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1500"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第二节</w:t>
            </w:r>
          </w:p>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第7.2款</w:t>
            </w:r>
          </w:p>
        </w:tc>
        <w:tc>
          <w:tcPr>
            <w:tcW w:w="1612"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运输特殊要求</w:t>
            </w:r>
          </w:p>
        </w:tc>
        <w:tc>
          <w:tcPr>
            <w:tcW w:w="5777"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1500"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第二节</w:t>
            </w:r>
          </w:p>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第7.3款</w:t>
            </w:r>
          </w:p>
        </w:tc>
        <w:tc>
          <w:tcPr>
            <w:tcW w:w="1612"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保险要求</w:t>
            </w:r>
          </w:p>
        </w:tc>
        <w:tc>
          <w:tcPr>
            <w:tcW w:w="5777"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货物在交付甲方前发生的风险均由乙方负责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00"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第二节</w:t>
            </w:r>
          </w:p>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第8.2（1）项</w:t>
            </w:r>
          </w:p>
        </w:tc>
        <w:tc>
          <w:tcPr>
            <w:tcW w:w="1612"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质量保证期</w:t>
            </w:r>
          </w:p>
        </w:tc>
        <w:tc>
          <w:tcPr>
            <w:tcW w:w="5777"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售后服务期：</w:t>
            </w:r>
            <w:r>
              <w:rPr>
                <w:rFonts w:hint="eastAsia" w:ascii="宋体" w:hAnsi="宋体" w:eastAsia="宋体" w:cs="宋体"/>
                <w:color w:val="auto"/>
                <w:sz w:val="22"/>
                <w:highlight w:val="none"/>
                <w:lang w:val="en-US" w:eastAsia="zh-CN"/>
              </w:rPr>
              <w:t>五</w:t>
            </w:r>
            <w:r>
              <w:rPr>
                <w:rFonts w:hint="eastAsia" w:ascii="宋体" w:hAnsi="宋体" w:eastAsia="宋体" w:cs="宋体"/>
                <w:color w:val="auto"/>
                <w:sz w:val="22"/>
                <w:highlight w:val="none"/>
              </w:rPr>
              <w:t>年（自货物最终交付验收合格后）。（有特殊要求的产品，售后服务期按招标文件的约定执行）。</w:t>
            </w:r>
            <w:r>
              <w:rPr>
                <w:rFonts w:hint="eastAsia" w:ascii="宋体" w:hAnsi="宋体" w:eastAsia="宋体" w:cs="宋体"/>
                <w:color w:val="auto"/>
                <w:sz w:val="22"/>
                <w:highlight w:val="none"/>
                <w:lang w:val="en-US" w:eastAsia="zh-CN"/>
              </w:rPr>
              <w:t>五</w:t>
            </w:r>
            <w:r>
              <w:rPr>
                <w:rFonts w:hint="eastAsia" w:ascii="宋体" w:hAnsi="宋体" w:eastAsia="宋体" w:cs="宋体"/>
                <w:color w:val="auto"/>
                <w:sz w:val="22"/>
                <w:highlight w:val="none"/>
              </w:rPr>
              <w:t>年内发现设备缺陷等质量问题，中标供应商负责无条件维修或调换；中标供应商货物经过双方检验认可后，签署验收报告，按国家及相关部门的 “三包”要求（特别要求的按特别要求执行）。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500"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第二节</w:t>
            </w:r>
          </w:p>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第8.2（3）项</w:t>
            </w:r>
          </w:p>
        </w:tc>
        <w:tc>
          <w:tcPr>
            <w:tcW w:w="1612"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货物质量缺陷</w:t>
            </w:r>
          </w:p>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响应时间</w:t>
            </w:r>
          </w:p>
        </w:tc>
        <w:tc>
          <w:tcPr>
            <w:tcW w:w="5777"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中标方应提供7X24小时服务，接到临时性应急保障及故障报修电话后30分钟内电话响应，电话解决不了的，选派经验丰富的工作人员12小时内到现场进行保障、维修。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500"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第二节</w:t>
            </w:r>
          </w:p>
          <w:p>
            <w:pPr>
              <w:pBdr>
                <w:top w:val="none" w:color="000000" w:sz="0" w:space="0"/>
                <w:left w:val="none" w:color="000000" w:sz="0" w:space="0"/>
                <w:bottom w:val="none" w:color="000000" w:sz="0" w:space="0"/>
                <w:right w:val="none" w:color="000000" w:sz="0" w:space="0"/>
              </w:pBdr>
              <w:shd w:val="clear"/>
              <w:spacing w:before="200" w:after="20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第11.1款</w:t>
            </w:r>
          </w:p>
        </w:tc>
        <w:tc>
          <w:tcPr>
            <w:tcW w:w="1612"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color w:val="auto"/>
                <w:sz w:val="22"/>
                <w:highlight w:val="none"/>
              </w:rPr>
              <w:t>其他应当保密的信息</w:t>
            </w:r>
          </w:p>
        </w:tc>
        <w:tc>
          <w:tcPr>
            <w:tcW w:w="5777"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1500"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第二节</w:t>
            </w:r>
          </w:p>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第12.2款</w:t>
            </w:r>
          </w:p>
        </w:tc>
        <w:tc>
          <w:tcPr>
            <w:tcW w:w="1612"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both"/>
              <w:rPr>
                <w:rFonts w:hint="eastAsia" w:ascii="宋体" w:hAnsi="宋体" w:eastAsia="宋体" w:cs="宋体"/>
                <w:color w:val="auto"/>
                <w:sz w:val="22"/>
                <w:highlight w:val="none"/>
              </w:rPr>
            </w:pPr>
            <w:r>
              <w:rPr>
                <w:rFonts w:hint="eastAsia" w:ascii="宋体" w:hAnsi="宋体" w:eastAsia="宋体" w:cs="宋体"/>
                <w:color w:val="auto"/>
                <w:sz w:val="22"/>
                <w:highlight w:val="none"/>
              </w:rPr>
              <w:t>合同价款支付时间</w:t>
            </w:r>
          </w:p>
        </w:tc>
        <w:tc>
          <w:tcPr>
            <w:tcW w:w="5777"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sz w:val="22"/>
                <w:highlight w:val="none"/>
              </w:rPr>
            </w:pPr>
            <w:r>
              <w:rPr>
                <w:rFonts w:hint="eastAsia" w:ascii="宋体" w:hAnsi="宋体" w:eastAsia="宋体" w:cs="宋体"/>
                <w:color w:val="auto"/>
                <w:sz w:val="22"/>
                <w:highlight w:val="none"/>
              </w:rPr>
              <w:t>收到供应商发票10个工作日内。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500"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第二节</w:t>
            </w:r>
          </w:p>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第13.2款</w:t>
            </w:r>
          </w:p>
        </w:tc>
        <w:tc>
          <w:tcPr>
            <w:tcW w:w="1612"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履约保证金不予退还的情形</w:t>
            </w:r>
          </w:p>
        </w:tc>
        <w:tc>
          <w:tcPr>
            <w:tcW w:w="5777"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履约保证金不予退还情形：除不可抗力外，投标人不履行与采购人订立的采购合同的，履约保证金不予退还，给采购人造成的损失超过履约保证金数额的，还应当对超过部分予以赔偿。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1500"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第二节</w:t>
            </w:r>
          </w:p>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第13.3款</w:t>
            </w:r>
          </w:p>
        </w:tc>
        <w:tc>
          <w:tcPr>
            <w:tcW w:w="1612"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履约保证金退还时间及逾期退还的违约金</w:t>
            </w:r>
          </w:p>
        </w:tc>
        <w:tc>
          <w:tcPr>
            <w:tcW w:w="5777"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货物类项目，项目验收合格，出具验收报告及履约保证金收据申请退付；</w:t>
            </w:r>
          </w:p>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履约保证金退还时间：采购单位收到投标人退付申请后5个工作日内退还；</w:t>
            </w:r>
          </w:p>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逾期退还履约保证金的违约责任：除应当退还履约保证金外，还应当按中国人民银行同期贷款基准利率上浮</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20％后的利率支付超期资金占用费，但因投标人自身原因导致无法及时退还的除外。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1500"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第二节</w:t>
            </w:r>
          </w:p>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第14.1（3）项</w:t>
            </w:r>
          </w:p>
        </w:tc>
        <w:tc>
          <w:tcPr>
            <w:tcW w:w="1612"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运行监督、维修期限</w:t>
            </w:r>
          </w:p>
        </w:tc>
        <w:tc>
          <w:tcPr>
            <w:tcW w:w="5777"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lang w:val="en-US" w:eastAsia="zh-CN"/>
              </w:rPr>
              <w:t>五</w:t>
            </w:r>
            <w:r>
              <w:rPr>
                <w:rFonts w:hint="eastAsia" w:ascii="宋体" w:hAnsi="宋体" w:eastAsia="宋体" w:cs="宋体"/>
                <w:color w:val="auto"/>
                <w:sz w:val="22"/>
                <w:highlight w:val="none"/>
              </w:rPr>
              <w:t>年（自货物最终交付验收合格后）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1500"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第二节</w:t>
            </w:r>
          </w:p>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第14.1（5）项</w:t>
            </w:r>
          </w:p>
        </w:tc>
        <w:tc>
          <w:tcPr>
            <w:tcW w:w="1612"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货物回收的约定</w:t>
            </w:r>
          </w:p>
        </w:tc>
        <w:tc>
          <w:tcPr>
            <w:tcW w:w="5777"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500"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第二节</w:t>
            </w:r>
          </w:p>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第14.1（6）项</w:t>
            </w:r>
          </w:p>
        </w:tc>
        <w:tc>
          <w:tcPr>
            <w:tcW w:w="1612"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乙方提供的其他服务</w:t>
            </w:r>
          </w:p>
        </w:tc>
        <w:tc>
          <w:tcPr>
            <w:tcW w:w="5777"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500"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第二节</w:t>
            </w:r>
          </w:p>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第15.1款</w:t>
            </w:r>
          </w:p>
        </w:tc>
        <w:tc>
          <w:tcPr>
            <w:tcW w:w="1612"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修理、重作、更换相关具体规定</w:t>
            </w:r>
          </w:p>
        </w:tc>
        <w:tc>
          <w:tcPr>
            <w:tcW w:w="5777"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乙方提供的货物在质量期内因货物本身的质量问题发生故障，乙方应负责免费更换。对达不到技术要求者，根据实际情况，经双方协商，可按以下办法处理：</w:t>
            </w:r>
          </w:p>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⑴更换：由乙方承担所发生的全部费用。</w:t>
            </w:r>
          </w:p>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⑵贬值处理：由甲乙双方合议定价。</w:t>
            </w:r>
          </w:p>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⑶退货处理：乙方应退还甲方支付的合同款，同时应承担该货物的直接费用（运输、保险、检验、货款利息及银行手续费等）。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500"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第二节</w:t>
            </w:r>
          </w:p>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第15.2（2）项</w:t>
            </w:r>
          </w:p>
        </w:tc>
        <w:tc>
          <w:tcPr>
            <w:tcW w:w="1612"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迟延交货赔偿费</w:t>
            </w:r>
          </w:p>
        </w:tc>
        <w:tc>
          <w:tcPr>
            <w:tcW w:w="5777"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乙方逾期交付货物的，乙方应按逾期交货总额每日千分之一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500"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第二节</w:t>
            </w:r>
          </w:p>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第15.3款</w:t>
            </w:r>
          </w:p>
        </w:tc>
        <w:tc>
          <w:tcPr>
            <w:tcW w:w="1612"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逾期付款利息</w:t>
            </w:r>
          </w:p>
        </w:tc>
        <w:tc>
          <w:tcPr>
            <w:tcW w:w="5777"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甲方无故逾期验收和办理货款支付手续的,甲方应按逾期付款总额每日万分之一向乙方支付违约金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trPr>
        <w:tc>
          <w:tcPr>
            <w:tcW w:w="1500"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第二节</w:t>
            </w:r>
          </w:p>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第15.4款</w:t>
            </w:r>
          </w:p>
        </w:tc>
        <w:tc>
          <w:tcPr>
            <w:tcW w:w="1612"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其他违约责任</w:t>
            </w:r>
          </w:p>
        </w:tc>
        <w:tc>
          <w:tcPr>
            <w:tcW w:w="5777"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00"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第二节</w:t>
            </w:r>
          </w:p>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第19.2款</w:t>
            </w:r>
          </w:p>
        </w:tc>
        <w:tc>
          <w:tcPr>
            <w:tcW w:w="1612"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解决争议的方法</w:t>
            </w:r>
          </w:p>
        </w:tc>
        <w:tc>
          <w:tcPr>
            <w:tcW w:w="5777"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甲乙双方因合同签订、履行而发生的一切争议，应通过友好协商解决。如协商不成由甲方住所地人民法院管辖。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1500"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第二节</w:t>
            </w:r>
          </w:p>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2"/>
                <w:highlight w:val="none"/>
              </w:rPr>
              <w:t>第23.1款</w:t>
            </w:r>
          </w:p>
        </w:tc>
        <w:tc>
          <w:tcPr>
            <w:tcW w:w="1612"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其他专用条款</w:t>
            </w:r>
          </w:p>
        </w:tc>
        <w:tc>
          <w:tcPr>
            <w:tcW w:w="5777" w:type="dxa"/>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乙方应保证甲方在使用、接受本合同货物（包含与货物相关的服务）或其任何一部分时不受第三方提出侵犯其专利权、版权、商标权和工业设计权等知识产权的起诉。一旦出现侵权，由乙方负全部责任。</w:t>
            </w:r>
          </w:p>
        </w:tc>
      </w:tr>
    </w:tbl>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br w:type="page" w:clear="all"/>
      </w:r>
    </w:p>
    <w:p>
      <w:pPr>
        <w:pBdr>
          <w:top w:val="none" w:color="000000" w:sz="0" w:space="0"/>
          <w:left w:val="none" w:color="000000" w:sz="0" w:space="0"/>
          <w:bottom w:val="none" w:color="000000" w:sz="0" w:space="0"/>
          <w:right w:val="none" w:color="000000" w:sz="0" w:space="0"/>
        </w:pBdr>
        <w:shd w:val="clea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44"/>
          <w:highlight w:val="none"/>
        </w:rPr>
        <w:t>第四章 采购需求</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项目属性：货物类项目</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szCs w:val="22"/>
          <w:highlight w:val="none"/>
        </w:rPr>
      </w:pPr>
      <w:r>
        <w:rPr>
          <w:rFonts w:hint="eastAsia" w:ascii="宋体" w:hAnsi="宋体" w:eastAsia="宋体" w:cs="宋体"/>
          <w:color w:val="auto"/>
          <w:sz w:val="22"/>
          <w:highlight w:val="none"/>
        </w:rPr>
        <w:t>本项目采购标的对应的中小企业划分标准所属行业</w:t>
      </w:r>
      <w:r>
        <w:rPr>
          <w:rFonts w:hint="eastAsia" w:ascii="宋体" w:hAnsi="宋体" w:eastAsia="宋体" w:cs="宋体"/>
          <w:color w:val="auto"/>
          <w:sz w:val="24"/>
          <w:highlight w:val="none"/>
        </w:rPr>
        <w:t>：</w:t>
      </w:r>
      <w:r>
        <w:rPr>
          <w:rFonts w:hint="eastAsia" w:ascii="宋体" w:hAnsi="宋体" w:eastAsia="宋体" w:cs="宋体"/>
          <w:color w:val="auto"/>
          <w:sz w:val="22"/>
          <w:szCs w:val="22"/>
          <w:highlight w:val="none"/>
          <w:u w:val="single"/>
        </w:rPr>
        <w:t> 工业（制造业）</w:t>
      </w:r>
    </w:p>
    <w:p>
      <w:pPr>
        <w:pBdr>
          <w:top w:val="none" w:color="000000" w:sz="0" w:space="0"/>
          <w:left w:val="none" w:color="000000" w:sz="0" w:space="0"/>
          <w:bottom w:val="none" w:color="000000" w:sz="0" w:space="0"/>
          <w:right w:val="none" w:color="000000" w:sz="0" w:space="0"/>
        </w:pBdr>
        <w:shd w:val="clear"/>
        <w:spacing w:before="120" w:after="120"/>
        <w:ind w:firstLine="2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本项目</w:t>
      </w:r>
      <w:r>
        <w:rPr>
          <w:rFonts w:hint="eastAsia" w:ascii="宋体" w:hAnsi="宋体" w:eastAsia="宋体" w:cs="宋体"/>
          <w:color w:val="auto"/>
          <w:sz w:val="22"/>
          <w:szCs w:val="22"/>
          <w:highlight w:val="none"/>
          <w:u w:val="single"/>
        </w:rPr>
        <w:t xml:space="preserve"> 不接受 </w:t>
      </w:r>
      <w:r>
        <w:rPr>
          <w:rFonts w:hint="eastAsia" w:ascii="宋体" w:hAnsi="宋体" w:eastAsia="宋体" w:cs="宋体"/>
          <w:color w:val="auto"/>
          <w:sz w:val="22"/>
          <w:szCs w:val="22"/>
          <w:highlight w:val="none"/>
        </w:rPr>
        <w:t>进口产品。</w:t>
      </w:r>
    </w:p>
    <w:p>
      <w:pPr>
        <w:pBdr>
          <w:top w:val="none" w:color="000000" w:sz="0" w:space="0"/>
          <w:left w:val="none" w:color="000000" w:sz="0" w:space="0"/>
          <w:bottom w:val="none" w:color="000000" w:sz="0" w:space="0"/>
          <w:right w:val="none" w:color="000000" w:sz="0" w:space="0"/>
        </w:pBdr>
        <w:shd w:val="clear"/>
        <w:spacing w:line="499" w:lineRule="atLeast"/>
        <w:ind w:firstLine="221"/>
        <w:rPr>
          <w:rFonts w:hint="eastAsia" w:ascii="宋体" w:hAnsi="宋体" w:eastAsia="宋体" w:cs="宋体"/>
          <w:color w:val="auto"/>
          <w:highlight w:val="none"/>
        </w:rPr>
      </w:pPr>
      <w:r>
        <w:rPr>
          <w:rFonts w:hint="eastAsia" w:ascii="宋体" w:hAnsi="宋体" w:eastAsia="宋体" w:cs="宋体"/>
          <w:b/>
          <w:color w:val="auto"/>
          <w:sz w:val="22"/>
          <w:highlight w:val="none"/>
        </w:rPr>
        <w:t>一、项目概况</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（一）本项目地点：采购单位指定地点。</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二）采购范围：本项目拟购置仪器设备系统31台（套），其中虫情信息自动采集传输设备6套、昆虫性诱智能测报系统7套、农田生境远程实时监测设备5套、田间病害智能(AI)监测仪1台、农业小气象综合监测站6套、小麦赤霉病、稻瘟病自动监测预警系统1套、多媒体会商展示屏及配件1套、农业病虫害AR智能测报仪3台，配套升级农作物病虫害物联网数据分析系统1套，将各类智能物联网设备接入该软件平台。</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（三）合同履行期限：</w:t>
      </w:r>
      <w:r>
        <w:rPr>
          <w:rFonts w:hint="eastAsia" w:ascii="宋体" w:hAnsi="宋体" w:eastAsia="宋体" w:cs="宋体"/>
          <w:color w:val="auto"/>
          <w:sz w:val="22"/>
          <w:highlight w:val="none"/>
          <w:lang w:eastAsia="zh-CN"/>
        </w:rPr>
        <w:t>采购合同签订后90日历天内供货安装调试完毕并交付使用。</w:t>
      </w:r>
    </w:p>
    <w:p>
      <w:pPr>
        <w:pBdr>
          <w:top w:val="none" w:color="000000" w:sz="0" w:space="0"/>
          <w:left w:val="none" w:color="000000" w:sz="0" w:space="0"/>
          <w:bottom w:val="none" w:color="000000" w:sz="0" w:space="0"/>
          <w:right w:val="none" w:color="000000" w:sz="0" w:space="0"/>
        </w:pBd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（四）款项的支付方式及进度安排:</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预付款，合同签订后且采购人自收到中标供应商发票后付至合同总金额30%；</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进度款：</w:t>
      </w:r>
      <w:r>
        <w:rPr>
          <w:rFonts w:hint="eastAsia" w:ascii="宋体" w:hAnsi="宋体" w:eastAsia="宋体" w:cs="宋体"/>
          <w:color w:val="auto"/>
          <w:sz w:val="22"/>
          <w:highlight w:val="none"/>
          <w:lang w:eastAsia="zh-CN"/>
        </w:rPr>
        <w:t>初验完成试运行正常，供应商提供项目完整技术文档，采购人3个工作日内组织终验并出具终验报告付至合同总金额100%</w:t>
      </w:r>
      <w:r>
        <w:rPr>
          <w:rFonts w:hint="eastAsia" w:ascii="宋体" w:hAnsi="宋体" w:eastAsia="宋体" w:cs="宋体"/>
          <w:color w:val="auto"/>
          <w:sz w:val="22"/>
          <w:highlight w:val="none"/>
        </w:rPr>
        <w:t>。</w:t>
      </w:r>
    </w:p>
    <w:p>
      <w:pPr>
        <w:pBdr>
          <w:top w:val="none" w:color="000000" w:sz="0" w:space="0"/>
          <w:left w:val="none" w:color="000000" w:sz="0" w:space="0"/>
          <w:bottom w:val="none" w:color="000000" w:sz="0" w:space="0"/>
          <w:right w:val="none" w:color="000000" w:sz="0" w:space="0"/>
        </w:pBd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备注:</w:t>
      </w:r>
    </w:p>
    <w:p>
      <w:pPr>
        <w:pBdr>
          <w:top w:val="none" w:color="000000" w:sz="0" w:space="0"/>
          <w:left w:val="none" w:color="000000" w:sz="0" w:space="0"/>
          <w:bottom w:val="none" w:color="000000" w:sz="0" w:space="0"/>
          <w:right w:val="none" w:color="000000" w:sz="0" w:space="0"/>
        </w:pBd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(1)可以采用数字人民币支付。</w:t>
      </w:r>
    </w:p>
    <w:p>
      <w:pPr>
        <w:pBdr>
          <w:top w:val="none" w:color="000000" w:sz="0" w:space="0"/>
          <w:left w:val="none" w:color="000000" w:sz="0" w:space="0"/>
          <w:bottom w:val="none" w:color="000000" w:sz="0" w:space="0"/>
          <w:right w:val="none" w:color="000000" w:sz="0" w:space="0"/>
        </w:pBd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(2)资金支付的时间:收到供应商发票</w:t>
      </w:r>
      <w:r>
        <w:rPr>
          <w:rFonts w:hint="eastAsia" w:ascii="宋体" w:hAnsi="宋体" w:eastAsia="宋体" w:cs="宋体"/>
          <w:color w:val="auto"/>
          <w:sz w:val="22"/>
          <w:highlight w:val="none"/>
          <w:lang w:val="en-US" w:eastAsia="zh-CN"/>
        </w:rPr>
        <w:t>后</w:t>
      </w:r>
      <w:r>
        <w:rPr>
          <w:rFonts w:hint="eastAsia" w:ascii="宋体" w:hAnsi="宋体" w:eastAsia="宋体" w:cs="宋体"/>
          <w:color w:val="auto"/>
          <w:sz w:val="22"/>
          <w:highlight w:val="none"/>
        </w:rPr>
        <w:t>10个工作日内。</w:t>
      </w:r>
    </w:p>
    <w:p>
      <w:pPr>
        <w:pBdr>
          <w:top w:val="none" w:color="000000" w:sz="0" w:space="0"/>
          <w:left w:val="none" w:color="000000" w:sz="0" w:space="0"/>
          <w:bottom w:val="none" w:color="000000" w:sz="0" w:space="0"/>
          <w:right w:val="none" w:color="000000" w:sz="0" w:space="0"/>
        </w:pBd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(3)资金支付的条件:满足相应阶段的要求且收到供应商发票。</w:t>
      </w:r>
    </w:p>
    <w:p>
      <w:pPr>
        <w:pBdr>
          <w:top w:val="none" w:color="000000" w:sz="0" w:space="0"/>
          <w:left w:val="none" w:color="000000" w:sz="0" w:space="0"/>
          <w:bottom w:val="none" w:color="000000" w:sz="0" w:space="0"/>
          <w:right w:val="none" w:color="000000" w:sz="0" w:space="0"/>
        </w:pBd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(4)当采购数量与实际使用数量不一致时，供应商应根据实际使用量供货，合同的最终结算金额按实际使用量乘以成交单价进行计算。</w:t>
      </w:r>
    </w:p>
    <w:p>
      <w:pPr>
        <w:pBdr>
          <w:top w:val="none" w:color="000000" w:sz="0" w:space="0"/>
          <w:left w:val="none" w:color="000000" w:sz="0" w:space="0"/>
          <w:bottom w:val="none" w:color="000000" w:sz="0" w:space="0"/>
          <w:right w:val="none" w:color="000000" w:sz="0" w:space="0"/>
        </w:pBd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(5)在签订合同时，供应商明确表示无需预付款或者主动要求降低预付款比例的，采购人可不适用前述规定。</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（五）运行维护期（售后服务期）：5年。5年内发现设备缺陷等质量问题，</w:t>
      </w:r>
      <w:r>
        <w:rPr>
          <w:rFonts w:hint="eastAsia" w:ascii="宋体" w:hAnsi="宋体" w:cs="宋体"/>
          <w:color w:val="auto"/>
          <w:sz w:val="22"/>
          <w:highlight w:val="none"/>
          <w:lang w:eastAsia="zh-CN"/>
        </w:rPr>
        <w:t>中标供应商</w:t>
      </w:r>
      <w:r>
        <w:rPr>
          <w:rFonts w:hint="eastAsia" w:ascii="宋体" w:hAnsi="宋体" w:eastAsia="宋体" w:cs="宋体"/>
          <w:color w:val="auto"/>
          <w:sz w:val="22"/>
          <w:highlight w:val="none"/>
        </w:rPr>
        <w:t>负责无条件维修或调换；</w:t>
      </w:r>
      <w:r>
        <w:rPr>
          <w:rFonts w:hint="eastAsia" w:ascii="宋体" w:hAnsi="宋体" w:cs="宋体"/>
          <w:color w:val="auto"/>
          <w:sz w:val="22"/>
          <w:highlight w:val="none"/>
          <w:lang w:eastAsia="zh-CN"/>
        </w:rPr>
        <w:t>中标供应商</w:t>
      </w:r>
      <w:r>
        <w:rPr>
          <w:rFonts w:hint="eastAsia" w:ascii="宋体" w:hAnsi="宋体" w:eastAsia="宋体" w:cs="宋体"/>
          <w:color w:val="auto"/>
          <w:sz w:val="22"/>
          <w:highlight w:val="none"/>
        </w:rPr>
        <w:t xml:space="preserve">货物经过双方检验认可后，签署验收报告，按国家及相关部门的 “三包”要求（特别要求的按特别要求执行），免费维保期自货物验收合格之日起算(设备厂家维保期大于5年的，以设备厂家维保期为准）。 </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（六）质量：合格。</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（七）采购需求：包括但不限于标的的名称、数量、简要技术需求、功能性演示、节能</w:t>
      </w:r>
      <w:r>
        <w:rPr>
          <w:rFonts w:hint="eastAsia" w:ascii="宋体" w:hAnsi="宋体" w:eastAsia="宋体" w:cs="宋体"/>
          <w:color w:val="auto"/>
          <w:sz w:val="22"/>
          <w:highlight w:val="none"/>
          <w:lang w:val="en-US" w:eastAsia="zh-CN"/>
        </w:rPr>
        <w:t>及</w:t>
      </w:r>
      <w:r>
        <w:rPr>
          <w:rFonts w:hint="eastAsia" w:ascii="宋体" w:hAnsi="宋体" w:eastAsia="宋体" w:cs="宋体"/>
          <w:color w:val="auto"/>
          <w:sz w:val="22"/>
          <w:highlight w:val="none"/>
        </w:rPr>
        <w:t>环保产品认证证书、企业业绩、项目实施计划方案、物联网数据分析平台升级建设方案、售后服务或服务要求等</w:t>
      </w:r>
      <w:r>
        <w:rPr>
          <w:rFonts w:hint="eastAsia" w:ascii="宋体" w:hAnsi="宋体" w:eastAsia="宋体" w:cs="宋体"/>
          <w:color w:val="auto"/>
          <w:sz w:val="22"/>
          <w:highlight w:val="none"/>
          <w:lang w:eastAsia="zh-CN"/>
        </w:rPr>
        <w:t>。</w:t>
      </w:r>
    </w:p>
    <w:p>
      <w:pPr>
        <w:pBdr>
          <w:top w:val="none" w:color="000000" w:sz="0" w:space="0"/>
          <w:left w:val="none" w:color="000000" w:sz="0" w:space="0"/>
          <w:bottom w:val="none" w:color="000000" w:sz="0" w:space="0"/>
          <w:right w:val="none" w:color="000000" w:sz="0" w:space="0"/>
        </w:pBdr>
        <w:shd w:val="clear"/>
        <w:spacing w:line="499" w:lineRule="atLeast"/>
        <w:ind w:firstLine="442"/>
        <w:rPr>
          <w:rFonts w:hint="eastAsia" w:ascii="宋体" w:hAnsi="宋体" w:eastAsia="宋体" w:cs="宋体"/>
          <w:color w:val="auto"/>
          <w:highlight w:val="none"/>
        </w:rPr>
      </w:pPr>
      <w:r>
        <w:rPr>
          <w:rFonts w:hint="eastAsia" w:ascii="宋体" w:hAnsi="宋体" w:eastAsia="宋体" w:cs="宋体"/>
          <w:b/>
          <w:color w:val="auto"/>
          <w:sz w:val="22"/>
          <w:highlight w:val="none"/>
        </w:rPr>
        <w:t>二 、采购清单及技术要求</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2"/>
          <w:highlight w:val="none"/>
        </w:rPr>
        <w:t> </w:t>
      </w:r>
    </w:p>
    <w:tbl>
      <w:tblPr>
        <w:tblStyle w:val="33"/>
        <w:tblW w:w="8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4"/>
        <w:gridCol w:w="1019"/>
        <w:gridCol w:w="5562"/>
        <w:gridCol w:w="705"/>
        <w:gridCol w:w="7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54" w:type="dxa"/>
            <w:vAlign w:val="center"/>
          </w:tcPr>
          <w:p>
            <w:pPr>
              <w:widowControl/>
              <w:shd w:val="clear"/>
              <w:spacing w:before="120" w:beforeLines="50" w:after="120" w:afterLines="50" w:line="300" w:lineRule="auto"/>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序号</w:t>
            </w:r>
          </w:p>
        </w:tc>
        <w:tc>
          <w:tcPr>
            <w:tcW w:w="1019" w:type="dxa"/>
            <w:vAlign w:val="center"/>
          </w:tcPr>
          <w:p>
            <w:pPr>
              <w:widowControl/>
              <w:shd w:val="clear"/>
              <w:spacing w:before="120" w:beforeLines="50" w:after="120" w:afterLines="50" w:line="300" w:lineRule="auto"/>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货物名称</w:t>
            </w:r>
          </w:p>
        </w:tc>
        <w:tc>
          <w:tcPr>
            <w:tcW w:w="5562" w:type="dxa"/>
            <w:vAlign w:val="center"/>
          </w:tcPr>
          <w:p>
            <w:pPr>
              <w:widowControl/>
              <w:shd w:val="clear"/>
              <w:spacing w:before="120" w:beforeLines="50" w:after="120" w:afterLines="50" w:line="300" w:lineRule="auto"/>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技术参数及要求</w:t>
            </w:r>
          </w:p>
        </w:tc>
        <w:tc>
          <w:tcPr>
            <w:tcW w:w="705" w:type="dxa"/>
            <w:vAlign w:val="center"/>
          </w:tcPr>
          <w:p>
            <w:pPr>
              <w:widowControl/>
              <w:shd w:val="clear"/>
              <w:spacing w:before="120" w:beforeLines="50" w:after="120" w:afterLines="50" w:line="300" w:lineRule="auto"/>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单位</w:t>
            </w:r>
          </w:p>
        </w:tc>
        <w:tc>
          <w:tcPr>
            <w:tcW w:w="771" w:type="dxa"/>
            <w:vAlign w:val="center"/>
          </w:tcPr>
          <w:p>
            <w:pPr>
              <w:widowControl/>
              <w:shd w:val="clear"/>
              <w:spacing w:before="120" w:beforeLines="50" w:after="120" w:afterLines="50" w:line="300" w:lineRule="auto"/>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54"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1</w:t>
            </w:r>
          </w:p>
        </w:tc>
        <w:tc>
          <w:tcPr>
            <w:tcW w:w="1019"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虫情信息自动采集传输设备</w:t>
            </w:r>
          </w:p>
        </w:tc>
        <w:tc>
          <w:tcPr>
            <w:tcW w:w="5562" w:type="dxa"/>
            <w:vAlign w:val="center"/>
          </w:tcPr>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1、远程测报系统一套：整体结构采用304不锈钢，采用光、电、数控技术，远程自动控制及识别计数。雨虫分离技术，有防雨百叶，下雨天可以正常工作，正常捕虫；太阳能供电。</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2、诱捕与识别技术集成与一体的虫情测报系统，内置、高清工业摄像机。可远程设置工作模式，通过PC云端及手机APP端能远程自动拍照和手动拍照，7寸工业彩色手触摸屏显示与操作，安卓系统智能控制。全中文液晶显示，可分时段设置和控制，自动拍照和手动拍照均可。</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3、测报灯内设有图像采集设备，可通过摄像头实时采集传送带上的虫子情况，通过网页端的识别功能进行识别计数，也可通过平台远程进行拍照和工作模式更改等设置。</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4、多种联网方式(3G/4G/RJ45）可选择，可随时随地联网管理。</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5、各种仪器和数据报警参数可通过网络远程上传到服务器，方便维护和管理。</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6、自动拍照：可调时段拍照，拍照可调频率区间≥〔10min,1h〕/张。</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7、自动识别：自动识别测报系统，能识别包括但不限于褐飞虱、白背飞虱、稻纵卷叶螟、二化螟和大螟等水稻主要害虫。其中白背飞虱的识别准确率≥80%，稻纵卷叶螟、二化螟和大螟的识别准确率≥90%。</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8、自动计数：仪器自动计数和灯下人工计数的动态趋势拟合度≥0.90。</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9、自动传输：自动上传监测图片数据。数据实时传输，上传速度应≥1M/s。</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10、远程查询监控：可在电脑端和手机端远程监控平台对虫情自动采集系统的控制，包括但不限于指令发布执行、系统参数设置和采集信息的查询分析等。</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11、图像处理：可实现对拍摄画面的图像处理，包括但不限于画面分割、切换处理及保存等功能。图片保存质量应满足虫体人工手动计数的识别需求。</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12、内置GPS定位功能，可在地图中查看设备站点等数据。在PC云端地图中查看设备站点等数据，设备被盗可追踪。</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13、设备也可以远程手动控制换位、诱虫灯开启、加热管通断、杀虫仓和烘干开关、传送带开关等功能。</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14、虫子分散平铺机构，通过振动将虫体均匀洒落平铺在拍照平台上使虫子可以均匀，传送带准确将虫体运输到拍照区域内，保证每一个虫子特征都可以被拍的清楚，为自动识别及人工矫正打好基础。</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15、高温加热虫体处理致死率不小于98%，虫体完整率不小于95%。</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▲16、高温加热虫体处理仓温度：正常工作15min后，虫体处理仓内温度达到80℃-90℃（提供具有CMA或CNAS认证的第三方权威机构检验报告原件扫描件）。</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17、处理温度分仓位任意可调，上下两层远红外虫体处理仓，更有效地完成杀虫和烘干工作。</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18、光控功能：光控传感器能按外界光线变化自动控制测报灯工作；夜间正常工作状态下，外界强光瞬间照射下不改变工作状态。控制器功能：能有效采集、存储处理光控、雨控传感器的信息。能控制计时、诱集光源、红外虫体处理、排水等工作。（提供具有CMA或CNAS认证的第三方权威机构检验报告原件扫描件）</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▲19、虫雨仓结构：将雨水自动排出，能有效将雨虫分离，使箱体内无积水。（提供具有CMA或CNAS认证的第三方权威机构检验报告原件扫描件）</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20、雨控装置：可按外界天气变化自动控制设备工作；防雷装置：能够有效防止雷击。</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 xml:space="preserve">21、虫子收集储存技术，对拍完照的虫子，需要保留标本的留在储存仓内，人工定期去收集；对于不需要标本的，虫子直接排出机器外部，避免人工去现场维护；不需要收集标本的情况下，可以不用人工去现场，只要定期去检修即可。 </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▲22、测报灯功率≤100W。（提供具有CMA或CNAS认证的第三方权威机构检验报告原件扫描件）</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23、电源：直流12V电源&amp;220V市电。诱虫光源：主波长365nm LED灯管或者其它混合波长灯管或者荧光灯管。</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▲24、灯管启动时间：开机后小于5秒。（提供具有CMA或CNAS认证的第三方权威机构检验报告原件扫描件）</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25、绝缘电阻：大于2.5MΩ。</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26、摄像头：2000W工业相机。</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27、显示屏：7寸电容式触摸屏。</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28、系统：Android11。</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29、网络：有线光纤/无线网桥/4G路由器。</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30、工作环境温度：0～70℃。</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31、提供质保期五年，每年不低于2次的上门维护巡检，续保后长期提供软件平台维护及升级服务。</w:t>
            </w:r>
          </w:p>
        </w:tc>
        <w:tc>
          <w:tcPr>
            <w:tcW w:w="705"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台</w:t>
            </w:r>
          </w:p>
        </w:tc>
        <w:tc>
          <w:tcPr>
            <w:tcW w:w="771"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754"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w:t>
            </w:r>
          </w:p>
        </w:tc>
        <w:tc>
          <w:tcPr>
            <w:tcW w:w="1019"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w:t>
            </w:r>
            <w:r>
              <w:rPr>
                <w:rFonts w:hint="eastAsia" w:ascii="宋体" w:hAnsi="宋体" w:eastAsia="宋体" w:cs="宋体"/>
                <w:color w:val="auto"/>
                <w:sz w:val="22"/>
                <w:szCs w:val="22"/>
                <w:highlight w:val="none"/>
              </w:rPr>
              <w:t>昆虫性诱智能测报系统</w:t>
            </w:r>
          </w:p>
        </w:tc>
        <w:tc>
          <w:tcPr>
            <w:tcW w:w="5562" w:type="dxa"/>
            <w:vAlign w:val="center"/>
          </w:tcPr>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1.更换昆虫信息素测报诱芯，系统应能识别包括但不限于稻纵卷叶螟、二化螟、大螟、斜纹夜蛾、甜菜夜蛾、玉米螟、草地贪夜蛾、粘虫、棉铃虫等主要害虫。诱捕器（反向三漏斗飞蛾类诱捕器）：结构为倒置漏斗式飞蛾诱捕器， 增加反向双漏斗蛾子逃逸结构，整体横切面为梨形，纵切面似椅子形；材质为ABS。上集虫器： 呈帽型，顶部倾斜。下集虫器为透明聚酯瓶。(诱捕器进虫漏斗参数符合NY/T2732-2015农作物害虫性诱监测技术规范)</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2.双计数系统：上下集虫器各带一个三层4对红外计数装置，自动计数进入集虫器的昆虫，间隔＜1S。计算总数后发送至服务器数据库。</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▲3.自动计数功能：害虫经过第二层红外感应器时，蜂鸣器响一声，并自动计数+1，当有害虫逃出时，计数-1。（提供具有CMA或CNAS认证的第三方权威机构检验报告原件扫描件）</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4.终端储存器：实时记录和存储诱捕器监测数据，储存时间≥12月。</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▲5.终端储存功能：终端断电或者发送失败的时候应能够把数据存储下来，等待下次上电时发送数据。（提供具有CMA或CNAS认证的第三方权威机构检验报告原件扫描件）</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▲6.网关数据发送功能：终端每隔1小时向网关发送监测数据，并能通过GPRS网络发送至服务器。（提供具有CMA或CNAS认证的第三方权威机构检验报告原件扫描件）</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7.具有定时自检及自动重启纠错功能，默认白天为省电模式，亦可人工配置省电时间段。终端参数：工作温度： 0℃-60℃；工作湿度: 0-99%；工作电压：DC12V；正常平均功率：&lt;1W。</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8.太阳能板：单晶硅；功率：50W。</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 xml:space="preserve">9. 支架：太阳能主杆材料喷塑铝管，高300±0.5cm,直径8.9±0.1cm。诱捕器一体支架不锈钢304材质。 </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10.防电箱: 表面喷塑304不锈钢材质，内含双层，外盖标防电标识。</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11.底座：8边型喷塑铸铁材质。</w:t>
            </w:r>
          </w:p>
          <w:p>
            <w:pPr>
              <w:widowControl/>
              <w:shd w:val="clear"/>
              <w:spacing w:line="300" w:lineRule="auto"/>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highlight w:val="none"/>
              </w:rPr>
              <w:t>☆</w:t>
            </w:r>
            <w:r>
              <w:rPr>
                <w:rStyle w:val="348"/>
                <w:rFonts w:hint="eastAsia" w:ascii="宋体" w:hAnsi="宋体" w:eastAsia="宋体" w:cs="宋体"/>
                <w:color w:val="auto"/>
                <w:sz w:val="22"/>
                <w:szCs w:val="22"/>
                <w:highlight w:val="none"/>
                <w:lang w:bidi="ar"/>
              </w:rPr>
              <w:t>1</w:t>
            </w:r>
            <w:r>
              <w:rPr>
                <w:rFonts w:hint="eastAsia" w:ascii="宋体" w:hAnsi="宋体" w:eastAsia="宋体" w:cs="宋体"/>
                <w:bCs/>
                <w:color w:val="auto"/>
                <w:sz w:val="22"/>
                <w:szCs w:val="22"/>
                <w:highlight w:val="none"/>
              </w:rPr>
              <w:t>2.可通过手机APP查看每小时、每日、每月、任意时间段数据；预测未来2个月诱虫量。（需提供产品功能性演示视频）</w:t>
            </w:r>
          </w:p>
          <w:p>
            <w:pPr>
              <w:widowControl/>
              <w:shd w:val="clear"/>
              <w:spacing w:line="300" w:lineRule="auto"/>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highlight w:val="none"/>
              </w:rPr>
              <w:t>☆</w:t>
            </w:r>
            <w:r>
              <w:rPr>
                <w:rFonts w:hint="eastAsia" w:ascii="宋体" w:hAnsi="宋体" w:eastAsia="宋体" w:cs="宋体"/>
                <w:bCs/>
                <w:color w:val="auto"/>
                <w:sz w:val="22"/>
                <w:szCs w:val="22"/>
                <w:highlight w:val="none"/>
              </w:rPr>
              <w:t>13.设置好诱芯后有30天倒计时提醒；可进行设备状态查看，设备控制；并具有死机自动重起纠错功能；（需提供产品功能性演示视频）</w:t>
            </w:r>
          </w:p>
          <w:p>
            <w:pPr>
              <w:widowControl/>
              <w:shd w:val="clear"/>
              <w:spacing w:line="300" w:lineRule="auto"/>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highlight w:val="none"/>
              </w:rPr>
              <w:t>☆</w:t>
            </w:r>
            <w:r>
              <w:rPr>
                <w:rFonts w:hint="eastAsia" w:ascii="宋体" w:hAnsi="宋体" w:eastAsia="宋体" w:cs="宋体"/>
                <w:bCs/>
                <w:color w:val="auto"/>
                <w:sz w:val="22"/>
                <w:szCs w:val="22"/>
                <w:highlight w:val="none"/>
              </w:rPr>
              <w:t>14.可通过手机APP设置各个终端的经纬度，点击经纬度可直接导航到该终端设备；（需提供产品功能性演示视频）</w:t>
            </w:r>
          </w:p>
          <w:p>
            <w:pPr>
              <w:widowControl/>
              <w:shd w:val="clear"/>
              <w:spacing w:line="300" w:lineRule="auto"/>
              <w:jc w:val="left"/>
              <w:rPr>
                <w:rFonts w:hint="eastAsia" w:ascii="宋体" w:hAnsi="宋体" w:eastAsia="宋体" w:cs="宋体"/>
                <w:color w:val="auto"/>
                <w:sz w:val="22"/>
                <w:szCs w:val="22"/>
                <w:highlight w:val="none"/>
              </w:rPr>
            </w:pPr>
            <w:r>
              <w:rPr>
                <w:rFonts w:hint="eastAsia" w:ascii="宋体" w:hAnsi="宋体" w:eastAsia="宋体" w:cs="宋体"/>
                <w:bCs/>
                <w:color w:val="auto"/>
                <w:sz w:val="22"/>
                <w:highlight w:val="none"/>
              </w:rPr>
              <w:t>☆</w:t>
            </w:r>
            <w:r>
              <w:rPr>
                <w:rFonts w:hint="eastAsia" w:ascii="宋体" w:hAnsi="宋体" w:eastAsia="宋体" w:cs="宋体"/>
                <w:bCs/>
                <w:color w:val="auto"/>
                <w:sz w:val="22"/>
                <w:szCs w:val="22"/>
                <w:highlight w:val="none"/>
              </w:rPr>
              <w:t>15.实时监测数据可对接到电脑端数据分析平台-“昆虫性诱智能测报系统的云端数据库平台”。（需提供产品功能性演示视频）</w:t>
            </w:r>
          </w:p>
        </w:tc>
        <w:tc>
          <w:tcPr>
            <w:tcW w:w="705"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台</w:t>
            </w:r>
          </w:p>
        </w:tc>
        <w:tc>
          <w:tcPr>
            <w:tcW w:w="771"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754"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3</w:t>
            </w:r>
          </w:p>
        </w:tc>
        <w:tc>
          <w:tcPr>
            <w:tcW w:w="1019"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农田生境远程实时监测设备</w:t>
            </w:r>
          </w:p>
        </w:tc>
        <w:tc>
          <w:tcPr>
            <w:tcW w:w="5562" w:type="dxa"/>
            <w:vAlign w:val="center"/>
          </w:tcPr>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1、田间实时监测系统包含远程可视化系统、网络汇聚传输系统、基础安装设备及避雷系统；</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360度云台、高清长焦摄像机、无线传输、智能识别、数据分析与可视化为一体的系统。可随时查看设备附近农作物苗情生长情况，实时监测农作物冠层病虫害发生情况；（提供具有CMA或CNAS认证的第三方权威机构检验报告原件扫描件）</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▲3、可在手机app/网页端实时查看视频，手动抓图，云台控制、手动调焦、设置预置点等操作；（提供具有CMA或CNAS认证的第三方权威机构检验报告原件扫描件）</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4、内置GPS定位模块；支持OSD显示安装位置经纬度信息；支持透雾、强光抑制、电子防抖、数字降噪、防红外过曝功能；</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5、像素：800万，焦 距 ：5.9-147.5mm，25 倍光学变焦；</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6、联网支持：4G/5G/RJ45/光纤；</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7、云台操控：水平 360 度旋转，垂直方向 -20°-90°旋转；</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8、近摄距离 ：100mm-1500mm( 广角 - 望远 ) ；</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 xml:space="preserve">9、聚焦模式 ：支持半自动、手动、自动等模式； </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10、电 源 ：AC24V±25% &amp; DC12V；</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▲11、自带日夜转换模式：自动 ICR 彩转黑；（提供具有CMA或CNAS认证的第三方权威机构检验报告原件扫描件） </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▲12、自动补光：红外照射距离 200m ；（提供具有CMA或CNAS认证的第三方权威机构检验报告原件扫描件）</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13、配套立杆（≥4米）、太阳能供电系统。</w:t>
            </w:r>
          </w:p>
        </w:tc>
        <w:tc>
          <w:tcPr>
            <w:tcW w:w="705"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套</w:t>
            </w:r>
          </w:p>
        </w:tc>
        <w:tc>
          <w:tcPr>
            <w:tcW w:w="771"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1" w:hRule="atLeast"/>
          <w:jc w:val="center"/>
        </w:trPr>
        <w:tc>
          <w:tcPr>
            <w:tcW w:w="754"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4</w:t>
            </w:r>
          </w:p>
        </w:tc>
        <w:tc>
          <w:tcPr>
            <w:tcW w:w="1019"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田间病害智能(AI)监测仪</w:t>
            </w:r>
          </w:p>
        </w:tc>
        <w:tc>
          <w:tcPr>
            <w:tcW w:w="5562" w:type="dxa"/>
            <w:vAlign w:val="center"/>
          </w:tcPr>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▲1.用于田间病虫害监测的插地式智能设备，可全天候全方位不间断高清监测田间病虫害，并通过4G实时发送数据至指定终端；（提供具有CMA或CNAS认证的第三方权威机构检验报告原件扫描件）</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▲2.双智能摄像头升降可调控装置，摄像头高度可调范围0-300cm；（提供具有CMA或CNAS认证的第三方权威机构检验报告原件扫描件）</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▲3.远程操控双轴云台，仰俯角±120°，方位角±160°，具有定时定角度拍摄功能；（提供具有CMA或CNAS认证的第三方权威机构检验报告原件扫描件）</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4.光学变焦摄像头（≥10倍变焦，≥400w像素）；</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5.具有GPS定位功能，可随时查看设备所在点；</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▲6.太阳能+蓄电池供电，阴雨天可保证设备连续采集≥5000张照片数据；（提供具有CMA或CNAS认证的第三方权威机构检验报告原件扫描件）</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7.设备特级防尘防水，可适应各种复杂环境；</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8.具备茶叶、桃、柑橘、蔬菜、水稻等20余种作物1300余种主要病、虫、草、天敌定性识别模型；</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9.具备稻飞虱、纹枯病的定量定级识别模型，也可定制开发定量定级模型；</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10.配备手机端及PC端软件，可自动生成病虫害发生曲线；</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▲11.手机端及PC端均可对采集时间、次数、点位进行设置和实时查看。也可通过采集时间、采集对象、设备号进行数据筛选、搜索和查看。（提供具有CMA或CNAS认证的第三方权威机构检验报告原件扫描件）</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12.设备具有可拓展性，据需求可定制增加各类功能模块。</w:t>
            </w:r>
          </w:p>
        </w:tc>
        <w:tc>
          <w:tcPr>
            <w:tcW w:w="705"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台</w:t>
            </w:r>
          </w:p>
        </w:tc>
        <w:tc>
          <w:tcPr>
            <w:tcW w:w="771"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8" w:hRule="atLeast"/>
          <w:jc w:val="center"/>
        </w:trPr>
        <w:tc>
          <w:tcPr>
            <w:tcW w:w="754"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5</w:t>
            </w:r>
          </w:p>
        </w:tc>
        <w:tc>
          <w:tcPr>
            <w:tcW w:w="1019"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农业小气象综合监测站</w:t>
            </w:r>
          </w:p>
        </w:tc>
        <w:tc>
          <w:tcPr>
            <w:tcW w:w="5562" w:type="dxa"/>
            <w:vAlign w:val="center"/>
          </w:tcPr>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▲1、监测参数包括空气温度、湿度、风速、风向、降雨量、光照强度、大气压、土壤温度（4层）、土壤水分（4层）；（提供具有CMA或CNAS认证的第三方权威机构检验报告原件扫描件）</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2、温度：测量范围-40-60℃，分辨率≥0.1℃，精度±0.3℃；</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3、湿度：0-100%RH，0.1%RH,±3%RH(0-90%RH)；</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4、气压：300-1100hpa，分辨率≥0.1hpa，精度±0.5hpa（0-30℃）；</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5、风速：0-60m/s，分辨率≥0.01m/s，精度±3%（0-30m/s），±5%（30-60m/s）；</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6、风向：0-360°，分辨率≥0.1°，精度±2%；</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7、降雨量：0-200mm/s，分辨率≥0.2mm，误差＜10%；</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8、光照度0-100klx，分辨率0.01klx，±3%；</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▲9、土壤温度：测量范围：-20-80℃，分辨率≥0.1℃，精度±0.5℃；（提供具有CMA或CNAS认证的第三方权威机构检验报告原件扫描件）</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▲10、土壤水分：测量范围：0-100%VOL，分辨率≥0.1%，精度±3%（0-45%），±5%（&gt;45%）；（提供具有CMA或CNAS认证的第三方权威机构检验报告原件扫描件）</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11、土壤电导率：测量范围：0-6000uS/cm,分辨率≥10uS，精度±5%；</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12、采用一体化设计，维护简单，使用寿命长；</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13、壳体材质：采用ASA工程塑料，防紫外线防风化防腐蚀，常年应用不变色）；</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14、防护等级：≥IP66；</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15、固定支架：3m法兰固定；</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16、供电方式：太阳能供电，DC12-24V；</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▲17、北斗/gps定位，设备防盗；（提供具有CMA或CNAS认证的第三方权威机构检验报告原件扫描件）</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▲18、数据查看：可通过手机端、PC端查看数据，且可以对接LED屏，液晶电视屏等展示数据。（提供具有CMA或CNAS认证的第三方权威机构检验报告原件扫描件）</w:t>
            </w:r>
          </w:p>
        </w:tc>
        <w:tc>
          <w:tcPr>
            <w:tcW w:w="705"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台</w:t>
            </w:r>
          </w:p>
        </w:tc>
        <w:tc>
          <w:tcPr>
            <w:tcW w:w="771"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54"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6</w:t>
            </w:r>
          </w:p>
        </w:tc>
        <w:tc>
          <w:tcPr>
            <w:tcW w:w="1019"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小麦赤霉病</w:t>
            </w:r>
            <w:r>
              <w:rPr>
                <w:rFonts w:hint="eastAsia" w:ascii="宋体" w:hAnsi="宋体" w:eastAsia="宋体" w:cs="宋体"/>
                <w:color w:val="auto"/>
                <w:sz w:val="22"/>
                <w:szCs w:val="22"/>
                <w:highlight w:val="none"/>
              </w:rPr>
              <w:t>、稻瘟病</w:t>
            </w:r>
            <w:r>
              <w:rPr>
                <w:rFonts w:hint="eastAsia" w:ascii="宋体" w:hAnsi="宋体" w:eastAsia="宋体" w:cs="宋体"/>
                <w:bCs/>
                <w:color w:val="auto"/>
                <w:sz w:val="22"/>
                <w:szCs w:val="22"/>
                <w:highlight w:val="none"/>
              </w:rPr>
              <w:t>自动监测预警系统</w:t>
            </w:r>
          </w:p>
        </w:tc>
        <w:tc>
          <w:tcPr>
            <w:tcW w:w="5562" w:type="dxa"/>
            <w:vAlign w:val="center"/>
          </w:tcPr>
          <w:p>
            <w:pPr>
              <w:widowControl/>
              <w:shd w:val="clear"/>
              <w:spacing w:before="120" w:beforeLines="50" w:after="120" w:afterLines="50"/>
              <w:jc w:val="left"/>
              <w:rPr>
                <w:rFonts w:hint="eastAsia" w:ascii="宋体" w:hAnsi="宋体" w:eastAsia="宋体" w:cs="宋体"/>
                <w:bCs/>
                <w:color w:val="auto"/>
                <w:sz w:val="22"/>
                <w:szCs w:val="22"/>
                <w:highlight w:val="none"/>
                <w:lang w:eastAsia="zh-CN"/>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1、作物病害自动监测预警模型：包括子囊壳形成与温湿度关系模型、侵染概率模型、菌量模型、潜育速率模型、显症率模型、重复侵染概率模型、病穗率模型、发病程度模型等子模型，构成小麦-玉米轮作和小麦-水稻轮作的赤霉病、稻瘟病监测预警模型。</w:t>
            </w:r>
            <w:r>
              <w:rPr>
                <w:rFonts w:hint="eastAsia" w:ascii="宋体" w:hAnsi="宋体" w:cs="宋体"/>
                <w:bCs/>
                <w:color w:val="auto"/>
                <w:sz w:val="22"/>
                <w:szCs w:val="22"/>
                <w:highlight w:val="none"/>
                <w:lang w:val="en-US" w:eastAsia="zh-CN"/>
              </w:rPr>
              <w:t xml:space="preserve"> </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2、作物病害自动监测预警系统软件部分</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▲2.1 数据采集云存储：实时采集田间数据，每2小时上传一次，储存至少3年历史数据，用折线图、数据列表等不同形式展示；提供第三方检验检测单位出具的检验/检测报告原件扫描件</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▲2.2 预测结果与国家标准对应，在小麦赤霉病、稻瘟病防治关键期前15天开始预报发病情况，超过防治指标自动报警，可在电脑PC端、手机微信小程序查看；提供第三方检验检测单位出具的检验/检测报告原件扫描件</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2.3 开放式系统平台，自动接入国家平台，可接入其他省、市、县平台。</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3、作物病害自动监测预警系统硬件部分   </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▲3.1 主机规格：高≥1.8 m ，重量80-82kg；电池容量：12 V 20 A（采用高原专用电池6-CNJ-20，输出功率受环境温度影响较小）；太阳能板：40W；功耗：10 mA；工作时间：在连续阴雨天环境中可持续工作30天；工作温度范围：-20℃~80℃；提供第三方检验检测单位出具的检验/检测报告原件扫描件</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▲3.2 整机为SUS 304不锈钢材质，耐酸碱，耐腐蚀，防护等级≥IP67，抗冲击等级≥IK08；提供第三方检验检测单位出具的检验/检测报告原件扫描件</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▲3.3 温度及降雨量采集传感器采用光电感应技术；风速风向传感器采用超声波采集技术；提供第三方检验检测单位出具的检验/检测报告原件扫描件</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▲3.4 仪器具有远程调试、无人值守、无缝监控等功能。提供第三方检验检测单位出具的检验/检测报告原件扫描件</w:t>
            </w:r>
          </w:p>
        </w:tc>
        <w:tc>
          <w:tcPr>
            <w:tcW w:w="705"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套</w:t>
            </w:r>
          </w:p>
        </w:tc>
        <w:tc>
          <w:tcPr>
            <w:tcW w:w="771"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54"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7</w:t>
            </w:r>
          </w:p>
        </w:tc>
        <w:tc>
          <w:tcPr>
            <w:tcW w:w="1019"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多媒体会商展示屏及配件</w:t>
            </w:r>
          </w:p>
        </w:tc>
        <w:tc>
          <w:tcPr>
            <w:tcW w:w="5562" w:type="dxa"/>
            <w:vAlign w:val="center"/>
          </w:tcPr>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1、智能交互平板显示尺寸≧98英寸，分辨率：≥3840*2160 ，采用红外触控技术，在双系统下均支持20点同时触控及书写。</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2、智能交互平板 Android 主板具备四核CPU， 内存不小于2G，Android 系统不低于11.0，主页提供不少于5 个应用程序，也可替代其他应用程过多指滑动屏幕，可快速实现Windows与教学系统界面的切换。</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3、整机采用OPS-C 标准的80pin针口设计，方便用户后续自主升级维护或对接第三方智慧教室类插拔电脑产品。</w:t>
            </w:r>
          </w:p>
          <w:p>
            <w:pPr>
              <w:widowControl/>
              <w:shd w:val="clear"/>
              <w:spacing w:before="120" w:beforeLines="50" w:after="120" w:afterLines="50"/>
              <w:jc w:val="left"/>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4、内置电脑：本次所投产品采用模块化电脑方案，抽拉内置式，采用≥80pin 接口实现无单独接线的插拔；Intel I5 酷睿11代及以上处理器；8G DDR4 或以上配置内存；256G 或以上配置固态硬盘。</w:t>
            </w:r>
          </w:p>
          <w:p>
            <w:pPr>
              <w:pStyle w:val="3"/>
              <w:shd w:val="clear"/>
              <w:spacing w:before="50" w:after="50"/>
              <w:ind w:firstLine="0"/>
              <w:rPr>
                <w:rFonts w:hint="eastAsia" w:ascii="宋体" w:hAnsi="宋体" w:eastAsia="宋体" w:cs="宋体"/>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color w:val="auto"/>
                <w:sz w:val="22"/>
                <w:szCs w:val="22"/>
                <w:highlight w:val="none"/>
              </w:rPr>
              <w:t>5、配主扩音箱2只、功放1套、数字调音台1套、反馈抑制器1台、无线会议话筒4只、无线手持话筒2只、电源时序器1套。</w:t>
            </w:r>
          </w:p>
        </w:tc>
        <w:tc>
          <w:tcPr>
            <w:tcW w:w="705"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套</w:t>
            </w:r>
          </w:p>
        </w:tc>
        <w:tc>
          <w:tcPr>
            <w:tcW w:w="771"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54"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8</w:t>
            </w:r>
          </w:p>
        </w:tc>
        <w:tc>
          <w:tcPr>
            <w:tcW w:w="1019"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农业病虫害AR智能测报仪</w:t>
            </w:r>
          </w:p>
        </w:tc>
        <w:tc>
          <w:tcPr>
            <w:tcW w:w="5562" w:type="dxa"/>
            <w:vAlign w:val="center"/>
          </w:tcPr>
          <w:p>
            <w:pPr>
              <w:shd w:val="clear"/>
              <w:spacing w:before="120" w:beforeLines="50" w:after="120" w:afterLines="50"/>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1、操作系统：Android系统（AOSP），双麦克风，带降噪算法。</w:t>
            </w:r>
          </w:p>
          <w:p>
            <w:pPr>
              <w:shd w:val="clear"/>
              <w:spacing w:before="120" w:beforeLines="50" w:after="120" w:afterLines="50"/>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2、内存/芯片：RAM LPDDR4X 3GB+ROM 32GB，高通骁龙8核芯片。</w:t>
            </w:r>
          </w:p>
          <w:p>
            <w:pPr>
              <w:shd w:val="clear"/>
              <w:spacing w:before="120" w:beforeLines="50" w:after="120" w:afterLines="50"/>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3、显示器: 0.23寸屏幕。</w:t>
            </w:r>
          </w:p>
          <w:p>
            <w:pPr>
              <w:shd w:val="clear"/>
              <w:spacing w:before="120" w:beforeLines="50" w:after="120" w:afterLines="50"/>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4、摄像头：长焦8M 5X (120mm，支持AF、OIS)+广角 50M (28mm，支持AF)，传感器：6轴陀螺仪+环境光传感器。</w:t>
            </w:r>
          </w:p>
          <w:p>
            <w:pPr>
              <w:shd w:val="clear"/>
              <w:spacing w:before="120" w:beforeLines="50" w:after="120" w:afterLines="50"/>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5、触控：支持3点触控场景，触控区 20*50mm。</w:t>
            </w:r>
          </w:p>
          <w:p>
            <w:pPr>
              <w:shd w:val="clear"/>
              <w:spacing w:before="120" w:beforeLines="50" w:after="120" w:afterLines="50"/>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6、电池：990mAh/3.81Wh，聚合物电芯，4.45V，充电：5V2A，2PIN，续航时间：3h。</w:t>
            </w:r>
          </w:p>
          <w:p>
            <w:pPr>
              <w:shd w:val="clear"/>
              <w:spacing w:before="120" w:beforeLines="50" w:after="120" w:afterLines="5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▲7、实现自动识别稻飞虱种类、翅型、高低龄若虫并统计计数，可识别15个指标。（提供具有CMA或CNAS认证的第三方权威机构检验报告原件扫描件）</w:t>
            </w:r>
          </w:p>
          <w:p>
            <w:pPr>
              <w:shd w:val="clear"/>
              <w:spacing w:before="120" w:beforeLines="50" w:after="120" w:afterLines="50"/>
              <w:rPr>
                <w:rFonts w:hint="eastAsia" w:ascii="宋体" w:hAnsi="宋体" w:eastAsia="宋体" w:cs="宋体"/>
                <w:bCs/>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bCs/>
                <w:color w:val="auto"/>
                <w:sz w:val="22"/>
                <w:szCs w:val="22"/>
                <w:highlight w:val="none"/>
              </w:rPr>
              <w:t>8、云服务器图片数据保留一年，数字数据永久保留。</w:t>
            </w:r>
          </w:p>
          <w:p>
            <w:pPr>
              <w:shd w:val="clear"/>
              <w:spacing w:before="120" w:beforeLines="50" w:after="120" w:afterLines="5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▲9、具有手机APP端和网页端双操作平台。（提供具有CMA或CNAS认证的第三方权威机构检验报告原件扫描件）</w:t>
            </w:r>
          </w:p>
          <w:p>
            <w:pPr>
              <w:shd w:val="clear"/>
              <w:spacing w:before="120" w:beforeLines="50" w:after="120" w:afterLines="5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▲10、设备平均识别准确率应≥95%。（提供具有CMA或CNAS认证的第三方权威机构检验报告原件扫描件）</w:t>
            </w:r>
          </w:p>
          <w:p>
            <w:pPr>
              <w:shd w:val="clear"/>
              <w:spacing w:before="120" w:beforeLines="50" w:after="120" w:afterLines="5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▲11、可导出病虫害调查数据，以列表形式呈现。（提供具有CMA或CNAS认证的第三方权威机构检验报告原件扫描件）</w:t>
            </w:r>
          </w:p>
          <w:p>
            <w:pPr>
              <w:shd w:val="clear"/>
              <w:spacing w:before="120" w:beforeLines="50" w:after="120" w:afterLines="50"/>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▲12、可查看、编辑数据（包括但不限于采集时间、采集对象、采集用户、采集地点等）。（提供具有CMA或CNAS认证的第三方权威机构检验报告原件扫描件）</w:t>
            </w:r>
          </w:p>
        </w:tc>
        <w:tc>
          <w:tcPr>
            <w:tcW w:w="705"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台</w:t>
            </w:r>
          </w:p>
        </w:tc>
        <w:tc>
          <w:tcPr>
            <w:tcW w:w="771"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54"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9</w:t>
            </w:r>
          </w:p>
        </w:tc>
        <w:tc>
          <w:tcPr>
            <w:tcW w:w="1019"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病虫害物联网数据分析系统升级</w:t>
            </w:r>
          </w:p>
        </w:tc>
        <w:tc>
          <w:tcPr>
            <w:tcW w:w="5562" w:type="dxa"/>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color w:val="auto"/>
                <w:sz w:val="22"/>
                <w:szCs w:val="22"/>
                <w:highlight w:val="none"/>
              </w:rPr>
              <w:t>1、整合和分析作物数据，通过数据分析，提供对农作物病虫害的智能识别和分析，实现对病虫害的快速预警和智能防治。</w:t>
            </w:r>
          </w:p>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color w:val="auto"/>
                <w:sz w:val="22"/>
                <w:szCs w:val="22"/>
                <w:highlight w:val="none"/>
              </w:rPr>
              <w:t>2、可在地图中查看设备站点并提示相应的数据，可以收集、存储、分析、组织、展示和发布农作物病虫害相关信息，在后期的病虫害预警、防治和管理中发挥重要作用。（含手机APP端）</w:t>
            </w:r>
          </w:p>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color w:val="auto"/>
                <w:sz w:val="22"/>
                <w:szCs w:val="22"/>
                <w:highlight w:val="none"/>
              </w:rPr>
              <w:t>3、建立田间智能物联网设备管理库，管理设备的运行状态。实现病虫害监测数据查询、统计及图形分析、地区病虫害档案和病虫图谱、预报情报报送等功能。包括数据查询、数据分析、物联网管理、知识库、信息发布管理等；</w:t>
            </w:r>
          </w:p>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color w:val="auto"/>
                <w:sz w:val="22"/>
                <w:szCs w:val="22"/>
                <w:highlight w:val="none"/>
              </w:rPr>
              <w:t>4、可接入其它农业物联网设备采集的数据，并进行数据标准化验证和统一管理；</w:t>
            </w:r>
          </w:p>
          <w:p>
            <w:pPr>
              <w:widowControl/>
              <w:shd w:val="clear"/>
              <w:spacing w:line="300" w:lineRule="auto"/>
              <w:jc w:val="left"/>
              <w:rPr>
                <w:rFonts w:hint="eastAsia" w:ascii="宋体" w:hAnsi="宋体" w:eastAsia="宋体" w:cs="宋体"/>
                <w:color w:val="auto"/>
                <w:sz w:val="22"/>
                <w:szCs w:val="22"/>
                <w:highlight w:val="none"/>
              </w:rPr>
            </w:pPr>
            <w:r>
              <w:rPr>
                <w:rFonts w:hint="eastAsia" w:ascii="宋体" w:hAnsi="宋体" w:eastAsia="宋体" w:cs="宋体"/>
                <w:bCs/>
                <w:color w:val="auto"/>
                <w:sz w:val="22"/>
                <w:highlight w:val="none"/>
              </w:rPr>
              <w:t>☆</w:t>
            </w:r>
            <w:r>
              <w:rPr>
                <w:rFonts w:hint="eastAsia" w:ascii="宋体" w:hAnsi="宋体" w:eastAsia="宋体" w:cs="宋体"/>
                <w:color w:val="auto"/>
                <w:sz w:val="22"/>
                <w:szCs w:val="22"/>
                <w:highlight w:val="none"/>
              </w:rPr>
              <w:t>5、按设备查询：根据各种物联网设备的数据种类、采集间隔、监测对象特点，针对不同物联网设备分别设置不同的查询、汇总条件和数据查询结果、展现方法，查询方法必须根据每种设备进行逐个查询，页面打开即可自动查询近期数据而无需手工选择查询条件；</w:t>
            </w:r>
            <w:r>
              <w:rPr>
                <w:rFonts w:hint="eastAsia" w:ascii="宋体" w:hAnsi="宋体" w:eastAsia="宋体" w:cs="宋体"/>
                <w:bCs/>
                <w:color w:val="auto"/>
                <w:sz w:val="22"/>
                <w:szCs w:val="22"/>
                <w:highlight w:val="none"/>
              </w:rPr>
              <w:t>（需提供产品功能性演示视频）</w:t>
            </w:r>
          </w:p>
          <w:p>
            <w:pPr>
              <w:widowControl/>
              <w:shd w:val="clear"/>
              <w:spacing w:line="300" w:lineRule="auto"/>
              <w:jc w:val="left"/>
              <w:rPr>
                <w:rFonts w:hint="eastAsia" w:ascii="宋体" w:hAnsi="宋体" w:eastAsia="宋体" w:cs="宋体"/>
                <w:color w:val="auto"/>
                <w:sz w:val="22"/>
                <w:szCs w:val="22"/>
                <w:highlight w:val="none"/>
              </w:rPr>
            </w:pPr>
            <w:r>
              <w:rPr>
                <w:rFonts w:hint="eastAsia" w:ascii="宋体" w:hAnsi="宋体" w:eastAsia="宋体" w:cs="宋体"/>
                <w:bCs/>
                <w:color w:val="auto"/>
                <w:sz w:val="22"/>
                <w:highlight w:val="none"/>
              </w:rPr>
              <w:t>☆</w:t>
            </w:r>
            <w:r>
              <w:rPr>
                <w:rFonts w:hint="eastAsia" w:ascii="宋体" w:hAnsi="宋体" w:eastAsia="宋体" w:cs="宋体"/>
                <w:color w:val="auto"/>
                <w:sz w:val="22"/>
                <w:szCs w:val="22"/>
                <w:highlight w:val="none"/>
              </w:rPr>
              <w:t>6、按指标查询：按照虫害、病害、气象等各类指标来查询数据，查询时系统会自动将可采集该指标的设备筛选出来，查询结果可根据指标的数据特点进行有效呈现；</w:t>
            </w:r>
            <w:r>
              <w:rPr>
                <w:rFonts w:hint="eastAsia" w:ascii="宋体" w:hAnsi="宋体" w:eastAsia="宋体" w:cs="宋体"/>
                <w:bCs/>
                <w:color w:val="auto"/>
                <w:sz w:val="22"/>
                <w:szCs w:val="22"/>
                <w:highlight w:val="none"/>
              </w:rPr>
              <w:t>（需提供产品功能性演示视频）</w:t>
            </w:r>
          </w:p>
          <w:p>
            <w:pPr>
              <w:widowControl/>
              <w:shd w:val="clear"/>
              <w:spacing w:line="300" w:lineRule="auto"/>
              <w:jc w:val="left"/>
              <w:rPr>
                <w:rFonts w:hint="eastAsia" w:ascii="宋体" w:hAnsi="宋体" w:eastAsia="宋体" w:cs="宋体"/>
                <w:color w:val="auto"/>
                <w:sz w:val="22"/>
                <w:szCs w:val="22"/>
                <w:highlight w:val="none"/>
              </w:rPr>
            </w:pPr>
            <w:r>
              <w:rPr>
                <w:rFonts w:hint="eastAsia" w:ascii="宋体" w:hAnsi="宋体" w:eastAsia="宋体" w:cs="宋体"/>
                <w:bCs/>
                <w:color w:val="auto"/>
                <w:sz w:val="22"/>
                <w:highlight w:val="none"/>
              </w:rPr>
              <w:t>☆</w:t>
            </w:r>
            <w:r>
              <w:rPr>
                <w:rFonts w:hint="eastAsia" w:ascii="宋体" w:hAnsi="宋体" w:eastAsia="宋体" w:cs="宋体"/>
                <w:color w:val="auto"/>
                <w:sz w:val="22"/>
                <w:szCs w:val="22"/>
                <w:highlight w:val="none"/>
              </w:rPr>
              <w:t>7、多指标专题：后台管理员分别对虫害、病害、墒情、灾情专题配置关联指标，使用者无需过多操作即可实现核心指标与因子指标的叠加关系分析；</w:t>
            </w:r>
            <w:r>
              <w:rPr>
                <w:rFonts w:hint="eastAsia" w:ascii="宋体" w:hAnsi="宋体" w:eastAsia="宋体" w:cs="宋体"/>
                <w:bCs/>
                <w:color w:val="auto"/>
                <w:sz w:val="22"/>
                <w:szCs w:val="22"/>
                <w:highlight w:val="none"/>
              </w:rPr>
              <w:t>（需提供产品功能性演示视频）</w:t>
            </w:r>
          </w:p>
          <w:p>
            <w:pPr>
              <w:shd w:val="clear"/>
              <w:jc w:val="left"/>
              <w:rPr>
                <w:rFonts w:hint="eastAsia" w:ascii="宋体" w:hAnsi="宋体" w:eastAsia="宋体" w:cs="宋体"/>
                <w:color w:val="auto"/>
                <w:sz w:val="22"/>
                <w:szCs w:val="22"/>
                <w:highlight w:val="none"/>
              </w:rPr>
            </w:pPr>
            <w:r>
              <w:rPr>
                <w:rFonts w:hint="eastAsia" w:ascii="宋体" w:hAnsi="宋体" w:eastAsia="宋体" w:cs="宋体"/>
                <w:bCs/>
                <w:color w:val="auto"/>
                <w:sz w:val="22"/>
                <w:highlight w:val="none"/>
              </w:rPr>
              <w:t>☆</w:t>
            </w:r>
            <w:r>
              <w:rPr>
                <w:rFonts w:hint="eastAsia" w:ascii="宋体" w:hAnsi="宋体" w:eastAsia="宋体" w:cs="宋体"/>
                <w:color w:val="auto"/>
                <w:sz w:val="22"/>
                <w:szCs w:val="22"/>
                <w:highlight w:val="none"/>
              </w:rPr>
              <w:t>8、多指标叠加分析：使用者可将任何物联网监测指标进行叠加分析，叠加时可自动根据指标属性设定统计周期，帮助使用者进行综合业务分析。</w:t>
            </w:r>
            <w:r>
              <w:rPr>
                <w:rFonts w:hint="eastAsia" w:ascii="宋体" w:hAnsi="宋体" w:eastAsia="宋体" w:cs="宋体"/>
                <w:bCs/>
                <w:color w:val="auto"/>
                <w:sz w:val="22"/>
                <w:szCs w:val="22"/>
                <w:highlight w:val="none"/>
              </w:rPr>
              <w:t>（需提供产品功能性演示视频）</w:t>
            </w:r>
          </w:p>
        </w:tc>
        <w:tc>
          <w:tcPr>
            <w:tcW w:w="705"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套</w:t>
            </w:r>
          </w:p>
        </w:tc>
        <w:tc>
          <w:tcPr>
            <w:tcW w:w="771" w:type="dxa"/>
            <w:vAlign w:val="center"/>
          </w:tcPr>
          <w:p>
            <w:pPr>
              <w:widowControl/>
              <w:shd w:val="clear"/>
              <w:spacing w:before="120" w:beforeLines="50" w:after="120" w:afterLines="50" w:line="30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754"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10</w:t>
            </w:r>
          </w:p>
        </w:tc>
        <w:tc>
          <w:tcPr>
            <w:tcW w:w="1019" w:type="dxa"/>
            <w:vMerge w:val="restart"/>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设备基础</w:t>
            </w:r>
          </w:p>
        </w:tc>
        <w:tc>
          <w:tcPr>
            <w:tcW w:w="5562"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color w:val="auto"/>
                <w:sz w:val="22"/>
                <w:szCs w:val="22"/>
                <w:highlight w:val="none"/>
              </w:rPr>
              <w:t>测报灯水泥基础*6</w:t>
            </w:r>
            <w:r>
              <w:rPr>
                <w:rFonts w:hint="eastAsia" w:ascii="宋体" w:hAnsi="宋体" w:cs="宋体"/>
                <w:color w:val="auto"/>
                <w:sz w:val="22"/>
                <w:szCs w:val="22"/>
                <w:highlight w:val="none"/>
                <w:lang w:eastAsia="zh-CN"/>
              </w:rPr>
              <w:t>：</w:t>
            </w:r>
            <w:r>
              <w:rPr>
                <w:rFonts w:hint="eastAsia" w:ascii="宋体" w:hAnsi="宋体" w:eastAsia="宋体" w:cs="宋体"/>
                <w:color w:val="auto"/>
                <w:sz w:val="22"/>
                <w:szCs w:val="22"/>
                <w:highlight w:val="none"/>
              </w:rPr>
              <w:t>长1100*宽800*深500（露出地面300，地下200），含土方开挖、制模、表面走平、拆模等</w:t>
            </w:r>
          </w:p>
        </w:tc>
        <w:tc>
          <w:tcPr>
            <w:tcW w:w="705"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2.64</w:t>
            </w:r>
          </w:p>
        </w:tc>
        <w:tc>
          <w:tcPr>
            <w:tcW w:w="771"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m³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754"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11</w:t>
            </w:r>
          </w:p>
        </w:tc>
        <w:tc>
          <w:tcPr>
            <w:tcW w:w="1019" w:type="dxa"/>
            <w:vMerge w:val="continue"/>
            <w:vAlign w:val="center"/>
          </w:tcPr>
          <w:p>
            <w:pPr>
              <w:shd w:val="clear"/>
              <w:jc w:val="left"/>
              <w:rPr>
                <w:rFonts w:hint="eastAsia" w:ascii="宋体" w:hAnsi="宋体" w:eastAsia="宋体" w:cs="宋体"/>
                <w:color w:val="auto"/>
                <w:sz w:val="22"/>
                <w:szCs w:val="22"/>
                <w:highlight w:val="none"/>
              </w:rPr>
            </w:pPr>
          </w:p>
        </w:tc>
        <w:tc>
          <w:tcPr>
            <w:tcW w:w="5562"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color w:val="auto"/>
                <w:sz w:val="22"/>
                <w:szCs w:val="22"/>
                <w:highlight w:val="none"/>
              </w:rPr>
              <w:t>性诱水泥基础*7</w:t>
            </w:r>
            <w:r>
              <w:rPr>
                <w:rFonts w:hint="eastAsia" w:ascii="宋体" w:hAnsi="宋体" w:cs="宋体"/>
                <w:color w:val="auto"/>
                <w:sz w:val="22"/>
                <w:szCs w:val="22"/>
                <w:highlight w:val="none"/>
                <w:lang w:eastAsia="zh-CN"/>
              </w:rPr>
              <w:t>：</w:t>
            </w:r>
            <w:r>
              <w:rPr>
                <w:rFonts w:hint="eastAsia" w:ascii="宋体" w:hAnsi="宋体" w:eastAsia="宋体" w:cs="宋体"/>
                <w:color w:val="auto"/>
                <w:sz w:val="22"/>
                <w:szCs w:val="22"/>
                <w:highlight w:val="none"/>
              </w:rPr>
              <w:t>长500*宽500*深600（露出地面300，地下300），含土方开挖、制模、表面走平、拆模等</w:t>
            </w:r>
          </w:p>
        </w:tc>
        <w:tc>
          <w:tcPr>
            <w:tcW w:w="705"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771"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m³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5" w:hRule="atLeast"/>
          <w:jc w:val="center"/>
        </w:trPr>
        <w:tc>
          <w:tcPr>
            <w:tcW w:w="754"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w:t>
            </w:r>
          </w:p>
        </w:tc>
        <w:tc>
          <w:tcPr>
            <w:tcW w:w="1019" w:type="dxa"/>
            <w:vMerge w:val="continue"/>
            <w:vAlign w:val="center"/>
          </w:tcPr>
          <w:p>
            <w:pPr>
              <w:shd w:val="clear"/>
              <w:jc w:val="left"/>
              <w:rPr>
                <w:rFonts w:hint="eastAsia" w:ascii="宋体" w:hAnsi="宋体" w:eastAsia="宋体" w:cs="宋体"/>
                <w:color w:val="auto"/>
                <w:sz w:val="22"/>
                <w:szCs w:val="22"/>
                <w:highlight w:val="none"/>
              </w:rPr>
            </w:pPr>
          </w:p>
        </w:tc>
        <w:tc>
          <w:tcPr>
            <w:tcW w:w="5562"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color w:val="auto"/>
                <w:sz w:val="22"/>
                <w:szCs w:val="22"/>
                <w:highlight w:val="none"/>
              </w:rPr>
              <w:t>农田生境水泥基础*5</w:t>
            </w:r>
            <w:r>
              <w:rPr>
                <w:rFonts w:hint="eastAsia" w:ascii="宋体" w:hAnsi="宋体" w:cs="宋体"/>
                <w:color w:val="auto"/>
                <w:sz w:val="22"/>
                <w:szCs w:val="22"/>
                <w:highlight w:val="none"/>
                <w:lang w:eastAsia="zh-CN"/>
              </w:rPr>
              <w:t>：</w:t>
            </w:r>
            <w:r>
              <w:rPr>
                <w:rFonts w:hint="eastAsia" w:ascii="宋体" w:hAnsi="宋体" w:eastAsia="宋体" w:cs="宋体"/>
                <w:color w:val="auto"/>
                <w:sz w:val="22"/>
                <w:szCs w:val="22"/>
                <w:highlight w:val="none"/>
              </w:rPr>
              <w:t>长800*宽500*深1000（露出地面300，地下700），含土方开挖、制模、表面走平、拆模等</w:t>
            </w:r>
          </w:p>
        </w:tc>
        <w:tc>
          <w:tcPr>
            <w:tcW w:w="705"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771"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m³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754"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13</w:t>
            </w:r>
          </w:p>
        </w:tc>
        <w:tc>
          <w:tcPr>
            <w:tcW w:w="1019" w:type="dxa"/>
            <w:vMerge w:val="continue"/>
            <w:vAlign w:val="center"/>
          </w:tcPr>
          <w:p>
            <w:pPr>
              <w:shd w:val="clear"/>
              <w:jc w:val="left"/>
              <w:rPr>
                <w:rFonts w:hint="eastAsia" w:ascii="宋体" w:hAnsi="宋体" w:eastAsia="宋体" w:cs="宋体"/>
                <w:color w:val="auto"/>
                <w:sz w:val="22"/>
                <w:szCs w:val="22"/>
                <w:highlight w:val="none"/>
              </w:rPr>
            </w:pPr>
          </w:p>
        </w:tc>
        <w:tc>
          <w:tcPr>
            <w:tcW w:w="5562"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color w:val="auto"/>
                <w:sz w:val="22"/>
                <w:szCs w:val="22"/>
                <w:highlight w:val="none"/>
              </w:rPr>
              <w:t>气象站水泥基础*6</w:t>
            </w:r>
            <w:r>
              <w:rPr>
                <w:rFonts w:hint="eastAsia" w:ascii="宋体" w:hAnsi="宋体" w:cs="宋体"/>
                <w:color w:val="auto"/>
                <w:sz w:val="22"/>
                <w:szCs w:val="22"/>
                <w:highlight w:val="none"/>
                <w:lang w:eastAsia="zh-CN"/>
              </w:rPr>
              <w:t>：</w:t>
            </w:r>
            <w:r>
              <w:rPr>
                <w:rFonts w:hint="eastAsia" w:ascii="宋体" w:hAnsi="宋体" w:eastAsia="宋体" w:cs="宋体"/>
                <w:color w:val="auto"/>
                <w:sz w:val="22"/>
                <w:szCs w:val="22"/>
                <w:highlight w:val="none"/>
              </w:rPr>
              <w:t>长800*宽500*深600（露出地面300，地下300），含土方开挖、制模、表面走平、拆模等</w:t>
            </w:r>
          </w:p>
        </w:tc>
        <w:tc>
          <w:tcPr>
            <w:tcW w:w="705"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1.4</w:t>
            </w:r>
          </w:p>
        </w:tc>
        <w:tc>
          <w:tcPr>
            <w:tcW w:w="771"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m³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754"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14</w:t>
            </w:r>
          </w:p>
        </w:tc>
        <w:tc>
          <w:tcPr>
            <w:tcW w:w="1019" w:type="dxa"/>
            <w:vMerge w:val="continue"/>
            <w:vAlign w:val="center"/>
          </w:tcPr>
          <w:p>
            <w:pPr>
              <w:shd w:val="clear"/>
              <w:jc w:val="left"/>
              <w:rPr>
                <w:rFonts w:hint="eastAsia" w:ascii="宋体" w:hAnsi="宋体" w:eastAsia="宋体" w:cs="宋体"/>
                <w:color w:val="auto"/>
                <w:sz w:val="22"/>
                <w:szCs w:val="22"/>
                <w:highlight w:val="none"/>
              </w:rPr>
            </w:pPr>
          </w:p>
        </w:tc>
        <w:tc>
          <w:tcPr>
            <w:tcW w:w="5562"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color w:val="auto"/>
                <w:sz w:val="22"/>
                <w:szCs w:val="22"/>
                <w:highlight w:val="none"/>
              </w:rPr>
              <w:t>小麦赤霉病水泥基础</w:t>
            </w:r>
            <w:r>
              <w:rPr>
                <w:rFonts w:hint="eastAsia" w:ascii="宋体" w:hAnsi="宋体" w:cs="宋体"/>
                <w:color w:val="auto"/>
                <w:sz w:val="22"/>
                <w:szCs w:val="22"/>
                <w:highlight w:val="none"/>
                <w:lang w:eastAsia="zh-CN"/>
              </w:rPr>
              <w:t>：</w:t>
            </w:r>
            <w:r>
              <w:rPr>
                <w:rFonts w:hint="eastAsia" w:ascii="宋体" w:hAnsi="宋体" w:eastAsia="宋体" w:cs="宋体"/>
                <w:color w:val="auto"/>
                <w:sz w:val="22"/>
                <w:szCs w:val="22"/>
                <w:highlight w:val="none"/>
              </w:rPr>
              <w:t>长600*宽600*深600（露出地面300，地下300），含土方开挖、制模、表面走平、拆模等</w:t>
            </w:r>
          </w:p>
        </w:tc>
        <w:tc>
          <w:tcPr>
            <w:tcW w:w="705"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0.2</w:t>
            </w:r>
          </w:p>
        </w:tc>
        <w:tc>
          <w:tcPr>
            <w:tcW w:w="771"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m³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5" w:hRule="atLeast"/>
          <w:jc w:val="center"/>
        </w:trPr>
        <w:tc>
          <w:tcPr>
            <w:tcW w:w="754"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15</w:t>
            </w:r>
          </w:p>
        </w:tc>
        <w:tc>
          <w:tcPr>
            <w:tcW w:w="1019" w:type="dxa"/>
            <w:vMerge w:val="continue"/>
            <w:vAlign w:val="center"/>
          </w:tcPr>
          <w:p>
            <w:pPr>
              <w:shd w:val="clear"/>
              <w:jc w:val="left"/>
              <w:rPr>
                <w:rFonts w:hint="eastAsia" w:ascii="宋体" w:hAnsi="宋体" w:eastAsia="宋体" w:cs="宋体"/>
                <w:color w:val="auto"/>
                <w:sz w:val="22"/>
                <w:szCs w:val="22"/>
                <w:highlight w:val="none"/>
              </w:rPr>
            </w:pPr>
          </w:p>
        </w:tc>
        <w:tc>
          <w:tcPr>
            <w:tcW w:w="5562"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color w:val="auto"/>
                <w:sz w:val="22"/>
                <w:szCs w:val="22"/>
                <w:highlight w:val="none"/>
              </w:rPr>
              <w:t>田间病害监测水泥基础</w:t>
            </w:r>
            <w:r>
              <w:rPr>
                <w:rFonts w:hint="eastAsia" w:ascii="宋体" w:hAnsi="宋体" w:cs="宋体"/>
                <w:color w:val="auto"/>
                <w:sz w:val="22"/>
                <w:szCs w:val="22"/>
                <w:highlight w:val="none"/>
                <w:lang w:eastAsia="zh-CN"/>
              </w:rPr>
              <w:t>：</w:t>
            </w:r>
            <w:r>
              <w:rPr>
                <w:rFonts w:hint="eastAsia" w:ascii="宋体" w:hAnsi="宋体" w:eastAsia="宋体" w:cs="宋体"/>
                <w:color w:val="auto"/>
                <w:sz w:val="22"/>
                <w:szCs w:val="22"/>
                <w:highlight w:val="none"/>
              </w:rPr>
              <w:t>长800*宽600*深600（露出地面300，地下300），含土方开挖、制模、表面走平、拆模等</w:t>
            </w:r>
          </w:p>
        </w:tc>
        <w:tc>
          <w:tcPr>
            <w:tcW w:w="705"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0.3</w:t>
            </w:r>
          </w:p>
        </w:tc>
        <w:tc>
          <w:tcPr>
            <w:tcW w:w="771"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m³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754"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16</w:t>
            </w:r>
          </w:p>
        </w:tc>
        <w:tc>
          <w:tcPr>
            <w:tcW w:w="1019" w:type="dxa"/>
            <w:vMerge w:val="continue"/>
            <w:vAlign w:val="center"/>
          </w:tcPr>
          <w:p>
            <w:pPr>
              <w:shd w:val="clear"/>
              <w:jc w:val="left"/>
              <w:rPr>
                <w:rFonts w:hint="eastAsia" w:ascii="宋体" w:hAnsi="宋体" w:eastAsia="宋体" w:cs="宋体"/>
                <w:color w:val="auto"/>
                <w:sz w:val="22"/>
                <w:szCs w:val="22"/>
                <w:highlight w:val="none"/>
              </w:rPr>
            </w:pPr>
          </w:p>
        </w:tc>
        <w:tc>
          <w:tcPr>
            <w:tcW w:w="5562"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color w:val="auto"/>
                <w:sz w:val="22"/>
                <w:szCs w:val="22"/>
                <w:highlight w:val="none"/>
              </w:rPr>
              <w:t>其他材料和工具</w:t>
            </w:r>
            <w:r>
              <w:rPr>
                <w:rFonts w:hint="eastAsia" w:ascii="宋体" w:hAnsi="宋体" w:cs="宋体"/>
                <w:color w:val="auto"/>
                <w:sz w:val="22"/>
                <w:szCs w:val="22"/>
                <w:highlight w:val="none"/>
                <w:lang w:eastAsia="zh-CN"/>
              </w:rPr>
              <w:t>：</w:t>
            </w:r>
            <w:r>
              <w:rPr>
                <w:rFonts w:hint="eastAsia" w:ascii="宋体" w:hAnsi="宋体" w:eastAsia="宋体" w:cs="宋体"/>
                <w:color w:val="auto"/>
                <w:sz w:val="22"/>
                <w:szCs w:val="22"/>
                <w:highlight w:val="none"/>
              </w:rPr>
              <w:t>组合钢模板、铁件、预埋铁件、零星卡具、钢模支撑、钢垫板、镀锌铁丝、水泥基渗透结晶防水涂料、电焊机、拖拉机等</w:t>
            </w:r>
          </w:p>
        </w:tc>
        <w:tc>
          <w:tcPr>
            <w:tcW w:w="705"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26</w:t>
            </w:r>
          </w:p>
        </w:tc>
        <w:tc>
          <w:tcPr>
            <w:tcW w:w="771"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jc w:val="center"/>
        </w:trPr>
        <w:tc>
          <w:tcPr>
            <w:tcW w:w="754"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17</w:t>
            </w:r>
          </w:p>
        </w:tc>
        <w:tc>
          <w:tcPr>
            <w:tcW w:w="1019"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防腐木步道</w:t>
            </w:r>
          </w:p>
        </w:tc>
        <w:tc>
          <w:tcPr>
            <w:tcW w:w="5562" w:type="dxa"/>
            <w:vAlign w:val="center"/>
          </w:tcPr>
          <w:p>
            <w:pPr>
              <w:shd w:val="clear"/>
              <w:jc w:val="left"/>
              <w:rPr>
                <w:rFonts w:hint="eastAsia" w:ascii="宋体" w:hAnsi="宋体" w:cs="宋体"/>
                <w:color w:val="auto"/>
                <w:sz w:val="22"/>
                <w:szCs w:val="22"/>
                <w:highlight w:val="none"/>
                <w:lang w:eastAsia="zh-CN"/>
              </w:rPr>
            </w:pPr>
            <w:r>
              <w:rPr>
                <w:rFonts w:hint="eastAsia" w:ascii="宋体" w:hAnsi="宋体" w:eastAsia="宋体" w:cs="宋体"/>
                <w:color w:val="auto"/>
                <w:sz w:val="22"/>
                <w:highlight w:val="none"/>
              </w:rPr>
              <w:t>＃</w:t>
            </w:r>
            <w:r>
              <w:rPr>
                <w:rFonts w:hint="eastAsia" w:ascii="宋体" w:hAnsi="宋体" w:eastAsia="宋体" w:cs="宋体"/>
                <w:color w:val="auto"/>
                <w:sz w:val="22"/>
                <w:szCs w:val="22"/>
                <w:highlight w:val="none"/>
              </w:rPr>
              <w:t>防腐木步道</w:t>
            </w:r>
            <w:r>
              <w:rPr>
                <w:rFonts w:hint="eastAsia" w:ascii="宋体" w:hAnsi="宋体" w:cs="宋体"/>
                <w:color w:val="auto"/>
                <w:sz w:val="22"/>
                <w:szCs w:val="22"/>
                <w:highlight w:val="none"/>
                <w:lang w:eastAsia="zh-CN"/>
              </w:rPr>
              <w:t>：</w:t>
            </w:r>
          </w:p>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立柱：横断面100mm*100mm，高度1300mm(埋深800mm)</w:t>
            </w:r>
          </w:p>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横臂：横断面60mm*90mm</w:t>
            </w:r>
          </w:p>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面板：横断面40mm*90mm*1000mm</w:t>
            </w:r>
          </w:p>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固定蚂蟥钉：不锈钢蚂蟥钉</w:t>
            </w:r>
          </w:p>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固定螺丝：100mm不锈钢螺丝</w:t>
            </w:r>
          </w:p>
        </w:tc>
        <w:tc>
          <w:tcPr>
            <w:tcW w:w="705"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558</w:t>
            </w:r>
          </w:p>
        </w:tc>
        <w:tc>
          <w:tcPr>
            <w:tcW w:w="771"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754" w:type="dxa"/>
            <w:vAlign w:val="center"/>
          </w:tcPr>
          <w:p>
            <w:pPr>
              <w:shd w:val="clear"/>
              <w:jc w:val="left"/>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18</w:t>
            </w:r>
          </w:p>
        </w:tc>
        <w:tc>
          <w:tcPr>
            <w:tcW w:w="1019" w:type="dxa"/>
            <w:vMerge w:val="restart"/>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围栏</w:t>
            </w:r>
          </w:p>
        </w:tc>
        <w:tc>
          <w:tcPr>
            <w:tcW w:w="5562"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color w:val="auto"/>
                <w:sz w:val="22"/>
                <w:szCs w:val="22"/>
                <w:highlight w:val="none"/>
              </w:rPr>
              <w:t>镀锌方管围栏</w:t>
            </w:r>
            <w:r>
              <w:rPr>
                <w:rFonts w:hint="eastAsia" w:ascii="宋体" w:hAnsi="宋体" w:cs="宋体"/>
                <w:color w:val="auto"/>
                <w:sz w:val="22"/>
                <w:szCs w:val="22"/>
                <w:highlight w:val="none"/>
                <w:lang w:eastAsia="zh-CN"/>
              </w:rPr>
              <w:t>：</w:t>
            </w:r>
            <w:r>
              <w:rPr>
                <w:rFonts w:hint="eastAsia" w:ascii="宋体" w:hAnsi="宋体" w:eastAsia="宋体" w:cs="宋体"/>
                <w:color w:val="auto"/>
                <w:sz w:val="22"/>
                <w:szCs w:val="22"/>
                <w:highlight w:val="none"/>
              </w:rPr>
              <w:t>静电喷涂镀锌方管的通透型围栏，横杆：40*40*1.0mm静电喷涂镀锌方管，竖杆：20*20*0.8mm静电喷涂镀锌方管，立柱：80*80*1.5mm静电喷涂镀锌方管；整体高度：1.5米;立柱内衬：60*60*2.5mm热镀锌方管，长2m</w:t>
            </w:r>
          </w:p>
        </w:tc>
        <w:tc>
          <w:tcPr>
            <w:tcW w:w="705"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486</w:t>
            </w:r>
          </w:p>
        </w:tc>
        <w:tc>
          <w:tcPr>
            <w:tcW w:w="771"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jc w:val="center"/>
        </w:trPr>
        <w:tc>
          <w:tcPr>
            <w:tcW w:w="754" w:type="dxa"/>
            <w:vAlign w:val="center"/>
          </w:tcPr>
          <w:p>
            <w:pPr>
              <w:shd w:val="clear"/>
              <w:jc w:val="left"/>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19</w:t>
            </w:r>
          </w:p>
        </w:tc>
        <w:tc>
          <w:tcPr>
            <w:tcW w:w="1019" w:type="dxa"/>
            <w:vMerge w:val="continue"/>
            <w:vAlign w:val="center"/>
          </w:tcPr>
          <w:p>
            <w:pPr>
              <w:shd w:val="clear"/>
              <w:jc w:val="left"/>
              <w:rPr>
                <w:rFonts w:hint="eastAsia" w:ascii="宋体" w:hAnsi="宋体" w:eastAsia="宋体" w:cs="宋体"/>
                <w:color w:val="auto"/>
                <w:sz w:val="22"/>
                <w:szCs w:val="22"/>
                <w:highlight w:val="none"/>
              </w:rPr>
            </w:pPr>
          </w:p>
        </w:tc>
        <w:tc>
          <w:tcPr>
            <w:tcW w:w="5562"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color w:val="auto"/>
                <w:sz w:val="22"/>
                <w:szCs w:val="22"/>
                <w:highlight w:val="none"/>
              </w:rPr>
              <w:t>人行门*1</w:t>
            </w:r>
            <w:r>
              <w:rPr>
                <w:rFonts w:hint="eastAsia" w:ascii="宋体" w:hAnsi="宋体" w:cs="宋体"/>
                <w:color w:val="auto"/>
                <w:sz w:val="22"/>
                <w:szCs w:val="22"/>
                <w:highlight w:val="none"/>
                <w:lang w:eastAsia="zh-CN"/>
              </w:rPr>
              <w:t>：</w:t>
            </w:r>
            <w:r>
              <w:rPr>
                <w:rFonts w:hint="eastAsia" w:ascii="宋体" w:hAnsi="宋体" w:eastAsia="宋体" w:cs="宋体"/>
                <w:color w:val="auto"/>
                <w:sz w:val="22"/>
                <w:szCs w:val="22"/>
                <w:highlight w:val="none"/>
              </w:rPr>
              <w:t>静电喷涂镀锌方管的通透型1米人行门，规格同镀锌方管围栏</w:t>
            </w:r>
          </w:p>
        </w:tc>
        <w:tc>
          <w:tcPr>
            <w:tcW w:w="705"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w:t>
            </w:r>
          </w:p>
        </w:tc>
        <w:tc>
          <w:tcPr>
            <w:tcW w:w="771"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4" w:type="dxa"/>
            <w:vAlign w:val="center"/>
          </w:tcPr>
          <w:p>
            <w:pPr>
              <w:shd w:val="clear"/>
              <w:jc w:val="lef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2</w:t>
            </w:r>
            <w:r>
              <w:rPr>
                <w:rFonts w:hint="eastAsia" w:ascii="宋体" w:hAnsi="宋体" w:cs="宋体"/>
                <w:color w:val="auto"/>
                <w:sz w:val="22"/>
                <w:szCs w:val="22"/>
                <w:highlight w:val="none"/>
                <w:lang w:val="en-US" w:eastAsia="zh-CN"/>
              </w:rPr>
              <w:t>0</w:t>
            </w:r>
          </w:p>
        </w:tc>
        <w:tc>
          <w:tcPr>
            <w:tcW w:w="1019" w:type="dxa"/>
            <w:vMerge w:val="continue"/>
            <w:vAlign w:val="center"/>
          </w:tcPr>
          <w:p>
            <w:pPr>
              <w:shd w:val="clear"/>
              <w:jc w:val="left"/>
              <w:rPr>
                <w:rFonts w:hint="eastAsia" w:ascii="宋体" w:hAnsi="宋体" w:eastAsia="宋体" w:cs="宋体"/>
                <w:color w:val="auto"/>
                <w:sz w:val="22"/>
                <w:szCs w:val="22"/>
                <w:highlight w:val="none"/>
              </w:rPr>
            </w:pPr>
          </w:p>
        </w:tc>
        <w:tc>
          <w:tcPr>
            <w:tcW w:w="5562"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color w:val="auto"/>
                <w:sz w:val="22"/>
                <w:szCs w:val="22"/>
                <w:highlight w:val="none"/>
              </w:rPr>
              <w:t>机耕门*3</w:t>
            </w:r>
            <w:r>
              <w:rPr>
                <w:rFonts w:hint="eastAsia" w:ascii="宋体" w:hAnsi="宋体" w:cs="宋体"/>
                <w:color w:val="auto"/>
                <w:sz w:val="22"/>
                <w:szCs w:val="22"/>
                <w:highlight w:val="none"/>
                <w:lang w:eastAsia="zh-CN"/>
              </w:rPr>
              <w:t>：</w:t>
            </w:r>
            <w:r>
              <w:rPr>
                <w:rFonts w:hint="eastAsia" w:ascii="宋体" w:hAnsi="宋体" w:eastAsia="宋体" w:cs="宋体"/>
                <w:color w:val="auto"/>
                <w:sz w:val="22"/>
                <w:szCs w:val="22"/>
                <w:highlight w:val="none"/>
              </w:rPr>
              <w:t>静电喷涂镀锌方管的通透型3米机耕门，规格同镀锌方管围栏</w:t>
            </w:r>
          </w:p>
        </w:tc>
        <w:tc>
          <w:tcPr>
            <w:tcW w:w="705"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w:t>
            </w:r>
          </w:p>
        </w:tc>
        <w:tc>
          <w:tcPr>
            <w:tcW w:w="771"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4" w:type="dxa"/>
            <w:vAlign w:val="center"/>
          </w:tcPr>
          <w:p>
            <w:pPr>
              <w:shd w:val="clear"/>
              <w:jc w:val="lef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2</w:t>
            </w:r>
            <w:r>
              <w:rPr>
                <w:rFonts w:hint="eastAsia" w:ascii="宋体" w:hAnsi="宋体" w:cs="宋体"/>
                <w:color w:val="auto"/>
                <w:sz w:val="22"/>
                <w:szCs w:val="22"/>
                <w:highlight w:val="none"/>
                <w:lang w:val="en-US" w:eastAsia="zh-CN"/>
              </w:rPr>
              <w:t>1</w:t>
            </w:r>
          </w:p>
        </w:tc>
        <w:tc>
          <w:tcPr>
            <w:tcW w:w="1019" w:type="dxa"/>
            <w:vMerge w:val="continue"/>
            <w:vAlign w:val="center"/>
          </w:tcPr>
          <w:p>
            <w:pPr>
              <w:shd w:val="clear"/>
              <w:jc w:val="left"/>
              <w:rPr>
                <w:rFonts w:hint="eastAsia" w:ascii="宋体" w:hAnsi="宋体" w:eastAsia="宋体" w:cs="宋体"/>
                <w:color w:val="auto"/>
                <w:sz w:val="22"/>
                <w:szCs w:val="22"/>
                <w:highlight w:val="none"/>
              </w:rPr>
            </w:pPr>
          </w:p>
        </w:tc>
        <w:tc>
          <w:tcPr>
            <w:tcW w:w="5562"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color w:val="auto"/>
                <w:sz w:val="22"/>
                <w:szCs w:val="22"/>
                <w:highlight w:val="none"/>
              </w:rPr>
              <w:t>区域站简介标牌</w:t>
            </w:r>
            <w:r>
              <w:rPr>
                <w:rFonts w:hint="eastAsia" w:ascii="宋体" w:hAnsi="宋体" w:cs="宋体"/>
                <w:color w:val="auto"/>
                <w:sz w:val="22"/>
                <w:szCs w:val="22"/>
                <w:highlight w:val="none"/>
                <w:lang w:eastAsia="zh-CN"/>
              </w:rPr>
              <w:t>：</w:t>
            </w:r>
            <w:r>
              <w:rPr>
                <w:rFonts w:hint="eastAsia" w:ascii="宋体" w:hAnsi="宋体" w:eastAsia="宋体" w:cs="宋体"/>
                <w:color w:val="auto"/>
                <w:sz w:val="22"/>
                <w:szCs w:val="22"/>
                <w:highlight w:val="none"/>
              </w:rPr>
              <w:t>双立柱简介标识牌</w:t>
            </w:r>
          </w:p>
        </w:tc>
        <w:tc>
          <w:tcPr>
            <w:tcW w:w="705"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7</w:t>
            </w:r>
          </w:p>
        </w:tc>
        <w:tc>
          <w:tcPr>
            <w:tcW w:w="771"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jc w:val="center"/>
        </w:trPr>
        <w:tc>
          <w:tcPr>
            <w:tcW w:w="754" w:type="dxa"/>
            <w:vAlign w:val="center"/>
          </w:tcPr>
          <w:p>
            <w:pPr>
              <w:shd w:val="clear"/>
              <w:jc w:val="lef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2</w:t>
            </w:r>
            <w:r>
              <w:rPr>
                <w:rFonts w:hint="eastAsia" w:ascii="宋体" w:hAnsi="宋体" w:cs="宋体"/>
                <w:color w:val="auto"/>
                <w:sz w:val="22"/>
                <w:szCs w:val="22"/>
                <w:highlight w:val="none"/>
                <w:lang w:val="en-US" w:eastAsia="zh-CN"/>
              </w:rPr>
              <w:t>2</w:t>
            </w:r>
          </w:p>
        </w:tc>
        <w:tc>
          <w:tcPr>
            <w:tcW w:w="1019" w:type="dxa"/>
            <w:vMerge w:val="continue"/>
            <w:vAlign w:val="center"/>
          </w:tcPr>
          <w:p>
            <w:pPr>
              <w:shd w:val="clear"/>
              <w:jc w:val="left"/>
              <w:rPr>
                <w:rFonts w:hint="eastAsia" w:ascii="宋体" w:hAnsi="宋体" w:eastAsia="宋体" w:cs="宋体"/>
                <w:color w:val="auto"/>
                <w:sz w:val="22"/>
                <w:szCs w:val="22"/>
                <w:highlight w:val="none"/>
              </w:rPr>
            </w:pPr>
          </w:p>
        </w:tc>
        <w:tc>
          <w:tcPr>
            <w:tcW w:w="5562"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color w:val="auto"/>
                <w:sz w:val="22"/>
                <w:szCs w:val="22"/>
                <w:highlight w:val="none"/>
              </w:rPr>
              <w:t>技术标牌</w:t>
            </w:r>
            <w:r>
              <w:rPr>
                <w:rFonts w:hint="eastAsia" w:ascii="宋体" w:hAnsi="宋体" w:cs="宋体"/>
                <w:color w:val="auto"/>
                <w:sz w:val="22"/>
                <w:szCs w:val="22"/>
                <w:highlight w:val="none"/>
                <w:lang w:eastAsia="zh-CN"/>
              </w:rPr>
              <w:t>：</w:t>
            </w:r>
            <w:r>
              <w:rPr>
                <w:rFonts w:hint="eastAsia" w:ascii="宋体" w:hAnsi="宋体" w:eastAsia="宋体" w:cs="宋体"/>
                <w:color w:val="auto"/>
                <w:sz w:val="22"/>
                <w:szCs w:val="22"/>
                <w:highlight w:val="none"/>
              </w:rPr>
              <w:t>双立柱技术介绍标识牌</w:t>
            </w:r>
          </w:p>
        </w:tc>
        <w:tc>
          <w:tcPr>
            <w:tcW w:w="705"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7</w:t>
            </w:r>
          </w:p>
        </w:tc>
        <w:tc>
          <w:tcPr>
            <w:tcW w:w="771"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4" w:type="dxa"/>
            <w:vAlign w:val="center"/>
          </w:tcPr>
          <w:p>
            <w:pPr>
              <w:shd w:val="clear"/>
              <w:jc w:val="left"/>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23</w:t>
            </w:r>
          </w:p>
        </w:tc>
        <w:tc>
          <w:tcPr>
            <w:tcW w:w="1019" w:type="dxa"/>
            <w:vMerge w:val="restart"/>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设备安装及配件</w:t>
            </w:r>
          </w:p>
        </w:tc>
        <w:tc>
          <w:tcPr>
            <w:tcW w:w="5562"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color w:val="auto"/>
                <w:sz w:val="22"/>
                <w:szCs w:val="22"/>
                <w:highlight w:val="none"/>
              </w:rPr>
              <w:t>穿线铺管(骑马卡固定）RVV2*2.5，φ25PE线管</w:t>
            </w:r>
          </w:p>
        </w:tc>
        <w:tc>
          <w:tcPr>
            <w:tcW w:w="705"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600</w:t>
            </w:r>
          </w:p>
        </w:tc>
        <w:tc>
          <w:tcPr>
            <w:tcW w:w="771"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4" w:type="dxa"/>
            <w:vAlign w:val="center"/>
          </w:tcPr>
          <w:p>
            <w:pPr>
              <w:shd w:val="clear"/>
              <w:jc w:val="left"/>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24</w:t>
            </w:r>
          </w:p>
        </w:tc>
        <w:tc>
          <w:tcPr>
            <w:tcW w:w="1019" w:type="dxa"/>
            <w:vMerge w:val="continue"/>
            <w:vAlign w:val="center"/>
          </w:tcPr>
          <w:p>
            <w:pPr>
              <w:shd w:val="clear"/>
              <w:jc w:val="left"/>
              <w:rPr>
                <w:rFonts w:hint="eastAsia" w:ascii="宋体" w:hAnsi="宋体" w:eastAsia="宋体" w:cs="宋体"/>
                <w:color w:val="auto"/>
                <w:sz w:val="22"/>
                <w:szCs w:val="22"/>
                <w:highlight w:val="none"/>
              </w:rPr>
            </w:pPr>
          </w:p>
        </w:tc>
        <w:tc>
          <w:tcPr>
            <w:tcW w:w="5562"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color w:val="auto"/>
                <w:sz w:val="22"/>
                <w:szCs w:val="22"/>
                <w:highlight w:val="none"/>
              </w:rPr>
              <w:t>电缆线架空</w:t>
            </w:r>
            <w:r>
              <w:rPr>
                <w:rFonts w:hint="eastAsia" w:ascii="宋体" w:hAnsi="宋体" w:cs="宋体"/>
                <w:color w:val="auto"/>
                <w:sz w:val="22"/>
                <w:szCs w:val="22"/>
                <w:highlight w:val="none"/>
                <w:lang w:eastAsia="zh-CN"/>
              </w:rPr>
              <w:t>：</w:t>
            </w:r>
            <w:r>
              <w:rPr>
                <w:rFonts w:hint="eastAsia" w:ascii="宋体" w:hAnsi="宋体" w:eastAsia="宋体" w:cs="宋体"/>
                <w:color w:val="auto"/>
                <w:sz w:val="22"/>
                <w:szCs w:val="22"/>
                <w:highlight w:val="none"/>
              </w:rPr>
              <w:t>RVV3*6电缆</w:t>
            </w:r>
          </w:p>
        </w:tc>
        <w:tc>
          <w:tcPr>
            <w:tcW w:w="705"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300</w:t>
            </w:r>
          </w:p>
        </w:tc>
        <w:tc>
          <w:tcPr>
            <w:tcW w:w="771"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4" w:type="dxa"/>
            <w:vAlign w:val="center"/>
          </w:tcPr>
          <w:p>
            <w:pPr>
              <w:shd w:val="clear"/>
              <w:jc w:val="lef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2</w:t>
            </w:r>
            <w:r>
              <w:rPr>
                <w:rFonts w:hint="eastAsia" w:ascii="宋体" w:hAnsi="宋体" w:cs="宋体"/>
                <w:color w:val="auto"/>
                <w:sz w:val="22"/>
                <w:szCs w:val="22"/>
                <w:highlight w:val="none"/>
                <w:lang w:val="en-US" w:eastAsia="zh-CN"/>
              </w:rPr>
              <w:t>5</w:t>
            </w:r>
          </w:p>
        </w:tc>
        <w:tc>
          <w:tcPr>
            <w:tcW w:w="1019" w:type="dxa"/>
            <w:vMerge w:val="continue"/>
            <w:vAlign w:val="center"/>
          </w:tcPr>
          <w:p>
            <w:pPr>
              <w:shd w:val="clear"/>
              <w:jc w:val="left"/>
              <w:rPr>
                <w:rFonts w:hint="eastAsia" w:ascii="宋体" w:hAnsi="宋体" w:eastAsia="宋体" w:cs="宋体"/>
                <w:color w:val="auto"/>
                <w:sz w:val="22"/>
                <w:szCs w:val="22"/>
                <w:highlight w:val="none"/>
              </w:rPr>
            </w:pPr>
          </w:p>
        </w:tc>
        <w:tc>
          <w:tcPr>
            <w:tcW w:w="5562"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highlight w:val="none"/>
              </w:rPr>
              <w:t>＃</w:t>
            </w:r>
            <w:r>
              <w:rPr>
                <w:rFonts w:hint="eastAsia" w:ascii="宋体" w:hAnsi="宋体" w:eastAsia="宋体" w:cs="宋体"/>
                <w:color w:val="auto"/>
                <w:sz w:val="22"/>
                <w:szCs w:val="22"/>
                <w:highlight w:val="none"/>
              </w:rPr>
              <w:t>设备配电箱设备配电箱带漏保、空开等</w:t>
            </w:r>
          </w:p>
        </w:tc>
        <w:tc>
          <w:tcPr>
            <w:tcW w:w="705"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w:t>
            </w:r>
          </w:p>
        </w:tc>
        <w:tc>
          <w:tcPr>
            <w:tcW w:w="771" w:type="dxa"/>
            <w:vAlign w:val="center"/>
          </w:tcPr>
          <w:p>
            <w:pPr>
              <w:shd w:val="clea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8811" w:type="dxa"/>
            <w:gridSpan w:val="5"/>
            <w:vAlign w:val="center"/>
          </w:tcPr>
          <w:p>
            <w:pPr>
              <w:pStyle w:val="336"/>
              <w:shd w:val="clear"/>
              <w:spacing w:line="500" w:lineRule="exact"/>
              <w:jc w:val="lef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注：核心产品与重要技术参数要求</w:t>
            </w:r>
          </w:p>
          <w:p>
            <w:pPr>
              <w:pStyle w:val="336"/>
              <w:shd w:val="clear"/>
              <w:spacing w:line="500" w:lineRule="exact"/>
              <w:jc w:val="lef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1、采购清单中技术要求前标有“●”的为核心产品；提供相同品牌产品且通过资格审查、符合性审查的不同投标人参加同一合同项下投标的，按一家投标人计算,评审后得分最高的同品牌投标人获得成交人推荐资格；</w:t>
            </w:r>
          </w:p>
          <w:p>
            <w:pPr>
              <w:pStyle w:val="336"/>
              <w:shd w:val="clear"/>
              <w:spacing w:line="500" w:lineRule="exact"/>
              <w:jc w:val="lef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2、采购清单中技术要求前标有“▲”的为重要技术参数，按要求提供证明材料。成交后七个工作日内提供原件备查，未提供属于提供虚假材料谋取成交，采购单位有权取消成交资格；</w:t>
            </w:r>
          </w:p>
          <w:p>
            <w:pPr>
              <w:pStyle w:val="336"/>
              <w:shd w:val="clear"/>
              <w:spacing w:line="500" w:lineRule="exact"/>
              <w:jc w:val="lef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3、采购清单中技术要求前标有“☆”的为关键技术参数，投标人需提供产品功能性演示视频；</w:t>
            </w:r>
          </w:p>
          <w:p>
            <w:pPr>
              <w:pStyle w:val="336"/>
              <w:shd w:val="clear"/>
              <w:spacing w:line="500" w:lineRule="exact"/>
              <w:jc w:val="lef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4、采购清单中技术要求前标有“</w:t>
            </w:r>
            <w:r>
              <w:rPr>
                <w:rFonts w:hint="eastAsia" w:ascii="宋体" w:hAnsi="宋体" w:eastAsia="宋体" w:cs="宋体"/>
                <w:color w:val="auto"/>
                <w:sz w:val="22"/>
                <w:highlight w:val="none"/>
              </w:rPr>
              <w:t>＃</w:t>
            </w:r>
            <w:r>
              <w:rPr>
                <w:rFonts w:hint="eastAsia" w:ascii="宋体" w:hAnsi="宋体" w:eastAsia="宋体" w:cs="宋体"/>
                <w:color w:val="auto"/>
                <w:sz w:val="22"/>
                <w:szCs w:val="22"/>
                <w:highlight w:val="none"/>
                <w:lang w:val="en-US" w:eastAsia="zh-CN" w:bidi="ar-SA"/>
              </w:rPr>
              <w:t>”的为一般技术参数，投标人需详尽真实的提供投标产品的技术参数响应偏离表，且均需在技术响应偏离表内详尽真实的提供偏差情况；</w:t>
            </w:r>
          </w:p>
          <w:p>
            <w:pPr>
              <w:pStyle w:val="336"/>
              <w:shd w:val="clear"/>
              <w:spacing w:line="500" w:lineRule="exact"/>
              <w:jc w:val="lef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5、除特别标注尺寸偏差、大于、大于等于、小于及小于等于之外，其它固定尺寸允许偏差±5%。</w:t>
            </w:r>
          </w:p>
          <w:p>
            <w:pPr>
              <w:pStyle w:val="336"/>
              <w:shd w:val="clear"/>
              <w:spacing w:line="500" w:lineRule="exact"/>
              <w:jc w:val="lef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6、投标人须提供所投标的产品品牌、型号、产地，须按照招标文件中投标文件格式要求填写完整。除辅材、辅助材料（含以施工为主的条目）和技术参数标明为定制的产品之外的其它应该标明品牌和型号的产品，在投标文件中必须标明产品的品牌、型号，否则作无效投标处理。</w:t>
            </w:r>
          </w:p>
          <w:p>
            <w:pPr>
              <w:pStyle w:val="336"/>
              <w:shd w:val="clear"/>
              <w:spacing w:line="500" w:lineRule="exact"/>
              <w:jc w:val="left"/>
              <w:rPr>
                <w:rFonts w:hint="eastAsia" w:ascii="宋体" w:hAnsi="宋体" w:eastAsia="宋体" w:cs="宋体"/>
                <w:color w:val="auto"/>
                <w:sz w:val="22"/>
                <w:highlight w:val="none"/>
              </w:rPr>
            </w:pPr>
            <w:r>
              <w:rPr>
                <w:rFonts w:hint="eastAsia" w:ascii="宋体" w:hAnsi="宋体" w:eastAsia="宋体" w:cs="宋体"/>
                <w:color w:val="auto"/>
                <w:sz w:val="22"/>
                <w:szCs w:val="22"/>
                <w:highlight w:val="none"/>
                <w:lang w:val="en-US" w:eastAsia="zh-CN" w:bidi="ar-SA"/>
              </w:rPr>
              <w:t>7、中标人供货时产品的品牌、型号必须和投标文件中填写的产品的品牌、型号一致，否则，采购人有权拒收并要求中标人按投标文件中填写的产品的品牌、型号供货。</w:t>
            </w:r>
          </w:p>
        </w:tc>
      </w:tr>
    </w:tbl>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三、采购标的需实现的功能或者目标，以及为落实政府采购政策需满足的要求</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1、采购本国货物、工程和服务</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政府采购应当采购本国货物、工程和服务，但有《中华人民共和国政府采购法》第十条规定情形的除外。</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2、节能、环保产品政策</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3、商品包装、快递包装政府采购需求标准（试行）</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4、</w:t>
      </w:r>
      <w:r>
        <w:rPr>
          <w:rFonts w:hint="eastAsia" w:ascii="宋体" w:hAnsi="宋体" w:eastAsia="宋体" w:cs="宋体"/>
          <w:color w:val="auto"/>
          <w:sz w:val="22"/>
          <w:highlight w:val="none"/>
        </w:rPr>
        <w:t>绿色数据中心政府采购需求标准（试行）</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为加快数据中心绿色转型，根据财政部 生态环境部 工业和信息化部关于印发《绿色数据中心政府采购需求标准（试行）》的通知），本项目如涉及绿色数据中心，具体详见采购需求内容。</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5</w:t>
      </w:r>
      <w:r>
        <w:rPr>
          <w:rFonts w:hint="eastAsia" w:ascii="宋体" w:hAnsi="宋体" w:eastAsia="宋体" w:cs="宋体"/>
          <w:color w:val="auto"/>
          <w:sz w:val="22"/>
          <w:highlight w:val="none"/>
        </w:rPr>
        <w:t>、限制标准的产品要求</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本项目中涉及涂料、胶黏剂、油墨、清洗剂等挥发性有机物产品的，属于强制性标准的，投标人应当提供符合国家和江苏省相关VOCs 含量限制标准的产品。 </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b/>
          <w:bCs/>
          <w:color w:val="auto"/>
          <w:sz w:val="22"/>
          <w:highlight w:val="none"/>
          <w:lang w:val="en-US" w:eastAsia="zh-CN"/>
        </w:rPr>
      </w:pPr>
      <w:r>
        <w:rPr>
          <w:rFonts w:hint="eastAsia" w:ascii="宋体" w:hAnsi="宋体" w:eastAsia="宋体" w:cs="宋体"/>
          <w:b/>
          <w:bCs/>
          <w:color w:val="auto"/>
          <w:sz w:val="22"/>
          <w:highlight w:val="none"/>
          <w:lang w:val="en-US" w:eastAsia="zh-CN"/>
        </w:rPr>
        <w:t>四、项目要求</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b/>
          <w:bCs/>
          <w:color w:val="auto"/>
          <w:sz w:val="22"/>
          <w:highlight w:val="none"/>
          <w:lang w:val="en-US" w:eastAsia="zh-CN"/>
        </w:rPr>
      </w:pPr>
      <w:r>
        <w:rPr>
          <w:rFonts w:hint="eastAsia" w:ascii="宋体" w:hAnsi="宋体" w:eastAsia="宋体" w:cs="宋体"/>
          <w:b/>
          <w:bCs/>
          <w:color w:val="auto"/>
          <w:sz w:val="22"/>
          <w:highlight w:val="none"/>
          <w:lang w:val="en-US" w:eastAsia="zh-CN"/>
        </w:rPr>
        <w:t>（一）</w:t>
      </w:r>
      <w:r>
        <w:rPr>
          <w:rFonts w:hint="eastAsia" w:ascii="宋体" w:hAnsi="宋体" w:eastAsia="宋体" w:cs="宋体"/>
          <w:b/>
          <w:bCs/>
          <w:color w:val="auto"/>
          <w:sz w:val="22"/>
          <w:highlight w:val="none"/>
        </w:rPr>
        <w:t>产品的包装、发运及运输</w:t>
      </w:r>
      <w:r>
        <w:rPr>
          <w:rFonts w:hint="eastAsia" w:ascii="宋体" w:hAnsi="宋体" w:eastAsia="宋体" w:cs="宋体"/>
          <w:b/>
          <w:bCs/>
          <w:color w:val="auto"/>
          <w:sz w:val="22"/>
          <w:highlight w:val="none"/>
          <w:lang w:val="en-US" w:eastAsia="zh-CN"/>
        </w:rPr>
        <w:t>要求</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1）投标人应在产品发运前对其进行满足运输距离、防潮、防震、防锈和防破损装卸等要求包装，以保证产品安全运达采购人指定地点。供应商所投产品需进行商品包装和快递包装的，应不低于《关于印发〈商品包装政府采购需求标准（试行）〉、〈快递包装政府采购需求标准（试行）〉的通知》（财办库〔2020〕123号）文件规定的参考标准。</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（2）使用说明书、质量检验证明书、随配附件和工具以及清单一并附于货物内。</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（3）投标人在产品发运手续办理完毕后24小时内或货到采购人48小时前通知采购人，以准备接货。</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（4）产品在交付采购人前发生的风险均由投标人负责。</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（6）产品在规定的交付期限内由投标人送达采购人指定的地点视为交付，投标人同时需通知采购人产品已送达。</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b/>
          <w:bCs/>
          <w:color w:val="auto"/>
          <w:sz w:val="22"/>
          <w:highlight w:val="none"/>
          <w:lang w:val="en-US" w:eastAsia="zh-CN"/>
        </w:rPr>
      </w:pPr>
      <w:r>
        <w:rPr>
          <w:rFonts w:hint="eastAsia" w:ascii="宋体" w:hAnsi="宋体" w:eastAsia="宋体" w:cs="宋体"/>
          <w:b/>
          <w:bCs/>
          <w:color w:val="auto"/>
          <w:sz w:val="22"/>
          <w:highlight w:val="none"/>
          <w:lang w:val="en-US" w:eastAsia="zh-CN"/>
        </w:rPr>
        <w:t>（二）培训要求</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中标人须派遣有设备操作、管理、维护经验的工程师，到采购人单位对采购单位的人员进行优质的培训服务。对设备的使用、操作、维护进行培训，并提供安装使用维护说明书，以确保使用单位能够对设备有足够的了解，能够独立进行日常操作、管理和维护。 </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（2）中标人必须为所有被培训人员提供培训用文字资料和讲义等相关用品。所有的资料必须是中文书写。上述资料的费用包含在投标报价内。 </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rPr>
        <w:t>（3）所有的培训费用包括差旅、食宿、教材、资料等由中标人负责，均计入投标报价中。</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b/>
          <w:bCs/>
          <w:color w:val="auto"/>
          <w:sz w:val="22"/>
          <w:highlight w:val="none"/>
          <w:lang w:val="en-US" w:eastAsia="zh-CN"/>
        </w:rPr>
      </w:pPr>
      <w:r>
        <w:rPr>
          <w:rFonts w:hint="eastAsia" w:ascii="宋体" w:hAnsi="宋体" w:eastAsia="宋体" w:cs="宋体"/>
          <w:b/>
          <w:bCs/>
          <w:color w:val="auto"/>
          <w:sz w:val="22"/>
          <w:highlight w:val="none"/>
          <w:lang w:val="en-US" w:eastAsia="zh-CN"/>
        </w:rPr>
        <w:t>（三）供货、安装及质量要求</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1、供货要求</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中标人应严格按照投标文件</w:t>
      </w:r>
      <w:r>
        <w:rPr>
          <w:rFonts w:hint="eastAsia" w:ascii="宋体" w:hAnsi="宋体" w:eastAsia="宋体" w:cs="宋体"/>
          <w:color w:val="auto"/>
          <w:sz w:val="22"/>
          <w:highlight w:val="none"/>
        </w:rPr>
        <w:t>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2</w:t>
      </w:r>
      <w:r>
        <w:rPr>
          <w:rFonts w:hint="eastAsia" w:ascii="宋体" w:hAnsi="宋体" w:eastAsia="宋体" w:cs="宋体"/>
          <w:color w:val="auto"/>
          <w:sz w:val="22"/>
          <w:highlight w:val="none"/>
        </w:rPr>
        <w:t>、安装施工现场要求：</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1）标的物由中标方负责安装，现场调试。中标方应派驻现场项目负责人及成员具备相关专业技术能力，所有安装货物质量必须严格按照国家规范及江苏省相应地方规范、招标文件、材料厂家的技术规范的有关要求执行；</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（2）中标方应对安装施工安全、质量全面负责，并承担设备保护，如因中标方原因造成质量事故、设备损坏等，中标方应承担一切经济法律责任；</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（3）中标方负责标的物合格、正常、安全使用。</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（4）中标方应遵守现场的一切规章制度，按照采购人要求文明施工，项目安装过程中的施工人员安全问题由中标单位全权负责，与采购人无关。</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（5）施工现场的协调工作由中标方负责，采购人配合；</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（6）中标方负责对货物、安装货物（工具）等提供适当的保护、包装或覆盖等处理，负责保管、看护进场的货物及附配件，以免受损；</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（7）在安装、调试期间或保修过程中，中标方负责及时清理现场垃圾；</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3</w:t>
      </w:r>
      <w:r>
        <w:rPr>
          <w:rFonts w:hint="eastAsia" w:ascii="宋体" w:hAnsi="宋体" w:eastAsia="宋体" w:cs="宋体"/>
          <w:color w:val="auto"/>
          <w:sz w:val="22"/>
          <w:highlight w:val="none"/>
        </w:rPr>
        <w:t>、产品质量要求：</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（1）所有货物在到达安装现场时须经采购人代表验收后才可进行货物安装，验货时须提交该货物的质量合格证明，初步验收不代表对产品隐性质量问题的认可。</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（2）所有货物、附（配）件应具备该类产品的功能要求，无瑕疵和缺陷，质量为合格产品，同时有明确的生产厂商或制造厂商；</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3）缺陷保修：如果货物交付使用后，缺陷多次反复出现，中标方必须提出分析报告和解决方案，直到最后纠正缺陷、中标方提供的售后服务期（运行维护期）从纠正之日起重新计算售后服务期（运行维护期）。</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（4）如果是超出中标方的责任范围的疏忽、误操作等情况而导致的更换修正，应由中标方进行修理，其额外费用由双方协商承担。</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（5）所有货物均须使用成熟产品，除数量增加外，不得增加任何费用。</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lang w:val="en-US" w:eastAsia="zh-CN"/>
        </w:rPr>
        <w:t>（四）</w:t>
      </w:r>
      <w:r>
        <w:rPr>
          <w:rFonts w:hint="eastAsia" w:ascii="宋体" w:hAnsi="宋体" w:eastAsia="宋体" w:cs="宋体"/>
          <w:b/>
          <w:bCs/>
          <w:color w:val="auto"/>
          <w:sz w:val="22"/>
          <w:highlight w:val="none"/>
        </w:rPr>
        <w:t>质量保证及售后服务</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1、产品质量要求</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1.1产品质量必须执行相关强制性执行标准，没有国家标准的执行行业标准。</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1.2保证提供的产品为原装正品。其它设备、辅料、配件及在整体设备安装和调试时不能缺少或必需的一切附属配件必须为专业生产企业的定型品牌产品，不得使用已经淘汰或拼凑、组装的伪劣、假冒部件及产品。</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1.3设备以生产厂家出具的质量保证及售后服务承诺书原件为准。验收通过之日起对所投产品运行维护期</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u w:val="single"/>
          <w:lang w:val="en-US" w:eastAsia="zh-CN"/>
        </w:rPr>
        <w:t>五</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年。在</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u w:val="single"/>
          <w:lang w:val="en-US" w:eastAsia="zh-CN"/>
        </w:rPr>
        <w:t>五</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年运行维护期内因质量问题包换。运行维护期内免费为甲方提供维修、保养、软件免费升级、同质备件及替换等，甲方不承担任何费用，乙方保证设备运行维护期内有效运行，运行维护期内免费为客户排除软硬件故障，与原厂商的服务结合起来，使客户方系统得到更好的维护与支持。</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2、售后服务</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2.1所投产品售后服务期（运行维护期）不少于</w:t>
      </w:r>
      <w:r>
        <w:rPr>
          <w:rFonts w:hint="eastAsia" w:ascii="宋体" w:hAnsi="宋体" w:eastAsia="宋体" w:cs="宋体"/>
          <w:color w:val="auto"/>
          <w:sz w:val="22"/>
          <w:highlight w:val="none"/>
          <w:u w:val="single"/>
          <w:lang w:val="en-US" w:eastAsia="zh-CN"/>
        </w:rPr>
        <w:t>五</w:t>
      </w:r>
      <w:r>
        <w:rPr>
          <w:rFonts w:hint="eastAsia" w:ascii="宋体" w:hAnsi="宋体" w:eastAsia="宋体" w:cs="宋体"/>
          <w:color w:val="auto"/>
          <w:sz w:val="22"/>
          <w:highlight w:val="none"/>
        </w:rPr>
        <w:t>年。</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2.2供应商须配备技术人员，服务电话，负责解答用户在设备使用中遇到的问题，及时提出解决问题的建议和操作方法，并能够及时派出技术人员，现场提供临时性应急保障及维修需求。</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2.3售后服务响应时间：中标方应提供7X24小时服务，接到临时性应急保障及故障报修电话后30分钟内电话响应，电话解决不了的，选派经验丰富的工作人员12小时内到现场进行保障、维修。</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2.4服务保证：自验收单上签字之日起计算,在规定的售后服务期（运行维护期）内，对提供的产品进行维修，不收取任何额外费用；保修期间内，应保证提供每年至少2次的免费维护、检修服务，除易损件（出厂随机配备的备品、备件范围）外，各种设备经两次维修后仍不能正常使用，应更换同品牌、同型号设备。自更换之日起重新计算质量保证期限。</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2.5项目实施及售后服务要求：中标方需编制维保方案提供本次采购的货物保修期内的合理、科学的维护和后续其他维护服务方案，售后服务期（运行维护期）期满后，相关备品备件承诺不得高于市场价。</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w:t>
      </w:r>
      <w:r>
        <w:rPr>
          <w:rFonts w:hint="eastAsia" w:ascii="宋体" w:hAnsi="宋体" w:eastAsia="宋体" w:cs="宋体"/>
          <w:b/>
          <w:bCs/>
          <w:color w:val="auto"/>
          <w:sz w:val="22"/>
          <w:highlight w:val="none"/>
          <w:lang w:val="en-US" w:eastAsia="zh-CN"/>
        </w:rPr>
        <w:t>五</w:t>
      </w:r>
      <w:r>
        <w:rPr>
          <w:rFonts w:hint="eastAsia" w:ascii="宋体" w:hAnsi="宋体" w:eastAsia="宋体" w:cs="宋体"/>
          <w:b/>
          <w:bCs/>
          <w:color w:val="auto"/>
          <w:sz w:val="22"/>
          <w:highlight w:val="none"/>
        </w:rPr>
        <w:t>）验收要求</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（1）签订合同后</w:t>
      </w:r>
      <w:r>
        <w:rPr>
          <w:rFonts w:hint="eastAsia" w:ascii="宋体" w:hAnsi="宋体" w:cs="宋体"/>
          <w:color w:val="auto"/>
          <w:sz w:val="22"/>
          <w:highlight w:val="none"/>
          <w:u w:val="single"/>
          <w:lang w:val="en-US" w:eastAsia="zh-CN"/>
        </w:rPr>
        <w:t xml:space="preserve">   </w:t>
      </w:r>
      <w:r>
        <w:rPr>
          <w:rFonts w:hint="eastAsia" w:ascii="宋体" w:hAnsi="宋体" w:eastAsia="宋体" w:cs="宋体"/>
          <w:color w:val="auto"/>
          <w:sz w:val="22"/>
          <w:highlight w:val="none"/>
          <w:u w:val="single"/>
          <w:lang w:val="en-US" w:eastAsia="zh-CN"/>
        </w:rPr>
        <w:t xml:space="preserve"> </w:t>
      </w:r>
      <w:r>
        <w:rPr>
          <w:rFonts w:hint="eastAsia" w:ascii="宋体" w:hAnsi="宋体" w:eastAsia="宋体" w:cs="宋体"/>
          <w:color w:val="auto"/>
          <w:sz w:val="22"/>
          <w:highlight w:val="none"/>
          <w:u w:val="single"/>
          <w:lang w:eastAsia="zh-CN"/>
        </w:rPr>
        <w:t>90</w:t>
      </w:r>
      <w:r>
        <w:rPr>
          <w:rFonts w:hint="eastAsia" w:ascii="宋体" w:hAnsi="宋体" w:cs="宋体"/>
          <w:color w:val="auto"/>
          <w:sz w:val="22"/>
          <w:highlight w:val="none"/>
          <w:u w:val="single"/>
          <w:lang w:val="en-US" w:eastAsia="zh-CN"/>
        </w:rPr>
        <w:t xml:space="preserve">    </w:t>
      </w:r>
      <w:r>
        <w:rPr>
          <w:rFonts w:hint="eastAsia" w:ascii="宋体" w:hAnsi="宋体" w:eastAsia="宋体" w:cs="宋体"/>
          <w:color w:val="auto"/>
          <w:sz w:val="22"/>
          <w:highlight w:val="none"/>
        </w:rPr>
        <w:t>日历天内将货物送至采购人指定地点并安装调试完毕</w:t>
      </w:r>
      <w:r>
        <w:rPr>
          <w:rFonts w:hint="eastAsia" w:ascii="宋体" w:hAnsi="宋体" w:cs="宋体"/>
          <w:color w:val="auto"/>
          <w:sz w:val="22"/>
          <w:highlight w:val="none"/>
          <w:lang w:eastAsia="zh-CN"/>
        </w:rPr>
        <w:t>中标供应商</w:t>
      </w:r>
      <w:r>
        <w:rPr>
          <w:rFonts w:hint="eastAsia" w:ascii="宋体" w:hAnsi="宋体" w:eastAsia="宋体" w:cs="宋体"/>
          <w:color w:val="auto"/>
          <w:sz w:val="22"/>
          <w:highlight w:val="none"/>
        </w:rPr>
        <w:t>向采购人提交项目验收技术资料以及验收申请单，采购人依法组织履约验收工作。</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2）采购人在组织履约验收前，将根据项目特点制定验收方案，明确履约验收的时间、方式、程序等内容，并可根据项目特点对服务期内的服务实施情况进行分期考核，综合考核情况和服务效果进行验收。中标人应根据验收方案内容做好相应配合工作。</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（3）对于实际使用人和采购人分离的项目，采购人邀请实际使用人参与验收。</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（4）如有必要，采购人邀请参加本项目的其他供应商或第三方专业机构及专家参与验收，相关意见将作为验收书的参考资料。</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5）采购人成立验收小组，按照采购合同的约定对中标人的履约情况进行验收。验收时间、验收标准见招标文件验收内容。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6）验收合格的项目，采购人根据采购合同的约定及时向中标人支付合同款项、退还履约保证金。验收不合格的项目，采购人依法及时处理。采购合同的履行、违约责任和解决争议的方式等适用《民法典》。中标人在履约过程中有政府采购法律法规规定的违法违规情形的，采购人将及时报告本级财政部门。</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（7）</w:t>
      </w:r>
      <w:r>
        <w:rPr>
          <w:rFonts w:hint="eastAsia" w:ascii="宋体" w:hAnsi="宋体" w:eastAsia="宋体" w:cs="宋体"/>
          <w:color w:val="auto"/>
          <w:sz w:val="22"/>
          <w:highlight w:val="none"/>
          <w:lang w:val="en-US" w:eastAsia="zh-CN"/>
        </w:rPr>
        <w:t>中标</w:t>
      </w:r>
      <w:r>
        <w:rPr>
          <w:rFonts w:hint="eastAsia" w:ascii="宋体" w:hAnsi="宋体" w:eastAsia="宋体" w:cs="宋体"/>
          <w:color w:val="auto"/>
          <w:sz w:val="22"/>
          <w:highlight w:val="none"/>
        </w:rPr>
        <w:t>人货物送达后，采购方对其数量、品种、规格、运输保存方式等进行检查验收，如不合格应无条件退货或换货。</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（8）若因中标人原因造成无法验收通过的，采购人将拒绝付款，并追究中标人的违约责任。</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（9）合同履行期满，中标人向采购人提交项目验收技术资料以及终验申请单，采购人收到申请后</w:t>
      </w:r>
      <w:r>
        <w:rPr>
          <w:rFonts w:hint="eastAsia" w:ascii="宋体" w:hAnsi="宋体" w:eastAsia="宋体" w:cs="宋体"/>
          <w:color w:val="auto"/>
          <w:sz w:val="22"/>
          <w:highlight w:val="none"/>
          <w:u w:val="single"/>
          <w:lang w:val="en-US" w:eastAsia="zh-CN"/>
        </w:rPr>
        <w:t xml:space="preserve">   </w:t>
      </w:r>
      <w:r>
        <w:rPr>
          <w:rFonts w:hint="eastAsia" w:ascii="宋体" w:hAnsi="宋体" w:eastAsia="宋体" w:cs="宋体"/>
          <w:color w:val="auto"/>
          <w:sz w:val="22"/>
          <w:highlight w:val="none"/>
          <w:u w:val="single"/>
        </w:rPr>
        <w:t>3</w:t>
      </w:r>
      <w:r>
        <w:rPr>
          <w:rFonts w:hint="eastAsia" w:ascii="宋体" w:hAnsi="宋体" w:eastAsia="宋体" w:cs="宋体"/>
          <w:color w:val="auto"/>
          <w:sz w:val="22"/>
          <w:highlight w:val="none"/>
          <w:u w:val="single"/>
          <w:lang w:val="en-US" w:eastAsia="zh-CN"/>
        </w:rPr>
        <w:t xml:space="preserve">   </w:t>
      </w:r>
      <w:r>
        <w:rPr>
          <w:rFonts w:hint="eastAsia" w:ascii="宋体" w:hAnsi="宋体" w:eastAsia="宋体" w:cs="宋体"/>
          <w:color w:val="auto"/>
          <w:sz w:val="22"/>
          <w:highlight w:val="none"/>
        </w:rPr>
        <w:t>个工作日内组织终验且验收无问题后签署终验单。</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rPr>
        <w:t>（10）验收标准：按照招标文件、投标文件及相关标准实施。有国家标准的应符合国家标准，无国家标准的应符合行业标准、地方标准或者其他标准、规范，并满足采购文件要求，同时服从采购人安排要求。</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lang w:val="en-US" w:eastAsia="zh-CN"/>
        </w:rPr>
        <w:t>五、</w:t>
      </w:r>
      <w:r>
        <w:rPr>
          <w:rFonts w:hint="eastAsia" w:ascii="宋体" w:hAnsi="宋体" w:eastAsia="宋体" w:cs="宋体"/>
          <w:b/>
          <w:bCs/>
          <w:color w:val="auto"/>
          <w:sz w:val="22"/>
          <w:highlight w:val="none"/>
        </w:rPr>
        <w:t>项目实施要求</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1、</w:t>
      </w:r>
      <w:r>
        <w:rPr>
          <w:rFonts w:hint="eastAsia" w:ascii="宋体" w:hAnsi="宋体" w:eastAsia="宋体" w:cs="宋体"/>
          <w:color w:val="auto"/>
          <w:sz w:val="22"/>
          <w:highlight w:val="none"/>
        </w:rPr>
        <w:t>项目实施</w:t>
      </w:r>
      <w:r>
        <w:rPr>
          <w:rFonts w:hint="eastAsia" w:ascii="宋体" w:hAnsi="宋体" w:eastAsia="宋体" w:cs="宋体"/>
          <w:color w:val="auto"/>
          <w:sz w:val="22"/>
          <w:highlight w:val="none"/>
          <w:lang w:val="en-US" w:eastAsia="zh-CN"/>
        </w:rPr>
        <w:t>计划</w:t>
      </w:r>
      <w:r>
        <w:rPr>
          <w:rFonts w:hint="eastAsia" w:ascii="宋体" w:hAnsi="宋体" w:eastAsia="宋体" w:cs="宋体"/>
          <w:color w:val="auto"/>
          <w:sz w:val="22"/>
          <w:highlight w:val="none"/>
        </w:rPr>
        <w:t>方案包括：时间进度安排(施工进度计划、进度计划保障措施等) 、项目安全措施 (施工安全机构设置、安全防护措施等)、质量措施 (质量控制目标、质量控制方法等)、资料管理措施(施工过程中资料管理、竣工验收资料管理等)。</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2、</w:t>
      </w:r>
      <w:r>
        <w:rPr>
          <w:rFonts w:hint="eastAsia" w:ascii="宋体" w:hAnsi="宋体" w:eastAsia="宋体" w:cs="宋体"/>
          <w:color w:val="auto"/>
          <w:sz w:val="22"/>
          <w:highlight w:val="none"/>
        </w:rPr>
        <w:t>物联网数据分析</w:t>
      </w:r>
      <w:r>
        <w:rPr>
          <w:rFonts w:hint="eastAsia" w:ascii="宋体" w:hAnsi="宋体" w:eastAsia="宋体" w:cs="宋体"/>
          <w:color w:val="auto"/>
          <w:sz w:val="22"/>
          <w:highlight w:val="none"/>
          <w:lang w:eastAsia="zh-CN"/>
        </w:rPr>
        <w:t>平台升级建设方案</w:t>
      </w:r>
      <w:r>
        <w:rPr>
          <w:rFonts w:hint="eastAsia" w:ascii="宋体" w:hAnsi="宋体" w:eastAsia="宋体" w:cs="宋体"/>
          <w:color w:val="auto"/>
          <w:sz w:val="22"/>
          <w:highlight w:val="none"/>
        </w:rPr>
        <w:t>包含</w:t>
      </w:r>
      <w:r>
        <w:rPr>
          <w:rFonts w:hint="eastAsia" w:ascii="宋体" w:hAnsi="宋体" w:eastAsia="宋体" w:cs="宋体"/>
          <w:color w:val="auto"/>
          <w:sz w:val="22"/>
          <w:highlight w:val="none"/>
          <w:lang w:eastAsia="zh-CN"/>
        </w:rPr>
        <w:t>：原有设备数据平台升级</w:t>
      </w:r>
      <w:r>
        <w:rPr>
          <w:rFonts w:hint="eastAsia" w:ascii="宋体" w:hAnsi="宋体" w:eastAsia="宋体" w:cs="宋体"/>
          <w:color w:val="auto"/>
          <w:sz w:val="22"/>
          <w:highlight w:val="none"/>
        </w:rPr>
        <w:t>、病虫害物联网数据分析</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病虫害监测预警、工作平台、数据接入、数据导出、病虫害物联网管理系统等方面进行深化设计并提供理念描述</w:t>
      </w:r>
      <w:r>
        <w:rPr>
          <w:rFonts w:hint="eastAsia" w:ascii="宋体" w:hAnsi="宋体" w:eastAsia="宋体" w:cs="宋体"/>
          <w:color w:val="auto"/>
          <w:sz w:val="22"/>
          <w:highlight w:val="none"/>
          <w:lang w:eastAsia="zh-CN"/>
        </w:rPr>
        <w:t>。</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3、</w:t>
      </w:r>
      <w:r>
        <w:rPr>
          <w:rFonts w:hint="eastAsia" w:ascii="宋体" w:hAnsi="宋体" w:eastAsia="宋体" w:cs="宋体"/>
          <w:color w:val="auto"/>
          <w:sz w:val="22"/>
          <w:highlight w:val="none"/>
        </w:rPr>
        <w:t>售后服务</w:t>
      </w:r>
      <w:r>
        <w:rPr>
          <w:rFonts w:hint="eastAsia" w:ascii="宋体" w:hAnsi="宋体" w:eastAsia="宋体" w:cs="宋体"/>
          <w:color w:val="auto"/>
          <w:sz w:val="22"/>
          <w:highlight w:val="none"/>
          <w:lang w:val="en-US" w:eastAsia="zh-CN"/>
        </w:rPr>
        <w:t>包括：</w:t>
      </w:r>
      <w:r>
        <w:rPr>
          <w:rFonts w:hint="eastAsia" w:ascii="宋体" w:hAnsi="宋体" w:eastAsia="宋体" w:cs="宋体"/>
          <w:color w:val="auto"/>
          <w:sz w:val="22"/>
          <w:highlight w:val="none"/>
        </w:rPr>
        <w:t>服务承诺、服务响应时间、服务方式、服务内容、售后服务体系保证措施等</w:t>
      </w:r>
      <w:r>
        <w:rPr>
          <w:rFonts w:hint="eastAsia" w:ascii="宋体" w:hAnsi="宋体" w:eastAsia="宋体" w:cs="宋体"/>
          <w:color w:val="auto"/>
          <w:sz w:val="22"/>
          <w:highlight w:val="none"/>
          <w:lang w:val="en-US" w:eastAsia="zh-CN"/>
        </w:rPr>
        <w:t>方案。</w:t>
      </w:r>
    </w:p>
    <w:p>
      <w:pPr>
        <w:pBdr>
          <w:top w:val="none" w:color="000000" w:sz="0" w:space="0"/>
          <w:left w:val="none" w:color="000000" w:sz="0" w:space="0"/>
          <w:bottom w:val="none" w:color="000000" w:sz="0" w:space="0"/>
          <w:right w:val="none" w:color="000000" w:sz="0" w:space="0"/>
        </w:pBdr>
        <w:shd w:val="clear"/>
        <w:spacing w:line="499" w:lineRule="atLeast"/>
        <w:ind w:firstLine="220"/>
        <w:rPr>
          <w:rFonts w:hint="eastAsia" w:ascii="宋体" w:hAnsi="宋体" w:eastAsia="宋体" w:cs="宋体"/>
          <w:color w:val="auto"/>
          <w:sz w:val="22"/>
          <w:highlight w:val="none"/>
        </w:rPr>
      </w:pPr>
    </w:p>
    <w:p>
      <w:pPr>
        <w:pStyle w:val="45"/>
        <w:rPr>
          <w:rFonts w:hint="eastAsia" w:ascii="宋体" w:hAnsi="宋体" w:eastAsia="宋体" w:cs="宋体"/>
          <w:color w:val="auto"/>
          <w:highlight w:val="none"/>
        </w:rPr>
      </w:pPr>
    </w:p>
    <w:p>
      <w:pPr>
        <w:pStyle w:val="45"/>
        <w:rPr>
          <w:rFonts w:hint="eastAsia" w:ascii="宋体" w:hAnsi="宋体" w:eastAsia="宋体" w:cs="宋体"/>
          <w:color w:val="auto"/>
          <w:highlight w:val="none"/>
        </w:rPr>
      </w:pPr>
    </w:p>
    <w:p>
      <w:pPr>
        <w:pStyle w:val="45"/>
        <w:rPr>
          <w:rFonts w:hint="eastAsia" w:ascii="宋体" w:hAnsi="宋体" w:eastAsia="宋体" w:cs="宋体"/>
          <w:color w:val="auto"/>
          <w:highlight w:val="none"/>
        </w:rPr>
      </w:pPr>
    </w:p>
    <w:p>
      <w:pPr>
        <w:pStyle w:val="45"/>
        <w:rPr>
          <w:rFonts w:hint="eastAsia" w:ascii="宋体" w:hAnsi="宋体" w:eastAsia="宋体" w:cs="宋体"/>
          <w:color w:val="auto"/>
          <w:highlight w:val="none"/>
        </w:rPr>
      </w:pPr>
    </w:p>
    <w:p>
      <w:pPr>
        <w:pStyle w:val="45"/>
        <w:rPr>
          <w:rFonts w:hint="eastAsia" w:ascii="宋体" w:hAnsi="宋体" w:eastAsia="宋体" w:cs="宋体"/>
          <w:color w:val="auto"/>
          <w:highlight w:val="none"/>
        </w:rPr>
      </w:pPr>
    </w:p>
    <w:p>
      <w:pPr>
        <w:pStyle w:val="45"/>
        <w:rPr>
          <w:rFonts w:hint="eastAsia" w:ascii="宋体" w:hAnsi="宋体" w:eastAsia="宋体" w:cs="宋体"/>
          <w:color w:val="auto"/>
          <w:highlight w:val="none"/>
        </w:rPr>
      </w:pPr>
    </w:p>
    <w:p>
      <w:pPr>
        <w:pStyle w:val="45"/>
        <w:rPr>
          <w:rFonts w:hint="eastAsia" w:ascii="宋体" w:hAnsi="宋体" w:eastAsia="宋体" w:cs="宋体"/>
          <w:color w:val="auto"/>
          <w:highlight w:val="none"/>
        </w:rPr>
      </w:pPr>
    </w:p>
    <w:p>
      <w:pPr>
        <w:pStyle w:val="45"/>
        <w:rPr>
          <w:rFonts w:hint="eastAsia" w:ascii="宋体" w:hAnsi="宋体" w:eastAsia="宋体" w:cs="宋体"/>
          <w:color w:val="auto"/>
          <w:highlight w:val="none"/>
        </w:rPr>
      </w:pPr>
    </w:p>
    <w:p>
      <w:pPr>
        <w:pStyle w:val="45"/>
        <w:rPr>
          <w:rFonts w:hint="eastAsia" w:ascii="宋体" w:hAnsi="宋体" w:eastAsia="宋体" w:cs="宋体"/>
          <w:color w:val="auto"/>
          <w:highlight w:val="none"/>
        </w:rPr>
      </w:pPr>
    </w:p>
    <w:p>
      <w:pPr>
        <w:pStyle w:val="45"/>
        <w:rPr>
          <w:rFonts w:hint="eastAsia" w:ascii="宋体" w:hAnsi="宋体" w:eastAsia="宋体" w:cs="宋体"/>
          <w:color w:val="auto"/>
          <w:highlight w:val="none"/>
        </w:rPr>
      </w:pPr>
    </w:p>
    <w:p>
      <w:pPr>
        <w:pStyle w:val="45"/>
        <w:rPr>
          <w:rFonts w:hint="eastAsia" w:ascii="宋体" w:hAnsi="宋体" w:eastAsia="宋体" w:cs="宋体"/>
          <w:color w:val="auto"/>
          <w:highlight w:val="none"/>
        </w:rPr>
      </w:pPr>
    </w:p>
    <w:p>
      <w:pPr>
        <w:pStyle w:val="45"/>
        <w:rPr>
          <w:rFonts w:hint="eastAsia" w:ascii="宋体" w:hAnsi="宋体" w:eastAsia="宋体" w:cs="宋体"/>
          <w:color w:val="auto"/>
          <w:highlight w:val="none"/>
        </w:rPr>
      </w:pPr>
    </w:p>
    <w:p>
      <w:pPr>
        <w:pStyle w:val="45"/>
        <w:rPr>
          <w:rFonts w:hint="eastAsia" w:ascii="宋体" w:hAnsi="宋体" w:eastAsia="宋体" w:cs="宋体"/>
          <w:color w:val="auto"/>
          <w:highlight w:val="none"/>
        </w:rPr>
      </w:pPr>
    </w:p>
    <w:p>
      <w:pPr>
        <w:pStyle w:val="45"/>
        <w:rPr>
          <w:rFonts w:hint="eastAsia" w:ascii="宋体" w:hAnsi="宋体" w:eastAsia="宋体" w:cs="宋体"/>
          <w:color w:val="auto"/>
          <w:highlight w:val="none"/>
        </w:rPr>
      </w:pPr>
    </w:p>
    <w:p>
      <w:pPr>
        <w:pStyle w:val="45"/>
        <w:rPr>
          <w:rFonts w:hint="eastAsia" w:ascii="宋体" w:hAnsi="宋体" w:eastAsia="宋体" w:cs="宋体"/>
          <w:color w:val="auto"/>
          <w:highlight w:val="none"/>
        </w:rPr>
      </w:pPr>
    </w:p>
    <w:p>
      <w:pPr>
        <w:pStyle w:val="45"/>
        <w:rPr>
          <w:rFonts w:hint="eastAsia" w:ascii="宋体" w:hAnsi="宋体" w:eastAsia="宋体" w:cs="宋体"/>
          <w:color w:val="auto"/>
          <w:highlight w:val="none"/>
        </w:rPr>
      </w:pPr>
    </w:p>
    <w:p>
      <w:pPr>
        <w:pStyle w:val="45"/>
        <w:ind w:left="0" w:leftChars="0" w:firstLine="0" w:firstLineChars="0"/>
        <w:rPr>
          <w:rFonts w:hint="eastAsia" w:ascii="宋体" w:hAnsi="宋体" w:eastAsia="宋体" w:cs="宋体"/>
          <w:color w:val="auto"/>
          <w:highlight w:val="none"/>
        </w:rPr>
      </w:pPr>
    </w:p>
    <w:p>
      <w:pPr>
        <w:pStyle w:val="45"/>
        <w:ind w:left="0" w:leftChars="0" w:firstLine="0" w:firstLineChars="0"/>
        <w:rPr>
          <w:rFonts w:hint="eastAsia" w:ascii="宋体" w:hAnsi="宋体" w:eastAsia="宋体" w:cs="宋体"/>
          <w:color w:val="auto"/>
          <w:highlight w:val="none"/>
        </w:rPr>
      </w:pPr>
    </w:p>
    <w:p>
      <w:pPr>
        <w:pStyle w:val="45"/>
        <w:ind w:left="0" w:leftChars="0" w:firstLine="0" w:firstLineChars="0"/>
        <w:rPr>
          <w:rFonts w:hint="eastAsia" w:ascii="宋体" w:hAnsi="宋体" w:eastAsia="宋体" w:cs="宋体"/>
          <w:color w:val="auto"/>
          <w:highlight w:val="none"/>
        </w:rPr>
      </w:pPr>
    </w:p>
    <w:p>
      <w:pPr>
        <w:pStyle w:val="45"/>
        <w:ind w:left="0" w:leftChars="0" w:firstLine="0" w:firstLineChars="0"/>
        <w:rPr>
          <w:rFonts w:hint="eastAsia" w:ascii="宋体" w:hAnsi="宋体" w:eastAsia="宋体" w:cs="宋体"/>
          <w:color w:val="auto"/>
          <w:highlight w:val="none"/>
        </w:rPr>
      </w:pPr>
    </w:p>
    <w:p>
      <w:pPr>
        <w:pStyle w:val="45"/>
        <w:ind w:left="0" w:leftChars="0" w:firstLine="0" w:firstLineChars="0"/>
        <w:rPr>
          <w:rFonts w:hint="eastAsia" w:ascii="宋体" w:hAnsi="宋体" w:eastAsia="宋体" w:cs="宋体"/>
          <w:color w:val="auto"/>
          <w:highlight w:val="none"/>
        </w:rPr>
      </w:pPr>
    </w:p>
    <w:p>
      <w:pPr>
        <w:pStyle w:val="45"/>
        <w:ind w:left="0" w:leftChars="0" w:firstLine="0" w:firstLineChars="0"/>
        <w:rPr>
          <w:rFonts w:hint="eastAsia" w:ascii="宋体" w:hAnsi="宋体" w:eastAsia="宋体" w:cs="宋体"/>
          <w:color w:val="auto"/>
          <w:highlight w:val="none"/>
        </w:rPr>
      </w:pPr>
    </w:p>
    <w:p>
      <w:pPr>
        <w:pStyle w:val="45"/>
        <w:ind w:left="0" w:leftChars="0" w:firstLine="0" w:firstLineChars="0"/>
        <w:rPr>
          <w:rFonts w:hint="eastAsia" w:ascii="宋体" w:hAnsi="宋体" w:eastAsia="宋体" w:cs="宋体"/>
          <w:color w:val="auto"/>
          <w:highlight w:val="none"/>
        </w:rPr>
      </w:pPr>
    </w:p>
    <w:p>
      <w:pPr>
        <w:pStyle w:val="45"/>
        <w:ind w:left="0" w:leftChars="0" w:firstLine="0" w:firstLineChars="0"/>
        <w:rPr>
          <w:rFonts w:hint="eastAsia" w:ascii="宋体" w:hAnsi="宋体" w:eastAsia="宋体" w:cs="宋体"/>
          <w:color w:val="auto"/>
          <w:highlight w:val="none"/>
        </w:rPr>
      </w:pPr>
    </w:p>
    <w:p>
      <w:pPr>
        <w:pStyle w:val="45"/>
        <w:ind w:left="0" w:leftChars="0" w:firstLine="0" w:firstLineChars="0"/>
        <w:rPr>
          <w:rFonts w:hint="eastAsia" w:ascii="宋体" w:hAnsi="宋体" w:eastAsia="宋体" w:cs="宋体"/>
          <w:color w:val="auto"/>
          <w:highlight w:val="none"/>
        </w:rPr>
      </w:pPr>
    </w:p>
    <w:p>
      <w:pPr>
        <w:pStyle w:val="45"/>
        <w:ind w:left="0" w:leftChars="0" w:firstLine="0" w:firstLineChars="0"/>
        <w:rPr>
          <w:rFonts w:hint="eastAsia" w:ascii="宋体" w:hAnsi="宋体" w:eastAsia="宋体" w:cs="宋体"/>
          <w:color w:val="auto"/>
          <w:highlight w:val="none"/>
        </w:rPr>
      </w:pPr>
    </w:p>
    <w:p>
      <w:pPr>
        <w:pStyle w:val="45"/>
        <w:ind w:left="0" w:leftChars="0" w:firstLine="0" w:firstLineChars="0"/>
        <w:rPr>
          <w:rFonts w:hint="eastAsia" w:ascii="宋体" w:hAnsi="宋体" w:eastAsia="宋体" w:cs="宋体"/>
          <w:color w:val="auto"/>
          <w:highlight w:val="none"/>
        </w:rPr>
      </w:pPr>
    </w:p>
    <w:p>
      <w:pPr>
        <w:pStyle w:val="45"/>
        <w:rPr>
          <w:rFonts w:hint="eastAsia" w:ascii="宋体" w:hAnsi="宋体" w:eastAsia="宋体" w:cs="宋体"/>
          <w:color w:val="auto"/>
          <w:highlight w:val="none"/>
        </w:rPr>
      </w:pPr>
    </w:p>
    <w:p>
      <w:pPr>
        <w:pStyle w:val="4"/>
        <w:pBdr>
          <w:top w:val="none" w:color="000000" w:sz="0" w:space="0"/>
          <w:left w:val="none" w:color="000000" w:sz="0" w:space="0"/>
          <w:bottom w:val="none" w:color="000000" w:sz="0" w:space="0"/>
          <w:right w:val="none" w:color="000000" w:sz="0" w:space="0"/>
        </w:pBdr>
        <w:shd w:val="clear"/>
        <w:spacing w:before="0" w:after="0"/>
        <w:jc w:val="center"/>
        <w:rPr>
          <w:rFonts w:hint="eastAsia" w:ascii="宋体" w:hAnsi="宋体" w:eastAsia="宋体" w:cs="宋体"/>
          <w:color w:val="auto"/>
          <w:highlight w:val="none"/>
        </w:rPr>
      </w:pPr>
      <w:r>
        <w:rPr>
          <w:rFonts w:hint="eastAsia" w:ascii="宋体" w:hAnsi="宋体" w:eastAsia="宋体" w:cs="宋体"/>
          <w:b/>
          <w:color w:val="auto"/>
          <w:sz w:val="44"/>
          <w:highlight w:val="none"/>
        </w:rPr>
        <w:t>第五章评标方法与评标标准</w:t>
      </w:r>
    </w:p>
    <w:p>
      <w:pPr>
        <w:pBdr>
          <w:top w:val="none" w:color="000000" w:sz="0" w:space="0"/>
          <w:left w:val="none" w:color="000000" w:sz="0" w:space="0"/>
          <w:bottom w:val="none" w:color="000000" w:sz="0" w:space="0"/>
          <w:right w:val="none" w:color="000000" w:sz="0" w:space="0"/>
        </w:pBdr>
        <w:shd w:val="clear"/>
        <w:spacing w:line="499" w:lineRule="atLeast"/>
        <w:rPr>
          <w:rFonts w:hint="eastAsia" w:ascii="宋体" w:hAnsi="宋体" w:eastAsia="宋体" w:cs="宋体"/>
          <w:color w:val="auto"/>
          <w:highlight w:val="none"/>
        </w:rPr>
      </w:pPr>
      <w:r>
        <w:rPr>
          <w:rFonts w:hint="eastAsia" w:ascii="宋体" w:hAnsi="宋体" w:eastAsia="宋体" w:cs="宋体"/>
          <w:b/>
          <w:color w:val="auto"/>
          <w:sz w:val="28"/>
          <w:highlight w:val="none"/>
        </w:rPr>
        <w:t>一、资格审查。</w:t>
      </w:r>
      <w:r>
        <w:rPr>
          <w:rFonts w:hint="eastAsia" w:ascii="宋体" w:hAnsi="宋体" w:eastAsia="宋体" w:cs="宋体"/>
          <w:color w:val="auto"/>
          <w:sz w:val="22"/>
          <w:szCs w:val="20"/>
          <w:highlight w:val="none"/>
        </w:rPr>
        <w:t>资格审查人员按照下列指标对各投标人的资格进行审查，未通过审查的为无效标，不参与评标。</w:t>
      </w:r>
    </w:p>
    <w:tbl>
      <w:tblPr>
        <w:tblStyle w:val="33"/>
        <w:tblW w:w="82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05"/>
        <w:gridCol w:w="4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jc w:val="center"/>
              <w:rPr>
                <w:rFonts w:hint="eastAsia" w:ascii="宋体" w:hAnsi="宋体" w:eastAsia="宋体" w:cs="宋体"/>
                <w:color w:val="auto"/>
                <w:highlight w:val="none"/>
              </w:rPr>
            </w:pPr>
            <w:r>
              <w:rPr>
                <w:rFonts w:hint="eastAsia" w:ascii="宋体" w:hAnsi="宋体" w:eastAsia="宋体" w:cs="宋体"/>
                <w:color w:val="auto"/>
                <w:highlight w:val="none"/>
              </w:rPr>
              <w:t>资格审查因素</w:t>
            </w:r>
          </w:p>
        </w:tc>
        <w:tc>
          <w:tcPr>
            <w:tcW w:w="4105" w:type="dxa"/>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jc w:val="center"/>
              <w:rPr>
                <w:rFonts w:hint="eastAsia" w:ascii="宋体" w:hAnsi="宋体" w:eastAsia="宋体" w:cs="宋体"/>
                <w:color w:val="auto"/>
                <w:highlight w:val="none"/>
              </w:rPr>
            </w:pPr>
            <w:r>
              <w:rPr>
                <w:rFonts w:hint="eastAsia" w:ascii="宋体" w:hAnsi="宋体" w:eastAsia="宋体" w:cs="宋体"/>
                <w:color w:val="auto"/>
                <w:highlight w:val="none"/>
              </w:rPr>
              <w:t>审查标准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投标声明及承诺函</w:t>
            </w:r>
          </w:p>
        </w:tc>
        <w:tc>
          <w:tcPr>
            <w:tcW w:w="4105" w:type="dxa"/>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符合招标文件要求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信用信息</w:t>
            </w:r>
          </w:p>
        </w:tc>
        <w:tc>
          <w:tcPr>
            <w:tcW w:w="4105" w:type="dxa"/>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符合招标文件要求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联合体投标</w:t>
            </w:r>
          </w:p>
        </w:tc>
        <w:tc>
          <w:tcPr>
            <w:tcW w:w="4105" w:type="dxa"/>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不接受联合体投标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highlight w:val="none"/>
              </w:rPr>
              <w:t>其他</w:t>
            </w:r>
          </w:p>
        </w:tc>
        <w:tc>
          <w:tcPr>
            <w:tcW w:w="4105" w:type="dxa"/>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highlight w:val="none"/>
              </w:rPr>
              <w:t>符合招标文件要求</w:t>
            </w:r>
          </w:p>
        </w:tc>
      </w:tr>
    </w:tbl>
    <w:p>
      <w:pPr>
        <w:pBdr>
          <w:top w:val="none" w:color="000000" w:sz="0" w:space="0"/>
          <w:left w:val="none" w:color="000000" w:sz="0" w:space="0"/>
          <w:bottom w:val="none" w:color="000000" w:sz="0" w:space="0"/>
          <w:right w:val="none" w:color="000000" w:sz="0" w:space="0"/>
        </w:pBdr>
        <w:shd w:val="clear"/>
        <w:spacing w:line="499" w:lineRule="atLeast"/>
        <w:rPr>
          <w:rFonts w:hint="eastAsia" w:ascii="宋体" w:hAnsi="宋体" w:eastAsia="宋体" w:cs="宋体"/>
          <w:color w:val="auto"/>
          <w:sz w:val="20"/>
          <w:szCs w:val="20"/>
          <w:highlight w:val="none"/>
        </w:rPr>
      </w:pPr>
      <w:r>
        <w:rPr>
          <w:rFonts w:hint="eastAsia" w:ascii="宋体" w:hAnsi="宋体" w:eastAsia="宋体" w:cs="宋体"/>
          <w:b/>
          <w:color w:val="auto"/>
          <w:sz w:val="28"/>
          <w:highlight w:val="none"/>
        </w:rPr>
        <w:t>二、符合性审查。</w:t>
      </w:r>
      <w:r>
        <w:rPr>
          <w:rFonts w:hint="eastAsia" w:ascii="宋体" w:hAnsi="宋体" w:eastAsia="宋体" w:cs="宋体"/>
          <w:color w:val="auto"/>
          <w:sz w:val="22"/>
          <w:szCs w:val="20"/>
          <w:highlight w:val="none"/>
        </w:rPr>
        <w:t>评标委员会首先按照下列指标对各投标人的投标文件进行符合性审查，未通过审查的为无效标，不再参与评审。</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4090"/>
        <w:gridCol w:w="4120"/>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090" w:type="dxa"/>
            <w:tcBorders>
              <w:top w:val="single" w:color="000000" w:sz="8" w:space="0"/>
              <w:left w:val="single" w:color="000000" w:sz="8" w:space="0"/>
              <w:bottom w:val="single" w:color="000000" w:sz="8" w:space="0"/>
              <w:right w:val="single" w:color="000000" w:sz="8" w:space="0"/>
            </w:tcBorders>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jc w:val="center"/>
              <w:rPr>
                <w:rFonts w:hint="eastAsia" w:ascii="宋体" w:hAnsi="宋体" w:eastAsia="宋体" w:cs="宋体"/>
                <w:color w:val="auto"/>
                <w:highlight w:val="none"/>
              </w:rPr>
            </w:pPr>
            <w:r>
              <w:rPr>
                <w:rFonts w:hint="eastAsia" w:ascii="宋体" w:hAnsi="宋体" w:eastAsia="宋体" w:cs="宋体"/>
                <w:color w:val="auto"/>
                <w:highlight w:val="none"/>
              </w:rPr>
              <w:t>符合性审查因素</w:t>
            </w:r>
          </w:p>
        </w:tc>
        <w:tc>
          <w:tcPr>
            <w:tcW w:w="4120" w:type="dxa"/>
            <w:tcBorders>
              <w:top w:val="single" w:color="000000" w:sz="8" w:space="0"/>
              <w:left w:val="nil"/>
              <w:bottom w:val="single" w:color="000000" w:sz="8" w:space="0"/>
              <w:right w:val="single" w:color="000000" w:sz="8" w:space="0"/>
            </w:tcBorders>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jc w:val="center"/>
              <w:rPr>
                <w:rFonts w:hint="eastAsia" w:ascii="宋体" w:hAnsi="宋体" w:eastAsia="宋体" w:cs="宋体"/>
                <w:color w:val="auto"/>
                <w:highlight w:val="none"/>
              </w:rPr>
            </w:pPr>
            <w:r>
              <w:rPr>
                <w:rFonts w:hint="eastAsia" w:ascii="宋体" w:hAnsi="宋体" w:eastAsia="宋体" w:cs="宋体"/>
                <w:color w:val="auto"/>
                <w:highlight w:val="none"/>
              </w:rPr>
              <w:t>审查标准</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090" w:type="dxa"/>
            <w:tcBorders>
              <w:top w:val="nil"/>
              <w:left w:val="single" w:color="000000" w:sz="8" w:space="0"/>
              <w:bottom w:val="single" w:color="000000" w:sz="8" w:space="0"/>
              <w:right w:val="single" w:color="000000" w:sz="8" w:space="0"/>
            </w:tcBorders>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法定代表人身份证明或授权委托书</w:t>
            </w:r>
          </w:p>
        </w:tc>
        <w:tc>
          <w:tcPr>
            <w:tcW w:w="4120" w:type="dxa"/>
            <w:tcBorders>
              <w:top w:val="nil"/>
              <w:left w:val="nil"/>
              <w:bottom w:val="single" w:color="000000" w:sz="8" w:space="0"/>
              <w:right w:val="single" w:color="000000" w:sz="8" w:space="0"/>
            </w:tcBorders>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符合招标文件要求</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090" w:type="dxa"/>
            <w:tcBorders>
              <w:top w:val="nil"/>
              <w:left w:val="single" w:color="000000" w:sz="8" w:space="0"/>
              <w:bottom w:val="single" w:color="000000" w:sz="8" w:space="0"/>
              <w:right w:val="single" w:color="000000" w:sz="8" w:space="0"/>
            </w:tcBorders>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开标一览表及投标报价</w:t>
            </w:r>
          </w:p>
        </w:tc>
        <w:tc>
          <w:tcPr>
            <w:tcW w:w="4120" w:type="dxa"/>
            <w:tcBorders>
              <w:top w:val="nil"/>
              <w:left w:val="nil"/>
              <w:bottom w:val="single" w:color="000000" w:sz="8" w:space="0"/>
              <w:right w:val="single" w:color="000000" w:sz="8" w:space="0"/>
            </w:tcBorders>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格式、填写要求符合招标文件规定</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090" w:type="dxa"/>
            <w:tcBorders>
              <w:top w:val="nil"/>
              <w:left w:val="single" w:color="000000" w:sz="8" w:space="0"/>
              <w:bottom w:val="single" w:color="000000" w:sz="8" w:space="0"/>
              <w:right w:val="single" w:color="000000" w:sz="8" w:space="0"/>
            </w:tcBorders>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技术标准和要求</w:t>
            </w:r>
          </w:p>
        </w:tc>
        <w:tc>
          <w:tcPr>
            <w:tcW w:w="4120" w:type="dxa"/>
            <w:tcBorders>
              <w:top w:val="nil"/>
              <w:left w:val="nil"/>
              <w:bottom w:val="single" w:color="000000" w:sz="8" w:space="0"/>
              <w:right w:val="single" w:color="000000" w:sz="8" w:space="0"/>
            </w:tcBorders>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符合招标文件要求</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090" w:type="dxa"/>
            <w:tcBorders>
              <w:top w:val="nil"/>
              <w:left w:val="single" w:color="000000" w:sz="8" w:space="0"/>
              <w:bottom w:val="single" w:color="000000" w:sz="8" w:space="0"/>
              <w:right w:val="single" w:color="000000" w:sz="8" w:space="0"/>
            </w:tcBorders>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其他</w:t>
            </w:r>
          </w:p>
        </w:tc>
        <w:tc>
          <w:tcPr>
            <w:tcW w:w="4120" w:type="dxa"/>
            <w:tcBorders>
              <w:top w:val="nil"/>
              <w:left w:val="nil"/>
              <w:bottom w:val="single" w:color="000000" w:sz="8" w:space="0"/>
              <w:right w:val="single" w:color="000000" w:sz="8" w:space="0"/>
            </w:tcBorders>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符合招标文件要求</w:t>
            </w:r>
          </w:p>
        </w:tc>
      </w:tr>
    </w:tbl>
    <w:p>
      <w:pPr>
        <w:pBdr>
          <w:top w:val="none" w:color="000000" w:sz="0" w:space="0"/>
          <w:left w:val="none" w:color="000000" w:sz="0" w:space="0"/>
          <w:bottom w:val="none" w:color="000000" w:sz="0" w:space="0"/>
          <w:right w:val="none" w:color="000000" w:sz="0" w:space="0"/>
        </w:pBdr>
        <w:shd w:val="clear"/>
        <w:spacing w:line="499" w:lineRule="atLeast"/>
        <w:rPr>
          <w:rFonts w:hint="eastAsia" w:ascii="宋体" w:hAnsi="宋体" w:eastAsia="宋体" w:cs="宋体"/>
          <w:color w:val="auto"/>
          <w:highlight w:val="none"/>
        </w:rPr>
      </w:pPr>
      <w:r>
        <w:rPr>
          <w:rFonts w:hint="eastAsia" w:ascii="宋体" w:hAnsi="宋体" w:eastAsia="宋体" w:cs="宋体"/>
          <w:b/>
          <w:color w:val="auto"/>
          <w:sz w:val="28"/>
          <w:highlight w:val="none"/>
        </w:rPr>
        <w:t>三、评分办法—综合评分法</w:t>
      </w:r>
    </w:p>
    <w:p>
      <w:pPr>
        <w:pBdr>
          <w:top w:val="none" w:color="000000" w:sz="0" w:space="0"/>
          <w:left w:val="none" w:color="000000" w:sz="0" w:space="0"/>
          <w:bottom w:val="none" w:color="000000" w:sz="0" w:space="0"/>
          <w:right w:val="none" w:color="000000" w:sz="0" w:space="0"/>
        </w:pBdr>
        <w:shd w:val="clear"/>
        <w:spacing w:line="499" w:lineRule="atLeast"/>
        <w:ind w:firstLine="482"/>
        <w:rPr>
          <w:rFonts w:hint="eastAsia" w:ascii="宋体" w:hAnsi="宋体" w:eastAsia="宋体" w:cs="宋体"/>
          <w:color w:val="auto"/>
          <w:highlight w:val="none"/>
        </w:rPr>
      </w:pPr>
      <w:r>
        <w:rPr>
          <w:rFonts w:hint="eastAsia" w:ascii="宋体" w:hAnsi="宋体" w:eastAsia="宋体" w:cs="宋体"/>
          <w:b/>
          <w:color w:val="auto"/>
          <w:sz w:val="24"/>
          <w:highlight w:val="none"/>
        </w:rPr>
        <w:t>（一）评标办法：</w:t>
      </w:r>
      <w:r>
        <w:rPr>
          <w:rFonts w:hint="eastAsia" w:ascii="宋体" w:hAnsi="宋体" w:eastAsia="宋体" w:cs="宋体"/>
          <w:color w:val="auto"/>
          <w:sz w:val="24"/>
          <w:highlight w:val="none"/>
        </w:rPr>
        <w:t>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p>
    <w:p>
      <w:pPr>
        <w:pBdr>
          <w:top w:val="none" w:color="000000" w:sz="0" w:space="0"/>
          <w:left w:val="none" w:color="000000" w:sz="0" w:space="0"/>
          <w:bottom w:val="none" w:color="000000" w:sz="0" w:space="0"/>
          <w:right w:val="none" w:color="000000" w:sz="0" w:space="0"/>
        </w:pBdr>
        <w:shd w:val="clear"/>
        <w:spacing w:line="49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评标委员会根据评审后投标人排序推荐中标候选人。投标文件满足招标文件全部实质性要求，且评审后排序第一的投标人为第一中标候选人，依次类推。</w:t>
      </w:r>
    </w:p>
    <w:p>
      <w:pPr>
        <w:pBdr>
          <w:top w:val="none" w:color="000000" w:sz="0" w:space="0"/>
          <w:left w:val="none" w:color="000000" w:sz="0" w:space="0"/>
          <w:bottom w:val="none" w:color="000000" w:sz="0" w:space="0"/>
          <w:right w:val="none" w:color="000000" w:sz="0" w:space="0"/>
        </w:pBdr>
        <w:shd w:val="clear"/>
        <w:spacing w:line="49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 xml:space="preserve">综合评分保留至小数点后两位。 </w:t>
      </w:r>
    </w:p>
    <w:p>
      <w:pPr>
        <w:pBdr>
          <w:top w:val="none" w:color="000000" w:sz="0" w:space="0"/>
          <w:left w:val="none" w:color="000000" w:sz="0" w:space="0"/>
          <w:bottom w:val="none" w:color="000000" w:sz="0" w:space="0"/>
          <w:right w:val="none" w:color="000000" w:sz="0" w:space="0"/>
        </w:pBdr>
        <w:shd w:val="clear"/>
        <w:spacing w:line="499" w:lineRule="atLeast"/>
        <w:ind w:firstLine="482"/>
        <w:rPr>
          <w:rFonts w:hint="eastAsia" w:ascii="宋体" w:hAnsi="宋体" w:eastAsia="宋体" w:cs="宋体"/>
          <w:color w:val="auto"/>
          <w:highlight w:val="none"/>
        </w:rPr>
      </w:pPr>
      <w:r>
        <w:rPr>
          <w:rFonts w:hint="eastAsia" w:ascii="宋体" w:hAnsi="宋体" w:eastAsia="宋体" w:cs="宋体"/>
          <w:b/>
          <w:color w:val="auto"/>
          <w:sz w:val="24"/>
          <w:highlight w:val="none"/>
        </w:rPr>
        <w:t>（二）详细评审。</w:t>
      </w:r>
      <w:r>
        <w:rPr>
          <w:rFonts w:hint="eastAsia" w:ascii="宋体" w:hAnsi="宋体" w:eastAsia="宋体" w:cs="宋体"/>
          <w:color w:val="auto"/>
          <w:sz w:val="24"/>
          <w:highlight w:val="none"/>
        </w:rPr>
        <w:t>评标委员会按照招标文件规定的评分标准，对各投标文件进行详细评审打分。评标委员会组长对各评审专家的打分情况进行复核无误后汇总，形成评审报告。</w:t>
      </w:r>
    </w:p>
    <w:tbl>
      <w:tblPr>
        <w:tblStyle w:val="33"/>
        <w:tblW w:w="83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gridCol w:w="1260"/>
        <w:gridCol w:w="918"/>
        <w:gridCol w:w="51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283" w:type="dxa"/>
            <w:gridSpan w:val="2"/>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jc w:val="center"/>
              <w:rPr>
                <w:rFonts w:hint="eastAsia" w:ascii="宋体" w:hAnsi="宋体" w:eastAsia="宋体" w:cs="宋体"/>
                <w:color w:val="auto"/>
                <w:highlight w:val="none"/>
              </w:rPr>
            </w:pPr>
            <w:r>
              <w:rPr>
                <w:rFonts w:hint="eastAsia" w:ascii="宋体" w:hAnsi="宋体" w:eastAsia="宋体" w:cs="宋体"/>
                <w:color w:val="auto"/>
                <w:highlight w:val="none"/>
              </w:rPr>
              <w:t>评审因素</w:t>
            </w:r>
          </w:p>
        </w:tc>
        <w:tc>
          <w:tcPr>
            <w:tcW w:w="918" w:type="dxa"/>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jc w:val="center"/>
              <w:rPr>
                <w:rFonts w:hint="eastAsia" w:ascii="宋体" w:hAnsi="宋体" w:eastAsia="宋体" w:cs="宋体"/>
                <w:color w:val="auto"/>
                <w:highlight w:val="none"/>
              </w:rPr>
            </w:pPr>
            <w:r>
              <w:rPr>
                <w:rFonts w:hint="eastAsia" w:ascii="宋体" w:hAnsi="宋体" w:eastAsia="宋体" w:cs="宋体"/>
                <w:color w:val="auto"/>
                <w:highlight w:val="none"/>
              </w:rPr>
              <w:t>分数</w:t>
            </w:r>
          </w:p>
        </w:tc>
        <w:tc>
          <w:tcPr>
            <w:tcW w:w="5110" w:type="dxa"/>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jc w:val="center"/>
              <w:rPr>
                <w:rFonts w:hint="eastAsia" w:ascii="宋体" w:hAnsi="宋体" w:eastAsia="宋体" w:cs="宋体"/>
                <w:color w:val="auto"/>
                <w:highlight w:val="none"/>
              </w:rPr>
            </w:pPr>
            <w:r>
              <w:rPr>
                <w:rFonts w:hint="eastAsia" w:ascii="宋体" w:hAnsi="宋体" w:eastAsia="宋体" w:cs="宋体"/>
                <w:color w:val="auto"/>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23" w:type="dxa"/>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报价分</w:t>
            </w:r>
          </w:p>
        </w:tc>
        <w:tc>
          <w:tcPr>
            <w:tcW w:w="1260" w:type="dxa"/>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投标报价</w:t>
            </w:r>
          </w:p>
        </w:tc>
        <w:tc>
          <w:tcPr>
            <w:tcW w:w="918" w:type="dxa"/>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.00分</w:t>
            </w:r>
          </w:p>
        </w:tc>
        <w:tc>
          <w:tcPr>
            <w:tcW w:w="5110" w:type="dxa"/>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lang w:eastAsia="zh-CN"/>
              </w:rPr>
            </w:pPr>
            <w:r>
              <w:rPr>
                <w:rFonts w:hint="eastAsia" w:ascii="宋体" w:hAnsi="宋体" w:eastAsia="宋体" w:cs="宋体"/>
                <w:color w:val="auto"/>
                <w:highlight w:val="none"/>
              </w:rPr>
              <w:t>采用低价优先法计算，即满足招标文件要求且投标价格最低的投标报价为评标基准价，其价格分为满分。其他投标人投标报价得分＝（评标基准价/投标报价）*3</w:t>
            </w:r>
            <w:r>
              <w:rPr>
                <w:rFonts w:hint="eastAsia" w:ascii="宋体" w:hAnsi="宋体" w:eastAsia="宋体" w:cs="宋体"/>
                <w:color w:val="auto"/>
                <w:highlight w:val="none"/>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23" w:type="dxa"/>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技术响应</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c>
          <w:tcPr>
            <w:tcW w:w="1260" w:type="dxa"/>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技术参数响应</w:t>
            </w:r>
          </w:p>
        </w:tc>
        <w:tc>
          <w:tcPr>
            <w:tcW w:w="918" w:type="dxa"/>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cs="宋体"/>
                <w:color w:val="auto"/>
                <w:highlight w:val="none"/>
                <w:lang w:val="en-US" w:eastAsia="zh-CN"/>
              </w:rPr>
              <w:t>47</w:t>
            </w:r>
            <w:r>
              <w:rPr>
                <w:rFonts w:hint="eastAsia" w:ascii="宋体" w:hAnsi="宋体" w:eastAsia="宋体" w:cs="宋体"/>
                <w:color w:val="auto"/>
                <w:highlight w:val="none"/>
              </w:rPr>
              <w:t>.00分</w:t>
            </w:r>
          </w:p>
        </w:tc>
        <w:tc>
          <w:tcPr>
            <w:tcW w:w="5110" w:type="dxa"/>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投标人所投产品的技术参数能够完全响应招标文件要求的得</w:t>
            </w:r>
            <w:r>
              <w:rPr>
                <w:rFonts w:hint="eastAsia" w:ascii="宋体" w:hAnsi="宋体" w:cs="宋体"/>
                <w:color w:val="auto"/>
                <w:highlight w:val="none"/>
                <w:lang w:val="en-US" w:eastAsia="zh-CN"/>
              </w:rPr>
              <w:t>47</w:t>
            </w:r>
            <w:r>
              <w:rPr>
                <w:rFonts w:hint="eastAsia" w:ascii="宋体" w:hAnsi="宋体" w:eastAsia="宋体" w:cs="宋体"/>
                <w:color w:val="auto"/>
                <w:highlight w:val="none"/>
              </w:rPr>
              <w:t>分：</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一、标“</w:t>
            </w:r>
            <w:r>
              <w:rPr>
                <w:rFonts w:hint="eastAsia" w:ascii="宋体" w:hAnsi="宋体" w:eastAsia="宋体" w:cs="宋体"/>
                <w:bCs/>
                <w:color w:val="auto"/>
                <w:sz w:val="22"/>
                <w:szCs w:val="22"/>
                <w:highlight w:val="none"/>
              </w:rPr>
              <w:t>▲</w:t>
            </w:r>
            <w:r>
              <w:rPr>
                <w:rFonts w:hint="eastAsia" w:ascii="宋体" w:hAnsi="宋体" w:eastAsia="宋体" w:cs="宋体"/>
                <w:color w:val="auto"/>
                <w:highlight w:val="none"/>
              </w:rPr>
              <w:t>”部分，为重要技术参数（共3</w:t>
            </w:r>
            <w:r>
              <w:rPr>
                <w:rFonts w:hint="eastAsia" w:ascii="宋体" w:hAnsi="宋体" w:cs="宋体"/>
                <w:color w:val="auto"/>
                <w:highlight w:val="none"/>
                <w:lang w:val="en-US" w:eastAsia="zh-CN"/>
              </w:rPr>
              <w:t>3</w:t>
            </w:r>
            <w:r>
              <w:rPr>
                <w:rFonts w:hint="eastAsia" w:ascii="宋体" w:hAnsi="宋体" w:eastAsia="宋体" w:cs="宋体"/>
                <w:color w:val="auto"/>
                <w:highlight w:val="none"/>
              </w:rPr>
              <w:t>条，合计3</w:t>
            </w:r>
            <w:r>
              <w:rPr>
                <w:rFonts w:hint="eastAsia" w:ascii="宋体" w:hAnsi="宋体" w:cs="宋体"/>
                <w:color w:val="auto"/>
                <w:highlight w:val="none"/>
                <w:lang w:val="en-US" w:eastAsia="zh-CN"/>
              </w:rPr>
              <w:t>3</w:t>
            </w:r>
            <w:r>
              <w:rPr>
                <w:rFonts w:hint="eastAsia" w:ascii="宋体" w:hAnsi="宋体" w:eastAsia="宋体" w:cs="宋体"/>
                <w:color w:val="auto"/>
                <w:highlight w:val="none"/>
              </w:rPr>
              <w:t>分），每有一项负偏离扣1分，重要技术参数是否偏离以采购需求技术要求中规定的证明性材料为准；</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二、标“</w:t>
            </w:r>
            <w:r>
              <w:rPr>
                <w:rFonts w:hint="eastAsia" w:ascii="宋体" w:hAnsi="宋体" w:eastAsia="宋体" w:cs="宋体"/>
                <w:color w:val="auto"/>
                <w:sz w:val="22"/>
                <w:highlight w:val="none"/>
              </w:rPr>
              <w:t>＃</w:t>
            </w:r>
            <w:r>
              <w:rPr>
                <w:rFonts w:hint="eastAsia" w:ascii="宋体" w:hAnsi="宋体" w:eastAsia="宋体" w:cs="宋体"/>
                <w:color w:val="auto"/>
                <w:highlight w:val="none"/>
              </w:rPr>
              <w:t>”部分为一般技术参数（共</w:t>
            </w:r>
            <w:r>
              <w:rPr>
                <w:rFonts w:hint="eastAsia" w:ascii="宋体" w:hAnsi="宋体" w:cs="宋体"/>
                <w:color w:val="auto"/>
                <w:highlight w:val="none"/>
                <w:lang w:val="en-US" w:eastAsia="zh-CN"/>
              </w:rPr>
              <w:t>100</w:t>
            </w:r>
            <w:r>
              <w:rPr>
                <w:rFonts w:hint="eastAsia" w:ascii="宋体" w:hAnsi="宋体" w:eastAsia="宋体" w:cs="宋体"/>
                <w:color w:val="auto"/>
                <w:highlight w:val="none"/>
              </w:rPr>
              <w:t>条，合计</w:t>
            </w:r>
            <w:r>
              <w:rPr>
                <w:rFonts w:hint="eastAsia" w:ascii="宋体" w:hAnsi="宋体" w:eastAsia="宋体" w:cs="宋体"/>
                <w:color w:val="auto"/>
                <w:highlight w:val="none"/>
                <w:lang w:val="en-US" w:eastAsia="zh-CN"/>
              </w:rPr>
              <w:t>1</w:t>
            </w:r>
            <w:r>
              <w:rPr>
                <w:rFonts w:hint="eastAsia" w:ascii="宋体" w:hAnsi="宋体" w:cs="宋体"/>
                <w:color w:val="auto"/>
                <w:highlight w:val="none"/>
                <w:lang w:val="en-US" w:eastAsia="zh-CN"/>
              </w:rPr>
              <w:t>0</w:t>
            </w:r>
            <w:r>
              <w:rPr>
                <w:rFonts w:hint="eastAsia" w:ascii="宋体" w:hAnsi="宋体" w:eastAsia="宋体" w:cs="宋体"/>
                <w:color w:val="auto"/>
                <w:highlight w:val="none"/>
              </w:rPr>
              <w:t>分），每有一项负偏离扣0.1分,本项扣完为止，投标人需详尽真实的提供投标产品的技术参数响应偏离表，且均需在技术响应偏离表内详尽真实的提供偏差情况，否则视为无响应或无效响应。</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三、采购清单中技术要求前标有“</w:t>
            </w:r>
            <w:r>
              <w:rPr>
                <w:rFonts w:hint="eastAsia" w:ascii="宋体" w:hAnsi="宋体" w:eastAsia="宋体" w:cs="宋体"/>
                <w:bCs/>
                <w:color w:val="auto"/>
                <w:sz w:val="22"/>
                <w:highlight w:val="none"/>
              </w:rPr>
              <w:t>☆</w:t>
            </w:r>
            <w:r>
              <w:rPr>
                <w:rFonts w:hint="eastAsia" w:ascii="宋体" w:hAnsi="宋体" w:eastAsia="宋体" w:cs="宋体"/>
                <w:color w:val="auto"/>
                <w:highlight w:val="none"/>
              </w:rPr>
              <w:t xml:space="preserve">”的为关键技术参数，投标人需提供产品功能性演示视频，评审小组根据投标人提供的产品功能性演示视频进行评分，演示视频时间不超过15分钟（共8条，功能演示须效果明显，每满足一项得0.5分，最高得4分，不满足的不得分）：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lang w:eastAsia="zh-CN"/>
              </w:rPr>
            </w:pPr>
            <w:r>
              <w:rPr>
                <w:rFonts w:hint="eastAsia" w:ascii="宋体" w:hAnsi="宋体" w:eastAsia="宋体" w:cs="宋体"/>
                <w:color w:val="auto"/>
                <w:highlight w:val="none"/>
              </w:rPr>
              <w:t>1、昆虫性诱智能测报系统具备以下功能：（1）可通过手机APP查看每小时、每日、每月、任意时间段数据；预测未来2个月诱虫量； （2）设置好诱芯后有30天倒计时提醒；可进行设备状态查看，设备控制；并具有死机自动重起纠错功能； （3）可通过手机APP设置各个终端的经纬度，点击经纬度可直接导航到该终端设备；（4）实时监测数据可对接到电脑端数据分析平台-“昆虫性诱智能测报系统的云端数据库平台”</w:t>
            </w:r>
            <w:r>
              <w:rPr>
                <w:rFonts w:hint="eastAsia" w:ascii="宋体" w:hAnsi="宋体" w:cs="宋体"/>
                <w:color w:val="auto"/>
                <w:highlight w:val="none"/>
                <w:lang w:eastAsia="zh-CN"/>
              </w:rPr>
              <w:t>；</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 xml:space="preserve"> 2、病虫害物联网数据分析系统升级具备以下功能： （1）按设备查询：根据各种物联网设备的数据种类、采集间隔、监测对象特点，针对不同物联网设备分别设置不同的查询、汇总条件和数据查询结果、展现方法，查询方法必须根据每种设备进行逐个查询，页面打开即可自动查询近期数据而无需手工选择查询条件； （2）按指标查询：按照虫害、病害、气象等各类指标来查询数据，查询时系统会自动将可采集该指标的设备筛选出来，查询结果可根据指标的数据特点进行有效呈现；（3）多指标专题：后台管理员分别对虫害、病害、墒情、灾情专题配置关联指标，使用者无需过多操作即可实现核心指标与因子指标的叠加关系分析。（4）多指标叠加分析：使用者可将任何物联网监测指标进行叠加分析，叠加时可自动根据指标属性设定统计周期，帮助使用者进行综合业务分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23" w:type="dxa"/>
            <w:vMerge w:val="restart"/>
            <w:shd w:val="clear" w:color="auto" w:fill="auto"/>
            <w:tcMar>
              <w:top w:w="0" w:type="dxa"/>
              <w:left w:w="0" w:type="dxa"/>
              <w:bottom w:w="0" w:type="dxa"/>
              <w:right w:w="0" w:type="dxa"/>
            </w:tcMar>
          </w:tcPr>
          <w:p>
            <w:pPr>
              <w:shd w:val="clear"/>
              <w:rPr>
                <w:rFonts w:hint="eastAsia" w:ascii="宋体" w:hAnsi="宋体" w:eastAsia="宋体" w:cs="宋体"/>
                <w:color w:val="auto"/>
                <w:highlight w:val="none"/>
              </w:rPr>
            </w:pPr>
          </w:p>
        </w:tc>
        <w:tc>
          <w:tcPr>
            <w:tcW w:w="1260" w:type="dxa"/>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节能、环保产品认证证书</w:t>
            </w:r>
          </w:p>
        </w:tc>
        <w:tc>
          <w:tcPr>
            <w:tcW w:w="918" w:type="dxa"/>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1.00分</w:t>
            </w:r>
          </w:p>
        </w:tc>
        <w:tc>
          <w:tcPr>
            <w:tcW w:w="5110" w:type="dxa"/>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shd w:val="clear"/>
              </w:rPr>
              <w:t>投标产品在财政部、生态环境部公布的“环境标志产品政府采购品目清单”内，且投标文件中提供国家市场监督管理局确定的列入“参与实施政府采购环境标志产品认证机构名录 ” 内的认证机构出具的、有效期内的该产品环境标志产品认证证书电子件的，每提供一个得 0.5分； 2、投标产品在财政部、发展改革委公布的“节能产品政府采购品目清单”内，且投标文件中提供国家市场监督管理局确定的列入“参与实施政府采购节能产品认证机构名录”内的认证机构出具的、有效期内的该产品的节能产品认证证书电子件的每提供一个得 0.5分。 注：1、在投标文件中提供证书原件电子件；2、如未提供或提供不全或提供不符合要求的均不得分；</w:t>
            </w:r>
            <w:r>
              <w:rPr>
                <w:rFonts w:hint="eastAsia" w:ascii="宋体" w:hAnsi="宋体" w:eastAsia="宋体" w:cs="宋体"/>
                <w:color w:val="auto"/>
                <w:highlight w:val="none"/>
                <w:shd w:val="clear" w:color="auto"/>
              </w:rPr>
              <w:t>对中标供应商的认证证书随中标（成交）结果公告同步予以公示。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trPr>
        <w:tc>
          <w:tcPr>
            <w:tcW w:w="1023" w:type="dxa"/>
            <w:vMerge w:val="continue"/>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p>
        </w:tc>
        <w:tc>
          <w:tcPr>
            <w:tcW w:w="1260" w:type="dxa"/>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企业业绩</w:t>
            </w:r>
          </w:p>
        </w:tc>
        <w:tc>
          <w:tcPr>
            <w:tcW w:w="918" w:type="dxa"/>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.00分</w:t>
            </w:r>
          </w:p>
        </w:tc>
        <w:tc>
          <w:tcPr>
            <w:tcW w:w="5110" w:type="dxa"/>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投标人自2021年1月1日以来(以合同签订时间为准)承担过类似业绩的，每提供一个得1分，最高得</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分。 注：1.投标文件中须同时提供中标（成交）通知书、合同原</w:t>
            </w:r>
            <w:r>
              <w:rPr>
                <w:rFonts w:hint="eastAsia" w:ascii="宋体" w:hAnsi="宋体" w:eastAsia="宋体" w:cs="宋体"/>
                <w:color w:val="auto"/>
                <w:highlight w:val="none"/>
                <w:shd w:val="clear"/>
              </w:rPr>
              <w:t>件扫描件，二者缺一不可。 2.业绩证明材料应能够明确反映投标人名称、项目内容、合同签订时间等主要信息，否则不得分。对中标供应商的业绩信息随中标（成交）结果公告同步予以公示。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8" w:hRule="atLeast"/>
        </w:trPr>
        <w:tc>
          <w:tcPr>
            <w:tcW w:w="1023" w:type="dxa"/>
            <w:vMerge w:val="restart"/>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jc w:val="center"/>
              <w:rPr>
                <w:rFonts w:hint="eastAsia" w:ascii="宋体" w:hAnsi="宋体" w:eastAsia="宋体" w:cs="宋体"/>
                <w:color w:val="auto"/>
                <w:highlight w:val="none"/>
              </w:rPr>
            </w:pPr>
            <w:r>
              <w:rPr>
                <w:rFonts w:hint="eastAsia" w:ascii="宋体" w:hAnsi="宋体" w:eastAsia="宋体" w:cs="宋体"/>
                <w:color w:val="auto"/>
                <w:highlight w:val="none"/>
              </w:rPr>
              <w:t>项目实施方案</w:t>
            </w:r>
          </w:p>
        </w:tc>
        <w:tc>
          <w:tcPr>
            <w:tcW w:w="1260" w:type="dxa"/>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项目实施</w:t>
            </w:r>
            <w:r>
              <w:rPr>
                <w:rFonts w:hint="eastAsia" w:ascii="宋体" w:hAnsi="宋体" w:eastAsia="宋体" w:cs="宋体"/>
                <w:color w:val="auto"/>
                <w:highlight w:val="none"/>
                <w:lang w:val="en-US" w:eastAsia="zh-CN"/>
              </w:rPr>
              <w:t>计划</w:t>
            </w:r>
            <w:r>
              <w:rPr>
                <w:rFonts w:hint="eastAsia" w:ascii="宋体" w:hAnsi="宋体" w:eastAsia="宋体" w:cs="宋体"/>
                <w:color w:val="auto"/>
                <w:highlight w:val="none"/>
              </w:rPr>
              <w:t>方案</w:t>
            </w:r>
          </w:p>
        </w:tc>
        <w:tc>
          <w:tcPr>
            <w:tcW w:w="918" w:type="dxa"/>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.00分</w:t>
            </w:r>
          </w:p>
        </w:tc>
        <w:tc>
          <w:tcPr>
            <w:tcW w:w="5110" w:type="dxa"/>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针对采购文件“第四</w:t>
            </w:r>
            <w:r>
              <w:rPr>
                <w:rFonts w:hint="eastAsia" w:ascii="宋体" w:hAnsi="宋体" w:eastAsia="宋体" w:cs="宋体"/>
                <w:color w:val="auto"/>
                <w:highlight w:val="none"/>
                <w:lang w:val="en-US" w:eastAsia="zh-CN"/>
              </w:rPr>
              <w:t>章-</w:t>
            </w:r>
            <w:r>
              <w:rPr>
                <w:rFonts w:hint="eastAsia" w:ascii="宋体" w:hAnsi="宋体" w:eastAsia="宋体" w:cs="宋体"/>
                <w:color w:val="auto"/>
                <w:highlight w:val="none"/>
              </w:rPr>
              <w:t>采购需求</w:t>
            </w:r>
            <w:r>
              <w:rPr>
                <w:rFonts w:hint="eastAsia" w:ascii="宋体" w:hAnsi="宋体" w:eastAsia="宋体" w:cs="宋体"/>
                <w:color w:val="auto"/>
                <w:highlight w:val="none"/>
                <w:lang w:val="en-US" w:eastAsia="zh-CN"/>
              </w:rPr>
              <w:t>-第五-1、</w:t>
            </w:r>
            <w:r>
              <w:rPr>
                <w:rFonts w:hint="eastAsia" w:ascii="宋体" w:hAnsi="宋体" w:eastAsia="宋体" w:cs="宋体"/>
                <w:color w:val="auto"/>
                <w:highlight w:val="none"/>
              </w:rPr>
              <w:t>项目实施</w:t>
            </w:r>
            <w:r>
              <w:rPr>
                <w:rFonts w:hint="eastAsia" w:ascii="宋体" w:hAnsi="宋体" w:eastAsia="宋体" w:cs="宋体"/>
                <w:color w:val="auto"/>
                <w:highlight w:val="none"/>
                <w:lang w:val="en-US" w:eastAsia="zh-CN"/>
              </w:rPr>
              <w:t>计划</w:t>
            </w:r>
            <w:r>
              <w:rPr>
                <w:rFonts w:hint="eastAsia" w:ascii="宋体" w:hAnsi="宋体" w:eastAsia="宋体" w:cs="宋体"/>
                <w:color w:val="auto"/>
                <w:highlight w:val="none"/>
              </w:rPr>
              <w:t>方案”</w:t>
            </w:r>
            <w:r>
              <w:rPr>
                <w:rFonts w:hint="eastAsia" w:ascii="宋体" w:hAnsi="宋体" w:cs="宋体"/>
                <w:color w:val="auto"/>
                <w:highlight w:val="none"/>
                <w:lang w:val="en-US" w:eastAsia="zh-CN"/>
              </w:rPr>
              <w:t>:</w:t>
            </w:r>
            <w:r>
              <w:rPr>
                <w:rFonts w:hint="eastAsia" w:ascii="宋体" w:hAnsi="宋体" w:eastAsia="宋体" w:cs="宋体"/>
                <w:color w:val="auto"/>
                <w:highlight w:val="none"/>
              </w:rPr>
              <w:t>①内容完整详实，能够针对采购需求内容要求而细化制定的，得</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分；②内容完整，针对采购需求内容要求而制定较齐全，内容表述有一定的偏差，但不影响实质性意思表达，能够满足采购需求的，得3 分；③内容虽有但内容笼统，针对采购需求内容要求而制定未细致，但承诺经过优化可实现采购需求，得1分；没有内容或其他情况不得分。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rPr>
        <w:tc>
          <w:tcPr>
            <w:tcW w:w="1023" w:type="dxa"/>
            <w:vMerge w:val="continue"/>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jc w:val="center"/>
              <w:rPr>
                <w:rFonts w:hint="eastAsia" w:ascii="宋体" w:hAnsi="宋体" w:eastAsia="宋体" w:cs="宋体"/>
                <w:color w:val="auto"/>
                <w:highlight w:val="none"/>
              </w:rPr>
            </w:pPr>
          </w:p>
        </w:tc>
        <w:tc>
          <w:tcPr>
            <w:tcW w:w="1260" w:type="dxa"/>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物联网数据分析</w:t>
            </w:r>
            <w:r>
              <w:rPr>
                <w:rFonts w:hint="eastAsia" w:ascii="宋体" w:hAnsi="宋体" w:eastAsia="宋体" w:cs="宋体"/>
                <w:color w:val="auto"/>
                <w:highlight w:val="none"/>
                <w:lang w:eastAsia="zh-CN"/>
              </w:rPr>
              <w:t>平台升级建设方案</w:t>
            </w:r>
          </w:p>
        </w:tc>
        <w:tc>
          <w:tcPr>
            <w:tcW w:w="918" w:type="dxa"/>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7.00分</w:t>
            </w:r>
          </w:p>
        </w:tc>
        <w:tc>
          <w:tcPr>
            <w:tcW w:w="5110" w:type="dxa"/>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针对采购文件“第四</w:t>
            </w:r>
            <w:r>
              <w:rPr>
                <w:rFonts w:hint="eastAsia" w:ascii="宋体" w:hAnsi="宋体" w:eastAsia="宋体" w:cs="宋体"/>
                <w:color w:val="auto"/>
                <w:highlight w:val="none"/>
                <w:lang w:val="en-US" w:eastAsia="zh-CN"/>
              </w:rPr>
              <w:t>章-</w:t>
            </w:r>
            <w:r>
              <w:rPr>
                <w:rFonts w:hint="eastAsia" w:ascii="宋体" w:hAnsi="宋体" w:eastAsia="宋体" w:cs="宋体"/>
                <w:color w:val="auto"/>
                <w:highlight w:val="none"/>
              </w:rPr>
              <w:t>采购需求</w:t>
            </w:r>
            <w:r>
              <w:rPr>
                <w:rFonts w:hint="eastAsia" w:ascii="宋体" w:hAnsi="宋体" w:eastAsia="宋体" w:cs="宋体"/>
                <w:color w:val="auto"/>
                <w:highlight w:val="none"/>
                <w:lang w:val="en-US" w:eastAsia="zh-CN"/>
              </w:rPr>
              <w:t>-第五-2、</w:t>
            </w:r>
            <w:r>
              <w:rPr>
                <w:rFonts w:hint="eastAsia" w:ascii="宋体" w:hAnsi="宋体" w:eastAsia="宋体" w:cs="宋体"/>
                <w:color w:val="auto"/>
                <w:highlight w:val="none"/>
              </w:rPr>
              <w:t>物联网数据分析</w:t>
            </w:r>
            <w:r>
              <w:rPr>
                <w:rFonts w:hint="eastAsia" w:ascii="宋体" w:hAnsi="宋体" w:eastAsia="宋体" w:cs="宋体"/>
                <w:color w:val="auto"/>
                <w:highlight w:val="none"/>
                <w:lang w:eastAsia="zh-CN"/>
              </w:rPr>
              <w:t>平台升级建设方案</w:t>
            </w:r>
            <w:r>
              <w:rPr>
                <w:rFonts w:hint="eastAsia" w:ascii="宋体" w:hAnsi="宋体" w:eastAsia="宋体" w:cs="宋体"/>
                <w:color w:val="auto"/>
                <w:highlight w:val="none"/>
              </w:rPr>
              <w:t>”</w:t>
            </w:r>
            <w:r>
              <w:rPr>
                <w:rFonts w:hint="eastAsia" w:ascii="宋体" w:hAnsi="宋体" w:cs="宋体"/>
                <w:color w:val="auto"/>
                <w:highlight w:val="none"/>
                <w:lang w:val="en-US" w:eastAsia="zh-CN"/>
              </w:rPr>
              <w:t>:</w:t>
            </w:r>
            <w:r>
              <w:rPr>
                <w:rFonts w:hint="eastAsia" w:ascii="宋体" w:hAnsi="宋体" w:eastAsia="宋体" w:cs="宋体"/>
                <w:color w:val="auto"/>
                <w:highlight w:val="none"/>
              </w:rPr>
              <w:t>①内容全面、组织严谨、关键点把控到位的，且优于采购需求的，得</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分;②内容较完整详实、思路清晰、可行性较好能够满足采购基本需求的，得</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分；③内容有一定偏差，针对采购需求内容要求制定未细致，但承诺经过优化能够满足采购需求的，得1分，没有内容的不得分。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23" w:type="dxa"/>
            <w:vMerge w:val="continue"/>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jc w:val="center"/>
              <w:rPr>
                <w:rFonts w:hint="eastAsia" w:ascii="宋体" w:hAnsi="宋体" w:eastAsia="宋体" w:cs="宋体"/>
                <w:color w:val="auto"/>
                <w:highlight w:val="none"/>
              </w:rPr>
            </w:pPr>
          </w:p>
        </w:tc>
        <w:tc>
          <w:tcPr>
            <w:tcW w:w="1260" w:type="dxa"/>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售后服务</w:t>
            </w:r>
          </w:p>
        </w:tc>
        <w:tc>
          <w:tcPr>
            <w:tcW w:w="918" w:type="dxa"/>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.00分</w:t>
            </w:r>
          </w:p>
        </w:tc>
        <w:tc>
          <w:tcPr>
            <w:tcW w:w="5110" w:type="dxa"/>
            <w:shd w:val="clear" w:color="auto" w:fill="auto"/>
            <w:tcMar>
              <w:top w:w="0" w:type="dxa"/>
              <w:left w:w="0" w:type="dxa"/>
              <w:bottom w:w="0" w:type="dxa"/>
              <w:right w:w="0" w:type="dxa"/>
            </w:tcMar>
            <w:vAlign w:val="center"/>
          </w:tcPr>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highlight w:val="none"/>
              </w:rPr>
              <w:t>投针对采购文件“第四</w:t>
            </w:r>
            <w:r>
              <w:rPr>
                <w:rFonts w:hint="eastAsia" w:ascii="宋体" w:hAnsi="宋体" w:eastAsia="宋体" w:cs="宋体"/>
                <w:color w:val="auto"/>
                <w:highlight w:val="none"/>
                <w:lang w:val="en-US" w:eastAsia="zh-CN"/>
              </w:rPr>
              <w:t>章-</w:t>
            </w:r>
            <w:r>
              <w:rPr>
                <w:rFonts w:hint="eastAsia" w:ascii="宋体" w:hAnsi="宋体" w:eastAsia="宋体" w:cs="宋体"/>
                <w:color w:val="auto"/>
                <w:highlight w:val="none"/>
              </w:rPr>
              <w:t>采购需求</w:t>
            </w:r>
            <w:r>
              <w:rPr>
                <w:rFonts w:hint="eastAsia" w:ascii="宋体" w:hAnsi="宋体" w:eastAsia="宋体" w:cs="宋体"/>
                <w:color w:val="auto"/>
                <w:highlight w:val="none"/>
                <w:lang w:val="en-US" w:eastAsia="zh-CN"/>
              </w:rPr>
              <w:t>-第五-</w:t>
            </w:r>
            <w:r>
              <w:rPr>
                <w:rFonts w:hint="eastAsia" w:ascii="宋体" w:hAnsi="宋体" w:cs="宋体"/>
                <w:color w:val="auto"/>
                <w:highlight w:val="none"/>
                <w:lang w:val="en-US" w:eastAsia="zh-CN"/>
              </w:rPr>
              <w:t>3</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售后服务”</w:t>
            </w:r>
            <w:r>
              <w:rPr>
                <w:rFonts w:hint="eastAsia" w:ascii="宋体" w:hAnsi="宋体" w:cs="宋体"/>
                <w:color w:val="auto"/>
                <w:highlight w:val="none"/>
                <w:lang w:val="en-US" w:eastAsia="zh-CN"/>
              </w:rPr>
              <w:t>:</w:t>
            </w:r>
            <w:r>
              <w:rPr>
                <w:rFonts w:hint="eastAsia" w:ascii="宋体" w:hAnsi="宋体" w:eastAsia="宋体" w:cs="宋体"/>
                <w:color w:val="auto"/>
                <w:highlight w:val="none"/>
              </w:rPr>
              <w:t>①方案完整、思路清晰明了、合理、可实施性强且优于采购需求，得</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分；②方案略笼统、响应滞后、服务体系虽完整，但售后人员配置不全且缺乏有效保障业务稳定运行的措施，满足采购需求要求的，得3分。③方案粗略、可操作性不强，承诺通过后期优化能够实现采购需求要求的的得 1 分；没有内容或其他情况不得分。</w:t>
            </w:r>
          </w:p>
        </w:tc>
      </w:tr>
    </w:tbl>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0"/>
          <w:highlight w:val="none"/>
        </w:rPr>
        <w:t> </w:t>
      </w:r>
    </w:p>
    <w:p>
      <w:pPr>
        <w:pBdr>
          <w:top w:val="none" w:color="000000" w:sz="0" w:space="0"/>
          <w:left w:val="none" w:color="000000" w:sz="0" w:space="0"/>
          <w:bottom w:val="none" w:color="000000" w:sz="0" w:space="0"/>
          <w:right w:val="none" w:color="000000" w:sz="0" w:space="0"/>
        </w:pBdr>
        <w:shd w:val="clear"/>
        <w:spacing w:line="400" w:lineRule="atLeast"/>
        <w:rPr>
          <w:rFonts w:hint="eastAsia" w:ascii="宋体" w:hAnsi="宋体" w:eastAsia="宋体" w:cs="宋体"/>
          <w:color w:val="auto"/>
          <w:highlight w:val="none"/>
        </w:rPr>
      </w:pPr>
      <w:r>
        <w:rPr>
          <w:rFonts w:hint="eastAsia" w:ascii="宋体" w:hAnsi="宋体" w:eastAsia="宋体" w:cs="宋体"/>
          <w:b/>
          <w:color w:val="auto"/>
          <w:sz w:val="24"/>
          <w:highlight w:val="none"/>
        </w:rPr>
        <w:t>（三）评标结果。</w:t>
      </w:r>
      <w:r>
        <w:rPr>
          <w:rFonts w:hint="eastAsia" w:ascii="宋体" w:hAnsi="宋体" w:eastAsia="宋体" w:cs="宋体"/>
          <w:color w:val="auto"/>
          <w:sz w:val="24"/>
          <w:highlight w:val="none"/>
        </w:rPr>
        <w:t>评标委员会按照本办法规定推荐中标候选人，并形成评标报告。</w:t>
      </w:r>
    </w:p>
    <w:p>
      <w:pPr>
        <w:pBdr>
          <w:top w:val="none" w:color="000000" w:sz="0" w:space="0"/>
          <w:left w:val="none" w:color="000000" w:sz="0" w:space="0"/>
          <w:bottom w:val="none" w:color="000000" w:sz="0" w:space="0"/>
          <w:right w:val="none" w:color="000000" w:sz="0" w:space="0"/>
        </w:pBdr>
        <w:shd w:val="clear"/>
        <w:spacing w:line="400" w:lineRule="atLeast"/>
        <w:rPr>
          <w:rFonts w:hint="eastAsia" w:ascii="宋体" w:hAnsi="宋体" w:eastAsia="宋体" w:cs="宋体"/>
          <w:color w:val="auto"/>
          <w:highlight w:val="none"/>
        </w:rPr>
      </w:pPr>
      <w:r>
        <w:rPr>
          <w:rFonts w:hint="eastAsia" w:ascii="宋体" w:hAnsi="宋体" w:eastAsia="宋体" w:cs="宋体"/>
          <w:b/>
          <w:color w:val="auto"/>
          <w:sz w:val="24"/>
          <w:highlight w:val="none"/>
        </w:rPr>
        <w:t>（四）政府采购政策功能落实</w:t>
      </w:r>
    </w:p>
    <w:p>
      <w:pPr>
        <w:pBdr>
          <w:top w:val="none" w:color="000000" w:sz="0" w:space="0"/>
          <w:left w:val="none" w:color="000000" w:sz="0" w:space="0"/>
          <w:bottom w:val="none" w:color="000000" w:sz="0" w:space="0"/>
          <w:right w:val="none" w:color="000000" w:sz="0" w:space="0"/>
        </w:pBdr>
        <w:shd w:val="clear"/>
        <w:spacing w:line="499" w:lineRule="atLeast"/>
        <w:rPr>
          <w:rFonts w:hint="eastAsia" w:ascii="宋体" w:hAnsi="宋体" w:eastAsia="宋体" w:cs="宋体"/>
          <w:color w:val="auto"/>
          <w:highlight w:val="none"/>
        </w:rPr>
      </w:pPr>
      <w:r>
        <w:rPr>
          <w:rFonts w:hint="eastAsia" w:ascii="宋体" w:hAnsi="宋体" w:eastAsia="宋体" w:cs="宋体"/>
          <w:b/>
          <w:color w:val="auto"/>
          <w:sz w:val="24"/>
          <w:highlight w:val="none"/>
        </w:rPr>
        <w:t>本项目落实的政府采购政策对应以下序号为</w:t>
      </w:r>
      <w:r>
        <w:rPr>
          <w:rFonts w:hint="eastAsia" w:ascii="宋体" w:hAnsi="宋体" w:eastAsia="宋体" w:cs="宋体"/>
          <w:b/>
          <w:color w:val="auto"/>
          <w:sz w:val="24"/>
          <w:highlight w:val="none"/>
          <w:u w:val="single"/>
        </w:rPr>
        <w:t> 1  </w:t>
      </w:r>
    </w:p>
    <w:p>
      <w:pPr>
        <w:numPr>
          <w:ilvl w:val="0"/>
          <w:numId w:val="12"/>
        </w:numPr>
        <w:pBdr>
          <w:top w:val="none" w:color="000000" w:sz="0" w:space="0"/>
          <w:left w:val="none" w:color="000000" w:sz="0" w:space="0"/>
          <w:bottom w:val="none" w:color="000000" w:sz="0" w:space="0"/>
          <w:right w:val="none" w:color="000000" w:sz="0" w:space="0"/>
        </w:pBdr>
        <w:shd w:val="clear"/>
        <w:spacing w:line="460" w:lineRule="atLeast"/>
        <w:rPr>
          <w:rFonts w:hint="eastAsia" w:ascii="宋体" w:hAnsi="宋体" w:eastAsia="宋体" w:cs="宋体"/>
          <w:color w:val="auto"/>
          <w:highlight w:val="none"/>
        </w:rPr>
      </w:pPr>
      <w:r>
        <w:rPr>
          <w:rFonts w:hint="eastAsia" w:ascii="宋体" w:hAnsi="宋体" w:eastAsia="宋体" w:cs="宋体"/>
          <w:color w:val="auto"/>
          <w:sz w:val="24"/>
          <w:highlight w:val="none"/>
        </w:rPr>
        <w:t>采购本国货物、工程和服务</w:t>
      </w:r>
    </w:p>
    <w:p>
      <w:pPr>
        <w:numPr>
          <w:ilvl w:val="0"/>
          <w:numId w:val="12"/>
        </w:numPr>
        <w:pBdr>
          <w:top w:val="none" w:color="000000" w:sz="0" w:space="0"/>
          <w:left w:val="none" w:color="000000" w:sz="0" w:space="0"/>
          <w:bottom w:val="none" w:color="000000" w:sz="0" w:space="0"/>
          <w:right w:val="none" w:color="000000" w:sz="0" w:space="0"/>
        </w:pBdr>
        <w:shd w:val="clear"/>
        <w:spacing w:line="460" w:lineRule="atLeast"/>
        <w:rPr>
          <w:rFonts w:hint="eastAsia" w:ascii="宋体" w:hAnsi="宋体" w:eastAsia="宋体" w:cs="宋体"/>
          <w:color w:val="auto"/>
          <w:highlight w:val="none"/>
        </w:rPr>
      </w:pPr>
      <w:r>
        <w:rPr>
          <w:rFonts w:hint="eastAsia" w:ascii="宋体" w:hAnsi="宋体" w:eastAsia="宋体" w:cs="宋体"/>
          <w:color w:val="auto"/>
          <w:sz w:val="24"/>
          <w:highlight w:val="none"/>
        </w:rPr>
        <w:t>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p>
    <w:p>
      <w:pPr>
        <w:pBdr>
          <w:top w:val="none" w:color="000000" w:sz="0" w:space="0"/>
          <w:left w:val="none" w:color="000000" w:sz="0" w:space="0"/>
          <w:bottom w:val="none" w:color="000000" w:sz="0" w:space="0"/>
          <w:right w:val="none" w:color="000000" w:sz="0" w:space="0"/>
        </w:pBdr>
        <w:shd w:val="clear"/>
        <w:spacing w:line="460"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2、中小企业政策</w:t>
      </w:r>
    </w:p>
    <w:p>
      <w:pPr>
        <w:pBdr>
          <w:top w:val="none" w:color="000000" w:sz="0" w:space="0"/>
          <w:left w:val="none" w:color="000000" w:sz="0" w:space="0"/>
          <w:bottom w:val="none" w:color="000000" w:sz="0" w:space="0"/>
          <w:right w:val="none" w:color="000000" w:sz="0" w:space="0"/>
        </w:pBdr>
        <w:shd w:val="clear"/>
        <w:spacing w:line="460"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本项目按以下第</w:t>
      </w:r>
      <w:r>
        <w:rPr>
          <w:rFonts w:hint="eastAsia" w:ascii="宋体" w:hAnsi="宋体" w:cs="宋体"/>
          <w:b w:val="0"/>
          <w:bCs/>
          <w:color w:val="auto"/>
          <w:sz w:val="24"/>
          <w:highlight w:val="none"/>
          <w:u w:val="single"/>
          <w:lang w:eastAsia="zh-CN"/>
        </w:rPr>
        <w:t>（</w:t>
      </w:r>
      <w:r>
        <w:rPr>
          <w:rFonts w:hint="eastAsia" w:ascii="宋体" w:hAnsi="宋体" w:cs="宋体"/>
          <w:b w:val="0"/>
          <w:bCs/>
          <w:color w:val="auto"/>
          <w:sz w:val="24"/>
          <w:highlight w:val="none"/>
          <w:u w:val="single"/>
          <w:lang w:val="en-US" w:eastAsia="zh-CN"/>
        </w:rPr>
        <w:t>1）</w:t>
      </w:r>
      <w:r>
        <w:rPr>
          <w:rFonts w:hint="eastAsia" w:ascii="宋体" w:hAnsi="宋体" w:eastAsia="宋体" w:cs="宋体"/>
          <w:color w:val="auto"/>
          <w:sz w:val="24"/>
          <w:highlight w:val="none"/>
        </w:rPr>
        <w:t>种政策确定本项目落实的中小企业政策：</w:t>
      </w:r>
    </w:p>
    <w:p>
      <w:pPr>
        <w:pBdr>
          <w:top w:val="none" w:color="000000" w:sz="0" w:space="0"/>
          <w:left w:val="none" w:color="000000" w:sz="0" w:space="0"/>
          <w:bottom w:val="none" w:color="000000" w:sz="0" w:space="0"/>
          <w:right w:val="none" w:color="000000" w:sz="0" w:space="0"/>
        </w:pBdr>
        <w:shd w:val="clear"/>
        <w:spacing w:line="460"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（1）本项目专门面向中小企业（含监狱企业、残疾人福利企业）采购。</w:t>
      </w:r>
    </w:p>
    <w:p>
      <w:pPr>
        <w:pBdr>
          <w:top w:val="none" w:color="000000" w:sz="0" w:space="0"/>
          <w:left w:val="none" w:color="000000" w:sz="0" w:space="0"/>
          <w:bottom w:val="none" w:color="000000" w:sz="0" w:space="0"/>
          <w:right w:val="none" w:color="000000" w:sz="0" w:space="0"/>
        </w:pBdr>
        <w:shd w:val="clear"/>
        <w:spacing w:line="460"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（2）投标人提供的货物符合下列情形的，对小微企业报价给予</w:t>
      </w:r>
      <w:r>
        <w:rPr>
          <w:rFonts w:hint="eastAsia" w:ascii="宋体" w:hAnsi="宋体" w:eastAsia="宋体" w:cs="宋体"/>
          <w:color w:val="auto"/>
          <w:sz w:val="24"/>
          <w:highlight w:val="none"/>
          <w:u w:val="single"/>
        </w:rPr>
        <w:t> 10 %</w:t>
      </w:r>
      <w:r>
        <w:rPr>
          <w:rFonts w:hint="eastAsia" w:ascii="宋体" w:hAnsi="宋体" w:eastAsia="宋体" w:cs="宋体"/>
          <w:color w:val="auto"/>
          <w:sz w:val="24"/>
          <w:highlight w:val="none"/>
        </w:rPr>
        <w:t>的扣除，用扣除后的价格参加评审。</w:t>
      </w:r>
    </w:p>
    <w:p>
      <w:pPr>
        <w:pBdr>
          <w:top w:val="none" w:color="000000" w:sz="0" w:space="0"/>
          <w:left w:val="none" w:color="000000" w:sz="0" w:space="0"/>
          <w:bottom w:val="none" w:color="000000" w:sz="0" w:space="0"/>
          <w:right w:val="none" w:color="000000" w:sz="0" w:space="0"/>
        </w:pBdr>
        <w:shd w:val="clear"/>
        <w:spacing w:line="43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在货物采购项目中，货物由中小企业制造，即货物由中小企业生产且使用该中小企业商号或者注册商标。</w:t>
      </w:r>
    </w:p>
    <w:p>
      <w:pPr>
        <w:pBdr>
          <w:top w:val="none" w:color="000000" w:sz="0" w:space="0"/>
          <w:left w:val="none" w:color="000000" w:sz="0" w:space="0"/>
          <w:bottom w:val="none" w:color="000000" w:sz="0" w:space="0"/>
          <w:right w:val="none" w:color="000000" w:sz="0" w:space="0"/>
        </w:pBdr>
        <w:shd w:val="clear"/>
        <w:spacing w:line="460"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注：①参加投标的中小企业，应当按照《政府采购促进中小企业发展管理办法》（财库〔2020〕46号）规定，出具《中小企业声明函》，中小企业划型依据《关于印发中小企业划型标准规定的通知》（工信部联企业〔2011〕300 号）。</w:t>
      </w:r>
    </w:p>
    <w:p>
      <w:pPr>
        <w:pBdr>
          <w:top w:val="none" w:color="000000" w:sz="0" w:space="0"/>
          <w:left w:val="none" w:color="000000" w:sz="0" w:space="0"/>
          <w:bottom w:val="none" w:color="000000" w:sz="0" w:space="0"/>
          <w:right w:val="none" w:color="000000" w:sz="0" w:space="0"/>
        </w:pBdr>
        <w:shd w:val="clear"/>
        <w:spacing w:line="460"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pPr>
        <w:pBdr>
          <w:top w:val="none" w:color="000000" w:sz="0" w:space="0"/>
          <w:left w:val="none" w:color="000000" w:sz="0" w:space="0"/>
          <w:bottom w:val="none" w:color="000000" w:sz="0" w:space="0"/>
          <w:right w:val="none" w:color="000000" w:sz="0" w:space="0"/>
        </w:pBdr>
        <w:shd w:val="clear"/>
        <w:spacing w:line="460"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pPr>
        <w:pBdr>
          <w:top w:val="none" w:color="000000" w:sz="0" w:space="0"/>
          <w:left w:val="none" w:color="000000" w:sz="0" w:space="0"/>
          <w:bottom w:val="none" w:color="000000" w:sz="0" w:space="0"/>
          <w:right w:val="none" w:color="000000" w:sz="0" w:space="0"/>
        </w:pBdr>
        <w:shd w:val="clear"/>
        <w:spacing w:line="460"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3、政府采购节能产品、环境标志产品</w:t>
      </w:r>
    </w:p>
    <w:p>
      <w:pPr>
        <w:pBdr>
          <w:top w:val="none" w:color="000000" w:sz="0" w:space="0"/>
          <w:left w:val="none" w:color="000000" w:sz="0" w:space="0"/>
          <w:bottom w:val="none" w:color="000000" w:sz="0" w:space="0"/>
          <w:right w:val="none" w:color="000000" w:sz="0" w:space="0"/>
        </w:pBdr>
        <w:shd w:val="clear"/>
        <w:spacing w:line="460"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pPr>
        <w:pBdr>
          <w:top w:val="none" w:color="000000" w:sz="0" w:space="0"/>
          <w:left w:val="none" w:color="000000" w:sz="0" w:space="0"/>
          <w:bottom w:val="none" w:color="000000" w:sz="0" w:space="0"/>
          <w:right w:val="none" w:color="000000" w:sz="0" w:space="0"/>
        </w:pBdr>
        <w:shd w:val="clear"/>
        <w:spacing w:line="460"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（2）采购人拟采购的产品属于政府强制采购的节能产品品目清单范围的，投标人须提供国家确定的认证机构出具的、处于有效期之内的节能产品认证证书的，否则无效标处理。</w:t>
      </w:r>
    </w:p>
    <w:p>
      <w:pPr>
        <w:pBdr>
          <w:top w:val="none" w:color="000000" w:sz="0" w:space="0"/>
          <w:left w:val="none" w:color="000000" w:sz="0" w:space="0"/>
          <w:bottom w:val="none" w:color="000000" w:sz="0" w:space="0"/>
          <w:right w:val="none" w:color="000000" w:sz="0" w:space="0"/>
        </w:pBdr>
        <w:shd w:val="clear"/>
        <w:spacing w:line="460"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（3）采购人拟采购的产品属于优先采购的节能环保品目清单范围的，按以下条件优先采购：</w:t>
      </w:r>
    </w:p>
    <w:p>
      <w:pPr>
        <w:pBdr>
          <w:top w:val="none" w:color="000000" w:sz="0" w:space="0"/>
          <w:left w:val="none" w:color="000000" w:sz="0" w:space="0"/>
          <w:bottom w:val="none" w:color="000000" w:sz="0" w:space="0"/>
          <w:right w:val="none" w:color="000000" w:sz="0" w:space="0"/>
        </w:pBdr>
        <w:shd w:val="clear"/>
        <w:spacing w:line="460"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采用综合评分法的项目，对提供有效节能环保证书的投标人加分。</w:t>
      </w:r>
    </w:p>
    <w:p>
      <w:pPr>
        <w:pBdr>
          <w:top w:val="none" w:color="000000" w:sz="0" w:space="0"/>
          <w:left w:val="none" w:color="000000" w:sz="0" w:space="0"/>
          <w:bottom w:val="none" w:color="000000" w:sz="0" w:space="0"/>
          <w:right w:val="none" w:color="000000" w:sz="0" w:space="0"/>
        </w:pBdr>
        <w:shd w:val="clear"/>
        <w:spacing w:line="460"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采用最低评标价法的项目，同等条件下优先推荐提供有效节能环保证书多的投标人为中标人。</w:t>
      </w:r>
    </w:p>
    <w:p>
      <w:pPr>
        <w:pBdr>
          <w:top w:val="none" w:color="000000" w:sz="0" w:space="0"/>
          <w:left w:val="none" w:color="000000" w:sz="0" w:space="0"/>
          <w:bottom w:val="none" w:color="000000" w:sz="0" w:space="0"/>
          <w:right w:val="none" w:color="000000" w:sz="0" w:space="0"/>
        </w:pBdr>
        <w:shd w:val="clear"/>
        <w:spacing w:line="460"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4、商品包装、快递包装政府采购需求标准（试行）</w:t>
      </w:r>
    </w:p>
    <w:p>
      <w:pPr>
        <w:pBdr>
          <w:top w:val="none" w:color="000000" w:sz="0" w:space="0"/>
          <w:left w:val="none" w:color="000000" w:sz="0" w:space="0"/>
          <w:bottom w:val="none" w:color="000000" w:sz="0" w:space="0"/>
          <w:right w:val="none" w:color="000000" w:sz="0" w:space="0"/>
        </w:pBdr>
        <w:shd w:val="clear"/>
        <w:spacing w:line="460"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为助力打好污染防治攻坚战，推广使用绿色包装，根据财政部印发的《商品包装政府采购需求标准（试行）》、《快递包装政府采购需求标准（试行）》，如本项目涉及商品包装和快递包装的，具体需求详见第四章采购需求。</w:t>
      </w:r>
    </w:p>
    <w:p>
      <w:pPr>
        <w:pBdr>
          <w:top w:val="none" w:color="000000" w:sz="0" w:space="0"/>
          <w:left w:val="none" w:color="000000" w:sz="0" w:space="0"/>
          <w:bottom w:val="none" w:color="000000" w:sz="0" w:space="0"/>
          <w:right w:val="none" w:color="000000" w:sz="0" w:space="0"/>
        </w:pBdr>
        <w:shd w:val="clear"/>
        <w:spacing w:line="460"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5、绿色数据中心政府采购需求标准（试行）</w:t>
      </w:r>
    </w:p>
    <w:p>
      <w:pPr>
        <w:pBdr>
          <w:top w:val="none" w:color="000000" w:sz="0" w:space="0"/>
          <w:left w:val="none" w:color="000000" w:sz="0" w:space="0"/>
          <w:bottom w:val="none" w:color="000000" w:sz="0" w:space="0"/>
          <w:right w:val="none" w:color="000000" w:sz="0" w:space="0"/>
        </w:pBdr>
        <w:shd w:val="clear"/>
        <w:spacing w:line="460"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为加快数据中心绿色转型，根据财政部 生态环境部 工业和信息化部关于印发《绿色数据中心政府采购需求标准（试行）》的通知），本项目如涉及绿色数据中心，具体需求详见第四章采购需求。</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2"/>
          <w:highlight w:val="none"/>
        </w:rPr>
        <w:t>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2"/>
          <w:highlight w:val="none"/>
        </w:rPr>
        <w:t> </w:t>
      </w:r>
    </w:p>
    <w:p>
      <w:pPr>
        <w:pBdr>
          <w:top w:val="none" w:color="000000" w:sz="0" w:space="0"/>
          <w:left w:val="none" w:color="000000" w:sz="0" w:space="0"/>
          <w:bottom w:val="none" w:color="000000" w:sz="0" w:space="0"/>
          <w:right w:val="none" w:color="000000" w:sz="0" w:space="0"/>
        </w:pBdr>
        <w:shd w:val="clear"/>
        <w:spacing w:before="240" w:after="240"/>
        <w:rPr>
          <w:rFonts w:hint="eastAsia" w:ascii="宋体" w:hAnsi="宋体" w:eastAsia="宋体" w:cs="宋体"/>
          <w:color w:val="auto"/>
          <w:highlight w:val="none"/>
        </w:rPr>
      </w:pPr>
      <w:r>
        <w:rPr>
          <w:rFonts w:hint="eastAsia" w:ascii="宋体" w:hAnsi="宋体" w:eastAsia="宋体" w:cs="宋体"/>
          <w:color w:val="auto"/>
          <w:sz w:val="20"/>
          <w:highlight w:val="none"/>
        </w:rPr>
        <w:t> </w:t>
      </w:r>
    </w:p>
    <w:p>
      <w:pPr>
        <w:pBdr>
          <w:top w:val="none" w:color="000000" w:sz="0" w:space="0"/>
          <w:left w:val="none" w:color="000000" w:sz="0" w:space="0"/>
          <w:bottom w:val="none" w:color="000000" w:sz="0" w:space="0"/>
          <w:right w:val="none" w:color="000000" w:sz="0" w:space="0"/>
        </w:pBdr>
        <w:shd w:val="clear"/>
        <w:spacing w:before="240" w:after="240"/>
        <w:rPr>
          <w:rFonts w:hint="eastAsia" w:ascii="宋体" w:hAnsi="宋体" w:eastAsia="宋体" w:cs="宋体"/>
          <w:color w:val="auto"/>
          <w:highlight w:val="none"/>
        </w:rPr>
      </w:pPr>
      <w:r>
        <w:rPr>
          <w:rFonts w:hint="eastAsia" w:ascii="宋体" w:hAnsi="宋体" w:eastAsia="宋体" w:cs="宋体"/>
          <w:color w:val="auto"/>
          <w:sz w:val="32"/>
          <w:highlight w:val="none"/>
        </w:rPr>
        <w:t> </w:t>
      </w:r>
    </w:p>
    <w:p>
      <w:pPr>
        <w:pBdr>
          <w:top w:val="none" w:color="000000" w:sz="0" w:space="0"/>
          <w:left w:val="none" w:color="000000" w:sz="0" w:space="0"/>
          <w:bottom w:val="none" w:color="000000" w:sz="0" w:space="0"/>
          <w:right w:val="none" w:color="000000" w:sz="0" w:space="0"/>
        </w:pBdr>
        <w:shd w:val="clear"/>
        <w:spacing w:before="240" w:after="240"/>
        <w:rPr>
          <w:rFonts w:hint="eastAsia" w:ascii="宋体" w:hAnsi="宋体" w:eastAsia="宋体" w:cs="宋体"/>
          <w:color w:val="auto"/>
          <w:highlight w:val="none"/>
        </w:rPr>
      </w:pPr>
      <w:r>
        <w:rPr>
          <w:rFonts w:hint="eastAsia" w:ascii="宋体" w:hAnsi="宋体" w:eastAsia="宋体" w:cs="宋体"/>
          <w:color w:val="auto"/>
          <w:sz w:val="32"/>
          <w:highlight w:val="none"/>
        </w:rPr>
        <w:t> </w:t>
      </w:r>
    </w:p>
    <w:p>
      <w:pPr>
        <w:pBdr>
          <w:top w:val="none" w:color="000000" w:sz="0" w:space="0"/>
          <w:left w:val="none" w:color="000000" w:sz="0" w:space="0"/>
          <w:bottom w:val="none" w:color="000000" w:sz="0" w:space="0"/>
          <w:right w:val="none" w:color="000000" w:sz="0" w:space="0"/>
        </w:pBdr>
        <w:shd w:val="clear"/>
        <w:spacing w:before="240" w:after="240"/>
        <w:rPr>
          <w:rFonts w:hint="eastAsia" w:ascii="宋体" w:hAnsi="宋体" w:eastAsia="宋体" w:cs="宋体"/>
          <w:color w:val="auto"/>
          <w:highlight w:val="none"/>
        </w:rPr>
      </w:pPr>
      <w:r>
        <w:rPr>
          <w:rFonts w:hint="eastAsia" w:ascii="宋体" w:hAnsi="宋体" w:eastAsia="宋体" w:cs="宋体"/>
          <w:color w:val="auto"/>
          <w:sz w:val="32"/>
          <w:highlight w:val="none"/>
        </w:rPr>
        <w:t> </w:t>
      </w:r>
    </w:p>
    <w:p>
      <w:pPr>
        <w:pBdr>
          <w:top w:val="none" w:color="000000" w:sz="0" w:space="0"/>
          <w:left w:val="none" w:color="000000" w:sz="0" w:space="0"/>
          <w:bottom w:val="none" w:color="000000" w:sz="0" w:space="0"/>
          <w:right w:val="none" w:color="000000" w:sz="0" w:space="0"/>
        </w:pBdr>
        <w:shd w:val="clear"/>
        <w:spacing w:before="240" w:after="240"/>
        <w:rPr>
          <w:rFonts w:hint="eastAsia" w:ascii="宋体" w:hAnsi="宋体" w:eastAsia="宋体" w:cs="宋体"/>
          <w:color w:val="auto"/>
          <w:highlight w:val="none"/>
        </w:rPr>
      </w:pPr>
      <w:r>
        <w:rPr>
          <w:rFonts w:hint="eastAsia" w:ascii="宋体" w:hAnsi="宋体" w:eastAsia="宋体" w:cs="宋体"/>
          <w:color w:val="auto"/>
          <w:sz w:val="32"/>
          <w:highlight w:val="none"/>
        </w:rPr>
        <w:t> </w:t>
      </w:r>
    </w:p>
    <w:p>
      <w:pPr>
        <w:pBdr>
          <w:top w:val="none" w:color="000000" w:sz="0" w:space="0"/>
          <w:left w:val="none" w:color="000000" w:sz="0" w:space="0"/>
          <w:bottom w:val="none" w:color="000000" w:sz="0" w:space="0"/>
          <w:right w:val="none" w:color="000000" w:sz="0" w:space="0"/>
        </w:pBdr>
        <w:shd w:val="clear"/>
        <w:spacing w:before="240" w:after="240"/>
        <w:rPr>
          <w:rFonts w:hint="eastAsia" w:ascii="宋体" w:hAnsi="宋体" w:eastAsia="宋体" w:cs="宋体"/>
          <w:color w:val="auto"/>
          <w:highlight w:val="none"/>
        </w:rPr>
      </w:pPr>
      <w:r>
        <w:rPr>
          <w:rFonts w:hint="eastAsia" w:ascii="宋体" w:hAnsi="宋体" w:eastAsia="宋体" w:cs="宋体"/>
          <w:color w:val="auto"/>
          <w:sz w:val="32"/>
          <w:highlight w:val="none"/>
        </w:rPr>
        <w:t> </w:t>
      </w:r>
    </w:p>
    <w:p>
      <w:pPr>
        <w:pBdr>
          <w:top w:val="none" w:color="000000" w:sz="0" w:space="0"/>
          <w:left w:val="none" w:color="000000" w:sz="0" w:space="0"/>
          <w:bottom w:val="none" w:color="000000" w:sz="0" w:space="0"/>
          <w:right w:val="none" w:color="000000" w:sz="0" w:space="0"/>
        </w:pBdr>
        <w:shd w:val="clear"/>
        <w:spacing w:before="240" w:after="240"/>
        <w:rPr>
          <w:rFonts w:hint="eastAsia" w:ascii="宋体" w:hAnsi="宋体" w:eastAsia="宋体" w:cs="宋体"/>
          <w:color w:val="auto"/>
          <w:highlight w:val="none"/>
        </w:rPr>
      </w:pPr>
      <w:r>
        <w:rPr>
          <w:rFonts w:hint="eastAsia" w:ascii="宋体" w:hAnsi="宋体" w:eastAsia="宋体" w:cs="宋体"/>
          <w:color w:val="auto"/>
          <w:sz w:val="32"/>
          <w:highlight w:val="none"/>
        </w:rPr>
        <w:t> </w:t>
      </w:r>
    </w:p>
    <w:p>
      <w:pPr>
        <w:pBdr>
          <w:top w:val="none" w:color="000000" w:sz="0" w:space="0"/>
          <w:left w:val="none" w:color="000000" w:sz="0" w:space="0"/>
          <w:bottom w:val="none" w:color="000000" w:sz="0" w:space="0"/>
          <w:right w:val="none" w:color="000000" w:sz="0" w:space="0"/>
        </w:pBdr>
        <w:shd w:val="clear"/>
        <w:spacing w:before="240" w:after="240"/>
        <w:rPr>
          <w:rFonts w:hint="eastAsia" w:ascii="宋体" w:hAnsi="宋体" w:eastAsia="宋体" w:cs="宋体"/>
          <w:color w:val="auto"/>
          <w:highlight w:val="none"/>
        </w:rPr>
      </w:pPr>
      <w:r>
        <w:rPr>
          <w:rFonts w:hint="eastAsia" w:ascii="宋体" w:hAnsi="宋体" w:eastAsia="宋体" w:cs="宋体"/>
          <w:color w:val="auto"/>
          <w:sz w:val="32"/>
          <w:highlight w:val="none"/>
        </w:rPr>
        <w:t> </w:t>
      </w:r>
    </w:p>
    <w:p>
      <w:pPr>
        <w:pBdr>
          <w:top w:val="none" w:color="000000" w:sz="0" w:space="0"/>
          <w:left w:val="none" w:color="000000" w:sz="0" w:space="0"/>
          <w:bottom w:val="none" w:color="000000" w:sz="0" w:space="0"/>
          <w:right w:val="none" w:color="000000" w:sz="0" w:space="0"/>
        </w:pBdr>
        <w:shd w:val="clear"/>
        <w:spacing w:before="240" w:after="240"/>
        <w:rPr>
          <w:rFonts w:hint="eastAsia" w:ascii="宋体" w:hAnsi="宋体" w:eastAsia="宋体" w:cs="宋体"/>
          <w:color w:val="auto"/>
          <w:highlight w:val="none"/>
        </w:rPr>
      </w:pPr>
      <w:r>
        <w:rPr>
          <w:rFonts w:hint="eastAsia" w:ascii="宋体" w:hAnsi="宋体" w:eastAsia="宋体" w:cs="宋体"/>
          <w:color w:val="auto"/>
          <w:sz w:val="32"/>
          <w:highlight w:val="none"/>
        </w:rPr>
        <w:t> </w:t>
      </w:r>
    </w:p>
    <w:p>
      <w:pPr>
        <w:pBdr>
          <w:top w:val="none" w:color="000000" w:sz="0" w:space="0"/>
          <w:left w:val="none" w:color="000000" w:sz="0" w:space="0"/>
          <w:bottom w:val="none" w:color="000000" w:sz="0" w:space="0"/>
          <w:right w:val="none" w:color="000000" w:sz="0" w:space="0"/>
        </w:pBdr>
        <w:shd w:val="clear"/>
        <w:spacing w:before="240" w:after="240"/>
        <w:rPr>
          <w:rFonts w:hint="eastAsia" w:ascii="宋体" w:hAnsi="宋体" w:eastAsia="宋体" w:cs="宋体"/>
          <w:color w:val="auto"/>
          <w:highlight w:val="none"/>
        </w:rPr>
      </w:pPr>
      <w:r>
        <w:rPr>
          <w:rFonts w:hint="eastAsia" w:ascii="宋体" w:hAnsi="宋体" w:eastAsia="宋体" w:cs="宋体"/>
          <w:color w:val="auto"/>
          <w:sz w:val="32"/>
          <w:highlight w:val="none"/>
        </w:rPr>
        <w:t> </w:t>
      </w:r>
    </w:p>
    <w:p>
      <w:pPr>
        <w:pBdr>
          <w:top w:val="none" w:color="000000" w:sz="0" w:space="0"/>
          <w:left w:val="none" w:color="000000" w:sz="0" w:space="0"/>
          <w:bottom w:val="none" w:color="000000" w:sz="0" w:space="0"/>
          <w:right w:val="none" w:color="000000" w:sz="0" w:space="0"/>
        </w:pBdr>
        <w:shd w:val="clear"/>
        <w:spacing w:before="240" w:after="240"/>
        <w:rPr>
          <w:rFonts w:hint="eastAsia" w:ascii="宋体" w:hAnsi="宋体" w:eastAsia="宋体" w:cs="宋体"/>
          <w:color w:val="auto"/>
          <w:highlight w:val="none"/>
        </w:rPr>
      </w:pPr>
      <w:r>
        <w:rPr>
          <w:rFonts w:hint="eastAsia" w:ascii="宋体" w:hAnsi="宋体" w:eastAsia="宋体" w:cs="宋体"/>
          <w:color w:val="auto"/>
          <w:sz w:val="32"/>
          <w:highlight w:val="none"/>
        </w:rPr>
        <w:t> </w:t>
      </w:r>
    </w:p>
    <w:p>
      <w:pPr>
        <w:pBdr>
          <w:top w:val="none" w:color="000000" w:sz="0" w:space="0"/>
          <w:left w:val="none" w:color="000000" w:sz="0" w:space="0"/>
          <w:bottom w:val="none" w:color="000000" w:sz="0" w:space="0"/>
          <w:right w:val="none" w:color="000000" w:sz="0" w:space="0"/>
        </w:pBdr>
        <w:shd w:val="clear"/>
        <w:spacing w:before="240" w:after="240"/>
        <w:rPr>
          <w:rFonts w:hint="eastAsia" w:ascii="宋体" w:hAnsi="宋体" w:eastAsia="宋体" w:cs="宋体"/>
          <w:color w:val="auto"/>
          <w:sz w:val="32"/>
          <w:highlight w:val="none"/>
        </w:rPr>
      </w:pPr>
      <w:r>
        <w:rPr>
          <w:rFonts w:hint="eastAsia" w:ascii="宋体" w:hAnsi="宋体" w:eastAsia="宋体" w:cs="宋体"/>
          <w:color w:val="auto"/>
          <w:sz w:val="32"/>
          <w:highlight w:val="none"/>
        </w:rPr>
        <w:t> </w:t>
      </w:r>
    </w:p>
    <w:p>
      <w:pPr>
        <w:pStyle w:val="2"/>
        <w:rPr>
          <w:rFonts w:hint="eastAsia" w:ascii="宋体" w:hAnsi="宋体" w:eastAsia="宋体" w:cs="宋体"/>
          <w:color w:val="auto"/>
          <w:sz w:val="32"/>
          <w:highlight w:val="none"/>
        </w:rPr>
      </w:pPr>
    </w:p>
    <w:p>
      <w:pPr>
        <w:pStyle w:val="3"/>
        <w:rPr>
          <w:rFonts w:hint="eastAsia" w:ascii="宋体" w:hAnsi="宋体" w:eastAsia="宋体" w:cs="宋体"/>
          <w:color w:val="auto"/>
          <w:sz w:val="32"/>
          <w:highlight w:val="none"/>
        </w:rPr>
      </w:pPr>
    </w:p>
    <w:p>
      <w:pPr>
        <w:rPr>
          <w:rFonts w:hint="eastAsia" w:ascii="宋体" w:hAnsi="宋体" w:eastAsia="宋体" w:cs="宋体"/>
          <w:color w:val="auto"/>
          <w:sz w:val="32"/>
          <w:highlight w:val="none"/>
        </w:rPr>
      </w:pPr>
    </w:p>
    <w:p>
      <w:pPr>
        <w:pStyle w:val="2"/>
        <w:rPr>
          <w:rFonts w:hint="eastAsia"/>
          <w:highlight w:val="none"/>
        </w:rPr>
      </w:pP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color w:val="auto"/>
          <w:sz w:val="22"/>
          <w:highlight w:val="none"/>
        </w:rPr>
        <w:t> </w:t>
      </w:r>
    </w:p>
    <w:p>
      <w:pPr>
        <w:pStyle w:val="4"/>
        <w:pBdr>
          <w:top w:val="none" w:color="000000" w:sz="0" w:space="0"/>
          <w:left w:val="none" w:color="000000" w:sz="0" w:space="0"/>
          <w:bottom w:val="none" w:color="000000" w:sz="0" w:space="0"/>
          <w:right w:val="none" w:color="000000" w:sz="0" w:space="0"/>
        </w:pBdr>
        <w:shd w:val="clear"/>
        <w:spacing w:before="0" w:after="0"/>
        <w:jc w:val="center"/>
        <w:rPr>
          <w:rFonts w:hint="eastAsia" w:ascii="宋体" w:hAnsi="宋体" w:eastAsia="宋体" w:cs="宋体"/>
          <w:color w:val="auto"/>
          <w:highlight w:val="none"/>
        </w:rPr>
      </w:pPr>
      <w:r>
        <w:rPr>
          <w:rFonts w:hint="eastAsia" w:ascii="宋体" w:hAnsi="宋体" w:eastAsia="宋体" w:cs="宋体"/>
          <w:b/>
          <w:color w:val="auto"/>
          <w:sz w:val="44"/>
          <w:highlight w:val="none"/>
        </w:rPr>
        <w:t xml:space="preserve">第六章投标文件格式 </w:t>
      </w:r>
    </w:p>
    <w:p>
      <w:pPr>
        <w:pBdr>
          <w:top w:val="none" w:color="000000" w:sz="0" w:space="0"/>
          <w:left w:val="none" w:color="000000" w:sz="0" w:space="0"/>
          <w:bottom w:val="none" w:color="000000" w:sz="0" w:space="0"/>
          <w:right w:val="none" w:color="000000" w:sz="0" w:space="0"/>
        </w:pBdr>
        <w:shd w:val="clear"/>
        <w:jc w:val="center"/>
        <w:rPr>
          <w:rFonts w:hint="eastAsia" w:ascii="宋体" w:hAnsi="宋体" w:eastAsia="宋体" w:cs="宋体"/>
          <w:color w:val="auto"/>
          <w:highlight w:val="none"/>
        </w:rPr>
      </w:pPr>
      <w:r>
        <w:rPr>
          <w:rFonts w:hint="eastAsia" w:ascii="宋体" w:hAnsi="宋体" w:eastAsia="宋体" w:cs="宋体"/>
          <w:b/>
          <w:color w:val="auto"/>
          <w:sz w:val="72"/>
          <w:highlight w:val="none"/>
        </w:rPr>
        <w:t> </w:t>
      </w:r>
    </w:p>
    <w:p>
      <w:pPr>
        <w:pBdr>
          <w:top w:val="none" w:color="000000" w:sz="0" w:space="0"/>
          <w:left w:val="none" w:color="000000" w:sz="0" w:space="0"/>
          <w:bottom w:val="none" w:color="000000" w:sz="0" w:space="0"/>
          <w:right w:val="none" w:color="000000" w:sz="0" w:space="0"/>
        </w:pBdr>
        <w:shd w:val="clear"/>
        <w:jc w:val="center"/>
        <w:rPr>
          <w:rFonts w:hint="eastAsia" w:ascii="宋体" w:hAnsi="宋体" w:eastAsia="宋体" w:cs="宋体"/>
          <w:color w:val="auto"/>
          <w:highlight w:val="none"/>
        </w:rPr>
      </w:pPr>
      <w:r>
        <w:rPr>
          <w:rFonts w:hint="eastAsia" w:ascii="宋体" w:hAnsi="宋体" w:eastAsia="宋体" w:cs="宋体"/>
          <w:b/>
          <w:color w:val="auto"/>
          <w:sz w:val="72"/>
          <w:highlight w:val="none"/>
        </w:rPr>
        <w:t>投标文件</w:t>
      </w:r>
    </w:p>
    <w:p>
      <w:pPr>
        <w:pBdr>
          <w:top w:val="none" w:color="000000" w:sz="0" w:space="0"/>
          <w:left w:val="none" w:color="000000" w:sz="0" w:space="0"/>
          <w:bottom w:val="none" w:color="000000" w:sz="0" w:space="0"/>
          <w:right w:val="none" w:color="000000" w:sz="0" w:space="0"/>
        </w:pBdr>
        <w:shd w:val="clear"/>
        <w:jc w:val="center"/>
        <w:rPr>
          <w:rFonts w:hint="eastAsia" w:ascii="宋体" w:hAnsi="宋体" w:eastAsia="宋体" w:cs="宋体"/>
          <w:color w:val="auto"/>
          <w:highlight w:val="none"/>
        </w:rPr>
      </w:pPr>
      <w:r>
        <w:rPr>
          <w:rFonts w:hint="eastAsia" w:ascii="宋体" w:hAnsi="宋体" w:eastAsia="宋体" w:cs="宋体"/>
          <w:b/>
          <w:color w:val="auto"/>
          <w:sz w:val="72"/>
          <w:highlight w:val="none"/>
        </w:rPr>
        <w:t>  </w:t>
      </w:r>
    </w:p>
    <w:p>
      <w:pPr>
        <w:pBdr>
          <w:top w:val="none" w:color="000000" w:sz="0" w:space="0"/>
          <w:left w:val="none" w:color="000000" w:sz="0" w:space="0"/>
          <w:bottom w:val="none" w:color="000000" w:sz="0" w:space="0"/>
          <w:right w:val="none" w:color="000000" w:sz="0" w:space="0"/>
        </w:pBdr>
        <w:shd w:val="clear"/>
        <w:jc w:val="center"/>
        <w:rPr>
          <w:rFonts w:hint="eastAsia" w:ascii="宋体" w:hAnsi="宋体" w:eastAsia="宋体" w:cs="宋体"/>
          <w:color w:val="auto"/>
          <w:highlight w:val="none"/>
        </w:rPr>
      </w:pPr>
      <w:r>
        <w:rPr>
          <w:rFonts w:hint="eastAsia" w:ascii="宋体" w:hAnsi="宋体" w:eastAsia="宋体" w:cs="宋体"/>
          <w:b/>
          <w:color w:val="auto"/>
          <w:sz w:val="36"/>
          <w:highlight w:val="none"/>
        </w:rPr>
        <w:t> </w:t>
      </w:r>
    </w:p>
    <w:p>
      <w:pPr>
        <w:pBdr>
          <w:top w:val="none" w:color="000000" w:sz="0" w:space="0"/>
          <w:left w:val="none" w:color="000000" w:sz="0" w:space="0"/>
          <w:bottom w:val="none" w:color="000000" w:sz="0" w:space="0"/>
          <w:right w:val="none" w:color="000000" w:sz="0" w:space="0"/>
        </w:pBdr>
        <w:shd w:val="clear"/>
        <w:jc w:val="center"/>
        <w:rPr>
          <w:rFonts w:hint="eastAsia" w:ascii="宋体" w:hAnsi="宋体" w:eastAsia="宋体" w:cs="宋体"/>
          <w:color w:val="auto"/>
          <w:highlight w:val="none"/>
        </w:rPr>
      </w:pPr>
      <w:r>
        <w:rPr>
          <w:rFonts w:hint="eastAsia" w:ascii="宋体" w:hAnsi="宋体" w:eastAsia="宋体" w:cs="宋体"/>
          <w:b/>
          <w:color w:val="auto"/>
          <w:sz w:val="36"/>
          <w:highlight w:val="none"/>
        </w:rPr>
        <w:t> </w:t>
      </w:r>
    </w:p>
    <w:p>
      <w:pPr>
        <w:pBdr>
          <w:top w:val="none" w:color="000000" w:sz="0" w:space="0"/>
          <w:left w:val="none" w:color="000000" w:sz="0" w:space="0"/>
          <w:bottom w:val="none" w:color="000000" w:sz="0" w:space="0"/>
          <w:right w:val="none" w:color="000000" w:sz="0" w:space="0"/>
        </w:pBdr>
        <w:shd w:val="clear"/>
        <w:jc w:val="center"/>
        <w:rPr>
          <w:rFonts w:hint="eastAsia" w:ascii="宋体" w:hAnsi="宋体" w:eastAsia="宋体" w:cs="宋体"/>
          <w:color w:val="auto"/>
          <w:highlight w:val="none"/>
        </w:rPr>
      </w:pPr>
      <w:r>
        <w:rPr>
          <w:rFonts w:hint="eastAsia" w:ascii="宋体" w:hAnsi="宋体" w:eastAsia="宋体" w:cs="宋体"/>
          <w:b/>
          <w:color w:val="auto"/>
          <w:sz w:val="36"/>
          <w:highlight w:val="none"/>
        </w:rPr>
        <w:t>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b/>
          <w:color w:val="auto"/>
          <w:sz w:val="36"/>
          <w:highlight w:val="none"/>
        </w:rPr>
        <w:t>项 目 名 称：</w:t>
      </w:r>
      <w:r>
        <w:rPr>
          <w:rFonts w:hint="eastAsia" w:ascii="宋体" w:hAnsi="宋体" w:eastAsia="宋体" w:cs="宋体"/>
          <w:b/>
          <w:color w:val="auto"/>
          <w:sz w:val="36"/>
          <w:highlight w:val="none"/>
          <w:u w:val="single"/>
        </w:rPr>
        <w:t xml:space="preserve">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项 目 编 号：</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b/>
          <w:color w:val="auto"/>
          <w:sz w:val="36"/>
          <w:highlight w:val="none"/>
        </w:rPr>
        <w:t>投标人名称 ：</w:t>
      </w:r>
      <w:r>
        <w:rPr>
          <w:rFonts w:hint="eastAsia" w:ascii="宋体" w:hAnsi="宋体" w:eastAsia="宋体" w:cs="宋体"/>
          <w:b/>
          <w:color w:val="auto"/>
          <w:sz w:val="36"/>
          <w:highlight w:val="none"/>
          <w:u w:val="single"/>
        </w:rPr>
        <w:t xml:space="preserve">（加盖CA电子公章） </w:t>
      </w:r>
    </w:p>
    <w:p>
      <w:pPr>
        <w:pBdr>
          <w:top w:val="none" w:color="000000" w:sz="0" w:space="0"/>
          <w:left w:val="none" w:color="000000" w:sz="0" w:space="0"/>
          <w:bottom w:val="none" w:color="000000" w:sz="0" w:space="0"/>
          <w:right w:val="none" w:color="000000" w:sz="0" w:space="0"/>
        </w:pBdr>
        <w:shd w:val="clear"/>
        <w:rPr>
          <w:rFonts w:hint="eastAsia" w:ascii="宋体" w:hAnsi="宋体" w:eastAsia="宋体" w:cs="宋体"/>
          <w:color w:val="auto"/>
          <w:highlight w:val="none"/>
        </w:rPr>
      </w:pPr>
      <w:r>
        <w:rPr>
          <w:rFonts w:hint="eastAsia" w:ascii="宋体" w:hAnsi="宋体" w:eastAsia="宋体" w:cs="宋体"/>
          <w:b/>
          <w:color w:val="auto"/>
          <w:sz w:val="36"/>
          <w:highlight w:val="none"/>
        </w:rPr>
        <w:t>日期 ：</w:t>
      </w:r>
      <w:r>
        <w:rPr>
          <w:rFonts w:hint="eastAsia" w:ascii="宋体" w:hAnsi="宋体" w:eastAsia="宋体" w:cs="宋体"/>
          <w:b/>
          <w:color w:val="auto"/>
          <w:sz w:val="36"/>
          <w:highlight w:val="none"/>
          <w:u w:val="single"/>
        </w:rPr>
        <w:t>             </w:t>
      </w:r>
    </w:p>
    <w:p>
      <w:pPr>
        <w:pBdr>
          <w:top w:val="none" w:color="000000" w:sz="0" w:space="0"/>
          <w:left w:val="none" w:color="000000" w:sz="0" w:space="0"/>
          <w:bottom w:val="none" w:color="000000" w:sz="0" w:space="0"/>
          <w:right w:val="none" w:color="000000" w:sz="0" w:space="0"/>
        </w:pBdr>
        <w:shd w:val="clear"/>
        <w:spacing w:line="439" w:lineRule="atLeast"/>
        <w:jc w:val="center"/>
        <w:rPr>
          <w:rFonts w:hint="eastAsia" w:ascii="宋体" w:hAnsi="宋体" w:eastAsia="宋体" w:cs="宋体"/>
          <w:color w:val="auto"/>
          <w:highlight w:val="none"/>
        </w:rPr>
      </w:pPr>
      <w:r>
        <w:rPr>
          <w:rFonts w:hint="eastAsia" w:ascii="宋体" w:hAnsi="宋体" w:eastAsia="宋体" w:cs="宋体"/>
          <w:b/>
          <w:color w:val="auto"/>
          <w:sz w:val="32"/>
          <w:highlight w:val="none"/>
        </w:rPr>
        <w:t> </w:t>
      </w:r>
    </w:p>
    <w:p>
      <w:pPr>
        <w:pBdr>
          <w:top w:val="none" w:color="000000" w:sz="0" w:space="0"/>
          <w:left w:val="none" w:color="000000" w:sz="0" w:space="0"/>
          <w:bottom w:val="none" w:color="000000" w:sz="0" w:space="0"/>
          <w:right w:val="none" w:color="000000" w:sz="0" w:space="0"/>
        </w:pBdr>
        <w:shd w:val="clear"/>
        <w:spacing w:line="439" w:lineRule="atLeast"/>
        <w:rPr>
          <w:rFonts w:hint="eastAsia" w:ascii="宋体" w:hAnsi="宋体" w:eastAsia="宋体" w:cs="宋体"/>
          <w:color w:val="auto"/>
          <w:highlight w:val="none"/>
        </w:rPr>
      </w:pPr>
      <w:r>
        <w:rPr>
          <w:rFonts w:hint="eastAsia" w:ascii="宋体" w:hAnsi="宋体" w:eastAsia="宋体" w:cs="宋体"/>
          <w:color w:val="auto"/>
          <w:sz w:val="22"/>
          <w:highlight w:val="none"/>
        </w:rPr>
        <w:t> </w:t>
      </w:r>
    </w:p>
    <w:p>
      <w:pPr>
        <w:pBdr>
          <w:top w:val="none" w:color="000000" w:sz="0" w:space="0"/>
          <w:left w:val="none" w:color="000000" w:sz="0" w:space="0"/>
          <w:bottom w:val="none" w:color="000000" w:sz="0" w:space="0"/>
          <w:right w:val="none" w:color="000000" w:sz="0" w:space="0"/>
        </w:pBdr>
        <w:shd w:val="clear"/>
        <w:ind w:firstLine="1084"/>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pPr>
        <w:pBdr>
          <w:top w:val="none" w:color="000000" w:sz="0" w:space="0"/>
          <w:left w:val="none" w:color="000000" w:sz="0" w:space="0"/>
          <w:bottom w:val="none" w:color="000000" w:sz="0" w:space="0"/>
          <w:right w:val="none" w:color="000000" w:sz="0" w:space="0"/>
        </w:pBdr>
        <w:spacing w:before="0" w:after="0"/>
        <w:ind w:left="0" w:right="0" w:firstLine="1084"/>
        <w:jc w:val="center"/>
        <w:rPr>
          <w:color w:val="auto"/>
          <w:highlight w:val="none"/>
        </w:rPr>
      </w:pPr>
      <w:r>
        <w:rPr>
          <w:rFonts w:ascii="宋体" w:hAnsi="宋体" w:eastAsia="宋体" w:cs="宋体"/>
          <w:b/>
          <w:color w:val="auto"/>
          <w:sz w:val="32"/>
          <w:highlight w:val="none"/>
        </w:rPr>
        <w:t>投标文件的组成</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color w:val="auto"/>
          <w:highlight w:val="none"/>
        </w:rPr>
      </w:pPr>
      <w:r>
        <w:rPr>
          <w:rFonts w:ascii="宋体" w:hAnsi="宋体" w:eastAsia="宋体" w:cs="宋体"/>
          <w:b/>
          <w:color w:val="auto"/>
          <w:sz w:val="32"/>
          <w:highlight w:val="none"/>
        </w:rPr>
        <w:t> </w:t>
      </w:r>
    </w:p>
    <w:p>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rPr>
          <w:color w:val="auto"/>
          <w:highlight w:val="none"/>
        </w:rPr>
      </w:pPr>
      <w:r>
        <w:rPr>
          <w:rFonts w:ascii="宋体" w:hAnsi="宋体" w:eastAsia="宋体" w:cs="宋体"/>
          <w:b/>
          <w:color w:val="auto"/>
          <w:sz w:val="24"/>
          <w:highlight w:val="none"/>
        </w:rPr>
        <w:t>一、基本目录</w:t>
      </w:r>
    </w:p>
    <w:p>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rPr>
          <w:color w:val="auto"/>
          <w:highlight w:val="none"/>
        </w:rPr>
      </w:pPr>
      <w:r>
        <w:rPr>
          <w:rFonts w:ascii="宋体" w:hAnsi="宋体" w:eastAsia="宋体" w:cs="宋体"/>
          <w:color w:val="auto"/>
          <w:sz w:val="24"/>
          <w:highlight w:val="none"/>
        </w:rPr>
        <w:t>1.开标一览表（格式见附件1）</w:t>
      </w:r>
    </w:p>
    <w:p>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rPr>
          <w:color w:val="auto"/>
          <w:highlight w:val="none"/>
        </w:rPr>
      </w:pPr>
      <w:r>
        <w:rPr>
          <w:rFonts w:ascii="宋体" w:hAnsi="宋体" w:eastAsia="宋体" w:cs="宋体"/>
          <w:color w:val="auto"/>
          <w:sz w:val="24"/>
          <w:highlight w:val="none"/>
        </w:rPr>
        <w:t>2.投标分项报价表（格式见附件2）</w:t>
      </w:r>
    </w:p>
    <w:p>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rPr>
          <w:color w:val="auto"/>
          <w:highlight w:val="none"/>
        </w:rPr>
      </w:pPr>
      <w:r>
        <w:rPr>
          <w:rFonts w:ascii="宋体" w:hAnsi="宋体" w:eastAsia="宋体" w:cs="宋体"/>
          <w:color w:val="auto"/>
          <w:sz w:val="24"/>
          <w:highlight w:val="none"/>
        </w:rPr>
        <w:t>3.技术要求响应及偏离表（格式见附件3）</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highlight w:val="none"/>
        </w:rPr>
      </w:pPr>
      <w:r>
        <w:rPr>
          <w:rFonts w:ascii="宋体" w:hAnsi="宋体" w:eastAsia="宋体" w:cs="宋体"/>
          <w:color w:val="auto"/>
          <w:sz w:val="24"/>
          <w:highlight w:val="none"/>
        </w:rPr>
        <w:t>4.商务要求响应及偏离表（格式见附件4）</w:t>
      </w:r>
    </w:p>
    <w:p>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rPr>
          <w:color w:val="auto"/>
          <w:highlight w:val="none"/>
        </w:rPr>
      </w:pPr>
      <w:r>
        <w:rPr>
          <w:rFonts w:ascii="宋体" w:hAnsi="宋体" w:eastAsia="宋体" w:cs="宋体"/>
          <w:b/>
          <w:color w:val="auto"/>
          <w:sz w:val="24"/>
          <w:highlight w:val="none"/>
        </w:rPr>
        <w:t>二、资格审查内容</w:t>
      </w:r>
    </w:p>
    <w:p>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rPr>
          <w:rFonts w:ascii="宋体" w:hAnsi="宋体" w:eastAsia="宋体" w:cs="宋体"/>
          <w:color w:val="auto"/>
          <w:sz w:val="24"/>
          <w:highlight w:val="none"/>
        </w:rPr>
      </w:pPr>
      <w:r>
        <w:rPr>
          <w:rFonts w:ascii="宋体" w:hAnsi="宋体" w:eastAsia="宋体" w:cs="宋体"/>
          <w:color w:val="auto"/>
          <w:sz w:val="24"/>
          <w:highlight w:val="none"/>
        </w:rPr>
        <w:t>1.投标声明及承诺函（格式见附件5）</w:t>
      </w:r>
    </w:p>
    <w:p>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rPr>
          <w:rFonts w:ascii="宋体" w:hAnsi="宋体" w:eastAsia="宋体" w:cs="宋体"/>
          <w:color w:val="auto"/>
          <w:sz w:val="24"/>
          <w:highlight w:val="none"/>
        </w:rPr>
      </w:pPr>
      <w:r>
        <w:rPr>
          <w:rFonts w:ascii="宋体" w:hAnsi="宋体" w:eastAsia="宋体" w:cs="宋体"/>
          <w:color w:val="auto"/>
          <w:sz w:val="24"/>
          <w:highlight w:val="none"/>
        </w:rPr>
        <w:t>2.信用信息</w:t>
      </w:r>
    </w:p>
    <w:p>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ascii="宋体" w:hAnsi="宋体" w:eastAsia="宋体" w:cs="宋体"/>
          <w:color w:val="auto"/>
          <w:sz w:val="24"/>
          <w:highlight w:val="none"/>
        </w:rPr>
        <w:t>.落实政府采购政策需满足的资格要求（格式自拟）</w:t>
      </w:r>
    </w:p>
    <w:p>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ascii="宋体" w:hAnsi="宋体" w:eastAsia="宋体" w:cs="宋体"/>
          <w:color w:val="auto"/>
          <w:sz w:val="24"/>
          <w:highlight w:val="none"/>
        </w:rPr>
        <w:t>.特定资格要求的证明文件（如果本项目对投标人做出特定资格要求的，必须提供）</w:t>
      </w:r>
    </w:p>
    <w:p>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rPr>
          <w:color w:val="auto"/>
          <w:highlight w:val="none"/>
        </w:rPr>
      </w:pPr>
      <w:r>
        <w:rPr>
          <w:rFonts w:ascii="宋体" w:hAnsi="宋体" w:eastAsia="宋体" w:cs="宋体"/>
          <w:b/>
          <w:color w:val="auto"/>
          <w:sz w:val="24"/>
          <w:highlight w:val="none"/>
        </w:rPr>
        <w:t>三、符合性审查内容</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highlight w:val="none"/>
        </w:rPr>
      </w:pPr>
      <w:r>
        <w:rPr>
          <w:rFonts w:ascii="宋体" w:hAnsi="宋体" w:eastAsia="宋体" w:cs="宋体"/>
          <w:color w:val="auto"/>
          <w:sz w:val="24"/>
          <w:highlight w:val="none"/>
        </w:rPr>
        <w:t>1.法定代表人身份证明或授权委托书（格式见附件6）</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highlight w:val="none"/>
        </w:rPr>
      </w:pPr>
      <w:r>
        <w:rPr>
          <w:rFonts w:ascii="宋体" w:hAnsi="宋体" w:eastAsia="宋体" w:cs="宋体"/>
          <w:color w:val="auto"/>
          <w:sz w:val="24"/>
          <w:highlight w:val="none"/>
        </w:rPr>
        <w:t>2.投标人必须对技术要求和商务要求中加斜体下划线的实质性要求逐条做出响应，并按照招标文件要求提供证明材料，否则做无效投标处理。（格式见附件9）</w:t>
      </w:r>
    </w:p>
    <w:p>
      <w:pPr>
        <w:pBdr>
          <w:top w:val="none" w:color="000000" w:sz="0" w:space="0"/>
          <w:left w:val="none" w:color="000000" w:sz="0" w:space="0"/>
          <w:bottom w:val="none" w:color="000000" w:sz="0" w:space="0"/>
          <w:right w:val="none" w:color="000000" w:sz="0" w:space="0"/>
        </w:pBdr>
        <w:spacing w:before="0" w:after="0"/>
        <w:ind w:left="0" w:right="0" w:firstLine="480"/>
        <w:jc w:val="both"/>
        <w:rPr>
          <w:color w:val="auto"/>
          <w:highlight w:val="none"/>
        </w:rPr>
      </w:pPr>
      <w:r>
        <w:rPr>
          <w:rFonts w:ascii="宋体" w:hAnsi="宋体" w:eastAsia="宋体" w:cs="宋体"/>
          <w:b/>
          <w:color w:val="auto"/>
          <w:sz w:val="24"/>
          <w:highlight w:val="none"/>
        </w:rPr>
        <w:t>四、价格扣除证明文件</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highlight w:val="none"/>
        </w:rPr>
      </w:pPr>
      <w:r>
        <w:rPr>
          <w:rFonts w:ascii="宋体" w:hAnsi="宋体" w:eastAsia="宋体" w:cs="宋体"/>
          <w:color w:val="auto"/>
          <w:sz w:val="24"/>
          <w:highlight w:val="none"/>
        </w:rPr>
        <w:t>1.中小微企业声明函（格式见附件7）</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highlight w:val="none"/>
        </w:rPr>
      </w:pPr>
      <w:r>
        <w:rPr>
          <w:rFonts w:ascii="宋体" w:hAnsi="宋体" w:eastAsia="宋体" w:cs="宋体"/>
          <w:color w:val="auto"/>
          <w:sz w:val="24"/>
          <w:highlight w:val="none"/>
        </w:rPr>
        <w:t>2.残疾人福利性单位声明函（格式见附件8）</w:t>
      </w:r>
    </w:p>
    <w:p>
      <w:pPr>
        <w:pBdr>
          <w:top w:val="none" w:color="000000" w:sz="0" w:space="0"/>
          <w:left w:val="none" w:color="000000" w:sz="0" w:space="0"/>
          <w:bottom w:val="none" w:color="000000" w:sz="0" w:space="0"/>
          <w:right w:val="none" w:color="000000" w:sz="0" w:space="0"/>
        </w:pBdr>
        <w:spacing w:before="0" w:after="0"/>
        <w:ind w:left="480" w:right="0" w:firstLine="0"/>
        <w:jc w:val="both"/>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color w:val="auto"/>
          <w:highlight w:val="none"/>
        </w:rPr>
        <w:br w:type="page" w:clear="all"/>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附件1 开标一览表</w:t>
      </w:r>
    </w:p>
    <w:p>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rPr>
          <w:color w:val="auto"/>
          <w:highlight w:val="none"/>
        </w:rPr>
      </w:pPr>
      <w:r>
        <w:rPr>
          <w:rFonts w:ascii="宋体" w:hAnsi="宋体" w:eastAsia="宋体" w:cs="宋体"/>
          <w:color w:val="auto"/>
          <w:sz w:val="24"/>
          <w:highlight w:val="none"/>
        </w:rPr>
        <w:t>投标人全称（加盖CA电子签章）：</w:t>
      </w:r>
    </w:p>
    <w:p>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rPr>
          <w:color w:val="auto"/>
          <w:highlight w:val="none"/>
        </w:rPr>
      </w:pPr>
      <w:r>
        <w:rPr>
          <w:rFonts w:ascii="宋体" w:hAnsi="宋体" w:eastAsia="宋体" w:cs="宋体"/>
          <w:color w:val="auto"/>
          <w:sz w:val="24"/>
          <w:highlight w:val="none"/>
        </w:rPr>
        <w:t>项目名称：</w:t>
      </w:r>
    </w:p>
    <w:p>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rPr>
          <w:color w:val="auto"/>
          <w:highlight w:val="none"/>
        </w:rPr>
      </w:pPr>
      <w:r>
        <w:rPr>
          <w:rFonts w:ascii="宋体" w:hAnsi="宋体" w:eastAsia="宋体" w:cs="宋体"/>
          <w:color w:val="auto"/>
          <w:sz w:val="24"/>
          <w:highlight w:val="none"/>
        </w:rPr>
        <w:t>项目编号：</w:t>
      </w:r>
    </w:p>
    <w:p>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rPr>
          <w:color w:val="auto"/>
          <w:highlight w:val="none"/>
        </w:rPr>
      </w:pPr>
      <w:r>
        <w:rPr>
          <w:rFonts w:ascii="宋体" w:hAnsi="宋体" w:eastAsia="宋体" w:cs="宋体"/>
          <w:color w:val="auto"/>
          <w:sz w:val="24"/>
          <w:highlight w:val="none"/>
        </w:rPr>
        <w:t>分包号：</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406"/>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5" w:hRule="atLeast"/>
        </w:trPr>
        <w:tc>
          <w:tcPr>
            <w:tcW w:w="888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auto"/>
                <w:highlight w:val="none"/>
              </w:rPr>
            </w:pPr>
            <w:r>
              <w:rPr>
                <w:rFonts w:ascii="宋体" w:hAnsi="宋体" w:eastAsia="宋体" w:cs="宋体"/>
                <w:color w:val="auto"/>
                <w:sz w:val="24"/>
                <w:highlight w:val="none"/>
              </w:rPr>
              <w:t>                      投标总报价</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2" w:hRule="atLeast"/>
        </w:trPr>
        <w:tc>
          <w:tcPr>
            <w:tcW w:w="888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99" w:lineRule="atLeast"/>
              <w:ind w:left="0" w:right="0" w:firstLine="0"/>
              <w:rPr>
                <w:color w:val="auto"/>
                <w:highlight w:val="none"/>
              </w:rPr>
            </w:pPr>
            <w:r>
              <w:rPr>
                <w:rFonts w:ascii="宋体" w:hAnsi="宋体" w:eastAsia="宋体" w:cs="宋体"/>
                <w:color w:val="auto"/>
                <w:sz w:val="24"/>
                <w:highlight w:val="none"/>
              </w:rPr>
              <w:t>小写：                             （人民币：元）</w:t>
            </w:r>
          </w:p>
        </w:tc>
      </w:tr>
    </w:tbl>
    <w:p>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宋体" w:hAnsi="宋体" w:eastAsia="宋体" w:cs="宋体"/>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480"/>
        <w:jc w:val="both"/>
        <w:rPr>
          <w:color w:val="auto"/>
          <w:highlight w:val="none"/>
        </w:rPr>
      </w:pPr>
      <w:r>
        <w:rPr>
          <w:rFonts w:ascii="宋体" w:hAnsi="宋体" w:eastAsia="宋体" w:cs="宋体"/>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240" w:after="240"/>
        <w:ind w:left="0" w:right="0" w:firstLine="0"/>
        <w:rPr>
          <w:color w:val="auto"/>
          <w:highlight w:val="none"/>
        </w:rPr>
      </w:pPr>
      <w:r>
        <w:rPr>
          <w:rFonts w:ascii="STKaiti" w:hAnsi="STKaiti" w:eastAsia="STKaiti" w:cs="STKaiti"/>
          <w:b/>
          <w:color w:val="auto"/>
          <w:sz w:val="24"/>
          <w:highlight w:val="none"/>
        </w:rPr>
        <w:t> </w:t>
      </w:r>
    </w:p>
    <w:p>
      <w:pPr>
        <w:pBdr>
          <w:top w:val="none" w:color="000000" w:sz="0" w:space="0"/>
          <w:left w:val="none" w:color="000000" w:sz="0" w:space="0"/>
          <w:bottom w:val="none" w:color="000000" w:sz="0" w:space="0"/>
          <w:right w:val="none" w:color="000000" w:sz="0" w:space="0"/>
        </w:pBdr>
        <w:spacing w:before="240" w:after="240"/>
        <w:ind w:left="0" w:right="0" w:firstLine="0"/>
        <w:rPr>
          <w:color w:val="auto"/>
          <w:highlight w:val="none"/>
        </w:rPr>
      </w:pPr>
      <w:r>
        <w:rPr>
          <w:rFonts w:ascii="STKaiti" w:hAnsi="STKaiti" w:eastAsia="STKaiti" w:cs="STKaiti"/>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附件2 投标分项报价表（分包号：***）</w:t>
      </w:r>
    </w:p>
    <w:p>
      <w:pPr>
        <w:pBdr>
          <w:top w:val="none" w:color="000000" w:sz="0" w:space="0"/>
          <w:left w:val="none" w:color="000000" w:sz="0" w:space="0"/>
          <w:bottom w:val="none" w:color="000000" w:sz="0" w:space="0"/>
          <w:right w:val="none" w:color="000000" w:sz="0" w:space="0"/>
        </w:pBdr>
        <w:spacing w:before="240" w:after="240"/>
        <w:ind w:left="0" w:right="0" w:firstLine="0"/>
        <w:rPr>
          <w:color w:val="auto"/>
          <w:highlight w:val="none"/>
        </w:rPr>
      </w:pPr>
      <w:r>
        <w:rPr>
          <w:rFonts w:ascii="STKaiti" w:hAnsi="STKaiti" w:eastAsia="STKaiti" w:cs="STKaiti"/>
          <w:color w:val="auto"/>
          <w:sz w:val="22"/>
          <w:highlight w:val="none"/>
        </w:rPr>
        <w:t> </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56"/>
        <w:gridCol w:w="696"/>
        <w:gridCol w:w="494"/>
        <w:gridCol w:w="499"/>
        <w:gridCol w:w="530"/>
        <w:gridCol w:w="644"/>
        <w:gridCol w:w="511"/>
        <w:gridCol w:w="1176"/>
        <w:gridCol w:w="530"/>
        <w:gridCol w:w="481"/>
        <w:gridCol w:w="544"/>
        <w:gridCol w:w="507"/>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544" w:hRule="atLeast"/>
        </w:trPr>
        <w:tc>
          <w:tcPr>
            <w:tcW w:w="37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序号</w:t>
            </w:r>
          </w:p>
        </w:tc>
        <w:tc>
          <w:tcPr>
            <w:tcW w:w="60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1</w:t>
            </w:r>
          </w:p>
        </w:tc>
        <w:tc>
          <w:tcPr>
            <w:tcW w:w="49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2</w:t>
            </w:r>
          </w:p>
        </w:tc>
        <w:tc>
          <w:tcPr>
            <w:tcW w:w="49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3</w:t>
            </w:r>
          </w:p>
        </w:tc>
        <w:tc>
          <w:tcPr>
            <w:tcW w:w="53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4</w:t>
            </w:r>
          </w:p>
        </w:tc>
        <w:tc>
          <w:tcPr>
            <w:tcW w:w="64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5</w:t>
            </w:r>
          </w:p>
        </w:tc>
        <w:tc>
          <w:tcPr>
            <w:tcW w:w="51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6</w:t>
            </w:r>
          </w:p>
        </w:tc>
        <w:tc>
          <w:tcPr>
            <w:tcW w:w="114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7</w:t>
            </w:r>
          </w:p>
        </w:tc>
        <w:tc>
          <w:tcPr>
            <w:tcW w:w="53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8</w:t>
            </w:r>
          </w:p>
        </w:tc>
        <w:tc>
          <w:tcPr>
            <w:tcW w:w="48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9</w:t>
            </w:r>
          </w:p>
        </w:tc>
        <w:tc>
          <w:tcPr>
            <w:tcW w:w="54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10</w:t>
            </w:r>
          </w:p>
        </w:tc>
        <w:tc>
          <w:tcPr>
            <w:tcW w:w="50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11</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4" w:hRule="atLeast"/>
        </w:trPr>
        <w:tc>
          <w:tcPr>
            <w:tcW w:w="3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1</w:t>
            </w:r>
          </w:p>
        </w:tc>
        <w:tc>
          <w:tcPr>
            <w:tcW w:w="60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产品</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名称</w:t>
            </w:r>
          </w:p>
        </w:tc>
        <w:tc>
          <w:tcPr>
            <w:tcW w:w="49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品牌</w:t>
            </w:r>
          </w:p>
        </w:tc>
        <w:tc>
          <w:tcPr>
            <w:tcW w:w="49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型号</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5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规格</w:t>
            </w:r>
          </w:p>
        </w:tc>
        <w:tc>
          <w:tcPr>
            <w:tcW w:w="64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制造商名称</w:t>
            </w:r>
          </w:p>
        </w:tc>
        <w:tc>
          <w:tcPr>
            <w:tcW w:w="51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产地</w:t>
            </w:r>
          </w:p>
        </w:tc>
        <w:tc>
          <w:tcPr>
            <w:tcW w:w="11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交付期</w:t>
            </w:r>
          </w:p>
        </w:tc>
        <w:tc>
          <w:tcPr>
            <w:tcW w:w="5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数量</w:t>
            </w:r>
          </w:p>
        </w:tc>
        <w:tc>
          <w:tcPr>
            <w:tcW w:w="4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单位</w:t>
            </w:r>
          </w:p>
        </w:tc>
        <w:tc>
          <w:tcPr>
            <w:tcW w:w="5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分项</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单价</w:t>
            </w:r>
          </w:p>
        </w:tc>
        <w:tc>
          <w:tcPr>
            <w:tcW w:w="5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分项</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总价</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6" w:hRule="atLeast"/>
        </w:trPr>
        <w:tc>
          <w:tcPr>
            <w:tcW w:w="3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2</w:t>
            </w:r>
          </w:p>
        </w:tc>
        <w:tc>
          <w:tcPr>
            <w:tcW w:w="60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49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49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5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64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51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11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合同签订</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后</w:t>
            </w:r>
            <w:r>
              <w:rPr>
                <w:rFonts w:ascii="宋体" w:hAnsi="宋体" w:eastAsia="宋体" w:cs="宋体"/>
                <w:color w:val="auto"/>
                <w:sz w:val="24"/>
                <w:highlight w:val="none"/>
                <w:u w:val="single"/>
              </w:rPr>
              <w:t>  </w:t>
            </w:r>
            <w:r>
              <w:rPr>
                <w:rFonts w:ascii="宋体" w:hAnsi="宋体" w:eastAsia="宋体" w:cs="宋体"/>
                <w:color w:val="auto"/>
                <w:sz w:val="24"/>
                <w:highlight w:val="none"/>
              </w:rPr>
              <w:t>日</w:t>
            </w:r>
          </w:p>
        </w:tc>
        <w:tc>
          <w:tcPr>
            <w:tcW w:w="5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4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5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5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724" w:hRule="atLeast"/>
        </w:trPr>
        <w:tc>
          <w:tcPr>
            <w:tcW w:w="3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3</w:t>
            </w:r>
          </w:p>
        </w:tc>
        <w:tc>
          <w:tcPr>
            <w:tcW w:w="60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49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49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5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64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51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11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5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4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5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5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3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4</w:t>
            </w:r>
          </w:p>
        </w:tc>
        <w:tc>
          <w:tcPr>
            <w:tcW w:w="60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49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49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5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64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51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11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5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4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5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5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0" w:hRule="atLeast"/>
        </w:trPr>
        <w:tc>
          <w:tcPr>
            <w:tcW w:w="3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w:t>
            </w:r>
          </w:p>
        </w:tc>
        <w:tc>
          <w:tcPr>
            <w:tcW w:w="60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w:t>
            </w:r>
          </w:p>
        </w:tc>
        <w:tc>
          <w:tcPr>
            <w:tcW w:w="49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49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5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64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51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11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5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4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5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5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49" w:hRule="atLeast"/>
        </w:trPr>
        <w:tc>
          <w:tcPr>
            <w:tcW w:w="3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5987" w:type="dxa"/>
            <w:gridSpan w:val="10"/>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投标总报价（人民币：元）</w:t>
            </w:r>
          </w:p>
        </w:tc>
        <w:tc>
          <w:tcPr>
            <w:tcW w:w="5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auto"/>
                <w:highlight w:val="none"/>
              </w:rPr>
            </w:pPr>
            <w:r>
              <w:rPr>
                <w:rFonts w:ascii="宋体" w:hAnsi="宋体" w:eastAsia="宋体" w:cs="宋体"/>
                <w:color w:val="auto"/>
                <w:sz w:val="24"/>
                <w:highlight w:val="none"/>
              </w:rPr>
              <w:t> </w:t>
            </w:r>
          </w:p>
        </w:tc>
      </w:tr>
    </w:tbl>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宋体" w:hAnsi="宋体" w:eastAsia="宋体" w:cs="宋体"/>
          <w:color w:val="auto"/>
          <w:sz w:val="24"/>
          <w:highlight w:val="none"/>
        </w:rPr>
        <w:t>备注：</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宋体" w:hAnsi="宋体" w:eastAsia="宋体" w:cs="宋体"/>
          <w:color w:val="auto"/>
          <w:sz w:val="24"/>
          <w:highlight w:val="none"/>
        </w:rPr>
        <w:t>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宋体" w:hAnsi="宋体" w:eastAsia="宋体" w:cs="宋体"/>
          <w:color w:val="auto"/>
          <w:sz w:val="24"/>
          <w:highlight w:val="none"/>
        </w:rPr>
        <w:t>2.</w:t>
      </w:r>
      <w:r>
        <w:rPr>
          <w:rFonts w:ascii="宋体" w:hAnsi="宋体" w:eastAsia="宋体" w:cs="宋体"/>
          <w:color w:val="auto"/>
          <w:sz w:val="22"/>
          <w:highlight w:val="none"/>
        </w:rPr>
        <w:t>“</w:t>
      </w:r>
      <w:r>
        <w:rPr>
          <w:rFonts w:ascii="宋体" w:hAnsi="宋体" w:eastAsia="宋体" w:cs="宋体"/>
          <w:color w:val="auto"/>
          <w:sz w:val="24"/>
          <w:highlight w:val="none"/>
        </w:rPr>
        <w:t>投标分项报价表</w:t>
      </w:r>
      <w:r>
        <w:rPr>
          <w:rFonts w:ascii="宋体" w:hAnsi="宋体" w:eastAsia="宋体" w:cs="宋体"/>
          <w:color w:val="auto"/>
          <w:sz w:val="22"/>
          <w:highlight w:val="none"/>
        </w:rPr>
        <w:t>”</w:t>
      </w:r>
      <w:r>
        <w:rPr>
          <w:rFonts w:ascii="宋体" w:hAnsi="宋体" w:eastAsia="宋体" w:cs="宋体"/>
          <w:color w:val="auto"/>
          <w:sz w:val="24"/>
          <w:highlight w:val="none"/>
        </w:rPr>
        <w:t>中“投标总报价”数额应当与“开标一览表”中“投标总报价”数额一致。</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宋体" w:hAnsi="宋体" w:eastAsia="宋体" w:cs="宋体"/>
          <w:color w:val="auto"/>
          <w:sz w:val="24"/>
          <w:highlight w:val="none"/>
        </w:rPr>
        <w:t>3.投标人需认真填写本报价表，尤其注意品牌型号的准确填写。</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附件3 技术要求响应及偏离表（分包号：**）</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38"/>
        <w:gridCol w:w="2877"/>
        <w:gridCol w:w="2976"/>
        <w:gridCol w:w="2015"/>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4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序号</w:t>
            </w:r>
          </w:p>
        </w:tc>
        <w:tc>
          <w:tcPr>
            <w:tcW w:w="306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技术要求</w:t>
            </w:r>
          </w:p>
        </w:tc>
        <w:tc>
          <w:tcPr>
            <w:tcW w:w="319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投标响应情况</w:t>
            </w:r>
          </w:p>
        </w:tc>
        <w:tc>
          <w:tcPr>
            <w:tcW w:w="212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超出、符合或偏离</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1</w:t>
            </w:r>
          </w:p>
        </w:tc>
        <w:tc>
          <w:tcPr>
            <w:tcW w:w="30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 </w:t>
            </w:r>
          </w:p>
        </w:tc>
        <w:tc>
          <w:tcPr>
            <w:tcW w:w="31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 </w:t>
            </w:r>
          </w:p>
        </w:tc>
        <w:tc>
          <w:tcPr>
            <w:tcW w:w="212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 </w:t>
            </w:r>
          </w:p>
        </w:tc>
        <w:tc>
          <w:tcPr>
            <w:tcW w:w="30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w:t>
            </w:r>
          </w:p>
        </w:tc>
        <w:tc>
          <w:tcPr>
            <w:tcW w:w="31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 </w:t>
            </w:r>
          </w:p>
        </w:tc>
        <w:tc>
          <w:tcPr>
            <w:tcW w:w="212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 </w:t>
            </w:r>
          </w:p>
        </w:tc>
      </w:tr>
    </w:tbl>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宋体" w:hAnsi="宋体" w:eastAsia="宋体" w:cs="宋体"/>
          <w:color w:val="auto"/>
          <w:sz w:val="24"/>
          <w:highlight w:val="none"/>
        </w:rPr>
        <w:t>附件3-1  证明材料1，证明材料2，……</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宋体" w:hAnsi="宋体" w:eastAsia="宋体" w:cs="宋体"/>
          <w:color w:val="auto"/>
          <w:sz w:val="24"/>
          <w:highlight w:val="none"/>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宋体" w:hAnsi="宋体" w:eastAsia="宋体" w:cs="宋体"/>
          <w:color w:val="auto"/>
          <w:sz w:val="24"/>
          <w:highlight w:val="none"/>
        </w:rPr>
        <w:t>备注：</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宋体" w:hAnsi="宋体" w:eastAsia="宋体" w:cs="宋体"/>
          <w:color w:val="auto"/>
          <w:sz w:val="24"/>
          <w:highlight w:val="none"/>
        </w:rPr>
        <w:t>1.投标人需对技术要求（未加斜体下划线的非实质性要求）逐条做出明确响应。</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宋体" w:hAnsi="宋体" w:eastAsia="宋体" w:cs="宋体"/>
          <w:color w:val="auto"/>
          <w:sz w:val="24"/>
          <w:highlight w:val="none"/>
        </w:rPr>
        <w:t>2.如果招标文件要求提供证明材料，投标人需将证明材料列于该表之下。</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宋体" w:hAnsi="宋体" w:eastAsia="宋体" w:cs="宋体"/>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附件4 商务要求响应及偏离表（分包号：**）</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38"/>
        <w:gridCol w:w="2877"/>
        <w:gridCol w:w="2976"/>
        <w:gridCol w:w="2015"/>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54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序号</w:t>
            </w:r>
          </w:p>
        </w:tc>
        <w:tc>
          <w:tcPr>
            <w:tcW w:w="306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商务要求</w:t>
            </w:r>
          </w:p>
        </w:tc>
        <w:tc>
          <w:tcPr>
            <w:tcW w:w="319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投标响应情况</w:t>
            </w:r>
          </w:p>
        </w:tc>
        <w:tc>
          <w:tcPr>
            <w:tcW w:w="212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超出、符合或偏离</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1</w:t>
            </w:r>
          </w:p>
        </w:tc>
        <w:tc>
          <w:tcPr>
            <w:tcW w:w="30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 </w:t>
            </w:r>
          </w:p>
        </w:tc>
        <w:tc>
          <w:tcPr>
            <w:tcW w:w="31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 </w:t>
            </w:r>
          </w:p>
        </w:tc>
        <w:tc>
          <w:tcPr>
            <w:tcW w:w="212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 </w:t>
            </w:r>
          </w:p>
        </w:tc>
        <w:tc>
          <w:tcPr>
            <w:tcW w:w="30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w:t>
            </w:r>
          </w:p>
        </w:tc>
        <w:tc>
          <w:tcPr>
            <w:tcW w:w="31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 </w:t>
            </w:r>
          </w:p>
        </w:tc>
        <w:tc>
          <w:tcPr>
            <w:tcW w:w="212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 </w:t>
            </w:r>
          </w:p>
        </w:tc>
      </w:tr>
    </w:tbl>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宋体" w:hAnsi="宋体" w:eastAsia="宋体" w:cs="宋体"/>
          <w:color w:val="auto"/>
          <w:sz w:val="24"/>
          <w:highlight w:val="none"/>
        </w:rPr>
        <w:t>附件4-1  证明材料1，证明材料2，……</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宋体" w:hAnsi="宋体" w:eastAsia="宋体" w:cs="宋体"/>
          <w:color w:val="auto"/>
          <w:sz w:val="24"/>
          <w:highlight w:val="none"/>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宋体" w:hAnsi="宋体" w:eastAsia="宋体" w:cs="宋体"/>
          <w:color w:val="auto"/>
          <w:sz w:val="24"/>
          <w:highlight w:val="none"/>
        </w:rPr>
        <w:t>备注：</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宋体" w:hAnsi="宋体" w:eastAsia="宋体" w:cs="宋体"/>
          <w:color w:val="auto"/>
          <w:sz w:val="24"/>
          <w:highlight w:val="none"/>
        </w:rPr>
        <w:t>1.投标人需对商务要求（未加斜体下划线的非实质性要求）逐条做出明确响应。</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宋体" w:hAnsi="宋体" w:eastAsia="宋体" w:cs="宋体"/>
          <w:color w:val="auto"/>
          <w:sz w:val="24"/>
          <w:highlight w:val="none"/>
        </w:rPr>
        <w:t>2.如果招标文件要求提供证明材料，投标人需将证明材料列于该表之下。</w:t>
      </w:r>
    </w:p>
    <w:p>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260" w:after="260" w:line="98" w:lineRule="atLeast"/>
        <w:ind w:left="0" w:right="0" w:firstLine="0"/>
        <w:jc w:val="both"/>
        <w:rPr>
          <w:color w:val="auto"/>
          <w:highlight w:val="none"/>
        </w:rPr>
      </w:pPr>
      <w:r>
        <w:rPr>
          <w:color w:val="auto"/>
          <w:highlight w:val="none"/>
        </w:rPr>
        <w:br w:type="page" w:clear="all"/>
      </w:r>
    </w:p>
    <w:p>
      <w:pPr>
        <w:pBdr>
          <w:top w:val="none" w:color="000000" w:sz="0" w:space="0"/>
          <w:left w:val="none" w:color="000000" w:sz="0" w:space="0"/>
          <w:bottom w:val="none" w:color="000000" w:sz="0" w:space="0"/>
          <w:right w:val="none" w:color="000000" w:sz="0" w:space="0"/>
        </w:pBdr>
        <w:spacing w:before="260" w:after="260" w:line="98" w:lineRule="atLeast"/>
        <w:ind w:left="0" w:right="0" w:firstLine="0"/>
        <w:jc w:val="both"/>
        <w:rPr>
          <w:rFonts w:ascii="宋体" w:hAnsi="宋体" w:eastAsia="宋体" w:cs="宋体"/>
          <w:b/>
          <w:color w:val="auto"/>
          <w:sz w:val="24"/>
          <w:highlight w:val="none"/>
        </w:rPr>
      </w:pPr>
      <w:r>
        <w:rPr>
          <w:rFonts w:ascii="宋体" w:hAnsi="宋体" w:eastAsia="宋体" w:cs="宋体"/>
          <w:b/>
          <w:color w:val="auto"/>
          <w:sz w:val="24"/>
          <w:highlight w:val="none"/>
        </w:rPr>
        <w:t>附件5                              </w:t>
      </w:r>
    </w:p>
    <w:p>
      <w:pPr>
        <w:pBdr>
          <w:top w:val="none" w:color="000000" w:sz="0" w:space="0"/>
          <w:left w:val="none" w:color="000000" w:sz="0" w:space="0"/>
          <w:bottom w:val="none" w:color="000000" w:sz="0" w:space="0"/>
          <w:right w:val="none" w:color="000000" w:sz="0" w:space="0"/>
        </w:pBdr>
        <w:spacing w:before="260" w:after="260" w:line="98" w:lineRule="atLeast"/>
        <w:ind w:left="0" w:right="0" w:firstLine="0"/>
        <w:jc w:val="both"/>
        <w:rPr>
          <w:color w:val="auto"/>
          <w:highlight w:val="none"/>
        </w:rPr>
      </w:pPr>
      <w:r>
        <w:rPr>
          <w:rFonts w:ascii="宋体" w:hAnsi="宋体" w:eastAsia="宋体" w:cs="宋体"/>
          <w:b/>
          <w:color w:val="auto"/>
          <w:sz w:val="24"/>
          <w:highlight w:val="none"/>
        </w:rPr>
        <w:t>投标函</w:t>
      </w:r>
    </w:p>
    <w:p>
      <w:pPr>
        <w:pBdr>
          <w:top w:val="none" w:color="000000" w:sz="0" w:space="0"/>
          <w:left w:val="none" w:color="000000" w:sz="0" w:space="0"/>
          <w:bottom w:val="none" w:color="000000" w:sz="0" w:space="0"/>
          <w:right w:val="none" w:color="000000" w:sz="0" w:space="0"/>
        </w:pBdr>
        <w:spacing w:before="0" w:after="0" w:line="419" w:lineRule="atLeast"/>
        <w:ind w:left="0" w:right="0" w:firstLine="0"/>
        <w:rPr>
          <w:color w:val="auto"/>
          <w:highlight w:val="none"/>
        </w:rPr>
      </w:pPr>
      <w:r>
        <w:rPr>
          <w:rFonts w:ascii="宋体" w:hAnsi="宋体" w:eastAsia="宋体" w:cs="宋体"/>
          <w:color w:val="auto"/>
          <w:sz w:val="24"/>
          <w:highlight w:val="none"/>
        </w:rPr>
        <w:t>致：</w:t>
      </w:r>
      <w:r>
        <w:rPr>
          <w:rFonts w:ascii="宋体" w:hAnsi="宋体" w:eastAsia="宋体" w:cs="宋体"/>
          <w:color w:val="auto"/>
          <w:sz w:val="24"/>
          <w:highlight w:val="none"/>
          <w:u w:val="single"/>
        </w:rPr>
        <w:t>           </w:t>
      </w:r>
    </w:p>
    <w:p>
      <w:pPr>
        <w:pBdr>
          <w:top w:val="none" w:color="000000" w:sz="0" w:space="0"/>
          <w:left w:val="none" w:color="000000" w:sz="0" w:space="0"/>
          <w:bottom w:val="none" w:color="000000" w:sz="0" w:space="0"/>
          <w:right w:val="none" w:color="000000" w:sz="0" w:space="0"/>
        </w:pBdr>
        <w:spacing w:before="0" w:after="0" w:line="419" w:lineRule="atLeast"/>
        <w:ind w:left="0" w:right="0" w:firstLine="480"/>
        <w:rPr>
          <w:color w:val="auto"/>
          <w:highlight w:val="none"/>
        </w:rPr>
      </w:pPr>
      <w:r>
        <w:rPr>
          <w:rFonts w:ascii="宋体" w:hAnsi="宋体" w:eastAsia="宋体" w:cs="宋体"/>
          <w:color w:val="auto"/>
          <w:sz w:val="24"/>
          <w:highlight w:val="none"/>
        </w:rPr>
        <w:t>根据贵方的 </w:t>
      </w:r>
      <w:r>
        <w:rPr>
          <w:rFonts w:hint="eastAsia" w:ascii="宋体" w:hAnsi="宋体" w:eastAsia="宋体" w:cs="宋体"/>
          <w:color w:val="auto"/>
          <w:sz w:val="24"/>
          <w:highlight w:val="none"/>
          <w:lang w:eastAsia="zh-CN"/>
        </w:rPr>
        <w:t>JSZC-321324-XSZX-G2024-0007</w:t>
      </w:r>
      <w:r>
        <w:rPr>
          <w:rFonts w:ascii="宋体" w:hAnsi="宋体" w:eastAsia="宋体" w:cs="宋体"/>
          <w:color w:val="auto"/>
          <w:sz w:val="24"/>
          <w:highlight w:val="none"/>
        </w:rPr>
        <w:t>号招标文件，正式授权下述签字人_____(姓名)代表我方_______（投标人的名称），全权处理本次项目投标的有关事宜。</w:t>
      </w:r>
    </w:p>
    <w:p>
      <w:pPr>
        <w:pBdr>
          <w:top w:val="none" w:color="000000" w:sz="0" w:space="0"/>
          <w:left w:val="none" w:color="000000" w:sz="0" w:space="0"/>
          <w:bottom w:val="none" w:color="000000" w:sz="0" w:space="0"/>
          <w:right w:val="none" w:color="000000" w:sz="0" w:space="0"/>
        </w:pBdr>
        <w:spacing w:before="0" w:after="0" w:line="419" w:lineRule="atLeast"/>
        <w:ind w:left="0" w:right="0" w:firstLine="480"/>
        <w:rPr>
          <w:color w:val="auto"/>
          <w:highlight w:val="none"/>
        </w:rPr>
      </w:pPr>
      <w:r>
        <w:rPr>
          <w:rFonts w:ascii="宋体" w:hAnsi="宋体" w:eastAsia="宋体" w:cs="宋体"/>
          <w:color w:val="auto"/>
          <w:sz w:val="24"/>
          <w:highlight w:val="none"/>
        </w:rPr>
        <w:t>据此函，__________签字人兹宣布同意如下：</w:t>
      </w:r>
    </w:p>
    <w:p>
      <w:pPr>
        <w:pBdr>
          <w:top w:val="none" w:color="000000" w:sz="0" w:space="0"/>
          <w:left w:val="none" w:color="000000" w:sz="0" w:space="0"/>
          <w:bottom w:val="none" w:color="000000" w:sz="0" w:space="0"/>
          <w:right w:val="none" w:color="000000" w:sz="0" w:space="0"/>
        </w:pBdr>
        <w:spacing w:before="0" w:after="0" w:line="419" w:lineRule="atLeast"/>
        <w:ind w:left="0" w:right="0" w:firstLine="480"/>
        <w:rPr>
          <w:color w:val="auto"/>
          <w:highlight w:val="none"/>
        </w:rPr>
      </w:pPr>
      <w:r>
        <w:rPr>
          <w:rFonts w:ascii="宋体" w:hAnsi="宋体" w:eastAsia="宋体" w:cs="宋体"/>
          <w:color w:val="auto"/>
          <w:sz w:val="24"/>
          <w:highlight w:val="none"/>
        </w:rPr>
        <w:t>1.按招标文件规定的各项要求，向买方提供所需货物（包含与货物相关的服务）。</w:t>
      </w:r>
    </w:p>
    <w:p>
      <w:pPr>
        <w:pBdr>
          <w:top w:val="none" w:color="000000" w:sz="0" w:space="0"/>
          <w:left w:val="none" w:color="000000" w:sz="0" w:space="0"/>
          <w:bottom w:val="none" w:color="000000" w:sz="0" w:space="0"/>
          <w:right w:val="none" w:color="000000" w:sz="0" w:space="0"/>
        </w:pBdr>
        <w:spacing w:before="0" w:after="0" w:line="419" w:lineRule="atLeast"/>
        <w:ind w:left="0" w:right="0" w:firstLine="480"/>
        <w:rPr>
          <w:color w:val="auto"/>
          <w:highlight w:val="none"/>
        </w:rPr>
      </w:pPr>
      <w:r>
        <w:rPr>
          <w:rFonts w:ascii="宋体" w:hAnsi="宋体" w:eastAsia="宋体" w:cs="宋体"/>
          <w:color w:val="auto"/>
          <w:sz w:val="24"/>
          <w:highlight w:val="none"/>
        </w:rPr>
        <w:t>2.我们完全理解贵方不一定将合同授予最低报价的投标人。</w:t>
      </w:r>
    </w:p>
    <w:p>
      <w:pPr>
        <w:pBdr>
          <w:top w:val="none" w:color="000000" w:sz="0" w:space="0"/>
          <w:left w:val="none" w:color="000000" w:sz="0" w:space="0"/>
          <w:bottom w:val="none" w:color="000000" w:sz="0" w:space="0"/>
          <w:right w:val="none" w:color="000000" w:sz="0" w:space="0"/>
        </w:pBdr>
        <w:spacing w:before="0" w:after="0" w:line="419" w:lineRule="atLeast"/>
        <w:ind w:left="0" w:right="0" w:firstLine="480"/>
        <w:rPr>
          <w:color w:val="auto"/>
          <w:highlight w:val="none"/>
        </w:rPr>
      </w:pPr>
      <w:r>
        <w:rPr>
          <w:rFonts w:ascii="宋体" w:hAnsi="宋体" w:eastAsia="宋体" w:cs="宋体"/>
          <w:color w:val="auto"/>
          <w:sz w:val="24"/>
          <w:highlight w:val="none"/>
        </w:rPr>
        <w:t>3.我们已详细审核全部招标文件及其有效补充文件，我们知道必须放弃提出含糊不清或误解问题的权利。</w:t>
      </w:r>
    </w:p>
    <w:p>
      <w:pPr>
        <w:pBdr>
          <w:top w:val="none" w:color="000000" w:sz="0" w:space="0"/>
          <w:left w:val="none" w:color="000000" w:sz="0" w:space="0"/>
          <w:bottom w:val="none" w:color="000000" w:sz="0" w:space="0"/>
          <w:right w:val="none" w:color="000000" w:sz="0" w:space="0"/>
        </w:pBdr>
        <w:spacing w:before="0" w:after="0" w:line="419" w:lineRule="atLeast"/>
        <w:ind w:left="0" w:right="0" w:firstLine="480"/>
        <w:rPr>
          <w:color w:val="auto"/>
          <w:highlight w:val="none"/>
        </w:rPr>
      </w:pPr>
      <w:r>
        <w:rPr>
          <w:rFonts w:ascii="宋体" w:hAnsi="宋体" w:eastAsia="宋体" w:cs="宋体"/>
          <w:color w:val="auto"/>
          <w:sz w:val="24"/>
          <w:highlight w:val="none"/>
        </w:rPr>
        <w:t>4.我们同意从规定的开标日期起遵循本投标文件，并在规定的投标有效期期满之前均具有约束力。</w:t>
      </w:r>
    </w:p>
    <w:p>
      <w:pPr>
        <w:pBdr>
          <w:top w:val="none" w:color="000000" w:sz="0" w:space="0"/>
          <w:left w:val="none" w:color="000000" w:sz="0" w:space="0"/>
          <w:bottom w:val="none" w:color="000000" w:sz="0" w:space="0"/>
          <w:right w:val="none" w:color="000000" w:sz="0" w:space="0"/>
        </w:pBdr>
        <w:spacing w:before="0" w:after="0" w:line="419" w:lineRule="atLeast"/>
        <w:ind w:left="0" w:right="0" w:firstLine="480"/>
        <w:rPr>
          <w:color w:val="auto"/>
          <w:highlight w:val="none"/>
        </w:rPr>
      </w:pPr>
      <w:r>
        <w:rPr>
          <w:rFonts w:ascii="宋体" w:hAnsi="宋体" w:eastAsia="宋体" w:cs="宋体"/>
          <w:color w:val="auto"/>
          <w:sz w:val="24"/>
          <w:highlight w:val="none"/>
        </w:rPr>
        <w:t>5.同意向贵方提供贵方可能另外要求的与投标有关的任何证据或资料，并保证我方已提供和将要提供的文件是真实的、准确的。</w:t>
      </w:r>
    </w:p>
    <w:p>
      <w:pPr>
        <w:pBdr>
          <w:top w:val="none" w:color="000000" w:sz="0" w:space="0"/>
          <w:left w:val="none" w:color="000000" w:sz="0" w:space="0"/>
          <w:bottom w:val="none" w:color="000000" w:sz="0" w:space="0"/>
          <w:right w:val="none" w:color="000000" w:sz="0" w:space="0"/>
        </w:pBdr>
        <w:spacing w:before="0" w:after="0" w:line="419" w:lineRule="atLeast"/>
        <w:ind w:left="0" w:right="0" w:firstLine="480"/>
        <w:rPr>
          <w:color w:val="auto"/>
          <w:highlight w:val="none"/>
        </w:rPr>
      </w:pPr>
      <w:r>
        <w:rPr>
          <w:rFonts w:ascii="宋体" w:hAnsi="宋体" w:eastAsia="宋体" w:cs="宋体"/>
          <w:color w:val="auto"/>
          <w:sz w:val="24"/>
          <w:highlight w:val="none"/>
        </w:rPr>
        <w:t>6.一旦我方中标,我方将根据招标文件的规定，严格履行合同的责任和义务,并保证在招标文件规定的时间完成项目，交付买方验收、使用。</w:t>
      </w:r>
    </w:p>
    <w:p>
      <w:pPr>
        <w:pBdr>
          <w:top w:val="none" w:color="000000" w:sz="0" w:space="0"/>
          <w:left w:val="none" w:color="000000" w:sz="0" w:space="0"/>
          <w:bottom w:val="none" w:color="000000" w:sz="0" w:space="0"/>
          <w:right w:val="none" w:color="000000" w:sz="0" w:space="0"/>
        </w:pBdr>
        <w:spacing w:before="0" w:after="0" w:line="419" w:lineRule="atLeast"/>
        <w:ind w:left="425" w:right="0" w:firstLine="0"/>
        <w:rPr>
          <w:color w:val="auto"/>
          <w:highlight w:val="none"/>
        </w:rPr>
      </w:pPr>
      <w:r>
        <w:rPr>
          <w:rFonts w:ascii="宋体" w:hAnsi="宋体" w:eastAsia="宋体" w:cs="宋体"/>
          <w:color w:val="auto"/>
          <w:sz w:val="24"/>
          <w:highlight w:val="none"/>
        </w:rPr>
        <w:t>7.与本投标有关的正式通讯地址为：</w:t>
      </w:r>
    </w:p>
    <w:p>
      <w:pPr>
        <w:pBdr>
          <w:top w:val="none" w:color="000000" w:sz="0" w:space="0"/>
          <w:left w:val="none" w:color="000000" w:sz="0" w:space="0"/>
          <w:bottom w:val="none" w:color="000000" w:sz="0" w:space="0"/>
          <w:right w:val="none" w:color="000000" w:sz="0" w:space="0"/>
        </w:pBdr>
        <w:spacing w:before="0" w:after="0" w:line="419" w:lineRule="atLeast"/>
        <w:ind w:left="420" w:right="0" w:firstLine="480"/>
        <w:rPr>
          <w:color w:val="auto"/>
          <w:highlight w:val="none"/>
        </w:rPr>
      </w:pPr>
      <w:r>
        <w:rPr>
          <w:rFonts w:ascii="宋体" w:hAnsi="宋体" w:eastAsia="宋体" w:cs="宋体"/>
          <w:color w:val="auto"/>
          <w:sz w:val="24"/>
          <w:highlight w:val="none"/>
        </w:rPr>
        <w:t>地址：</w:t>
      </w:r>
    </w:p>
    <w:p>
      <w:pPr>
        <w:pBdr>
          <w:top w:val="none" w:color="000000" w:sz="0" w:space="0"/>
          <w:left w:val="none" w:color="000000" w:sz="0" w:space="0"/>
          <w:bottom w:val="none" w:color="000000" w:sz="0" w:space="0"/>
          <w:right w:val="none" w:color="000000" w:sz="0" w:space="0"/>
        </w:pBdr>
        <w:spacing w:before="0" w:after="0" w:line="419" w:lineRule="atLeast"/>
        <w:ind w:left="420" w:right="0" w:firstLine="480"/>
        <w:rPr>
          <w:color w:val="auto"/>
          <w:highlight w:val="none"/>
        </w:rPr>
      </w:pPr>
      <w:r>
        <w:rPr>
          <w:rFonts w:ascii="宋体" w:hAnsi="宋体" w:eastAsia="宋体" w:cs="宋体"/>
          <w:color w:val="auto"/>
          <w:sz w:val="24"/>
          <w:highlight w:val="none"/>
        </w:rPr>
        <w:t>邮编：</w:t>
      </w:r>
    </w:p>
    <w:p>
      <w:pPr>
        <w:pBdr>
          <w:top w:val="none" w:color="000000" w:sz="0" w:space="0"/>
          <w:left w:val="none" w:color="000000" w:sz="0" w:space="0"/>
          <w:bottom w:val="none" w:color="000000" w:sz="0" w:space="0"/>
          <w:right w:val="none" w:color="000000" w:sz="0" w:space="0"/>
        </w:pBdr>
        <w:spacing w:before="0" w:after="0" w:line="419" w:lineRule="atLeast"/>
        <w:ind w:left="420" w:right="0" w:firstLine="480"/>
        <w:rPr>
          <w:color w:val="auto"/>
          <w:highlight w:val="none"/>
        </w:rPr>
      </w:pPr>
      <w:r>
        <w:rPr>
          <w:rFonts w:ascii="宋体" w:hAnsi="宋体" w:eastAsia="宋体" w:cs="宋体"/>
          <w:color w:val="auto"/>
          <w:sz w:val="24"/>
          <w:highlight w:val="none"/>
        </w:rPr>
        <w:t>电话：</w:t>
      </w:r>
    </w:p>
    <w:p>
      <w:pPr>
        <w:pBdr>
          <w:top w:val="none" w:color="000000" w:sz="0" w:space="0"/>
          <w:left w:val="none" w:color="000000" w:sz="0" w:space="0"/>
          <w:bottom w:val="none" w:color="000000" w:sz="0" w:space="0"/>
          <w:right w:val="none" w:color="000000" w:sz="0" w:space="0"/>
        </w:pBdr>
        <w:spacing w:before="0" w:after="0" w:line="419" w:lineRule="atLeast"/>
        <w:ind w:left="420" w:right="0" w:firstLine="480"/>
        <w:rPr>
          <w:color w:val="auto"/>
          <w:highlight w:val="none"/>
        </w:rPr>
      </w:pPr>
      <w:r>
        <w:rPr>
          <w:rFonts w:ascii="宋体" w:hAnsi="宋体" w:eastAsia="宋体" w:cs="宋体"/>
          <w:color w:val="auto"/>
          <w:sz w:val="24"/>
          <w:highlight w:val="none"/>
        </w:rPr>
        <w:t>传真：</w:t>
      </w:r>
    </w:p>
    <w:p>
      <w:pPr>
        <w:pBdr>
          <w:top w:val="none" w:color="000000" w:sz="0" w:space="0"/>
          <w:left w:val="none" w:color="000000" w:sz="0" w:space="0"/>
          <w:bottom w:val="none" w:color="000000" w:sz="0" w:space="0"/>
          <w:right w:val="none" w:color="000000" w:sz="0" w:space="0"/>
        </w:pBdr>
        <w:spacing w:before="0" w:after="0" w:line="419" w:lineRule="atLeast"/>
        <w:ind w:left="420" w:right="0" w:firstLine="480"/>
        <w:rPr>
          <w:color w:val="auto"/>
          <w:highlight w:val="none"/>
        </w:rPr>
      </w:pPr>
      <w:r>
        <w:rPr>
          <w:rFonts w:ascii="宋体" w:hAnsi="宋体" w:eastAsia="宋体" w:cs="宋体"/>
          <w:color w:val="auto"/>
          <w:sz w:val="24"/>
          <w:highlight w:val="none"/>
        </w:rPr>
        <w:t>投标人开户行：</w:t>
      </w:r>
    </w:p>
    <w:p>
      <w:pPr>
        <w:pBdr>
          <w:top w:val="none" w:color="000000" w:sz="0" w:space="0"/>
          <w:left w:val="none" w:color="000000" w:sz="0" w:space="0"/>
          <w:bottom w:val="none" w:color="000000" w:sz="0" w:space="0"/>
          <w:right w:val="none" w:color="000000" w:sz="0" w:space="0"/>
        </w:pBdr>
        <w:spacing w:before="0" w:after="0" w:line="419" w:lineRule="atLeast"/>
        <w:ind w:left="420" w:right="0" w:firstLine="480"/>
        <w:rPr>
          <w:color w:val="auto"/>
          <w:highlight w:val="none"/>
        </w:rPr>
      </w:pPr>
      <w:r>
        <w:rPr>
          <w:rFonts w:ascii="宋体" w:hAnsi="宋体" w:eastAsia="宋体" w:cs="宋体"/>
          <w:color w:val="auto"/>
          <w:sz w:val="24"/>
          <w:highlight w:val="none"/>
        </w:rPr>
        <w:t xml:space="preserve">账号： </w:t>
      </w:r>
    </w:p>
    <w:p>
      <w:pPr>
        <w:pBdr>
          <w:top w:val="none" w:color="000000" w:sz="0" w:space="0"/>
          <w:left w:val="none" w:color="000000" w:sz="0" w:space="0"/>
          <w:bottom w:val="none" w:color="000000" w:sz="0" w:space="0"/>
          <w:right w:val="none" w:color="000000" w:sz="0" w:space="0"/>
        </w:pBdr>
        <w:spacing w:before="0" w:after="0" w:line="419" w:lineRule="atLeast"/>
        <w:ind w:left="420" w:right="0" w:firstLine="480"/>
        <w:rPr>
          <w:color w:val="auto"/>
          <w:highlight w:val="none"/>
        </w:rPr>
      </w:pPr>
      <w:r>
        <w:rPr>
          <w:rFonts w:ascii="宋体" w:hAnsi="宋体" w:eastAsia="宋体" w:cs="宋体"/>
          <w:color w:val="auto"/>
          <w:sz w:val="24"/>
          <w:highlight w:val="none"/>
        </w:rPr>
        <w:t>日期：________年____月____日</w:t>
      </w:r>
    </w:p>
    <w:p>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ascii="宋体" w:hAnsi="宋体" w:eastAsia="宋体" w:cs="宋体"/>
          <w:b/>
          <w:color w:val="auto"/>
          <w:sz w:val="24"/>
          <w:highlight w:val="none"/>
        </w:rPr>
      </w:pPr>
      <w:r>
        <w:rPr>
          <w:rFonts w:ascii="宋体" w:hAnsi="宋体" w:eastAsia="宋体" w:cs="宋体"/>
          <w:b/>
          <w:color w:val="auto"/>
          <w:sz w:val="24"/>
          <w:highlight w:val="none"/>
        </w:rPr>
        <w:t>附件6          </w:t>
      </w:r>
    </w:p>
    <w:p>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color w:val="auto"/>
          <w:highlight w:val="none"/>
        </w:rPr>
      </w:pPr>
      <w:r>
        <w:rPr>
          <w:rFonts w:ascii="宋体" w:hAnsi="宋体" w:eastAsia="宋体" w:cs="宋体"/>
          <w:b/>
          <w:color w:val="auto"/>
          <w:sz w:val="24"/>
          <w:highlight w:val="none"/>
        </w:rPr>
        <w:t>法人授权书</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highlight w:val="none"/>
        </w:rPr>
      </w:pPr>
      <w:r>
        <w:rPr>
          <w:rFonts w:ascii="宋体" w:hAnsi="宋体" w:eastAsia="宋体" w:cs="宋体"/>
          <w:color w:val="auto"/>
          <w:sz w:val="24"/>
          <w:highlight w:val="none"/>
        </w:rPr>
        <w:t>本授权书声明：</w:t>
      </w:r>
      <w:r>
        <w:rPr>
          <w:rFonts w:ascii="Times New Roman" w:hAnsi="Times New Roman" w:eastAsia="Times New Roman" w:cs="Times New Roman"/>
          <w:color w:val="auto"/>
          <w:sz w:val="24"/>
          <w:highlight w:val="none"/>
        </w:rPr>
        <w:t>____________</w:t>
      </w:r>
      <w:r>
        <w:rPr>
          <w:rFonts w:ascii="宋体" w:hAnsi="宋体" w:eastAsia="宋体" w:cs="宋体"/>
          <w:color w:val="auto"/>
          <w:sz w:val="24"/>
          <w:highlight w:val="none"/>
        </w:rPr>
        <w:t>（投标人名称）授权</w:t>
      </w:r>
      <w:r>
        <w:rPr>
          <w:rFonts w:ascii="Times New Roman" w:hAnsi="Times New Roman" w:eastAsia="Times New Roman" w:cs="Times New Roman"/>
          <w:color w:val="auto"/>
          <w:sz w:val="24"/>
          <w:highlight w:val="none"/>
        </w:rPr>
        <w:t>________________</w:t>
      </w:r>
      <w:r>
        <w:rPr>
          <w:rFonts w:ascii="宋体" w:hAnsi="宋体" w:eastAsia="宋体" w:cs="宋体"/>
          <w:color w:val="auto"/>
          <w:sz w:val="24"/>
          <w:highlight w:val="none"/>
        </w:rPr>
        <w:t>（被授权人的姓名）为我方就</w:t>
      </w:r>
      <w:r>
        <w:rPr>
          <w:rFonts w:ascii="Times New Roman" w:hAnsi="Times New Roman" w:eastAsia="Times New Roman" w:cs="Times New Roman"/>
          <w:color w:val="auto"/>
          <w:sz w:val="24"/>
          <w:highlight w:val="none"/>
        </w:rPr>
        <w:t> </w:t>
      </w:r>
      <w:r>
        <w:rPr>
          <w:rFonts w:hint="eastAsia" w:ascii="Times New Roman" w:hAnsi="Times New Roman" w:eastAsia="宋体" w:cs="Times New Roman"/>
          <w:color w:val="auto"/>
          <w:sz w:val="24"/>
          <w:highlight w:val="none"/>
          <w:lang w:eastAsia="zh-CN"/>
        </w:rPr>
        <w:t>JSZC-321324-XSZX-G2024-0007</w:t>
      </w:r>
      <w:r>
        <w:rPr>
          <w:rFonts w:ascii="宋体" w:hAnsi="宋体" w:eastAsia="宋体" w:cs="宋体"/>
          <w:color w:val="auto"/>
          <w:sz w:val="24"/>
          <w:highlight w:val="none"/>
        </w:rPr>
        <w:t>号项目采购活动的合法代理人，以本单位名义全权处理一切与该项目采购有关的事务。</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highlight w:val="none"/>
        </w:rPr>
      </w:pPr>
      <w:r>
        <w:rPr>
          <w:rFonts w:ascii="宋体" w:hAnsi="宋体" w:eastAsia="宋体" w:cs="宋体"/>
          <w:color w:val="auto"/>
          <w:sz w:val="24"/>
          <w:highlight w:val="none"/>
        </w:rPr>
        <w:t>本授权书于</w:t>
      </w:r>
      <w:r>
        <w:rPr>
          <w:rFonts w:ascii="Times New Roman" w:hAnsi="Times New Roman" w:eastAsia="Times New Roman" w:cs="Times New Roman"/>
          <w:color w:val="auto"/>
          <w:sz w:val="24"/>
          <w:highlight w:val="none"/>
        </w:rPr>
        <w:t>______</w:t>
      </w:r>
      <w:r>
        <w:rPr>
          <w:rFonts w:ascii="宋体" w:hAnsi="宋体" w:eastAsia="宋体" w:cs="宋体"/>
          <w:color w:val="auto"/>
          <w:sz w:val="24"/>
          <w:highlight w:val="none"/>
        </w:rPr>
        <w:t>年</w:t>
      </w:r>
      <w:r>
        <w:rPr>
          <w:rFonts w:ascii="Times New Roman" w:hAnsi="Times New Roman" w:eastAsia="Times New Roman" w:cs="Times New Roman"/>
          <w:color w:val="auto"/>
          <w:sz w:val="24"/>
          <w:highlight w:val="none"/>
        </w:rPr>
        <w:t>____</w:t>
      </w:r>
      <w:r>
        <w:rPr>
          <w:rFonts w:ascii="宋体" w:hAnsi="宋体" w:eastAsia="宋体" w:cs="宋体"/>
          <w:color w:val="auto"/>
          <w:sz w:val="24"/>
          <w:highlight w:val="none"/>
        </w:rPr>
        <w:t>月</w:t>
      </w:r>
      <w:r>
        <w:rPr>
          <w:rFonts w:ascii="Times New Roman" w:hAnsi="Times New Roman" w:eastAsia="Times New Roman" w:cs="Times New Roman"/>
          <w:color w:val="auto"/>
          <w:sz w:val="24"/>
          <w:highlight w:val="none"/>
        </w:rPr>
        <w:t>____</w:t>
      </w:r>
      <w:r>
        <w:rPr>
          <w:rFonts w:ascii="宋体" w:hAnsi="宋体" w:eastAsia="宋体" w:cs="宋体"/>
          <w:color w:val="auto"/>
          <w:sz w:val="24"/>
          <w:highlight w:val="none"/>
        </w:rPr>
        <w:t>日起生效，特此声明。</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宋体" w:hAnsi="宋体" w:eastAsia="宋体" w:cs="宋体"/>
          <w:color w:val="auto"/>
          <w:sz w:val="24"/>
          <w:highlight w:val="none"/>
        </w:rPr>
        <w:t>  被授权人身份证号码：</w:t>
      </w:r>
      <w:r>
        <w:rPr>
          <w:rFonts w:ascii="宋体" w:hAnsi="宋体" w:eastAsia="宋体" w:cs="宋体"/>
          <w:color w:val="auto"/>
          <w:sz w:val="24"/>
          <w:highlight w:val="none"/>
          <w:u w:val="single"/>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宋体" w:hAnsi="宋体" w:eastAsia="宋体" w:cs="宋体"/>
          <w:color w:val="auto"/>
          <w:sz w:val="24"/>
          <w:highlight w:val="none"/>
        </w:rPr>
        <w:t>  被授权人联系电话：（手机）</w:t>
      </w:r>
      <w:r>
        <w:rPr>
          <w:rFonts w:ascii="宋体" w:hAnsi="宋体" w:eastAsia="宋体" w:cs="宋体"/>
          <w:color w:val="auto"/>
          <w:sz w:val="24"/>
          <w:highlight w:val="none"/>
          <w:u w:val="single"/>
        </w:rPr>
        <w:t>          </w:t>
      </w:r>
    </w:p>
    <w:p>
      <w:pPr>
        <w:pBdr>
          <w:top w:val="none" w:color="000000" w:sz="0" w:space="0"/>
          <w:left w:val="none" w:color="000000" w:sz="0" w:space="0"/>
          <w:bottom w:val="none" w:color="000000" w:sz="0" w:space="0"/>
          <w:right w:val="none" w:color="000000" w:sz="0" w:space="0"/>
        </w:pBdr>
        <w:spacing w:before="0" w:after="0" w:line="400" w:lineRule="atLeast"/>
        <w:ind w:right="0" w:firstLine="480" w:firstLineChars="200"/>
        <w:jc w:val="both"/>
        <w:rPr>
          <w:color w:val="auto"/>
          <w:highlight w:val="none"/>
        </w:rPr>
      </w:pPr>
      <w:r>
        <w:rPr>
          <w:rFonts w:ascii="宋体" w:hAnsi="宋体" w:eastAsia="宋体" w:cs="宋体"/>
          <w:color w:val="auto"/>
          <w:sz w:val="24"/>
          <w:highlight w:val="none"/>
        </w:rPr>
        <w:t>授权单位名称：</w:t>
      </w:r>
      <w:r>
        <w:rPr>
          <w:rFonts w:ascii="宋体" w:hAnsi="宋体" w:eastAsia="宋体" w:cs="宋体"/>
          <w:color w:val="auto"/>
          <w:sz w:val="24"/>
          <w:highlight w:val="none"/>
          <w:u w:val="single"/>
        </w:rPr>
        <w:t>（加盖</w:t>
      </w:r>
      <w:r>
        <w:rPr>
          <w:rFonts w:ascii="Times New Roman" w:hAnsi="Times New Roman" w:eastAsia="Times New Roman" w:cs="Times New Roman"/>
          <w:color w:val="auto"/>
          <w:sz w:val="24"/>
          <w:highlight w:val="none"/>
          <w:u w:val="single"/>
        </w:rPr>
        <w:t>CA</w:t>
      </w:r>
      <w:r>
        <w:rPr>
          <w:rFonts w:ascii="宋体" w:hAnsi="宋体" w:eastAsia="宋体" w:cs="宋体"/>
          <w:color w:val="auto"/>
          <w:sz w:val="24"/>
          <w:highlight w:val="none"/>
          <w:u w:val="single"/>
        </w:rPr>
        <w:t>电子公章）</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highlight w:val="none"/>
        </w:rPr>
      </w:pPr>
      <w:r>
        <w:rPr>
          <w:rFonts w:ascii="宋体" w:hAnsi="宋体" w:eastAsia="宋体" w:cs="宋体"/>
          <w:color w:val="auto"/>
          <w:sz w:val="24"/>
          <w:highlight w:val="none"/>
        </w:rPr>
        <w:t>单位地址：</w:t>
      </w:r>
      <w:r>
        <w:rPr>
          <w:rFonts w:ascii="宋体" w:hAnsi="宋体" w:eastAsia="宋体" w:cs="宋体"/>
          <w:color w:val="auto"/>
          <w:sz w:val="24"/>
          <w:highlight w:val="none"/>
          <w:u w:val="single"/>
        </w:rPr>
        <w:t>                  </w:t>
      </w:r>
    </w:p>
    <w:p>
      <w:pPr>
        <w:pBdr>
          <w:top w:val="none" w:color="000000" w:sz="0" w:space="0"/>
          <w:left w:val="none" w:color="000000" w:sz="0" w:space="0"/>
          <w:bottom w:val="none" w:color="000000" w:sz="0" w:space="0"/>
          <w:right w:val="none" w:color="000000" w:sz="0" w:space="0"/>
        </w:pBdr>
        <w:spacing w:before="0" w:after="0" w:line="559" w:lineRule="atLeast"/>
        <w:ind w:left="0" w:right="0" w:firstLine="0"/>
        <w:jc w:val="both"/>
        <w:rPr>
          <w:color w:val="auto"/>
          <w:highlight w:val="none"/>
        </w:rPr>
      </w:pPr>
      <w:r>
        <w:rPr>
          <w:rFonts w:ascii="宋体" w:hAnsi="宋体" w:eastAsia="宋体" w:cs="宋体"/>
          <w:color w:val="auto"/>
          <w:sz w:val="24"/>
          <w:highlight w:val="none"/>
        </w:rPr>
        <w:t>  日期：</w:t>
      </w:r>
      <w:r>
        <w:rPr>
          <w:rFonts w:ascii="宋体" w:hAnsi="宋体" w:eastAsia="宋体" w:cs="宋体"/>
          <w:color w:val="auto"/>
          <w:sz w:val="24"/>
          <w:highlight w:val="none"/>
          <w:u w:val="single"/>
        </w:rPr>
        <w:t>                      </w:t>
      </w:r>
    </w:p>
    <w:p>
      <w:pPr>
        <w:pBdr>
          <w:top w:val="none" w:color="000000" w:sz="0" w:space="0"/>
          <w:left w:val="none" w:color="000000" w:sz="0" w:space="0"/>
          <w:bottom w:val="none" w:color="000000" w:sz="0" w:space="0"/>
          <w:right w:val="none" w:color="000000" w:sz="0" w:space="0"/>
        </w:pBdr>
        <w:spacing w:before="0" w:after="0" w:line="559" w:lineRule="atLeast"/>
        <w:ind w:left="0" w:right="0" w:firstLine="241"/>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line="559" w:lineRule="atLeast"/>
        <w:ind w:left="0" w:right="0" w:firstLine="241"/>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line="559" w:lineRule="atLeast"/>
        <w:ind w:left="0" w:right="0" w:firstLine="241"/>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line="559" w:lineRule="atLeast"/>
        <w:ind w:left="0" w:right="0" w:firstLine="241"/>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line="559" w:lineRule="atLeast"/>
        <w:ind w:left="0" w:right="0" w:firstLine="241"/>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line="559" w:lineRule="atLeast"/>
        <w:ind w:left="0" w:right="0" w:firstLine="241"/>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line="559" w:lineRule="atLeast"/>
        <w:ind w:left="0" w:right="0" w:firstLine="241"/>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line="559" w:lineRule="atLeast"/>
        <w:ind w:left="0" w:right="0" w:firstLine="241"/>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line="559" w:lineRule="atLeast"/>
        <w:ind w:left="0" w:right="0" w:firstLine="241"/>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line="559" w:lineRule="atLeast"/>
        <w:ind w:left="0" w:right="0" w:firstLine="241"/>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line="559" w:lineRule="atLeast"/>
        <w:ind w:left="0" w:right="0" w:firstLine="241"/>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line="559" w:lineRule="atLeast"/>
        <w:ind w:left="0" w:right="0" w:firstLine="241"/>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line="559" w:lineRule="atLeast"/>
        <w:ind w:left="0" w:right="0" w:firstLine="241"/>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line="559" w:lineRule="atLeast"/>
        <w:ind w:left="0" w:right="0" w:firstLine="241"/>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line="559" w:lineRule="atLeast"/>
        <w:ind w:left="0" w:right="0" w:firstLine="241"/>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line="559" w:lineRule="atLeast"/>
        <w:ind w:left="0" w:right="0" w:firstLine="241"/>
        <w:jc w:val="center"/>
        <w:rPr>
          <w:color w:val="auto"/>
          <w:highlight w:val="none"/>
        </w:rPr>
      </w:pPr>
      <w:r>
        <w:rPr>
          <w:rFonts w:ascii="宋体" w:hAnsi="宋体" w:eastAsia="宋体" w:cs="宋体"/>
          <w:b/>
          <w:color w:val="auto"/>
          <w:sz w:val="24"/>
          <w:highlight w:val="none"/>
        </w:rPr>
        <w:t> </w:t>
      </w:r>
    </w:p>
    <w:p>
      <w:pPr>
        <w:pBdr>
          <w:top w:val="none" w:color="000000" w:sz="0" w:space="0"/>
          <w:left w:val="none" w:color="000000" w:sz="0" w:space="0"/>
          <w:bottom w:val="none" w:color="000000" w:sz="0" w:space="0"/>
          <w:right w:val="none" w:color="000000" w:sz="0" w:space="0"/>
        </w:pBdr>
        <w:spacing w:before="0" w:after="0" w:line="559" w:lineRule="atLeast"/>
        <w:ind w:left="0" w:right="0" w:firstLine="241"/>
        <w:jc w:val="center"/>
        <w:rPr>
          <w:color w:val="auto"/>
          <w:highlight w:val="none"/>
        </w:rPr>
      </w:pPr>
      <w:r>
        <w:rPr>
          <w:rFonts w:ascii="宋体" w:hAnsi="宋体" w:eastAsia="宋体" w:cs="宋体"/>
          <w:b/>
          <w:color w:val="auto"/>
          <w:sz w:val="24"/>
          <w:highlight w:val="none"/>
        </w:rPr>
        <w:t>附件7  中小微企业声明函（货物类项目）（分包号：**）</w:t>
      </w:r>
    </w:p>
    <w:p>
      <w:pPr>
        <w:pBdr>
          <w:top w:val="none" w:color="000000" w:sz="0" w:space="0"/>
          <w:left w:val="none" w:color="000000" w:sz="0" w:space="0"/>
          <w:bottom w:val="none" w:color="000000" w:sz="0" w:space="0"/>
          <w:right w:val="none" w:color="000000" w:sz="0" w:space="0"/>
        </w:pBdr>
        <w:spacing w:before="0" w:after="0" w:line="400" w:lineRule="atLeast"/>
        <w:ind w:left="0" w:right="0" w:firstLine="360"/>
        <w:jc w:val="both"/>
        <w:rPr>
          <w:color w:val="auto"/>
          <w:highlight w:val="none"/>
        </w:rPr>
      </w:pPr>
      <w:r>
        <w:rPr>
          <w:rFonts w:ascii="宋体" w:hAnsi="宋体" w:eastAsia="宋体" w:cs="宋体"/>
          <w:color w:val="auto"/>
          <w:sz w:val="24"/>
          <w:highlight w:val="none"/>
        </w:rPr>
        <w:t>本公司（联合体）郑重声明，根据《政府采购促进中小企业发展管理办法》(财库[2020]46号)的规定，本公司（联合体）参加江苏省政府采购中心组织的</w:t>
      </w:r>
      <w:r>
        <w:rPr>
          <w:rFonts w:ascii="宋体" w:hAnsi="宋体" w:eastAsia="宋体" w:cs="宋体"/>
          <w:color w:val="auto"/>
          <w:sz w:val="24"/>
          <w:highlight w:val="none"/>
          <w:u w:val="single"/>
        </w:rPr>
        <w:t>（单位名称）</w:t>
      </w:r>
      <w:r>
        <w:rPr>
          <w:rFonts w:ascii="宋体" w:hAnsi="宋体" w:eastAsia="宋体" w:cs="宋体"/>
          <w:color w:val="auto"/>
          <w:sz w:val="24"/>
          <w:highlight w:val="none"/>
        </w:rPr>
        <w:t>采购编号为 </w:t>
      </w:r>
      <w:r>
        <w:rPr>
          <w:rFonts w:hint="eastAsia" w:ascii="宋体" w:hAnsi="宋体" w:eastAsia="宋体" w:cs="宋体"/>
          <w:color w:val="auto"/>
          <w:sz w:val="24"/>
          <w:highlight w:val="none"/>
          <w:lang w:eastAsia="zh-CN"/>
        </w:rPr>
        <w:t>JSZC-321324-XSZX-G2024-0007</w:t>
      </w:r>
      <w:r>
        <w:rPr>
          <w:rFonts w:ascii="宋体" w:hAnsi="宋体" w:eastAsia="宋体" w:cs="宋体"/>
          <w:color w:val="auto"/>
          <w:sz w:val="24"/>
          <w:highlight w:val="none"/>
        </w:rPr>
        <w:t>，</w:t>
      </w:r>
      <w:r>
        <w:rPr>
          <w:rFonts w:ascii="宋体" w:hAnsi="宋体" w:eastAsia="宋体" w:cs="宋体"/>
          <w:color w:val="auto"/>
          <w:sz w:val="24"/>
          <w:highlight w:val="none"/>
          <w:u w:val="single"/>
        </w:rPr>
        <w:t>（项目名称）（分包号：**）</w:t>
      </w:r>
      <w:r>
        <w:rPr>
          <w:rFonts w:ascii="宋体" w:hAnsi="宋体" w:eastAsia="宋体" w:cs="宋体"/>
          <w:color w:val="auto"/>
          <w:sz w:val="24"/>
          <w:highlight w:val="none"/>
        </w:rPr>
        <w:t>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pPr>
        <w:pBdr>
          <w:top w:val="none" w:color="000000" w:sz="0" w:space="0"/>
          <w:left w:val="none" w:color="000000" w:sz="0" w:space="0"/>
          <w:bottom w:val="none" w:color="000000" w:sz="0" w:space="0"/>
          <w:right w:val="none" w:color="000000" w:sz="0" w:space="0"/>
        </w:pBdr>
        <w:spacing w:before="0" w:after="0" w:line="400" w:lineRule="atLeast"/>
        <w:ind w:left="0" w:right="0" w:firstLine="360"/>
        <w:jc w:val="both"/>
        <w:rPr>
          <w:color w:val="auto"/>
          <w:highlight w:val="none"/>
        </w:rPr>
      </w:pPr>
      <w:r>
        <w:rPr>
          <w:rFonts w:ascii="宋体" w:hAnsi="宋体" w:eastAsia="宋体" w:cs="宋体"/>
          <w:color w:val="auto"/>
          <w:sz w:val="24"/>
          <w:highlight w:val="none"/>
        </w:rPr>
        <w:t>1.</w:t>
      </w:r>
      <w:r>
        <w:rPr>
          <w:rFonts w:ascii="宋体" w:hAnsi="宋体" w:eastAsia="宋体" w:cs="宋体"/>
          <w:color w:val="auto"/>
          <w:sz w:val="24"/>
          <w:highlight w:val="none"/>
          <w:u w:val="single"/>
        </w:rPr>
        <w:t>（标的名称）</w:t>
      </w:r>
      <w:r>
        <w:rPr>
          <w:rFonts w:ascii="宋体" w:hAnsi="宋体" w:eastAsia="宋体" w:cs="宋体"/>
          <w:i/>
          <w:color w:val="auto"/>
          <w:sz w:val="24"/>
          <w:highlight w:val="none"/>
        </w:rPr>
        <w:t>，</w:t>
      </w:r>
      <w:r>
        <w:rPr>
          <w:rFonts w:ascii="宋体" w:hAnsi="宋体" w:eastAsia="宋体" w:cs="宋体"/>
          <w:color w:val="auto"/>
          <w:sz w:val="24"/>
          <w:highlight w:val="none"/>
        </w:rPr>
        <w:t>属于</w:t>
      </w:r>
      <w:r>
        <w:rPr>
          <w:rFonts w:ascii="宋体" w:hAnsi="宋体" w:eastAsia="宋体" w:cs="宋体"/>
          <w:color w:val="auto"/>
          <w:sz w:val="24"/>
          <w:highlight w:val="none"/>
          <w:u w:val="single"/>
        </w:rPr>
        <w:t>       </w:t>
      </w:r>
      <w:r>
        <w:rPr>
          <w:rFonts w:ascii="宋体" w:hAnsi="宋体" w:eastAsia="宋体" w:cs="宋体"/>
          <w:color w:val="auto"/>
          <w:sz w:val="24"/>
          <w:highlight w:val="none"/>
        </w:rPr>
        <w:t>行业；制造商为</w:t>
      </w:r>
      <w:r>
        <w:rPr>
          <w:rFonts w:ascii="宋体" w:hAnsi="宋体" w:eastAsia="宋体" w:cs="宋体"/>
          <w:color w:val="auto"/>
          <w:sz w:val="24"/>
          <w:highlight w:val="none"/>
          <w:u w:val="single"/>
        </w:rPr>
        <w:t>（企业名称）</w:t>
      </w:r>
      <w:r>
        <w:rPr>
          <w:rFonts w:ascii="宋体" w:hAnsi="宋体" w:eastAsia="宋体" w:cs="宋体"/>
          <w:color w:val="auto"/>
          <w:sz w:val="24"/>
          <w:highlight w:val="none"/>
        </w:rPr>
        <w:t>，从业人员</w:t>
      </w:r>
      <w:r>
        <w:rPr>
          <w:rFonts w:ascii="宋体" w:hAnsi="宋体" w:eastAsia="宋体" w:cs="宋体"/>
          <w:color w:val="auto"/>
          <w:sz w:val="24"/>
          <w:highlight w:val="none"/>
          <w:u w:val="single"/>
        </w:rPr>
        <w:t>      </w:t>
      </w:r>
      <w:r>
        <w:rPr>
          <w:rFonts w:ascii="宋体" w:hAnsi="宋体" w:eastAsia="宋体" w:cs="宋体"/>
          <w:color w:val="auto"/>
          <w:sz w:val="24"/>
          <w:highlight w:val="none"/>
        </w:rPr>
        <w:t>人，营业收入为</w:t>
      </w:r>
      <w:r>
        <w:rPr>
          <w:rFonts w:ascii="宋体" w:hAnsi="宋体" w:eastAsia="宋体" w:cs="宋体"/>
          <w:color w:val="auto"/>
          <w:sz w:val="24"/>
          <w:highlight w:val="none"/>
          <w:u w:val="single"/>
        </w:rPr>
        <w:t>     </w:t>
      </w:r>
      <w:r>
        <w:rPr>
          <w:rFonts w:ascii="宋体" w:hAnsi="宋体" w:eastAsia="宋体" w:cs="宋体"/>
          <w:color w:val="auto"/>
          <w:sz w:val="24"/>
          <w:highlight w:val="none"/>
        </w:rPr>
        <w:t>万元，资产总额为</w:t>
      </w:r>
      <w:r>
        <w:rPr>
          <w:rFonts w:ascii="宋体" w:hAnsi="宋体" w:eastAsia="宋体" w:cs="宋体"/>
          <w:color w:val="auto"/>
          <w:sz w:val="24"/>
          <w:highlight w:val="none"/>
          <w:u w:val="single"/>
        </w:rPr>
        <w:t>      </w:t>
      </w:r>
      <w:r>
        <w:rPr>
          <w:rFonts w:ascii="宋体" w:hAnsi="宋体" w:eastAsia="宋体" w:cs="宋体"/>
          <w:color w:val="auto"/>
          <w:sz w:val="24"/>
          <w:highlight w:val="none"/>
        </w:rPr>
        <w:t>万元，属于</w:t>
      </w:r>
      <w:r>
        <w:rPr>
          <w:rFonts w:ascii="宋体" w:hAnsi="宋体" w:eastAsia="宋体" w:cs="宋体"/>
          <w:color w:val="auto"/>
          <w:sz w:val="24"/>
          <w:highlight w:val="none"/>
          <w:u w:val="single"/>
        </w:rPr>
        <w:t>（□中型企业 □小型企业 □微型企业）；</w:t>
      </w:r>
    </w:p>
    <w:p>
      <w:pPr>
        <w:pBdr>
          <w:top w:val="none" w:color="000000" w:sz="0" w:space="0"/>
          <w:left w:val="none" w:color="000000" w:sz="0" w:space="0"/>
          <w:bottom w:val="none" w:color="000000" w:sz="0" w:space="0"/>
          <w:right w:val="none" w:color="000000" w:sz="0" w:space="0"/>
        </w:pBdr>
        <w:spacing w:before="0" w:after="0" w:line="400" w:lineRule="atLeast"/>
        <w:ind w:left="0" w:right="0" w:firstLine="360"/>
        <w:jc w:val="both"/>
        <w:rPr>
          <w:color w:val="auto"/>
          <w:highlight w:val="none"/>
        </w:rPr>
      </w:pPr>
      <w:r>
        <w:rPr>
          <w:rFonts w:ascii="宋体" w:hAnsi="宋体" w:eastAsia="宋体" w:cs="宋体"/>
          <w:color w:val="auto"/>
          <w:sz w:val="24"/>
          <w:highlight w:val="none"/>
        </w:rPr>
        <w:t>2.</w:t>
      </w:r>
      <w:r>
        <w:rPr>
          <w:rFonts w:ascii="宋体" w:hAnsi="宋体" w:eastAsia="宋体" w:cs="宋体"/>
          <w:color w:val="auto"/>
          <w:sz w:val="24"/>
          <w:highlight w:val="none"/>
          <w:u w:val="single"/>
        </w:rPr>
        <w:t>（标的名称）</w:t>
      </w:r>
      <w:r>
        <w:rPr>
          <w:rFonts w:ascii="宋体" w:hAnsi="宋体" w:eastAsia="宋体" w:cs="宋体"/>
          <w:i/>
          <w:color w:val="auto"/>
          <w:sz w:val="24"/>
          <w:highlight w:val="none"/>
        </w:rPr>
        <w:t>，</w:t>
      </w:r>
      <w:r>
        <w:rPr>
          <w:rFonts w:ascii="宋体" w:hAnsi="宋体" w:eastAsia="宋体" w:cs="宋体"/>
          <w:color w:val="auto"/>
          <w:sz w:val="24"/>
          <w:highlight w:val="none"/>
        </w:rPr>
        <w:t>属于</w:t>
      </w:r>
      <w:r>
        <w:rPr>
          <w:rFonts w:ascii="宋体" w:hAnsi="宋体" w:eastAsia="宋体" w:cs="宋体"/>
          <w:color w:val="auto"/>
          <w:sz w:val="24"/>
          <w:highlight w:val="none"/>
          <w:u w:val="single"/>
        </w:rPr>
        <w:t>       </w:t>
      </w:r>
      <w:r>
        <w:rPr>
          <w:rFonts w:ascii="宋体" w:hAnsi="宋体" w:eastAsia="宋体" w:cs="宋体"/>
          <w:color w:val="auto"/>
          <w:sz w:val="24"/>
          <w:highlight w:val="none"/>
        </w:rPr>
        <w:t>行业；制造商为</w:t>
      </w:r>
      <w:r>
        <w:rPr>
          <w:rFonts w:ascii="宋体" w:hAnsi="宋体" w:eastAsia="宋体" w:cs="宋体"/>
          <w:color w:val="auto"/>
          <w:sz w:val="24"/>
          <w:highlight w:val="none"/>
          <w:u w:val="single"/>
        </w:rPr>
        <w:t>（企业名称）</w:t>
      </w:r>
      <w:r>
        <w:rPr>
          <w:rFonts w:ascii="宋体" w:hAnsi="宋体" w:eastAsia="宋体" w:cs="宋体"/>
          <w:color w:val="auto"/>
          <w:sz w:val="24"/>
          <w:highlight w:val="none"/>
        </w:rPr>
        <w:t>，从业人员</w:t>
      </w:r>
      <w:r>
        <w:rPr>
          <w:rFonts w:ascii="宋体" w:hAnsi="宋体" w:eastAsia="宋体" w:cs="宋体"/>
          <w:color w:val="auto"/>
          <w:sz w:val="24"/>
          <w:highlight w:val="none"/>
          <w:u w:val="single"/>
        </w:rPr>
        <w:t>      </w:t>
      </w:r>
      <w:r>
        <w:rPr>
          <w:rFonts w:ascii="宋体" w:hAnsi="宋体" w:eastAsia="宋体" w:cs="宋体"/>
          <w:color w:val="auto"/>
          <w:sz w:val="24"/>
          <w:highlight w:val="none"/>
        </w:rPr>
        <w:t>人，营业收入为</w:t>
      </w:r>
      <w:r>
        <w:rPr>
          <w:rFonts w:ascii="宋体" w:hAnsi="宋体" w:eastAsia="宋体" w:cs="宋体"/>
          <w:color w:val="auto"/>
          <w:sz w:val="24"/>
          <w:highlight w:val="none"/>
          <w:u w:val="single"/>
        </w:rPr>
        <w:t>     </w:t>
      </w:r>
      <w:r>
        <w:rPr>
          <w:rFonts w:ascii="宋体" w:hAnsi="宋体" w:eastAsia="宋体" w:cs="宋体"/>
          <w:color w:val="auto"/>
          <w:sz w:val="24"/>
          <w:highlight w:val="none"/>
        </w:rPr>
        <w:t>万元，资产总额为</w:t>
      </w:r>
      <w:r>
        <w:rPr>
          <w:rFonts w:ascii="宋体" w:hAnsi="宋体" w:eastAsia="宋体" w:cs="宋体"/>
          <w:color w:val="auto"/>
          <w:sz w:val="24"/>
          <w:highlight w:val="none"/>
          <w:u w:val="single"/>
        </w:rPr>
        <w:t>      </w:t>
      </w:r>
      <w:r>
        <w:rPr>
          <w:rFonts w:ascii="宋体" w:hAnsi="宋体" w:eastAsia="宋体" w:cs="宋体"/>
          <w:color w:val="auto"/>
          <w:sz w:val="24"/>
          <w:highlight w:val="none"/>
        </w:rPr>
        <w:t>万元，属于</w:t>
      </w:r>
      <w:r>
        <w:rPr>
          <w:rFonts w:ascii="宋体" w:hAnsi="宋体" w:eastAsia="宋体" w:cs="宋体"/>
          <w:color w:val="auto"/>
          <w:sz w:val="24"/>
          <w:highlight w:val="none"/>
          <w:u w:val="single"/>
        </w:rPr>
        <w:t>（□中型企业 □小型企业 □微型企业）；</w:t>
      </w:r>
    </w:p>
    <w:p>
      <w:pPr>
        <w:pBdr>
          <w:top w:val="none" w:color="000000" w:sz="0" w:space="0"/>
          <w:left w:val="none" w:color="000000" w:sz="0" w:space="0"/>
          <w:bottom w:val="none" w:color="000000" w:sz="0" w:space="0"/>
          <w:right w:val="none" w:color="000000" w:sz="0" w:space="0"/>
        </w:pBdr>
        <w:spacing w:before="0" w:after="0" w:line="400" w:lineRule="atLeast"/>
        <w:ind w:left="0" w:right="0" w:firstLine="360"/>
        <w:jc w:val="both"/>
        <w:rPr>
          <w:color w:val="auto"/>
          <w:highlight w:val="none"/>
        </w:rPr>
      </w:pPr>
      <w:r>
        <w:rPr>
          <w:rFonts w:ascii="宋体" w:hAnsi="宋体" w:eastAsia="宋体" w:cs="宋体"/>
          <w:color w:val="auto"/>
          <w:sz w:val="24"/>
          <w:highlight w:val="none"/>
        </w:rPr>
        <w:t>……</w:t>
      </w:r>
    </w:p>
    <w:p>
      <w:pPr>
        <w:pBdr>
          <w:top w:val="none" w:color="000000" w:sz="0" w:space="0"/>
          <w:left w:val="none" w:color="000000" w:sz="0" w:space="0"/>
          <w:bottom w:val="none" w:color="000000" w:sz="0" w:space="0"/>
          <w:right w:val="none" w:color="000000" w:sz="0" w:space="0"/>
        </w:pBdr>
        <w:spacing w:before="0" w:after="0" w:line="400" w:lineRule="atLeast"/>
        <w:ind w:left="0" w:right="0" w:firstLine="360"/>
        <w:jc w:val="both"/>
        <w:rPr>
          <w:color w:val="auto"/>
          <w:highlight w:val="none"/>
        </w:rPr>
      </w:pPr>
      <w:r>
        <w:rPr>
          <w:rFonts w:ascii="宋体" w:hAnsi="宋体" w:eastAsia="宋体" w:cs="宋体"/>
          <w:color w:val="auto"/>
          <w:sz w:val="24"/>
          <w:highlight w:val="none"/>
        </w:rPr>
        <w:t>以上企业，不属于大企业的分支机构，不存在控股股东为大企业的情形，也不存在与大企业的负责人为同一人的情形。</w:t>
      </w:r>
    </w:p>
    <w:p>
      <w:pPr>
        <w:pBdr>
          <w:top w:val="none" w:color="000000" w:sz="0" w:space="0"/>
          <w:left w:val="none" w:color="000000" w:sz="0" w:space="0"/>
          <w:bottom w:val="none" w:color="000000" w:sz="0" w:space="0"/>
          <w:right w:val="none" w:color="000000" w:sz="0" w:space="0"/>
        </w:pBdr>
        <w:spacing w:before="0" w:after="0" w:line="400" w:lineRule="atLeast"/>
        <w:ind w:left="0" w:right="0" w:firstLine="360"/>
        <w:jc w:val="both"/>
        <w:rPr>
          <w:color w:val="auto"/>
          <w:highlight w:val="none"/>
        </w:rPr>
      </w:pPr>
      <w:r>
        <w:rPr>
          <w:rFonts w:ascii="宋体" w:hAnsi="宋体" w:eastAsia="宋体" w:cs="宋体"/>
          <w:color w:val="auto"/>
          <w:sz w:val="24"/>
          <w:highlight w:val="none"/>
        </w:rPr>
        <w:t>本企业对上述声明内容的真实性负责。如有虚假，将依法承担相应责任</w:t>
      </w:r>
    </w:p>
    <w:p>
      <w:pPr>
        <w:pBdr>
          <w:top w:val="none" w:color="000000" w:sz="0" w:space="0"/>
          <w:left w:val="none" w:color="000000" w:sz="0" w:space="0"/>
          <w:bottom w:val="none" w:color="000000" w:sz="0" w:space="0"/>
          <w:right w:val="none" w:color="000000" w:sz="0" w:space="0"/>
        </w:pBdr>
        <w:spacing w:before="0" w:after="0" w:line="400" w:lineRule="atLeast"/>
        <w:ind w:left="0" w:right="720" w:firstLine="0"/>
        <w:jc w:val="both"/>
        <w:rPr>
          <w:color w:val="auto"/>
          <w:highlight w:val="none"/>
        </w:rPr>
      </w:pPr>
      <w:r>
        <w:rPr>
          <w:rFonts w:ascii="宋体" w:hAnsi="宋体" w:eastAsia="宋体" w:cs="宋体"/>
          <w:color w:val="auto"/>
          <w:sz w:val="24"/>
          <w:highlight w:val="none"/>
        </w:rPr>
        <w:t> </w:t>
      </w:r>
    </w:p>
    <w:p>
      <w:pPr>
        <w:pBdr>
          <w:top w:val="none" w:color="000000" w:sz="0" w:space="0"/>
          <w:left w:val="none" w:color="000000" w:sz="0" w:space="0"/>
          <w:bottom w:val="none" w:color="000000" w:sz="0" w:space="0"/>
          <w:right w:val="none" w:color="000000" w:sz="0" w:space="0"/>
        </w:pBdr>
        <w:spacing w:before="0" w:after="0" w:line="400" w:lineRule="atLeast"/>
        <w:ind w:left="0" w:right="180" w:firstLine="360"/>
        <w:jc w:val="right"/>
        <w:rPr>
          <w:color w:val="auto"/>
          <w:highlight w:val="none"/>
        </w:rPr>
      </w:pPr>
      <w:r>
        <w:rPr>
          <w:rFonts w:ascii="宋体" w:hAnsi="宋体" w:eastAsia="宋体" w:cs="宋体"/>
          <w:color w:val="auto"/>
          <w:sz w:val="24"/>
          <w:highlight w:val="none"/>
        </w:rPr>
        <w:t>企业名称（加盖CA电子公章）：</w:t>
      </w:r>
    </w:p>
    <w:p>
      <w:pPr>
        <w:pBdr>
          <w:top w:val="none" w:color="000000" w:sz="0" w:space="0"/>
          <w:left w:val="none" w:color="000000" w:sz="0" w:space="0"/>
          <w:bottom w:val="none" w:color="000000" w:sz="0" w:space="0"/>
          <w:right w:val="none" w:color="000000" w:sz="0" w:space="0"/>
        </w:pBdr>
        <w:spacing w:before="0" w:after="0" w:line="400" w:lineRule="atLeast"/>
        <w:ind w:left="0" w:right="480" w:firstLine="5400"/>
        <w:jc w:val="both"/>
        <w:rPr>
          <w:color w:val="auto"/>
          <w:highlight w:val="none"/>
        </w:rPr>
      </w:pPr>
      <w:r>
        <w:rPr>
          <w:rFonts w:ascii="宋体" w:hAnsi="宋体" w:eastAsia="宋体" w:cs="宋体"/>
          <w:color w:val="auto"/>
          <w:sz w:val="24"/>
          <w:highlight w:val="none"/>
        </w:rPr>
        <w:t>日期：</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宋体" w:hAnsi="宋体" w:eastAsia="宋体" w:cs="宋体"/>
          <w:color w:val="auto"/>
          <w:sz w:val="24"/>
          <w:highlight w:val="none"/>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highlight w:val="none"/>
        </w:rPr>
      </w:pPr>
      <w:r>
        <w:rPr>
          <w:rFonts w:ascii="宋体" w:hAnsi="宋体" w:eastAsia="宋体" w:cs="宋体"/>
          <w:color w:val="auto"/>
          <w:sz w:val="24"/>
          <w:highlight w:val="none"/>
        </w:rPr>
        <w:t>备注：</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highlight w:val="none"/>
        </w:rPr>
      </w:pPr>
      <w:r>
        <w:rPr>
          <w:rFonts w:ascii="宋体" w:hAnsi="宋体" w:eastAsia="宋体" w:cs="宋体"/>
          <w:color w:val="auto"/>
          <w:sz w:val="24"/>
          <w:highlight w:val="none"/>
        </w:rPr>
        <w:t>1.从业人员、营业收入、资产总额填报上一年度数据，无上一年度数据的新成立企业可不填报。</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highlight w:val="none"/>
        </w:rPr>
      </w:pPr>
      <w:r>
        <w:rPr>
          <w:rFonts w:ascii="宋体" w:hAnsi="宋体" w:eastAsia="宋体" w:cs="宋体"/>
          <w:color w:val="auto"/>
          <w:sz w:val="24"/>
          <w:highlight w:val="none"/>
        </w:rPr>
        <w:t>2.专门面向中小微型企业采购的项目，供应商如不提供此声明函，则不能通过资格审查；非专门面向中小微型企业采购的项目，供应商如不提供此声明函，价格将不做相应扣除。</w:t>
      </w:r>
    </w:p>
    <w:p>
      <w:pPr>
        <w:pBdr>
          <w:top w:val="none" w:color="000000" w:sz="0" w:space="0"/>
          <w:left w:val="none" w:color="000000" w:sz="0" w:space="0"/>
          <w:bottom w:val="none" w:color="000000" w:sz="0" w:space="0"/>
          <w:right w:val="none" w:color="000000" w:sz="0" w:space="0"/>
        </w:pBdr>
        <w:spacing w:before="0" w:after="0" w:line="400" w:lineRule="atLeast"/>
        <w:ind w:left="540" w:right="0" w:hanging="120"/>
        <w:jc w:val="both"/>
        <w:rPr>
          <w:color w:val="auto"/>
          <w:highlight w:val="none"/>
        </w:rPr>
      </w:pPr>
      <w:r>
        <w:rPr>
          <w:rFonts w:ascii="宋体" w:hAnsi="宋体" w:eastAsia="宋体" w:cs="宋体"/>
          <w:color w:val="auto"/>
          <w:sz w:val="24"/>
          <w:highlight w:val="none"/>
        </w:rPr>
        <w:t>3.供应商自行勾选制造商的企业规模类型。                                        </w:t>
      </w:r>
      <w:r>
        <w:rPr>
          <w:rFonts w:ascii="宋体" w:hAnsi="宋体" w:eastAsia="宋体" w:cs="宋体"/>
          <w:color w:val="auto"/>
          <w:sz w:val="24"/>
          <w:highlight w:val="none"/>
        </w:rPr>
        <w:br w:type="page" w:clear="all"/>
      </w:r>
    </w:p>
    <w:p>
      <w:pPr>
        <w:pBdr>
          <w:top w:val="none" w:color="000000" w:sz="0" w:space="0"/>
          <w:left w:val="none" w:color="000000" w:sz="0" w:space="0"/>
          <w:bottom w:val="none" w:color="000000" w:sz="0" w:space="0"/>
          <w:right w:val="none" w:color="000000" w:sz="0" w:space="0"/>
        </w:pBdr>
        <w:spacing w:before="0" w:after="0" w:line="400" w:lineRule="atLeast"/>
        <w:ind w:left="540" w:right="0" w:hanging="120"/>
        <w:jc w:val="both"/>
        <w:rPr>
          <w:color w:val="auto"/>
          <w:highlight w:val="none"/>
        </w:rPr>
      </w:pPr>
      <w:r>
        <w:rPr>
          <w:rFonts w:ascii="宋体" w:hAnsi="宋体" w:eastAsia="宋体" w:cs="宋体"/>
          <w:b/>
          <w:color w:val="auto"/>
          <w:sz w:val="24"/>
          <w:highlight w:val="none"/>
        </w:rPr>
        <w:t>附件8  残疾人福利性单位声明函（货物类项目）（分包号：**）</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highlight w:val="none"/>
        </w:rPr>
      </w:pPr>
      <w:r>
        <w:rPr>
          <w:rFonts w:ascii="宋体" w:hAnsi="宋体" w:eastAsia="宋体" w:cs="宋体"/>
          <w:color w:val="auto"/>
          <w:sz w:val="24"/>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Times New Roman" w:hAnsi="Times New Roman" w:eastAsia="Times New Roman" w:cs="Times New Roman"/>
          <w:color w:val="auto"/>
          <w:sz w:val="24"/>
          <w:highlight w:val="none"/>
        </w:rPr>
        <w:t> </w:t>
      </w:r>
      <w:r>
        <w:rPr>
          <w:rFonts w:hint="eastAsia" w:ascii="Times New Roman" w:hAnsi="Times New Roman" w:eastAsia="宋体" w:cs="Times New Roman"/>
          <w:color w:val="auto"/>
          <w:sz w:val="24"/>
          <w:highlight w:val="none"/>
          <w:lang w:eastAsia="zh-CN"/>
        </w:rPr>
        <w:t>JSZC-321324-XSZX-G2024-0007</w:t>
      </w:r>
      <w:r>
        <w:rPr>
          <w:rFonts w:ascii="宋体" w:hAnsi="宋体" w:eastAsia="宋体" w:cs="宋体"/>
          <w:color w:val="auto"/>
          <w:sz w:val="24"/>
          <w:highlight w:val="none"/>
        </w:rPr>
        <w:t>的</w:t>
      </w:r>
      <w:r>
        <w:rPr>
          <w:rFonts w:ascii="宋体" w:hAnsi="宋体" w:eastAsia="宋体" w:cs="宋体"/>
          <w:color w:val="auto"/>
          <w:sz w:val="24"/>
          <w:highlight w:val="none"/>
          <w:u w:val="single"/>
        </w:rPr>
        <w:t>       </w:t>
      </w:r>
      <w:r>
        <w:rPr>
          <w:rFonts w:ascii="宋体" w:hAnsi="宋体" w:eastAsia="宋体" w:cs="宋体"/>
          <w:color w:val="auto"/>
          <w:sz w:val="24"/>
          <w:highlight w:val="none"/>
        </w:rPr>
        <w:t>项目（分包号：**）采购活动提供本单位制造的货物，或者提供其他残疾人福利性单位制造的货物（不包括使用非残疾人福利性单位注册商标的货物）。</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highlight w:val="none"/>
        </w:rPr>
      </w:pPr>
      <w:r>
        <w:rPr>
          <w:rFonts w:ascii="宋体" w:hAnsi="宋体" w:eastAsia="宋体" w:cs="宋体"/>
          <w:color w:val="auto"/>
          <w:sz w:val="24"/>
          <w:highlight w:val="none"/>
        </w:rPr>
        <w:t>本单位对上述声明的真实性负责。如有虚假，将依法承担相应责任。</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highlight w:val="none"/>
        </w:rPr>
      </w:pPr>
      <w:r>
        <w:rPr>
          <w:rFonts w:ascii="宋体" w:hAnsi="宋体" w:eastAsia="宋体" w:cs="宋体"/>
          <w:color w:val="auto"/>
          <w:sz w:val="24"/>
          <w:highlight w:val="none"/>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highlight w:val="none"/>
        </w:rPr>
      </w:pPr>
      <w:r>
        <w:rPr>
          <w:rFonts w:ascii="宋体" w:hAnsi="宋体" w:eastAsia="宋体" w:cs="宋体"/>
          <w:color w:val="auto"/>
          <w:sz w:val="24"/>
          <w:highlight w:val="none"/>
        </w:rPr>
        <w:t>备注：</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highlight w:val="none"/>
        </w:rPr>
      </w:pPr>
      <w:r>
        <w:rPr>
          <w:rFonts w:ascii="宋体" w:hAnsi="宋体" w:eastAsia="宋体" w:cs="宋体"/>
          <w:color w:val="auto"/>
          <w:sz w:val="24"/>
          <w:highlight w:val="none"/>
        </w:rPr>
        <w:t>1.专门面向中小微型企业采购的项目，供应商为残疾人福利性单位并提供本单位制造的货物，或者提供其他残疾人福利性单位制造的货物，必须提供此声明函，否则将不能通过资格审查。</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highlight w:val="none"/>
        </w:rPr>
      </w:pPr>
      <w:r>
        <w:rPr>
          <w:rFonts w:ascii="宋体" w:hAnsi="宋体" w:eastAsia="宋体" w:cs="宋体"/>
          <w:color w:val="auto"/>
          <w:sz w:val="24"/>
          <w:highlight w:val="none"/>
        </w:rPr>
        <w:t>2.非专门面向中小微型企业采购的项目，供应商如不提供此声明函，价格将不做相应扣除。</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highlight w:val="none"/>
        </w:rPr>
      </w:pPr>
      <w:r>
        <w:rPr>
          <w:rFonts w:ascii="宋体" w:hAnsi="宋体" w:eastAsia="宋体" w:cs="宋体"/>
          <w:color w:val="auto"/>
          <w:sz w:val="24"/>
          <w:highlight w:val="none"/>
        </w:rPr>
        <w:t>3.中标/</w:t>
      </w:r>
      <w:r>
        <w:rPr>
          <w:rFonts w:hint="eastAsia" w:ascii="宋体" w:hAnsi="宋体" w:cs="宋体"/>
          <w:color w:val="auto"/>
          <w:sz w:val="24"/>
          <w:highlight w:val="none"/>
          <w:lang w:eastAsia="zh-CN"/>
        </w:rPr>
        <w:t>中标供应商</w:t>
      </w:r>
      <w:r>
        <w:rPr>
          <w:rFonts w:ascii="宋体" w:hAnsi="宋体" w:eastAsia="宋体" w:cs="宋体"/>
          <w:color w:val="auto"/>
          <w:sz w:val="24"/>
          <w:highlight w:val="none"/>
        </w:rPr>
        <w:t>为残疾人福利性单位的，此声明函将随中标/成交结果同时公告，接受社会监督。</w:t>
      </w:r>
    </w:p>
    <w:p>
      <w:pPr>
        <w:pBdr>
          <w:top w:val="none" w:color="000000" w:sz="0" w:space="0"/>
          <w:left w:val="none" w:color="000000" w:sz="0" w:space="0"/>
          <w:bottom w:val="none" w:color="000000" w:sz="0" w:space="0"/>
          <w:right w:val="none" w:color="000000" w:sz="0" w:space="0"/>
        </w:pBdr>
        <w:spacing w:before="0" w:after="0" w:line="587" w:lineRule="atLeast"/>
        <w:ind w:left="0" w:right="0" w:firstLine="624"/>
        <w:jc w:val="both"/>
        <w:rPr>
          <w:color w:val="auto"/>
          <w:highlight w:val="none"/>
        </w:rPr>
      </w:pPr>
      <w:r>
        <w:rPr>
          <w:rFonts w:ascii="仿宋" w:hAnsi="仿宋" w:eastAsia="仿宋" w:cs="仿宋"/>
          <w:color w:val="auto"/>
          <w:spacing w:val="6"/>
          <w:sz w:val="30"/>
          <w:highlight w:val="none"/>
        </w:rPr>
        <w:t> </w:t>
      </w:r>
    </w:p>
    <w:p>
      <w:pPr>
        <w:pBdr>
          <w:top w:val="none" w:color="000000" w:sz="0" w:space="0"/>
          <w:left w:val="none" w:color="000000" w:sz="0" w:space="0"/>
          <w:bottom w:val="none" w:color="000000" w:sz="0" w:space="0"/>
          <w:right w:val="none" w:color="000000" w:sz="0" w:space="0"/>
        </w:pBdr>
        <w:spacing w:before="0" w:after="0" w:line="400" w:lineRule="atLeast"/>
        <w:ind w:left="0" w:right="1559" w:firstLine="624"/>
        <w:jc w:val="center"/>
        <w:rPr>
          <w:color w:val="auto"/>
          <w:highlight w:val="none"/>
        </w:rPr>
      </w:pPr>
      <w:r>
        <w:rPr>
          <w:rFonts w:ascii="仿宋" w:hAnsi="仿宋" w:eastAsia="仿宋" w:cs="仿宋"/>
          <w:color w:val="auto"/>
          <w:spacing w:val="6"/>
          <w:sz w:val="30"/>
          <w:highlight w:val="none"/>
        </w:rPr>
        <w:t>             </w:t>
      </w:r>
      <w:r>
        <w:rPr>
          <w:rFonts w:ascii="宋体" w:hAnsi="宋体" w:eastAsia="宋体" w:cs="宋体"/>
          <w:color w:val="auto"/>
          <w:sz w:val="24"/>
          <w:highlight w:val="none"/>
        </w:rPr>
        <w:t>    供应商全称（加盖CA电子公章）：</w:t>
      </w:r>
    </w:p>
    <w:p>
      <w:pPr>
        <w:pBdr>
          <w:top w:val="none" w:color="000000" w:sz="0" w:space="0"/>
          <w:left w:val="none" w:color="000000" w:sz="0" w:space="0"/>
          <w:bottom w:val="none" w:color="000000" w:sz="0" w:space="0"/>
          <w:right w:val="none" w:color="000000" w:sz="0" w:space="0"/>
        </w:pBdr>
        <w:spacing w:before="0" w:after="0" w:line="400" w:lineRule="atLeast"/>
        <w:ind w:right="1559" w:firstLine="2880" w:firstLineChars="1200"/>
        <w:jc w:val="both"/>
        <w:rPr>
          <w:color w:val="auto"/>
          <w:highlight w:val="none"/>
        </w:rPr>
      </w:pPr>
      <w:r>
        <w:rPr>
          <w:rFonts w:ascii="宋体" w:hAnsi="宋体" w:eastAsia="宋体" w:cs="宋体"/>
          <w:color w:val="auto"/>
          <w:sz w:val="24"/>
          <w:highlight w:val="none"/>
        </w:rPr>
        <w:t>日期：</w:t>
      </w:r>
    </w:p>
    <w:p>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color w:val="auto"/>
          <w:highlight w:val="none"/>
        </w:rPr>
      </w:pPr>
      <w:r>
        <w:rPr>
          <w:rFonts w:ascii="黑体" w:hAnsi="黑体" w:eastAsia="黑体" w:cs="黑体"/>
          <w:b/>
          <w:color w:val="auto"/>
          <w:sz w:val="32"/>
          <w:highlight w:val="none"/>
        </w:rPr>
        <w:t> </w:t>
      </w:r>
    </w:p>
    <w:p>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color w:val="auto"/>
          <w:highlight w:val="none"/>
        </w:rPr>
      </w:pPr>
      <w:r>
        <w:rPr>
          <w:rFonts w:ascii="黑体" w:hAnsi="黑体" w:eastAsia="黑体" w:cs="黑体"/>
          <w:b/>
          <w:color w:val="auto"/>
          <w:sz w:val="32"/>
          <w:highlight w:val="none"/>
        </w:rPr>
        <w:t> </w:t>
      </w:r>
    </w:p>
    <w:p>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color w:val="auto"/>
          <w:highlight w:val="none"/>
        </w:rPr>
      </w:pPr>
      <w:r>
        <w:rPr>
          <w:rFonts w:ascii="黑体" w:hAnsi="黑体" w:eastAsia="黑体" w:cs="黑体"/>
          <w:b/>
          <w:color w:val="auto"/>
          <w:sz w:val="32"/>
          <w:highlight w:val="none"/>
        </w:rPr>
        <w:t> </w:t>
      </w:r>
    </w:p>
    <w:p>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color w:val="auto"/>
          <w:highlight w:val="none"/>
        </w:rPr>
      </w:pPr>
      <w:r>
        <w:rPr>
          <w:rFonts w:ascii="黑体" w:hAnsi="黑体" w:eastAsia="黑体" w:cs="黑体"/>
          <w:b/>
          <w:color w:val="auto"/>
          <w:sz w:val="32"/>
          <w:highlight w:val="none"/>
        </w:rPr>
        <w:t> </w:t>
      </w:r>
    </w:p>
    <w:p>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color w:val="auto"/>
          <w:highlight w:val="none"/>
        </w:rPr>
      </w:pPr>
      <w:r>
        <w:rPr>
          <w:rFonts w:ascii="黑体" w:hAnsi="黑体" w:eastAsia="黑体" w:cs="黑体"/>
          <w:b/>
          <w:color w:val="auto"/>
          <w:sz w:val="32"/>
          <w:highlight w:val="none"/>
        </w:rPr>
        <w:t> </w:t>
      </w:r>
    </w:p>
    <w:p>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color w:val="auto"/>
          <w:highlight w:val="none"/>
        </w:rPr>
      </w:pPr>
      <w:r>
        <w:rPr>
          <w:rFonts w:ascii="黑体" w:hAnsi="黑体" w:eastAsia="黑体" w:cs="黑体"/>
          <w:b/>
          <w:color w:val="auto"/>
          <w:sz w:val="32"/>
          <w:highlight w:val="none"/>
        </w:rPr>
        <w:t> </w:t>
      </w:r>
    </w:p>
    <w:p>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color w:val="auto"/>
          <w:highlight w:val="none"/>
        </w:rPr>
      </w:pPr>
      <w:r>
        <w:rPr>
          <w:rFonts w:ascii="黑体" w:hAnsi="黑体" w:eastAsia="黑体" w:cs="黑体"/>
          <w:b/>
          <w:color w:val="auto"/>
          <w:sz w:val="32"/>
          <w:highlight w:val="none"/>
        </w:rPr>
        <w:t> </w:t>
      </w:r>
    </w:p>
    <w:p>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color w:val="auto"/>
          <w:highlight w:val="none"/>
        </w:rPr>
      </w:pPr>
      <w:r>
        <w:rPr>
          <w:rFonts w:ascii="黑体" w:hAnsi="黑体" w:eastAsia="黑体" w:cs="黑体"/>
          <w:b/>
          <w:color w:val="auto"/>
          <w:sz w:val="32"/>
          <w:highlight w:val="none"/>
        </w:rPr>
        <w:t> </w:t>
      </w:r>
    </w:p>
    <w:p>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color w:val="auto"/>
          <w:highlight w:val="none"/>
        </w:rPr>
      </w:pPr>
      <w:r>
        <w:rPr>
          <w:rFonts w:ascii="黑体" w:hAnsi="黑体" w:eastAsia="黑体" w:cs="黑体"/>
          <w:b/>
          <w:color w:val="auto"/>
          <w:sz w:val="32"/>
          <w:highlight w:val="none"/>
        </w:rPr>
        <w:t> </w:t>
      </w:r>
    </w:p>
    <w:p>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color w:val="auto"/>
          <w:highlight w:val="none"/>
        </w:rPr>
      </w:pPr>
      <w:r>
        <w:rPr>
          <w:rFonts w:ascii="黑体" w:hAnsi="黑体" w:eastAsia="黑体" w:cs="黑体"/>
          <w:b/>
          <w:color w:val="auto"/>
          <w:sz w:val="32"/>
          <w:highlight w:val="none"/>
        </w:rPr>
        <w:t> </w:t>
      </w:r>
    </w:p>
    <w:p>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color w:val="auto"/>
          <w:highlight w:val="none"/>
        </w:rPr>
      </w:pPr>
      <w:r>
        <w:rPr>
          <w:rFonts w:ascii="黑体" w:hAnsi="黑体" w:eastAsia="黑体" w:cs="黑体"/>
          <w:b/>
          <w:color w:val="auto"/>
          <w:sz w:val="32"/>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宋体" w:hAnsi="宋体" w:eastAsia="宋体" w:cs="宋体"/>
          <w:color w:val="auto"/>
          <w:sz w:val="22"/>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24"/>
          <w:highlight w:val="none"/>
        </w:rPr>
        <w:t>附件9实质性要求响应及偏离表（分包号：**）</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37"/>
        <w:gridCol w:w="3364"/>
        <w:gridCol w:w="3055"/>
        <w:gridCol w:w="1450"/>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4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序号</w:t>
            </w:r>
          </w:p>
        </w:tc>
        <w:tc>
          <w:tcPr>
            <w:tcW w:w="360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技术要求和商务要求中的实质性要求</w:t>
            </w:r>
            <w:r>
              <w:rPr>
                <w:rFonts w:ascii="宋体" w:hAnsi="宋体" w:eastAsia="宋体" w:cs="宋体"/>
                <w:i/>
                <w:color w:val="auto"/>
                <w:sz w:val="24"/>
                <w:highlight w:val="none"/>
                <w:u w:val="single"/>
              </w:rPr>
              <w:t>（加斜体下划线内容</w:t>
            </w:r>
            <w:r>
              <w:rPr>
                <w:rFonts w:ascii="宋体" w:hAnsi="宋体" w:eastAsia="宋体" w:cs="宋体"/>
                <w:color w:val="auto"/>
                <w:sz w:val="24"/>
                <w:highlight w:val="none"/>
                <w:u w:val="single"/>
              </w:rPr>
              <w:t>或打“★”内容）</w:t>
            </w:r>
          </w:p>
        </w:tc>
        <w:tc>
          <w:tcPr>
            <w:tcW w:w="331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投标响应情况</w:t>
            </w:r>
          </w:p>
        </w:tc>
        <w:tc>
          <w:tcPr>
            <w:tcW w:w="152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超出、符合或偏离</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1</w:t>
            </w:r>
          </w:p>
        </w:tc>
        <w:tc>
          <w:tcPr>
            <w:tcW w:w="360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 </w:t>
            </w:r>
          </w:p>
        </w:tc>
        <w:tc>
          <w:tcPr>
            <w:tcW w:w="33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 </w:t>
            </w:r>
          </w:p>
        </w:tc>
        <w:tc>
          <w:tcPr>
            <w:tcW w:w="152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2</w:t>
            </w:r>
          </w:p>
        </w:tc>
        <w:tc>
          <w:tcPr>
            <w:tcW w:w="360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 </w:t>
            </w:r>
          </w:p>
        </w:tc>
        <w:tc>
          <w:tcPr>
            <w:tcW w:w="33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 </w:t>
            </w:r>
          </w:p>
        </w:tc>
        <w:tc>
          <w:tcPr>
            <w:tcW w:w="152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 </w:t>
            </w:r>
          </w:p>
        </w:tc>
        <w:tc>
          <w:tcPr>
            <w:tcW w:w="360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w:t>
            </w:r>
          </w:p>
        </w:tc>
        <w:tc>
          <w:tcPr>
            <w:tcW w:w="33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 </w:t>
            </w:r>
          </w:p>
        </w:tc>
        <w:tc>
          <w:tcPr>
            <w:tcW w:w="152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color w:val="auto"/>
                <w:highlight w:val="none"/>
              </w:rPr>
            </w:pPr>
            <w:r>
              <w:rPr>
                <w:rFonts w:ascii="宋体" w:hAnsi="宋体" w:eastAsia="宋体" w:cs="宋体"/>
                <w:color w:val="auto"/>
                <w:sz w:val="24"/>
                <w:highlight w:val="none"/>
              </w:rPr>
              <w:t> </w:t>
            </w:r>
          </w:p>
        </w:tc>
      </w:tr>
    </w:tbl>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宋体" w:hAnsi="宋体" w:eastAsia="宋体" w:cs="宋体"/>
          <w:color w:val="auto"/>
          <w:sz w:val="24"/>
          <w:highlight w:val="none"/>
        </w:rPr>
        <w:t>附件9-1 证明材料1，证明材料2，……</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宋体" w:hAnsi="宋体" w:eastAsia="宋体" w:cs="宋体"/>
          <w:color w:val="auto"/>
          <w:sz w:val="24"/>
          <w:highlight w:val="none"/>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宋体" w:hAnsi="宋体" w:eastAsia="宋体" w:cs="宋体"/>
          <w:color w:val="auto"/>
          <w:sz w:val="24"/>
          <w:highlight w:val="none"/>
        </w:rPr>
        <w:t>备注：</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宋体" w:hAnsi="宋体" w:eastAsia="宋体" w:cs="宋体"/>
          <w:color w:val="auto"/>
          <w:sz w:val="24"/>
          <w:highlight w:val="none"/>
        </w:rPr>
        <w:t>1.投标人必须对技术要求和商务要求中的实质性要求</w:t>
      </w:r>
      <w:r>
        <w:rPr>
          <w:rFonts w:ascii="宋体" w:hAnsi="宋体" w:eastAsia="宋体" w:cs="宋体"/>
          <w:i/>
          <w:color w:val="auto"/>
          <w:sz w:val="24"/>
          <w:highlight w:val="none"/>
          <w:u w:val="single"/>
        </w:rPr>
        <w:t>（加斜体下划线内容</w:t>
      </w:r>
      <w:r>
        <w:rPr>
          <w:rFonts w:ascii="宋体" w:hAnsi="宋体" w:eastAsia="宋体" w:cs="宋体"/>
          <w:color w:val="auto"/>
          <w:sz w:val="24"/>
          <w:highlight w:val="none"/>
          <w:u w:val="single"/>
        </w:rPr>
        <w:t>或打“★”内容）</w:t>
      </w:r>
      <w:r>
        <w:rPr>
          <w:rFonts w:ascii="宋体" w:hAnsi="宋体" w:eastAsia="宋体" w:cs="宋体"/>
          <w:color w:val="auto"/>
          <w:sz w:val="24"/>
          <w:highlight w:val="none"/>
        </w:rPr>
        <w:t>逐条做出明确响应。</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宋体" w:hAnsi="宋体" w:eastAsia="宋体" w:cs="宋体"/>
          <w:color w:val="auto"/>
          <w:sz w:val="24"/>
          <w:highlight w:val="none"/>
        </w:rPr>
        <w:t>2.如果招标文件要求提供证明材料，投标人必须将证明材料列于该表之下。</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宋体" w:hAnsi="宋体" w:eastAsia="宋体" w:cs="宋体"/>
          <w:color w:val="auto"/>
          <w:sz w:val="24"/>
          <w:highlight w:val="none"/>
        </w:rPr>
        <w:t>3.投标人未对实质性要求逐条作出明确响应的，或未按招标文件要求提供证明材料的，该分包作无效投标处理。</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宋体" w:hAnsi="宋体" w:eastAsia="宋体" w:cs="宋体"/>
          <w:color w:val="auto"/>
          <w:sz w:val="24"/>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黑体" w:hAnsi="黑体" w:eastAsia="黑体" w:cs="黑体"/>
          <w:b/>
          <w:color w:val="auto"/>
          <w:sz w:val="32"/>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黑体" w:hAnsi="黑体" w:eastAsia="黑体" w:cs="黑体"/>
          <w:b/>
          <w:color w:val="auto"/>
          <w:sz w:val="32"/>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黑体" w:hAnsi="黑体" w:eastAsia="黑体" w:cs="黑体"/>
          <w:b/>
          <w:color w:val="auto"/>
          <w:sz w:val="32"/>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黑体" w:hAnsi="黑体" w:eastAsia="黑体" w:cs="黑体"/>
          <w:b/>
          <w:color w:val="auto"/>
          <w:sz w:val="32"/>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黑体" w:hAnsi="黑体" w:eastAsia="黑体" w:cs="黑体"/>
          <w:b/>
          <w:color w:val="auto"/>
          <w:sz w:val="32"/>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黑体" w:hAnsi="黑体" w:eastAsia="黑体" w:cs="黑体"/>
          <w:b/>
          <w:color w:val="auto"/>
          <w:sz w:val="32"/>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黑体" w:hAnsi="黑体" w:eastAsia="黑体" w:cs="黑体"/>
          <w:b/>
          <w:color w:val="auto"/>
          <w:sz w:val="32"/>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黑体" w:hAnsi="黑体" w:eastAsia="黑体" w:cs="黑体"/>
          <w:b/>
          <w:color w:val="auto"/>
          <w:sz w:val="32"/>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黑体" w:hAnsi="黑体" w:eastAsia="黑体" w:cs="黑体"/>
          <w:b/>
          <w:color w:val="auto"/>
          <w:sz w:val="32"/>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color w:val="auto"/>
          <w:highlight w:val="none"/>
        </w:rPr>
        <w:br w:type="page" w:clear="all"/>
      </w:r>
    </w:p>
    <w:p>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highlight w:val="none"/>
        </w:rPr>
      </w:pPr>
      <w:r>
        <w:rPr>
          <w:rFonts w:ascii="Times New Roman" w:hAnsi="Times New Roman" w:eastAsia="Times New Roman" w:cs="Times New Roman"/>
          <w:color w:val="auto"/>
          <w:sz w:val="22"/>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32"/>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32"/>
          <w:highlight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32"/>
          <w:highlight w:val="none"/>
        </w:rPr>
        <w:t>质疑函范本</w:t>
      </w:r>
    </w:p>
    <w:p>
      <w:pPr>
        <w:pBdr>
          <w:top w:val="none" w:color="000000" w:sz="0" w:space="0"/>
          <w:left w:val="none" w:color="000000" w:sz="0" w:space="0"/>
          <w:bottom w:val="none" w:color="000000" w:sz="0" w:space="0"/>
          <w:right w:val="none" w:color="000000" w:sz="0" w:space="0"/>
        </w:pBdr>
        <w:spacing w:before="290" w:after="0" w:line="85" w:lineRule="atLeast"/>
        <w:ind w:left="0" w:right="0" w:firstLine="0"/>
        <w:jc w:val="both"/>
        <w:rPr>
          <w:color w:val="auto"/>
          <w:highlight w:val="none"/>
        </w:rPr>
      </w:pPr>
      <w:r>
        <w:rPr>
          <w:rFonts w:ascii="宋体" w:hAnsi="宋体" w:eastAsia="宋体" w:cs="宋体"/>
          <w:color w:val="auto"/>
          <w:sz w:val="24"/>
          <w:highlight w:val="none"/>
        </w:rPr>
        <w:t>一、质疑供应商基本信息</w:t>
      </w:r>
    </w:p>
    <w:p>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highlight w:val="none"/>
        </w:rPr>
      </w:pPr>
      <w:r>
        <w:rPr>
          <w:rFonts w:ascii="宋体" w:hAnsi="宋体" w:eastAsia="宋体" w:cs="宋体"/>
          <w:color w:val="auto"/>
          <w:sz w:val="24"/>
          <w:highlight w:val="none"/>
        </w:rPr>
        <w:t>质疑供应商：</w:t>
      </w:r>
      <w:r>
        <w:rPr>
          <w:rFonts w:ascii="宋体" w:hAnsi="宋体" w:eastAsia="宋体" w:cs="宋体"/>
          <w:color w:val="auto"/>
          <w:sz w:val="24"/>
          <w:highlight w:val="none"/>
          <w:u w:val="single"/>
        </w:rPr>
        <w:t>                                                              </w:t>
      </w:r>
    </w:p>
    <w:p>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highlight w:val="none"/>
        </w:rPr>
      </w:pPr>
      <w:r>
        <w:rPr>
          <w:rFonts w:ascii="宋体" w:hAnsi="宋体" w:eastAsia="宋体" w:cs="宋体"/>
          <w:color w:val="auto"/>
          <w:sz w:val="24"/>
          <w:highlight w:val="none"/>
        </w:rPr>
        <w:t>地址：</w:t>
      </w:r>
      <w:r>
        <w:rPr>
          <w:rFonts w:ascii="宋体" w:hAnsi="宋体" w:eastAsia="宋体" w:cs="宋体"/>
          <w:color w:val="auto"/>
          <w:sz w:val="24"/>
          <w:highlight w:val="none"/>
          <w:u w:val="single"/>
        </w:rPr>
        <w:t>                             </w:t>
      </w:r>
      <w:r>
        <w:rPr>
          <w:rFonts w:ascii="宋体" w:hAnsi="宋体" w:eastAsia="宋体" w:cs="宋体"/>
          <w:color w:val="auto"/>
          <w:sz w:val="24"/>
          <w:highlight w:val="none"/>
        </w:rPr>
        <w:t>邮编：</w:t>
      </w:r>
      <w:r>
        <w:rPr>
          <w:rFonts w:ascii="宋体" w:hAnsi="宋体" w:eastAsia="宋体" w:cs="宋体"/>
          <w:color w:val="auto"/>
          <w:sz w:val="24"/>
          <w:highlight w:val="none"/>
          <w:u w:val="single"/>
        </w:rPr>
        <w:t>                                    </w:t>
      </w:r>
    </w:p>
    <w:p>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highlight w:val="none"/>
        </w:rPr>
      </w:pPr>
      <w:r>
        <w:rPr>
          <w:rFonts w:ascii="宋体" w:hAnsi="宋体" w:eastAsia="宋体" w:cs="宋体"/>
          <w:color w:val="auto"/>
          <w:sz w:val="24"/>
          <w:highlight w:val="none"/>
        </w:rPr>
        <w:t>联系人：</w:t>
      </w:r>
      <w:r>
        <w:rPr>
          <w:rFonts w:ascii="宋体" w:hAnsi="宋体" w:eastAsia="宋体" w:cs="宋体"/>
          <w:color w:val="auto"/>
          <w:sz w:val="24"/>
          <w:highlight w:val="none"/>
          <w:u w:val="single"/>
        </w:rPr>
        <w:t>                      </w:t>
      </w:r>
      <w:r>
        <w:rPr>
          <w:rFonts w:ascii="宋体" w:hAnsi="宋体" w:eastAsia="宋体" w:cs="宋体"/>
          <w:color w:val="auto"/>
          <w:sz w:val="24"/>
          <w:highlight w:val="none"/>
        </w:rPr>
        <w:t>联系电话：</w:t>
      </w:r>
      <w:r>
        <w:rPr>
          <w:rFonts w:ascii="宋体" w:hAnsi="宋体" w:eastAsia="宋体" w:cs="宋体"/>
          <w:color w:val="auto"/>
          <w:sz w:val="24"/>
          <w:highlight w:val="none"/>
          <w:u w:val="single"/>
        </w:rPr>
        <w:t>                                       </w:t>
      </w:r>
    </w:p>
    <w:p>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highlight w:val="none"/>
        </w:rPr>
      </w:pPr>
      <w:r>
        <w:rPr>
          <w:rFonts w:ascii="宋体" w:hAnsi="宋体" w:eastAsia="宋体" w:cs="宋体"/>
          <w:color w:val="auto"/>
          <w:sz w:val="24"/>
          <w:highlight w:val="none"/>
        </w:rPr>
        <w:t>授权代表：</w:t>
      </w:r>
      <w:r>
        <w:rPr>
          <w:rFonts w:ascii="宋体" w:hAnsi="宋体" w:eastAsia="宋体" w:cs="宋体"/>
          <w:color w:val="auto"/>
          <w:sz w:val="24"/>
          <w:highlight w:val="none"/>
          <w:u w:val="single"/>
        </w:rPr>
        <w:t>                                                                 </w:t>
      </w:r>
    </w:p>
    <w:p>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highlight w:val="none"/>
        </w:rPr>
      </w:pPr>
      <w:r>
        <w:rPr>
          <w:rFonts w:ascii="宋体" w:hAnsi="宋体" w:eastAsia="宋体" w:cs="宋体"/>
          <w:color w:val="auto"/>
          <w:sz w:val="24"/>
          <w:highlight w:val="none"/>
        </w:rPr>
        <w:t>联系电话：</w:t>
      </w:r>
      <w:r>
        <w:rPr>
          <w:rFonts w:ascii="宋体" w:hAnsi="宋体" w:eastAsia="宋体" w:cs="宋体"/>
          <w:color w:val="auto"/>
          <w:sz w:val="24"/>
          <w:highlight w:val="none"/>
          <w:u w:val="single"/>
        </w:rPr>
        <w:t>                                                                </w:t>
      </w:r>
    </w:p>
    <w:p>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highlight w:val="none"/>
        </w:rPr>
      </w:pPr>
      <w:r>
        <w:rPr>
          <w:rFonts w:ascii="宋体" w:hAnsi="宋体" w:eastAsia="宋体" w:cs="宋体"/>
          <w:color w:val="auto"/>
          <w:sz w:val="24"/>
          <w:highlight w:val="none"/>
        </w:rPr>
        <w:t>地址： </w:t>
      </w:r>
      <w:r>
        <w:rPr>
          <w:rFonts w:ascii="宋体" w:hAnsi="宋体" w:eastAsia="宋体" w:cs="宋体"/>
          <w:color w:val="auto"/>
          <w:sz w:val="24"/>
          <w:highlight w:val="none"/>
          <w:u w:val="single"/>
        </w:rPr>
        <w:t>                        </w:t>
      </w:r>
      <w:r>
        <w:rPr>
          <w:rFonts w:ascii="宋体" w:hAnsi="宋体" w:eastAsia="宋体" w:cs="宋体"/>
          <w:color w:val="auto"/>
          <w:sz w:val="24"/>
          <w:highlight w:val="none"/>
        </w:rPr>
        <w:t>邮编：</w:t>
      </w:r>
      <w:r>
        <w:rPr>
          <w:rFonts w:ascii="宋体" w:hAnsi="宋体" w:eastAsia="宋体" w:cs="宋体"/>
          <w:color w:val="auto"/>
          <w:sz w:val="24"/>
          <w:highlight w:val="none"/>
          <w:u w:val="single"/>
        </w:rPr>
        <w:t>                                     </w:t>
      </w:r>
    </w:p>
    <w:p>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highlight w:val="none"/>
        </w:rPr>
      </w:pPr>
      <w:r>
        <w:rPr>
          <w:rFonts w:ascii="宋体" w:hAnsi="宋体" w:eastAsia="宋体" w:cs="宋体"/>
          <w:color w:val="auto"/>
          <w:sz w:val="24"/>
          <w:highlight w:val="none"/>
        </w:rPr>
        <w:t>二、质疑项目基本情况</w:t>
      </w:r>
    </w:p>
    <w:p>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highlight w:val="none"/>
        </w:rPr>
      </w:pPr>
      <w:r>
        <w:rPr>
          <w:rFonts w:ascii="宋体" w:hAnsi="宋体" w:eastAsia="宋体" w:cs="宋体"/>
          <w:color w:val="auto"/>
          <w:sz w:val="24"/>
          <w:highlight w:val="none"/>
        </w:rPr>
        <w:t>质疑项目的名称：</w:t>
      </w:r>
      <w:r>
        <w:rPr>
          <w:rFonts w:ascii="宋体" w:hAnsi="宋体" w:eastAsia="宋体" w:cs="宋体"/>
          <w:color w:val="auto"/>
          <w:sz w:val="24"/>
          <w:highlight w:val="none"/>
          <w:u w:val="single"/>
        </w:rPr>
        <w:t>                                                          </w:t>
      </w:r>
    </w:p>
    <w:p>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highlight w:val="none"/>
        </w:rPr>
      </w:pPr>
      <w:r>
        <w:rPr>
          <w:rFonts w:ascii="宋体" w:hAnsi="宋体" w:eastAsia="宋体" w:cs="宋体"/>
          <w:color w:val="auto"/>
          <w:sz w:val="24"/>
          <w:highlight w:val="none"/>
        </w:rPr>
        <w:t>质疑项目的编号：</w:t>
      </w:r>
      <w:r>
        <w:rPr>
          <w:rFonts w:ascii="宋体" w:hAnsi="宋体" w:eastAsia="宋体" w:cs="宋体"/>
          <w:color w:val="auto"/>
          <w:sz w:val="24"/>
          <w:highlight w:val="none"/>
          <w:u w:val="single"/>
        </w:rPr>
        <w:t>                         </w:t>
      </w:r>
      <w:r>
        <w:rPr>
          <w:rFonts w:ascii="宋体" w:hAnsi="宋体" w:eastAsia="宋体" w:cs="宋体"/>
          <w:color w:val="auto"/>
          <w:sz w:val="24"/>
          <w:highlight w:val="none"/>
        </w:rPr>
        <w:t>包号：</w:t>
      </w:r>
      <w:r>
        <w:rPr>
          <w:rFonts w:ascii="宋体" w:hAnsi="宋体" w:eastAsia="宋体" w:cs="宋体"/>
          <w:color w:val="auto"/>
          <w:sz w:val="24"/>
          <w:highlight w:val="none"/>
          <w:u w:val="single"/>
        </w:rPr>
        <w:t>                           </w:t>
      </w:r>
    </w:p>
    <w:p>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highlight w:val="none"/>
        </w:rPr>
      </w:pPr>
      <w:r>
        <w:rPr>
          <w:rFonts w:ascii="宋体" w:hAnsi="宋体" w:eastAsia="宋体" w:cs="宋体"/>
          <w:color w:val="auto"/>
          <w:sz w:val="24"/>
          <w:highlight w:val="none"/>
        </w:rPr>
        <w:t>采购人名称：</w:t>
      </w:r>
      <w:r>
        <w:rPr>
          <w:rFonts w:ascii="宋体" w:hAnsi="宋体" w:eastAsia="宋体" w:cs="宋体"/>
          <w:color w:val="auto"/>
          <w:sz w:val="24"/>
          <w:highlight w:val="none"/>
          <w:u w:val="single"/>
        </w:rPr>
        <w:t>                                                              </w:t>
      </w:r>
    </w:p>
    <w:p>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highlight w:val="none"/>
        </w:rPr>
      </w:pPr>
      <w:r>
        <w:rPr>
          <w:rFonts w:ascii="宋体" w:hAnsi="宋体" w:eastAsia="宋体" w:cs="宋体"/>
          <w:color w:val="auto"/>
          <w:sz w:val="24"/>
          <w:highlight w:val="none"/>
        </w:rPr>
        <w:t>采购文件获取日期：</w:t>
      </w:r>
      <w:r>
        <w:rPr>
          <w:rFonts w:ascii="宋体" w:hAnsi="宋体" w:eastAsia="宋体" w:cs="宋体"/>
          <w:color w:val="auto"/>
          <w:sz w:val="24"/>
          <w:highlight w:val="none"/>
          <w:u w:val="single"/>
        </w:rPr>
        <w:t>                                                        </w:t>
      </w:r>
    </w:p>
    <w:p>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highlight w:val="none"/>
        </w:rPr>
      </w:pPr>
      <w:r>
        <w:rPr>
          <w:rFonts w:ascii="宋体" w:hAnsi="宋体" w:eastAsia="宋体" w:cs="宋体"/>
          <w:color w:val="auto"/>
          <w:sz w:val="24"/>
          <w:highlight w:val="none"/>
        </w:rPr>
        <w:t>三、质疑事项具体内容</w:t>
      </w:r>
    </w:p>
    <w:p>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highlight w:val="none"/>
        </w:rPr>
      </w:pPr>
      <w:r>
        <w:rPr>
          <w:rFonts w:ascii="宋体" w:hAnsi="宋体" w:eastAsia="宋体" w:cs="宋体"/>
          <w:color w:val="auto"/>
          <w:sz w:val="24"/>
          <w:highlight w:val="none"/>
        </w:rPr>
        <w:t>质疑事项1：</w:t>
      </w:r>
      <w:r>
        <w:rPr>
          <w:rFonts w:ascii="宋体" w:hAnsi="宋体" w:eastAsia="宋体" w:cs="宋体"/>
          <w:color w:val="auto"/>
          <w:sz w:val="24"/>
          <w:highlight w:val="none"/>
          <w:u w:val="single"/>
        </w:rPr>
        <w:t>                                                              </w:t>
      </w:r>
    </w:p>
    <w:p>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highlight w:val="none"/>
        </w:rPr>
      </w:pPr>
      <w:r>
        <w:rPr>
          <w:rFonts w:ascii="宋体" w:hAnsi="宋体" w:eastAsia="宋体" w:cs="宋体"/>
          <w:color w:val="auto"/>
          <w:sz w:val="24"/>
          <w:highlight w:val="none"/>
        </w:rPr>
        <w:t>事实依据：</w:t>
      </w:r>
      <w:r>
        <w:rPr>
          <w:rFonts w:ascii="宋体" w:hAnsi="宋体" w:eastAsia="宋体" w:cs="宋体"/>
          <w:color w:val="auto"/>
          <w:sz w:val="24"/>
          <w:highlight w:val="none"/>
          <w:u w:val="single"/>
        </w:rPr>
        <w:t>                                                                </w:t>
      </w:r>
    </w:p>
    <w:p>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highlight w:val="none"/>
        </w:rPr>
      </w:pPr>
      <w:r>
        <w:rPr>
          <w:rFonts w:ascii="宋体" w:hAnsi="宋体" w:eastAsia="宋体" w:cs="宋体"/>
          <w:color w:val="auto"/>
          <w:sz w:val="24"/>
          <w:highlight w:val="none"/>
          <w:u w:val="single"/>
        </w:rPr>
        <w:t>                                                                           </w:t>
      </w:r>
    </w:p>
    <w:p>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highlight w:val="none"/>
        </w:rPr>
      </w:pPr>
      <w:r>
        <w:rPr>
          <w:rFonts w:ascii="宋体" w:hAnsi="宋体" w:eastAsia="宋体" w:cs="宋体"/>
          <w:color w:val="auto"/>
          <w:sz w:val="24"/>
          <w:highlight w:val="none"/>
        </w:rPr>
        <w:t>法律依据：</w:t>
      </w:r>
      <w:r>
        <w:rPr>
          <w:rFonts w:ascii="宋体" w:hAnsi="宋体" w:eastAsia="宋体" w:cs="宋体"/>
          <w:color w:val="auto"/>
          <w:sz w:val="24"/>
          <w:highlight w:val="none"/>
          <w:u w:val="single"/>
        </w:rPr>
        <w:t>                                                                 </w:t>
      </w:r>
    </w:p>
    <w:p>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highlight w:val="none"/>
        </w:rPr>
      </w:pPr>
      <w:r>
        <w:rPr>
          <w:rFonts w:ascii="宋体" w:hAnsi="宋体" w:eastAsia="宋体" w:cs="宋体"/>
          <w:color w:val="auto"/>
          <w:sz w:val="24"/>
          <w:highlight w:val="none"/>
          <w:u w:val="single"/>
        </w:rPr>
        <w:t>                                                                           </w:t>
      </w:r>
    </w:p>
    <w:p>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highlight w:val="none"/>
        </w:rPr>
      </w:pPr>
      <w:r>
        <w:rPr>
          <w:rFonts w:ascii="宋体" w:hAnsi="宋体" w:eastAsia="宋体" w:cs="宋体"/>
          <w:color w:val="auto"/>
          <w:sz w:val="24"/>
          <w:highlight w:val="none"/>
        </w:rPr>
        <w:t>质疑事项2</w:t>
      </w:r>
    </w:p>
    <w:p>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highlight w:val="none"/>
        </w:rPr>
      </w:pPr>
      <w:r>
        <w:rPr>
          <w:rFonts w:ascii="宋体" w:hAnsi="宋体" w:eastAsia="宋体" w:cs="宋体"/>
          <w:color w:val="auto"/>
          <w:sz w:val="24"/>
          <w:highlight w:val="none"/>
        </w:rPr>
        <w:t>……</w:t>
      </w:r>
    </w:p>
    <w:p>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highlight w:val="none"/>
        </w:rPr>
      </w:pPr>
      <w:r>
        <w:rPr>
          <w:rFonts w:ascii="宋体" w:hAnsi="宋体" w:eastAsia="宋体" w:cs="宋体"/>
          <w:color w:val="auto"/>
          <w:sz w:val="24"/>
          <w:highlight w:val="none"/>
        </w:rPr>
        <w:t>四、与质疑事项相关的质疑请求</w:t>
      </w:r>
    </w:p>
    <w:p>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highlight w:val="none"/>
        </w:rPr>
      </w:pPr>
      <w:r>
        <w:rPr>
          <w:rFonts w:ascii="宋体" w:hAnsi="宋体" w:eastAsia="宋体" w:cs="宋体"/>
          <w:color w:val="auto"/>
          <w:sz w:val="24"/>
          <w:highlight w:val="none"/>
        </w:rPr>
        <w:t>请求：</w:t>
      </w:r>
      <w:r>
        <w:rPr>
          <w:rFonts w:ascii="宋体" w:hAnsi="宋体" w:eastAsia="宋体" w:cs="宋体"/>
          <w:color w:val="auto"/>
          <w:sz w:val="24"/>
          <w:highlight w:val="none"/>
          <w:u w:val="single"/>
        </w:rPr>
        <w:t>                                                                     </w:t>
      </w:r>
    </w:p>
    <w:p>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宋体" w:hAnsi="宋体" w:eastAsia="宋体" w:cs="宋体"/>
          <w:color w:val="auto"/>
          <w:sz w:val="24"/>
          <w:highlight w:val="none"/>
        </w:rPr>
        <w:t>签字(签章)：                   公章：                      </w:t>
      </w:r>
    </w:p>
    <w:p>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宋体" w:hAnsi="宋体" w:eastAsia="宋体" w:cs="宋体"/>
          <w:color w:val="auto"/>
          <w:sz w:val="24"/>
          <w:highlight w:val="none"/>
        </w:rPr>
        <w:t>日期：</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宋体" w:hAnsi="宋体" w:eastAsia="宋体" w:cs="宋体"/>
          <w:b/>
          <w:color w:val="auto"/>
          <w:sz w:val="24"/>
          <w:highlight w:val="none"/>
        </w:rPr>
        <w:t>质疑函制作说明：</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rPr>
          <w:color w:val="auto"/>
          <w:highlight w:val="none"/>
        </w:rPr>
      </w:pPr>
      <w:r>
        <w:rPr>
          <w:rFonts w:ascii="宋体" w:hAnsi="宋体" w:eastAsia="宋体" w:cs="宋体"/>
          <w:color w:val="auto"/>
          <w:sz w:val="24"/>
          <w:highlight w:val="none"/>
        </w:rPr>
        <w:t>1.供应商提出质疑时，应提交质疑函和必要的证明材料。</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rPr>
          <w:color w:val="auto"/>
          <w:highlight w:val="none"/>
        </w:rPr>
      </w:pPr>
      <w:r>
        <w:rPr>
          <w:rFonts w:ascii="宋体" w:hAnsi="宋体" w:eastAsia="宋体" w:cs="宋体"/>
          <w:color w:val="auto"/>
          <w:sz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rPr>
          <w:color w:val="auto"/>
          <w:highlight w:val="none"/>
        </w:rPr>
      </w:pPr>
      <w:r>
        <w:rPr>
          <w:rFonts w:ascii="宋体" w:hAnsi="宋体" w:eastAsia="宋体" w:cs="宋体"/>
          <w:color w:val="auto"/>
          <w:sz w:val="24"/>
          <w:highlight w:val="none"/>
        </w:rPr>
        <w:t>3.质疑供应商若对项目的某一分包进行质疑，质疑函中应列明具体分包号。</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rPr>
          <w:color w:val="auto"/>
          <w:highlight w:val="none"/>
        </w:rPr>
      </w:pPr>
      <w:r>
        <w:rPr>
          <w:rFonts w:ascii="宋体" w:hAnsi="宋体" w:eastAsia="宋体" w:cs="宋体"/>
          <w:color w:val="auto"/>
          <w:sz w:val="24"/>
          <w:highlight w:val="none"/>
        </w:rPr>
        <w:t>4.质疑函的质疑事项应具体、明确，并有必要的事实依据和法律依据。</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rPr>
          <w:color w:val="auto"/>
          <w:highlight w:val="none"/>
        </w:rPr>
      </w:pPr>
      <w:r>
        <w:rPr>
          <w:rFonts w:ascii="宋体" w:hAnsi="宋体" w:eastAsia="宋体" w:cs="宋体"/>
          <w:color w:val="auto"/>
          <w:sz w:val="24"/>
          <w:highlight w:val="none"/>
        </w:rPr>
        <w:t>5.质疑函的质疑请求应与质疑事项相关。</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rPr>
          <w:color w:val="auto"/>
          <w:highlight w:val="none"/>
        </w:rPr>
      </w:pPr>
      <w:r>
        <w:rPr>
          <w:rFonts w:ascii="宋体" w:hAnsi="宋体" w:eastAsia="宋体" w:cs="宋体"/>
          <w:color w:val="auto"/>
          <w:sz w:val="24"/>
          <w:highlight w:val="none"/>
        </w:rPr>
        <w:t>6.质疑供应商为自然人的，质疑函应由本人签字；质疑供应商为法人或者其他组织的，质疑函应由法定代表人、主要负责人，或者其授权代表签字或者盖章，并加盖公章。</w:t>
      </w:r>
    </w:p>
    <w:p>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Times New Roman" w:hAnsi="Times New Roman" w:eastAsia="Times New Roman" w:cs="Times New Roman"/>
          <w:color w:val="auto"/>
          <w:sz w:val="22"/>
          <w:highlight w:val="none"/>
        </w:rPr>
        <w:t> </w:t>
      </w:r>
    </w:p>
    <w:p>
      <w:pPr>
        <w:shd w:val="clear"/>
        <w:rPr>
          <w:rFonts w:hint="eastAsia" w:ascii="宋体" w:hAnsi="宋体" w:eastAsia="宋体" w:cs="宋体"/>
          <w:color w:val="auto"/>
          <w:highlight w:val="none"/>
        </w:rPr>
      </w:pPr>
    </w:p>
    <w:sectPr>
      <w:headerReference r:id="rId4" w:type="default"/>
      <w:footerReference r:id="rId5" w:type="default"/>
      <w:footerReference r:id="rId6" w:type="even"/>
      <w:pgSz w:w="11906" w:h="16838"/>
      <w:pgMar w:top="1418" w:right="2351"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幼圆">
    <w:altName w:val="宋体"/>
    <w:panose1 w:val="02010509060101010101"/>
    <w:charset w:val="86"/>
    <w:family w:val="modern"/>
    <w:pitch w:val="default"/>
    <w:sig w:usb0="00000000" w:usb1="00000000" w:usb2="00000010" w:usb3="00000000" w:csb0="00040000" w:csb1="00000000"/>
  </w:font>
  <w:font w:name="楷体_GB2312">
    <w:altName w:val="楷体"/>
    <w:panose1 w:val="00000000000000000000"/>
    <w:charset w:val="00"/>
    <w:family w:val="auto"/>
    <w:pitch w:val="default"/>
    <w:sig w:usb0="00000000" w:usb1="00000000" w:usb2="00000000" w:usb3="00000000" w:csb0="00000000" w:csb1="00000000"/>
  </w:font>
  <w:font w:name="华文楷体">
    <w:altName w:val="宋体"/>
    <w:panose1 w:val="02010600040101010101"/>
    <w:charset w:val="86"/>
    <w:family w:val="auto"/>
    <w:pitch w:val="default"/>
    <w:sig w:usb0="00000000" w:usb1="00000000" w:usb2="00000010" w:usb3="00000000" w:csb0="0004009F"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2000000000000000000"/>
    <w:charset w:val="86"/>
    <w:family w:val="auto"/>
    <w:pitch w:val="default"/>
    <w:sig w:usb0="00000000" w:usb1="00000000" w:usb2="00082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7F" w:usb3="00000000" w:csb0="203F01FF" w:csb1="DFFF0000"/>
  </w:font>
  <w:font w:name="方正黑体_GBK">
    <w:altName w:val="微软雅黑"/>
    <w:panose1 w:val="00000000000000000000"/>
    <w:charset w:val="00"/>
    <w:family w:val="auto"/>
    <w:pitch w:val="default"/>
    <w:sig w:usb0="00000000" w:usb1="00000000" w:usb2="00000000" w:usb3="00000000" w:csb0="00000000" w:csb1="00000000"/>
  </w:font>
  <w:font w:name="STKaiti">
    <w:altName w:val="Segoe Print"/>
    <w:panose1 w:val="0201060004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tabs>
        <w:tab w:val="center" w:pos="4153"/>
        <w:tab w:val="right" w:pos="8306"/>
        <w:tab w:val="clear" w:pos="7143"/>
        <w:tab w:val="clear" w:pos="14287"/>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22"/>
                            <w:tabs>
                              <w:tab w:val="center" w:pos="4153"/>
                              <w:tab w:val="right" w:pos="8306"/>
                              <w:tab w:val="clear" w:pos="7143"/>
                              <w:tab w:val="clear" w:pos="14287"/>
                            </w:tabs>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zql5uc8AAAAFAQAA&#10;DwAAAAAAAAABACAAAAAiAAAAZHJzL2Rvd25yZXYueG1sUEsBAhQAFAAAAAgAh07iQEYQVhSwAQAA&#10;WQMAAA4AAAAAAAAAAQAgAAAAHgEAAGRycy9lMm9Eb2MueG1sUEsFBgAAAAAGAAYAWQEAAEAFAAAA&#10;AA==&#10;">
              <v:fill on="f" focussize="0,0"/>
              <v:stroke on="f"/>
              <v:imagedata o:title=""/>
              <o:lock v:ext="edit" aspectratio="f"/>
              <v:textbox inset="0mm,0mm,0mm,0mm" style="mso-fit-shape-to-text:t;">
                <w:txbxContent>
                  <w:p>
                    <w:pPr>
                      <w:pStyle w:val="22"/>
                      <w:tabs>
                        <w:tab w:val="center" w:pos="4153"/>
                        <w:tab w:val="right" w:pos="8306"/>
                        <w:tab w:val="clear" w:pos="7143"/>
                        <w:tab w:val="clear" w:pos="14287"/>
                      </w:tabs>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4"/>
      <w:framePr w:wrap="around" w:vAnchor="text" w:hAnchor="margin" w:xAlign="center" w:y="1"/>
      <w:rPr>
        <w:rStyle w:val="264"/>
        <w:rFonts w:ascii="宋体" w:hAnsi="宋体"/>
      </w:rPr>
    </w:pPr>
    <w:r>
      <w:rPr>
        <w:rFonts w:ascii="宋体" w:hAnsi="宋体"/>
      </w:rPr>
      <w:fldChar w:fldCharType="begin"/>
    </w:r>
    <w:r>
      <w:rPr>
        <w:rStyle w:val="264"/>
        <w:rFonts w:ascii="宋体" w:hAnsi="宋体"/>
      </w:rPr>
      <w:instrText xml:space="preserve">PAGE  </w:instrText>
    </w:r>
    <w:r>
      <w:rPr>
        <w:rFonts w:ascii="宋体" w:hAnsi="宋体"/>
      </w:rPr>
      <w:fldChar w:fldCharType="separate"/>
    </w:r>
    <w:r>
      <w:rPr>
        <w:rStyle w:val="264"/>
        <w:rFonts w:ascii="宋体" w:hAnsi="宋体"/>
      </w:rPr>
      <w:t>３５</w:t>
    </w:r>
    <w:r>
      <w:rPr>
        <w:rFonts w:ascii="宋体" w:hAnsi="宋体"/>
      </w:rPr>
      <w:fldChar w:fldCharType="end"/>
    </w:r>
  </w:p>
  <w:p>
    <w:pPr>
      <w:pStyle w:val="234"/>
      <w:jc w:val="center"/>
      <w:rPr>
        <w:b/>
        <w:i/>
      </w:rPr>
    </w:pPr>
    <w:r>
      <w:rPr>
        <w:b/>
        <w:i/>
        <w:sz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4"/>
      <w:framePr w:wrap="around" w:vAnchor="text" w:hAnchor="margin" w:xAlign="center" w:y="1"/>
      <w:rPr>
        <w:rStyle w:val="264"/>
      </w:rPr>
    </w:pPr>
    <w:r>
      <w:fldChar w:fldCharType="begin"/>
    </w:r>
    <w:r>
      <w:rPr>
        <w:rStyle w:val="264"/>
      </w:rPr>
      <w:instrText xml:space="preserve">PAGE  </w:instrText>
    </w:r>
    <w:r>
      <w:fldChar w:fldCharType="separate"/>
    </w:r>
    <w:r>
      <w:rPr>
        <w:rStyle w:val="264"/>
      </w:rPr>
      <w:t>1</w:t>
    </w:r>
    <w:r>
      <w:fldChar w:fldCharType="end"/>
    </w:r>
  </w:p>
  <w:p>
    <w:pPr>
      <w:pStyle w:val="23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0"/>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39341B"/>
    <w:multiLevelType w:val="multilevel"/>
    <w:tmpl w:val="9239341B"/>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6BC116"/>
    <w:multiLevelType w:val="singleLevel"/>
    <w:tmpl w:val="BF6BC116"/>
    <w:lvl w:ilvl="0" w:tentative="0">
      <w:start w:val="16"/>
      <w:numFmt w:val="decimal"/>
      <w:suff w:val="space"/>
      <w:lvlText w:val="%1."/>
      <w:lvlJc w:val="left"/>
    </w:lvl>
  </w:abstractNum>
  <w:abstractNum w:abstractNumId="2">
    <w:nsid w:val="CF092B84"/>
    <w:multiLevelType w:val="multilevel"/>
    <w:tmpl w:val="CF092B84"/>
    <w:lvl w:ilvl="0" w:tentative="0">
      <w:start w:val="1"/>
      <w:numFmt w:val="upperLetter"/>
      <w:pStyle w:val="32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E7C3F8"/>
    <w:multiLevelType w:val="singleLevel"/>
    <w:tmpl w:val="CFE7C3F8"/>
    <w:lvl w:ilvl="0" w:tentative="0">
      <w:start w:val="1"/>
      <w:numFmt w:val="decimal"/>
      <w:suff w:val="nothing"/>
      <w:lvlText w:val="（%1）"/>
      <w:lvlJc w:val="left"/>
    </w:lvl>
  </w:abstractNum>
  <w:abstractNum w:abstractNumId="4">
    <w:nsid w:val="DDECD3BC"/>
    <w:multiLevelType w:val="singleLevel"/>
    <w:tmpl w:val="DDECD3BC"/>
    <w:lvl w:ilvl="0" w:tentative="0">
      <w:start w:val="6"/>
      <w:numFmt w:val="decimal"/>
      <w:suff w:val="space"/>
      <w:lvlText w:val="%1."/>
      <w:lvlJc w:val="left"/>
    </w:lvl>
  </w:abstractNum>
  <w:abstractNum w:abstractNumId="5">
    <w:nsid w:val="DE759F4B"/>
    <w:multiLevelType w:val="singleLevel"/>
    <w:tmpl w:val="DE759F4B"/>
    <w:lvl w:ilvl="0" w:tentative="0">
      <w:start w:val="2"/>
      <w:numFmt w:val="decimal"/>
      <w:suff w:val="space"/>
      <w:lvlText w:val="%1."/>
      <w:lvlJc w:val="left"/>
    </w:lvl>
  </w:abstractNum>
  <w:abstractNum w:abstractNumId="6">
    <w:nsid w:val="DEABE1DB"/>
    <w:multiLevelType w:val="singleLevel"/>
    <w:tmpl w:val="DEABE1DB"/>
    <w:lvl w:ilvl="0" w:tentative="0">
      <w:start w:val="23"/>
      <w:numFmt w:val="decimal"/>
      <w:suff w:val="space"/>
      <w:lvlText w:val="%1."/>
      <w:lvlJc w:val="left"/>
    </w:lvl>
  </w:abstractNum>
  <w:abstractNum w:abstractNumId="7">
    <w:nsid w:val="FFEFC674"/>
    <w:multiLevelType w:val="singleLevel"/>
    <w:tmpl w:val="FFEFC674"/>
    <w:lvl w:ilvl="0" w:tentative="0">
      <w:start w:val="1"/>
      <w:numFmt w:val="decimal"/>
      <w:suff w:val="nothing"/>
      <w:lvlText w:val="（%1）"/>
      <w:lvlJc w:val="left"/>
    </w:lvl>
  </w:abstractNum>
  <w:abstractNum w:abstractNumId="8">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8"/>
      <w:suff w:val="nothing"/>
      <w:lvlText w:val=""/>
      <w:lvlJc w:val="left"/>
      <w:pPr>
        <w:ind w:left="0" w:firstLine="0"/>
      </w:pPr>
      <w:rPr>
        <w:rFonts w:hint="eastAsia"/>
      </w:rPr>
    </w:lvl>
    <w:lvl w:ilvl="6" w:tentative="0">
      <w:start w:val="1"/>
      <w:numFmt w:val="decimal"/>
      <w:pStyle w:val="199"/>
      <w:suff w:val="nothing"/>
      <w:lvlText w:val=""/>
      <w:lvlJc w:val="left"/>
      <w:pPr>
        <w:ind w:left="0" w:firstLine="0"/>
      </w:pPr>
      <w:rPr>
        <w:rFonts w:hint="eastAsia"/>
      </w:rPr>
    </w:lvl>
    <w:lvl w:ilvl="7" w:tentative="0">
      <w:start w:val="1"/>
      <w:numFmt w:val="decimal"/>
      <w:pStyle w:val="200"/>
      <w:suff w:val="nothing"/>
      <w:lvlText w:val=""/>
      <w:lvlJc w:val="left"/>
      <w:pPr>
        <w:ind w:left="0" w:firstLine="0"/>
      </w:pPr>
      <w:rPr>
        <w:rFonts w:hint="eastAsia"/>
      </w:rPr>
    </w:lvl>
    <w:lvl w:ilvl="8" w:tentative="0">
      <w:start w:val="1"/>
      <w:numFmt w:val="decimal"/>
      <w:pStyle w:val="201"/>
      <w:suff w:val="nothing"/>
      <w:lvlText w:val=""/>
      <w:lvlJc w:val="left"/>
      <w:pPr>
        <w:ind w:left="0" w:firstLine="0"/>
      </w:pPr>
      <w:rPr>
        <w:rFonts w:hint="eastAsia"/>
      </w:rPr>
    </w:lvl>
  </w:abstractNum>
  <w:abstractNum w:abstractNumId="9">
    <w:nsid w:val="54D6F8A0"/>
    <w:multiLevelType w:val="singleLevel"/>
    <w:tmpl w:val="54D6F8A0"/>
    <w:lvl w:ilvl="0" w:tentative="0">
      <w:start w:val="1"/>
      <w:numFmt w:val="decimal"/>
      <w:pStyle w:val="19"/>
      <w:lvlText w:val="%1."/>
      <w:lvlJc w:val="left"/>
      <w:pPr>
        <w:tabs>
          <w:tab w:val="left" w:pos="2040"/>
        </w:tabs>
        <w:ind w:left="2040" w:hanging="360"/>
      </w:pPr>
    </w:lvl>
  </w:abstractNum>
  <w:abstractNum w:abstractNumId="10">
    <w:nsid w:val="59ADCABA"/>
    <w:multiLevelType w:val="multilevel"/>
    <w:tmpl w:val="59ADCABA"/>
    <w:lvl w:ilvl="0" w:tentative="0">
      <w:start w:val="1"/>
      <w:numFmt w:val="decimal"/>
      <w:pStyle w:val="31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1">
    <w:nsid w:val="7A0F6431"/>
    <w:multiLevelType w:val="singleLevel"/>
    <w:tmpl w:val="7A0F6431"/>
    <w:lvl w:ilvl="0" w:tentative="0">
      <w:start w:val="1"/>
      <w:numFmt w:val="decimal"/>
      <w:suff w:val="space"/>
      <w:lvlText w:val="%1."/>
      <w:lvlJc w:val="left"/>
    </w:lvl>
  </w:abstractNum>
  <w:num w:numId="1">
    <w:abstractNumId w:val="9"/>
  </w:num>
  <w:num w:numId="2">
    <w:abstractNumId w:val="8"/>
  </w:num>
  <w:num w:numId="3">
    <w:abstractNumId w:val="10"/>
  </w:num>
  <w:num w:numId="4">
    <w:abstractNumId w:val="2"/>
  </w:num>
  <w:num w:numId="5">
    <w:abstractNumId w:val="11"/>
  </w:num>
  <w:num w:numId="6">
    <w:abstractNumId w:val="3"/>
  </w:num>
  <w:num w:numId="7">
    <w:abstractNumId w:val="7"/>
  </w:num>
  <w:num w:numId="8">
    <w:abstractNumId w:val="5"/>
  </w:num>
  <w:num w:numId="9">
    <w:abstractNumId w:val="4"/>
  </w:num>
  <w:num w:numId="10">
    <w:abstractNumId w:val="1"/>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NotTrackMoves/>
  <w:documentProtection w:enforcement="0"/>
  <w:defaultTabStop w:val="420"/>
  <w:characterSpacingControl w:val="doNotCompress"/>
  <w:hdrShapeDefaults>
    <o:shapelayout v:ext="edit">
      <o:idmap v:ext="edit" data="3,4"/>
    </o:shapelayout>
  </w:hdrShapeDefault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MzYWJjODI0NzhjNjVlYTU5MjJkMzhlZTZlOTdmN2EifQ=="/>
  </w:docVars>
  <w:rsids>
    <w:rsidRoot w:val="00C500EF"/>
    <w:rsid w:val="0010470E"/>
    <w:rsid w:val="00206E17"/>
    <w:rsid w:val="006F6ECA"/>
    <w:rsid w:val="007F0638"/>
    <w:rsid w:val="009E500E"/>
    <w:rsid w:val="00AE2167"/>
    <w:rsid w:val="00BE46E0"/>
    <w:rsid w:val="00C500EF"/>
    <w:rsid w:val="0193504B"/>
    <w:rsid w:val="037C7FED"/>
    <w:rsid w:val="04D4290F"/>
    <w:rsid w:val="05461360"/>
    <w:rsid w:val="05D807F5"/>
    <w:rsid w:val="05DF034B"/>
    <w:rsid w:val="066F6E3E"/>
    <w:rsid w:val="06EC0090"/>
    <w:rsid w:val="07A218C4"/>
    <w:rsid w:val="08083EC8"/>
    <w:rsid w:val="08587690"/>
    <w:rsid w:val="091801D4"/>
    <w:rsid w:val="0A1A2F36"/>
    <w:rsid w:val="0A41782C"/>
    <w:rsid w:val="0DBE3114"/>
    <w:rsid w:val="0DCF4A35"/>
    <w:rsid w:val="0F3C101C"/>
    <w:rsid w:val="117576DB"/>
    <w:rsid w:val="117D0266"/>
    <w:rsid w:val="11FB75E4"/>
    <w:rsid w:val="12211C6E"/>
    <w:rsid w:val="12D066C2"/>
    <w:rsid w:val="12F136B3"/>
    <w:rsid w:val="131E6CBF"/>
    <w:rsid w:val="13FF6E94"/>
    <w:rsid w:val="14087647"/>
    <w:rsid w:val="153824F1"/>
    <w:rsid w:val="155E21AB"/>
    <w:rsid w:val="15944324"/>
    <w:rsid w:val="161B40E5"/>
    <w:rsid w:val="17741AE9"/>
    <w:rsid w:val="19566FAE"/>
    <w:rsid w:val="19624D2A"/>
    <w:rsid w:val="1BF50EFF"/>
    <w:rsid w:val="1EB5758F"/>
    <w:rsid w:val="1EFA4BBD"/>
    <w:rsid w:val="1F0746DE"/>
    <w:rsid w:val="20103571"/>
    <w:rsid w:val="20724C53"/>
    <w:rsid w:val="228934AE"/>
    <w:rsid w:val="22943058"/>
    <w:rsid w:val="231B6D13"/>
    <w:rsid w:val="23DC4394"/>
    <w:rsid w:val="254D3444"/>
    <w:rsid w:val="25F64F76"/>
    <w:rsid w:val="26E7356F"/>
    <w:rsid w:val="29D54C05"/>
    <w:rsid w:val="2AA56813"/>
    <w:rsid w:val="2ADD041E"/>
    <w:rsid w:val="2B2345AB"/>
    <w:rsid w:val="2BDE397F"/>
    <w:rsid w:val="2DDD275B"/>
    <w:rsid w:val="2EA427AE"/>
    <w:rsid w:val="2F303885"/>
    <w:rsid w:val="2FA76E14"/>
    <w:rsid w:val="315040B9"/>
    <w:rsid w:val="33185FE3"/>
    <w:rsid w:val="33843014"/>
    <w:rsid w:val="339A1CE8"/>
    <w:rsid w:val="34F8366D"/>
    <w:rsid w:val="367809B7"/>
    <w:rsid w:val="377432D3"/>
    <w:rsid w:val="37DC3A6F"/>
    <w:rsid w:val="38521CDB"/>
    <w:rsid w:val="393C30CA"/>
    <w:rsid w:val="39B368A9"/>
    <w:rsid w:val="3A7C605D"/>
    <w:rsid w:val="3AD52B44"/>
    <w:rsid w:val="3AE570F3"/>
    <w:rsid w:val="3CA56B60"/>
    <w:rsid w:val="3D8A5D30"/>
    <w:rsid w:val="3F5E6E19"/>
    <w:rsid w:val="40616741"/>
    <w:rsid w:val="40A425B1"/>
    <w:rsid w:val="410423CF"/>
    <w:rsid w:val="4111615F"/>
    <w:rsid w:val="42903DE8"/>
    <w:rsid w:val="42A252D3"/>
    <w:rsid w:val="43795779"/>
    <w:rsid w:val="443F5AC6"/>
    <w:rsid w:val="447F736D"/>
    <w:rsid w:val="449830D2"/>
    <w:rsid w:val="44CC6046"/>
    <w:rsid w:val="463D21B9"/>
    <w:rsid w:val="47302CE8"/>
    <w:rsid w:val="47AE578E"/>
    <w:rsid w:val="483338C5"/>
    <w:rsid w:val="48812E5E"/>
    <w:rsid w:val="490344C8"/>
    <w:rsid w:val="49C16AF8"/>
    <w:rsid w:val="4A8750FE"/>
    <w:rsid w:val="4C8A38D5"/>
    <w:rsid w:val="4E5E123E"/>
    <w:rsid w:val="4EC42763"/>
    <w:rsid w:val="4EE10248"/>
    <w:rsid w:val="4F4F3A3D"/>
    <w:rsid w:val="4F6663F9"/>
    <w:rsid w:val="4F6C1739"/>
    <w:rsid w:val="4F767B32"/>
    <w:rsid w:val="4FF04118"/>
    <w:rsid w:val="507C6BA5"/>
    <w:rsid w:val="51CD46FC"/>
    <w:rsid w:val="520B4341"/>
    <w:rsid w:val="52B07458"/>
    <w:rsid w:val="534B3D2F"/>
    <w:rsid w:val="548A0D12"/>
    <w:rsid w:val="55FC5C1D"/>
    <w:rsid w:val="56731CCA"/>
    <w:rsid w:val="57AA755E"/>
    <w:rsid w:val="58390C5B"/>
    <w:rsid w:val="597977C5"/>
    <w:rsid w:val="5A49574E"/>
    <w:rsid w:val="5A9E53B4"/>
    <w:rsid w:val="5ABD15DF"/>
    <w:rsid w:val="5ACE543E"/>
    <w:rsid w:val="5BCA06D2"/>
    <w:rsid w:val="5C09225F"/>
    <w:rsid w:val="5E751658"/>
    <w:rsid w:val="5EA10DB3"/>
    <w:rsid w:val="5EB0424F"/>
    <w:rsid w:val="5FB35436"/>
    <w:rsid w:val="5FF73137"/>
    <w:rsid w:val="61860E7E"/>
    <w:rsid w:val="62A24A07"/>
    <w:rsid w:val="632B74E9"/>
    <w:rsid w:val="63463ED0"/>
    <w:rsid w:val="636932D2"/>
    <w:rsid w:val="64F25DE5"/>
    <w:rsid w:val="66320448"/>
    <w:rsid w:val="67922B47"/>
    <w:rsid w:val="68CA2370"/>
    <w:rsid w:val="6A124DF8"/>
    <w:rsid w:val="6A332DE3"/>
    <w:rsid w:val="6AE508C6"/>
    <w:rsid w:val="6B7D0EF0"/>
    <w:rsid w:val="6D5913F3"/>
    <w:rsid w:val="6D982280"/>
    <w:rsid w:val="6DE07980"/>
    <w:rsid w:val="6EEE20A5"/>
    <w:rsid w:val="702205F0"/>
    <w:rsid w:val="71087E2E"/>
    <w:rsid w:val="713D002D"/>
    <w:rsid w:val="71872A5C"/>
    <w:rsid w:val="71F3443C"/>
    <w:rsid w:val="732960E0"/>
    <w:rsid w:val="736B1B84"/>
    <w:rsid w:val="73F05BE5"/>
    <w:rsid w:val="74FA699F"/>
    <w:rsid w:val="75C73F73"/>
    <w:rsid w:val="781167F3"/>
    <w:rsid w:val="7A450F4C"/>
    <w:rsid w:val="7AA354F3"/>
    <w:rsid w:val="7B5816EB"/>
    <w:rsid w:val="7C7C3485"/>
    <w:rsid w:val="7D7C1417"/>
    <w:rsid w:val="7D82190C"/>
    <w:rsid w:val="7E4F57DD"/>
    <w:rsid w:val="7F4214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qFormat="1"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1"/>
      <w:lang w:val="en-US" w:eastAsia="zh-CN" w:bidi="ar-SA"/>
    </w:rPr>
  </w:style>
  <w:style w:type="paragraph" w:styleId="4">
    <w:name w:val="heading 1"/>
    <w:basedOn w:val="1"/>
    <w:next w:val="1"/>
    <w:link w:val="46"/>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47"/>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48"/>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4"/>
    <w:unhideWhenUsed/>
    <w:qFormat/>
    <w:uiPriority w:val="9"/>
    <w:pPr>
      <w:keepNext/>
      <w:keepLines/>
      <w:spacing w:before="320" w:after="200"/>
      <w:outlineLvl w:val="8"/>
    </w:pPr>
    <w:rPr>
      <w:rFonts w:ascii="Arial" w:hAnsi="Arial" w:eastAsia="Arial" w:cs="Arial"/>
      <w:i/>
      <w:iCs/>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line="60" w:lineRule="auto"/>
    </w:pPr>
    <w:rPr>
      <w:rFonts w:ascii="仿宋_GB2312" w:eastAsia="仿宋_GB2312"/>
      <w:sz w:val="32"/>
    </w:rPr>
  </w:style>
  <w:style w:type="paragraph" w:styleId="3">
    <w:name w:val="Normal Indent"/>
    <w:basedOn w:val="1"/>
    <w:next w:val="1"/>
    <w:qFormat/>
    <w:uiPriority w:val="99"/>
    <w:pPr>
      <w:ind w:firstLine="420"/>
    </w:pPr>
  </w:style>
  <w:style w:type="paragraph" w:styleId="13">
    <w:name w:val="toc 7"/>
    <w:basedOn w:val="1"/>
    <w:next w:val="1"/>
    <w:unhideWhenUsed/>
    <w:qFormat/>
    <w:uiPriority w:val="39"/>
    <w:pPr>
      <w:spacing w:after="57"/>
      <w:ind w:left="1701"/>
    </w:pPr>
  </w:style>
  <w:style w:type="paragraph" w:styleId="14">
    <w:name w:val="caption"/>
    <w:basedOn w:val="1"/>
    <w:next w:val="1"/>
    <w:unhideWhenUsed/>
    <w:qFormat/>
    <w:uiPriority w:val="35"/>
    <w:pPr>
      <w:spacing w:line="276" w:lineRule="auto"/>
    </w:pPr>
    <w:rPr>
      <w:b/>
      <w:bCs/>
      <w:color w:val="4F81BD"/>
      <w:sz w:val="18"/>
      <w:szCs w:val="18"/>
    </w:rPr>
  </w:style>
  <w:style w:type="paragraph" w:styleId="15">
    <w:name w:val="Body Text Indent"/>
    <w:basedOn w:val="1"/>
    <w:next w:val="1"/>
    <w:qFormat/>
    <w:uiPriority w:val="0"/>
    <w:pPr>
      <w:ind w:firstLine="225" w:firstLineChars="225"/>
    </w:pPr>
    <w:rPr>
      <w:rFonts w:ascii="仿宋_GB2312" w:eastAsia="仿宋_GB2312"/>
      <w:sz w:val="32"/>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next w:val="19"/>
    <w:qFormat/>
    <w:uiPriority w:val="0"/>
    <w:rPr>
      <w:rFonts w:ascii="宋体"/>
    </w:rPr>
  </w:style>
  <w:style w:type="paragraph" w:styleId="19">
    <w:name w:val="List Number 5"/>
    <w:basedOn w:val="1"/>
    <w:semiHidden/>
    <w:unhideWhenUsed/>
    <w:qFormat/>
    <w:uiPriority w:val="99"/>
    <w:pPr>
      <w:numPr>
        <w:ilvl w:val="0"/>
        <w:numId w:val="1"/>
      </w:numPr>
    </w:pPr>
  </w:style>
  <w:style w:type="paragraph" w:styleId="20">
    <w:name w:val="toc 8"/>
    <w:basedOn w:val="1"/>
    <w:next w:val="1"/>
    <w:unhideWhenUsed/>
    <w:qFormat/>
    <w:uiPriority w:val="39"/>
    <w:pPr>
      <w:spacing w:after="57"/>
      <w:ind w:left="1984"/>
    </w:pPr>
  </w:style>
  <w:style w:type="paragraph" w:styleId="21">
    <w:name w:val="endnote text"/>
    <w:basedOn w:val="1"/>
    <w:link w:val="192"/>
    <w:unhideWhenUsed/>
    <w:qFormat/>
    <w:uiPriority w:val="99"/>
    <w:rPr>
      <w:sz w:val="20"/>
    </w:rPr>
  </w:style>
  <w:style w:type="paragraph" w:styleId="22">
    <w:name w:val="footer"/>
    <w:basedOn w:val="1"/>
    <w:link w:val="65"/>
    <w:unhideWhenUsed/>
    <w:qFormat/>
    <w:uiPriority w:val="99"/>
    <w:pPr>
      <w:tabs>
        <w:tab w:val="center" w:pos="7143"/>
        <w:tab w:val="right" w:pos="14287"/>
      </w:tabs>
    </w:pPr>
  </w:style>
  <w:style w:type="paragraph" w:styleId="23">
    <w:name w:val="header"/>
    <w:basedOn w:val="1"/>
    <w:link w:val="63"/>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58"/>
    <w:qFormat/>
    <w:uiPriority w:val="11"/>
    <w:pPr>
      <w:spacing w:before="200" w:after="200"/>
    </w:pPr>
    <w:rPr>
      <w:sz w:val="24"/>
      <w:szCs w:val="24"/>
    </w:rPr>
  </w:style>
  <w:style w:type="paragraph" w:styleId="27">
    <w:name w:val="footnote text"/>
    <w:basedOn w:val="1"/>
    <w:link w:val="191"/>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Title"/>
    <w:basedOn w:val="1"/>
    <w:next w:val="1"/>
    <w:link w:val="57"/>
    <w:qFormat/>
    <w:uiPriority w:val="10"/>
    <w:pPr>
      <w:spacing w:before="300" w:after="200"/>
      <w:contextualSpacing/>
    </w:pPr>
    <w:rPr>
      <w:sz w:val="48"/>
      <w:szCs w:val="48"/>
    </w:rPr>
  </w:style>
  <w:style w:type="table" w:styleId="3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unhideWhenUsed/>
    <w:qFormat/>
    <w:uiPriority w:val="99"/>
    <w:rPr>
      <w:vertAlign w:val="superscript"/>
    </w:rPr>
  </w:style>
  <w:style w:type="character" w:styleId="37">
    <w:name w:val="Hyperlink"/>
    <w:unhideWhenUsed/>
    <w:qFormat/>
    <w:uiPriority w:val="99"/>
    <w:rPr>
      <w:color w:val="0000FF"/>
      <w:u w:val="single"/>
    </w:rPr>
  </w:style>
  <w:style w:type="character" w:styleId="38">
    <w:name w:val="footnote reference"/>
    <w:unhideWhenUsed/>
    <w:qFormat/>
    <w:uiPriority w:val="99"/>
    <w:rPr>
      <w:vertAlign w:val="superscript"/>
    </w:rPr>
  </w:style>
  <w:style w:type="character" w:customStyle="1" w:styleId="39">
    <w:name w:val="标题 2 Char"/>
    <w:link w:val="40"/>
    <w:qFormat/>
    <w:uiPriority w:val="0"/>
    <w:rPr>
      <w:rFonts w:ascii="Arial" w:hAnsi="Arial" w:eastAsia="幼圆" w:cs="Arial"/>
      <w:b/>
      <w:bCs/>
      <w:sz w:val="44"/>
      <w:szCs w:val="44"/>
    </w:rPr>
  </w:style>
  <w:style w:type="paragraph" w:customStyle="1" w:styleId="40">
    <w:name w:val="标题 21"/>
    <w:basedOn w:val="1"/>
    <w:next w:val="1"/>
    <w:link w:val="39"/>
    <w:qFormat/>
    <w:uiPriority w:val="0"/>
    <w:pPr>
      <w:keepNext/>
      <w:keepLines/>
      <w:spacing w:before="260" w:after="260" w:line="416" w:lineRule="auto"/>
      <w:jc w:val="center"/>
      <w:outlineLvl w:val="1"/>
    </w:pPr>
    <w:rPr>
      <w:rFonts w:ascii="Arial" w:hAnsi="Arial" w:eastAsia="幼圆" w:cs="Arial"/>
      <w:b/>
      <w:bCs/>
      <w:sz w:val="44"/>
      <w:szCs w:val="44"/>
    </w:rPr>
  </w:style>
  <w:style w:type="character" w:customStyle="1" w:styleId="41">
    <w:name w:val="标题 1 Char"/>
    <w:link w:val="42"/>
    <w:qFormat/>
    <w:uiPriority w:val="0"/>
    <w:rPr>
      <w:rFonts w:ascii="楷体_GB2312" w:hAnsi="Times New Roman" w:eastAsia="楷体_GB2312" w:cs="Times New Roman"/>
      <w:sz w:val="28"/>
      <w:szCs w:val="28"/>
    </w:rPr>
  </w:style>
  <w:style w:type="paragraph" w:customStyle="1" w:styleId="42">
    <w:name w:val="标题 11"/>
    <w:basedOn w:val="1"/>
    <w:next w:val="1"/>
    <w:link w:val="41"/>
    <w:qFormat/>
    <w:uiPriority w:val="0"/>
    <w:pPr>
      <w:keepNext/>
      <w:jc w:val="center"/>
      <w:outlineLvl w:val="0"/>
    </w:pPr>
    <w:rPr>
      <w:rFonts w:ascii="楷体_GB2312" w:eastAsia="楷体_GB2312"/>
      <w:sz w:val="28"/>
      <w:szCs w:val="28"/>
    </w:rPr>
  </w:style>
  <w:style w:type="character" w:customStyle="1" w:styleId="43">
    <w:name w:val="正文文本 Char"/>
    <w:link w:val="44"/>
    <w:qFormat/>
    <w:uiPriority w:val="0"/>
    <w:rPr>
      <w:rFonts w:ascii="楷体_GB2312" w:hAnsi="Arial" w:eastAsia="楷体_GB2312" w:cs="Times New Roman"/>
      <w:sz w:val="28"/>
      <w:szCs w:val="28"/>
    </w:rPr>
  </w:style>
  <w:style w:type="paragraph" w:customStyle="1" w:styleId="44">
    <w:name w:val="正文文本11"/>
    <w:basedOn w:val="1"/>
    <w:link w:val="43"/>
    <w:qFormat/>
    <w:uiPriority w:val="0"/>
    <w:rPr>
      <w:rFonts w:ascii="楷体_GB2312" w:hAnsi="Arial" w:eastAsia="楷体_GB2312"/>
      <w:sz w:val="28"/>
      <w:szCs w:val="28"/>
    </w:rPr>
  </w:style>
  <w:style w:type="paragraph" w:customStyle="1" w:styleId="45">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46">
    <w:name w:val="标题 1 字符"/>
    <w:link w:val="4"/>
    <w:qFormat/>
    <w:uiPriority w:val="9"/>
    <w:rPr>
      <w:rFonts w:ascii="Arial" w:hAnsi="Arial" w:eastAsia="Arial" w:cs="Arial"/>
      <w:sz w:val="40"/>
      <w:szCs w:val="40"/>
    </w:rPr>
  </w:style>
  <w:style w:type="character" w:customStyle="1" w:styleId="47">
    <w:name w:val="标题 2 字符"/>
    <w:link w:val="5"/>
    <w:qFormat/>
    <w:uiPriority w:val="9"/>
    <w:rPr>
      <w:rFonts w:ascii="Arial" w:hAnsi="Arial" w:eastAsia="Arial" w:cs="Arial"/>
      <w:sz w:val="34"/>
    </w:rPr>
  </w:style>
  <w:style w:type="character" w:customStyle="1" w:styleId="48">
    <w:name w:val="标题 3 字符"/>
    <w:link w:val="6"/>
    <w:qFormat/>
    <w:uiPriority w:val="9"/>
    <w:rPr>
      <w:rFonts w:ascii="Arial" w:hAnsi="Arial" w:eastAsia="Arial" w:cs="Arial"/>
      <w:sz w:val="30"/>
      <w:szCs w:val="30"/>
    </w:rPr>
  </w:style>
  <w:style w:type="character" w:customStyle="1" w:styleId="49">
    <w:name w:val="标题 4 字符"/>
    <w:link w:val="7"/>
    <w:qFormat/>
    <w:uiPriority w:val="9"/>
    <w:rPr>
      <w:rFonts w:ascii="Arial" w:hAnsi="Arial" w:eastAsia="Arial" w:cs="Arial"/>
      <w:b/>
      <w:bCs/>
      <w:sz w:val="26"/>
      <w:szCs w:val="26"/>
    </w:rPr>
  </w:style>
  <w:style w:type="character" w:customStyle="1" w:styleId="50">
    <w:name w:val="标题 5 字符"/>
    <w:link w:val="8"/>
    <w:qFormat/>
    <w:uiPriority w:val="9"/>
    <w:rPr>
      <w:rFonts w:ascii="Arial" w:hAnsi="Arial" w:eastAsia="Arial" w:cs="Arial"/>
      <w:b/>
      <w:bCs/>
      <w:sz w:val="24"/>
      <w:szCs w:val="24"/>
    </w:rPr>
  </w:style>
  <w:style w:type="character" w:customStyle="1" w:styleId="51">
    <w:name w:val="标题 6 字符"/>
    <w:link w:val="9"/>
    <w:qFormat/>
    <w:uiPriority w:val="9"/>
    <w:rPr>
      <w:rFonts w:ascii="Arial" w:hAnsi="Arial" w:eastAsia="Arial" w:cs="Arial"/>
      <w:b/>
      <w:bCs/>
      <w:sz w:val="22"/>
      <w:szCs w:val="22"/>
    </w:rPr>
  </w:style>
  <w:style w:type="character" w:customStyle="1" w:styleId="52">
    <w:name w:val="标题 7 字符"/>
    <w:link w:val="10"/>
    <w:qFormat/>
    <w:uiPriority w:val="9"/>
    <w:rPr>
      <w:rFonts w:ascii="Arial" w:hAnsi="Arial" w:eastAsia="Arial" w:cs="Arial"/>
      <w:b/>
      <w:bCs/>
      <w:i/>
      <w:iCs/>
      <w:sz w:val="22"/>
      <w:szCs w:val="22"/>
    </w:rPr>
  </w:style>
  <w:style w:type="character" w:customStyle="1" w:styleId="53">
    <w:name w:val="标题 8 字符"/>
    <w:link w:val="11"/>
    <w:qFormat/>
    <w:uiPriority w:val="9"/>
    <w:rPr>
      <w:rFonts w:ascii="Arial" w:hAnsi="Arial" w:eastAsia="Arial" w:cs="Arial"/>
      <w:i/>
      <w:iCs/>
      <w:sz w:val="22"/>
      <w:szCs w:val="22"/>
    </w:rPr>
  </w:style>
  <w:style w:type="character" w:customStyle="1" w:styleId="54">
    <w:name w:val="标题 9 字符"/>
    <w:link w:val="12"/>
    <w:qFormat/>
    <w:uiPriority w:val="9"/>
    <w:rPr>
      <w:rFonts w:ascii="Arial" w:hAnsi="Arial" w:eastAsia="Arial" w:cs="Arial"/>
      <w:i/>
      <w:iCs/>
      <w:sz w:val="21"/>
      <w:szCs w:val="21"/>
    </w:rPr>
  </w:style>
  <w:style w:type="paragraph" w:customStyle="1" w:styleId="55">
    <w:name w:val="列表段落1"/>
    <w:basedOn w:val="1"/>
    <w:qFormat/>
    <w:uiPriority w:val="34"/>
    <w:pPr>
      <w:ind w:left="720"/>
      <w:contextualSpacing/>
    </w:pPr>
  </w:style>
  <w:style w:type="paragraph" w:customStyle="1" w:styleId="56">
    <w:name w:val="无间隔1"/>
    <w:qFormat/>
    <w:uiPriority w:val="1"/>
    <w:rPr>
      <w:rFonts w:ascii="Times New Roman" w:hAnsi="Times New Roman" w:eastAsia="宋体" w:cs="Times New Roman"/>
      <w:lang w:val="en-US" w:eastAsia="zh-CN" w:bidi="ar-SA"/>
    </w:rPr>
  </w:style>
  <w:style w:type="character" w:customStyle="1" w:styleId="57">
    <w:name w:val="标题 字符"/>
    <w:link w:val="32"/>
    <w:qFormat/>
    <w:uiPriority w:val="10"/>
    <w:rPr>
      <w:sz w:val="48"/>
      <w:szCs w:val="48"/>
    </w:rPr>
  </w:style>
  <w:style w:type="character" w:customStyle="1" w:styleId="58">
    <w:name w:val="副标题 字符"/>
    <w:link w:val="26"/>
    <w:qFormat/>
    <w:uiPriority w:val="11"/>
    <w:rPr>
      <w:sz w:val="24"/>
      <w:szCs w:val="24"/>
    </w:rPr>
  </w:style>
  <w:style w:type="paragraph" w:customStyle="1" w:styleId="59">
    <w:name w:val="引用1"/>
    <w:basedOn w:val="1"/>
    <w:next w:val="1"/>
    <w:link w:val="60"/>
    <w:qFormat/>
    <w:uiPriority w:val="29"/>
    <w:pPr>
      <w:ind w:left="720" w:right="720"/>
    </w:pPr>
    <w:rPr>
      <w:i/>
    </w:rPr>
  </w:style>
  <w:style w:type="character" w:customStyle="1" w:styleId="60">
    <w:name w:val="引用 字符"/>
    <w:link w:val="59"/>
    <w:qFormat/>
    <w:uiPriority w:val="29"/>
    <w:rPr>
      <w:i/>
    </w:rPr>
  </w:style>
  <w:style w:type="paragraph" w:customStyle="1" w:styleId="61">
    <w:name w:val="明显引用1"/>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2">
    <w:name w:val="明显引用 字符"/>
    <w:link w:val="61"/>
    <w:qFormat/>
    <w:uiPriority w:val="30"/>
    <w:rPr>
      <w:i/>
    </w:rPr>
  </w:style>
  <w:style w:type="character" w:customStyle="1" w:styleId="63">
    <w:name w:val="页眉 字符"/>
    <w:link w:val="23"/>
    <w:qFormat/>
    <w:uiPriority w:val="99"/>
  </w:style>
  <w:style w:type="character" w:customStyle="1" w:styleId="64">
    <w:name w:val="Footer Char"/>
    <w:qFormat/>
    <w:uiPriority w:val="99"/>
  </w:style>
  <w:style w:type="character" w:customStyle="1" w:styleId="65">
    <w:name w:val="页脚 字符"/>
    <w:link w:val="22"/>
    <w:qFormat/>
    <w:uiPriority w:val="99"/>
  </w:style>
  <w:style w:type="table" w:customStyle="1" w:styleId="66">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7">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8">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69">
    <w:name w:val="无格式表格 31"/>
    <w:qFormat/>
    <w:uiPriority w:val="99"/>
    <w:tblPr>
      <w:tblCellMar>
        <w:top w:w="0" w:type="dxa"/>
        <w:left w:w="0" w:type="dxa"/>
        <w:bottom w:w="0" w:type="dxa"/>
        <w:right w:w="0" w:type="dxa"/>
      </w:tblCellMar>
    </w:tblPr>
  </w:style>
  <w:style w:type="table" w:customStyle="1" w:styleId="70">
    <w:name w:val="无格式表格 41"/>
    <w:qFormat/>
    <w:uiPriority w:val="99"/>
    <w:tblPr>
      <w:tblCellMar>
        <w:top w:w="0" w:type="dxa"/>
        <w:left w:w="0" w:type="dxa"/>
        <w:bottom w:w="0" w:type="dxa"/>
        <w:right w:w="0" w:type="dxa"/>
      </w:tblCellMar>
    </w:tblPr>
  </w:style>
  <w:style w:type="table" w:customStyle="1" w:styleId="71">
    <w:name w:val="无格式表格 51"/>
    <w:qFormat/>
    <w:uiPriority w:val="99"/>
    <w:tblPr>
      <w:tblCellMar>
        <w:top w:w="0" w:type="dxa"/>
        <w:left w:w="0" w:type="dxa"/>
        <w:bottom w:w="0" w:type="dxa"/>
        <w:right w:w="0" w:type="dxa"/>
      </w:tblCellMar>
    </w:tblPr>
  </w:style>
  <w:style w:type="table" w:customStyle="1" w:styleId="72">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73">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74">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75">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76">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77">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78">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79">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0">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81">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82">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83">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84">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85">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86">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7">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88">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89">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90">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91">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92">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93">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94">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95">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96">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97">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98">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99">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00">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1">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2">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3">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4">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5">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6">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7">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08">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09">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0">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1">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2">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3">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4">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15">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16">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7">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8">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9">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20">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21">
    <w:name w:val="清单表 1 浅色1"/>
    <w:qFormat/>
    <w:uiPriority w:val="99"/>
    <w:tblPr>
      <w:tblCellMar>
        <w:top w:w="0" w:type="dxa"/>
        <w:left w:w="0" w:type="dxa"/>
        <w:bottom w:w="0" w:type="dxa"/>
        <w:right w:w="0" w:type="dxa"/>
      </w:tblCellMar>
    </w:tblPr>
  </w:style>
  <w:style w:type="table" w:customStyle="1" w:styleId="122">
    <w:name w:val="List Table 1 Light - Accent 1"/>
    <w:qFormat/>
    <w:uiPriority w:val="99"/>
    <w:tblPr>
      <w:tblCellMar>
        <w:top w:w="0" w:type="dxa"/>
        <w:left w:w="0" w:type="dxa"/>
        <w:bottom w:w="0" w:type="dxa"/>
        <w:right w:w="0" w:type="dxa"/>
      </w:tblCellMar>
    </w:tblPr>
  </w:style>
  <w:style w:type="table" w:customStyle="1" w:styleId="123">
    <w:name w:val="List Table 1 Light - Accent 2"/>
    <w:qFormat/>
    <w:uiPriority w:val="99"/>
    <w:tblPr>
      <w:tblCellMar>
        <w:top w:w="0" w:type="dxa"/>
        <w:left w:w="0" w:type="dxa"/>
        <w:bottom w:w="0" w:type="dxa"/>
        <w:right w:w="0" w:type="dxa"/>
      </w:tblCellMar>
    </w:tblPr>
  </w:style>
  <w:style w:type="table" w:customStyle="1" w:styleId="124">
    <w:name w:val="List Table 1 Light - Accent 3"/>
    <w:qFormat/>
    <w:uiPriority w:val="99"/>
    <w:tblPr>
      <w:tblCellMar>
        <w:top w:w="0" w:type="dxa"/>
        <w:left w:w="0" w:type="dxa"/>
        <w:bottom w:w="0" w:type="dxa"/>
        <w:right w:w="0" w:type="dxa"/>
      </w:tblCellMar>
    </w:tblPr>
  </w:style>
  <w:style w:type="table" w:customStyle="1" w:styleId="125">
    <w:name w:val="List Table 1 Light - Accent 4"/>
    <w:qFormat/>
    <w:uiPriority w:val="99"/>
    <w:tblPr>
      <w:tblCellMar>
        <w:top w:w="0" w:type="dxa"/>
        <w:left w:w="0" w:type="dxa"/>
        <w:bottom w:w="0" w:type="dxa"/>
        <w:right w:w="0" w:type="dxa"/>
      </w:tblCellMar>
    </w:tblPr>
  </w:style>
  <w:style w:type="table" w:customStyle="1" w:styleId="126">
    <w:name w:val="List Table 1 Light - Accent 5"/>
    <w:qFormat/>
    <w:uiPriority w:val="99"/>
    <w:tblPr>
      <w:tblCellMar>
        <w:top w:w="0" w:type="dxa"/>
        <w:left w:w="0" w:type="dxa"/>
        <w:bottom w:w="0" w:type="dxa"/>
        <w:right w:w="0" w:type="dxa"/>
      </w:tblCellMar>
    </w:tblPr>
  </w:style>
  <w:style w:type="table" w:customStyle="1" w:styleId="127">
    <w:name w:val="List Table 1 Light - Accent 6"/>
    <w:qFormat/>
    <w:uiPriority w:val="99"/>
    <w:tblPr>
      <w:tblCellMar>
        <w:top w:w="0" w:type="dxa"/>
        <w:left w:w="0" w:type="dxa"/>
        <w:bottom w:w="0" w:type="dxa"/>
        <w:right w:w="0" w:type="dxa"/>
      </w:tblCellMar>
    </w:tblPr>
  </w:style>
  <w:style w:type="table" w:customStyle="1" w:styleId="128">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29">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30">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31">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32">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33">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34">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35">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36">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37">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38">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39">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40">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41">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42">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43">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44">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45">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46">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47">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48">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49">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50">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51">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52">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53">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54">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55">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56">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57">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58">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59">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60">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61">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62">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63">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64">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65">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66">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67">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68">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69">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70">
    <w:name w:val="Lined - Accent"/>
    <w:qFormat/>
    <w:uiPriority w:val="99"/>
    <w:rPr>
      <w:color w:val="404040"/>
    </w:rPr>
    <w:tblPr>
      <w:tblCellMar>
        <w:top w:w="0" w:type="dxa"/>
        <w:left w:w="0" w:type="dxa"/>
        <w:bottom w:w="0" w:type="dxa"/>
        <w:right w:w="0" w:type="dxa"/>
      </w:tblCellMar>
    </w:tblPr>
  </w:style>
  <w:style w:type="table" w:customStyle="1" w:styleId="171">
    <w:name w:val="Lined - Accent 1"/>
    <w:qFormat/>
    <w:uiPriority w:val="99"/>
    <w:rPr>
      <w:color w:val="404040"/>
    </w:rPr>
    <w:tblPr>
      <w:tblCellMar>
        <w:top w:w="0" w:type="dxa"/>
        <w:left w:w="0" w:type="dxa"/>
        <w:bottom w:w="0" w:type="dxa"/>
        <w:right w:w="0" w:type="dxa"/>
      </w:tblCellMar>
    </w:tblPr>
  </w:style>
  <w:style w:type="table" w:customStyle="1" w:styleId="172">
    <w:name w:val="Lined - Accent 2"/>
    <w:qFormat/>
    <w:uiPriority w:val="99"/>
    <w:rPr>
      <w:color w:val="404040"/>
    </w:rPr>
    <w:tblPr>
      <w:tblCellMar>
        <w:top w:w="0" w:type="dxa"/>
        <w:left w:w="0" w:type="dxa"/>
        <w:bottom w:w="0" w:type="dxa"/>
        <w:right w:w="0" w:type="dxa"/>
      </w:tblCellMar>
    </w:tblPr>
  </w:style>
  <w:style w:type="table" w:customStyle="1" w:styleId="173">
    <w:name w:val="Lined - Accent 3"/>
    <w:qFormat/>
    <w:uiPriority w:val="99"/>
    <w:rPr>
      <w:color w:val="404040"/>
    </w:rPr>
    <w:tblPr>
      <w:tblCellMar>
        <w:top w:w="0" w:type="dxa"/>
        <w:left w:w="0" w:type="dxa"/>
        <w:bottom w:w="0" w:type="dxa"/>
        <w:right w:w="0" w:type="dxa"/>
      </w:tblCellMar>
    </w:tblPr>
  </w:style>
  <w:style w:type="table" w:customStyle="1" w:styleId="174">
    <w:name w:val="Lined - Accent 4"/>
    <w:qFormat/>
    <w:uiPriority w:val="99"/>
    <w:rPr>
      <w:color w:val="404040"/>
    </w:rPr>
    <w:tblPr>
      <w:tblCellMar>
        <w:top w:w="0" w:type="dxa"/>
        <w:left w:w="0" w:type="dxa"/>
        <w:bottom w:w="0" w:type="dxa"/>
        <w:right w:w="0" w:type="dxa"/>
      </w:tblCellMar>
    </w:tblPr>
  </w:style>
  <w:style w:type="table" w:customStyle="1" w:styleId="175">
    <w:name w:val="Lined - Accent 5"/>
    <w:qFormat/>
    <w:uiPriority w:val="99"/>
    <w:rPr>
      <w:color w:val="404040"/>
    </w:rPr>
    <w:tblPr>
      <w:tblCellMar>
        <w:top w:w="0" w:type="dxa"/>
        <w:left w:w="0" w:type="dxa"/>
        <w:bottom w:w="0" w:type="dxa"/>
        <w:right w:w="0" w:type="dxa"/>
      </w:tblCellMar>
    </w:tblPr>
  </w:style>
  <w:style w:type="table" w:customStyle="1" w:styleId="176">
    <w:name w:val="Lined - Accent 6"/>
    <w:qFormat/>
    <w:uiPriority w:val="99"/>
    <w:rPr>
      <w:color w:val="404040"/>
    </w:rPr>
    <w:tblPr>
      <w:tblCellMar>
        <w:top w:w="0" w:type="dxa"/>
        <w:left w:w="0" w:type="dxa"/>
        <w:bottom w:w="0" w:type="dxa"/>
        <w:right w:w="0" w:type="dxa"/>
      </w:tblCellMar>
    </w:tblPr>
  </w:style>
  <w:style w:type="table" w:customStyle="1" w:styleId="177">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78">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79">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80">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81">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82">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83">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84">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85">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86">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87">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88">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89">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90">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191">
    <w:name w:val="脚注文本 字符"/>
    <w:link w:val="27"/>
    <w:qFormat/>
    <w:uiPriority w:val="99"/>
    <w:rPr>
      <w:sz w:val="18"/>
    </w:rPr>
  </w:style>
  <w:style w:type="character" w:customStyle="1" w:styleId="192">
    <w:name w:val="尾注文本 字符"/>
    <w:link w:val="21"/>
    <w:qFormat/>
    <w:uiPriority w:val="99"/>
    <w:rPr>
      <w:sz w:val="20"/>
    </w:rPr>
  </w:style>
  <w:style w:type="paragraph" w:customStyle="1" w:styleId="193">
    <w:name w:val="TOC 标题1"/>
    <w:unhideWhenUsed/>
    <w:qFormat/>
    <w:uiPriority w:val="39"/>
    <w:rPr>
      <w:rFonts w:ascii="Times New Roman" w:hAnsi="Times New Roman" w:eastAsia="宋体" w:cs="Times New Roman"/>
      <w:lang w:val="en-US" w:eastAsia="zh-CN" w:bidi="ar-SA"/>
    </w:rPr>
  </w:style>
  <w:style w:type="paragraph" w:customStyle="1" w:styleId="194">
    <w:name w:val="标题 31"/>
    <w:basedOn w:val="1"/>
    <w:next w:val="195"/>
    <w:link w:val="204"/>
    <w:qFormat/>
    <w:uiPriority w:val="0"/>
    <w:pPr>
      <w:keepNext/>
      <w:keepLines/>
      <w:spacing w:before="260" w:after="260" w:line="416" w:lineRule="auto"/>
      <w:outlineLvl w:val="2"/>
    </w:pPr>
    <w:rPr>
      <w:b/>
      <w:bCs/>
      <w:sz w:val="32"/>
      <w:szCs w:val="32"/>
    </w:rPr>
  </w:style>
  <w:style w:type="paragraph" w:customStyle="1" w:styleId="195">
    <w:name w:val="正文缩进1"/>
    <w:basedOn w:val="1"/>
    <w:next w:val="1"/>
    <w:link w:val="205"/>
    <w:qFormat/>
    <w:uiPriority w:val="0"/>
    <w:pPr>
      <w:ind w:firstLine="420"/>
    </w:pPr>
  </w:style>
  <w:style w:type="paragraph" w:customStyle="1" w:styleId="196">
    <w:name w:val="标题 41"/>
    <w:basedOn w:val="1"/>
    <w:next w:val="195"/>
    <w:link w:val="206"/>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7">
    <w:name w:val="标题 51"/>
    <w:basedOn w:val="1"/>
    <w:next w:val="195"/>
    <w:link w:val="207"/>
    <w:qFormat/>
    <w:uiPriority w:val="0"/>
    <w:pPr>
      <w:keepNext/>
      <w:outlineLvl w:val="4"/>
    </w:pPr>
    <w:rPr>
      <w:rFonts w:ascii="宋体"/>
      <w:color w:val="000000"/>
      <w:sz w:val="28"/>
      <w:szCs w:val="28"/>
    </w:rPr>
  </w:style>
  <w:style w:type="paragraph" w:customStyle="1" w:styleId="198">
    <w:name w:val="标题 61"/>
    <w:basedOn w:val="1"/>
    <w:next w:val="1"/>
    <w:link w:val="208"/>
    <w:qFormat/>
    <w:uiPriority w:val="0"/>
    <w:pPr>
      <w:keepNext/>
      <w:keepLines/>
      <w:numPr>
        <w:ilvl w:val="5"/>
        <w:numId w:val="2"/>
      </w:numPr>
      <w:spacing w:before="240" w:after="64" w:line="320" w:lineRule="auto"/>
      <w:outlineLvl w:val="5"/>
    </w:pPr>
    <w:rPr>
      <w:rFonts w:ascii="Arial" w:hAnsi="Arial" w:eastAsia="黑体"/>
      <w:b/>
      <w:bCs/>
      <w:sz w:val="24"/>
      <w:szCs w:val="24"/>
    </w:rPr>
  </w:style>
  <w:style w:type="paragraph" w:customStyle="1" w:styleId="199">
    <w:name w:val="标题 71"/>
    <w:basedOn w:val="1"/>
    <w:next w:val="1"/>
    <w:link w:val="209"/>
    <w:qFormat/>
    <w:uiPriority w:val="0"/>
    <w:pPr>
      <w:keepNext/>
      <w:keepLines/>
      <w:numPr>
        <w:ilvl w:val="6"/>
        <w:numId w:val="2"/>
      </w:numPr>
      <w:spacing w:before="240" w:after="64" w:line="320" w:lineRule="auto"/>
      <w:outlineLvl w:val="6"/>
    </w:pPr>
    <w:rPr>
      <w:b/>
      <w:bCs/>
      <w:sz w:val="24"/>
      <w:szCs w:val="24"/>
    </w:rPr>
  </w:style>
  <w:style w:type="paragraph" w:customStyle="1" w:styleId="200">
    <w:name w:val="标题 81"/>
    <w:basedOn w:val="1"/>
    <w:next w:val="1"/>
    <w:link w:val="210"/>
    <w:qFormat/>
    <w:uiPriority w:val="0"/>
    <w:pPr>
      <w:keepNext/>
      <w:keepLines/>
      <w:numPr>
        <w:ilvl w:val="7"/>
        <w:numId w:val="2"/>
      </w:numPr>
      <w:spacing w:before="240" w:after="64" w:line="320" w:lineRule="auto"/>
      <w:outlineLvl w:val="7"/>
    </w:pPr>
    <w:rPr>
      <w:rFonts w:ascii="Arial" w:hAnsi="Arial" w:eastAsia="黑体"/>
      <w:sz w:val="24"/>
      <w:szCs w:val="24"/>
    </w:rPr>
  </w:style>
  <w:style w:type="paragraph" w:customStyle="1" w:styleId="201">
    <w:name w:val="标题 91"/>
    <w:basedOn w:val="1"/>
    <w:next w:val="1"/>
    <w:link w:val="211"/>
    <w:qFormat/>
    <w:uiPriority w:val="0"/>
    <w:pPr>
      <w:keepNext/>
      <w:keepLines/>
      <w:numPr>
        <w:ilvl w:val="8"/>
        <w:numId w:val="2"/>
      </w:numPr>
      <w:spacing w:before="240" w:after="64" w:line="320" w:lineRule="auto"/>
      <w:outlineLvl w:val="8"/>
    </w:pPr>
    <w:rPr>
      <w:rFonts w:ascii="Arial" w:hAnsi="Arial" w:eastAsia="黑体"/>
    </w:rPr>
  </w:style>
  <w:style w:type="character" w:customStyle="1" w:styleId="202">
    <w:name w:val="默认段落字体1"/>
    <w:unhideWhenUsed/>
    <w:qFormat/>
    <w:uiPriority w:val="1"/>
  </w:style>
  <w:style w:type="table" w:customStyle="1" w:styleId="203">
    <w:name w:val="普通表格1"/>
    <w:unhideWhenUsed/>
    <w:qFormat/>
    <w:uiPriority w:val="99"/>
    <w:tblPr>
      <w:tblCellMar>
        <w:top w:w="0" w:type="dxa"/>
        <w:left w:w="0" w:type="dxa"/>
        <w:bottom w:w="0" w:type="dxa"/>
        <w:right w:w="0" w:type="dxa"/>
      </w:tblCellMar>
    </w:tblPr>
  </w:style>
  <w:style w:type="character" w:customStyle="1" w:styleId="204">
    <w:name w:val="标题 3 Char"/>
    <w:link w:val="194"/>
    <w:qFormat/>
    <w:uiPriority w:val="0"/>
    <w:rPr>
      <w:rFonts w:ascii="Times New Roman" w:hAnsi="Times New Roman" w:eastAsia="宋体" w:cs="Times New Roman"/>
      <w:b/>
      <w:bCs/>
      <w:sz w:val="32"/>
      <w:szCs w:val="32"/>
    </w:rPr>
  </w:style>
  <w:style w:type="character" w:customStyle="1" w:styleId="205">
    <w:name w:val="正文缩进 Char"/>
    <w:link w:val="195"/>
    <w:qFormat/>
    <w:uiPriority w:val="0"/>
    <w:rPr>
      <w:rFonts w:ascii="Times New Roman" w:hAnsi="Times New Roman" w:eastAsia="宋体" w:cs="Times New Roman"/>
      <w:szCs w:val="21"/>
    </w:rPr>
  </w:style>
  <w:style w:type="character" w:customStyle="1" w:styleId="206">
    <w:name w:val="标题 4 Char"/>
    <w:link w:val="196"/>
    <w:qFormat/>
    <w:uiPriority w:val="0"/>
    <w:rPr>
      <w:rFonts w:ascii="Arial" w:hAnsi="Arial" w:eastAsia="黑体" w:cs="Arial"/>
      <w:b/>
      <w:bCs/>
      <w:sz w:val="28"/>
      <w:szCs w:val="28"/>
    </w:rPr>
  </w:style>
  <w:style w:type="character" w:customStyle="1" w:styleId="207">
    <w:name w:val="标题 5 Char"/>
    <w:link w:val="197"/>
    <w:qFormat/>
    <w:uiPriority w:val="0"/>
    <w:rPr>
      <w:rFonts w:ascii="宋体" w:hAnsi="Times New Roman" w:eastAsia="宋体" w:cs="Times New Roman"/>
      <w:color w:val="000000"/>
      <w:sz w:val="28"/>
      <w:szCs w:val="28"/>
    </w:rPr>
  </w:style>
  <w:style w:type="character" w:customStyle="1" w:styleId="208">
    <w:name w:val="标题 6 Char"/>
    <w:link w:val="198"/>
    <w:qFormat/>
    <w:uiPriority w:val="0"/>
    <w:rPr>
      <w:rFonts w:ascii="Arial" w:hAnsi="Arial" w:eastAsia="黑体" w:cs="Times New Roman"/>
      <w:b/>
      <w:bCs/>
      <w:sz w:val="24"/>
      <w:szCs w:val="24"/>
    </w:rPr>
  </w:style>
  <w:style w:type="character" w:customStyle="1" w:styleId="209">
    <w:name w:val="标题 7 Char"/>
    <w:link w:val="199"/>
    <w:qFormat/>
    <w:uiPriority w:val="0"/>
    <w:rPr>
      <w:rFonts w:ascii="Times New Roman" w:hAnsi="Times New Roman" w:eastAsia="宋体" w:cs="Times New Roman"/>
      <w:b/>
      <w:bCs/>
      <w:sz w:val="24"/>
      <w:szCs w:val="24"/>
    </w:rPr>
  </w:style>
  <w:style w:type="character" w:customStyle="1" w:styleId="210">
    <w:name w:val="标题 8 Char"/>
    <w:link w:val="200"/>
    <w:qFormat/>
    <w:uiPriority w:val="0"/>
    <w:rPr>
      <w:rFonts w:ascii="Arial" w:hAnsi="Arial" w:eastAsia="黑体" w:cs="Times New Roman"/>
      <w:sz w:val="24"/>
      <w:szCs w:val="24"/>
    </w:rPr>
  </w:style>
  <w:style w:type="character" w:customStyle="1" w:styleId="211">
    <w:name w:val="标题 9 Char"/>
    <w:link w:val="201"/>
    <w:qFormat/>
    <w:uiPriority w:val="0"/>
    <w:rPr>
      <w:rFonts w:ascii="Arial" w:hAnsi="Arial" w:eastAsia="黑体" w:cs="Times New Roman"/>
      <w:szCs w:val="21"/>
    </w:rPr>
  </w:style>
  <w:style w:type="paragraph" w:customStyle="1" w:styleId="212">
    <w:name w:val="列表 31"/>
    <w:basedOn w:val="1"/>
    <w:qFormat/>
    <w:uiPriority w:val="0"/>
    <w:pPr>
      <w:ind w:left="100" w:hanging="200"/>
    </w:pPr>
  </w:style>
  <w:style w:type="paragraph" w:customStyle="1" w:styleId="213">
    <w:name w:val="目录 71"/>
    <w:basedOn w:val="1"/>
    <w:next w:val="1"/>
    <w:semiHidden/>
    <w:qFormat/>
    <w:uiPriority w:val="0"/>
    <w:pPr>
      <w:ind w:left="1260"/>
      <w:jc w:val="left"/>
    </w:pPr>
  </w:style>
  <w:style w:type="paragraph" w:customStyle="1" w:styleId="214">
    <w:name w:val="文档结构图1"/>
    <w:basedOn w:val="1"/>
    <w:link w:val="215"/>
    <w:semiHidden/>
    <w:qFormat/>
    <w:uiPriority w:val="0"/>
    <w:pPr>
      <w:shd w:val="clear" w:color="auto" w:fill="000080"/>
    </w:pPr>
  </w:style>
  <w:style w:type="character" w:customStyle="1" w:styleId="215">
    <w:name w:val="文档结构图 Char"/>
    <w:link w:val="214"/>
    <w:semiHidden/>
    <w:qFormat/>
    <w:uiPriority w:val="0"/>
    <w:rPr>
      <w:rFonts w:ascii="Times New Roman" w:hAnsi="Times New Roman" w:eastAsia="宋体" w:cs="Times New Roman"/>
      <w:szCs w:val="21"/>
      <w:shd w:val="clear" w:color="auto" w:fill="000080"/>
    </w:rPr>
  </w:style>
  <w:style w:type="paragraph" w:customStyle="1" w:styleId="216">
    <w:name w:val="批注文字1"/>
    <w:basedOn w:val="1"/>
    <w:link w:val="217"/>
    <w:semiHidden/>
    <w:qFormat/>
    <w:uiPriority w:val="0"/>
    <w:pPr>
      <w:jc w:val="left"/>
    </w:pPr>
  </w:style>
  <w:style w:type="character" w:customStyle="1" w:styleId="217">
    <w:name w:val="批注文字 Char"/>
    <w:link w:val="216"/>
    <w:semiHidden/>
    <w:qFormat/>
    <w:uiPriority w:val="0"/>
    <w:rPr>
      <w:rFonts w:ascii="Times New Roman" w:hAnsi="Times New Roman" w:eastAsia="宋体" w:cs="Times New Roman"/>
      <w:szCs w:val="21"/>
    </w:rPr>
  </w:style>
  <w:style w:type="paragraph" w:customStyle="1" w:styleId="218">
    <w:name w:val="正文文本 31"/>
    <w:basedOn w:val="1"/>
    <w:link w:val="219"/>
    <w:qFormat/>
    <w:uiPriority w:val="0"/>
    <w:rPr>
      <w:rFonts w:ascii="仿宋_GB2312" w:hAnsi="Arial" w:eastAsia="仿宋_GB2312"/>
      <w:sz w:val="32"/>
      <w:szCs w:val="32"/>
    </w:rPr>
  </w:style>
  <w:style w:type="character" w:customStyle="1" w:styleId="219">
    <w:name w:val="正文文本 3 Char"/>
    <w:link w:val="218"/>
    <w:qFormat/>
    <w:uiPriority w:val="0"/>
    <w:rPr>
      <w:rFonts w:ascii="仿宋_GB2312" w:hAnsi="Arial" w:eastAsia="仿宋_GB2312" w:cs="Times New Roman"/>
      <w:sz w:val="32"/>
      <w:szCs w:val="32"/>
    </w:rPr>
  </w:style>
  <w:style w:type="paragraph" w:customStyle="1" w:styleId="220">
    <w:name w:val="正文文本缩进1"/>
    <w:basedOn w:val="1"/>
    <w:next w:val="1"/>
    <w:link w:val="221"/>
    <w:qFormat/>
    <w:uiPriority w:val="0"/>
    <w:pPr>
      <w:ind w:firstLine="645"/>
    </w:pPr>
    <w:rPr>
      <w:rFonts w:ascii="楷体_GB2312" w:eastAsia="楷体_GB2312"/>
      <w:sz w:val="32"/>
      <w:szCs w:val="32"/>
    </w:rPr>
  </w:style>
  <w:style w:type="character" w:customStyle="1" w:styleId="221">
    <w:name w:val="正文文本缩进 Char"/>
    <w:link w:val="220"/>
    <w:qFormat/>
    <w:uiPriority w:val="0"/>
    <w:rPr>
      <w:rFonts w:ascii="楷体_GB2312" w:hAnsi="Times New Roman" w:eastAsia="楷体_GB2312" w:cs="Times New Roman"/>
      <w:sz w:val="32"/>
      <w:szCs w:val="32"/>
    </w:rPr>
  </w:style>
  <w:style w:type="paragraph" w:customStyle="1" w:styleId="222">
    <w:name w:val="列表 21"/>
    <w:basedOn w:val="1"/>
    <w:qFormat/>
    <w:uiPriority w:val="0"/>
    <w:pPr>
      <w:ind w:left="100" w:hanging="200"/>
    </w:pPr>
  </w:style>
  <w:style w:type="paragraph" w:customStyle="1" w:styleId="223">
    <w:name w:val="目录 51"/>
    <w:basedOn w:val="1"/>
    <w:next w:val="1"/>
    <w:semiHidden/>
    <w:qFormat/>
    <w:uiPriority w:val="0"/>
    <w:pPr>
      <w:ind w:left="840"/>
      <w:jc w:val="left"/>
    </w:pPr>
  </w:style>
  <w:style w:type="paragraph" w:customStyle="1" w:styleId="224">
    <w:name w:val="目录 31"/>
    <w:basedOn w:val="1"/>
    <w:next w:val="1"/>
    <w:semiHidden/>
    <w:qFormat/>
    <w:uiPriority w:val="0"/>
    <w:pPr>
      <w:ind w:left="420"/>
      <w:jc w:val="left"/>
    </w:pPr>
    <w:rPr>
      <w:i/>
      <w:iCs/>
      <w:szCs w:val="24"/>
    </w:rPr>
  </w:style>
  <w:style w:type="paragraph" w:customStyle="1" w:styleId="225">
    <w:name w:val="纯文本1"/>
    <w:basedOn w:val="1"/>
    <w:link w:val="226"/>
    <w:qFormat/>
    <w:uiPriority w:val="0"/>
    <w:rPr>
      <w:rFonts w:ascii="宋体" w:hAnsi="Courier New" w:cs="Courier New"/>
    </w:rPr>
  </w:style>
  <w:style w:type="character" w:customStyle="1" w:styleId="226">
    <w:name w:val="纯文本 Char"/>
    <w:link w:val="225"/>
    <w:qFormat/>
    <w:uiPriority w:val="0"/>
    <w:rPr>
      <w:rFonts w:ascii="宋体" w:hAnsi="Courier New" w:eastAsia="宋体" w:cs="Courier New"/>
      <w:szCs w:val="21"/>
    </w:rPr>
  </w:style>
  <w:style w:type="paragraph" w:customStyle="1" w:styleId="227">
    <w:name w:val="目录 81"/>
    <w:basedOn w:val="1"/>
    <w:next w:val="1"/>
    <w:semiHidden/>
    <w:qFormat/>
    <w:uiPriority w:val="0"/>
    <w:pPr>
      <w:ind w:left="1470"/>
      <w:jc w:val="left"/>
    </w:pPr>
  </w:style>
  <w:style w:type="paragraph" w:customStyle="1" w:styleId="228">
    <w:name w:val="日期1"/>
    <w:basedOn w:val="1"/>
    <w:next w:val="1"/>
    <w:link w:val="229"/>
    <w:qFormat/>
    <w:uiPriority w:val="0"/>
    <w:rPr>
      <w:sz w:val="24"/>
      <w:szCs w:val="24"/>
    </w:rPr>
  </w:style>
  <w:style w:type="character" w:customStyle="1" w:styleId="229">
    <w:name w:val="日期 Char"/>
    <w:link w:val="228"/>
    <w:qFormat/>
    <w:uiPriority w:val="0"/>
    <w:rPr>
      <w:rFonts w:ascii="Times New Roman" w:hAnsi="Times New Roman" w:eastAsia="宋体" w:cs="Times New Roman"/>
      <w:sz w:val="24"/>
      <w:szCs w:val="24"/>
    </w:rPr>
  </w:style>
  <w:style w:type="paragraph" w:customStyle="1" w:styleId="230">
    <w:name w:val="正文文本缩进 21"/>
    <w:basedOn w:val="1"/>
    <w:link w:val="231"/>
    <w:qFormat/>
    <w:uiPriority w:val="0"/>
    <w:pPr>
      <w:ind w:left="630" w:firstLine="645"/>
    </w:pPr>
    <w:rPr>
      <w:rFonts w:ascii="Arial" w:hAnsi="Arial" w:eastAsia="仿宋_GB2312" w:cs="Arial"/>
      <w:sz w:val="32"/>
      <w:szCs w:val="32"/>
    </w:rPr>
  </w:style>
  <w:style w:type="character" w:customStyle="1" w:styleId="231">
    <w:name w:val="正文文本缩进 2 Char"/>
    <w:link w:val="230"/>
    <w:qFormat/>
    <w:uiPriority w:val="0"/>
    <w:rPr>
      <w:rFonts w:ascii="Arial" w:hAnsi="Arial" w:eastAsia="仿宋_GB2312" w:cs="Arial"/>
      <w:sz w:val="32"/>
      <w:szCs w:val="32"/>
    </w:rPr>
  </w:style>
  <w:style w:type="paragraph" w:customStyle="1" w:styleId="232">
    <w:name w:val="批注框文本1"/>
    <w:basedOn w:val="1"/>
    <w:link w:val="233"/>
    <w:semiHidden/>
    <w:qFormat/>
    <w:uiPriority w:val="0"/>
    <w:rPr>
      <w:sz w:val="18"/>
      <w:szCs w:val="18"/>
    </w:rPr>
  </w:style>
  <w:style w:type="character" w:customStyle="1" w:styleId="233">
    <w:name w:val="批注框文本 Char"/>
    <w:link w:val="232"/>
    <w:semiHidden/>
    <w:qFormat/>
    <w:uiPriority w:val="0"/>
    <w:rPr>
      <w:rFonts w:ascii="Times New Roman" w:hAnsi="Times New Roman" w:eastAsia="宋体" w:cs="Times New Roman"/>
      <w:sz w:val="18"/>
      <w:szCs w:val="18"/>
    </w:rPr>
  </w:style>
  <w:style w:type="paragraph" w:customStyle="1" w:styleId="234">
    <w:name w:val="页脚1"/>
    <w:basedOn w:val="1"/>
    <w:link w:val="235"/>
    <w:qFormat/>
    <w:uiPriority w:val="0"/>
    <w:pPr>
      <w:tabs>
        <w:tab w:val="center" w:pos="4153"/>
        <w:tab w:val="right" w:pos="8306"/>
      </w:tabs>
      <w:jc w:val="left"/>
    </w:pPr>
    <w:rPr>
      <w:sz w:val="18"/>
      <w:szCs w:val="18"/>
    </w:rPr>
  </w:style>
  <w:style w:type="character" w:customStyle="1" w:styleId="235">
    <w:name w:val="页脚 Char"/>
    <w:link w:val="234"/>
    <w:qFormat/>
    <w:uiPriority w:val="0"/>
    <w:rPr>
      <w:rFonts w:ascii="Times New Roman" w:hAnsi="Times New Roman" w:eastAsia="宋体" w:cs="Times New Roman"/>
      <w:sz w:val="18"/>
      <w:szCs w:val="18"/>
    </w:rPr>
  </w:style>
  <w:style w:type="paragraph" w:customStyle="1" w:styleId="236">
    <w:name w:val="寄信人地址1"/>
    <w:basedOn w:val="237"/>
    <w:unhideWhenUsed/>
    <w:qFormat/>
    <w:uiPriority w:val="99"/>
    <w:rPr>
      <w:rFonts w:ascii="Arial" w:hAnsi="Arial"/>
    </w:rPr>
  </w:style>
  <w:style w:type="paragraph" w:customStyle="1" w:styleId="237">
    <w:name w:val="正文_16"/>
    <w:next w:val="238"/>
    <w:qFormat/>
    <w:uiPriority w:val="0"/>
    <w:pPr>
      <w:widowControl w:val="0"/>
      <w:jc w:val="both"/>
    </w:pPr>
    <w:rPr>
      <w:rFonts w:ascii="Calibri" w:hAnsi="Calibri" w:eastAsia="宋体" w:cs="Times New Roman"/>
      <w:sz w:val="21"/>
      <w:szCs w:val="22"/>
      <w:lang w:val="en-US" w:eastAsia="zh-CN" w:bidi="ar-SA"/>
    </w:rPr>
  </w:style>
  <w:style w:type="paragraph" w:customStyle="1" w:styleId="238">
    <w:name w:val="正文首行缩进 2_0"/>
    <w:basedOn w:val="239"/>
    <w:qFormat/>
    <w:uiPriority w:val="0"/>
    <w:pPr>
      <w:spacing w:after="120"/>
      <w:ind w:left="200" w:firstLine="200"/>
    </w:pPr>
    <w:rPr>
      <w:rFonts w:ascii="Times New Roman" w:hAnsi="Times New Roman"/>
      <w:sz w:val="24"/>
      <w:szCs w:val="24"/>
    </w:rPr>
  </w:style>
  <w:style w:type="paragraph" w:customStyle="1" w:styleId="239">
    <w:name w:val="正文文本缩进_0"/>
    <w:basedOn w:val="237"/>
    <w:next w:val="236"/>
    <w:qFormat/>
    <w:uiPriority w:val="0"/>
    <w:pPr>
      <w:ind w:firstLine="225"/>
    </w:pPr>
    <w:rPr>
      <w:rFonts w:ascii="仿宋_GB2312" w:eastAsia="仿宋_GB2312"/>
      <w:sz w:val="32"/>
    </w:rPr>
  </w:style>
  <w:style w:type="paragraph" w:customStyle="1" w:styleId="240">
    <w:name w:val="页眉1"/>
    <w:basedOn w:val="1"/>
    <w:link w:val="241"/>
    <w:qFormat/>
    <w:uiPriority w:val="0"/>
    <w:pPr>
      <w:pBdr>
        <w:bottom w:val="single" w:color="000000" w:sz="6" w:space="1"/>
      </w:pBdr>
      <w:tabs>
        <w:tab w:val="center" w:pos="4153"/>
        <w:tab w:val="right" w:pos="8306"/>
      </w:tabs>
      <w:jc w:val="center"/>
    </w:pPr>
    <w:rPr>
      <w:sz w:val="18"/>
      <w:szCs w:val="18"/>
    </w:rPr>
  </w:style>
  <w:style w:type="character" w:customStyle="1" w:styleId="241">
    <w:name w:val="页眉 Char"/>
    <w:link w:val="240"/>
    <w:qFormat/>
    <w:uiPriority w:val="0"/>
    <w:rPr>
      <w:rFonts w:ascii="Times New Roman" w:hAnsi="Times New Roman" w:eastAsia="宋体" w:cs="Times New Roman"/>
      <w:sz w:val="18"/>
      <w:szCs w:val="18"/>
    </w:rPr>
  </w:style>
  <w:style w:type="paragraph" w:customStyle="1" w:styleId="242">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43">
    <w:name w:val="目录 41"/>
    <w:basedOn w:val="1"/>
    <w:next w:val="1"/>
    <w:semiHidden/>
    <w:qFormat/>
    <w:uiPriority w:val="0"/>
    <w:pPr>
      <w:ind w:left="630"/>
      <w:jc w:val="left"/>
    </w:pPr>
  </w:style>
  <w:style w:type="paragraph" w:customStyle="1" w:styleId="244">
    <w:name w:val="列表1"/>
    <w:basedOn w:val="1"/>
    <w:qFormat/>
    <w:uiPriority w:val="0"/>
    <w:pPr>
      <w:ind w:left="200" w:hanging="200"/>
    </w:pPr>
  </w:style>
  <w:style w:type="paragraph" w:customStyle="1" w:styleId="245">
    <w:name w:val="目录 61"/>
    <w:basedOn w:val="1"/>
    <w:next w:val="1"/>
    <w:semiHidden/>
    <w:qFormat/>
    <w:uiPriority w:val="0"/>
    <w:pPr>
      <w:ind w:left="1050"/>
      <w:jc w:val="left"/>
    </w:pPr>
  </w:style>
  <w:style w:type="paragraph" w:customStyle="1" w:styleId="246">
    <w:name w:val="正文文本缩进 31"/>
    <w:basedOn w:val="1"/>
    <w:link w:val="247"/>
    <w:qFormat/>
    <w:uiPriority w:val="0"/>
    <w:pPr>
      <w:ind w:left="645" w:firstLine="645"/>
    </w:pPr>
    <w:rPr>
      <w:rFonts w:ascii="Arial" w:hAnsi="Arial" w:eastAsia="仿宋_GB2312" w:cs="Arial"/>
      <w:color w:val="FFFF00"/>
      <w:sz w:val="32"/>
      <w:szCs w:val="32"/>
    </w:rPr>
  </w:style>
  <w:style w:type="character" w:customStyle="1" w:styleId="247">
    <w:name w:val="正文文本缩进 3 Char"/>
    <w:link w:val="246"/>
    <w:qFormat/>
    <w:uiPriority w:val="0"/>
    <w:rPr>
      <w:rFonts w:ascii="Arial" w:hAnsi="Arial" w:eastAsia="仿宋_GB2312" w:cs="Arial"/>
      <w:color w:val="FFFF00"/>
      <w:sz w:val="32"/>
      <w:szCs w:val="32"/>
    </w:rPr>
  </w:style>
  <w:style w:type="paragraph" w:customStyle="1" w:styleId="248">
    <w:name w:val="图表目录1"/>
    <w:basedOn w:val="1"/>
    <w:next w:val="1"/>
    <w:semiHidden/>
    <w:qFormat/>
    <w:uiPriority w:val="0"/>
    <w:pPr>
      <w:ind w:left="840" w:hanging="420"/>
    </w:pPr>
  </w:style>
  <w:style w:type="paragraph" w:customStyle="1" w:styleId="249">
    <w:name w:val="目录 21"/>
    <w:basedOn w:val="1"/>
    <w:next w:val="1"/>
    <w:semiHidden/>
    <w:qFormat/>
    <w:uiPriority w:val="0"/>
    <w:pPr>
      <w:ind w:left="210"/>
      <w:jc w:val="left"/>
    </w:pPr>
    <w:rPr>
      <w:smallCaps/>
      <w:szCs w:val="24"/>
    </w:rPr>
  </w:style>
  <w:style w:type="paragraph" w:customStyle="1" w:styleId="250">
    <w:name w:val="目录 91"/>
    <w:basedOn w:val="1"/>
    <w:next w:val="1"/>
    <w:semiHidden/>
    <w:qFormat/>
    <w:uiPriority w:val="0"/>
    <w:pPr>
      <w:ind w:left="1680"/>
      <w:jc w:val="left"/>
    </w:pPr>
  </w:style>
  <w:style w:type="paragraph" w:customStyle="1" w:styleId="251">
    <w:name w:val="正文文本 21"/>
    <w:basedOn w:val="1"/>
    <w:link w:val="252"/>
    <w:qFormat/>
    <w:uiPriority w:val="0"/>
    <w:pPr>
      <w:widowControl/>
      <w:jc w:val="center"/>
    </w:pPr>
    <w:rPr>
      <w:rFonts w:ascii="楷体_GB2312" w:eastAsia="楷体_GB2312"/>
      <w:sz w:val="28"/>
      <w:szCs w:val="28"/>
    </w:rPr>
  </w:style>
  <w:style w:type="character" w:customStyle="1" w:styleId="252">
    <w:name w:val="正文文本 2 Char"/>
    <w:link w:val="251"/>
    <w:qFormat/>
    <w:uiPriority w:val="0"/>
    <w:rPr>
      <w:rFonts w:ascii="楷体_GB2312" w:hAnsi="Times New Roman" w:eastAsia="楷体_GB2312" w:cs="Times New Roman"/>
      <w:sz w:val="28"/>
      <w:szCs w:val="28"/>
    </w:rPr>
  </w:style>
  <w:style w:type="paragraph" w:customStyle="1" w:styleId="253">
    <w:name w:val="列表接续 21"/>
    <w:basedOn w:val="1"/>
    <w:next w:val="1"/>
    <w:qFormat/>
    <w:uiPriority w:val="0"/>
    <w:pPr>
      <w:spacing w:after="120"/>
      <w:ind w:left="840"/>
    </w:pPr>
  </w:style>
  <w:style w:type="paragraph" w:customStyle="1" w:styleId="254">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55">
    <w:name w:val="索引 11"/>
    <w:basedOn w:val="1"/>
    <w:next w:val="1"/>
    <w:semiHidden/>
    <w:qFormat/>
    <w:uiPriority w:val="0"/>
    <w:pPr>
      <w:spacing w:line="240" w:lineRule="atLeast"/>
    </w:pPr>
    <w:rPr>
      <w:b/>
      <w:bCs/>
    </w:rPr>
  </w:style>
  <w:style w:type="paragraph" w:customStyle="1" w:styleId="256">
    <w:name w:val="批注主题1"/>
    <w:basedOn w:val="216"/>
    <w:next w:val="216"/>
    <w:link w:val="257"/>
    <w:semiHidden/>
    <w:qFormat/>
    <w:uiPriority w:val="0"/>
    <w:rPr>
      <w:b/>
      <w:bCs/>
    </w:rPr>
  </w:style>
  <w:style w:type="character" w:customStyle="1" w:styleId="257">
    <w:name w:val="批注主题 Char"/>
    <w:link w:val="256"/>
    <w:semiHidden/>
    <w:qFormat/>
    <w:uiPriority w:val="0"/>
    <w:rPr>
      <w:rFonts w:ascii="Times New Roman" w:hAnsi="Times New Roman" w:eastAsia="宋体" w:cs="Times New Roman"/>
      <w:b/>
      <w:bCs/>
      <w:szCs w:val="21"/>
    </w:rPr>
  </w:style>
  <w:style w:type="paragraph" w:customStyle="1" w:styleId="258">
    <w:name w:val="正文首行缩进11"/>
    <w:basedOn w:val="1"/>
    <w:link w:val="259"/>
    <w:qFormat/>
    <w:uiPriority w:val="0"/>
    <w:pPr>
      <w:spacing w:line="360" w:lineRule="auto"/>
      <w:ind w:firstLine="200"/>
    </w:pPr>
    <w:rPr>
      <w:rFonts w:ascii="仿宋_GB2312" w:eastAsia="仿宋_GB2312"/>
      <w:sz w:val="30"/>
      <w:szCs w:val="30"/>
    </w:rPr>
  </w:style>
  <w:style w:type="character" w:customStyle="1" w:styleId="259">
    <w:name w:val="正文首行缩进 Char"/>
    <w:link w:val="258"/>
    <w:qFormat/>
    <w:uiPriority w:val="0"/>
    <w:rPr>
      <w:rFonts w:ascii="仿宋_GB2312" w:hAnsi="Times New Roman" w:eastAsia="仿宋_GB2312" w:cs="Times New Roman"/>
      <w:sz w:val="30"/>
      <w:szCs w:val="30"/>
    </w:rPr>
  </w:style>
  <w:style w:type="paragraph" w:customStyle="1" w:styleId="260">
    <w:name w:val="正文首行缩进 21"/>
    <w:basedOn w:val="220"/>
    <w:link w:val="261"/>
    <w:qFormat/>
    <w:uiPriority w:val="0"/>
    <w:pPr>
      <w:spacing w:line="360" w:lineRule="auto"/>
      <w:ind w:firstLine="420"/>
    </w:pPr>
    <w:rPr>
      <w:rFonts w:ascii="宋体" w:hAnsi="宋体" w:eastAsia="宋体"/>
      <w:sz w:val="21"/>
      <w:szCs w:val="20"/>
    </w:rPr>
  </w:style>
  <w:style w:type="character" w:customStyle="1" w:styleId="261">
    <w:name w:val="正文首行缩进 2 Char"/>
    <w:link w:val="260"/>
    <w:qFormat/>
    <w:uiPriority w:val="0"/>
    <w:rPr>
      <w:rFonts w:ascii="宋体" w:hAnsi="宋体" w:eastAsia="宋体" w:cs="Times New Roman"/>
      <w:sz w:val="32"/>
      <w:szCs w:val="20"/>
    </w:rPr>
  </w:style>
  <w:style w:type="table" w:customStyle="1" w:styleId="262">
    <w:name w:val="网格型1"/>
    <w:basedOn w:val="203"/>
    <w:qFormat/>
    <w:uiPriority w:val="0"/>
    <w:pPr>
      <w:widowControl w:val="0"/>
      <w:jc w:val="both"/>
    </w:pPr>
  </w:style>
  <w:style w:type="character" w:customStyle="1" w:styleId="263">
    <w:name w:val="要点1"/>
    <w:qFormat/>
    <w:uiPriority w:val="0"/>
    <w:rPr>
      <w:b/>
      <w:bCs/>
    </w:rPr>
  </w:style>
  <w:style w:type="character" w:customStyle="1" w:styleId="264">
    <w:name w:val="页码1"/>
    <w:qFormat/>
    <w:uiPriority w:val="0"/>
  </w:style>
  <w:style w:type="character" w:customStyle="1" w:styleId="265">
    <w:name w:val="已访问的超链接1"/>
    <w:qFormat/>
    <w:uiPriority w:val="0"/>
    <w:rPr>
      <w:color w:val="800080"/>
      <w:u w:val="single"/>
    </w:rPr>
  </w:style>
  <w:style w:type="character" w:customStyle="1" w:styleId="266">
    <w:name w:val="超链接1"/>
    <w:qFormat/>
    <w:uiPriority w:val="0"/>
    <w:rPr>
      <w:color w:val="0000FF"/>
      <w:u w:val="single"/>
    </w:rPr>
  </w:style>
  <w:style w:type="character" w:customStyle="1" w:styleId="267">
    <w:name w:val="批注引用1"/>
    <w:semiHidden/>
    <w:qFormat/>
    <w:uiPriority w:val="0"/>
    <w:rPr>
      <w:sz w:val="21"/>
      <w:szCs w:val="21"/>
    </w:rPr>
  </w:style>
  <w:style w:type="character" w:customStyle="1" w:styleId="268">
    <w:name w:val="列出段落 Char"/>
    <w:link w:val="269"/>
    <w:qFormat/>
    <w:uiPriority w:val="0"/>
    <w:rPr>
      <w:rFonts w:ascii="Calibri" w:hAnsi="Calibri"/>
      <w:sz w:val="24"/>
      <w:szCs w:val="24"/>
      <w:lang w:eastAsia="en-US" w:bidi="en-US"/>
    </w:rPr>
  </w:style>
  <w:style w:type="paragraph" w:customStyle="1" w:styleId="269">
    <w:name w:val="列出段落1"/>
    <w:basedOn w:val="1"/>
    <w:link w:val="268"/>
    <w:qFormat/>
    <w:uiPriority w:val="0"/>
    <w:pPr>
      <w:widowControl/>
      <w:ind w:left="720"/>
      <w:contextualSpacing/>
      <w:jc w:val="left"/>
    </w:pPr>
    <w:rPr>
      <w:rFonts w:ascii="Calibri" w:hAnsi="Calibri"/>
      <w:sz w:val="24"/>
      <w:szCs w:val="24"/>
      <w:lang w:eastAsia="en-US" w:bidi="en-US"/>
    </w:rPr>
  </w:style>
  <w:style w:type="character" w:customStyle="1" w:styleId="270">
    <w:name w:val="font5 Char"/>
    <w:qFormat/>
    <w:uiPriority w:val="0"/>
    <w:rPr>
      <w:rFonts w:ascii="宋体" w:hAnsi="宋体" w:eastAsia="宋体"/>
      <w:sz w:val="28"/>
      <w:szCs w:val="28"/>
      <w:lang w:val="en-US" w:eastAsia="zh-CN" w:bidi="ar-SA"/>
    </w:rPr>
  </w:style>
  <w:style w:type="character" w:customStyle="1" w:styleId="271">
    <w:name w:val="二级目录 Char"/>
    <w:link w:val="272"/>
    <w:qFormat/>
    <w:uiPriority w:val="0"/>
    <w:rPr>
      <w:b/>
      <w:sz w:val="30"/>
      <w:szCs w:val="28"/>
    </w:rPr>
  </w:style>
  <w:style w:type="paragraph" w:customStyle="1" w:styleId="272">
    <w:name w:val="二级目录"/>
    <w:next w:val="1"/>
    <w:link w:val="271"/>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paragraph" w:customStyle="1" w:styleId="273">
    <w:name w:val="首行缩进"/>
    <w:basedOn w:val="1"/>
    <w:qFormat/>
    <w:uiPriority w:val="0"/>
    <w:pPr>
      <w:ind w:firstLine="480"/>
    </w:pPr>
    <w:rPr>
      <w:lang w:val="zh-CN"/>
    </w:rPr>
  </w:style>
  <w:style w:type="paragraph" w:customStyle="1" w:styleId="274">
    <w:name w:val="正文_3_0_0"/>
    <w:next w:val="275"/>
    <w:unhideWhenUsed/>
    <w:qFormat/>
    <w:uiPriority w:val="0"/>
    <w:pPr>
      <w:widowControl w:val="0"/>
      <w:jc w:val="both"/>
    </w:pPr>
    <w:rPr>
      <w:rFonts w:ascii="Calibri" w:hAnsi="Calibri" w:eastAsia="宋体" w:cs="Times New Roman"/>
      <w:sz w:val="21"/>
      <w:szCs w:val="24"/>
      <w:lang w:val="en-US" w:eastAsia="zh-CN" w:bidi="ar-SA"/>
    </w:rPr>
  </w:style>
  <w:style w:type="paragraph" w:customStyle="1" w:styleId="275">
    <w:name w:val="正文文本缩进_1_0_0"/>
    <w:basedOn w:val="274"/>
    <w:next w:val="274"/>
    <w:unhideWhenUsed/>
    <w:qFormat/>
    <w:uiPriority w:val="99"/>
    <w:pPr>
      <w:ind w:firstLine="225"/>
    </w:pPr>
    <w:rPr>
      <w:rFonts w:hint="eastAsia" w:ascii="仿宋_GB2312" w:eastAsia="仿宋_GB2312"/>
      <w:sz w:val="32"/>
    </w:rPr>
  </w:style>
  <w:style w:type="paragraph" w:customStyle="1" w:styleId="276">
    <w:name w:val="索引 41"/>
    <w:basedOn w:val="1"/>
    <w:next w:val="1"/>
    <w:semiHidden/>
    <w:qFormat/>
    <w:uiPriority w:val="0"/>
    <w:pPr>
      <w:ind w:left="1260"/>
    </w:pPr>
    <w:rPr>
      <w:rFonts w:ascii="Calibri" w:hAnsi="Calibri" w:eastAsia="Calibri" w:cs="宋体"/>
      <w:sz w:val="20"/>
      <w:lang w:val="zh-CN"/>
    </w:rPr>
  </w:style>
  <w:style w:type="paragraph" w:customStyle="1" w:styleId="277">
    <w:name w:val="Normal_13_0"/>
    <w:qFormat/>
    <w:uiPriority w:val="0"/>
    <w:rPr>
      <w:rFonts w:ascii="黑体" w:hAnsi="黑体" w:eastAsia="黑体" w:cs="黑体"/>
      <w:b/>
      <w:sz w:val="32"/>
      <w:szCs w:val="24"/>
      <w:lang w:val="en-US" w:eastAsia="zh-CN" w:bidi="ar-SA"/>
    </w:rPr>
  </w:style>
  <w:style w:type="paragraph" w:customStyle="1" w:styleId="278">
    <w:name w:val="table_1stline"/>
    <w:basedOn w:val="1"/>
    <w:qFormat/>
    <w:uiPriority w:val="0"/>
    <w:pPr>
      <w:widowControl/>
      <w:spacing w:before="120"/>
      <w:jc w:val="left"/>
    </w:pPr>
    <w:rPr>
      <w:bCs/>
      <w:sz w:val="20"/>
      <w:szCs w:val="20"/>
      <w:lang w:val="de-DE" w:eastAsia="de-DE"/>
    </w:rPr>
  </w:style>
  <w:style w:type="paragraph" w:customStyle="1" w:styleId="279">
    <w:name w:val="正文_12_0_0_0_0"/>
    <w:basedOn w:val="1"/>
    <w:qFormat/>
    <w:uiPriority w:val="0"/>
    <w:rPr>
      <w:szCs w:val="24"/>
    </w:rPr>
  </w:style>
  <w:style w:type="paragraph" w:customStyle="1" w:styleId="280">
    <w:name w:val="正文_3_0"/>
    <w:next w:val="281"/>
    <w:qFormat/>
    <w:uiPriority w:val="0"/>
    <w:pPr>
      <w:widowControl w:val="0"/>
      <w:jc w:val="both"/>
    </w:pPr>
    <w:rPr>
      <w:rFonts w:ascii="Calibri" w:hAnsi="Calibri" w:eastAsia="宋体" w:cs="Times New Roman"/>
      <w:sz w:val="21"/>
      <w:szCs w:val="22"/>
      <w:lang w:val="en-US" w:eastAsia="zh-CN" w:bidi="ar-SA"/>
    </w:rPr>
  </w:style>
  <w:style w:type="paragraph" w:customStyle="1" w:styleId="281">
    <w:name w:val="正文文本缩进_1_0"/>
    <w:basedOn w:val="280"/>
    <w:next w:val="280"/>
    <w:unhideWhenUsed/>
    <w:qFormat/>
    <w:uiPriority w:val="99"/>
    <w:pPr>
      <w:ind w:firstLine="225"/>
    </w:pPr>
    <w:rPr>
      <w:rFonts w:hint="eastAsia" w:ascii="仿宋_GB2312" w:eastAsia="仿宋_GB2312"/>
      <w:sz w:val="32"/>
      <w:szCs w:val="24"/>
    </w:rPr>
  </w:style>
  <w:style w:type="paragraph" w:customStyle="1" w:styleId="282">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3">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84">
    <w:name w:val="正文_1_0_0_0_0"/>
    <w:qFormat/>
    <w:uiPriority w:val="0"/>
    <w:pPr>
      <w:widowControl w:val="0"/>
      <w:jc w:val="both"/>
    </w:pPr>
    <w:rPr>
      <w:rFonts w:ascii="Times New Roman" w:hAnsi="Times New Roman" w:eastAsia="宋体" w:cs="Times New Roman"/>
      <w:sz w:val="21"/>
      <w:lang w:val="en-US" w:eastAsia="zh-CN" w:bidi="ar-SA"/>
    </w:rPr>
  </w:style>
  <w:style w:type="paragraph" w:customStyle="1" w:styleId="285">
    <w:name w:val="4"/>
    <w:basedOn w:val="1"/>
    <w:next w:val="246"/>
    <w:qFormat/>
    <w:uiPriority w:val="0"/>
    <w:pPr>
      <w:spacing w:line="360" w:lineRule="auto"/>
      <w:ind w:firstLine="420"/>
    </w:pPr>
    <w:rPr>
      <w:color w:val="FF0000"/>
      <w:sz w:val="24"/>
      <w:szCs w:val="24"/>
    </w:rPr>
  </w:style>
  <w:style w:type="paragraph" w:customStyle="1" w:styleId="286">
    <w:name w:val="左对齐正文"/>
    <w:qFormat/>
    <w:uiPriority w:val="99"/>
    <w:rPr>
      <w:rFonts w:ascii="Calibri" w:hAnsi="Calibri" w:eastAsia="仿宋_GB2312" w:cs="Calibri"/>
      <w:sz w:val="32"/>
      <w:szCs w:val="32"/>
      <w:lang w:val="en-US" w:eastAsia="zh-CN" w:bidi="ar-SA"/>
    </w:rPr>
  </w:style>
  <w:style w:type="paragraph" w:customStyle="1" w:styleId="287">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8">
    <w:name w:val="正文1_0"/>
    <w:qFormat/>
    <w:uiPriority w:val="0"/>
    <w:pPr>
      <w:widowControl w:val="0"/>
      <w:jc w:val="both"/>
    </w:pPr>
    <w:rPr>
      <w:rFonts w:ascii="Times New Roman" w:hAnsi="Times New Roman" w:eastAsia="宋体" w:cs="Times New Roman"/>
      <w:szCs w:val="24"/>
      <w:lang w:val="en-US" w:eastAsia="zh-CN" w:bidi="ar-SA"/>
    </w:rPr>
  </w:style>
  <w:style w:type="paragraph" w:customStyle="1" w:styleId="289">
    <w:name w:val="正文_14_0"/>
    <w:qFormat/>
    <w:uiPriority w:val="0"/>
    <w:pPr>
      <w:widowControl w:val="0"/>
      <w:jc w:val="both"/>
    </w:pPr>
    <w:rPr>
      <w:rFonts w:ascii="Calibri" w:hAnsi="Calibri" w:eastAsia="宋体" w:cs="Times New Roman"/>
      <w:sz w:val="21"/>
      <w:szCs w:val="22"/>
      <w:lang w:val="en-US" w:eastAsia="zh-CN" w:bidi="ar-SA"/>
    </w:rPr>
  </w:style>
  <w:style w:type="paragraph" w:customStyle="1" w:styleId="290">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91">
    <w:name w:val="正文_16_0_0"/>
    <w:next w:val="288"/>
    <w:qFormat/>
    <w:uiPriority w:val="0"/>
    <w:pPr>
      <w:widowControl w:val="0"/>
      <w:jc w:val="both"/>
    </w:pPr>
    <w:rPr>
      <w:rFonts w:ascii="Calibri" w:hAnsi="Calibri" w:eastAsia="宋体" w:cs="Times New Roman"/>
      <w:sz w:val="21"/>
      <w:szCs w:val="22"/>
      <w:lang w:val="en-US" w:eastAsia="zh-CN" w:bidi="ar-SA"/>
    </w:rPr>
  </w:style>
  <w:style w:type="paragraph" w:customStyle="1" w:styleId="292">
    <w:name w:val="Char"/>
    <w:basedOn w:val="214"/>
    <w:qFormat/>
    <w:uiPriority w:val="0"/>
    <w:rPr>
      <w:rFonts w:ascii="Tahoma" w:hAnsi="Tahoma"/>
      <w:sz w:val="24"/>
      <w:szCs w:val="24"/>
    </w:rPr>
  </w:style>
  <w:style w:type="paragraph" w:customStyle="1" w:styleId="293">
    <w:name w:val="Char1"/>
    <w:basedOn w:val="1"/>
    <w:qFormat/>
    <w:uiPriority w:val="0"/>
    <w:pPr>
      <w:tabs>
        <w:tab w:val="left" w:pos="360"/>
      </w:tabs>
      <w:ind w:firstLine="200"/>
    </w:pPr>
    <w:rPr>
      <w:sz w:val="28"/>
      <w:szCs w:val="30"/>
    </w:rPr>
  </w:style>
  <w:style w:type="paragraph" w:customStyle="1" w:styleId="294">
    <w:name w:val="table_lines"/>
    <w:basedOn w:val="1"/>
    <w:qFormat/>
    <w:uiPriority w:val="0"/>
    <w:pPr>
      <w:widowControl/>
      <w:jc w:val="left"/>
    </w:pPr>
    <w:rPr>
      <w:sz w:val="20"/>
      <w:szCs w:val="20"/>
      <w:lang w:val="de-DE" w:eastAsia="de-DE"/>
    </w:rPr>
  </w:style>
  <w:style w:type="paragraph" w:customStyle="1" w:styleId="295">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6">
    <w:name w:val="Char Char Char Char"/>
    <w:basedOn w:val="214"/>
    <w:qFormat/>
    <w:uiPriority w:val="0"/>
    <w:pPr>
      <w:spacing w:line="360" w:lineRule="auto"/>
    </w:pPr>
    <w:rPr>
      <w:rFonts w:ascii="Tahoma" w:hAnsi="Tahoma"/>
      <w:sz w:val="24"/>
      <w:szCs w:val="24"/>
    </w:rPr>
  </w:style>
  <w:style w:type="paragraph" w:customStyle="1" w:styleId="297">
    <w:name w:val="列出段落"/>
    <w:basedOn w:val="1"/>
    <w:qFormat/>
    <w:uiPriority w:val="0"/>
    <w:pPr>
      <w:widowControl/>
      <w:ind w:left="720"/>
      <w:contextualSpacing/>
      <w:jc w:val="left"/>
    </w:pPr>
    <w:rPr>
      <w:rFonts w:ascii="Calibri" w:hAnsi="Calibri"/>
      <w:sz w:val="24"/>
      <w:szCs w:val="24"/>
      <w:lang w:eastAsia="en-US" w:bidi="en-US"/>
    </w:rPr>
  </w:style>
  <w:style w:type="paragraph" w:customStyle="1" w:styleId="298">
    <w:name w:val="Normal_18_0"/>
    <w:qFormat/>
    <w:uiPriority w:val="0"/>
    <w:rPr>
      <w:rFonts w:ascii="黑体" w:hAnsi="黑体" w:eastAsia="黑体" w:cs="黑体"/>
      <w:b/>
      <w:sz w:val="32"/>
      <w:szCs w:val="24"/>
      <w:lang w:val="en-US" w:eastAsia="zh-CN" w:bidi="ar-SA"/>
    </w:rPr>
  </w:style>
  <w:style w:type="paragraph" w:customStyle="1" w:styleId="299">
    <w:name w:val="部分1"/>
    <w:basedOn w:val="1"/>
    <w:qFormat/>
    <w:uiPriority w:val="0"/>
    <w:pPr>
      <w:keepNext/>
      <w:pageBreakBefore/>
      <w:tabs>
        <w:tab w:val="left" w:pos="720"/>
      </w:tabs>
      <w:spacing w:line="360" w:lineRule="auto"/>
      <w:jc w:val="center"/>
      <w:outlineLvl w:val="0"/>
    </w:pPr>
    <w:rPr>
      <w:rFonts w:eastAsia="黑体"/>
      <w:b/>
      <w:sz w:val="36"/>
      <w:szCs w:val="20"/>
    </w:rPr>
  </w:style>
  <w:style w:type="paragraph" w:customStyle="1" w:styleId="300">
    <w:name w:val="正文_1"/>
    <w:qFormat/>
    <w:uiPriority w:val="0"/>
    <w:pPr>
      <w:widowControl w:val="0"/>
      <w:jc w:val="both"/>
    </w:pPr>
    <w:rPr>
      <w:rFonts w:ascii="Times New Roman" w:hAnsi="Times New Roman" w:eastAsia="仿宋_GB2312" w:cs="Times New Roman"/>
      <w:sz w:val="28"/>
      <w:szCs w:val="24"/>
      <w:lang w:val="en-US" w:eastAsia="zh-CN" w:bidi="ar-SA"/>
    </w:rPr>
  </w:style>
  <w:style w:type="paragraph" w:customStyle="1" w:styleId="301">
    <w:name w:val="Normal_1_2"/>
    <w:qFormat/>
    <w:uiPriority w:val="0"/>
    <w:rPr>
      <w:rFonts w:ascii="Times New Roman" w:hAnsi="Times New Roman" w:eastAsia="Times New Roman" w:cs="Times New Roman"/>
      <w:sz w:val="24"/>
      <w:szCs w:val="24"/>
      <w:lang w:val="en-US" w:eastAsia="zh-CN" w:bidi="ar-SA"/>
    </w:rPr>
  </w:style>
  <w:style w:type="paragraph" w:customStyle="1" w:styleId="302">
    <w:name w:val="正文文本1"/>
    <w:basedOn w:val="1"/>
    <w:next w:val="303"/>
    <w:qFormat/>
    <w:uiPriority w:val="0"/>
    <w:pPr>
      <w:spacing w:line="60" w:lineRule="auto"/>
    </w:pPr>
    <w:rPr>
      <w:rFonts w:ascii="仿宋_GB2312" w:eastAsia="仿宋_GB2312"/>
      <w:sz w:val="32"/>
    </w:rPr>
  </w:style>
  <w:style w:type="paragraph" w:customStyle="1" w:styleId="303">
    <w:name w:val="正文首行缩进1"/>
    <w:basedOn w:val="302"/>
    <w:qFormat/>
    <w:uiPriority w:val="0"/>
    <w:pPr>
      <w:spacing w:after="120" w:line="240" w:lineRule="auto"/>
      <w:ind w:firstLine="100"/>
    </w:pPr>
    <w:rPr>
      <w:rFonts w:ascii="Times New Roman" w:eastAsia="宋体"/>
      <w:sz w:val="21"/>
    </w:rPr>
  </w:style>
  <w:style w:type="paragraph" w:customStyle="1" w:styleId="304">
    <w:name w:val="正文文本12"/>
    <w:basedOn w:val="1"/>
    <w:qFormat/>
    <w:uiPriority w:val="1"/>
    <w:pPr>
      <w:ind w:left="120"/>
    </w:pPr>
    <w:rPr>
      <w:rFonts w:ascii="宋体" w:hAnsi="宋体" w:cs="宋体"/>
      <w:lang w:val="zh-CN" w:bidi="zh-CN"/>
    </w:rPr>
  </w:style>
  <w:style w:type="paragraph" w:customStyle="1" w:styleId="305">
    <w:name w:val="正文_17"/>
    <w:qFormat/>
    <w:uiPriority w:val="0"/>
    <w:pPr>
      <w:widowControl w:val="0"/>
      <w:jc w:val="both"/>
    </w:pPr>
    <w:rPr>
      <w:rFonts w:ascii="Calibri" w:hAnsi="Calibri" w:eastAsia="宋体" w:cs="Times New Roman"/>
      <w:sz w:val="21"/>
      <w:szCs w:val="22"/>
      <w:lang w:val="en-US" w:eastAsia="zh-CN" w:bidi="ar-SA"/>
    </w:rPr>
  </w:style>
  <w:style w:type="paragraph" w:customStyle="1" w:styleId="306">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07">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08">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0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10">
    <w:name w:val="正文_12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11">
    <w:name w:val="正文_3_0_0_0_0"/>
    <w:next w:val="312"/>
    <w:unhideWhenUsed/>
    <w:qFormat/>
    <w:uiPriority w:val="0"/>
    <w:pPr>
      <w:widowControl w:val="0"/>
      <w:jc w:val="both"/>
    </w:pPr>
    <w:rPr>
      <w:rFonts w:ascii="Calibri" w:hAnsi="Calibri" w:eastAsia="宋体" w:cs="Times New Roman"/>
      <w:sz w:val="21"/>
      <w:szCs w:val="24"/>
      <w:lang w:val="en-US" w:eastAsia="zh-CN" w:bidi="ar-SA"/>
    </w:rPr>
  </w:style>
  <w:style w:type="paragraph" w:customStyle="1" w:styleId="312">
    <w:name w:val="正文文本缩进_1_0_0_0_0"/>
    <w:basedOn w:val="311"/>
    <w:next w:val="311"/>
    <w:unhideWhenUsed/>
    <w:qFormat/>
    <w:uiPriority w:val="99"/>
    <w:pPr>
      <w:ind w:firstLine="225"/>
    </w:pPr>
    <w:rPr>
      <w:rFonts w:hint="eastAsia" w:ascii="仿宋_GB2312" w:eastAsia="仿宋_GB2312"/>
      <w:sz w:val="32"/>
    </w:rPr>
  </w:style>
  <w:style w:type="paragraph" w:customStyle="1" w:styleId="313">
    <w:name w:val="样式1"/>
    <w:basedOn w:val="1"/>
    <w:qFormat/>
    <w:uiPriority w:val="0"/>
    <w:pPr>
      <w:numPr>
        <w:ilvl w:val="0"/>
        <w:numId w:val="3"/>
      </w:numPr>
    </w:pPr>
    <w:rPr>
      <w:rFonts w:ascii="宋体" w:hAnsi="宋体"/>
    </w:rPr>
  </w:style>
  <w:style w:type="paragraph" w:customStyle="1" w:styleId="314">
    <w:name w:val="正文2"/>
    <w:basedOn w:val="1"/>
    <w:qFormat/>
    <w:uiPriority w:val="0"/>
    <w:pPr>
      <w:spacing w:before="156" w:line="360" w:lineRule="auto"/>
      <w:ind w:firstLine="510"/>
    </w:pPr>
    <w:rPr>
      <w:sz w:val="24"/>
      <w:szCs w:val="20"/>
    </w:rPr>
  </w:style>
  <w:style w:type="paragraph" w:customStyle="1" w:styleId="315">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16">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17">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18">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19">
    <w:name w:val="正文_2"/>
    <w:qFormat/>
    <w:uiPriority w:val="0"/>
    <w:pPr>
      <w:widowControl w:val="0"/>
      <w:jc w:val="both"/>
    </w:pPr>
    <w:rPr>
      <w:rFonts w:ascii="Calibri" w:hAnsi="Calibri" w:eastAsia="宋体" w:cs="Times New Roman"/>
      <w:sz w:val="21"/>
      <w:szCs w:val="22"/>
      <w:lang w:val="en-US" w:eastAsia="zh-CN" w:bidi="ar-SA"/>
    </w:rPr>
  </w:style>
  <w:style w:type="paragraph" w:customStyle="1" w:styleId="320">
    <w:name w:val="修订1"/>
    <w:semiHidden/>
    <w:qFormat/>
    <w:uiPriority w:val="99"/>
    <w:rPr>
      <w:rFonts w:ascii="Times New Roman" w:hAnsi="Times New Roman" w:eastAsia="宋体" w:cs="Times New Roman"/>
      <w:sz w:val="21"/>
      <w:szCs w:val="21"/>
      <w:lang w:val="en-US" w:eastAsia="zh-CN" w:bidi="ar-SA"/>
    </w:rPr>
  </w:style>
  <w:style w:type="paragraph" w:customStyle="1" w:styleId="321">
    <w:name w:val="正文_9_0"/>
    <w:qFormat/>
    <w:uiPriority w:val="0"/>
    <w:pPr>
      <w:widowControl w:val="0"/>
      <w:jc w:val="both"/>
    </w:pPr>
    <w:rPr>
      <w:rFonts w:ascii="Calibri" w:hAnsi="Calibri" w:eastAsia="宋体" w:cs="Times New Roman"/>
      <w:sz w:val="21"/>
      <w:szCs w:val="22"/>
      <w:lang w:val="en-US" w:eastAsia="zh-CN" w:bidi="ar-SA"/>
    </w:rPr>
  </w:style>
  <w:style w:type="paragraph" w:customStyle="1" w:styleId="322">
    <w:name w:val="附录1"/>
    <w:qFormat/>
    <w:uiPriority w:val="0"/>
    <w:pPr>
      <w:numPr>
        <w:ilvl w:val="0"/>
        <w:numId w:val="4"/>
      </w:numPr>
      <w:spacing w:before="240" w:line="600" w:lineRule="atLeast"/>
    </w:pPr>
    <w:rPr>
      <w:rFonts w:ascii="Times New Roman" w:hAnsi="Times New Roman" w:eastAsia="宋体" w:cs="Times New Roman"/>
      <w:b/>
      <w:i/>
      <w:sz w:val="28"/>
      <w:lang w:val="en-US" w:eastAsia="zh-CN" w:bidi="ar-SA"/>
    </w:rPr>
  </w:style>
  <w:style w:type="paragraph" w:customStyle="1" w:styleId="323">
    <w:name w:val="正文文本缩进_1_0_0_0"/>
    <w:basedOn w:val="324"/>
    <w:next w:val="324"/>
    <w:unhideWhenUsed/>
    <w:qFormat/>
    <w:uiPriority w:val="99"/>
    <w:pPr>
      <w:ind w:firstLine="225"/>
    </w:pPr>
    <w:rPr>
      <w:rFonts w:hint="eastAsia" w:ascii="仿宋_GB2312" w:eastAsia="仿宋_GB2312"/>
      <w:sz w:val="32"/>
    </w:rPr>
  </w:style>
  <w:style w:type="paragraph" w:customStyle="1" w:styleId="324">
    <w:name w:val="正文_3_0_0_0"/>
    <w:next w:val="323"/>
    <w:unhideWhenUsed/>
    <w:qFormat/>
    <w:uiPriority w:val="0"/>
    <w:pPr>
      <w:widowControl w:val="0"/>
      <w:jc w:val="both"/>
    </w:pPr>
    <w:rPr>
      <w:rFonts w:ascii="Calibri" w:hAnsi="Calibri" w:eastAsia="宋体" w:cs="Times New Roman"/>
      <w:sz w:val="21"/>
      <w:szCs w:val="24"/>
      <w:lang w:val="en-US" w:eastAsia="zh-CN" w:bidi="ar-SA"/>
    </w:rPr>
  </w:style>
  <w:style w:type="paragraph" w:customStyle="1" w:styleId="325">
    <w:name w:val="Normal_12_0"/>
    <w:qFormat/>
    <w:uiPriority w:val="0"/>
    <w:pPr>
      <w:widowControl w:val="0"/>
      <w:jc w:val="both"/>
    </w:pPr>
    <w:rPr>
      <w:rFonts w:ascii="Calibri" w:hAnsi="Calibri" w:eastAsia="宋体" w:cs="Times New Roman"/>
      <w:sz w:val="21"/>
      <w:szCs w:val="22"/>
      <w:lang w:val="en-US" w:eastAsia="zh-CN" w:bidi="ar-SA"/>
    </w:rPr>
  </w:style>
  <w:style w:type="paragraph" w:customStyle="1" w:styleId="326">
    <w:name w:val="Normal_6_0"/>
    <w:qFormat/>
    <w:uiPriority w:val="0"/>
    <w:rPr>
      <w:rFonts w:ascii="黑体" w:hAnsi="黑体" w:eastAsia="黑体" w:cs="黑体"/>
      <w:b/>
      <w:sz w:val="32"/>
      <w:szCs w:val="24"/>
      <w:lang w:val="en-US" w:eastAsia="zh-CN" w:bidi="ar-SA"/>
    </w:rPr>
  </w:style>
  <w:style w:type="paragraph" w:customStyle="1" w:styleId="327">
    <w:name w:val="Char Char Char Char1"/>
    <w:basedOn w:val="214"/>
    <w:qFormat/>
    <w:uiPriority w:val="0"/>
    <w:pPr>
      <w:spacing w:line="360" w:lineRule="auto"/>
    </w:pPr>
    <w:rPr>
      <w:rFonts w:ascii="Tahoma" w:hAnsi="Tahoma"/>
      <w:sz w:val="24"/>
      <w:szCs w:val="24"/>
    </w:rPr>
  </w:style>
  <w:style w:type="paragraph" w:customStyle="1" w:styleId="328">
    <w:name w:val="正文_8_1"/>
    <w:qFormat/>
    <w:uiPriority w:val="0"/>
    <w:pPr>
      <w:widowControl w:val="0"/>
      <w:jc w:val="both"/>
    </w:pPr>
    <w:rPr>
      <w:rFonts w:ascii="Calibri" w:hAnsi="Calibri" w:eastAsia="宋体" w:cs="Times New Roman"/>
      <w:sz w:val="21"/>
      <w:szCs w:val="22"/>
      <w:lang w:val="en-US" w:eastAsia="zh-CN" w:bidi="ar-SA"/>
    </w:rPr>
  </w:style>
  <w:style w:type="paragraph" w:customStyle="1" w:styleId="329">
    <w:name w:val="正文_14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30">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31">
    <w:name w:val="Body Text(ch)"/>
    <w:basedOn w:val="1"/>
    <w:next w:val="44"/>
    <w:qFormat/>
    <w:uiPriority w:val="0"/>
    <w:pPr>
      <w:spacing w:after="120"/>
    </w:pPr>
    <w:rPr>
      <w:rFonts w:ascii="宋体" w:hAnsi="Arial"/>
      <w:bCs/>
      <w:iCs/>
      <w:szCs w:val="24"/>
    </w:rPr>
  </w:style>
  <w:style w:type="paragraph" w:customStyle="1" w:styleId="332">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33">
    <w:name w:val="正文文本缩进_1"/>
    <w:basedOn w:val="334"/>
    <w:next w:val="336"/>
    <w:unhideWhenUsed/>
    <w:qFormat/>
    <w:uiPriority w:val="99"/>
    <w:pPr>
      <w:ind w:firstLine="225"/>
    </w:pPr>
    <w:rPr>
      <w:rFonts w:hint="eastAsia" w:ascii="仿宋_GB2312" w:eastAsia="仿宋_GB2312"/>
      <w:sz w:val="32"/>
      <w:szCs w:val="24"/>
    </w:rPr>
  </w:style>
  <w:style w:type="paragraph" w:customStyle="1" w:styleId="334">
    <w:name w:val="正文_17_0"/>
    <w:next w:val="335"/>
    <w:qFormat/>
    <w:uiPriority w:val="0"/>
    <w:pPr>
      <w:widowControl w:val="0"/>
      <w:jc w:val="both"/>
    </w:pPr>
    <w:rPr>
      <w:rFonts w:ascii="Calibri" w:hAnsi="Calibri" w:eastAsia="宋体" w:cs="Times New Roman"/>
      <w:kern w:val="2"/>
      <w:sz w:val="21"/>
      <w:szCs w:val="22"/>
      <w:lang w:val="en-US" w:eastAsia="zh-CN" w:bidi="ar-SA"/>
    </w:rPr>
  </w:style>
  <w:style w:type="paragraph" w:customStyle="1" w:styleId="335">
    <w:name w:val="正文首行缩进 2_1"/>
    <w:basedOn w:val="333"/>
    <w:qFormat/>
    <w:uiPriority w:val="0"/>
    <w:pPr>
      <w:ind w:firstLine="420" w:firstLineChars="200"/>
    </w:pPr>
  </w:style>
  <w:style w:type="paragraph" w:customStyle="1" w:styleId="336">
    <w:name w:val="正文_3"/>
    <w:next w:val="333"/>
    <w:qFormat/>
    <w:uiPriority w:val="0"/>
    <w:pPr>
      <w:widowControl w:val="0"/>
      <w:jc w:val="both"/>
    </w:pPr>
    <w:rPr>
      <w:rFonts w:ascii="Calibri" w:hAnsi="Calibri" w:eastAsia="宋体" w:cs="Times New Roman"/>
      <w:sz w:val="21"/>
      <w:szCs w:val="22"/>
      <w:lang w:val="en-US" w:eastAsia="zh-CN" w:bidi="ar-SA"/>
    </w:rPr>
  </w:style>
  <w:style w:type="paragraph" w:customStyle="1" w:styleId="337">
    <w:name w:val="正文_15_0"/>
    <w:qFormat/>
    <w:uiPriority w:val="0"/>
    <w:pPr>
      <w:widowControl w:val="0"/>
      <w:jc w:val="both"/>
    </w:pPr>
    <w:rPr>
      <w:rFonts w:ascii="Calibri" w:hAnsi="Calibri" w:eastAsia="宋体" w:cs="Times New Roman"/>
      <w:sz w:val="21"/>
      <w:szCs w:val="22"/>
      <w:lang w:val="en-US" w:eastAsia="zh-CN" w:bidi="ar-SA"/>
    </w:rPr>
  </w:style>
  <w:style w:type="paragraph" w:customStyle="1" w:styleId="338">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39">
    <w:name w:val="正文空2字"/>
    <w:basedOn w:val="286"/>
    <w:qFormat/>
    <w:uiPriority w:val="99"/>
    <w:pPr>
      <w:widowControl w:val="0"/>
      <w:spacing w:line="560" w:lineRule="exact"/>
      <w:ind w:firstLine="640"/>
    </w:pPr>
    <w:rPr>
      <w:rFonts w:ascii="仿宋_GB2312" w:hAnsi="仿宋_GB2312" w:cs="仿宋_GB2312"/>
      <w:lang w:val="zh-TW"/>
    </w:rPr>
  </w:style>
  <w:style w:type="paragraph" w:customStyle="1" w:styleId="340">
    <w:name w:val="列出段落_2"/>
    <w:basedOn w:val="328"/>
    <w:qFormat/>
    <w:uiPriority w:val="34"/>
    <w:pPr>
      <w:ind w:firstLine="420"/>
    </w:pPr>
  </w:style>
  <w:style w:type="paragraph" w:customStyle="1" w:styleId="341">
    <w:name w:val="Normal_20"/>
    <w:qFormat/>
    <w:uiPriority w:val="0"/>
    <w:rPr>
      <w:rFonts w:ascii="黑体" w:hAnsi="黑体" w:eastAsia="黑体" w:cs="黑体"/>
      <w:b/>
      <w:sz w:val="32"/>
      <w:szCs w:val="24"/>
      <w:lang w:val="en-US" w:eastAsia="zh-CN" w:bidi="ar-SA"/>
    </w:rPr>
  </w:style>
  <w:style w:type="paragraph" w:customStyle="1" w:styleId="342">
    <w:name w:val="Normal_0"/>
    <w:qFormat/>
    <w:uiPriority w:val="0"/>
    <w:rPr>
      <w:rFonts w:ascii="黑体" w:hAnsi="黑体" w:eastAsia="黑体" w:cs="Times New Roman"/>
      <w:b/>
      <w:sz w:val="32"/>
      <w:szCs w:val="24"/>
      <w:lang w:val="en-US" w:eastAsia="zh-CN" w:bidi="ar-SA"/>
    </w:rPr>
  </w:style>
  <w:style w:type="paragraph" w:customStyle="1" w:styleId="343">
    <w:name w:val="Normal_5_0"/>
    <w:qFormat/>
    <w:uiPriority w:val="0"/>
    <w:pPr>
      <w:widowControl w:val="0"/>
      <w:jc w:val="both"/>
    </w:pPr>
    <w:rPr>
      <w:rFonts w:ascii="Calibri" w:hAnsi="Calibri" w:eastAsia="宋体" w:cs="Times New Roman"/>
      <w:sz w:val="21"/>
      <w:szCs w:val="22"/>
      <w:lang w:val="en-US" w:eastAsia="zh-CN" w:bidi="ar-SA"/>
    </w:rPr>
  </w:style>
  <w:style w:type="paragraph" w:customStyle="1" w:styleId="344">
    <w:name w:val="Char Char Char Char Char Char Char Char Char Char"/>
    <w:basedOn w:val="1"/>
    <w:qFormat/>
    <w:uiPriority w:val="0"/>
    <w:pPr>
      <w:spacing w:line="360" w:lineRule="auto"/>
    </w:pPr>
    <w:rPr>
      <w:sz w:val="24"/>
      <w:szCs w:val="20"/>
    </w:rPr>
  </w:style>
  <w:style w:type="paragraph" w:customStyle="1" w:styleId="345">
    <w:name w:val="普通正文"/>
    <w:basedOn w:val="1"/>
    <w:qFormat/>
    <w:uiPriority w:val="0"/>
    <w:pPr>
      <w:spacing w:before="120" w:after="120" w:line="360" w:lineRule="auto"/>
      <w:ind w:firstLine="480"/>
      <w:jc w:val="left"/>
    </w:pPr>
    <w:rPr>
      <w:rFonts w:ascii="Arial" w:hAnsi="Arial"/>
      <w:sz w:val="24"/>
      <w:szCs w:val="24"/>
    </w:rPr>
  </w:style>
  <w:style w:type="paragraph" w:customStyle="1" w:styleId="346">
    <w:name w:val="无间隔11"/>
    <w:qFormat/>
    <w:uiPriority w:val="99"/>
    <w:pPr>
      <w:widowControl w:val="0"/>
      <w:jc w:val="both"/>
    </w:pPr>
    <w:rPr>
      <w:rFonts w:ascii="Times New Roman" w:hAnsi="Times New Roman" w:eastAsia="宋体" w:cs="Times New Roman"/>
      <w:sz w:val="21"/>
      <w:szCs w:val="21"/>
      <w:lang w:val="en-US" w:eastAsia="zh-CN" w:bidi="ar-SA"/>
    </w:rPr>
  </w:style>
  <w:style w:type="table" w:customStyle="1" w:styleId="347">
    <w:name w:val="Table Normal"/>
    <w:qFormat/>
    <w:uiPriority w:val="0"/>
    <w:tblPr>
      <w:tblCellMar>
        <w:top w:w="0" w:type="dxa"/>
        <w:left w:w="0" w:type="dxa"/>
        <w:bottom w:w="0" w:type="dxa"/>
        <w:right w:w="0" w:type="dxa"/>
      </w:tblCellMar>
    </w:tblPr>
  </w:style>
  <w:style w:type="character" w:customStyle="1" w:styleId="348">
    <w:name w:val="NormalCharacter"/>
    <w:qFormat/>
    <w:uiPriority w:val="0"/>
  </w:style>
  <w:style w:type="paragraph" w:styleId="34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79</Pages>
  <Words>44905</Words>
  <Characters>48010</Characters>
  <Lines>296</Lines>
  <Paragraphs>83</Paragraphs>
  <TotalTime>33</TotalTime>
  <ScaleCrop>false</ScaleCrop>
  <LinksUpToDate>false</LinksUpToDate>
  <CharactersWithSpaces>51633</CharactersWithSpaces>
  <Application>WPS Office_11.1.0.10009_F1E327BC-269C-435d-A152-05C5408002CA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2023-03-16T10:16:00Z</dcterms:created>
  <dc:creator>赵国</dc:creator>
  <cp:lastModifiedBy>Administrator</cp:lastModifiedBy>
  <cp:lastPrinted>2024-07-08T01:41:00Z</cp:lastPrinted>
  <dcterms:modified xsi:type="dcterms:W3CDTF">2024-07-11T07:53:30Z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2052-11.1.0.10009</vt:lpwstr>
  </property>
  <property fmtid="{D5CDD505-2E9C-101B-9397-08002B2CF9AE}" pid="3" name="ICV">
    <vt:lpwstr>57AF2BD1FA344C64A66808C421053CC7_13</vt:lpwstr>
  </property>
</Properties>
</file>