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line="0" w:lineRule="atLeast"/>
        <w:rPr>
          <w:rFonts w:hint="eastAsia" w:ascii="宋体" w:hAnsi="宋体" w:cs="宋体"/>
          <w:sz w:val="32"/>
          <w:szCs w:val="32"/>
        </w:rPr>
      </w:pPr>
      <w:r>
        <w:rPr>
          <w:rFonts w:hint="eastAsia" w:ascii="宋体" w:hAnsi="宋体" w:cs="宋体"/>
          <w:sz w:val="32"/>
          <w:szCs w:val="32"/>
        </w:rPr>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jc w:val="center"/>
        <w:spacing w:before="120" w:after="120" w:line="500" w:lineRule="exact"/>
        <w:rPr>
          <w:rFonts w:hint="eastAsia" w:ascii="宋体" w:hAnsi="宋体" w:cs="宋体"/>
          <w:b/>
          <w:bCs/>
          <w:sz w:val="28"/>
          <w:szCs w:val="28"/>
        </w:rPr>
      </w:pPr>
      <w:r>
        <w:rPr>
          <w:rFonts w:hint="eastAsia" w:ascii="宋体" w:hAnsi="宋体" w:cs="宋体"/>
          <w:b/>
          <w:bCs/>
          <w:sz w:val="28"/>
          <w:szCs w:val="28"/>
        </w:rPr>
        <w:t xml:space="preserve">项目名称：2025年教育信息化和普通装备提升项目厨房设备采购项目</w:t>
      </w:r>
      <w:r/>
    </w:p>
    <w:p>
      <w:pPr>
        <w:ind w:firstLine="2249"/>
        <w:spacing w:before="120" w:after="120" w:line="500" w:lineRule="exact"/>
        <w:rPr>
          <w:rFonts w:hint="eastAsia" w:ascii="宋体" w:hAnsi="宋体" w:cs="宋体"/>
          <w:b/>
          <w:bCs/>
          <w:sz w:val="32"/>
          <w:szCs w:val="24"/>
        </w:rPr>
      </w:pPr>
      <w:r>
        <w:rPr>
          <w:rFonts w:hint="eastAsia" w:ascii="宋体" w:hAnsi="宋体" w:cs="宋体"/>
          <w:b/>
          <w:bCs/>
          <w:sz w:val="32"/>
          <w:szCs w:val="24"/>
        </w:rPr>
      </w:r>
      <w:r/>
    </w:p>
    <w:p>
      <w:pPr>
        <w:ind w:firstLine="1200"/>
        <w:spacing w:before="120" w:after="120" w:line="500" w:lineRule="exact"/>
        <w:rPr>
          <w:rFonts w:hint="eastAsia" w:ascii="宋体" w:hAnsi="宋体" w:cs="宋体"/>
          <w:sz w:val="30"/>
          <w:szCs w:val="30"/>
          <w:shd w:val="clear" w:color="auto" w:fill="ffffff"/>
        </w:rPr>
      </w:pPr>
      <w:r>
        <w:rPr>
          <w:rFonts w:hint="eastAsia" w:ascii="宋体" w:hAnsi="宋体" w:cs="宋体"/>
          <w:sz w:val="30"/>
          <w:szCs w:val="30"/>
          <w:shd w:val="clear" w:color="auto" w:fill="ffffff"/>
        </w:rPr>
        <w:t xml:space="preserve">项目编号：JSZC-320612-JZCG-G2025-0039</w:t>
      </w:r>
      <w:r>
        <w:rPr>
          <w:rFonts w:hint="eastAsia" w:ascii="宋体" w:hAnsi="宋体" w:cs="宋体"/>
          <w:sz w:val="30"/>
          <w:szCs w:val="30"/>
          <w:shd w:val="clear" w:color="auto" w:fill="ffffff"/>
        </w:rPr>
        <w:tab/>
      </w:r>
      <w:r/>
    </w:p>
    <w:p>
      <w:pPr>
        <w:ind w:left="2100" w:hanging="2100"/>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2" o:title=""/>
              </v:shape>
            </w:pict>
          </mc:Fallback>
        </mc:AlternateContent>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44"/>
        </w:rPr>
      </w:pPr>
      <w:r>
        <w:rPr>
          <w:rFonts w:hint="eastAsia" w:ascii="宋体" w:hAnsi="宋体" w:cs="宋体"/>
          <w:b/>
          <w:spacing w:val="20"/>
          <w:sz w:val="44"/>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28"/>
          <w:szCs w:val="28"/>
        </w:rPr>
      </w:pPr>
      <w:r>
        <w:rPr>
          <w:rFonts w:hint="eastAsia" w:ascii="宋体" w:hAnsi="宋体" w:cs="宋体"/>
          <w:b/>
          <w:spacing w:val="20"/>
          <w:sz w:val="28"/>
          <w:szCs w:val="28"/>
        </w:rPr>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采购人：南通市通州区教育技术中心      </w:t>
      </w:r>
      <w:r/>
    </w:p>
    <w:p>
      <w:pPr>
        <w:jc w:val="center"/>
        <w:spacing w:line="500" w:lineRule="exact"/>
        <w:rPr>
          <w:rFonts w:hint="eastAsia" w:ascii="宋体" w:hAnsi="宋体" w:cs="宋体"/>
          <w:b/>
          <w:spacing w:val="20"/>
          <w:sz w:val="30"/>
          <w:szCs w:val="30"/>
        </w:rPr>
      </w:pPr>
      <w:r>
        <w:rPr>
          <w:rFonts w:hint="eastAsia" w:ascii="宋体" w:hAnsi="宋体" w:cs="宋体"/>
          <w:b/>
          <w:spacing w:val="20"/>
          <w:sz w:val="30"/>
          <w:szCs w:val="30"/>
        </w:rPr>
        <w:t xml:space="preserve">集中采购机构：南通市通州区公共资源交易中心</w:t>
      </w:r>
      <w:r/>
    </w:p>
    <w:p>
      <w:pPr>
        <w:pStyle w:val="922"/>
        <w:ind w:firstLine="0"/>
        <w:jc w:val="center"/>
        <w:spacing w:line="500" w:lineRule="exact"/>
        <w:rPr>
          <w:rFonts w:hint="eastAsia" w:ascii="宋体" w:hAnsi="宋体" w:cs="宋体"/>
          <w:b/>
          <w:bCs/>
          <w:sz w:val="30"/>
          <w:szCs w:val="30"/>
        </w:rPr>
      </w:pPr>
      <w:r>
        <w:rPr>
          <w:rFonts w:hint="eastAsia" w:ascii="宋体" w:hAnsi="宋体" w:cs="宋体"/>
          <w:b/>
          <w:bCs/>
          <w:sz w:val="30"/>
          <w:szCs w:val="30"/>
        </w:rPr>
        <w:t xml:space="preserve">2025年7月15日</w:t>
      </w:r>
      <w:r/>
    </w:p>
    <w:p>
      <w:pPr>
        <w:rPr>
          <w:rFonts w:hint="eastAsia" w:ascii="宋体" w:hAnsi="宋体" w:cs="宋体"/>
          <w:sz w:val="44"/>
          <w:szCs w:val="44"/>
        </w:rPr>
      </w:pPr>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宋体" w:hAnsi="宋体" w:cs="宋体"/>
          <w:sz w:val="44"/>
          <w:szCs w:val="44"/>
        </w:rPr>
        <w:br w:type="page" w:clear="all"/>
      </w:r>
      <w:r/>
    </w:p>
    <w:p>
      <w:pPr>
        <w:jc w:val="center"/>
        <w:rPr>
          <w:rFonts w:hint="eastAsia" w:ascii="宋体" w:hAnsi="宋体" w:cs="宋体"/>
          <w:b/>
          <w:bCs/>
          <w:sz w:val="48"/>
          <w:szCs w:val="48"/>
        </w:rPr>
      </w:pPr>
      <w:r>
        <w:rPr>
          <w:rFonts w:hint="eastAsia" w:ascii="宋体" w:hAnsi="宋体" w:cs="宋体"/>
          <w:b/>
          <w:bCs/>
          <w:sz w:val="48"/>
          <w:szCs w:val="48"/>
        </w:rPr>
        <w:t xml:space="preserve">招标文件备案表</w:t>
      </w:r>
      <w:r/>
    </w:p>
    <w:p>
      <w:pPr>
        <w:jc w:val="center"/>
        <w:rPr>
          <w:rFonts w:hint="eastAsia" w:ascii="宋体" w:hAnsi="宋体" w:cs="宋体"/>
          <w:b/>
          <w:bCs/>
          <w:sz w:val="48"/>
          <w:szCs w:val="48"/>
        </w:rPr>
      </w:pPr>
      <w:r>
        <w:rPr>
          <w:rFonts w:hint="eastAsia" w:ascii="宋体" w:hAnsi="宋体" w:cs="宋体"/>
          <w:b/>
          <w:bCs/>
          <w:sz w:val="48"/>
          <w:szCs w:val="48"/>
        </w:rPr>
      </w:r>
      <w:r/>
    </w:p>
    <w:tbl>
      <w:tblPr>
        <w:tblStyle w:val="768"/>
        <w:tblW w:w="8863"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3"/>
      </w:tblGrid>
      <w:tr>
        <w:trPr>
          <w:trHeight w:val="5090"/>
        </w:trPr>
        <w:tc>
          <w:tcPr>
            <w:tcW w:w="8863" w:type="dxa"/>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2025年教育信息化和普通装备提升项目厨房设备采购项目</w:t>
            </w:r>
            <w:r/>
          </w:p>
          <w:p>
            <w:pPr>
              <w:jc w:val="center"/>
              <w:rPr>
                <w:rFonts w:hint="eastAsia" w:ascii="宋体" w:hAnsi="宋体" w:cs="宋体"/>
                <w:sz w:val="28"/>
                <w:szCs w:val="28"/>
              </w:rPr>
            </w:pPr>
            <w:r>
              <w:rPr>
                <w:rFonts w:hint="eastAsia" w:ascii="宋体" w:hAnsi="宋体" w:cs="宋体"/>
                <w:sz w:val="28"/>
                <w:szCs w:val="28"/>
              </w:rPr>
              <w:t xml:space="preserve">政府采购招标文件</w:t>
            </w:r>
            <w:r/>
          </w:p>
          <w:p>
            <w:pPr>
              <w:jc w:val="left"/>
              <w:rPr>
                <w:rFonts w:hint="eastAsia" w:ascii="宋体" w:hAnsi="宋体" w:cs="宋体"/>
                <w:sz w:val="28"/>
                <w:szCs w:val="28"/>
              </w:rPr>
            </w:pPr>
            <w:r>
              <w:rPr>
                <w:rFonts w:hint="eastAsia" w:ascii="宋体" w:hAnsi="宋体" w:cs="宋体"/>
                <w:sz w:val="28"/>
                <w:szCs w:val="28"/>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编制人：</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center"/>
              <w:rPr>
                <w:rFonts w:hint="eastAsia" w:ascii="宋体" w:hAnsi="宋体" w:cs="宋体"/>
                <w:sz w:val="28"/>
                <w:szCs w:val="28"/>
              </w:rPr>
            </w:pPr>
            <w:r>
              <w:rPr>
                <w:rFonts w:hint="eastAsia" w:ascii="宋体" w:hAnsi="宋体" w:cs="宋体"/>
                <w:sz w:val="28"/>
                <w:szCs w:val="28"/>
              </w:rPr>
            </w:r>
            <w:r/>
          </w:p>
        </w:tc>
      </w:tr>
      <w:tr>
        <w:trPr>
          <w:trHeight w:val="6388"/>
        </w:trPr>
        <w:tc>
          <w:tcPr>
            <w:tcW w:w="8863" w:type="dxa"/>
            <w:textDirection w:val="lrTb"/>
            <w:noWrap w:val="false"/>
          </w:tcPr>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t xml:space="preserve">采购人：（盖章）</w:t>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jc w:val="left"/>
              <w:rPr>
                <w:rFonts w:hint="eastAsia" w:ascii="宋体" w:hAnsi="宋体" w:cs="宋体"/>
                <w:sz w:val="28"/>
                <w:szCs w:val="28"/>
              </w:rPr>
            </w:pPr>
            <w:r>
              <w:rPr>
                <w:rFonts w:hint="eastAsia" w:ascii="宋体" w:hAnsi="宋体" w:cs="宋体"/>
                <w:sz w:val="28"/>
                <w:szCs w:val="28"/>
              </w:rPr>
            </w:r>
            <w:r/>
          </w:p>
          <w:p>
            <w:pPr>
              <w:pStyle w:val="747"/>
              <w:rPr>
                <w:rFonts w:hint="eastAsia" w:ascii="宋体" w:hAnsi="宋体" w:eastAsia="宋体" w:cs="宋体"/>
              </w:rPr>
            </w:pPr>
            <w:r>
              <w:rPr>
                <w:rFonts w:hint="eastAsia" w:ascii="宋体" w:hAnsi="宋体" w:eastAsia="宋体" w:cs="宋体"/>
              </w:rPr>
            </w:r>
            <w:r/>
          </w:p>
          <w:p>
            <w:pPr>
              <w:jc w:val="left"/>
              <w:rPr>
                <w:rFonts w:hint="eastAsia" w:ascii="宋体" w:hAnsi="宋体" w:cs="宋体"/>
                <w:sz w:val="28"/>
                <w:szCs w:val="28"/>
              </w:rPr>
            </w:pPr>
            <w:r>
              <w:rPr>
                <w:rFonts w:hint="eastAsia" w:ascii="宋体" w:hAnsi="宋体" w:cs="宋体"/>
                <w:sz w:val="28"/>
                <w:szCs w:val="28"/>
              </w:rPr>
              <w:t xml:space="preserve">审阅人：（签字）</w:t>
            </w:r>
            <w:r/>
          </w:p>
          <w:p>
            <w:pPr>
              <w:jc w:val="left"/>
              <w:rPr>
                <w:rFonts w:hint="eastAsia" w:ascii="宋体" w:hAnsi="宋体" w:cs="宋体"/>
                <w:sz w:val="28"/>
                <w:szCs w:val="28"/>
              </w:rPr>
            </w:pPr>
            <w:r>
              <w:rPr>
                <w:rFonts w:hint="eastAsia" w:ascii="宋体" w:hAnsi="宋体" w:cs="宋体"/>
                <w:sz w:val="28"/>
                <w:szCs w:val="28"/>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szCs w:val="28"/>
              </w:rPr>
            </w:pPr>
            <w:r>
              <w:rPr>
                <w:rFonts w:hint="eastAsia" w:ascii="宋体" w:hAnsi="宋体" w:cs="宋体"/>
                <w:szCs w:val="28"/>
              </w:rPr>
            </w:r>
            <w:r/>
          </w:p>
          <w:p>
            <w:pPr>
              <w:jc w:val="left"/>
              <w:rPr>
                <w:rFonts w:hint="eastAsia" w:ascii="宋体" w:hAnsi="宋体" w:cs="宋体"/>
                <w:sz w:val="28"/>
                <w:szCs w:val="28"/>
              </w:rPr>
            </w:pPr>
            <w:r>
              <w:rPr>
                <w:rFonts w:hint="eastAsia" w:ascii="宋体" w:hAnsi="宋体" w:cs="宋体"/>
                <w:sz w:val="28"/>
                <w:szCs w:val="28"/>
              </w:rPr>
              <w:t xml:space="preserve">日期：</w:t>
            </w:r>
            <w:r/>
          </w:p>
          <w:p>
            <w:pPr>
              <w:jc w:val="left"/>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sz w:val="44"/>
          <w:szCs w:val="44"/>
        </w:rPr>
      </w:pPr>
      <w:r>
        <w:rPr>
          <w:rFonts w:hint="eastAsia" w:ascii="宋体" w:hAnsi="宋体" w:cs="宋体"/>
          <w:sz w:val="44"/>
          <w:szCs w:val="44"/>
        </w:rPr>
      </w:r>
      <w:r/>
    </w:p>
    <w:p>
      <w:pPr>
        <w:jc w:val="center"/>
        <w:keepNext/>
        <w:spacing w:line="500" w:lineRule="exact"/>
        <w:rPr>
          <w:rFonts w:hint="eastAsia" w:ascii="宋体" w:hAnsi="宋体" w:cs="宋体"/>
          <w:bCs/>
          <w:sz w:val="44"/>
          <w:szCs w:val="44"/>
        </w:rPr>
        <w:outlineLvl w:val="0"/>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受[南通市通州区教育技术中心]的委托，南通市通州区公共资源交易中心就2025年教育信息化和普通装备提升项目厨房设备采购项目进行公开招标采购，欢迎符合条件的供应商投标。</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2025年教育信息化和普通装备提升项目厨房设备采购项目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8</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7</w:t>
      </w:r>
      <w:r>
        <w:rPr>
          <w:rFonts w:hint="eastAsia" w:ascii="宋体" w:hAnsi="宋体" w:cs="宋体"/>
          <w:bCs/>
          <w:sz w:val="24"/>
          <w:szCs w:val="24"/>
          <w:u w:val="single"/>
        </w:rPr>
        <w:t xml:space="preserve">日9点00分（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1.项目编号：JSZC-320612-JZCG-G2025-0039</w:t>
      </w:r>
      <w:r>
        <w:rPr>
          <w:rFonts w:hint="eastAsia" w:ascii="宋体" w:hAnsi="宋体" w:cs="宋体"/>
          <w:sz w:val="24"/>
          <w:szCs w:val="24"/>
        </w:rPr>
        <w:tab/>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2025年教育信息化和普通装备提升项目厨房设备采购项目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u w:val="single"/>
        </w:rPr>
        <w:t xml:space="preserve">231.32</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4.本项目设定最高限价，一包最高限价为</w:t>
      </w:r>
      <w:r>
        <w:rPr>
          <w:rFonts w:hint="eastAsia" w:ascii="宋体" w:hAnsi="宋体" w:cs="宋体"/>
          <w:sz w:val="24"/>
          <w:szCs w:val="24"/>
          <w:u w:val="single"/>
        </w:rPr>
        <w:t xml:space="preserve">102.81</w:t>
      </w:r>
      <w:r>
        <w:rPr>
          <w:rFonts w:hint="eastAsia" w:ascii="宋体" w:hAnsi="宋体" w:cs="宋体"/>
          <w:sz w:val="24"/>
          <w:szCs w:val="24"/>
        </w:rPr>
        <w:t xml:space="preserve">万元。二包最高限价为</w:t>
      </w:r>
      <w:r>
        <w:rPr>
          <w:rFonts w:hint="eastAsia" w:ascii="宋体" w:hAnsi="宋体" w:cs="宋体"/>
          <w:sz w:val="24"/>
          <w:szCs w:val="24"/>
          <w:u w:val="single"/>
        </w:rPr>
        <w:t xml:space="preserve">128.51</w:t>
      </w:r>
      <w:r>
        <w:rPr>
          <w:rFonts w:hint="eastAsia" w:ascii="宋体" w:hAnsi="宋体" w:cs="宋体"/>
          <w:sz w:val="24"/>
          <w:szCs w:val="24"/>
        </w:rPr>
        <w:t xml:space="preserve">万元。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采购需求：本项目分2个包进行采购，一包为初中和幼儿园厨房设备，二包为小学厨房设备，详细内容见本招标文件第四章。各投标人可选择任意一个包投标，也可同时参与2个包的投标，但不得兼中。其中，已评审包的第一中标候选人可参与后续包的评审，但不得作为2包的中标候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6.合同履行期限：为了不影响开学，合同签订后务必在2025年8月27日前完成交付验收，否则按照违约处理。</w:t>
      </w:r>
      <w:r/>
    </w:p>
    <w:p>
      <w:pPr>
        <w:ind w:firstLine="480"/>
        <w:spacing w:line="500" w:lineRule="exact"/>
        <w:rPr>
          <w:rFonts w:hint="eastAsia" w:ascii="宋体" w:hAnsi="宋体" w:cs="宋体"/>
          <w:sz w:val="24"/>
          <w:szCs w:val="24"/>
        </w:rPr>
      </w:pPr>
      <w:r/>
      <w:bookmarkStart w:id="12" w:name="_Toc28359003"/>
      <w:r/>
      <w:bookmarkStart w:id="13" w:name="_Toc35393791"/>
      <w:r/>
      <w:bookmarkStart w:id="14" w:name="_Toc38985264"/>
      <w:r/>
      <w:bookmarkStart w:id="15" w:name="_Toc35393622"/>
      <w:r/>
      <w:bookmarkStart w:id="16" w:name="_Toc28359080"/>
      <w:r>
        <w:rPr>
          <w:rFonts w:hint="eastAsia" w:ascii="宋体" w:hAnsi="宋体" w:cs="宋体"/>
          <w:sz w:val="24"/>
          <w:szCs w:val="24"/>
        </w:rPr>
        <w:t xml:space="preserve">7.项目类型：货物。</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s="宋体"/>
          <w:sz w:val="24"/>
          <w:szCs w:val="24"/>
        </w:rPr>
      </w:pPr>
      <w:r/>
      <w:bookmarkStart w:id="17" w:name="_Toc28359081"/>
      <w:r/>
      <w:bookmarkStart w:id="18" w:name="_Toc35393792"/>
      <w:r/>
      <w:bookmarkStart w:id="19" w:name="_Toc38985265"/>
      <w:r/>
      <w:bookmarkStart w:id="20" w:name="_Toc28359004"/>
      <w:r/>
      <w:bookmarkStart w:id="21" w:name="_Toc35393623"/>
      <w:r>
        <w:rPr>
          <w:rFonts w:hint="eastAsia" w:ascii="宋体" w:hAnsi="宋体" w:cs="宋体"/>
          <w:sz w:val="24"/>
          <w:szCs w:val="24"/>
        </w:rPr>
        <w:t xml:space="preserve">（一）通用资格要求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 2024年度的财务审计报告（成立不满一年无需提供）或开户银行出具的资信证明；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3.落实政府采购政策需满足的资格要求：本项目专门面向中小企业采购。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4.本项目不接受联合体投标。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供应商需办理CA锁，“苏采云”系统目前仅支持政务CA，省内各地区办理的用于“苏采云”平台的政务CA全省通用。南通地区“CA数字证书”的办理：南通市政务中心四楼，电话：18951314963。</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2.5采购人或集中采购代理机构将数据电文形式的采购文件加载至“苏采云”系统，供潜在供应商下载或者查阅。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1.时间：2025年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7</w:t>
      </w:r>
      <w:r>
        <w:rPr>
          <w:rFonts w:hint="eastAsia" w:ascii="宋体" w:hAnsi="宋体" w:cs="宋体"/>
          <w:sz w:val="24"/>
          <w:szCs w:val="24"/>
        </w:rPr>
        <w:t xml:space="preserve">日9点00分（北京时间）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500" w:lineRule="exact"/>
        <w:rPr>
          <w:rFonts w:hint="eastAsia" w:ascii="宋体" w:hAnsi="宋体" w:cs="宋体"/>
          <w:sz w:val="24"/>
          <w:szCs w:val="24"/>
        </w:rPr>
      </w:pPr>
      <w:r/>
      <w:bookmarkStart w:id="27" w:name="_Toc35393794"/>
      <w:r/>
      <w:bookmarkStart w:id="28" w:name="_Toc28359084"/>
      <w:r/>
      <w:bookmarkStart w:id="29" w:name="_Toc28359007"/>
      <w:r/>
      <w:bookmarkStart w:id="30" w:name="_Toc35393625"/>
      <w:r/>
      <w:bookmarkStart w:id="31" w:name="_Toc38985267"/>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bookmarkEnd w:id="32"/>
      <w:r/>
      <w:bookmarkEnd w:id="33"/>
      <w:r/>
      <w:bookmarkEnd w:id="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六、其他补充事宜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1、本次招标不收取投标保证金。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2、本次招标落实的政府采购政策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（2）按照财政部、工业和信息化部关于印发《政府采购促进中小企业发展管理办法》的通知（财库〔2020〕46号）的规定，落实促进中小企业发展政策。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（3）按照《财政部、司法部关于政府采购支持监狱企业发展有关问题的通知》（财库〔2014〕68号）的规定，落实支持监狱企业发展政策。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（4）按照《三部门联合发布关于促进残疾人就业政府采购政策的通知》（财库〔2017〕141号）的规定，落实支持残疾人福利性单位发展政策。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（5）关于节能产品和环境标志产品：</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投标产品如属于财政部、国家发改委公布的“节能产品品目清单”范围内的，供应商应当提供国家确定的认证机构出具的、处于有效期之内的该节能产品认证证书扫描件，以及全国认证认可信息公共服务平台查询截图,否则作无效投标处理。认证机构详见市场监管总局发布的《参与实施政府采购节能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投标产品如属于财政部、生态环境部公布的“环境标志产品品目清单”范围内的，供应商应当提供国家确定的认证机构出具的、处于有效期内的该环保产品认证证书扫描件，以及全国认证认可信息公共服务平台查询截图,否则作无效投标处理。认证机构详见市场监管总局发布的《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七、本次招标联系方式</w:t>
      </w:r>
      <w:r/>
    </w:p>
    <w:p>
      <w:pPr>
        <w:ind w:firstLine="480"/>
        <w:spacing w:line="500" w:lineRule="exact"/>
        <w:rPr>
          <w:rFonts w:hint="eastAsia" w:ascii="宋体" w:hAnsi="宋体" w:cs="宋体"/>
          <w:sz w:val="24"/>
          <w:szCs w:val="24"/>
        </w:rPr>
      </w:pPr>
      <w:r/>
      <w:bookmarkStart w:id="35" w:name="_Toc28359087"/>
      <w:r/>
      <w:bookmarkStart w:id="36" w:name="_Toc28359010"/>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称：南通市通州区教育技术中心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地址：南通市通州区通海路56号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联系人：朱先生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联系方式：13801482398</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2.南通市通州区公共资源交易中心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地址：南通市通州区碧华路197号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联系方式：潘先生  0513-86524079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交易系统软件维护人员：0513-59001839</w:t>
      </w:r>
      <w:bookmarkEnd w:id="35"/>
      <w:r/>
      <w:bookmarkEnd w:id="3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八、其他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 有关本次招标的事项若存在变动或修改，敬请及时关注南通市通州区公共资源交易中心在“江苏政府采购网”发布的更正公告。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 本次招标不收取履约保证金。</w:t>
      </w:r>
      <w:r/>
    </w:p>
    <w:p>
      <w:pPr>
        <w:jc w:val="center"/>
        <w:spacing w:line="500" w:lineRule="exact"/>
        <w:rPr>
          <w:rFonts w:hint="eastAsia" w:ascii="宋体" w:hAnsi="宋体" w:cs="宋体"/>
          <w:sz w:val="44"/>
          <w:szCs w:val="44"/>
        </w:rPr>
      </w:pPr>
      <w:r>
        <w:rPr>
          <w:rFonts w:hint="eastAsia" w:ascii="宋体" w:hAnsi="宋体" w:cs="宋体"/>
          <w:sz w:val="24"/>
          <w:szCs w:val="24"/>
        </w:rPr>
        <w:br w:type="page" w:clear="all"/>
      </w:r>
      <w:bookmarkStart w:id="37" w:name="_Toc120614211"/>
      <w:r>
        <w:rPr>
          <w:rFonts w:hint="eastAsia" w:ascii="宋体" w:hAnsi="宋体" w:cs="宋体"/>
          <w:b/>
          <w:bCs/>
          <w:sz w:val="44"/>
          <w:szCs w:val="44"/>
        </w:rPr>
        <w:t xml:space="preserve">第二章  </w:t>
      </w:r>
      <w:bookmarkEnd w:id="1"/>
      <w:r/>
      <w:bookmarkEnd w:id="2"/>
      <w:r/>
      <w:bookmarkEnd w:id="3"/>
      <w:r/>
      <w:bookmarkEnd w:id="4"/>
      <w:r/>
      <w:bookmarkEnd w:id="5"/>
      <w:r/>
      <w:bookmarkEnd w:id="37"/>
      <w:r/>
      <w:bookmarkStart w:id="38" w:name="_Toc513029202"/>
      <w:r/>
      <w:bookmarkStart w:id="39" w:name="_Toc20823274"/>
      <w:r/>
      <w:bookmarkStart w:id="40" w:name="_Toc120614213"/>
      <w:r/>
      <w:bookmarkStart w:id="41" w:name="_Toc16938518"/>
      <w:r>
        <w:rPr>
          <w:rFonts w:hint="eastAsia" w:ascii="宋体" w:hAnsi="宋体" w:cs="宋体"/>
          <w:b/>
          <w:bCs/>
          <w:sz w:val="44"/>
          <w:szCs w:val="44"/>
        </w:rPr>
        <w:t xml:space="preserve">投标人须知</w:t>
      </w:r>
      <w:bookmarkEnd w:id="38"/>
      <w:r/>
      <w:bookmarkEnd w:id="39"/>
      <w:r/>
      <w:bookmarkEnd w:id="40"/>
      <w:r/>
      <w:bookmarkEnd w:id="41"/>
      <w:r/>
      <w:r/>
    </w:p>
    <w:p>
      <w:pPr>
        <w:ind w:firstLine="480"/>
        <w:spacing w:line="500" w:lineRule="exact"/>
        <w:rPr>
          <w:rFonts w:hint="eastAsia" w:ascii="宋体" w:hAnsi="宋体" w:cs="宋体"/>
          <w:sz w:val="24"/>
          <w:szCs w:val="24"/>
        </w:rPr>
      </w:pPr>
      <w:r/>
      <w:bookmarkStart w:id="42" w:name="_Toc16938519"/>
      <w:r/>
      <w:bookmarkStart w:id="43" w:name="_Toc20823275"/>
      <w:r/>
      <w:bookmarkStart w:id="44" w:name="_Toc120614214"/>
      <w:r/>
      <w:bookmarkStart w:id="45" w:name="_Toc513029203"/>
      <w:r>
        <w:rPr>
          <w:rFonts w:hint="eastAsia" w:ascii="宋体" w:hAnsi="宋体" w:cs="宋体"/>
          <w:sz w:val="24"/>
          <w:szCs w:val="24"/>
        </w:rPr>
        <w:t xml:space="preserve">一、总则</w:t>
      </w:r>
      <w:bookmarkEnd w:id="42"/>
      <w:r/>
      <w:bookmarkEnd w:id="43"/>
      <w:r/>
      <w:bookmarkEnd w:id="44"/>
      <w:r/>
      <w:bookmarkEnd w:id="45"/>
      <w:r/>
      <w:r/>
    </w:p>
    <w:p>
      <w:pPr>
        <w:ind w:firstLine="480"/>
        <w:spacing w:line="500" w:lineRule="exact"/>
        <w:rPr>
          <w:rFonts w:hint="eastAsia" w:ascii="宋体" w:hAnsi="宋体" w:cs="宋体"/>
          <w:sz w:val="24"/>
          <w:szCs w:val="24"/>
        </w:rPr>
      </w:pPr>
      <w:r/>
      <w:bookmarkStart w:id="46" w:name="_Hlt16619475"/>
      <w:r/>
      <w:bookmarkEnd w:id="46"/>
      <w:r/>
      <w:bookmarkStart w:id="47" w:name="_Toc458694821"/>
      <w:r/>
      <w:bookmarkStart w:id="48" w:name="_Toc16938520"/>
      <w:r/>
      <w:bookmarkStart w:id="49" w:name="_Toc20823276"/>
      <w:r/>
      <w:bookmarkStart w:id="50" w:name="_Toc513029204"/>
      <w:r>
        <w:rPr>
          <w:rFonts w:hint="eastAsia" w:ascii="宋体" w:hAnsi="宋体" w:cs="宋体"/>
          <w:sz w:val="24"/>
          <w:szCs w:val="24"/>
        </w:rPr>
        <w:t xml:space="preserve">1</w:t>
      </w:r>
      <w:bookmarkEnd w:id="47"/>
      <w:r>
        <w:rPr>
          <w:rFonts w:hint="eastAsia" w:ascii="宋体" w:hAnsi="宋体" w:cs="宋体"/>
          <w:sz w:val="24"/>
          <w:szCs w:val="24"/>
        </w:rPr>
        <w:t xml:space="preserve">、招标方式</w:t>
      </w:r>
      <w:bookmarkEnd w:id="48"/>
      <w:r/>
      <w:bookmarkEnd w:id="49"/>
      <w:r/>
      <w:bookmarkEnd w:id="5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0"/>
        <w:spacing w:line="500" w:lineRule="exact"/>
        <w:rPr>
          <w:rFonts w:hint="eastAsia" w:ascii="宋体" w:hAnsi="宋体" w:cs="宋体"/>
          <w:sz w:val="24"/>
          <w:szCs w:val="24"/>
        </w:rPr>
      </w:pPr>
      <w:r/>
      <w:bookmarkStart w:id="51" w:name="_Toc16938521"/>
      <w:r/>
      <w:bookmarkStart w:id="52" w:name="_Toc513029205"/>
      <w:r/>
      <w:bookmarkStart w:id="53" w:name="_Toc20823277"/>
      <w:r>
        <w:rPr>
          <w:rFonts w:hint="eastAsia" w:ascii="宋体" w:hAnsi="宋体" w:cs="宋体"/>
          <w:sz w:val="24"/>
          <w:szCs w:val="24"/>
        </w:rPr>
        <w:t xml:space="preserve">2、合格的投标人</w:t>
      </w:r>
      <w:bookmarkEnd w:id="51"/>
      <w:r/>
      <w:bookmarkEnd w:id="52"/>
      <w:r/>
      <w:bookmarkEnd w:id="5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ind w:firstLine="480"/>
        <w:spacing w:line="500" w:lineRule="exact"/>
        <w:rPr>
          <w:rFonts w:hint="eastAsia" w:ascii="宋体" w:hAnsi="宋体" w:cs="宋体"/>
          <w:sz w:val="24"/>
          <w:szCs w:val="24"/>
        </w:rPr>
      </w:pPr>
      <w:r/>
      <w:bookmarkStart w:id="54" w:name="_Toc513029206"/>
      <w:r/>
      <w:bookmarkStart w:id="55" w:name="_Toc20823278"/>
      <w:r/>
      <w:bookmarkStart w:id="56" w:name="_Toc16938522"/>
      <w:r>
        <w:rPr>
          <w:rFonts w:hint="eastAsia" w:ascii="宋体" w:hAnsi="宋体" w:cs="宋体"/>
          <w:sz w:val="24"/>
          <w:szCs w:val="24"/>
        </w:rPr>
        <w:t xml:space="preserve">3、适用法律</w:t>
      </w:r>
      <w:bookmarkEnd w:id="54"/>
      <w:r/>
      <w:bookmarkEnd w:id="55"/>
      <w:r/>
      <w:bookmarkEnd w:id="56"/>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500" w:lineRule="exact"/>
        <w:rPr>
          <w:rFonts w:hint="eastAsia" w:ascii="宋体" w:hAnsi="宋体" w:cs="宋体"/>
          <w:sz w:val="24"/>
          <w:szCs w:val="24"/>
        </w:rPr>
      </w:pPr>
      <w:r/>
      <w:bookmarkStart w:id="57" w:name="_Toc462564067"/>
      <w:r/>
      <w:bookmarkStart w:id="58" w:name="_Toc20823279"/>
      <w:r/>
      <w:bookmarkStart w:id="59" w:name="_Toc16938523"/>
      <w:r/>
      <w:bookmarkStart w:id="60" w:name="_Toc513029207"/>
      <w:r>
        <w:rPr>
          <w:rFonts w:hint="eastAsia" w:ascii="宋体" w:hAnsi="宋体" w:cs="宋体"/>
          <w:sz w:val="24"/>
          <w:szCs w:val="24"/>
        </w:rPr>
        <w:t xml:space="preserve">4、投标费用</w:t>
      </w:r>
      <w:bookmarkEnd w:id="57"/>
      <w:r/>
      <w:bookmarkEnd w:id="58"/>
      <w:r/>
      <w:bookmarkEnd w:id="59"/>
      <w:r/>
      <w:bookmarkEnd w:id="60"/>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投标人应自行承担所有与参加投标有关的费用，无论投标过程中的做法和结果如何，南通市通州区公共资源交易中心（以下简称采购中心）在任何情况下均无义务和责任承担这些费用。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4.2本次招标采购中心和采购人不收取标书工本费与中标服务费。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5、招标文件的约束力</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480"/>
        <w:spacing w:line="500" w:lineRule="exact"/>
        <w:rPr>
          <w:rFonts w:hint="eastAsia" w:ascii="宋体" w:hAnsi="宋体" w:cs="宋体"/>
          <w:sz w:val="24"/>
          <w:szCs w:val="24"/>
        </w:rPr>
      </w:pPr>
      <w:r/>
      <w:bookmarkStart w:id="61" w:name="_Toc513029209"/>
      <w:r/>
      <w:bookmarkStart w:id="62" w:name="_Toc16938525"/>
      <w:r/>
      <w:bookmarkStart w:id="63" w:name="_Toc20823281"/>
      <w:r/>
      <w:bookmarkStart w:id="64" w:name="_Toc120614215"/>
      <w:r>
        <w:rPr>
          <w:rFonts w:hint="eastAsia" w:ascii="宋体" w:hAnsi="宋体" w:cs="宋体"/>
          <w:sz w:val="24"/>
          <w:szCs w:val="24"/>
        </w:rPr>
        <w:t xml:space="preserve">二、招标文件</w:t>
      </w:r>
      <w:bookmarkEnd w:id="61"/>
      <w:r/>
      <w:bookmarkEnd w:id="62"/>
      <w:r/>
      <w:bookmarkEnd w:id="63"/>
      <w:r/>
      <w:bookmarkEnd w:id="64"/>
      <w:r/>
      <w:r/>
    </w:p>
    <w:p>
      <w:pPr>
        <w:ind w:firstLine="480"/>
        <w:spacing w:line="500" w:lineRule="exact"/>
        <w:rPr>
          <w:rFonts w:hint="eastAsia" w:ascii="宋体" w:hAnsi="宋体" w:cs="宋体"/>
          <w:sz w:val="24"/>
          <w:szCs w:val="24"/>
        </w:rPr>
      </w:pPr>
      <w:r/>
      <w:bookmarkStart w:id="65" w:name="_Toc16938526"/>
      <w:r/>
      <w:bookmarkStart w:id="66" w:name="_Toc20823282"/>
      <w:r/>
      <w:bookmarkStart w:id="67" w:name="_Toc513029210"/>
      <w:r>
        <w:rPr>
          <w:rFonts w:hint="eastAsia" w:ascii="宋体" w:hAnsi="宋体" w:cs="宋体"/>
          <w:sz w:val="24"/>
          <w:szCs w:val="24"/>
        </w:rPr>
        <w:t xml:space="preserve">6、招标文件构成</w:t>
      </w:r>
      <w:bookmarkEnd w:id="65"/>
      <w:r/>
      <w:bookmarkEnd w:id="66"/>
      <w:r/>
      <w:bookmarkEnd w:id="6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6.1 招标文件由以下部分组成：</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（1）投标邀请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（3）合同文本</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（4）采购需求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hint="eastAsia" w:ascii="宋体" w:hAnsi="宋体" w:cs="宋体"/>
          <w:sz w:val="24"/>
          <w:szCs w:val="24"/>
        </w:rPr>
      </w:pPr>
      <w:r/>
      <w:bookmarkStart w:id="68" w:name="_Toc462564070"/>
      <w:r/>
      <w:bookmarkStart w:id="69" w:name="_Toc20823283"/>
      <w:r/>
      <w:bookmarkStart w:id="70" w:name="_Toc16938527"/>
      <w:r/>
      <w:bookmarkStart w:id="71" w:name="_Toc513029211"/>
      <w:r>
        <w:rPr>
          <w:rFonts w:hint="eastAsia" w:ascii="宋体" w:hAnsi="宋体" w:cs="宋体"/>
          <w:sz w:val="24"/>
          <w:szCs w:val="24"/>
        </w:rPr>
        <w:t xml:space="preserve">7、招标文件的澄清</w:t>
      </w:r>
      <w:bookmarkEnd w:id="68"/>
      <w:r/>
      <w:bookmarkEnd w:id="69"/>
      <w:r/>
      <w:bookmarkEnd w:id="70"/>
      <w:r/>
      <w:bookmarkEnd w:id="7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任何要求对招标文件进行澄清的投标人，应在投标截止期十日前按招标公告中的通讯地址，以书面形式通知采购中心。</w:t>
      </w:r>
      <w:r/>
    </w:p>
    <w:p>
      <w:pPr>
        <w:ind w:firstLine="480"/>
        <w:spacing w:line="500" w:lineRule="exact"/>
        <w:rPr>
          <w:rFonts w:hint="eastAsia" w:ascii="宋体" w:hAnsi="宋体" w:cs="宋体"/>
          <w:sz w:val="24"/>
          <w:szCs w:val="24"/>
        </w:rPr>
      </w:pPr>
      <w:r/>
      <w:bookmarkStart w:id="72" w:name="_Toc462564071"/>
      <w:r/>
      <w:bookmarkStart w:id="73" w:name="_Toc20823284"/>
      <w:r/>
      <w:bookmarkStart w:id="74" w:name="_Toc16938528"/>
      <w:r/>
      <w:bookmarkStart w:id="75" w:name="_Toc513029212"/>
      <w:r>
        <w:rPr>
          <w:rFonts w:hint="eastAsia" w:ascii="宋体" w:hAnsi="宋体" w:cs="宋体"/>
          <w:sz w:val="24"/>
          <w:szCs w:val="24"/>
        </w:rPr>
        <w:t xml:space="preserve">8、招标文件的修改</w:t>
      </w:r>
      <w:bookmarkEnd w:id="72"/>
      <w:r/>
      <w:bookmarkEnd w:id="73"/>
      <w:r/>
      <w:bookmarkEnd w:id="74"/>
      <w:r/>
      <w:bookmarkEnd w:id="7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8.1 在投标截止时间前，采购中心可以对招标文件进行修改。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8.2 采购中心有权按照法定的要求推迟投标截止日期和开标日期。</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480"/>
        <w:spacing w:line="500" w:lineRule="exact"/>
        <w:rPr>
          <w:rFonts w:hint="eastAsia" w:ascii="宋体" w:hAnsi="宋体" w:cs="宋体"/>
          <w:sz w:val="24"/>
          <w:szCs w:val="24"/>
        </w:rPr>
      </w:pPr>
      <w:r/>
      <w:bookmarkStart w:id="76" w:name="_Toc16938529"/>
      <w:r/>
      <w:bookmarkStart w:id="77" w:name="_Toc120614216"/>
      <w:r/>
      <w:bookmarkStart w:id="78" w:name="_Toc20823285"/>
      <w:r/>
      <w:bookmarkStart w:id="79" w:name="_Toc513029213"/>
      <w:r/>
      <w:bookmarkStart w:id="80" w:name="_Toc462564072"/>
      <w:r>
        <w:rPr>
          <w:rFonts w:hint="eastAsia" w:ascii="宋体" w:hAnsi="宋体" w:cs="宋体"/>
          <w:sz w:val="24"/>
          <w:szCs w:val="24"/>
        </w:rPr>
        <w:t xml:space="preserve">三、投标文件的编制</w:t>
      </w:r>
      <w:bookmarkEnd w:id="76"/>
      <w:r/>
      <w:bookmarkEnd w:id="77"/>
      <w:r/>
      <w:bookmarkEnd w:id="78"/>
      <w:r/>
      <w:bookmarkEnd w:id="79"/>
      <w:r/>
      <w:bookmarkEnd w:id="80"/>
      <w:r/>
      <w:r/>
    </w:p>
    <w:p>
      <w:pPr>
        <w:ind w:firstLine="480"/>
        <w:spacing w:line="500" w:lineRule="exact"/>
        <w:rPr>
          <w:rFonts w:hint="eastAsia" w:ascii="宋体" w:hAnsi="宋体" w:cs="宋体"/>
          <w:sz w:val="24"/>
          <w:szCs w:val="24"/>
        </w:rPr>
      </w:pPr>
      <w:r/>
      <w:bookmarkStart w:id="81" w:name="_Toc462564073"/>
      <w:r/>
      <w:bookmarkStart w:id="82" w:name="_Toc16938530"/>
      <w:r/>
      <w:bookmarkStart w:id="83" w:name="_Toc20823286"/>
      <w:r/>
      <w:bookmarkStart w:id="84" w:name="_Toc513029214"/>
      <w:r>
        <w:rPr>
          <w:rFonts w:hint="eastAsia" w:ascii="宋体" w:hAnsi="宋体" w:cs="宋体"/>
          <w:sz w:val="24"/>
          <w:szCs w:val="24"/>
        </w:rPr>
        <w:t xml:space="preserve">9、投标文件的语言及度量衡单位</w:t>
      </w:r>
      <w:bookmarkEnd w:id="81"/>
      <w:r/>
      <w:bookmarkEnd w:id="82"/>
      <w:r/>
      <w:bookmarkEnd w:id="83"/>
      <w:r/>
      <w:bookmarkEnd w:id="8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9.1 投标人提交的投标文件以及投标人与采购中心就有关投标的所有来往通知、函件和文件均应使用简体中文。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480"/>
        <w:spacing w:line="500" w:lineRule="exact"/>
        <w:rPr>
          <w:rFonts w:hint="eastAsia" w:ascii="宋体" w:hAnsi="宋体" w:cs="宋体"/>
          <w:sz w:val="24"/>
          <w:szCs w:val="24"/>
        </w:rPr>
      </w:pPr>
      <w:r/>
      <w:bookmarkStart w:id="85" w:name="_Toc462564074"/>
      <w:r/>
      <w:bookmarkStart w:id="86" w:name="_Toc20823287"/>
      <w:r/>
      <w:bookmarkStart w:id="87" w:name="_Toc513029215"/>
      <w:r/>
      <w:bookmarkStart w:id="88" w:name="_Toc16938531"/>
      <w:r>
        <w:rPr>
          <w:rFonts w:hint="eastAsia" w:ascii="宋体" w:hAnsi="宋体" w:cs="宋体"/>
          <w:sz w:val="24"/>
          <w:szCs w:val="24"/>
        </w:rPr>
        <w:t xml:space="preserve">10、投标文件构成</w:t>
      </w:r>
      <w:bookmarkEnd w:id="85"/>
      <w:r/>
      <w:bookmarkEnd w:id="86"/>
      <w:r/>
      <w:bookmarkEnd w:id="87"/>
      <w:r/>
      <w:bookmarkEnd w:id="8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480"/>
        <w:spacing w:line="500" w:lineRule="exact"/>
        <w:rPr>
          <w:rFonts w:hint="eastAsia" w:ascii="宋体" w:hAnsi="宋体" w:cs="宋体"/>
          <w:sz w:val="24"/>
          <w:szCs w:val="24"/>
        </w:rPr>
      </w:pPr>
      <w:r/>
      <w:bookmarkStart w:id="89" w:name="_Hlt26954838"/>
      <w:r/>
      <w:bookmarkEnd w:id="89"/>
      <w:r/>
      <w:bookmarkStart w:id="90" w:name="_Hlt26670360"/>
      <w:r/>
      <w:bookmarkEnd w:id="90"/>
      <w:r/>
      <w:bookmarkStart w:id="91" w:name="_Hlt26668975"/>
      <w:r/>
      <w:bookmarkEnd w:id="91"/>
      <w:r/>
      <w:bookmarkStart w:id="92" w:name="_Toc513029216"/>
      <w:r/>
      <w:bookmarkStart w:id="93" w:name="_Toc513029219"/>
      <w:r/>
      <w:bookmarkStart w:id="94" w:name="_Toc49090507"/>
      <w:r/>
      <w:bookmarkStart w:id="95" w:name="_Toc14577357"/>
      <w:r/>
      <w:bookmarkStart w:id="96" w:name="_Toc49090509"/>
      <w:r/>
      <w:bookmarkStart w:id="97" w:name="_Toc14577354"/>
      <w:r/>
      <w:bookmarkStart w:id="98" w:name="_Toc14577355"/>
      <w:r/>
      <w:bookmarkStart w:id="99" w:name="_Toc49090508"/>
      <w:r>
        <w:rPr>
          <w:rFonts w:hint="eastAsia" w:ascii="宋体" w:hAnsi="宋体" w:cs="宋体"/>
          <w:sz w:val="24"/>
          <w:szCs w:val="24"/>
        </w:rPr>
        <w:t xml:space="preserve">11、证明投标人及投标标的符合招标文件规定的文件</w:t>
      </w:r>
      <w:bookmarkEnd w:id="92"/>
      <w:r/>
      <w:bookmarkEnd w:id="93"/>
      <w:r/>
      <w:bookmarkEnd w:id="94"/>
      <w:r/>
      <w:bookmarkEnd w:id="95"/>
      <w:r/>
      <w:bookmarkEnd w:id="96"/>
      <w:r/>
      <w:bookmarkEnd w:id="9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98"/>
      <w:r/>
      <w:bookmarkEnd w:id="9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spacing w:line="500" w:lineRule="exact"/>
        <w:rPr>
          <w:rFonts w:hint="eastAsia" w:ascii="宋体" w:hAnsi="宋体" w:cs="宋体"/>
          <w:sz w:val="24"/>
          <w:szCs w:val="24"/>
        </w:rPr>
      </w:pPr>
      <w:r/>
      <w:bookmarkStart w:id="100" w:name="_Hlt26954731"/>
      <w:r/>
      <w:bookmarkEnd w:id="100"/>
      <w:r/>
      <w:bookmarkStart w:id="101" w:name="_Hlt26954846"/>
      <w:r/>
      <w:bookmarkEnd w:id="101"/>
      <w:r/>
      <w:bookmarkStart w:id="102" w:name="_Hlt26670482"/>
      <w:r/>
      <w:bookmarkEnd w:id="102"/>
      <w:r/>
      <w:bookmarkStart w:id="103" w:name="_Hlt26954848"/>
      <w:r/>
      <w:bookmarkEnd w:id="103"/>
      <w:r/>
      <w:bookmarkStart w:id="104" w:name="_Hlt26670486"/>
      <w:r/>
      <w:bookmarkEnd w:id="104"/>
      <w:r>
        <w:rPr>
          <w:rFonts w:hint="eastAsia" w:ascii="宋体" w:hAnsi="宋体" w:cs="宋体"/>
          <w:sz w:val="24"/>
          <w:szCs w:val="24"/>
        </w:rPr>
        <w:t xml:space="preserve">13、技术要求响应及偏离表、商务要求响应及偏离表</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480"/>
        <w:spacing w:line="500" w:lineRule="exact"/>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14、服务承诺、培训计划、人员安排及其他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500" w:lineRule="exact"/>
        <w:rPr>
          <w:rFonts w:hint="eastAsia" w:ascii="宋体" w:hAnsi="宋体" w:cs="宋体"/>
          <w:sz w:val="24"/>
          <w:szCs w:val="24"/>
        </w:rPr>
      </w:pPr>
      <w:r/>
      <w:bookmarkStart w:id="105" w:name="_Toc49090510"/>
      <w:r/>
      <w:bookmarkStart w:id="106" w:name="_Toc14577359"/>
      <w:r>
        <w:rPr>
          <w:rFonts w:hint="eastAsia" w:ascii="宋体" w:hAnsi="宋体" w:cs="宋体"/>
          <w:sz w:val="24"/>
          <w:szCs w:val="24"/>
        </w:rPr>
        <w:t xml:space="preserve">15、投标函和开标一览表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15.1 投标人应按照招标文件中提供的格式完整、正确填写投标函、开标一览表。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80"/>
        <w:spacing w:line="500" w:lineRule="exact"/>
        <w:rPr>
          <w:rFonts w:hint="eastAsia" w:ascii="宋体" w:hAnsi="宋体" w:cs="宋体"/>
          <w:sz w:val="24"/>
          <w:szCs w:val="24"/>
        </w:rPr>
      </w:pPr>
      <w:r/>
      <w:bookmarkStart w:id="107" w:name="_Toc14577360"/>
      <w:r/>
      <w:bookmarkStart w:id="108" w:name="_Toc49090511"/>
      <w:r>
        <w:rPr>
          <w:rFonts w:hint="eastAsia" w:ascii="宋体" w:hAnsi="宋体" w:cs="宋体"/>
          <w:sz w:val="24"/>
          <w:szCs w:val="24"/>
        </w:rPr>
        <w:t xml:space="preserve">16、投标有效期</w:t>
      </w:r>
      <w:bookmarkEnd w:id="107"/>
      <w:r/>
      <w:bookmarkEnd w:id="10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16.1投标有效期为采购中心规定的开标之日后六十（60）天。投标有效期比规定短的将被视为未实质性响应招标文件而予以拒绝。</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17、投标有效期的延长</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spacing w:line="500" w:lineRule="exact"/>
        <w:rPr>
          <w:rFonts w:hint="eastAsia" w:ascii="宋体" w:hAnsi="宋体" w:cs="宋体"/>
          <w:sz w:val="24"/>
          <w:szCs w:val="24"/>
        </w:rPr>
      </w:pPr>
      <w:r/>
      <w:bookmarkStart w:id="109" w:name="_Hlt26954739"/>
      <w:r/>
      <w:bookmarkEnd w:id="109"/>
      <w:r/>
      <w:bookmarkStart w:id="110" w:name="_Hlt26954852"/>
      <w:r/>
      <w:bookmarkEnd w:id="110"/>
      <w:r/>
      <w:bookmarkStart w:id="111" w:name="_Toc20823296"/>
      <w:r/>
      <w:bookmarkStart w:id="112" w:name="_Toc16938540"/>
      <w:r/>
      <w:bookmarkStart w:id="113" w:name="_Toc120614217"/>
      <w:r/>
      <w:bookmarkStart w:id="114" w:name="_Toc513029224"/>
      <w:r>
        <w:rPr>
          <w:rFonts w:hint="eastAsia" w:ascii="宋体" w:hAnsi="宋体" w:cs="宋体"/>
          <w:sz w:val="24"/>
          <w:szCs w:val="24"/>
        </w:rPr>
        <w:t xml:space="preserve">四、投标文件的递交</w:t>
      </w:r>
      <w:bookmarkEnd w:id="111"/>
      <w:r/>
      <w:bookmarkEnd w:id="112"/>
      <w:r/>
      <w:bookmarkEnd w:id="113"/>
      <w:r/>
      <w:bookmarkEnd w:id="114"/>
      <w:r/>
      <w:r/>
    </w:p>
    <w:p>
      <w:pPr>
        <w:ind w:firstLine="480"/>
        <w:spacing w:line="500" w:lineRule="exact"/>
        <w:rPr>
          <w:rFonts w:hint="eastAsia" w:ascii="宋体" w:hAnsi="宋体" w:cs="宋体"/>
          <w:sz w:val="24"/>
          <w:szCs w:val="24"/>
        </w:rPr>
      </w:pPr>
      <w:r/>
      <w:bookmarkStart w:id="115" w:name="_Toc462564084"/>
      <w:r/>
      <w:bookmarkStart w:id="116" w:name="_Toc16938541"/>
      <w:r/>
      <w:bookmarkStart w:id="117" w:name="_Toc513029225"/>
      <w:r/>
      <w:bookmarkStart w:id="118" w:name="_Toc20823297"/>
      <w:r>
        <w:rPr>
          <w:rFonts w:hint="eastAsia" w:ascii="宋体" w:hAnsi="宋体" w:cs="宋体"/>
          <w:sz w:val="24"/>
          <w:szCs w:val="24"/>
        </w:rPr>
        <w:t xml:space="preserve">18、电子投标文件</w:t>
      </w:r>
      <w:bookmarkEnd w:id="115"/>
      <w:r/>
      <w:bookmarkEnd w:id="116"/>
      <w:r/>
      <w:bookmarkEnd w:id="117"/>
      <w:r/>
      <w:bookmarkEnd w:id="118"/>
      <w:r>
        <w:rPr>
          <w:rFonts w:hint="eastAsia" w:ascii="宋体" w:hAnsi="宋体" w:cs="宋体"/>
          <w:sz w:val="24"/>
          <w:szCs w:val="24"/>
        </w:rPr>
        <w:t xml:space="preserve">的递交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文件。</w:t>
      </w:r>
      <w:bookmarkStart w:id="119" w:name="_Toc16938542"/>
      <w:r/>
      <w:bookmarkStart w:id="120" w:name="_Toc513029226"/>
      <w:r/>
      <w:bookmarkStart w:id="121" w:name="_Toc2082329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19、投标截止日期</w:t>
      </w:r>
      <w:bookmarkEnd w:id="119"/>
      <w:r/>
      <w:bookmarkEnd w:id="120"/>
      <w:r/>
      <w:bookmarkEnd w:id="121"/>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19.1 投标人上传电子投标文件的时间不得迟于招标公告中规定的投标截止时间。</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ind w:firstLine="480"/>
        <w:spacing w:line="500" w:lineRule="exact"/>
        <w:rPr>
          <w:rFonts w:hint="eastAsia" w:ascii="宋体" w:hAnsi="宋体" w:cs="宋体"/>
          <w:sz w:val="24"/>
          <w:szCs w:val="24"/>
        </w:rPr>
      </w:pPr>
      <w:r/>
      <w:bookmarkStart w:id="122" w:name="_Toc16938543"/>
      <w:r/>
      <w:bookmarkStart w:id="123" w:name="_Toc20823299"/>
      <w:r/>
      <w:bookmarkStart w:id="124" w:name="_Toc513029227"/>
      <w:r>
        <w:rPr>
          <w:rFonts w:hint="eastAsia" w:ascii="宋体" w:hAnsi="宋体" w:cs="宋体"/>
          <w:sz w:val="24"/>
          <w:szCs w:val="24"/>
        </w:rPr>
        <w:t xml:space="preserve">20、投标文件</w:t>
      </w:r>
      <w:bookmarkEnd w:id="122"/>
      <w:r/>
      <w:bookmarkEnd w:id="123"/>
      <w:r/>
      <w:bookmarkEnd w:id="124"/>
      <w:r>
        <w:rPr>
          <w:rFonts w:hint="eastAsia" w:ascii="宋体" w:hAnsi="宋体" w:cs="宋体"/>
          <w:sz w:val="24"/>
          <w:szCs w:val="24"/>
        </w:rPr>
        <w:t xml:space="preserve">的拒收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 采购中心拒绝接收在其规定的投标截止时间后上传的任何投标文件。</w:t>
      </w:r>
      <w:r/>
    </w:p>
    <w:p>
      <w:pPr>
        <w:ind w:firstLine="480"/>
        <w:spacing w:line="500" w:lineRule="exact"/>
        <w:rPr>
          <w:rFonts w:hint="eastAsia" w:ascii="宋体" w:hAnsi="宋体" w:cs="宋体"/>
          <w:sz w:val="24"/>
          <w:szCs w:val="24"/>
        </w:rPr>
      </w:pPr>
      <w:r/>
      <w:bookmarkStart w:id="125" w:name="_Toc20823300"/>
      <w:r/>
      <w:bookmarkStart w:id="126" w:name="_Toc16938544"/>
      <w:r/>
      <w:bookmarkStart w:id="127" w:name="_Toc513029228"/>
      <w:r>
        <w:rPr>
          <w:rFonts w:hint="eastAsia" w:ascii="宋体" w:hAnsi="宋体" w:cs="宋体"/>
          <w:sz w:val="24"/>
          <w:szCs w:val="24"/>
        </w:rPr>
        <w:t xml:space="preserve">21、投标文件的撤回和修改</w:t>
      </w:r>
      <w:bookmarkEnd w:id="125"/>
      <w:r/>
      <w:bookmarkEnd w:id="126"/>
      <w:r/>
      <w:bookmarkEnd w:id="12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 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 投标文件的修改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21.2.2 在投标截止时间之后，投标人不得对其电子投标文件作任何修改。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p>
    <w:p>
      <w:pPr>
        <w:ind w:firstLine="480"/>
        <w:spacing w:line="500" w:lineRule="exact"/>
        <w:rPr>
          <w:rFonts w:hint="eastAsia" w:ascii="宋体" w:hAnsi="宋体" w:cs="宋体"/>
          <w:sz w:val="24"/>
          <w:szCs w:val="24"/>
        </w:rPr>
      </w:pPr>
      <w:r/>
      <w:bookmarkStart w:id="128" w:name="_Toc120614218"/>
      <w:r/>
      <w:bookmarkStart w:id="129" w:name="_Toc16938545"/>
      <w:r/>
      <w:bookmarkStart w:id="130" w:name="_Toc513029229"/>
      <w:r/>
      <w:bookmarkStart w:id="131" w:name="_Toc20823301"/>
      <w:r>
        <w:rPr>
          <w:rFonts w:hint="eastAsia" w:ascii="宋体" w:hAnsi="宋体" w:cs="宋体"/>
          <w:sz w:val="24"/>
          <w:szCs w:val="24"/>
        </w:rPr>
        <w:t xml:space="preserve">五、开标与评标</w:t>
      </w:r>
      <w:bookmarkEnd w:id="128"/>
      <w:r/>
      <w:bookmarkEnd w:id="129"/>
      <w:r/>
      <w:bookmarkEnd w:id="130"/>
      <w:r/>
      <w:bookmarkEnd w:id="131"/>
      <w:r/>
      <w:r/>
    </w:p>
    <w:p>
      <w:pPr>
        <w:ind w:firstLine="480"/>
        <w:spacing w:line="500" w:lineRule="exact"/>
        <w:rPr>
          <w:rFonts w:hint="eastAsia" w:ascii="宋体" w:hAnsi="宋体" w:cs="宋体"/>
          <w:sz w:val="24"/>
          <w:szCs w:val="24"/>
        </w:rPr>
      </w:pPr>
      <w:r/>
      <w:bookmarkStart w:id="132" w:name="_Toc16938546"/>
      <w:r/>
      <w:bookmarkStart w:id="133" w:name="_Toc20823302"/>
      <w:r/>
      <w:bookmarkStart w:id="134" w:name="_Toc513029230"/>
      <w:r>
        <w:rPr>
          <w:rFonts w:hint="eastAsia" w:ascii="宋体" w:hAnsi="宋体" w:cs="宋体"/>
          <w:sz w:val="24"/>
          <w:szCs w:val="24"/>
        </w:rPr>
        <w:t xml:space="preserve">22、开标</w:t>
      </w:r>
      <w:bookmarkEnd w:id="132"/>
      <w:r/>
      <w:bookmarkEnd w:id="133"/>
      <w:r/>
      <w:bookmarkEnd w:id="13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22.1 采购中心将在招标公告中规定的时间和地点组织公开开标。投标人应当按照《操作手册》规定，参加开标活动和在苏采云系统规定的时间内对投标文件进行解密。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22.2开标仪式由采购中心组织。苏采云系统将自动对项目进行开标，并宣布各投标人名称和投标价格。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22.3投标人在开标过程中涉及到的投标文件解密、开标结果确认等工作，应按照《操作手册》规定执行。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p>
    <w:p>
      <w:pPr>
        <w:ind w:firstLine="480"/>
        <w:spacing w:line="500" w:lineRule="exact"/>
        <w:rPr>
          <w:rFonts w:hint="eastAsia" w:ascii="宋体" w:hAnsi="宋体" w:cs="宋体"/>
          <w:sz w:val="24"/>
          <w:szCs w:val="24"/>
        </w:rPr>
      </w:pPr>
      <w:r/>
      <w:bookmarkStart w:id="135" w:name="_Toc16938547"/>
      <w:r/>
      <w:bookmarkStart w:id="136" w:name="_Toc513029231"/>
      <w:r/>
      <w:bookmarkStart w:id="137" w:name="_Toc20823303"/>
      <w:r>
        <w:rPr>
          <w:rFonts w:hint="eastAsia" w:ascii="宋体" w:hAnsi="宋体" w:cs="宋体"/>
          <w:sz w:val="24"/>
          <w:szCs w:val="24"/>
        </w:rPr>
        <w:t xml:space="preserve">23、评标委员会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23.1 开标后，采购中心将立即组织评标委员会（以下简称评委会）进行评标。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24．评标过程的保密与公正</w:t>
      </w:r>
      <w:bookmarkEnd w:id="135"/>
      <w:r/>
      <w:bookmarkEnd w:id="136"/>
      <w:r/>
      <w:bookmarkEnd w:id="13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24.1凡是与审查、澄清、评价和比较投标的有关资料以及授标建议等，采购人、评委、采购中心均不得向投标人或与评标无关的其他人员透露。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24.3 采购中心和评标委员会不向未中标的投标人解释未中标原因，也不公布评标过程中的相关细节。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0"/>
        <w:spacing w:line="500" w:lineRule="exact"/>
        <w:rPr>
          <w:rFonts w:hint="eastAsia" w:ascii="宋体" w:hAnsi="宋体" w:cs="宋体"/>
          <w:sz w:val="24"/>
          <w:szCs w:val="24"/>
        </w:rPr>
      </w:pPr>
      <w:r/>
      <w:bookmarkStart w:id="138" w:name="_Toc16938548"/>
      <w:r/>
      <w:bookmarkStart w:id="139" w:name="_Toc513029232"/>
      <w:r/>
      <w:bookmarkStart w:id="140" w:name="_Toc20823304"/>
      <w:r>
        <w:rPr>
          <w:rFonts w:hint="eastAsia" w:ascii="宋体" w:hAnsi="宋体" w:cs="宋体"/>
          <w:sz w:val="24"/>
          <w:szCs w:val="24"/>
        </w:rPr>
        <w:t xml:space="preserve">25．投标文件的澄清</w:t>
      </w:r>
      <w:bookmarkEnd w:id="138"/>
      <w:r/>
      <w:bookmarkEnd w:id="139"/>
      <w:r/>
      <w:bookmarkEnd w:id="140"/>
      <w:r/>
      <w:r/>
    </w:p>
    <w:p>
      <w:pPr>
        <w:ind w:firstLine="480"/>
        <w:spacing w:line="500" w:lineRule="exact"/>
        <w:rPr>
          <w:rFonts w:hint="eastAsia" w:ascii="宋体" w:hAnsi="宋体" w:cs="宋体"/>
          <w:sz w:val="24"/>
          <w:szCs w:val="24"/>
        </w:rPr>
      </w:pPr>
      <w:r/>
      <w:bookmarkStart w:id="141" w:name="_Toc513029233"/>
      <w:r/>
      <w:bookmarkStart w:id="142" w:name="_Toc16938549"/>
      <w:r/>
      <w:bookmarkStart w:id="143" w:name="_Toc20823305"/>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26、对投标文件的初审</w:t>
      </w:r>
      <w:bookmarkEnd w:id="141"/>
      <w:r/>
      <w:bookmarkEnd w:id="142"/>
      <w:r/>
      <w:bookmarkEnd w:id="143"/>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26.1投标文件初审分为资格审查和符合性审查。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hint="eastAsia" w:ascii="宋体" w:hAnsi="宋体" w:cs="宋体"/>
          <w:sz w:val="24"/>
          <w:szCs w:val="24"/>
        </w:rPr>
      </w:pPr>
      <w:r/>
      <w:bookmarkStart w:id="144" w:name="_Toc513029234"/>
      <w:r/>
      <w:bookmarkStart w:id="145" w:name="_Toc20823306"/>
      <w:r/>
      <w:bookmarkStart w:id="146" w:name="_Toc16938550"/>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26.7投标人在开、评标全过程中应保持通讯畅通，及时登录苏采云系统查阅、答复相关信息，并安排专人与采购中心及评标委员会联系。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w:t>
      </w:r>
      <w:bookmarkEnd w:id="144"/>
      <w:r/>
      <w:bookmarkEnd w:id="145"/>
      <w:r/>
      <w:bookmarkEnd w:id="146"/>
      <w:r>
        <w:rPr>
          <w:rFonts w:hint="eastAsia" w:ascii="宋体" w:hAnsi="宋体" w:cs="宋体"/>
          <w:sz w:val="24"/>
          <w:szCs w:val="24"/>
        </w:rPr>
        <w:t xml:space="preserve">无效投标条款和废标条款</w:t>
      </w:r>
      <w:r/>
    </w:p>
    <w:p>
      <w:pPr>
        <w:ind w:firstLine="480"/>
        <w:spacing w:line="500" w:lineRule="exact"/>
        <w:rPr>
          <w:rFonts w:hint="eastAsia" w:ascii="宋体" w:hAnsi="宋体" w:cs="宋体"/>
          <w:sz w:val="24"/>
          <w:szCs w:val="24"/>
        </w:rPr>
      </w:pPr>
      <w:r/>
      <w:bookmarkStart w:id="147" w:name="_Toc20823307"/>
      <w:r/>
      <w:bookmarkStart w:id="148" w:name="_Toc513029235"/>
      <w:r/>
      <w:bookmarkStart w:id="149" w:name="_Toc16938551"/>
      <w:r>
        <w:rPr>
          <w:rFonts w:hint="eastAsia" w:ascii="宋体" w:hAnsi="宋体" w:cs="宋体"/>
          <w:sz w:val="24"/>
          <w:szCs w:val="24"/>
        </w:rPr>
        <w:t xml:space="preserve">27.1无效投标条款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 投标人在苏采云系统规定的时间内未成功解密电子投标文件的。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27.1.2 投标人未按照招标文件要求上传电子投标文件的。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27.1.3同一投标人提交两个（含两个）以上不同的投标报价的。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27.1.4投标人不具备招标文件中规定资格要求的。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27.1.5投标人的报价超过了采购预算或最高限价的。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27.1.6未通过符合性审查的。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27.1.7不符合招标文件中规定的实质性要求和条件的（本招标文件中斜体且有下划线部分为实质性要求和条件）。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27.1.9 投标文件含有采购人不能接受的附加条件的。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27.1.12 投标文件未按照招标文件要求加盖CA电子公章的。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27.1.13其他法律、法规及本招标文件规定的属无效投标的情形。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27.2废标条款</w:t>
      </w:r>
      <w:r/>
    </w:p>
    <w:p>
      <w:pPr>
        <w:ind w:left="479"/>
        <w:spacing w:line="500" w:lineRule="exact"/>
        <w:rPr>
          <w:rFonts w:hint="eastAsia" w:ascii="宋体" w:hAnsi="宋体" w:cs="宋体"/>
          <w:sz w:val="24"/>
          <w:szCs w:val="24"/>
        </w:rPr>
      </w:pPr>
      <w:r>
        <w:rPr>
          <w:rFonts w:hint="eastAsia" w:ascii="宋体" w:hAnsi="宋体" w:cs="宋体"/>
          <w:sz w:val="24"/>
          <w:szCs w:val="24"/>
        </w:rPr>
        <w:t xml:space="preserve">27.2.1符合专业条件的供应商或者对招标文件作实质响应的供应商不足三家的。27.2.2出现影响采购公正的违法、违规行为的。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27.2.3因重大变故，采购任务取消的。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27.2.4评标委员会认定招标文件存在歧义、重大缺陷导致评审工作无法进行。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27.2.5 因苏采云系统系统故障原因造成开标不成功的。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 投标截止时间结束后参加投标的供应商不足三家的处理：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cs="宋体"/>
          <w:sz w:val="24"/>
          <w:szCs w:val="24"/>
        </w:rPr>
      </w:pPr>
      <w:r/>
      <w:bookmarkStart w:id="150" w:name="_Toc120614219"/>
      <w:r>
        <w:rPr>
          <w:rFonts w:hint="eastAsia" w:ascii="宋体" w:hAnsi="宋体" w:cs="宋体"/>
          <w:sz w:val="24"/>
          <w:szCs w:val="24"/>
        </w:rPr>
        <w:t xml:space="preserve">六、</w:t>
      </w:r>
      <w:bookmarkEnd w:id="147"/>
      <w:r/>
      <w:bookmarkEnd w:id="148"/>
      <w:r/>
      <w:bookmarkEnd w:id="149"/>
      <w:r>
        <w:rPr>
          <w:rFonts w:hint="eastAsia" w:ascii="宋体" w:hAnsi="宋体" w:cs="宋体"/>
          <w:sz w:val="24"/>
          <w:szCs w:val="24"/>
        </w:rPr>
        <w:t xml:space="preserve">定标</w:t>
      </w:r>
      <w:bookmarkEnd w:id="150"/>
      <w:r/>
      <w:r/>
    </w:p>
    <w:p>
      <w:pPr>
        <w:ind w:firstLine="480"/>
        <w:spacing w:line="500" w:lineRule="exact"/>
        <w:rPr>
          <w:rFonts w:hint="eastAsia" w:ascii="宋体" w:hAnsi="宋体" w:cs="宋体"/>
          <w:sz w:val="24"/>
          <w:szCs w:val="24"/>
        </w:rPr>
      </w:pPr>
      <w:r/>
      <w:bookmarkStart w:id="151" w:name="_Toc513029238"/>
      <w:r/>
      <w:bookmarkStart w:id="152" w:name="_Toc20823310"/>
      <w:r/>
      <w:bookmarkStart w:id="153" w:name="_Toc16938554"/>
      <w:r>
        <w:rPr>
          <w:rFonts w:hint="eastAsia" w:ascii="宋体" w:hAnsi="宋体" w:cs="宋体"/>
          <w:sz w:val="24"/>
          <w:szCs w:val="24"/>
        </w:rPr>
        <w:t xml:space="preserve">28、</w:t>
      </w:r>
      <w:bookmarkEnd w:id="151"/>
      <w:r>
        <w:rPr>
          <w:rFonts w:hint="eastAsia" w:ascii="宋体" w:hAnsi="宋体" w:cs="宋体"/>
          <w:sz w:val="24"/>
          <w:szCs w:val="24"/>
        </w:rPr>
        <w:t xml:space="preserve">确定</w:t>
      </w:r>
      <w:bookmarkEnd w:id="152"/>
      <w:r/>
      <w:bookmarkEnd w:id="153"/>
      <w:r>
        <w:rPr>
          <w:rFonts w:hint="eastAsia" w:ascii="宋体" w:hAnsi="宋体" w:cs="宋体"/>
          <w:sz w:val="24"/>
          <w:szCs w:val="24"/>
        </w:rPr>
        <w:t xml:space="preserve">中标单位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28.1中标候选人的选取原则和数量见招标文件第五章规定。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28.2 采购人应根据评委会推荐的中标候选人确定中标人。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28.3 采购中心将在“江苏政府采购网”发布中标公告，公告期限为1个工作日。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  若有充分证据证明，中标人出现下列情况之一的，一经查实，将被取消中标资格：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28.4.1提供虚假材料谋取中标的。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28.4.2向采购人、采购中心行贿或者提供其他不正当利益的。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500" w:lineRule="exact"/>
        <w:rPr>
          <w:rFonts w:hint="eastAsia" w:ascii="宋体" w:hAnsi="宋体" w:cs="宋体"/>
          <w:sz w:val="24"/>
          <w:szCs w:val="24"/>
        </w:rPr>
      </w:pPr>
      <w:r/>
      <w:bookmarkStart w:id="154" w:name="_Toc200451960"/>
      <w:r>
        <w:rPr>
          <w:rFonts w:hint="eastAsia" w:ascii="宋体" w:hAnsi="宋体" w:cs="宋体"/>
          <w:sz w:val="24"/>
          <w:szCs w:val="24"/>
        </w:rPr>
        <w:t xml:space="preserve">28.5. 有下列情形之一的，视为投标人串通投标，投标无效：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29、质疑处理</w:t>
      </w:r>
      <w:bookmarkEnd w:id="1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29.2.3对中标或者成交结果提出质疑的，为中标或者成交结果公告期限届满之日。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供应商（含潜在供应商）对与本项目有关的所有询问、质疑均请向采购人提出，由采购人负责答复。</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采购人及采购中心只接收以纸质原件形式送达的质疑,建议供应商尽量通过邮寄方式提交质疑（采购人和采购中心不接受未填写快递运单的快件）。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29.5.4 未参加投标活动的供应商或在投标活动中自身权益未受到损害的供应商所提出的质疑。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30、中标通知书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00" w:lineRule="exact"/>
        <w:rPr>
          <w:rFonts w:hint="eastAsia" w:ascii="宋体" w:hAnsi="宋体" w:cs="宋体"/>
          <w:sz w:val="24"/>
          <w:szCs w:val="24"/>
        </w:rPr>
      </w:pPr>
      <w:r/>
      <w:bookmarkStart w:id="155" w:name="_Toc120614220"/>
      <w:r/>
      <w:bookmarkStart w:id="156" w:name="_Toc20823308"/>
      <w:r/>
      <w:bookmarkStart w:id="157" w:name="_Toc513029236"/>
      <w:r/>
      <w:bookmarkStart w:id="158" w:name="_Toc16938552"/>
      <w:r>
        <w:rPr>
          <w:rFonts w:hint="eastAsia" w:ascii="宋体" w:hAnsi="宋体" w:cs="宋体"/>
          <w:sz w:val="24"/>
          <w:szCs w:val="24"/>
        </w:rPr>
        <w:t xml:space="preserve">七、授予合同</w:t>
      </w:r>
      <w:bookmarkEnd w:id="155"/>
      <w:r/>
      <w:bookmarkEnd w:id="156"/>
      <w:r/>
      <w:bookmarkEnd w:id="157"/>
      <w:r/>
      <w:bookmarkEnd w:id="158"/>
      <w:r/>
      <w:r/>
    </w:p>
    <w:p>
      <w:pPr>
        <w:ind w:firstLine="480"/>
        <w:spacing w:line="500" w:lineRule="exact"/>
        <w:rPr>
          <w:rFonts w:hint="eastAsia" w:ascii="宋体" w:hAnsi="宋体" w:cs="宋体"/>
          <w:sz w:val="24"/>
          <w:szCs w:val="24"/>
        </w:rPr>
      </w:pPr>
      <w:r/>
      <w:bookmarkStart w:id="159" w:name="_Toc16938553"/>
      <w:r/>
      <w:bookmarkStart w:id="160" w:name="_Toc20823309"/>
      <w:r/>
      <w:bookmarkStart w:id="161" w:name="_Toc513029237"/>
      <w:r>
        <w:rPr>
          <w:rFonts w:hint="eastAsia" w:ascii="宋体" w:hAnsi="宋体" w:cs="宋体"/>
          <w:sz w:val="24"/>
          <w:szCs w:val="24"/>
        </w:rPr>
        <w:t xml:space="preserve">31. 签订合同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31.l中标人应当在中标通知书发出之日起三十日内，按照招标文件确定的事项与采购人签订政府采购合同。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31.2 招标文件、中标人的投标文件及招标过程中有关澄清、承诺文件均应作为合同附件。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32、货物（包含与货物相关的服务）的追加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9"/>
      <w:r/>
      <w:bookmarkEnd w:id="160"/>
      <w:r/>
      <w:bookmarkEnd w:id="161"/>
      <w:r/>
      <w:r/>
    </w:p>
    <w:p>
      <w:pPr>
        <w:ind w:firstLine="420"/>
        <w:spacing w:line="500" w:lineRule="exact"/>
        <w:rPr>
          <w:rFonts w:hint="eastAsia" w:ascii="宋体" w:hAnsi="宋体" w:cs="宋体"/>
          <w:szCs w:val="21"/>
        </w:rPr>
      </w:pPr>
      <w:r/>
      <w:bookmarkStart w:id="162" w:name="_Toc20823314"/>
      <w:r/>
      <w:bookmarkStart w:id="163" w:name="_Toc513029242"/>
      <w:r/>
      <w:bookmarkStart w:id="164" w:name="_Toc16938558"/>
      <w:r/>
      <w:bookmarkStart w:id="165" w:name="_Toc479757207"/>
      <w:r/>
      <w:bookmarkStart w:id="166" w:name="_Toc120614221"/>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2"/>
      <w:r/>
      <w:bookmarkEnd w:id="163"/>
      <w:r/>
      <w:bookmarkEnd w:id="164"/>
      <w:r/>
      <w:bookmarkEnd w:id="165"/>
      <w:r/>
      <w:bookmarkEnd w:id="166"/>
      <w:r>
        <w:rPr>
          <w:rFonts w:hint="eastAsia" w:ascii="宋体" w:hAnsi="宋体" w:cs="宋体"/>
          <w:bCs/>
          <w:sz w:val="44"/>
          <w:szCs w:val="28"/>
        </w:rPr>
        <w:t xml:space="preserve">文本</w:t>
      </w:r>
      <w:r/>
    </w:p>
    <w:p>
      <w:pPr>
        <w:jc w:val="center"/>
        <w:spacing w:line="500" w:lineRule="exact"/>
        <w:rPr>
          <w:rFonts w:hint="eastAsia" w:ascii="宋体" w:hAnsi="宋体" w:cs="宋体"/>
          <w:bCs/>
          <w:sz w:val="44"/>
          <w:szCs w:val="44"/>
        </w:rPr>
      </w:pPr>
      <w:r/>
      <w:bookmarkStart w:id="167" w:name="_Hlt16619350"/>
      <w:r/>
      <w:bookmarkStart w:id="168" w:name="_Toc16938590"/>
      <w:r/>
      <w:bookmarkStart w:id="169" w:name="_Toc120614244"/>
      <w:r/>
      <w:bookmarkStart w:id="170" w:name="_Toc20823346"/>
      <w:r/>
      <w:bookmarkStart w:id="171" w:name="_Toc462564139"/>
      <w:r/>
      <w:bookmarkStart w:id="172" w:name="_Toc479757211"/>
      <w:r/>
      <w:r/>
    </w:p>
    <w:p>
      <w:pPr>
        <w:pStyle w:val="747"/>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47"/>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47"/>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47"/>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47"/>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bCs/>
          <w:sz w:val="28"/>
          <w:szCs w:val="28"/>
          <w:u w:val="single"/>
        </w:rPr>
        <w:t xml:space="preserve">2025年教育信息化和普通装备提升项目厨房设备采购项目</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南通市通州区教育技术中心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pStyle w:val="734"/>
        <w:jc w:val="center"/>
        <w:spacing w:line="400" w:lineRule="exact"/>
        <w:rPr>
          <w:rFonts w:hint="eastAsia" w:ascii="宋体" w:hAnsi="宋体" w:eastAsia="宋体" w:cs="宋体"/>
          <w:b w:val="0"/>
          <w:bCs w:val="0"/>
          <w:sz w:val="28"/>
          <w:szCs w:val="28"/>
        </w:rPr>
      </w:pPr>
      <w:r/>
      <w:bookmarkStart w:id="173" w:name="_Toc22209"/>
      <w:r>
        <w:rPr>
          <w:rFonts w:hint="eastAsia" w:ascii="宋体" w:hAnsi="宋体" w:eastAsia="宋体" w:cs="宋体"/>
          <w:b w:val="0"/>
          <w:bCs w:val="0"/>
          <w:sz w:val="28"/>
          <w:szCs w:val="28"/>
        </w:rPr>
        <w:t xml:space="preserve">第一节 政府采购合同协议书</w:t>
      </w:r>
      <w:bookmarkEnd w:id="173"/>
      <w:r/>
      <w:r/>
    </w:p>
    <w:p>
      <w:pPr>
        <w:spacing w:line="400" w:lineRule="exact"/>
        <w:rPr>
          <w:rFonts w:hint="eastAsia"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pStyle w:val="749"/>
        <w:ind w:left="0"/>
        <w:spacing w:after="0" w:line="400" w:lineRule="exact"/>
        <w:rPr>
          <w:rFonts w:hint="eastAsia" w:ascii="宋体" w:hAnsi="宋体" w:cs="宋体"/>
          <w:szCs w:val="21"/>
          <w:u w:val="single"/>
        </w:rPr>
      </w:pPr>
      <w:r>
        <w:rPr>
          <w:rFonts w:hint="eastAsia" w:ascii="宋体" w:hAnsi="宋体" w:cs="宋体"/>
          <w:szCs w:val="21"/>
        </w:rPr>
        <w:t xml:space="preserve">乙方（全称）：</w:t>
      </w:r>
      <w:r>
        <w:rPr>
          <w:rFonts w:hint="eastAsia" w:ascii="宋体" w:hAnsi="宋体" w:cs="宋体"/>
          <w:szCs w:val="21"/>
          <w:u w:val="single"/>
        </w:rPr>
        <w:t xml:space="preserve">                       </w:t>
      </w:r>
      <w:r/>
    </w:p>
    <w:p>
      <w:pPr>
        <w:pStyle w:val="749"/>
        <w:ind w:left="0" w:firstLine="420"/>
        <w:spacing w:after="0" w:line="400" w:lineRule="exact"/>
        <w:rPr>
          <w:rFonts w:hint="eastAsia"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749"/>
        <w:numPr>
          <w:ilvl w:val="0"/>
          <w:numId w:val="2"/>
        </w:numPr>
        <w:ind w:left="0" w:firstLine="420"/>
        <w:spacing w:after="0" w:line="400" w:lineRule="exact"/>
        <w:rPr>
          <w:rFonts w:hint="eastAsia"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pStyle w:val="749"/>
        <w:numPr>
          <w:ilvl w:val="255"/>
          <w:numId w:val="0"/>
        </w:numPr>
        <w:spacing w:after="0" w:line="400" w:lineRule="exact"/>
        <w:tabs>
          <w:tab w:val="left" w:pos="999" w:leader="none"/>
        </w:tabs>
        <w:rPr>
          <w:rFonts w:hint="eastAsia"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749"/>
        <w:ind w:left="0" w:firstLine="420"/>
        <w:spacing w:after="0" w:line="400" w:lineRule="exact"/>
        <w:rPr>
          <w:rFonts w:hint="eastAsia"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（3）项目内容：</w:t>
      </w:r>
      <w:r/>
    </w:p>
    <w:p>
      <w:pPr>
        <w:ind w:firstLine="420"/>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35"/>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hint="eastAsia" w:ascii="宋体" w:hAnsi="宋体" w:eastAsia="宋体" w:cs="宋体"/>
          <w:iCs/>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935"/>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5"/>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5"/>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5"/>
        <w:numPr>
          <w:ilvl w:val="255"/>
          <w:numId w:val="0"/>
        </w:numPr>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35"/>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numPr>
          <w:ilvl w:val="255"/>
          <w:numId w:val="0"/>
        </w:numPr>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3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是否涉及绿色产品： </w:t>
      </w:r>
      <w:r/>
    </w:p>
    <w:p>
      <w:pPr>
        <w:pStyle w:val="935"/>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numPr>
          <w:ilvl w:val="255"/>
          <w:numId w:val="0"/>
        </w:numPr>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935"/>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ind w:firstLine="420"/>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numPr>
          <w:ilvl w:val="255"/>
          <w:numId w:val="0"/>
        </w:numPr>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936"/>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hint="eastAsia"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货物安装到位后，由乙方书面提交验收申请，由甲方组织相关人员验收合格后支付合同金额的80％，自验收合格之日起满2年后付清余款。付款时由乙方提供正规发票，甲方按相关财务支付规定办理支付手续。</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935"/>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35"/>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3"/>
        </w:numPr>
        <w:ind w:firstLine="420"/>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ind w:firstLine="420"/>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93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ind w:firstLine="420"/>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hint="eastAsia"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hint="eastAsia"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hint="eastAsia" w:ascii="宋体" w:hAnsi="宋体" w:cs="宋体"/>
          <w:szCs w:val="21"/>
        </w:rPr>
      </w:pPr>
      <w:r>
        <w:rPr>
          <w:rFonts w:hint="eastAsia" w:ascii="宋体" w:hAnsi="宋体" w:cs="宋体"/>
          <w:szCs w:val="21"/>
        </w:rPr>
        <w:t xml:space="preserve">（4）中标（成交）通知书</w:t>
      </w:r>
      <w:r/>
    </w:p>
    <w:p>
      <w:pPr>
        <w:ind w:firstLine="420"/>
        <w:spacing w:line="400" w:lineRule="exact"/>
        <w:rPr>
          <w:rFonts w:hint="eastAsia" w:ascii="宋体" w:hAnsi="宋体" w:cs="宋体"/>
          <w:szCs w:val="21"/>
        </w:rPr>
      </w:pPr>
      <w:r>
        <w:rPr>
          <w:rFonts w:hint="eastAsia" w:ascii="宋体" w:hAnsi="宋体" w:cs="宋体"/>
          <w:szCs w:val="21"/>
        </w:rPr>
        <w:t xml:space="preserve">（5）投标（响应）文件</w:t>
      </w:r>
      <w:r/>
    </w:p>
    <w:p>
      <w:pPr>
        <w:ind w:firstLine="420"/>
        <w:spacing w:line="400" w:lineRule="exact"/>
        <w:rPr>
          <w:rFonts w:hint="eastAsia" w:ascii="宋体" w:hAnsi="宋体" w:cs="宋体"/>
          <w:szCs w:val="21"/>
        </w:rPr>
      </w:pPr>
      <w:r>
        <w:rPr>
          <w:rFonts w:hint="eastAsia" w:ascii="宋体" w:hAnsi="宋体" w:cs="宋体"/>
          <w:szCs w:val="21"/>
        </w:rPr>
        <w:t xml:space="preserve">（6）采购文件</w:t>
      </w:r>
      <w:r/>
    </w:p>
    <w:p>
      <w:pPr>
        <w:ind w:firstLine="420"/>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93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ind w:firstLine="420"/>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1"/>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ind w:firstLine="420"/>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ind w:firstLine="420"/>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p>
    <w:p>
      <w:pPr>
        <w:pStyle w:val="936"/>
        <w:spacing w:line="400" w:lineRule="exact"/>
        <w:rPr>
          <w:rFonts w:hint="eastAsia" w:ascii="宋体" w:hAnsi="宋体" w:cs="宋体"/>
        </w:rPr>
      </w:pPr>
      <w:r>
        <w:rPr>
          <w:rFonts w:hint="eastAsia" w:ascii="宋体" w:hAnsi="宋体" w:cs="宋体"/>
        </w:rPr>
      </w:r>
      <w:r/>
    </w:p>
    <w:p>
      <w:pPr>
        <w:pStyle w:val="734"/>
        <w:spacing w:line="400" w:lineRule="exact"/>
        <w:rPr>
          <w:rFonts w:hint="eastAsia" w:ascii="宋体" w:hAnsi="宋体" w:eastAsia="宋体" w:cs="宋体"/>
          <w:b w:val="0"/>
          <w:bCs w:val="0"/>
          <w:sz w:val="21"/>
          <w:szCs w:val="21"/>
        </w:rPr>
      </w:pPr>
      <w:r>
        <w:rPr>
          <w:rFonts w:hint="eastAsia" w:ascii="宋体" w:hAnsi="宋体" w:eastAsia="宋体" w:cs="宋体"/>
          <w:lang w:val="en"/>
        </w:rPr>
        <w:t xml:space="preserve">   </w:t>
      </w:r>
      <w:r/>
    </w:p>
    <w:p>
      <w:pPr>
        <w:rPr>
          <w:rFonts w:hint="eastAsia" w:ascii="宋体" w:hAnsi="宋体" w:cs="宋体"/>
        </w:rPr>
      </w:pPr>
      <w:r>
        <w:rPr>
          <w:rFonts w:hint="eastAsia" w:ascii="宋体" w:hAnsi="宋体" w:cs="宋体"/>
        </w:rPr>
        <w:br w:type="page" w:clear="all"/>
      </w:r>
      <w:r/>
    </w:p>
    <w:p>
      <w:pPr>
        <w:pStyle w:val="936"/>
        <w:rPr>
          <w:rFonts w:hint="eastAsia" w:ascii="宋体" w:hAnsi="宋体" w:cs="宋体"/>
        </w:rPr>
      </w:pPr>
      <w:r>
        <w:rPr>
          <w:rFonts w:hint="eastAsia" w:ascii="宋体" w:hAnsi="宋体" w:cs="宋体"/>
        </w:rPr>
      </w:r>
      <w:r/>
    </w:p>
    <w:tbl>
      <w:tblPr>
        <w:tblStyle w:val="743"/>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749"/>
              <w:ind w:left="0"/>
              <w:jc w:val="left"/>
              <w:spacing w:before="120" w:after="0" w:line="360" w:lineRule="auto"/>
              <w:rPr>
                <w:rFonts w:hint="eastAsia"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734"/>
        <w:jc w:val="center"/>
        <w:spacing w:before="120"/>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4" w:name="_Toc27624"/>
      <w:r>
        <w:rPr>
          <w:rFonts w:hint="eastAsia" w:ascii="宋体" w:hAnsi="宋体" w:eastAsia="宋体" w:cs="宋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ind w:firstLine="420"/>
        <w:jc w:val="left"/>
        <w:spacing w:line="400" w:lineRule="exact"/>
        <w:rPr>
          <w:rFonts w:hint="eastAsia" w:ascii="宋体" w:hAnsi="宋体" w:cs="宋体"/>
          <w:szCs w:val="21"/>
        </w:rPr>
      </w:pPr>
      <w:r>
        <w:rPr>
          <w:rFonts w:hint="eastAsia" w:ascii="宋体" w:hAnsi="宋体" w:cs="宋体"/>
          <w:szCs w:val="21"/>
        </w:rPr>
        <w:t xml:space="preserve">1.1合同当事人</w:t>
      </w:r>
      <w:r/>
    </w:p>
    <w:p>
      <w:pPr>
        <w:ind w:firstLine="420"/>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ind w:firstLine="420"/>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ind w:firstLine="420"/>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47"/>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747"/>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ind w:firstLine="420"/>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935"/>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753"/>
        <w:ind w:firstLine="420"/>
        <w:jc w:val="left"/>
        <w:spacing w:line="400" w:lineRule="exact"/>
        <w:rPr>
          <w:rFonts w:hint="eastAsia" w:hAnsi="宋体" w:cs="宋体"/>
          <w:b/>
        </w:rPr>
      </w:pPr>
      <w:r>
        <w:rPr>
          <w:rFonts w:hint="eastAsia" w:hAnsi="宋体" w:cs="宋体"/>
        </w:rPr>
        <w:t xml:space="preserve">8.1 质量标准</w:t>
      </w:r>
      <w:r/>
    </w:p>
    <w:p>
      <w:pPr>
        <w:ind w:firstLine="420"/>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53"/>
        <w:ind w:firstLine="420"/>
        <w:jc w:val="left"/>
        <w:spacing w:line="400" w:lineRule="exact"/>
        <w:rPr>
          <w:rFonts w:hint="eastAsia" w:hAnsi="宋体" w:cs="宋体"/>
        </w:rPr>
      </w:pPr>
      <w:r>
        <w:rPr>
          <w:rFonts w:hint="eastAsia" w:hAnsi="宋体" w:cs="宋体"/>
        </w:rPr>
        <w:t xml:space="preserve">（2）采用中华人民共和国法定计量单位。</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s="宋体"/>
          <w:szCs w:val="21"/>
        </w:rPr>
      </w:pPr>
      <w:r>
        <w:rPr>
          <w:rFonts w:hint="eastAsia" w:ascii="宋体" w:hAnsi="宋体" w:cs="宋体"/>
          <w:szCs w:val="21"/>
        </w:rPr>
        <w:t xml:space="preserve">8.2 保证</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ind w:firstLine="420"/>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ind w:firstLine="420"/>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Cs w:val="21"/>
        </w:rPr>
        <w:t xml:space="preserve">。</w:t>
      </w:r>
      <w:r/>
    </w:p>
    <w:p>
      <w:pPr>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ind w:firstLine="420"/>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734"/>
        <w:ind w:firstLine="420"/>
        <w:spacing w:line="400" w:lineRule="exact"/>
        <w:rPr>
          <w:rFonts w:hint="eastAsia" w:ascii="宋体" w:hAnsi="宋体" w:eastAsia="宋体" w:cs="宋体"/>
        </w:rPr>
      </w:pPr>
      <w:r>
        <w:rPr>
          <w:rFonts w:hint="eastAsia" w:ascii="宋体" w:hAnsi="宋体" w:eastAsia="宋体" w:cs="宋体"/>
          <w:b w:val="0"/>
          <w:bCs w:val="0"/>
          <w:sz w:val="21"/>
          <w:szCs w:val="21"/>
        </w:rPr>
        <w:t xml:space="preserve">12.2 </w:t>
      </w:r>
      <w:r>
        <w:rPr>
          <w:rFonts w:hint="eastAsia" w:ascii="宋体" w:hAnsi="宋体" w:eastAsia="宋体" w:cs="宋体"/>
          <w:b w:val="0"/>
          <w:bCs w:val="0"/>
          <w:sz w:val="21"/>
          <w:szCs w:val="21"/>
        </w:rPr>
        <w:t xml:space="preserve">对于满足合同约定支付条件的，甲方</w:t>
      </w:r>
      <w:r>
        <w:rPr>
          <w:rFonts w:hint="eastAsia" w:ascii="宋体" w:hAnsi="宋体" w:eastAsia="宋体" w:cs="宋体"/>
          <w:b w:val="0"/>
          <w:bCs w:val="0"/>
          <w:sz w:val="21"/>
          <w:szCs w:val="21"/>
        </w:rPr>
        <w:t xml:space="preserve">原则上应当自收到发票后10个工作日内</w:t>
      </w:r>
      <w:r>
        <w:rPr>
          <w:rFonts w:hint="eastAsia" w:ascii="宋体" w:hAnsi="宋体" w:eastAsia="宋体" w:cs="宋体"/>
          <w:b w:val="0"/>
          <w:bCs w:val="0"/>
          <w:sz w:val="21"/>
          <w:szCs w:val="21"/>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p>
    <w:p>
      <w:pPr>
        <w:pStyle w:val="747"/>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jc w:val="left"/>
        <w:spacing w:line="400" w:lineRule="exact"/>
        <w:rPr>
          <w:rFonts w:hint="eastAsia"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935"/>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ind w:firstLine="420"/>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rPr>
      </w:pPr>
      <w:r>
        <w:rPr>
          <w:rFonts w:hint="eastAsia" w:ascii="宋体" w:hAnsi="宋体" w:cs="宋体"/>
          <w:b/>
          <w:sz w:val="24"/>
        </w:rPr>
        <w:t xml:space="preserve">20. 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cs="宋体"/>
          <w:b/>
          <w:sz w:val="24"/>
        </w:rPr>
      </w:pPr>
      <w:r>
        <w:rPr>
          <w:rFonts w:hint="eastAsia" w:ascii="宋体" w:hAnsi="宋体" w:cs="宋体"/>
          <w:b/>
          <w:sz w:val="24"/>
        </w:rPr>
        <w:t xml:space="preserve">22. 通知</w:t>
      </w:r>
      <w:r/>
    </w:p>
    <w:p>
      <w:pPr>
        <w:pStyle w:val="93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5"/>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ind w:firstLine="420"/>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76" w:name="_Toc20313"/>
      <w:r/>
      <w:r/>
    </w:p>
    <w:p>
      <w:pPr>
        <w:jc w:val="center"/>
        <w:rPr>
          <w:rFonts w:hint="eastAsia" w:ascii="宋体" w:hAnsi="宋体" w:cs="宋体"/>
          <w:sz w:val="28"/>
          <w:szCs w:val="28"/>
        </w:rPr>
      </w:pPr>
      <w:r>
        <w:rPr>
          <w:rFonts w:hint="eastAsia" w:ascii="宋体" w:hAnsi="宋体" w:cs="宋体"/>
          <w:sz w:val="28"/>
          <w:szCs w:val="28"/>
        </w:rPr>
        <w:br w:type="page" w:clear="all"/>
      </w:r>
      <w:r/>
    </w:p>
    <w:p>
      <w:pPr>
        <w:pStyle w:val="734"/>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176"/>
      <w:r/>
      <w:r/>
    </w:p>
    <w:tbl>
      <w:tblPr>
        <w:tblStyle w:val="743"/>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646"/>
        <w:gridCol w:w="5734"/>
      </w:tblGrid>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联合体具体要求</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第1.2（7）项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其他术语解释</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第4.6款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hint="eastAsia" w:ascii="宋体" w:hAnsi="宋体" w:cs="宋体"/>
                <w:szCs w:val="21"/>
              </w:rPr>
            </w:pPr>
            <w:r>
              <w:rPr>
                <w:rFonts w:hint="eastAsia" w:ascii="宋体" w:hAnsi="宋体" w:cs="宋体"/>
                <w:szCs w:val="21"/>
              </w:rPr>
              <w:t xml:space="preserve">（2）接收货物的义务；</w:t>
            </w:r>
            <w:r/>
          </w:p>
          <w:p>
            <w:pPr>
              <w:jc w:val="left"/>
              <w:spacing w:line="36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jc w:val="left"/>
              <w:spacing w:line="36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rPr>
            </w:pPr>
            <w:r>
              <w:rPr>
                <w:rFonts w:hint="eastAsia" w:ascii="宋体" w:hAnsi="宋体" w:cs="宋体"/>
                <w:szCs w:val="21"/>
              </w:rPr>
              <w:t xml:space="preserve">第5.4款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1.质量保证</w:t>
            </w:r>
            <w:r/>
          </w:p>
          <w:p>
            <w:pPr>
              <w:jc w:val="left"/>
              <w:spacing w:line="360" w:lineRule="auto"/>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jc w:val="left"/>
              <w:spacing w:line="360" w:lineRule="auto"/>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jc w:val="left"/>
              <w:spacing w:line="360" w:lineRule="auto"/>
              <w:rPr>
                <w:rFonts w:hint="eastAsia"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第6.1款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履行合同义务的顺序</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包装特殊要求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商品包装环保要求：应当按《关于印发〈商品包装政府采购需求标准（试行）〉、〈快递包装政府采购需求标准（试行）〉的通知》（财办库〔2020〕123号）文件执行。</w:t>
            </w:r>
            <w:r/>
          </w:p>
          <w:p>
            <w:pPr>
              <w:spacing w:line="360" w:lineRule="auto"/>
              <w:rPr>
                <w:rFonts w:hint="eastAsia" w:ascii="宋体" w:hAnsi="宋体" w:cs="宋体"/>
              </w:rPr>
            </w:pPr>
            <w:r>
              <w:rPr>
                <w:rFonts w:hint="eastAsia" w:ascii="宋体" w:hAnsi="宋体" w:cs="宋体"/>
              </w:rPr>
              <w:t xml:space="preserve">（1）商品包装层数不得超过3层，空隙率不大于 40%；</w:t>
            </w:r>
            <w:r/>
          </w:p>
          <w:p>
            <w:pPr>
              <w:spacing w:line="360" w:lineRule="auto"/>
              <w:rPr>
                <w:rFonts w:hint="eastAsia" w:ascii="宋体" w:hAnsi="宋体" w:cs="宋体"/>
              </w:rPr>
            </w:pPr>
            <w:r>
              <w:rPr>
                <w:rFonts w:hint="eastAsia" w:ascii="宋体" w:hAnsi="宋体" w:cs="宋体"/>
              </w:rPr>
              <w:t xml:space="preserve">（2）商品包装尽可能使用单一材质的包装材料，如因功能需求必需使用不同材质，不同材质间应便于分离；</w:t>
            </w:r>
            <w:r/>
          </w:p>
          <w:p>
            <w:pPr>
              <w:spacing w:line="360" w:lineRule="auto"/>
              <w:rPr>
                <w:rFonts w:hint="eastAsia" w:ascii="宋体" w:hAnsi="宋体" w:cs="宋体"/>
              </w:rPr>
            </w:pPr>
            <w:r>
              <w:rPr>
                <w:rFonts w:hint="eastAsia" w:ascii="宋体" w:hAnsi="宋体" w:cs="宋体"/>
              </w:rPr>
              <w:t xml:space="preserve">（3）商品包装中铅、汞、镉、六价铬的总含量应不大于100mg/kg；</w:t>
            </w:r>
            <w:r/>
          </w:p>
          <w:p>
            <w:pPr>
              <w:spacing w:line="360" w:lineRule="auto"/>
              <w:rPr>
                <w:rFonts w:hint="eastAsia" w:ascii="宋体" w:hAnsi="宋体" w:cs="宋体"/>
              </w:rPr>
            </w:pPr>
            <w:r>
              <w:rPr>
                <w:rFonts w:hint="eastAsia" w:ascii="宋体" w:hAnsi="宋体" w:cs="宋体"/>
              </w:rPr>
              <w:t xml:space="preserve">（4）商品包装印刷使用的油墨中挥发性有机化合物(VOCs)含量应不大于 5%（以重量计）；</w:t>
            </w:r>
            <w:r/>
          </w:p>
          <w:p>
            <w:pPr>
              <w:spacing w:line="360" w:lineRule="auto"/>
              <w:rPr>
                <w:rFonts w:hint="eastAsia" w:ascii="宋体" w:hAnsi="宋体" w:cs="宋体"/>
              </w:rPr>
            </w:pPr>
            <w:r>
              <w:rPr>
                <w:rFonts w:hint="eastAsia" w:ascii="宋体" w:hAnsi="宋体" w:cs="宋体"/>
              </w:rPr>
              <w:t xml:space="preserve">（5）塑料材质商品包装上呈现的印刷颜色不得超过6 色；</w:t>
            </w:r>
            <w:r/>
          </w:p>
          <w:p>
            <w:pPr>
              <w:spacing w:line="360" w:lineRule="auto"/>
              <w:rPr>
                <w:rFonts w:hint="eastAsia" w:ascii="宋体" w:hAnsi="宋体" w:cs="宋体"/>
              </w:rPr>
            </w:pPr>
            <w:r>
              <w:rPr>
                <w:rFonts w:hint="eastAsia" w:ascii="宋体" w:hAnsi="宋体" w:cs="宋体"/>
              </w:rPr>
              <w:t xml:space="preserve">（6）纸质商品包装应使用75%以上的可再生纤维原料生产；</w:t>
            </w:r>
            <w:r/>
          </w:p>
          <w:p>
            <w:pPr>
              <w:spacing w:line="360" w:lineRule="auto"/>
              <w:rPr>
                <w:rFonts w:hint="eastAsia" w:ascii="宋体" w:hAnsi="宋体" w:cs="宋体"/>
              </w:rPr>
            </w:pPr>
            <w:r>
              <w:rPr>
                <w:rFonts w:hint="eastAsia" w:ascii="宋体" w:hAnsi="宋体" w:cs="宋体"/>
              </w:rPr>
              <w:t xml:space="preserve">（7）木质商品包装的原料应来源于可持续性森林。</w:t>
            </w:r>
            <w:r/>
          </w:p>
          <w:p>
            <w:pPr>
              <w:spacing w:line="360" w:lineRule="auto"/>
              <w:rPr>
                <w:rFonts w:hint="eastAsia" w:ascii="宋体" w:hAnsi="宋体" w:cs="宋体"/>
              </w:rPr>
            </w:pPr>
            <w:r>
              <w:rPr>
                <w:rFonts w:hint="eastAsia" w:ascii="宋体" w:hAnsi="宋体" w:cs="宋体"/>
              </w:rPr>
              <w:t xml:space="preserve">快递包装环保要求：</w:t>
            </w:r>
            <w:r/>
          </w:p>
          <w:p>
            <w:pPr>
              <w:spacing w:line="360" w:lineRule="auto"/>
              <w:rPr>
                <w:rFonts w:hint="eastAsia" w:ascii="宋体" w:hAnsi="宋体" w:cs="宋体"/>
              </w:rPr>
            </w:pPr>
            <w:r>
              <w:rPr>
                <w:rFonts w:hint="eastAsia" w:ascii="宋体" w:hAnsi="宋体" w:cs="宋体"/>
              </w:rPr>
              <w:t xml:space="preserve">（1）快递包装中重金属（铅、汞、镉、六价铬）总量应不大于 100mg/kg；</w:t>
            </w:r>
            <w:r/>
          </w:p>
          <w:p>
            <w:pPr>
              <w:spacing w:line="360" w:lineRule="auto"/>
              <w:rPr>
                <w:rFonts w:hint="eastAsia" w:ascii="宋体" w:hAnsi="宋体" w:cs="宋体"/>
              </w:rPr>
            </w:pPr>
            <w:r>
              <w:rPr>
                <w:rFonts w:hint="eastAsia" w:ascii="宋体" w:hAnsi="宋体" w:cs="宋体"/>
              </w:rPr>
              <w:t xml:space="preserve">（2）快递包装印刷使用的油墨中不应添加邻苯二甲酸酯，其挥发性有机化合物(VOCs)含量应不大于5%（以重量计）；</w:t>
            </w:r>
            <w:r/>
          </w:p>
          <w:p>
            <w:pPr>
              <w:spacing w:line="360" w:lineRule="auto"/>
              <w:rPr>
                <w:rFonts w:hint="eastAsia" w:ascii="宋体" w:hAnsi="宋体" w:cs="宋体"/>
              </w:rPr>
            </w:pPr>
            <w:r>
              <w:rPr>
                <w:rFonts w:hint="eastAsia" w:ascii="宋体" w:hAnsi="宋体" w:cs="宋体"/>
              </w:rPr>
              <w:t xml:space="preserve">（3）快递包装中使用纸基材的包装材料，纸基材中的有机氯的含量应不大于 150 mg/kg；</w:t>
            </w:r>
            <w:r/>
          </w:p>
          <w:p>
            <w:pPr>
              <w:spacing w:line="360" w:lineRule="auto"/>
              <w:rPr>
                <w:rFonts w:hint="eastAsia" w:ascii="宋体" w:hAnsi="宋体" w:cs="宋体"/>
              </w:rPr>
            </w:pPr>
            <w:r>
              <w:rPr>
                <w:rFonts w:hint="eastAsia" w:ascii="宋体" w:hAnsi="宋体" w:cs="宋体"/>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hint="eastAsia" w:ascii="宋体" w:hAnsi="宋体" w:cs="宋体"/>
              </w:rPr>
            </w:pPr>
            <w:r>
              <w:rPr>
                <w:rFonts w:hint="eastAsia" w:ascii="宋体" w:hAnsi="宋体" w:cs="宋体"/>
              </w:rPr>
              <w:t xml:space="preserve">（5）快递中使用的塑料包装袋不得使用聚氯乙烯作为原料，且原料应为单一材质制成，生物分解率大于60%；</w:t>
            </w:r>
            <w:r/>
          </w:p>
          <w:p>
            <w:pPr>
              <w:spacing w:line="360" w:lineRule="auto"/>
              <w:rPr>
                <w:rFonts w:hint="eastAsia" w:ascii="宋体" w:hAnsi="宋体" w:cs="宋体"/>
              </w:rPr>
            </w:pPr>
            <w:r>
              <w:rPr>
                <w:rFonts w:hint="eastAsia" w:ascii="宋体" w:hAnsi="宋体" w:cs="宋体"/>
              </w:rPr>
              <w:t xml:space="preserve">（6）快递中使用的充气类填充物不得使用聚氯乙烯作为 原料，且原料为单一材质制成，生物分解率大于60%；</w:t>
            </w:r>
            <w:r/>
          </w:p>
          <w:p>
            <w:pPr>
              <w:spacing w:line="360" w:lineRule="auto"/>
              <w:rPr>
                <w:rFonts w:hint="eastAsia" w:ascii="宋体" w:hAnsi="宋体" w:cs="宋体"/>
              </w:rPr>
            </w:pPr>
            <w:r>
              <w:rPr>
                <w:rFonts w:hint="eastAsia" w:ascii="宋体" w:hAnsi="宋体" w:cs="宋体"/>
              </w:rPr>
              <w:t xml:space="preserve">（7）快递中使用的集装袋应为单一材质制成，其重复使用次数应不小于 80 次；</w:t>
            </w:r>
            <w:r/>
          </w:p>
          <w:p>
            <w:pPr>
              <w:spacing w:line="360" w:lineRule="auto"/>
              <w:rPr>
                <w:rFonts w:hint="eastAsia" w:ascii="宋体" w:hAnsi="宋体" w:cs="宋体"/>
              </w:rPr>
            </w:pPr>
            <w:r>
              <w:rPr>
                <w:rFonts w:hint="eastAsia" w:ascii="宋体" w:hAnsi="宋体" w:cs="宋体"/>
              </w:rPr>
              <w:t xml:space="preserve">（8）快递中应使用幅宽不大于45mm 的生物降解胶带；</w:t>
            </w:r>
            <w:r/>
          </w:p>
          <w:p>
            <w:pPr>
              <w:spacing w:line="360" w:lineRule="auto"/>
              <w:rPr>
                <w:rFonts w:hint="eastAsia" w:ascii="宋体" w:hAnsi="宋体" w:cs="宋体"/>
              </w:rPr>
            </w:pPr>
            <w:r>
              <w:rPr>
                <w:rFonts w:hint="eastAsia" w:ascii="宋体" w:hAnsi="宋体" w:cs="宋体"/>
              </w:rPr>
              <w:t xml:space="preserve">（9）快递包装中不得使用溶剂型胶粘剂；</w:t>
            </w:r>
            <w:r/>
          </w:p>
          <w:p>
            <w:pPr>
              <w:spacing w:line="360" w:lineRule="auto"/>
              <w:rPr>
                <w:rFonts w:hint="eastAsia" w:ascii="宋体" w:hAnsi="宋体" w:cs="宋体"/>
              </w:rPr>
            </w:pPr>
            <w:r>
              <w:rPr>
                <w:rFonts w:hint="eastAsia" w:ascii="宋体" w:hAnsi="宋体" w:cs="宋体"/>
              </w:rPr>
              <w:t xml:space="preserve">（11）快递应使用电子面单；</w:t>
            </w:r>
            <w:r/>
          </w:p>
          <w:p>
            <w:pPr>
              <w:spacing w:line="360" w:lineRule="auto"/>
              <w:rPr>
                <w:rFonts w:hint="eastAsia" w:ascii="宋体" w:hAnsi="宋体" w:cs="宋体"/>
              </w:rPr>
            </w:pPr>
            <w:r>
              <w:rPr>
                <w:rFonts w:hint="eastAsia" w:ascii="宋体" w:hAnsi="宋体" w:cs="宋体"/>
              </w:rPr>
              <w:t xml:space="preserve">（12）直接使用商品包装作为快递包装的商品，其商品包装满足《商品包装政府采购需求标准（试行）》即可；</w:t>
            </w:r>
            <w:r/>
          </w:p>
          <w:p>
            <w:pPr>
              <w:spacing w:line="360" w:lineRule="auto"/>
              <w:rPr>
                <w:rFonts w:hint="eastAsia" w:ascii="宋体" w:hAnsi="宋体" w:cs="宋体"/>
              </w:rPr>
            </w:pPr>
            <w:r>
              <w:rPr>
                <w:rFonts w:hint="eastAsia" w:ascii="宋体" w:hAnsi="宋体" w:cs="宋体"/>
              </w:rPr>
              <w:t xml:space="preserve">（13）快递包装产品质量和封装方式应符合相关国家或行业标准技术指标要求。</w:t>
            </w:r>
            <w:r/>
          </w:p>
          <w:p>
            <w:pPr>
              <w:spacing w:line="360" w:lineRule="auto"/>
              <w:rPr>
                <w:rFonts w:hint="eastAsia" w:ascii="宋体" w:hAnsi="宋体" w:cs="宋体"/>
              </w:rPr>
            </w:pPr>
            <w:r>
              <w:rPr>
                <w:rFonts w:hint="eastAsia" w:ascii="宋体" w:hAnsi="宋体" w:cs="宋体"/>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指定现场</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按照甲方要求</w:t>
            </w:r>
            <w:r/>
          </w:p>
        </w:tc>
      </w:tr>
      <w:tr>
        <w:trPr>
          <w:trHeight w:val="772"/>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运输特殊要求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运费已包含在合同价内。</w:t>
            </w:r>
            <w:r/>
          </w:p>
        </w:tc>
      </w:tr>
      <w:tr>
        <w:trPr>
          <w:trHeight w:val="66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第7.3款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保险要求</w:t>
            </w:r>
            <w:r/>
          </w:p>
        </w:tc>
        <w:tc>
          <w:tcPr>
            <w:tcW w:w="5734"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乙方应为派往甲方服务安装的人员投保人身险，保险费用均由乙方负责。如发生安全事故，均有乙方负责承担，甲方不承担连带责任。</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第8.2（1）项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质量保证期</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验收合格之日起不少于2年（最终按照投标承诺为准）</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第8.2（3）项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货物质量缺陷</w:t>
            </w:r>
            <w:r/>
          </w:p>
          <w:p>
            <w:pPr>
              <w:jc w:val="left"/>
              <w:spacing w:line="360" w:lineRule="auto"/>
              <w:rPr>
                <w:rFonts w:hint="eastAsia" w:ascii="宋体" w:hAnsi="宋体" w:cs="宋体"/>
                <w:szCs w:val="21"/>
              </w:rPr>
            </w:pPr>
            <w:r>
              <w:rPr>
                <w:rFonts w:hint="eastAsia" w:ascii="宋体" w:hAnsi="宋体" w:cs="宋体"/>
                <w:szCs w:val="21"/>
              </w:rPr>
              <w:t xml:space="preserve">响应时间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1、售后服务及其他：</w:t>
            </w:r>
            <w:r/>
          </w:p>
          <w:p>
            <w:pPr>
              <w:jc w:val="left"/>
              <w:spacing w:line="360" w:lineRule="auto"/>
              <w:rPr>
                <w:rFonts w:hint="eastAsia" w:ascii="宋体" w:hAnsi="宋体" w:cs="宋体"/>
                <w:szCs w:val="21"/>
              </w:rPr>
            </w:pPr>
            <w:r>
              <w:rPr>
                <w:rFonts w:hint="eastAsia" w:ascii="宋体" w:hAnsi="宋体" w:cs="宋体"/>
                <w:szCs w:val="21"/>
              </w:rPr>
              <w:t xml:space="preserve">（1）投标人具有良好的信誉，售后服务及时到位。</w:t>
            </w:r>
            <w:r/>
          </w:p>
          <w:p>
            <w:pPr>
              <w:jc w:val="left"/>
              <w:spacing w:line="360" w:lineRule="auto"/>
              <w:rPr>
                <w:rFonts w:hint="eastAsia" w:ascii="宋体" w:hAnsi="宋体" w:cs="宋体"/>
                <w:szCs w:val="21"/>
              </w:rPr>
            </w:pPr>
            <w:r>
              <w:rPr>
                <w:rFonts w:hint="eastAsia" w:ascii="宋体" w:hAnsi="宋体" w:cs="宋体"/>
                <w:szCs w:val="21"/>
              </w:rPr>
              <w:t xml:space="preserve">（2）供应商免费送货上门、安装调试、人员培训。</w:t>
            </w:r>
            <w:r/>
          </w:p>
          <w:p>
            <w:pPr>
              <w:jc w:val="left"/>
              <w:spacing w:line="360" w:lineRule="auto"/>
              <w:rPr>
                <w:rFonts w:hint="eastAsia" w:ascii="宋体" w:hAnsi="宋体" w:cs="宋体"/>
                <w:szCs w:val="21"/>
              </w:rPr>
            </w:pPr>
            <w:r>
              <w:rPr>
                <w:rFonts w:hint="eastAsia" w:ascii="宋体" w:hAnsi="宋体" w:cs="宋体"/>
                <w:szCs w:val="21"/>
              </w:rPr>
              <w:t xml:space="preserve">（3）供应商应具备完善售后服务体系，在南通地区有固定的维护人员并有能力及时处理所有可能发生的故障。</w:t>
            </w:r>
            <w:r/>
          </w:p>
          <w:p>
            <w:pPr>
              <w:jc w:val="left"/>
              <w:spacing w:line="360" w:lineRule="auto"/>
              <w:rPr>
                <w:rFonts w:hint="eastAsia"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jc w:val="left"/>
              <w:spacing w:line="360" w:lineRule="auto"/>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jc w:val="left"/>
              <w:spacing w:line="360" w:lineRule="auto"/>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pStyle w:val="935"/>
              <w:ind w:firstLine="0"/>
              <w:jc w:val="center"/>
              <w:spacing w:line="360" w:lineRule="auto"/>
              <w:rPr>
                <w:rFonts w:hint="eastAsia" w:ascii="宋体" w:hAnsi="宋体" w:eastAsia="宋体" w:cs="宋体"/>
              </w:rPr>
            </w:pPr>
            <w:r>
              <w:rPr>
                <w:rFonts w:hint="eastAsia" w:ascii="宋体" w:hAnsi="宋体" w:eastAsia="宋体" w:cs="宋体"/>
              </w:rPr>
              <w:t xml:space="preserve">第11.1款</w:t>
            </w:r>
            <w:r/>
          </w:p>
        </w:tc>
        <w:tc>
          <w:tcPr>
            <w:tcW w:w="16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其他应当保密的信息</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第12.2款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合同价款支付时间</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待货物安装到位后，由乙方书面提交验收申请，由甲方组织相关人员验收合格后支付合同金额的80％，自验收合格之日起满2年后付清余款。付款时由乙方提供正规发票，甲方按相关财务支付规定办理支付手续。</w:t>
            </w:r>
            <w:r/>
          </w:p>
        </w:tc>
      </w:tr>
      <w:tr>
        <w:trPr>
          <w:trHeight w:val="697"/>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第13.2款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履约保证金不予退还的情形</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第13.3款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第14.1（3）项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运行监督、维修期限</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第14.1（5）项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货物回收的约定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第14.1（6）项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乙方提供的其他服务</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hint="eastAsia" w:ascii="宋体" w:hAnsi="宋体" w:cs="宋体"/>
                <w:szCs w:val="21"/>
              </w:rPr>
            </w:pPr>
            <w:r>
              <w:rPr>
                <w:rFonts w:hint="eastAsia" w:ascii="宋体" w:hAnsi="宋体" w:cs="宋体"/>
                <w:szCs w:val="21"/>
              </w:rPr>
              <w:t xml:space="preserve">1.安装</w:t>
            </w:r>
            <w:r/>
          </w:p>
          <w:p>
            <w:pPr>
              <w:jc w:val="left"/>
              <w:spacing w:line="360" w:lineRule="auto"/>
              <w:rPr>
                <w:rFonts w:hint="eastAsia"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hint="eastAsia"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hint="eastAsia"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hint="eastAsia"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修理、重作、更换相关具体规定</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第15.2（2）项</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迟延交货赔偿费</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除不可抗力因素外，若乙方未能按合同约定时间交货，应及时以书面形式将延迟事实、可能延迟的时间及原因通知甲方。甲方收到乙方通知后，有权决定是否同意延长交货期及收取误期违约金。该违约金按5000元/天计算，甲方可从合同未付款中直接扣除。同时，乙方延迟交货的期限不得超过5天。若延迟期限达到5天，甲方有权解除合同。</w:t>
            </w:r>
            <w:r/>
          </w:p>
        </w:tc>
      </w:tr>
      <w:tr>
        <w:trPr>
          <w:trHeight w:val="736"/>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第15.3款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逾期付款利息</w:t>
            </w:r>
            <w:r/>
          </w:p>
        </w:tc>
        <w:tc>
          <w:tcPr>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734" w:type="dxa"/>
            <w:vAlign w:val="center"/>
            <w:textDirection w:val="lrTb"/>
            <w:noWrap w:val="false"/>
          </w:tcPr>
          <w:p>
            <w:pPr>
              <w:jc w:val="left"/>
              <w:spacing w:line="36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734" w:type="dxa"/>
            <w:vAlign w:val="center"/>
            <w:textDirection w:val="lrTb"/>
            <w:noWrap w:val="false"/>
          </w:tcPr>
          <w:p>
            <w:pPr>
              <w:jc w:val="left"/>
              <w:spacing w:line="36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第二节</w:t>
            </w:r>
            <w:r/>
          </w:p>
          <w:p>
            <w:pPr>
              <w:jc w:val="center"/>
              <w:spacing w:line="360" w:lineRule="auto"/>
              <w:rPr>
                <w:rFonts w:hint="eastAsia" w:ascii="宋体" w:hAnsi="宋体" w:cs="宋体"/>
                <w:szCs w:val="21"/>
              </w:rPr>
            </w:pPr>
            <w:r>
              <w:rPr>
                <w:rFonts w:hint="eastAsia" w:ascii="宋体" w:hAnsi="宋体" w:cs="宋体"/>
                <w:szCs w:val="21"/>
              </w:rPr>
              <w:t xml:space="preserve">第23.1款</w:t>
            </w:r>
            <w:r/>
          </w:p>
        </w:tc>
        <w:tc>
          <w:tcPr>
            <w:tcW w:w="1646"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bCs/>
                <w:szCs w:val="21"/>
              </w:rPr>
              <w:t xml:space="preserve">其他专用条款</w:t>
            </w:r>
            <w:r/>
          </w:p>
        </w:tc>
        <w:tc>
          <w:tcPr>
            <w:tcW w:w="573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本项目的采购清单及合同等履约信息需中标单位录入通州区教育装备管理工作平台（https://zbgl.jstzjy.net/），所有的设备（固定资产不含消耗品）需粘贴平台生成的二维码（二维码0.3元/张），合同价包含该费用。</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2"/>
        <w:spacing w:line="360" w:lineRule="auto"/>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r/>
    </w:p>
    <w:p>
      <w:pPr>
        <w:rPr>
          <w:rFonts w:hint="eastAsia" w:ascii="宋体" w:hAnsi="宋体" w:cs="宋体"/>
        </w:rPr>
      </w:pPr>
      <w:r>
        <w:rPr>
          <w:rFonts w:hint="eastAsia" w:ascii="宋体" w:hAnsi="宋体" w:cs="宋体"/>
        </w:rPr>
      </w:r>
      <w:r/>
    </w:p>
    <w:p>
      <w:pPr>
        <w:ind w:firstLine="640"/>
        <w:jc w:val="left"/>
        <w:widowControl/>
        <w:rPr>
          <w:rFonts w:hint="eastAsia" w:ascii="宋体" w:hAnsi="宋体" w:cs="宋体"/>
          <w:bCs/>
          <w:sz w:val="32"/>
          <w:szCs w:val="32"/>
        </w:rPr>
      </w:pPr>
      <w:r>
        <w:rPr>
          <w:rFonts w:hint="eastAsia" w:ascii="宋体" w:hAnsi="宋体" w:cs="宋体"/>
          <w:bCs/>
          <w:sz w:val="32"/>
          <w:szCs w:val="32"/>
        </w:rPr>
      </w:r>
      <w:r/>
    </w:p>
    <w:p>
      <w:pPr>
        <w:spacing w:line="360" w:lineRule="auto"/>
        <w:widowControl/>
        <w:rPr>
          <w:rFonts w:hint="eastAsia" w:ascii="宋体" w:hAnsi="宋体" w:cs="宋体"/>
          <w:b/>
          <w:bCs/>
          <w:sz w:val="24"/>
        </w:rPr>
      </w:pPr>
      <w:r>
        <w:rPr>
          <w:rFonts w:hint="eastAsia" w:ascii="宋体" w:hAnsi="宋体" w:cs="宋体"/>
          <w:b/>
          <w:bCs/>
          <w:sz w:val="24"/>
        </w:rPr>
      </w:r>
      <w:r/>
    </w:p>
    <w:p>
      <w:pPr>
        <w:ind w:firstLine="482"/>
        <w:spacing w:line="500" w:lineRule="exact"/>
        <w:widowControl/>
        <w:rPr>
          <w:rFonts w:hint="eastAsia" w:ascii="宋体" w:hAnsi="宋体" w:cs="宋体"/>
          <w:b/>
          <w:bCs/>
          <w:sz w:val="24"/>
        </w:rPr>
      </w:pPr>
      <w:r>
        <w:rPr>
          <w:rFonts w:hint="eastAsia" w:ascii="宋体" w:hAnsi="宋体" w:cs="宋体"/>
          <w:b/>
          <w:bCs/>
          <w:sz w:val="24"/>
        </w:rPr>
      </w:r>
      <w:r/>
    </w:p>
    <w:p>
      <w:pPr>
        <w:numPr>
          <w:ilvl w:val="0"/>
          <w:numId w:val="8"/>
        </w:numPr>
        <w:jc w:val="center"/>
        <w:spacing w:before="120" w:after="120" w:line="500" w:lineRule="exact"/>
        <w:rPr>
          <w:rFonts w:hint="eastAsia" w:ascii="宋体" w:hAnsi="宋体" w:cs="宋体"/>
          <w:bCs/>
          <w:sz w:val="44"/>
          <w:szCs w:val="21"/>
        </w:rPr>
      </w:pPr>
      <w:r>
        <w:rPr>
          <w:rFonts w:hint="eastAsia" w:ascii="宋体" w:hAnsi="宋体" w:cs="宋体"/>
          <w:bCs/>
          <w:sz w:val="44"/>
          <w:szCs w:val="21"/>
        </w:rPr>
        <w:br w:type="page" w:clear="all"/>
      </w:r>
      <w:bookmarkEnd w:id="167"/>
      <w:r>
        <w:rPr>
          <w:rFonts w:hint="eastAsia" w:ascii="宋体" w:hAnsi="宋体" w:cs="宋体"/>
          <w:bCs/>
          <w:sz w:val="44"/>
          <w:szCs w:val="21"/>
        </w:rPr>
        <w:t xml:space="preserve">采购需求</w:t>
      </w:r>
      <w:bookmarkEnd w:id="168"/>
      <w:r/>
      <w:bookmarkEnd w:id="169"/>
      <w:r/>
      <w:bookmarkEnd w:id="17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一、采购清单</w:t>
      </w:r>
      <w:r/>
    </w:p>
    <w:p>
      <w:pPr>
        <w:rPr>
          <w:rFonts w:hint="eastAsia" w:ascii="宋体" w:hAnsi="宋体" w:cs="宋体"/>
        </w:rPr>
      </w:pPr>
      <w:r>
        <w:rPr>
          <w:rFonts w:hint="eastAsia" w:ascii="宋体" w:hAnsi="宋体" w:cs="宋体"/>
        </w:rPr>
      </w:r>
      <w:r/>
    </w:p>
    <w:tbl>
      <w:tblPr>
        <w:tblStyle w:val="743"/>
        <w:tblW w:w="9012" w:type="dxa"/>
        <w:tblInd w:w="96" w:type="dxa"/>
        <w:tblLayout w:type="autofit"/>
        <w:tblCellMar>
          <w:left w:w="108" w:type="dxa"/>
          <w:top w:w="0" w:type="dxa"/>
          <w:right w:w="108" w:type="dxa"/>
          <w:bottom w:w="0" w:type="dxa"/>
        </w:tblCellMar>
        <w:tblLook w:val="04A0" w:firstRow="1" w:lastRow="0" w:firstColumn="1" w:lastColumn="0" w:noHBand="0" w:noVBand="1"/>
      </w:tblPr>
      <w:tblGrid>
        <w:gridCol w:w="594"/>
        <w:gridCol w:w="1208"/>
        <w:gridCol w:w="1920"/>
        <w:gridCol w:w="1013"/>
        <w:gridCol w:w="702"/>
        <w:gridCol w:w="2376"/>
        <w:gridCol w:w="1206"/>
      </w:tblGrid>
      <w:tr>
        <w:trPr>
          <w:trHeight w:val="615"/>
        </w:trPr>
        <w:tc>
          <w:tcPr>
            <w:gridSpan w:val="7"/>
            <w:shd w:val="clear" w:color="auto" w:fill="auto"/>
            <w:tcBorders>
              <w:top w:val="none" w:color="000000" w:sz="4" w:space="0"/>
              <w:left w:val="none" w:color="000000" w:sz="4" w:space="0"/>
              <w:bottom w:val="single" w:color="000000" w:sz="4" w:space="0"/>
              <w:right w:val="none" w:color="000000" w:sz="4" w:space="0"/>
            </w:tcBorders>
            <w:tcW w:w="9019" w:type="dxa"/>
            <w:vAlign w:val="center"/>
            <w:textDirection w:val="lrTb"/>
            <w:noWrap/>
          </w:tcPr>
          <w:p>
            <w:pPr>
              <w:jc w:val="center"/>
              <w:widowControl/>
              <w:rPr>
                <w:rFonts w:hint="eastAsia" w:ascii="宋体" w:hAnsi="宋体" w:cs="宋体"/>
                <w:b/>
                <w:bCs/>
                <w:sz w:val="28"/>
                <w:szCs w:val="28"/>
              </w:rPr>
            </w:pPr>
            <w:r/>
            <w:bookmarkStart w:id="177" w:name="_Toc26554093"/>
            <w:r/>
            <w:bookmarkStart w:id="178" w:name="_Toc49090575"/>
            <w:r/>
            <w:bookmarkStart w:id="179" w:name="_Toc120614281"/>
            <w:r>
              <w:rPr>
                <w:rFonts w:hint="eastAsia" w:ascii="宋体" w:hAnsi="宋体" w:cs="宋体"/>
                <w:b/>
                <w:bCs/>
                <w:sz w:val="28"/>
                <w:szCs w:val="28"/>
                <w:lang w:bidi="ar"/>
              </w:rPr>
              <w:t xml:space="preserve">1包：初中和幼儿园学段标，项目预算资金102.81万元</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南通市通州区育才中学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300L可倾式夹层锅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（燃气）1540*1030*990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南通市通州区实验中学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自动馒头机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1390*460*910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南通市通州区金郊初级中学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2200*1200*800+400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南通市通州区金北学校</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南通市通州区东社学校</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南通市通州区平潮初级中学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南通市通州区平潮实验初中</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南通市通州区四安中学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2200*1200*800+400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南通市通州区兴仁中学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南通市通州区川港中学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南通市通州区二甲中学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南通市通州区袁灶初级中学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南通市通州区运盐河中学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蒸饭车（燃气）</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（燃气24盘）（1020*750*1700）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南通市通州区文山初级中学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南通市通州区十总中学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南通市通州区新坝初级中学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南通市通州区刘桥中学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南通市通州区先锋初级中学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南通市通州区姜灶中学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南通市通州区二窎中学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自动馒头机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1390*460*910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南通市通州区西亭初中</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南通市通州区杨港初级中学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南通市通州区虹西幼儿园</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2200*1200*800+400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南通市通州区金桥幼儿园</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南通市通州区通州幼儿园</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2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20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01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70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1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122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975"/>
        </w:trPr>
        <w:tc>
          <w:tcPr>
            <w:gridSpan w:val="7"/>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center"/>
              <w:widowControl/>
              <w:rPr>
                <w:rFonts w:hint="eastAsia" w:ascii="宋体" w:hAnsi="宋体" w:cs="宋体"/>
                <w:b/>
                <w:bCs/>
                <w:sz w:val="28"/>
                <w:szCs w:val="28"/>
              </w:rPr>
            </w:pPr>
            <w:r>
              <w:rPr>
                <w:rFonts w:hint="eastAsia" w:ascii="宋体" w:hAnsi="宋体" w:cs="宋体"/>
                <w:b/>
                <w:bCs/>
                <w:sz w:val="28"/>
                <w:szCs w:val="28"/>
                <w:lang w:bidi="ar"/>
              </w:rPr>
              <w:t xml:space="preserve">2包：小学学段标，项目预算资金128.51万元</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南通市通州区实验小学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1300*1400**800+400</w:t>
            </w:r>
            <w:r>
              <w:rPr>
                <w:rFonts w:hint="eastAsia" w:ascii="宋体" w:hAnsi="宋体" w:cs="宋体"/>
                <w:sz w:val="24"/>
                <w:szCs w:val="24"/>
                <w:lang w:bidi="ar"/>
              </w:rPr>
              <w:br/>
            </w:r>
            <w:r>
              <w:rPr>
                <w:rFonts w:hint="eastAsia" w:ascii="宋体" w:hAnsi="宋体" w:cs="宋体"/>
                <w:sz w:val="24"/>
                <w:szCs w:val="24"/>
                <w:lang w:bidi="ar"/>
              </w:rPr>
              <w:t xml:space="preserve">锅径1050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南通高新区小学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南通市通州区南山湖小学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南通市通州区金沙小学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南通市通州区银河小学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2200*1200*800+400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南通市通州区运盐河小学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蒸饭车（燃气）</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（燃气24盘）1020*750*1700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南通市通州区古沙小学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南通市通州区通州小学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南通市通州区二窎小学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南通市通州区横港小学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南通市通州区刘桥小学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南通市通州区平潮小学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南通市通州区骑岸小学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南通市通州区十总小学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南通市通州区新坝小学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南通市通州区兴仁小学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燃气</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南通市通州区袁灶小学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电磁</w:t>
            </w:r>
            <w:r>
              <w:rPr>
                <w:rFonts w:hint="eastAsia" w:ascii="宋体" w:hAnsi="宋体" w:cs="宋体"/>
                <w:sz w:val="24"/>
                <w:szCs w:val="24"/>
                <w:lang w:bidi="ar"/>
              </w:rPr>
              <w:br/>
            </w:r>
            <w:r>
              <w:rPr>
                <w:rFonts w:hint="eastAsia" w:ascii="宋体" w:hAnsi="宋体" w:cs="宋体"/>
                <w:sz w:val="24"/>
                <w:szCs w:val="24"/>
                <w:lang w:bidi="ar"/>
              </w:rPr>
              <w:t xml:space="preserve">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1200*1300**800+400</w:t>
            </w:r>
            <w:r>
              <w:rPr>
                <w:rFonts w:hint="eastAsia" w:ascii="宋体" w:hAnsi="宋体" w:cs="宋体"/>
                <w:sz w:val="24"/>
                <w:szCs w:val="24"/>
                <w:lang w:bidi="ar"/>
              </w:rPr>
              <w:br/>
            </w:r>
            <w:r>
              <w:rPr>
                <w:rFonts w:hint="eastAsia" w:ascii="宋体" w:hAnsi="宋体" w:cs="宋体"/>
                <w:sz w:val="24"/>
                <w:szCs w:val="24"/>
                <w:lang w:bidi="ar"/>
              </w:rPr>
              <w:t xml:space="preserve">锅径900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南通市通州区张謇学校</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南通市通州区正场小学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南通市通州区忠义小学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南通市通州区赵甸小学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南通市通州区唐洪小学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蒸饭车</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（电热24盘）1015*760*1530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南通市通州区金余小学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南通市通州区英雄小学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南通市理治小学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南通市通州区余北小学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大型双门消毒柜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1900*1000*1900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南通市通州区家纺城小学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南通市通州区金乐小学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南通市通州区先锋小学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南通市通州区川港小学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南通市通州区姜灶小学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南通市通州区石港小学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南通市韬奋小学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南通市通州区兴东小学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大三门玻璃门冷藏冰箱</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1800*1950*750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根茎类根茎类多功能切菜机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750*520*900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自动煎蛋机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505*495*405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1600*680*1100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品牌</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南通市通州区新联小学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南通市通州区西亭小学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南通市通州区庆丰小学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南通市通州区五接小学</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厂制品</w:t>
            </w:r>
            <w:r/>
          </w:p>
        </w:tc>
      </w:tr>
    </w:tbl>
    <w:p>
      <w:pPr>
        <w:rPr>
          <w:rFonts w:hint="eastAsia" w:ascii="宋体" w:hAnsi="宋体" w:cs="宋体"/>
          <w:b/>
          <w:bCs/>
          <w:sz w:val="28"/>
          <w:szCs w:val="28"/>
        </w:rPr>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28"/>
          <w:szCs w:val="28"/>
        </w:rPr>
      </w:r>
      <w:r/>
    </w:p>
    <w:p>
      <w:pPr>
        <w:numPr>
          <w:ilvl w:val="0"/>
          <w:numId w:val="9"/>
        </w:numPr>
        <w:rPr>
          <w:rFonts w:hint="eastAsia" w:ascii="宋体" w:hAnsi="宋体" w:cs="宋体"/>
          <w:b/>
          <w:bCs/>
          <w:sz w:val="28"/>
          <w:szCs w:val="28"/>
        </w:rPr>
      </w:pPr>
      <w:r>
        <w:rPr>
          <w:rFonts w:hint="eastAsia" w:ascii="宋体" w:hAnsi="宋体" w:cs="宋体"/>
          <w:b/>
          <w:bCs/>
          <w:sz w:val="28"/>
          <w:szCs w:val="28"/>
        </w:rPr>
        <w:t xml:space="preserve">技术参数</w:t>
      </w:r>
      <w:r/>
    </w:p>
    <w:tbl>
      <w:tblPr>
        <w:tblStyle w:val="743"/>
        <w:tblW w:w="13615" w:type="dxa"/>
        <w:tblInd w:w="96" w:type="dxa"/>
        <w:tblLayout w:type="autofit"/>
        <w:tblCellMar>
          <w:left w:w="108" w:type="dxa"/>
          <w:top w:w="0" w:type="dxa"/>
          <w:right w:w="108" w:type="dxa"/>
          <w:bottom w:w="0" w:type="dxa"/>
        </w:tblCellMar>
        <w:tblLook w:val="04A0" w:firstRow="1" w:lastRow="0" w:firstColumn="1" w:lastColumn="0" w:noHBand="0" w:noVBand="1"/>
      </w:tblPr>
      <w:tblGrid>
        <w:gridCol w:w="656"/>
        <w:gridCol w:w="2196"/>
        <w:gridCol w:w="1096"/>
        <w:gridCol w:w="1836"/>
        <w:gridCol w:w="1161"/>
        <w:gridCol w:w="6670"/>
      </w:tblGrid>
      <w:tr>
        <w:trPr/>
        <w:tc>
          <w:tcPr>
            <w:gridSpan w:val="6"/>
            <w:shd w:val="clear" w:color="auto" w:fill="auto"/>
            <w:tcBorders>
              <w:top w:val="none" w:color="000000" w:sz="4" w:space="0"/>
              <w:left w:val="none" w:color="000000" w:sz="4" w:space="0"/>
              <w:bottom w:val="none" w:color="000000" w:sz="4" w:space="0"/>
              <w:right w:val="none" w:color="000000" w:sz="4" w:space="0"/>
            </w:tcBorders>
            <w:tcW w:w="13615" w:type="dxa"/>
            <w:vAlign w:val="bottom"/>
            <w:textDirection w:val="lrTb"/>
            <w:noWrap/>
          </w:tcPr>
          <w:p>
            <w:pPr>
              <w:jc w:val="center"/>
              <w:widowControl/>
              <w:rPr>
                <w:rFonts w:hint="eastAsia" w:ascii="宋体" w:hAnsi="宋体" w:cs="宋体"/>
                <w:sz w:val="40"/>
                <w:szCs w:val="40"/>
              </w:rPr>
            </w:pPr>
            <w:r>
              <w:rPr>
                <w:rFonts w:hint="eastAsia" w:ascii="宋体" w:hAnsi="宋体" w:cs="宋体"/>
                <w:sz w:val="40"/>
                <w:szCs w:val="40"/>
                <w:lang w:bidi="ar"/>
              </w:rPr>
              <w:t xml:space="preserve">厨房设备技术参数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规格标准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技术参数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燃气双眼大锅灶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2200*1200*800+400</w:t>
            </w:r>
            <w:r>
              <w:rPr>
                <w:rFonts w:hint="eastAsia" w:ascii="宋体" w:hAnsi="宋体" w:cs="宋体"/>
                <w:sz w:val="18"/>
                <w:szCs w:val="18"/>
                <w:lang w:bidi="ar"/>
              </w:rPr>
              <w:br/>
            </w:r>
            <w:r>
              <w:rPr>
                <w:rFonts w:hint="eastAsia" w:ascii="宋体" w:hAnsi="宋体" w:cs="宋体"/>
                <w:sz w:val="18"/>
                <w:szCs w:val="18"/>
                <w:lang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2；电子打火，熄火保护。 隔热密封使用不含石棉成分的材料、配锅（锅直径900）。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单眼燃气大锅灶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1200*1300**800+400</w:t>
            </w:r>
            <w:r>
              <w:rPr>
                <w:rFonts w:hint="eastAsia" w:ascii="宋体" w:hAnsi="宋体" w:cs="宋体"/>
                <w:sz w:val="18"/>
                <w:szCs w:val="18"/>
                <w:lang w:bidi="ar"/>
              </w:rPr>
              <w:br/>
            </w:r>
            <w:r>
              <w:rPr>
                <w:rFonts w:hint="eastAsia" w:ascii="宋体" w:hAnsi="宋体" w:cs="宋体"/>
                <w:sz w:val="18"/>
                <w:szCs w:val="18"/>
                <w:lang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Style w:val="943"/>
                <w:rFonts w:hint="default"/>
                <w:color w:val="auto"/>
                <w:lang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电子打火，熄火保护。 隔热密封使用不含石棉成分的材料、配锅（锅直径800）</w:t>
            </w:r>
            <w:r>
              <w:rPr>
                <w:rStyle w:val="943"/>
                <w:rFonts w:hint="default"/>
                <w:color w:val="auto"/>
                <w:lang w:bidi="ar"/>
              </w:rPr>
              <w:br/>
            </w:r>
            <w:r>
              <w:rPr>
                <w:rStyle w:val="944"/>
                <w:rFonts w:hint="default"/>
                <w:color w:val="auto"/>
                <w:lang w:bidi="ar"/>
              </w:rPr>
              <w:t xml:space="preserve">▲具有燃气燃烧器具质量等级A级证书且在国家市场监督管理总局政务服务平台，全国认证认可信息公共服务平台可查询；</w:t>
            </w:r>
            <w:r>
              <w:rPr>
                <w:rStyle w:val="944"/>
                <w:rFonts w:hint="default"/>
                <w:color w:val="auto"/>
                <w:lang w:bidi="ar"/>
              </w:rPr>
              <w:br/>
            </w:r>
            <w:r>
              <w:rPr>
                <w:rStyle w:val="944"/>
                <w:rFonts w:hint="default"/>
                <w:color w:val="auto"/>
                <w:lang w:bidi="ar"/>
              </w:rPr>
              <w:t xml:space="preserve">▲ 依据GB35848-2024标准:</w:t>
            </w:r>
            <w:r>
              <w:rPr>
                <w:rStyle w:val="944"/>
                <w:rFonts w:hint="default"/>
                <w:color w:val="auto"/>
                <w:lang w:bidi="ar"/>
              </w:rPr>
              <w:br/>
            </w:r>
            <w:r>
              <w:rPr>
                <w:rStyle w:val="944"/>
                <w:rFonts w:hint="default"/>
                <w:color w:val="auto"/>
                <w:lang w:bidi="ar"/>
              </w:rPr>
              <w:t xml:space="preserve">1.与烟气接触的部位及密封部台应用耐腐蚀的材料制作或表面进行防腐处理:</w:t>
            </w:r>
            <w:r>
              <w:rPr>
                <w:rStyle w:val="944"/>
                <w:rFonts w:hint="default"/>
                <w:color w:val="auto"/>
                <w:lang w:bidi="ar"/>
              </w:rPr>
              <w:br/>
            </w:r>
            <w:r>
              <w:rPr>
                <w:rStyle w:val="944"/>
                <w:rFonts w:hint="default"/>
                <w:color w:val="auto"/>
                <w:lang w:bidi="ar"/>
              </w:rPr>
              <w:t xml:space="preserve">2.与装置内水接触且热水用于炊事用途的材料应符合国家现行饮食卫生材料相关标准规定的检测报告。具有CCC认证。具有CMA和CNAS标志的检测报告，报告信息于“全国认证认可信息公共服务平台”网站编号可查询。</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燃气单眼大锅灶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1300*1400**800+400</w:t>
            </w:r>
            <w:r>
              <w:rPr>
                <w:rFonts w:hint="eastAsia" w:ascii="宋体" w:hAnsi="宋体" w:cs="宋体"/>
                <w:sz w:val="18"/>
                <w:szCs w:val="18"/>
                <w:lang w:bidi="ar"/>
              </w:rPr>
              <w:br/>
            </w:r>
            <w:r>
              <w:rPr>
                <w:rFonts w:hint="eastAsia" w:ascii="宋体" w:hAnsi="宋体" w:cs="宋体"/>
                <w:sz w:val="18"/>
                <w:szCs w:val="18"/>
                <w:lang w:bidi="ar"/>
              </w:rPr>
              <w:t xml:space="preserve">锅径1050</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灶面：SUS304/2B不锈钢板，板厚1.5mm,炮台一次拉伸成型炉体：SUS304/2B不锈钢板 板厚1.2mm,炉架：采用国标40mm*40mm*4mm角钢；炉头：高效节能燃烧器,炉膛：高AL203重质成型；炉脚：Ф60mm钢管外套Ф63不锈钢管可调子弹脚；风机：低噪音中压铝壳强力双风机，电压220V，功率：250W；电子打火，熄火保护。 隔热密封使用不含石棉成分的材料、配锅、（锅直径1050）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1150*240**800+400</w:t>
            </w:r>
            <w:r>
              <w:rPr>
                <w:rFonts w:hint="eastAsia" w:ascii="宋体" w:hAnsi="宋体" w:cs="宋体"/>
                <w:sz w:val="18"/>
                <w:szCs w:val="18"/>
                <w:lang w:bidi="ar"/>
              </w:rPr>
              <w:br/>
            </w:r>
            <w:r>
              <w:rPr>
                <w:rFonts w:hint="eastAsia" w:ascii="宋体" w:hAnsi="宋体" w:cs="宋体"/>
                <w:sz w:val="18"/>
                <w:szCs w:val="18"/>
                <w:lang w:bidi="ar"/>
              </w:rPr>
              <w:t xml:space="preserve">锅径900</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1、规格：1150*1240*（800+400）mm(±10mm)；</w:t>
            </w:r>
            <w:r>
              <w:rPr>
                <w:rFonts w:hint="eastAsia" w:ascii="宋体" w:hAnsi="宋体" w:cs="宋体"/>
                <w:sz w:val="20"/>
                <w:szCs w:val="20"/>
                <w:lang w:bidi="ar"/>
              </w:rPr>
              <w:br/>
            </w:r>
            <w:r>
              <w:rPr>
                <w:rFonts w:hint="eastAsia" w:ascii="宋体" w:hAnsi="宋体" w:cs="宋体"/>
                <w:sz w:val="20"/>
                <w:szCs w:val="20"/>
                <w:lang w:bidi="ar"/>
              </w:rPr>
              <w:t xml:space="preserve">2、额定电压、功率：380V~、≧25kW；电磁感应线圈材质：无氧铜漆包线；火力调节与显示：≧8档360°旋转火力调节并模拟仿真火力指示，数码功率与档位显示；</w:t>
            </w:r>
            <w:r>
              <w:rPr>
                <w:rFonts w:hint="eastAsia" w:ascii="宋体" w:hAnsi="宋体" w:cs="宋体"/>
                <w:sz w:val="20"/>
                <w:szCs w:val="20"/>
                <w:lang w:bidi="ar"/>
              </w:rPr>
              <w:br/>
            </w:r>
            <w:r>
              <w:rPr>
                <w:rFonts w:hint="eastAsia" w:ascii="宋体" w:hAnsi="宋体" w:cs="宋体"/>
                <w:sz w:val="20"/>
                <w:szCs w:val="20"/>
                <w:lang w:bidi="ar"/>
              </w:rPr>
              <w:t xml:space="preserve">3、锅具：1个，外直径900mm（±10mm)，内直径840mm(±10mm)，锅内深270mm(±10mm)；容量，约84L（±5L)；</w:t>
            </w:r>
            <w:r>
              <w:rPr>
                <w:rFonts w:hint="eastAsia" w:ascii="宋体" w:hAnsi="宋体" w:cs="宋体"/>
                <w:sz w:val="20"/>
                <w:szCs w:val="20"/>
                <w:lang w:bidi="ar"/>
              </w:rPr>
              <w:br/>
            </w:r>
            <w:r>
              <w:rPr>
                <w:rFonts w:hint="eastAsia" w:ascii="宋体" w:hAnsi="宋体" w:cs="宋体"/>
                <w:sz w:val="20"/>
                <w:szCs w:val="20"/>
                <w:lang w:bidi="ar"/>
              </w:rPr>
              <w:t xml:space="preserve">4、锅具材质：采用≧厚3.0mm(±0.1mm)的022Cr11Ti(409#)或10Cr17（430#）不锈钢板材一体拉深成型；</w:t>
            </w:r>
            <w:r>
              <w:rPr>
                <w:rFonts w:hint="eastAsia" w:ascii="宋体" w:hAnsi="宋体" w:cs="宋体"/>
                <w:sz w:val="20"/>
                <w:szCs w:val="20"/>
                <w:lang w:bidi="ar"/>
              </w:rPr>
              <w:br/>
            </w:r>
            <w:r>
              <w:rPr>
                <w:rFonts w:hint="eastAsia" w:ascii="宋体" w:hAnsi="宋体" w:cs="宋体"/>
                <w:sz w:val="20"/>
                <w:szCs w:val="20"/>
                <w:lang w:bidi="ar"/>
              </w:rPr>
              <w:t xml:space="preserve">5、进水：1个，≥Ф4分*300mm06Cr19Ni10（304#）不锈钢摇摆龙头进水，龙头主体采用不锈钢06Cr19Ni10（304#）材质，水龙头过滤网采用POM材质，水龙头密封硅胶垫采用硅胶材质；</w:t>
            </w:r>
            <w:r>
              <w:rPr>
                <w:rFonts w:hint="eastAsia" w:ascii="宋体" w:hAnsi="宋体" w:cs="宋体"/>
                <w:sz w:val="20"/>
                <w:szCs w:val="20"/>
                <w:lang w:bidi="ar"/>
              </w:rPr>
              <w:br/>
            </w:r>
            <w:r>
              <w:rPr>
                <w:rFonts w:hint="eastAsia" w:ascii="宋体" w:hAnsi="宋体" w:cs="宋体"/>
                <w:sz w:val="20"/>
                <w:szCs w:val="20"/>
                <w:lang w:bidi="ar"/>
              </w:rPr>
              <w:t xml:space="preserve">6、整机采用06Cr19Ni10（304#）不锈钢板材制作：</w:t>
            </w:r>
            <w:r>
              <w:rPr>
                <w:rFonts w:hint="eastAsia" w:ascii="宋体" w:hAnsi="宋体" w:cs="宋体"/>
                <w:sz w:val="20"/>
                <w:szCs w:val="20"/>
                <w:lang w:bidi="ar"/>
              </w:rPr>
              <w:br/>
            </w:r>
            <w:r>
              <w:rPr>
                <w:rFonts w:hint="eastAsia" w:ascii="宋体" w:hAnsi="宋体" w:cs="宋体"/>
                <w:sz w:val="20"/>
                <w:szCs w:val="20"/>
                <w:lang w:bidi="ar"/>
              </w:rPr>
              <w:t xml:space="preserve">A、炉面板：釆用1.2mm（±0.1mm) 板材；</w:t>
            </w:r>
            <w:r>
              <w:rPr>
                <w:rFonts w:hint="eastAsia" w:ascii="宋体" w:hAnsi="宋体" w:cs="宋体"/>
                <w:sz w:val="20"/>
                <w:szCs w:val="20"/>
                <w:lang w:bidi="ar"/>
              </w:rPr>
              <w:br/>
            </w:r>
            <w:r>
              <w:rPr>
                <w:rFonts w:hint="eastAsia" w:ascii="宋体" w:hAnsi="宋体" w:cs="宋体"/>
                <w:sz w:val="20"/>
                <w:szCs w:val="20"/>
                <w:lang w:bidi="ar"/>
              </w:rPr>
              <w:t xml:space="preserve">B、侧板、底板、门板、挡水板：釆用0.9mm （±0.1mm)板材；</w:t>
            </w:r>
            <w:r>
              <w:rPr>
                <w:rFonts w:hint="eastAsia" w:ascii="宋体" w:hAnsi="宋体" w:cs="宋体"/>
                <w:sz w:val="20"/>
                <w:szCs w:val="20"/>
                <w:lang w:bidi="ar"/>
              </w:rPr>
              <w:br/>
            </w:r>
            <w:r>
              <w:rPr>
                <w:rFonts w:hint="eastAsia" w:ascii="宋体" w:hAnsi="宋体" w:cs="宋体"/>
                <w:sz w:val="20"/>
                <w:szCs w:val="20"/>
                <w:lang w:bidi="ar"/>
              </w:rPr>
              <w:t xml:space="preserve">7、质量指标要求：设备符合相关卫生、安全、节能、环保相关国家标准；                                                                                                     ▲8、电磁单头90大锅灶整机电气安全和食品接触安全质量指标要求：</w:t>
            </w:r>
            <w:r>
              <w:rPr>
                <w:rFonts w:hint="eastAsia" w:ascii="宋体" w:hAnsi="宋体" w:cs="宋体"/>
                <w:sz w:val="20"/>
                <w:szCs w:val="20"/>
                <w:lang w:bidi="ar"/>
              </w:rPr>
              <w:br/>
            </w:r>
            <w:r>
              <w:rPr>
                <w:rFonts w:hint="eastAsia" w:ascii="宋体" w:hAnsi="宋体" w:cs="宋体"/>
                <w:sz w:val="20"/>
                <w:szCs w:val="20"/>
                <w:lang w:bidi="ar"/>
              </w:rPr>
              <w:t xml:space="preserve">①符合GB4706.1-2005、GB4706.52-2008标准的≧26项安全型式全项试验报告（带CMA、CNAS标志）和产品认证证书；</w:t>
            </w:r>
            <w:r>
              <w:rPr>
                <w:rFonts w:hint="eastAsia" w:ascii="宋体" w:hAnsi="宋体" w:cs="宋体"/>
                <w:sz w:val="20"/>
                <w:szCs w:val="20"/>
                <w:lang w:bidi="ar"/>
              </w:rPr>
              <w:br/>
            </w:r>
            <w:r>
              <w:rPr>
                <w:rFonts w:hint="eastAsia" w:ascii="宋体" w:hAnsi="宋体" w:cs="宋体"/>
                <w:sz w:val="20"/>
                <w:szCs w:val="20"/>
                <w:lang w:bidi="ar"/>
              </w:rPr>
              <w:t xml:space="preserve">②符合GB4806.7-2023、GB4806.9-2023、GB4806.11-2016标准的与食品直接接触部件（包含但不限于大炒锅，水龙头，须具有该配件图片和检测内容）检验合格的食品接触安全认证标志试验报告（带CMA、CNAS标志）和食品接触安全认证证书；</w:t>
            </w:r>
            <w:r>
              <w:rPr>
                <w:rFonts w:hint="eastAsia" w:ascii="宋体" w:hAnsi="宋体" w:cs="宋体"/>
                <w:sz w:val="20"/>
                <w:szCs w:val="20"/>
                <w:lang w:bidi="ar"/>
              </w:rPr>
              <w:br/>
            </w:r>
            <w:r>
              <w:rPr>
                <w:rFonts w:hint="eastAsia" w:ascii="宋体" w:hAnsi="宋体" w:cs="宋体"/>
                <w:sz w:val="20"/>
                <w:szCs w:val="20"/>
                <w:lang w:bidi="ar"/>
              </w:rPr>
              <w:t xml:space="preserve">▲9、电磁单头90大锅灶整机有害物质限制使用和环境保护质量指标要求：</w:t>
            </w:r>
            <w:r>
              <w:rPr>
                <w:rFonts w:hint="eastAsia" w:ascii="宋体" w:hAnsi="宋体" w:cs="宋体"/>
                <w:sz w:val="20"/>
                <w:szCs w:val="20"/>
                <w:lang w:bidi="ar"/>
              </w:rPr>
              <w:br/>
            </w:r>
            <w:r>
              <w:rPr>
                <w:rFonts w:hint="eastAsia" w:ascii="宋体" w:hAnsi="宋体" w:cs="宋体"/>
                <w:sz w:val="20"/>
                <w:szCs w:val="20"/>
                <w:lang w:bidi="ar"/>
              </w:rPr>
              <w:t xml:space="preserve">①符合GB/T39560系列（包含但不限于GB/T39560.2-2024、GB/T39560.301-2020、GB/T39560.5-2021、GB/T39560.6-2020、GB/T39560.701-2020、GB/T39560.702-2021、GB/T39560.8-2021）、GB/T 26572-2011标准的构成该产品所有材料及配件（包含但不限于大炒锅、水龙头，须具有该配件图片和检测内容）检验合格的认证试验报告（带CMA、CNAS标志）和有害物质限制使用认证证书；</w:t>
            </w:r>
            <w:r>
              <w:rPr>
                <w:rFonts w:hint="eastAsia" w:ascii="宋体" w:hAnsi="宋体" w:cs="宋体"/>
                <w:sz w:val="20"/>
                <w:szCs w:val="20"/>
                <w:lang w:bidi="ar"/>
              </w:rPr>
              <w:br/>
            </w:r>
            <w:r>
              <w:rPr>
                <w:rFonts w:hint="eastAsia" w:ascii="宋体" w:hAnsi="宋体" w:cs="宋体"/>
                <w:sz w:val="20"/>
                <w:szCs w:val="20"/>
                <w:lang w:bidi="ar"/>
              </w:rPr>
              <w:t xml:space="preserve">②符合GB/T 24021-2024标准的中国环境标志（Ⅱ型）产品认证证书；</w:t>
            </w:r>
            <w:r>
              <w:rPr>
                <w:rFonts w:hint="eastAsia" w:ascii="宋体" w:hAnsi="宋体" w:cs="宋体"/>
                <w:sz w:val="20"/>
                <w:szCs w:val="20"/>
                <w:lang w:bidi="ar"/>
              </w:rPr>
              <w:br/>
            </w:r>
            <w:r>
              <w:rPr>
                <w:rFonts w:hint="eastAsia" w:ascii="宋体" w:hAnsi="宋体" w:cs="宋体"/>
                <w:sz w:val="20"/>
                <w:szCs w:val="20"/>
                <w:lang w:bidi="ar"/>
              </w:rPr>
              <w:t xml:space="preserve">【以上8~9项证明材料需全部提供齐全方可认定为符合质量指标要求</w:t>
            </w:r>
            <w:r>
              <w:rPr>
                <w:rFonts w:hint="eastAsia" w:ascii="宋体" w:hAnsi="宋体" w:cs="宋体"/>
                <w:sz w:val="20"/>
                <w:szCs w:val="20"/>
                <w:lang w:bidi="ar"/>
              </w:rPr>
              <w:t xml:space="preserve">，投标时所提供试验报告和证书中的检测、认证依据需在检测、认证机构的CMA、CNAS资质认可范围内，所投符合质量要求的同一制造商（生产厂家）的产品整机名称和型号需在相关报告和证书附录清单中以予佐证，其中如有节能或环境标志认证证书需由《市场监督总局关于发布参与实施政府采购节能产品、环境标志产品认证机构名录的公告》（市场监管总局2019年第16号）中的认证机构出具，相关证书需提供全国认证认可信息公共服务平台（http://cx.cnca.cn）上证书状态“有效”的查询结果截图（带网址）（或网页），否则视为负偏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300L可倾式夹层锅（燃气）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1540*1030*990</w:t>
            </w:r>
            <w:r/>
          </w:p>
        </w:tc>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全不锈钢结构，外观豪华。内外锅体均采用不锈钢板模压成型，防腐蚀，加固耐用。锅体旋转可倾，半球形锅体，换热面积大，加热速度快，高效节能。符合国家钢制压力容器标准GD150-2011。电子打火，熄火保护</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双门蒸饭箱 (电热）</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1100*760*1530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规格：24盘（配份数盆）</w:t>
            </w:r>
            <w:r>
              <w:rPr>
                <w:rFonts w:hint="eastAsia" w:ascii="宋体" w:hAnsi="宋体" w:cs="宋体"/>
                <w:sz w:val="20"/>
                <w:szCs w:val="20"/>
                <w:lang w:bidi="ar"/>
              </w:rPr>
              <w:br/>
            </w:r>
            <w:r>
              <w:rPr>
                <w:rFonts w:hint="eastAsia" w:ascii="宋体" w:hAnsi="宋体" w:cs="宋体"/>
                <w:sz w:val="20"/>
                <w:szCs w:val="20"/>
                <w:lang w:bidi="ar"/>
              </w:rPr>
              <w:t xml:space="preserve">整机柜体全部采用优质SUS304不锈钢板材制作，隔条50%防脱落，包括内部全不锈钢加强。箱体任何部位都用吸铁石测试无磁。保证长期使用结构安全可靠，无腐蚀现象。全不锈钢手轮式铸造铰链，每门四副铰链，每副铰链都可单独松紧密封。铰链螺丝焊接螺母，长期使用螺丝无松动滑牙现象。优质不锈钢材质加长双ｕ型优质发热管，微电脑智能控制，可实现全自动控制，定时定温，缺水保护，过热保护，电线符合国家CCC标准，配有接地标准。自动进水功能。浮球优质不锈钢材质。蒸饭时箱内承受65</w:t>
            </w:r>
            <w:r>
              <w:rPr>
                <w:rFonts w:hint="eastAsia" w:ascii="宋体" w:hAnsi="宋体" w:cs="宋体"/>
                <w:sz w:val="20"/>
                <w:szCs w:val="20"/>
                <w:lang w:bidi="ar"/>
              </w:rPr>
              <w:t xml:space="preserve">0帕微压状态，自动泄压，水的蒸发量每小时10公斤，既安全节能、食物口感更佳。柜体采用高密度保温材料，使用过程中外壳表面温度在50摄氏度以内，不烫手。带有除垢功能，保温性能优良，安全节能。隔条50%防脱落，定时定温，缺水保护，过热保护 ，门打开防倾倒 ，水箱为整体一次成型。★符合国家标准GB 4706.1-2005《家用和类似用途电器的安全 第 1 部分: 通用要求》、GB 4706.34-2008《家用和类似用途电器的安全 商用电强制对流烤炉、蒸汽炊具和蒸汽对流炉的特殊要求》，提供满足要求的检测报告扫描件。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双门蒸饭箱 （燃气）</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1020*750*1700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规格：24盘（配份数盆）</w:t>
            </w:r>
            <w:r>
              <w:rPr>
                <w:rFonts w:hint="eastAsia" w:ascii="宋体" w:hAnsi="宋体" w:cs="宋体"/>
                <w:sz w:val="20"/>
                <w:szCs w:val="20"/>
                <w:lang w:bidi="ar"/>
              </w:rPr>
              <w:br/>
            </w:r>
            <w:r>
              <w:rPr>
                <w:rFonts w:hint="eastAsia" w:ascii="宋体" w:hAnsi="宋体" w:cs="宋体"/>
                <w:sz w:val="20"/>
                <w:szCs w:val="20"/>
                <w:lang w:bidi="ar"/>
              </w:rPr>
              <w:t xml:space="preserve">优质SUS304#不锈钢材质，板材厚度1.0mm，层板厚度30.0mm，优质点火系统、带熄火保护装置，优质硅胶门条</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1900*1000*1850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1、优质sus304材质，高温无死角消杀，功率：6KW电压：220v50hz、温度：0~125度；                   </w:t>
            </w:r>
            <w:r>
              <w:rPr>
                <w:rFonts w:hint="eastAsia" w:ascii="宋体" w:hAnsi="宋体" w:cs="宋体"/>
                <w:sz w:val="20"/>
                <w:szCs w:val="20"/>
                <w:lang w:bidi="ar"/>
              </w:rPr>
              <w:br/>
            </w:r>
            <w:r>
              <w:rPr>
                <w:rFonts w:hint="eastAsia" w:ascii="宋体" w:hAnsi="宋体" w:cs="宋体"/>
                <w:sz w:val="20"/>
                <w:szCs w:val="20"/>
                <w:lang w:bidi="ar"/>
              </w:rPr>
              <w:t xml:space="preserve">2、优质硅胶门条，隔栅方管材质优质sus304材质1.0mm，22mm*37mm，                              </w:t>
            </w:r>
            <w:r>
              <w:rPr>
                <w:rFonts w:hint="eastAsia" w:ascii="宋体" w:hAnsi="宋体" w:cs="宋体"/>
                <w:sz w:val="20"/>
                <w:szCs w:val="20"/>
                <w:lang w:bidi="ar"/>
              </w:rPr>
              <w:br/>
            </w:r>
            <w:r>
              <w:rPr>
                <w:rFonts w:hint="eastAsia" w:ascii="宋体" w:hAnsi="宋体" w:cs="宋体"/>
                <w:sz w:val="20"/>
                <w:szCs w:val="20"/>
                <w:lang w:bidi="ar"/>
              </w:rPr>
              <w:t xml:space="preserve">3、机械式旋钮控制系统，操作方便，带温控和定时功能，温度范围30~125°，时间范围0~90min；       </w:t>
            </w:r>
            <w:r>
              <w:rPr>
                <w:rFonts w:hint="eastAsia" w:ascii="宋体" w:hAnsi="宋体" w:cs="宋体"/>
                <w:sz w:val="20"/>
                <w:szCs w:val="20"/>
                <w:lang w:bidi="ar"/>
              </w:rPr>
              <w:br/>
            </w:r>
            <w:r>
              <w:rPr>
                <w:rFonts w:hint="eastAsia" w:ascii="宋体" w:hAnsi="宋体" w:cs="宋体"/>
                <w:sz w:val="20"/>
                <w:szCs w:val="20"/>
                <w:lang w:bidi="ar"/>
              </w:rPr>
              <w:t xml:space="preserve">4、消毒效率高，灭菌力强，符合二星级消毒柜要求；</w:t>
            </w:r>
            <w:r>
              <w:rPr>
                <w:rFonts w:hint="eastAsia" w:ascii="宋体" w:hAnsi="宋体" w:cs="宋体"/>
                <w:sz w:val="20"/>
                <w:szCs w:val="20"/>
                <w:lang w:bidi="ar"/>
              </w:rPr>
              <w:br/>
            </w:r>
            <w:r>
              <w:rPr>
                <w:rFonts w:hint="eastAsia" w:ascii="宋体" w:hAnsi="宋体" w:cs="宋体"/>
                <w:sz w:val="20"/>
                <w:szCs w:val="20"/>
                <w:lang w:bidi="ar"/>
              </w:rPr>
              <w:t xml:space="preserve">5、对大肠杆菌的杀灭对数值＞3.00，对脊髓灰质炎病毒Ⅰ型疫苗株的灭活对数值＞4.00。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大三门玻璃门冷藏冰柜</w:t>
            </w:r>
            <w:r/>
          </w:p>
        </w:tc>
        <w:tc>
          <w:tcPr>
            <w:shd w:val="clear" w:color="auto" w:fill="auto"/>
            <w:tcBorders>
              <w:top w:val="single" w:color="000000" w:sz="4" w:space="0"/>
              <w:left w:val="single" w:color="000000" w:sz="4" w:space="0"/>
              <w:bottom w:val="non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36</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1800*710*1945</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数码电子控温精准控制，采用D型紫铜管，配置机房防护网，配置高强度LED灯，配置带刹车万向轮，双层钢化真空玻璃门，见啥空气流失。有效容积：1430L。温度范围：-2~6ºC，最大能耗：2.8KW.h/24h,电压/频率：220V/50hz,额定电流：2.8A，输入功率：454W </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根茎类多功能切菜机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27</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840*500*850</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适合切根茎类蔬菜，切片，切丝，切丁，可通过切换刀盘切不同规格的制品。切丝切片厚度：2-10mm,切丁规格：8/10/12/15/20mm.产量：200-1000kg/h.功率：1.5KW</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自动煎蛋机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33</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505*495*405</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non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额定电压：220V/5hz,额定功率：2.9KW，产能：1~120个/小时，蛋槽容量：1~80个，，三种熟度：五分/七分/十分。整机重量：45KG，控制面板：4.3寸彩色触摸屏，预热时间：2.5~4min。产品材质：食品级不锈钢+航空铝+不粘锅。智能控温，上下锅恒温煎制，五分熟 煎蛋时间：28秒煎，七分熟 煎蛋时间：36秒，十分熟 煎蛋时间：45秒 一机满足多人使用。无需手动蛋壳自动分离。</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自动切肉机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1600*680*1100</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non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产量：300~800kg/h加工尺寸：10-50mm,电源功率：380V/3KW,进料宽度：300mm，进料高度：60mm，整机重量：300KG，</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自动馒头机</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1390*460*910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功率：380V/3KW,每小时生产400KG以上馒头，馒头重量：65-175G。</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不锈钢四层平板货架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1200*500*1550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厂制品</w:t>
            </w:r>
            <w:r/>
          </w:p>
        </w:tc>
        <w:tc>
          <w:tcPr>
            <w:shd w:val="clear" w:color="auto" w:fill="ffffff"/>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lang w:bidi="ar"/>
              </w:rPr>
              <w:t xml:space="preserve">管架SUS304 1.0㎜厚38×38㎜不锈钢方管，层梁用SUS304 1.0㎜厚不锈钢38×25方管,间隔条用1.0㎜不锈钢30×15方管,骨条间距50㎜，38×38不锈钢管及高度调整钢脚。</w:t>
            </w:r>
            <w:r/>
          </w:p>
        </w:tc>
      </w:tr>
    </w:tbl>
    <w:p>
      <w:pPr>
        <w:pStyle w:val="733"/>
        <w:rPr>
          <w:rFonts w:hint="eastAsia" w:ascii="宋体" w:hAnsi="宋体" w:eastAsia="宋体" w:cs="宋体"/>
        </w:rPr>
        <w:sectPr>
          <w:footnotePr/>
          <w:endnotePr/>
          <w:type w:val="nextPage"/>
          <w:pgSz w:w="16838" w:h="11906" w:orient="landscape"/>
          <w:pgMar w:top="1365" w:right="1418" w:bottom="1588" w:left="1418" w:header="851" w:footer="907" w:gutter="0"/>
          <w:cols w:num="1" w:sep="0" w:space="1701" w:equalWidth="1"/>
          <w:docGrid w:linePitch="360"/>
          <w:titlePg/>
        </w:sectPr>
      </w:pPr>
      <w:r>
        <w:rPr>
          <w:rFonts w:hint="eastAsia" w:ascii="宋体" w:hAnsi="宋体" w:eastAsia="宋体" w:cs="宋体"/>
        </w:rPr>
      </w:r>
      <w:r/>
    </w:p>
    <w:p>
      <w:pPr>
        <w:rPr>
          <w:rFonts w:hint="eastAsia" w:ascii="宋体" w:hAnsi="宋体" w:cs="宋体"/>
        </w:rPr>
      </w:pPr>
      <w:r>
        <w:rPr>
          <w:rFonts w:hint="eastAsia" w:ascii="宋体" w:hAnsi="宋体" w:cs="宋体"/>
        </w:rPr>
      </w:r>
      <w:r/>
    </w:p>
    <w:p>
      <w:pPr>
        <w:ind w:left="420"/>
        <w:jc w:val="left"/>
        <w:keepLines/>
        <w:keepNext/>
        <w:spacing w:line="520" w:lineRule="exact"/>
        <w:rPr>
          <w:rFonts w:hint="eastAsia" w:ascii="宋体" w:hAnsi="宋体" w:cs="宋体"/>
          <w:b/>
          <w:sz w:val="24"/>
          <w:szCs w:val="24"/>
        </w:rPr>
        <w:outlineLvl w:val="2"/>
      </w:pPr>
      <w:r>
        <w:rPr>
          <w:rFonts w:hint="eastAsia" w:ascii="宋体" w:hAnsi="宋体" w:cs="宋体"/>
          <w:b/>
          <w:sz w:val="24"/>
          <w:szCs w:val="24"/>
        </w:rPr>
        <w:t xml:space="preserve">三、商务要求</w:t>
      </w:r>
      <w:r/>
    </w:p>
    <w:p>
      <w:pPr>
        <w:ind w:firstLine="422"/>
        <w:spacing w:line="360" w:lineRule="auto"/>
        <w:rPr>
          <w:rFonts w:hint="eastAsia" w:ascii="宋体" w:hAnsi="宋体" w:cs="宋体"/>
          <w:b/>
          <w:szCs w:val="21"/>
        </w:rPr>
      </w:pPr>
      <w:r>
        <w:rPr>
          <w:rFonts w:hint="eastAsia" w:ascii="宋体" w:hAnsi="宋体" w:cs="宋体"/>
          <w:b/>
          <w:szCs w:val="21"/>
        </w:rPr>
        <w:t xml:space="preserve">说明：商务要求不得出现负偏，如出现负偏离，将被视为未实质性满足招标文件要求作投标无效处理。</w:t>
      </w:r>
      <w:r/>
    </w:p>
    <w:tbl>
      <w:tblPr>
        <w:tblStyle w:val="743"/>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商务需求</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关于交货</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1.1交货地点：南通市通州区相关学校。</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lang w:val="zh-CN"/>
              </w:rPr>
              <w:t xml:space="preserve">交货期：为了不影响开学，合同签订后务必在2025年8月27日前完成交付验收，否则按照违约处理。</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1.4中标人必须承担产品运输、安装调试、验收检测和提供产品操作说明书、图纸等其他类似的义务。</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关于报价方式</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2.1国产货物</w:t>
            </w:r>
            <w:r/>
          </w:p>
          <w:p>
            <w:pPr>
              <w:spacing w:line="360" w:lineRule="auto"/>
              <w:rPr>
                <w:rFonts w:hint="eastAsia" w:ascii="宋体" w:hAnsi="宋体" w:cs="宋体"/>
                <w:szCs w:val="21"/>
              </w:rPr>
            </w:pPr>
            <w:r>
              <w:rPr>
                <w:rFonts w:hint="eastAsia" w:ascii="宋体" w:hAnsi="宋体" w:cs="宋体"/>
                <w:szCs w:val="21"/>
              </w:rPr>
              <w:t xml:space="preserve">（1）投标价必须是人民币含税价。</w:t>
            </w:r>
            <w:r/>
          </w:p>
          <w:p>
            <w:pPr>
              <w:spacing w:line="360" w:lineRule="auto"/>
              <w:rPr>
                <w:rFonts w:hint="eastAsia" w:ascii="宋体" w:hAnsi="宋体" w:cs="宋体"/>
                <w:szCs w:val="21"/>
              </w:rPr>
            </w:pPr>
            <w:r>
              <w:rPr>
                <w:rFonts w:hint="eastAsia"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安装、调试、技术指导、培训、咨询、服务、保险、检测、验收合格交付使用之前以及技术和售后服务、免费保修期退运返修等其他所有费用）、验收合格交付使用之前的一切费用，采购人不再另行支付其他费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2.2其他：</w:t>
            </w:r>
            <w:r/>
          </w:p>
          <w:p>
            <w:pPr>
              <w:spacing w:line="360" w:lineRule="auto"/>
              <w:rPr>
                <w:rFonts w:hint="eastAsia" w:ascii="宋体" w:hAnsi="宋体" w:cs="宋体"/>
                <w:szCs w:val="21"/>
              </w:rPr>
            </w:pPr>
            <w:r>
              <w:rPr>
                <w:rFonts w:hint="eastAsia" w:ascii="宋体" w:hAnsi="宋体" w:cs="宋体"/>
                <w:szCs w:val="21"/>
              </w:rPr>
              <w:t xml:space="preserve">（1）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spacing w:line="360" w:lineRule="auto"/>
              <w:rPr>
                <w:rFonts w:hint="eastAsia" w:ascii="宋体" w:hAnsi="宋体" w:cs="宋体"/>
                <w:szCs w:val="21"/>
              </w:rPr>
            </w:pPr>
            <w:r>
              <w:rPr>
                <w:rFonts w:hint="eastAsia"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bottom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2.3 报价方式：</w:t>
            </w:r>
            <w:r/>
          </w:p>
          <w:p>
            <w:pPr>
              <w:spacing w:line="360" w:lineRule="auto"/>
              <w:rPr>
                <w:rFonts w:hint="eastAsia" w:ascii="宋体" w:hAnsi="宋体" w:cs="宋体"/>
                <w:szCs w:val="21"/>
              </w:rPr>
            </w:pPr>
            <w:r>
              <w:rPr>
                <w:rFonts w:hint="eastAsia" w:ascii="宋体" w:hAnsi="宋体" w:cs="宋体"/>
                <w:szCs w:val="21"/>
              </w:rPr>
              <w:t xml:space="preserve">报价应包含配件、安装费用、人工服务、售后服务等与本项目有关的一切费用。</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详见合同</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4</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4.2中标人提供产品的免费保修期至少</w:t>
            </w:r>
            <w:r>
              <w:rPr>
                <w:rFonts w:hint="eastAsia" w:ascii="宋体" w:hAnsi="宋体" w:cs="宋体"/>
                <w:szCs w:val="21"/>
                <w:u w:val="single"/>
              </w:rPr>
              <w:t xml:space="preserve">2</w:t>
            </w:r>
            <w:r>
              <w:rPr>
                <w:rFonts w:hint="eastAsia" w:ascii="宋体" w:hAnsi="宋体" w:cs="宋体"/>
                <w:szCs w:val="21"/>
                <w:lang w:val="zh-CN"/>
              </w:rPr>
              <w:t xml:space="preserve">年（保修期内免费维修并更换除消耗品以外的零部件，维修人员的路费、食宿等自理），</w:t>
            </w:r>
            <w:r>
              <w:rPr>
                <w:rFonts w:hint="eastAsia" w:ascii="宋体" w:hAnsi="宋体" w:cs="宋体"/>
                <w:bCs/>
                <w:szCs w:val="21"/>
              </w:rPr>
              <w:t xml:space="preserve">保修期自最终安装验收合格签字确认后算起，由投标人提供产品保修文件。</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4.3投标人售后服务响应时间：电话响应时间要求</w:t>
            </w:r>
            <w:r>
              <w:rPr>
                <w:rFonts w:hint="eastAsia" w:ascii="宋体" w:hAnsi="宋体" w:cs="宋体"/>
                <w:bCs/>
                <w:szCs w:val="21"/>
                <w:u w:val="single"/>
              </w:rPr>
              <w:t xml:space="preserve"> 0.5小时</w:t>
            </w:r>
            <w:r>
              <w:rPr>
                <w:rFonts w:hint="eastAsia" w:ascii="宋体" w:hAnsi="宋体" w:cs="宋体"/>
                <w:szCs w:val="21"/>
                <w:lang w:val="zh-CN"/>
              </w:rPr>
              <w:t xml:space="preserve">内，到场响应时间要求</w:t>
            </w:r>
            <w:r>
              <w:rPr>
                <w:rFonts w:hint="eastAsia"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内（指从接到报障至到达故障现场的时间）。投标人免费提供技术支持热线电话。投标人免费提供email技术支持，并且在</w:t>
            </w:r>
            <w:r>
              <w:rPr>
                <w:rFonts w:hint="eastAsia" w:ascii="宋体" w:hAnsi="宋体" w:cs="宋体"/>
                <w:bCs/>
                <w:szCs w:val="21"/>
                <w:u w:val="single"/>
              </w:rPr>
              <w:t xml:space="preserve"> 12小时</w:t>
            </w:r>
            <w:r>
              <w:rPr>
                <w:rFonts w:hint="eastAsia" w:ascii="宋体" w:hAnsi="宋体" w:cs="宋体"/>
                <w:szCs w:val="21"/>
                <w:lang w:val="zh-CN"/>
              </w:rPr>
              <w:t xml:space="preserve">内回复。</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rPr>
            </w:pPr>
            <w:r>
              <w:rPr>
                <w:rFonts w:hint="eastAsia"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保证常备1%的全新配件，</w:t>
            </w:r>
            <w:r>
              <w:rPr>
                <w:rFonts w:hint="eastAsia" w:ascii="宋体" w:hAnsi="宋体" w:cs="宋体"/>
                <w:szCs w:val="21"/>
              </w:rPr>
              <w:t xml:space="preserve">保修期内</w:t>
            </w:r>
            <w:r>
              <w:rPr>
                <w:rFonts w:hint="eastAsia" w:ascii="宋体" w:hAnsi="宋体" w:cs="宋体"/>
                <w:szCs w:val="21"/>
                <w:lang w:val="zh-CN"/>
              </w:rPr>
              <w:t xml:space="preserve">一旦产品出现问题全新配件能在 24 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5</w:t>
            </w:r>
            <w:r>
              <w:rPr>
                <w:rFonts w:hint="eastAsia" w:ascii="宋体" w:hAnsi="宋体" w:cs="宋体"/>
                <w:szCs w:val="21"/>
                <w:lang w:val="zh-CN"/>
              </w:rPr>
              <w:t xml:space="preserve">中标人提供该产品的技术使用说明书及外购配件仪器说明书，并指导在使用该产品时的操作注意</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szCs w:val="21"/>
                <w:lang w:val="zh-CN"/>
              </w:rPr>
            </w:pPr>
            <w:r>
              <w:rPr>
                <w:rFonts w:hint="eastAsia" w:ascii="宋体" w:hAnsi="宋体" w:cs="宋体"/>
                <w:szCs w:val="21"/>
              </w:rPr>
              <w:t xml:space="preserve">4.6免费保修期内，如果产品有因质量问题而引起的损坏，中标人应对产品予以维修或更换，全部服务费和更换产品或配件的费用均由中标人承担。免费保修期内维修或更换产品数量（配件按产品计算）达产品总量的5%，免费保修期延长1年。</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4.7免费保修期后中标人继续支持维修，并按成本价标准收取服务、维修、产品及零件等费用。</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关于安装、调试和验收</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工程师负责现场的免费安装、调试；如需特殊安装条件的，中标人应当发货前</w:t>
            </w:r>
            <w:r>
              <w:rPr>
                <w:rFonts w:hint="eastAsia" w:ascii="宋体" w:hAnsi="宋体" w:cs="宋体"/>
                <w:bCs/>
                <w:szCs w:val="21"/>
                <w:u w:val="single"/>
              </w:rPr>
              <w:t xml:space="preserve">7</w:t>
            </w:r>
            <w:r>
              <w:rPr>
                <w:rFonts w:hint="eastAsia" w:ascii="宋体" w:hAnsi="宋体" w:cs="宋体"/>
                <w:bCs/>
                <w:szCs w:val="21"/>
                <w:lang w:val="zh-CN"/>
              </w:rPr>
              <w:t xml:space="preserve">天内与采购人进行场地安装事宜的确认。</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5.2货物</w:t>
            </w:r>
            <w:r>
              <w:rPr>
                <w:rFonts w:hint="eastAsia" w:ascii="宋体" w:hAnsi="宋体" w:cs="宋体"/>
                <w:bCs/>
                <w:szCs w:val="21"/>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5.3</w:t>
            </w:r>
            <w:r>
              <w:rPr>
                <w:rFonts w:hint="eastAsia" w:ascii="宋体" w:hAnsi="宋体" w:cs="宋体"/>
                <w:szCs w:val="21"/>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lang w:val="zh-CN"/>
              </w:rPr>
              <w:t xml:space="preserve">。</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5.4中标人应提前一周将发货信息提供给采购人。货物到达后，采购人应将到货信息立即通知中标人。</w:t>
            </w:r>
            <w:r/>
          </w:p>
        </w:tc>
      </w:tr>
      <w:tr>
        <w:trPr>
          <w:trHeight w:val="1070"/>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5.5当同时满足以下条件时，采购人才向中标人签发货物验收报告：</w:t>
            </w:r>
            <w:r/>
          </w:p>
          <w:p>
            <w:pPr>
              <w:spacing w:line="360" w:lineRule="auto"/>
              <w:tabs>
                <w:tab w:val="left" w:pos="1260" w:leader="none"/>
              </w:tabs>
              <w:rPr>
                <w:rFonts w:hint="eastAsia" w:ascii="宋体" w:hAnsi="宋体" w:cs="宋体"/>
                <w:szCs w:val="21"/>
                <w:lang w:val="zh-CN"/>
              </w:rPr>
            </w:pPr>
            <w:r>
              <w:rPr>
                <w:rFonts w:hint="eastAsia" w:ascii="宋体" w:hAnsi="宋体" w:cs="宋体"/>
                <w:bCs/>
                <w:szCs w:val="21"/>
              </w:rPr>
              <w:t xml:space="preserve">a、</w:t>
            </w:r>
            <w:r>
              <w:rPr>
                <w:rFonts w:hint="eastAsia" w:ascii="宋体" w:hAnsi="宋体" w:cs="宋体"/>
                <w:szCs w:val="21"/>
                <w:lang w:val="zh-CN"/>
              </w:rPr>
              <w:t xml:space="preserve">中标人已按照合同规定提供了全部产品及完整的技术资料。</w:t>
            </w:r>
            <w:r/>
          </w:p>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tc>
      </w:tr>
      <w:tr>
        <w:trPr>
          <w:trHeight w:val="350"/>
        </w:trPr>
        <w:tc>
          <w:tcPr>
            <w:tcBorders>
              <w:left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6</w:t>
            </w:r>
            <w:r/>
          </w:p>
        </w:tc>
        <w:tc>
          <w:tcPr>
            <w:tcBorders>
              <w:left w:val="single" w:color="auto" w:sz="4" w:space="0"/>
              <w:right w:val="single" w:color="auto" w:sz="4" w:space="0"/>
            </w:tcBorders>
            <w:tcW w:w="1982" w:type="dxa"/>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关于运输及包装方式</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jc w:val="left"/>
              <w:spacing w:line="360" w:lineRule="auto"/>
              <w:tabs>
                <w:tab w:val="left" w:pos="1260" w:leader="none"/>
              </w:tabs>
              <w:rPr>
                <w:rFonts w:hint="eastAsia" w:ascii="宋体" w:hAnsi="宋体" w:cs="宋体"/>
                <w:bCs/>
                <w:szCs w:val="21"/>
              </w:rPr>
            </w:pPr>
            <w:r>
              <w:rPr>
                <w:rFonts w:hint="eastAsia" w:ascii="宋体" w:hAnsi="宋体" w:cs="宋体"/>
                <w:szCs w:val="21"/>
              </w:rPr>
              <w:t xml:space="preserve">详见合同要求</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7</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关于质量及知识产权要求</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bCs/>
                <w:szCs w:val="21"/>
              </w:rPr>
              <w:t xml:space="preserve">7.1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left w:val="single" w:color="auto" w:sz="4" w:space="0"/>
              <w:right w:val="single" w:color="auto" w:sz="4" w:space="0"/>
            </w:tcBorders>
            <w:tcW w:w="198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8</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关于结算</w:t>
            </w:r>
            <w:r/>
          </w:p>
        </w:tc>
        <w:tc>
          <w:tcPr>
            <w:tcBorders>
              <w:top w:val="single" w:color="auto" w:sz="4" w:space="0"/>
              <w:left w:val="single" w:color="auto" w:sz="4" w:space="0"/>
              <w:bottom w:val="single" w:color="auto" w:sz="4" w:space="0"/>
              <w:right w:val="single" w:color="auto" w:sz="4" w:space="0"/>
            </w:tcBorders>
            <w:tcW w:w="6566" w:type="dxa"/>
            <w:textDirection w:val="lrTb"/>
            <w:noWrap w:val="false"/>
          </w:tcPr>
          <w:p>
            <w:pPr>
              <w:spacing w:line="360" w:lineRule="auto"/>
              <w:tabs>
                <w:tab w:val="left" w:pos="1260" w:leader="none"/>
              </w:tabs>
              <w:rPr>
                <w:rFonts w:hint="eastAsia" w:ascii="宋体" w:hAnsi="宋体" w:cs="宋体"/>
                <w:bCs/>
                <w:szCs w:val="21"/>
              </w:rPr>
            </w:pPr>
            <w:r>
              <w:rPr>
                <w:rFonts w:hint="eastAsia" w:ascii="宋体" w:hAnsi="宋体" w:cs="宋体"/>
                <w:szCs w:val="21"/>
                <w:lang w:val="zh-CN"/>
              </w:rPr>
              <w:t xml:space="preserve">标的采购总量均为估算，最终生产及交货均以中标后经采购人确认的实际</w:t>
            </w:r>
            <w:r>
              <w:rPr>
                <w:rFonts w:hint="eastAsia" w:ascii="宋体" w:hAnsi="宋体" w:cs="宋体"/>
                <w:szCs w:val="21"/>
              </w:rPr>
              <w:t xml:space="preserve">工程</w:t>
            </w:r>
            <w:r>
              <w:rPr>
                <w:rFonts w:hint="eastAsia" w:ascii="宋体" w:hAnsi="宋体" w:cs="宋体"/>
                <w:szCs w:val="21"/>
                <w:lang w:val="zh-CN"/>
              </w:rPr>
              <w:t xml:space="preserve">量为最后结算量（原则不超过标的总金额，经主管部门审批同意除外），不管最终结算量与招标标的量差别多少，结算单价均不作任何调整。</w:t>
            </w:r>
            <w:r/>
          </w:p>
        </w:tc>
      </w:tr>
    </w:tbl>
    <w:p>
      <w:pPr>
        <w:rPr>
          <w:rFonts w:hint="eastAsia" w:ascii="宋体" w:hAnsi="宋体" w:cs="宋体"/>
          <w:b/>
          <w:sz w:val="24"/>
          <w:szCs w:val="24"/>
        </w:rPr>
      </w:pPr>
      <w:r>
        <w:rPr>
          <w:rFonts w:hint="eastAsia" w:ascii="宋体" w:hAnsi="宋体" w:cs="宋体"/>
          <w:sz w:val="36"/>
          <w:szCs w:val="36"/>
        </w:rPr>
        <w:br w:type="page" w:clear="all"/>
      </w:r>
      <w:r/>
    </w:p>
    <w:p>
      <w:pPr>
        <w:rPr>
          <w:rFonts w:hint="eastAsia" w:ascii="宋体" w:hAnsi="宋体" w:cs="宋体"/>
          <w:bCs/>
          <w:sz w:val="44"/>
          <w:szCs w:val="28"/>
        </w:rPr>
      </w:pPr>
      <w:r>
        <w:rPr>
          <w:rFonts w:hint="eastAsia" w:ascii="宋体" w:hAnsi="宋体" w:cs="宋体"/>
          <w:bCs/>
          <w:sz w:val="44"/>
          <w:szCs w:val="28"/>
        </w:rPr>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第五章  </w:t>
      </w:r>
      <w:r>
        <w:rPr>
          <w:rFonts w:hint="eastAsia" w:ascii="宋体" w:hAnsi="宋体" w:cs="宋体"/>
          <w:b/>
          <w:bCs/>
          <w:sz w:val="44"/>
          <w:szCs w:val="28"/>
        </w:rPr>
        <w:t xml:space="preserve">评标方法与评标标准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由中标委员会抽签决定</w:t>
      </w:r>
      <w:bookmarkStart w:id="186" w:name="_GoBack"/>
      <w:r/>
      <w:bookmarkEnd w:id="186"/>
      <w:r>
        <w:rPr>
          <w:rFonts w:hint="eastAsia" w:ascii="宋体" w:hAnsi="宋体" w:cs="宋体"/>
          <w:sz w:val="24"/>
          <w:szCs w:val="24"/>
        </w:rPr>
        <w:t xml:space="preserve">，本项目选取3名中标候选人。投标文件满足招标文件全部实质性要求，且按照评审因素的量化指标评审得分最高的投标人为中标人。</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一、政府采购政策功能落实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1、小微型企业价格扣除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（1）本项目对残疾人福利性单位视同小型、微型企业，给予20%。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3、监狱和戒毒企业价格扣除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（1）本项目对监狱和戒毒企业（简称监狱企业）视同小型、微型企业，给予20%。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4、残疾人福利单位、监狱企业属于小型、微型企业的，不重复享受政策。</w:t>
      </w:r>
      <w:r/>
    </w:p>
    <w:p>
      <w:pPr>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注：专门面向中小企业采购的项目或者采购包，不再执行价格评审优惠的扶持政策。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二、1包、2包商务技术标、报价标评分标准（70分+30分）</w:t>
      </w:r>
      <w:r/>
    </w:p>
    <w:tbl>
      <w:tblPr>
        <w:tblStyle w:val="743"/>
        <w:tblW w:w="9073" w:type="dxa"/>
        <w:tblInd w:w="96" w:type="dxa"/>
        <w:tblLayout w:type="autofit"/>
        <w:tblCellMar>
          <w:left w:w="108" w:type="dxa"/>
          <w:top w:w="0" w:type="dxa"/>
          <w:right w:w="108" w:type="dxa"/>
          <w:bottom w:w="0" w:type="dxa"/>
        </w:tblCellMar>
        <w:tblLook w:val="04A0" w:firstRow="1" w:lastRow="0" w:firstColumn="1" w:lastColumn="0" w:noHBand="0" w:noVBand="1"/>
      </w:tblPr>
      <w:tblGrid>
        <w:gridCol w:w="709"/>
        <w:gridCol w:w="1497"/>
        <w:gridCol w:w="1199"/>
        <w:gridCol w:w="5668"/>
      </w:tblGrid>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评分标准</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 综合实力</w:t>
            </w:r>
            <w:r>
              <w:rPr>
                <w:rStyle w:val="945"/>
                <w:rFonts w:hint="default"/>
                <w:color w:val="auto"/>
                <w:lang w:bidi="ar"/>
              </w:rPr>
              <w:t xml:space="preserve">(11分)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1、产品生产商获得国家安全生产监督管理总局监制的安全生产标准化证书的得1分，没有不得分；</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3、生产商须具有生产投标产品的主要设备（激光切割设备、折弯设备、数控冲床），每具备1类设备得1分，最多得3分。提供以上主要生产设备的实物照片以及设备购买发票，加盖单位公章。</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提供大锅灶、双门蒸饭车、消毒柜、三门玻璃门冷藏冰柜、自动切肉机五品种所投品牌厂商的ISO9001质量管理体系认证证书、ISO14001环境管理体系认证证书和ISO45001职业健康安全管理体系认证证书。有一品种且三证齐全得1分，本项得分共5分。以上认证证书国内标准与国际标准等同适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5、投标人所投产品具有中国环保认证证书的，每提供一份得0.5分，最高得1分；所投产品具有中国节能产品认证证书的，每提供一份得1分，最高得1分。</w:t>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center"/>
              <w:spacing w:line="360" w:lineRule="auto"/>
              <w:widowControl/>
              <w:rPr>
                <w:rFonts w:hint="eastAsia" w:ascii="宋体" w:hAnsi="宋体" w:cs="宋体"/>
                <w:sz w:val="24"/>
                <w:szCs w:val="24"/>
              </w:rPr>
            </w:pPr>
            <w:r>
              <w:rPr>
                <w:rStyle w:val="946"/>
                <w:rFonts w:hint="default"/>
                <w:color w:val="auto"/>
                <w:lang w:bidi="ar"/>
              </w:rPr>
              <w:t xml:space="preserve">技术参数及资质要求响应</w:t>
            </w:r>
            <w:r>
              <w:rPr>
                <w:rStyle w:val="945"/>
                <w:rFonts w:hint="default"/>
                <w:color w:val="auto"/>
                <w:lang w:bidi="ar"/>
              </w:rPr>
              <w:t xml:space="preserve">(23分) </w:t>
            </w:r>
            <w:r>
              <w:rPr>
                <w:rStyle w:val="946"/>
                <w:rFonts w:hint="default"/>
                <w:color w:val="auto"/>
                <w:lang w:bidi="ar"/>
              </w:rPr>
              <w:t xml:space="preserve">评标委员会根据各投标文件提供货物和设备的技术性能和参数指标打分，招标文件技术参数需求中要求提供的检验报告或者相关证书附于技术响应表之后。</w:t>
            </w:r>
            <w:r/>
          </w:p>
        </w:tc>
        <w:tc>
          <w:tcPr>
            <w:shd w:val="clear" w:color="auto" w:fill="auto"/>
            <w:tcBorders>
              <w:top w:val="single" w:color="000000" w:sz="4" w:space="0"/>
              <w:left w:val="single" w:color="000000" w:sz="4" w:space="0"/>
              <w:bottom w:val="non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1、投标产品蒸饭车：</w:t>
            </w:r>
            <w:r>
              <w:rPr>
                <w:rFonts w:hint="eastAsia" w:ascii="宋体" w:hAnsi="宋体" w:cs="宋体"/>
                <w:sz w:val="24"/>
                <w:szCs w:val="24"/>
                <w:lang w:bidi="ar"/>
              </w:rPr>
              <w:br/>
            </w:r>
            <w:r>
              <w:rPr>
                <w:rFonts w:hint="eastAsia" w:ascii="宋体" w:hAnsi="宋体" w:cs="宋体"/>
                <w:sz w:val="24"/>
                <w:szCs w:val="24"/>
                <w:lang w:bidi="ar"/>
              </w:rPr>
              <w:t xml:space="preserve">A、提供蒸饭车符合国家标准GB 4706.1-2005《家用和类似用途电器的安全第 1 部分: 通用要求》和GB 470634-2008《家用和类似用途电器的安全 商用电强制对流烤炉、蒸汽炊具和蒸汽对流炉的特殊要求》的检测报告得2分；</w:t>
            </w:r>
            <w:r>
              <w:rPr>
                <w:rFonts w:hint="eastAsia" w:ascii="宋体" w:hAnsi="宋体" w:cs="宋体"/>
                <w:sz w:val="24"/>
                <w:szCs w:val="24"/>
                <w:lang w:bidi="ar"/>
              </w:rPr>
              <w:br/>
            </w:r>
            <w:r>
              <w:rPr>
                <w:rFonts w:hint="eastAsia" w:ascii="宋体" w:hAnsi="宋体" w:cs="宋体"/>
                <w:sz w:val="24"/>
                <w:szCs w:val="24"/>
                <w:lang w:bidi="ar"/>
              </w:rPr>
              <w:t xml:space="preserve">B、“饭盘”应通过（食品安全国家标准 食品接触用金属材料及制品）检测。检测依据符合GB4806.9-2016的得2分，本小节最高得4分。</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2、燃气大锅灶：                                                                                     </w:t>
            </w:r>
            <w:r>
              <w:rPr>
                <w:rFonts w:hint="eastAsia" w:ascii="宋体" w:hAnsi="宋体" w:cs="宋体"/>
                <w:sz w:val="24"/>
                <w:szCs w:val="24"/>
                <w:lang w:bidi="ar"/>
              </w:rPr>
              <w:br/>
            </w:r>
            <w:r>
              <w:rPr>
                <w:rFonts w:hint="eastAsia" w:ascii="宋体" w:hAnsi="宋体" w:cs="宋体"/>
                <w:sz w:val="24"/>
                <w:szCs w:val="24"/>
                <w:lang w:bidi="ar"/>
              </w:rPr>
              <w:t xml:space="preserve">A、产品符合GB35848-2024《商用燃气燃烧器具》要求；所投设备额定热负荷35KW*2，热负荷准确度±10%以内，热效率75%以上；</w:t>
            </w:r>
            <w:r>
              <w:rPr>
                <w:rFonts w:hint="eastAsia" w:ascii="宋体" w:hAnsi="宋体" w:cs="宋体"/>
                <w:sz w:val="24"/>
                <w:szCs w:val="24"/>
                <w:lang w:bidi="ar"/>
              </w:rPr>
              <w:br/>
            </w:r>
            <w:r>
              <w:rPr>
                <w:rFonts w:hint="eastAsia" w:ascii="宋体" w:hAnsi="宋体" w:cs="宋体"/>
                <w:sz w:val="24"/>
                <w:szCs w:val="24"/>
                <w:lang w:bidi="ar"/>
              </w:rPr>
              <w:t xml:space="preserve">B、设备有故障代码提示功能（出现故障时候，会报警并且显示屏提示不同代码）；</w:t>
            </w:r>
            <w:r>
              <w:rPr>
                <w:rFonts w:hint="eastAsia" w:ascii="宋体" w:hAnsi="宋体" w:cs="宋体"/>
                <w:sz w:val="24"/>
                <w:szCs w:val="24"/>
                <w:lang w:bidi="ar"/>
              </w:rPr>
              <w:br/>
            </w:r>
            <w:r>
              <w:rPr>
                <w:rFonts w:hint="eastAsia" w:ascii="宋体" w:hAnsi="宋体" w:cs="宋体"/>
                <w:sz w:val="24"/>
                <w:szCs w:val="24"/>
                <w:lang w:bidi="ar"/>
              </w:rPr>
              <w:t xml:space="preserve">C、风机功率调节及转速显示（通过设定风机的转速数值，可自由调节每一档风机的功率，通过主板的风机模块检测风机转速数值，在显示屏上显示）。</w:t>
            </w:r>
            <w:r>
              <w:rPr>
                <w:rFonts w:hint="eastAsia" w:ascii="宋体" w:hAnsi="宋体" w:cs="宋体"/>
                <w:sz w:val="24"/>
                <w:szCs w:val="24"/>
                <w:lang w:bidi="ar"/>
              </w:rPr>
              <w:br/>
            </w:r>
            <w:r>
              <w:rPr>
                <w:rFonts w:hint="eastAsia" w:ascii="宋体" w:hAnsi="宋体" w:cs="宋体"/>
                <w:sz w:val="24"/>
                <w:szCs w:val="24"/>
                <w:lang w:bidi="ar"/>
              </w:rPr>
              <w:t xml:space="preserve">D、设备有火焰检测（熄火保护功能），自动检测火焰，遇到意外熄火时，会自动关闭电磁阀并报警，在显示屏显示故障代码。</w:t>
            </w:r>
            <w:r>
              <w:rPr>
                <w:rFonts w:hint="eastAsia" w:ascii="宋体" w:hAnsi="宋体" w:cs="宋体"/>
                <w:sz w:val="24"/>
                <w:szCs w:val="24"/>
                <w:lang w:bidi="ar"/>
              </w:rPr>
              <w:br/>
            </w:r>
            <w:r>
              <w:rPr>
                <w:rFonts w:hint="eastAsia" w:ascii="宋体" w:hAnsi="宋体" w:cs="宋体"/>
                <w:sz w:val="24"/>
                <w:szCs w:val="24"/>
                <w:lang w:bidi="ar"/>
              </w:rPr>
              <w:t xml:space="preserve">上述4条检测依据：GB 35848-2024《商用燃气燃烧器具》、GB/T25000.51-2016：《系统与软件工程系统与软件质量要求和评价（SQuaRE）第51部分：就绪可用软件产品（RUSP）的质量要求和测试细则》、《商用燃气燃烧器具产品评价技术规范》。具有CMA或CNAS认证资质的检测报告（报告必须是整机检测报告，且报告中必须体现产品图片）复印件加盖制造商鲜章并提供国家认监委官网截图予以佐证。                </w:t>
            </w:r>
            <w:r>
              <w:rPr>
                <w:rFonts w:hint="eastAsia" w:ascii="宋体" w:hAnsi="宋体" w:cs="宋体"/>
                <w:sz w:val="24"/>
                <w:szCs w:val="24"/>
                <w:lang w:bidi="ar"/>
              </w:rPr>
              <w:br/>
            </w:r>
            <w:r>
              <w:rPr>
                <w:rFonts w:hint="eastAsia" w:ascii="宋体" w:hAnsi="宋体" w:cs="宋体"/>
                <w:sz w:val="24"/>
                <w:szCs w:val="24"/>
                <w:lang w:bidi="ar"/>
              </w:rPr>
              <w:t xml:space="preserve">每提供一份得1分，4条都满足的得4分。</w:t>
            </w:r>
            <w:r/>
          </w:p>
        </w:tc>
      </w:tr>
      <w:tr>
        <w:trPr>
          <w:trHeight w:val="196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3、大三门玻璃门冷藏冰箱：                                                                     </w:t>
            </w:r>
            <w:r>
              <w:rPr>
                <w:rFonts w:hint="eastAsia" w:ascii="宋体" w:hAnsi="宋体" w:cs="宋体"/>
                <w:sz w:val="24"/>
                <w:szCs w:val="24"/>
                <w:lang w:bidi="ar"/>
              </w:rPr>
              <w:br/>
            </w:r>
            <w:r>
              <w:rPr>
                <w:rFonts w:hint="eastAsia" w:ascii="宋体" w:hAnsi="宋体" w:cs="宋体"/>
                <w:sz w:val="24"/>
                <w:szCs w:val="24"/>
                <w:lang w:bidi="ar"/>
              </w:rPr>
              <w:t xml:space="preserve">A、冰箱核心元器件层架符合GB 31604.9-2016 《食品安全国家标准 食品接触材料及制品 食品模拟中重金属的测定》，判定依据 GB 4806.7-2016  《食品安全国家标准 食品接触用塑料材料及制品》，所检测的项目全部合格。</w:t>
            </w:r>
            <w:r>
              <w:rPr>
                <w:rFonts w:hint="eastAsia" w:ascii="宋体" w:hAnsi="宋体" w:cs="宋体"/>
                <w:sz w:val="24"/>
                <w:szCs w:val="24"/>
                <w:lang w:bidi="ar"/>
              </w:rPr>
              <w:br/>
            </w:r>
            <w:r>
              <w:rPr>
                <w:rFonts w:hint="eastAsia" w:ascii="宋体" w:hAnsi="宋体" w:cs="宋体"/>
                <w:sz w:val="24"/>
                <w:szCs w:val="24"/>
                <w:lang w:bidi="ar"/>
              </w:rPr>
              <w:t xml:space="preserve">B、冰箱核心元器件胶条符合GB 31604.9-2016 《食品安全国家标准 食品接触材料及制品 食品模拟中重金属的测定》，判定依据 GB 4806.7-2016  《食品安全国家标准 食品接触用塑料材料及制品》，所检测的项目全部合格。</w:t>
            </w:r>
            <w:r>
              <w:rPr>
                <w:rFonts w:hint="eastAsia" w:ascii="宋体" w:hAnsi="宋体" w:cs="宋体"/>
                <w:sz w:val="24"/>
                <w:szCs w:val="24"/>
                <w:lang w:bidi="ar"/>
              </w:rPr>
              <w:br/>
            </w:r>
            <w:r>
              <w:rPr>
                <w:rFonts w:hint="eastAsia" w:ascii="宋体" w:hAnsi="宋体" w:cs="宋体"/>
                <w:sz w:val="24"/>
                <w:szCs w:val="24"/>
                <w:lang w:bidi="ar"/>
              </w:rPr>
              <w:t xml:space="preserve">每提供一份得1.5分，最高得3分；</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4、投标产品消毒柜：</w:t>
            </w:r>
            <w:r>
              <w:rPr>
                <w:rFonts w:hint="eastAsia" w:ascii="宋体" w:hAnsi="宋体" w:cs="宋体"/>
                <w:sz w:val="24"/>
                <w:szCs w:val="24"/>
                <w:lang w:bidi="ar"/>
              </w:rPr>
              <w:br/>
            </w:r>
            <w:r>
              <w:rPr>
                <w:rFonts w:hint="eastAsia" w:ascii="宋体" w:hAnsi="宋体" w:cs="宋体"/>
                <w:sz w:val="24"/>
                <w:szCs w:val="24"/>
                <w:lang w:bidi="ar"/>
              </w:rPr>
              <w:t xml:space="preserve">A、所投产品根据（《消毒技术规范》（2002年版）2.1.5灭菌与消毒器械消毒功能试验）检测对（肺炎克雷伯氏菌ATCC 4352)的灭菌效果：在无菌环境中将消毒柜每层的内/中/外三个点取样进行菌落培养试验，时长为80min，阴性对照组均无病菌生长，反复试验三次，不同作用点的灭杀对数值都&gt;3.00（须在投标文件中提供符合CNAS认证的出具的完整检验（检测）报告，并现场登录微生物研究所的官方网站进行查询核实。</w:t>
            </w:r>
            <w:r>
              <w:rPr>
                <w:rFonts w:hint="eastAsia" w:ascii="宋体" w:hAnsi="宋体" w:cs="宋体"/>
                <w:sz w:val="24"/>
                <w:szCs w:val="24"/>
                <w:lang w:bidi="ar"/>
              </w:rPr>
              <w:br/>
            </w:r>
            <w:r>
              <w:rPr>
                <w:rFonts w:hint="eastAsia" w:ascii="宋体" w:hAnsi="宋体" w:cs="宋体"/>
                <w:sz w:val="24"/>
                <w:szCs w:val="24"/>
                <w:lang w:bidi="ar"/>
              </w:rPr>
              <w:t xml:space="preserve">B、所投产品控制板PCB板符合GB4706.1-2005《家用和类似用途电器的安全 第1部分：通用要求》检验标准的检测“耐热和耐燃”项目，所检项目符合标准的要求。提供由省级及以上检测机构出具的合格测试报告，并提供查询截图； C、所投商用消毒柜的网架、内壁、观察玻璃门、门封符合GB4806.1-2016食品安全国家标准的检测报告；</w:t>
            </w:r>
            <w:r>
              <w:rPr>
                <w:rFonts w:hint="eastAsia" w:ascii="宋体" w:hAnsi="宋体" w:cs="宋体"/>
                <w:sz w:val="24"/>
                <w:szCs w:val="24"/>
                <w:lang w:bidi="ar"/>
              </w:rPr>
              <w:br/>
            </w:r>
            <w:r>
              <w:rPr>
                <w:rFonts w:hint="eastAsia" w:ascii="宋体" w:hAnsi="宋体" w:cs="宋体"/>
                <w:sz w:val="24"/>
                <w:szCs w:val="24"/>
                <w:lang w:bidi="ar"/>
              </w:rPr>
              <w:t xml:space="preserve">每提供一份得1分，最高得3分；</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5、投标产品自动切肉机： </w:t>
            </w:r>
            <w:r>
              <w:rPr>
                <w:rFonts w:hint="eastAsia" w:ascii="宋体" w:hAnsi="宋体" w:cs="宋体"/>
                <w:sz w:val="24"/>
                <w:szCs w:val="24"/>
                <w:lang w:bidi="ar"/>
              </w:rPr>
              <w:br/>
            </w:r>
            <w:r>
              <w:rPr>
                <w:rFonts w:hint="eastAsia" w:ascii="宋体" w:hAnsi="宋体" w:cs="宋体"/>
                <w:sz w:val="24"/>
                <w:szCs w:val="24"/>
                <w:lang w:bidi="ar"/>
              </w:rPr>
              <w:t xml:space="preserve">A、产品已通过GB4706.1-2005《家用和类 似用途电器的安全第1部分:通用要求》和GB 4706.38-2008《家用和类似用途电器的安全商用</w:t>
            </w:r>
            <w:r>
              <w:rPr>
                <w:rFonts w:hint="eastAsia" w:ascii="宋体" w:hAnsi="宋体" w:cs="宋体"/>
                <w:sz w:val="24"/>
                <w:szCs w:val="24"/>
                <w:lang w:bidi="ar"/>
              </w:rPr>
              <w:t xml:space="preserve">电动饮食加工机械的特殊要求》等18项安全检验合格。(需提供经国家认可的检测机构出具的在其“认可的检测能力范围”内带“CMA,CNSA，CAL”标识的检测报告复印件加盖投标人公章）。                                                                                B、产品需提供符合GB-4806.1-2016，GB-4806.7-2023和GB-4806.9-2023检测标准的食品接触产品卫生认证证书，证书可通过国家认监委网站查询。</w:t>
            </w:r>
            <w:r>
              <w:rPr>
                <w:rFonts w:hint="eastAsia" w:ascii="宋体" w:hAnsi="宋体" w:cs="宋体"/>
                <w:sz w:val="24"/>
                <w:szCs w:val="24"/>
                <w:lang w:bidi="ar"/>
              </w:rPr>
              <w:br/>
            </w:r>
            <w:r>
              <w:rPr>
                <w:rFonts w:hint="eastAsia" w:ascii="宋体" w:hAnsi="宋体" w:cs="宋体"/>
                <w:sz w:val="24"/>
                <w:szCs w:val="24"/>
                <w:lang w:bidi="ar"/>
              </w:rPr>
              <w:t xml:space="preserve">每提供一份得1.5分，都满足的得3分。                  </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6、投标产品多功能切菜机：</w:t>
            </w:r>
            <w:r>
              <w:rPr>
                <w:rFonts w:hint="eastAsia" w:ascii="宋体" w:hAnsi="宋体" w:cs="宋体"/>
                <w:sz w:val="24"/>
                <w:szCs w:val="24"/>
                <w:lang w:bidi="ar"/>
              </w:rPr>
              <w:br/>
            </w:r>
            <w:r>
              <w:rPr>
                <w:rFonts w:hint="eastAsia" w:ascii="宋体" w:hAnsi="宋体" w:cs="宋体"/>
                <w:sz w:val="24"/>
                <w:szCs w:val="24"/>
                <w:lang w:bidi="ar"/>
              </w:rPr>
              <w:t xml:space="preserve">A、产品已通过GB4706.1-2005《家用和类 似用途电器的安全第1部分:通用要求》和GB 4706.38-2008《家用和类似用途电器的安全商用电动饮食加工机械的特殊要求》等18项安全检验合格。(需提供经国家认可的检测机构出具的在其“认可的检测能力范围”内带“CMA,CNSA，CAL”标识的检测报告复印件加盖投标人公章）。</w:t>
            </w:r>
            <w:r>
              <w:rPr>
                <w:rFonts w:hint="eastAsia" w:ascii="宋体" w:hAnsi="宋体" w:cs="宋体"/>
                <w:sz w:val="24"/>
                <w:szCs w:val="24"/>
                <w:lang w:bidi="ar"/>
              </w:rPr>
              <w:br/>
            </w:r>
            <w:r>
              <w:rPr>
                <w:rFonts w:hint="eastAsia" w:ascii="宋体" w:hAnsi="宋体" w:cs="宋体"/>
                <w:sz w:val="24"/>
                <w:szCs w:val="24"/>
                <w:lang w:bidi="ar"/>
              </w:rPr>
              <w:t xml:space="preserve">B、洗切设备内壁和刀片，符合GB4806.1-2016，GB4806.7-2023，GB4806.9-2023食品接触安全检测标准，检验合格。 (需提供经国家认可的检测机构出具的在其“认可的检测能力范围”内带“CMA,CNSA”标识的检测报告复印件加盖投标人公章）。                                                           </w:t>
            </w:r>
            <w:r>
              <w:rPr>
                <w:rFonts w:hint="eastAsia" w:ascii="宋体" w:hAnsi="宋体" w:cs="宋体"/>
                <w:sz w:val="24"/>
                <w:szCs w:val="24"/>
                <w:lang w:bidi="ar"/>
              </w:rPr>
              <w:br/>
            </w:r>
            <w:r>
              <w:rPr>
                <w:rFonts w:hint="eastAsia" w:ascii="宋体" w:hAnsi="宋体" w:cs="宋体"/>
                <w:sz w:val="24"/>
                <w:szCs w:val="24"/>
                <w:lang w:bidi="ar"/>
              </w:rPr>
              <w:t xml:space="preserve">每提供一份得1.5分，都满足的得3分。</w:t>
            </w:r>
            <w:r/>
          </w:p>
        </w:tc>
      </w:tr>
      <w:tr>
        <w:trPr>
          <w:trHeight w:val="160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7、投标产品自动煎蛋机：                                                                          </w:t>
            </w:r>
            <w:r>
              <w:rPr>
                <w:rFonts w:hint="eastAsia" w:ascii="宋体" w:hAnsi="宋体" w:cs="宋体"/>
                <w:sz w:val="24"/>
                <w:szCs w:val="24"/>
                <w:lang w:bidi="ar"/>
              </w:rPr>
              <w:br/>
            </w:r>
            <w:r>
              <w:rPr>
                <w:rFonts w:hint="eastAsia" w:ascii="宋体" w:hAnsi="宋体" w:cs="宋体"/>
                <w:sz w:val="24"/>
                <w:szCs w:val="24"/>
                <w:lang w:bidi="ar"/>
              </w:rPr>
              <w:t xml:space="preserve">A、提供生产厂家的五星级售后服务认证证书。                                                          </w:t>
            </w:r>
            <w:r>
              <w:rPr>
                <w:rFonts w:hint="eastAsia" w:ascii="宋体" w:hAnsi="宋体" w:cs="宋体"/>
                <w:sz w:val="24"/>
                <w:szCs w:val="24"/>
                <w:lang w:bidi="ar"/>
              </w:rPr>
              <w:br/>
            </w:r>
            <w:r>
              <w:rPr>
                <w:rFonts w:hint="eastAsia" w:ascii="宋体" w:hAnsi="宋体" w:cs="宋体"/>
                <w:sz w:val="24"/>
                <w:szCs w:val="24"/>
                <w:lang w:bidi="ar"/>
              </w:rPr>
              <w:t xml:space="preserve">B、关于自动煎蛋机的领先技术，提供相应的证明材料。                                                                                                               C、提供满足技术参数的厂家证明承诺书（公开有效渠道可查询的证明材料）。                       </w:t>
            </w:r>
            <w:r>
              <w:rPr>
                <w:rFonts w:hint="eastAsia" w:ascii="宋体" w:hAnsi="宋体" w:cs="宋体"/>
                <w:sz w:val="24"/>
                <w:szCs w:val="24"/>
                <w:lang w:bidi="ar"/>
              </w:rPr>
              <w:br/>
            </w:r>
            <w:r>
              <w:rPr>
                <w:rFonts w:hint="eastAsia" w:ascii="宋体" w:hAnsi="宋体" w:cs="宋体"/>
                <w:sz w:val="24"/>
                <w:szCs w:val="24"/>
                <w:lang w:bidi="ar"/>
              </w:rPr>
              <w:t xml:space="preserve">每提供一份得1分，全部满足得3分。 </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评标委员会根据各投标文件提供货物和设备的技术性能和参数指标打分，招标文件技术参数需求中要求提供的检验报告或者相关证书附于技术响应表之后。</w:t>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产品原材料性能（6分）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1、所用304不锈钢板材、管材化学成分符合GB/T 11170-2008、食品安全国家标准《GB31604.49-2016》，力学性能符合GB/T228.1-2021标准，中性盐雾试验8h未见锈蚀（依据GB/T 10125-2021标准），弯曲试验符合GB/T 232-2010标准，提供304不锈钢板符合上述标准的检测报告（以上内容须在体现在同一检测报告中），得3分。</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2、对原材料304不锈钢板，进行抗菌性能检测（检验标准：GB 21551.2-2010），检测结果对大肠杆菌、金黄色葡萄球菌、鼠伤寒沙门氏菌抗菌率达99%，对白色念珠菌抗菌率&gt;96.5%，对黑曲霉抗菌率达&gt;94.2%，得3分     </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投标文件中提供符合上述要求的带有CMA、CNAS标识的检验检测报告复印件。</w:t>
            </w:r>
            <w:r/>
          </w:p>
        </w:tc>
      </w:tr>
      <w:tr>
        <w:trPr>
          <w:trHeight w:val="1125"/>
        </w:trPr>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497"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类似业绩（6分）</w:t>
            </w:r>
            <w:r/>
          </w:p>
        </w:tc>
        <w:tc>
          <w:tcPr>
            <w:shd w:val="clear" w:color="auto" w:fill="auto"/>
            <w:tcBorders>
              <w:top w:val="single" w:color="000000" w:sz="4" w:space="0"/>
              <w:left w:val="single" w:color="000000" w:sz="4" w:space="0"/>
              <w:bottom w:val="non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5668"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lang w:bidi="ar"/>
              </w:rPr>
              <w:t xml:space="preserve">投标人提供2022年1月1日（以合同签订时间为准）以来同类厨房设备采购安装项目业绩案例的，提供一个案例得2分，本项满分6分。佐证材料：标书中须提供①中标通知书复印件②合同复印件③验收报告复印件④对应不少于合同价的70%发票的复印件，缺一不得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供货安装调试方案（9分）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针对投标人提供的供货组织方案、人力资源安排、产品安装、调试方案、验收方案和质量问题解决方案、针对本项目的重点难点分析及应对措施、相应的技术保证措施完备，能够最大化保障采购人使用及采购目标的实现的，得9分；基本合理、可行，能够胜任采购需求的，得6分；有涉及但不全面的得3分。未提供不得分。</w:t>
            </w:r>
            <w:r/>
          </w:p>
        </w:tc>
      </w:tr>
      <w:tr>
        <w:trPr>
          <w:trHeight w:val="163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spacing w:line="360" w:lineRule="auto"/>
              <w:widowControl/>
              <w:rPr>
                <w:rFonts w:hint="eastAsia" w:ascii="宋体" w:hAnsi="宋体" w:cs="宋体"/>
                <w:sz w:val="24"/>
                <w:szCs w:val="24"/>
              </w:rPr>
            </w:pPr>
            <w:r>
              <w:rPr>
                <w:rStyle w:val="947"/>
                <w:rFonts w:hint="default"/>
                <w:color w:val="auto"/>
                <w:lang w:bidi="ar"/>
              </w:rPr>
              <w:t xml:space="preserve">作业人员及售后服务</w:t>
            </w:r>
            <w:r>
              <w:rPr>
                <w:rStyle w:val="945"/>
                <w:rFonts w:hint="default"/>
                <w:color w:val="auto"/>
                <w:lang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Style w:val="946"/>
                <w:rFonts w:hint="default"/>
                <w:color w:val="auto"/>
                <w:lang w:bidi="ar"/>
              </w:rPr>
              <w:t xml:space="preserve">1、 针对投标人提供的售后服务方案进行评审：包括质保期承诺，服务响应时间、故障排除时限承诺，售中、售后服务措施，维修、保养方案，技术培训方案等内容进行综合评审：承诺全面完善、内容详细的得</w:t>
            </w:r>
            <w:r>
              <w:rPr>
                <w:rStyle w:val="945"/>
                <w:rFonts w:hint="default"/>
                <w:color w:val="auto"/>
                <w:lang w:bidi="ar"/>
              </w:rPr>
              <w:t xml:space="preserve">6分</w:t>
            </w:r>
            <w:r>
              <w:rPr>
                <w:rStyle w:val="946"/>
                <w:rFonts w:hint="default"/>
                <w:color w:val="auto"/>
                <w:lang w:bidi="ar"/>
              </w:rPr>
              <w:t xml:space="preserve">；承诺较完善的得3分；有涉及但不全面的得1分。未提供不得分。</w:t>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1、投标人配备的施工人员具有燃气户内检修资质证书的得1分（提供证书扫描件）。</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2、投标人配备的施工人员具有电工证的得1分。（提供证书扫描件）。</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3、投标人配备的施工人员具有焊接与热切割作业证的得1分。（提供证书扫描件）。</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4、上述1、2、3条对应人员如为投标人本单位在职员工可加1分（提供上述人员在本单位的社保证明）。</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质保维护（5分）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本项目设备免费维保期至少两年。在此基础上，每延长一年得1分，最高得5分。</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报价 （30分）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综合评分法中的价格分统一采用低价优先法计算，即满足文件要求且最后报价最低的供应商的价格为基准价，其价格分为满分（30分）。其他供应商的价格分统一按照下列公式计算:</w:t>
            </w:r>
            <w:r>
              <w:rPr>
                <w:rFonts w:hint="eastAsia" w:ascii="宋体" w:hAnsi="宋体" w:cs="宋体"/>
                <w:sz w:val="24"/>
                <w:szCs w:val="24"/>
                <w:lang w:bidi="ar"/>
              </w:rPr>
              <w:br/>
            </w:r>
            <w:r>
              <w:rPr>
                <w:rFonts w:hint="eastAsia" w:ascii="宋体" w:hAnsi="宋体" w:cs="宋体"/>
                <w:sz w:val="24"/>
                <w:szCs w:val="24"/>
                <w:lang w:bidi="ar"/>
              </w:rPr>
              <w:t xml:space="preserve">投标报价得分=(基准价/最后报价)x价格权值（30%）x100</w:t>
            </w:r>
            <w:r>
              <w:rPr>
                <w:rFonts w:hint="eastAsia" w:ascii="宋体" w:hAnsi="宋体" w:cs="宋体"/>
                <w:sz w:val="24"/>
                <w:szCs w:val="24"/>
                <w:lang w:bidi="ar"/>
              </w:rPr>
              <w:br/>
            </w:r>
            <w:r>
              <w:rPr>
                <w:rFonts w:hint="eastAsia" w:ascii="宋体" w:hAnsi="宋体" w:cs="宋体"/>
                <w:sz w:val="24"/>
                <w:szCs w:val="24"/>
                <w:lang w:bidi="ar"/>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widowControl/>
              <w:rPr>
                <w:rFonts w:hint="eastAsia" w:ascii="宋体" w:hAnsi="宋体" w:cs="宋体"/>
                <w:sz w:val="24"/>
                <w:szCs w:val="24"/>
              </w:rPr>
            </w:pPr>
            <w:r>
              <w:rPr>
                <w:rFonts w:hint="eastAsia"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spacing w:line="360" w:lineRule="auto"/>
              <w:widowControl/>
              <w:rPr>
                <w:rFonts w:hint="eastAsia" w:ascii="宋体" w:hAnsi="宋体" w:cs="宋体"/>
                <w:sz w:val="24"/>
                <w:szCs w:val="24"/>
              </w:rPr>
            </w:pPr>
            <w:r>
              <w:rPr>
                <w:rFonts w:hint="eastAsia" w:ascii="宋体" w:hAnsi="宋体" w:cs="宋体"/>
                <w:sz w:val="24"/>
                <w:szCs w:val="24"/>
              </w:rPr>
            </w:r>
            <w:r/>
          </w:p>
        </w:tc>
      </w:tr>
      <w:tr>
        <w:trPr>
          <w:trHeight w:val="1200"/>
        </w:trPr>
        <w:tc>
          <w:tcPr>
            <w:gridSpan w:val="4"/>
            <w:shd w:val="clear" w:color="auto" w:fill="auto"/>
            <w:tcBorders>
              <w:top w:val="none" w:color="000000" w:sz="4" w:space="0"/>
              <w:left w:val="none" w:color="000000" w:sz="4" w:space="0"/>
              <w:bottom w:val="none" w:color="000000" w:sz="4" w:space="0"/>
              <w:right w:val="none" w:color="000000" w:sz="4" w:space="0"/>
            </w:tcBorders>
            <w:tcW w:w="9073" w:type="dxa"/>
            <w:vAlign w:val="center"/>
            <w:textDirection w:val="lrTb"/>
            <w:noWrap/>
          </w:tcPr>
          <w:p>
            <w:pPr>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所投产品必须具有产品责任保险，保险单内容与本次投标设备相关，直接列入标书。</w:t>
            </w:r>
            <w:r/>
          </w:p>
        </w:tc>
      </w:tr>
    </w:tbl>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spacing w:line="500" w:lineRule="exact"/>
        <w:rPr>
          <w:rFonts w:hint="eastAsia" w:ascii="宋体" w:hAnsi="宋体" w:cs="宋体"/>
          <w:szCs w:val="21"/>
        </w:rPr>
      </w:pPr>
      <w:r>
        <w:rPr>
          <w:rFonts w:hint="eastAsia" w:ascii="宋体" w:hAnsi="宋体" w:cs="宋体"/>
          <w:szCs w:val="21"/>
        </w:rPr>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47"/>
        <w:rPr>
          <w:rFonts w:hint="eastAsia" w:ascii="宋体" w:hAnsi="宋体" w:eastAsia="宋体" w:cs="宋体"/>
        </w:rPr>
      </w:pPr>
      <w:r>
        <w:rPr>
          <w:rFonts w:hint="eastAsia" w:ascii="宋体" w:hAnsi="宋体" w:eastAsia="宋体" w:cs="宋体"/>
        </w:rPr>
      </w:r>
      <w:r/>
    </w:p>
    <w:p>
      <w:pPr>
        <w:pStyle w:val="748"/>
        <w:ind w:firstLine="280"/>
        <w:rPr>
          <w:rFonts w:hint="eastAsia" w:ascii="宋体" w:hAnsi="宋体" w:cs="宋体"/>
        </w:rPr>
      </w:pPr>
      <w:r>
        <w:rPr>
          <w:rFonts w:hint="eastAsia" w:ascii="宋体" w:hAnsi="宋体" w:cs="宋体"/>
        </w:rPr>
      </w:r>
      <w:r/>
    </w:p>
    <w:p>
      <w:pPr>
        <w:pStyle w:val="748"/>
        <w:ind w:firstLine="28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bCs/>
          <w:sz w:val="44"/>
          <w:szCs w:val="28"/>
        </w:rPr>
      </w:pPr>
      <w:r>
        <w:rPr>
          <w:rFonts w:hint="eastAsia" w:ascii="宋体" w:hAnsi="宋体" w:cs="宋体"/>
          <w:bCs/>
          <w:sz w:val="44"/>
          <w:szCs w:val="28"/>
        </w:rPr>
        <w:br w:type="page" w:clear="all"/>
      </w:r>
      <w:r/>
    </w:p>
    <w:p>
      <w:pPr>
        <w:jc w:val="center"/>
        <w:keepNext/>
        <w:spacing w:line="500" w:lineRule="exact"/>
        <w:rPr>
          <w:rFonts w:hint="eastAsia" w:ascii="宋体" w:hAnsi="宋体" w:cs="宋体"/>
          <w:bCs/>
          <w:sz w:val="44"/>
          <w:szCs w:val="28"/>
        </w:rPr>
        <w:outlineLvl w:val="0"/>
      </w:pPr>
      <w:r>
        <w:rPr>
          <w:rFonts w:hint="eastAsia" w:ascii="宋体" w:hAnsi="宋体" w:cs="宋体"/>
          <w:bCs/>
          <w:sz w:val="44"/>
          <w:szCs w:val="28"/>
        </w:rPr>
        <w:t xml:space="preserve">第六章  投标</w:t>
      </w:r>
      <w:bookmarkEnd w:id="177"/>
      <w:r/>
      <w:bookmarkEnd w:id="178"/>
      <w:r/>
      <w:bookmarkEnd w:id="179"/>
      <w:r>
        <w:rPr>
          <w:rFonts w:hint="eastAsia" w:ascii="宋体" w:hAnsi="宋体" w:cs="宋体"/>
          <w:bCs/>
          <w:sz w:val="44"/>
          <w:szCs w:val="28"/>
        </w:rPr>
        <w:t xml:space="preserve">文件格式 </w:t>
      </w:r>
      <w:r/>
    </w:p>
    <w:p>
      <w:pPr>
        <w:jc w:val="center"/>
        <w:spacing w:line="500" w:lineRule="exact"/>
        <w:rPr>
          <w:rFonts w:hint="eastAsia" w:ascii="宋体" w:hAnsi="宋体" w:cs="宋体"/>
          <w:b/>
          <w:sz w:val="72"/>
          <w:szCs w:val="21"/>
        </w:rPr>
      </w:pPr>
      <w:r/>
      <w:bookmarkStart w:id="180" w:name="_Hlt26671244"/>
      <w:r/>
      <w:bookmarkEnd w:id="180"/>
      <w:r/>
      <w:bookmarkStart w:id="181" w:name="_Hlt26955039"/>
      <w:r/>
      <w:bookmarkEnd w:id="181"/>
      <w:r/>
      <w:bookmarkStart w:id="182" w:name="_Toc120614282"/>
      <w:r/>
      <w:bookmarkStart w:id="183" w:name="_Toc26554094"/>
      <w:r/>
      <w:bookmarkStart w:id="184" w:name="_Toc49090576"/>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72"/>
          <w:szCs w:val="21"/>
        </w:rPr>
      </w:pPr>
      <w:r>
        <w:rPr>
          <w:rFonts w:hint="eastAsia" w:ascii="宋体" w:hAnsi="宋体" w:cs="宋体"/>
          <w:b/>
          <w:sz w:val="72"/>
          <w:szCs w:val="21"/>
        </w:rPr>
        <w:t xml:space="preserve">投  标  文  件</w:t>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72"/>
          <w:szCs w:val="21"/>
        </w:rPr>
      </w:pPr>
      <w:r>
        <w:rPr>
          <w:rFonts w:hint="eastAsia" w:ascii="宋体" w:hAnsi="宋体" w:cs="宋体"/>
          <w:b/>
          <w:sz w:val="72"/>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jc w:val="center"/>
        <w:spacing w:line="500" w:lineRule="exact"/>
        <w:rPr>
          <w:rFonts w:hint="eastAsia" w:ascii="宋体" w:hAnsi="宋体" w:cs="宋体"/>
          <w:b/>
          <w:sz w:val="36"/>
          <w:szCs w:val="21"/>
        </w:rPr>
      </w:pPr>
      <w:r>
        <w:rPr>
          <w:rFonts w:hint="eastAsia" w:ascii="宋体" w:hAnsi="宋体" w:cs="宋体"/>
          <w:b/>
          <w:sz w:val="36"/>
          <w:szCs w:val="21"/>
        </w:rPr>
      </w:r>
      <w:r/>
    </w:p>
    <w:p>
      <w:pPr>
        <w:ind w:firstLine="1084"/>
        <w:spacing w:line="500" w:lineRule="exact"/>
        <w:rPr>
          <w:rFonts w:hint="eastAsia" w:ascii="宋体" w:hAnsi="宋体" w:cs="宋体"/>
          <w:b/>
          <w:sz w:val="36"/>
          <w:szCs w:val="21"/>
        </w:rPr>
      </w:pPr>
      <w:r>
        <w:rPr>
          <w:rFonts w:hint="eastAsia" w:ascii="宋体" w:hAnsi="宋体" w:cs="宋体"/>
          <w:b/>
          <w:sz w:val="36"/>
          <w:szCs w:val="21"/>
        </w:rPr>
        <w:t xml:space="preserve">项 目 名 称：</w:t>
      </w:r>
      <w:r/>
    </w:p>
    <w:p>
      <w:pPr>
        <w:ind w:firstLine="1084"/>
        <w:spacing w:line="500" w:lineRule="exact"/>
        <w:rPr>
          <w:rFonts w:hint="eastAsia" w:ascii="宋体" w:hAnsi="宋体" w:cs="宋体"/>
          <w:b/>
          <w:sz w:val="36"/>
          <w:szCs w:val="21"/>
          <w:u w:val="single"/>
        </w:rPr>
      </w:pPr>
      <w:r>
        <w:rPr>
          <w:rFonts w:hint="eastAsia" w:ascii="宋体" w:hAnsi="宋体" w:cs="宋体"/>
          <w:b/>
          <w:sz w:val="36"/>
          <w:szCs w:val="21"/>
        </w:rPr>
        <w:t xml:space="preserve">项 目 编 号：</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spacing w:line="500" w:lineRule="exact"/>
        <w:rPr>
          <w:rFonts w:hint="eastAsia" w:ascii="宋体" w:hAnsi="宋体" w:cs="宋体"/>
          <w:b/>
          <w:sz w:val="36"/>
          <w:szCs w:val="21"/>
          <w:u w:val="single"/>
        </w:rPr>
      </w:pPr>
      <w:r>
        <w:rPr>
          <w:rFonts w:hint="eastAsia" w:ascii="宋体" w:hAnsi="宋体" w:cs="宋体"/>
          <w:b/>
          <w:sz w:val="36"/>
          <w:szCs w:val="21"/>
        </w:rPr>
        <w:t xml:space="preserve">      日      期 ：</w:t>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t xml:space="preserve">响应文件组成</w:t>
      </w:r>
      <w:r/>
    </w:p>
    <w:p>
      <w:pPr>
        <w:ind w:firstLine="480"/>
        <w:spacing w:line="500" w:lineRule="exact"/>
        <w:rPr>
          <w:rFonts w:hint="eastAsia" w:ascii="宋体" w:hAnsi="宋体" w:cs="宋体"/>
          <w:b/>
          <w:bCs/>
          <w:sz w:val="32"/>
          <w:szCs w:val="32"/>
        </w:rPr>
      </w:pPr>
      <w:r>
        <w:rPr>
          <w:rFonts w:hint="eastAsia" w:ascii="宋体" w:hAnsi="宋体" w:cs="宋体"/>
          <w:sz w:val="24"/>
          <w:szCs w:val="21"/>
        </w:rPr>
        <w:t xml:space="preserve">1.</w:t>
      </w:r>
      <w:r>
        <w:rPr>
          <w:rFonts w:hint="eastAsia" w:ascii="宋体" w:hAnsi="宋体" w:cs="宋体"/>
          <w:sz w:val="24"/>
          <w:szCs w:val="21"/>
          <w:lang w:val="zh-CN"/>
        </w:rPr>
        <w:t xml:space="preserve">开标一览表</w:t>
      </w:r>
      <w:r/>
    </w:p>
    <w:p>
      <w:pPr>
        <w:ind w:firstLine="643"/>
        <w:spacing w:line="500" w:lineRule="exact"/>
        <w:rPr>
          <w:rFonts w:hint="eastAsia" w:ascii="宋体" w:hAnsi="宋体" w:cs="宋体"/>
          <w:b/>
          <w:bCs/>
          <w:sz w:val="32"/>
          <w:szCs w:val="32"/>
        </w:rPr>
      </w:pPr>
      <w:r>
        <w:rPr>
          <w:rFonts w:hint="eastAsia" w:ascii="宋体" w:hAnsi="宋体" w:cs="宋体"/>
          <w:b/>
          <w:bCs/>
          <w:sz w:val="32"/>
          <w:szCs w:val="32"/>
        </w:rPr>
        <w:t xml:space="preserve">资格审查材料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2.投标人符合《政府采购法》第二十二条规定条件的声明函</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3.法人或者其他组织的营业执照等证明文件</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4.法人授权书</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5.2024年度的财务状况报告（投标人成立不满一年无需提供）或开户银行资信证明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7.具备履行合同所必需的设备和专业技术能力的书面声明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8.参加政府采购活动前 3 年内在经营活动中没有重大违法记录的书面声明</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9.小微企业声明函或残疾人福利性单位声明函</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符合性条件材料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10.投标函</w:t>
      </w:r>
      <w:r/>
    </w:p>
    <w:p>
      <w:pPr>
        <w:ind w:firstLine="480"/>
        <w:spacing w:line="500" w:lineRule="exact"/>
        <w:rPr>
          <w:rFonts w:hint="eastAsia" w:ascii="宋体" w:hAnsi="宋体" w:cs="宋体"/>
        </w:rPr>
      </w:pPr>
      <w:r>
        <w:rPr>
          <w:rFonts w:hint="eastAsia" w:ascii="宋体" w:hAnsi="宋体" w:cs="宋体"/>
          <w:sz w:val="24"/>
          <w:szCs w:val="21"/>
        </w:rPr>
        <w:t xml:space="preserve">11.投标分项报价表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12.技术要求响应及偏离表</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13.商务要求响应及偏离表</w:t>
      </w:r>
      <w:r/>
    </w:p>
    <w:p>
      <w:pPr>
        <w:ind w:firstLine="643"/>
        <w:spacing w:line="500" w:lineRule="exact"/>
        <w:rPr>
          <w:rFonts w:hint="eastAsia" w:ascii="宋体" w:hAnsi="宋体" w:cs="宋体"/>
          <w:b/>
          <w:bCs/>
          <w:sz w:val="32"/>
          <w:szCs w:val="32"/>
          <w:lang w:val="zh-CN"/>
        </w:rPr>
      </w:pPr>
      <w:r>
        <w:rPr>
          <w:rFonts w:hint="eastAsia" w:ascii="宋体" w:hAnsi="宋体" w:cs="宋体"/>
          <w:b/>
          <w:bCs/>
          <w:sz w:val="32"/>
          <w:szCs w:val="32"/>
          <w:lang w:val="zh-CN"/>
        </w:rPr>
        <w:t xml:space="preserve">商务技术文件材料</w:t>
      </w:r>
      <w:r/>
    </w:p>
    <w:p>
      <w:pPr>
        <w:ind w:firstLine="480"/>
        <w:spacing w:line="500" w:lineRule="exact"/>
        <w:rPr>
          <w:rFonts w:hint="eastAsia" w:ascii="宋体" w:hAnsi="宋体" w:cs="宋体"/>
          <w:sz w:val="24"/>
          <w:szCs w:val="21"/>
        </w:rPr>
      </w:pPr>
      <w:r>
        <w:rPr>
          <w:rFonts w:hint="eastAsia" w:ascii="宋体" w:hAnsi="宋体" w:cs="宋体"/>
          <w:sz w:val="24"/>
          <w:szCs w:val="21"/>
        </w:rPr>
        <w:t xml:space="preserve">14.投标人根据招标文件打分项，提交的材料</w:t>
      </w:r>
      <w:r/>
    </w:p>
    <w:p>
      <w:pPr>
        <w:spacing w:line="500" w:lineRule="exact"/>
        <w:rPr>
          <w:rFonts w:hint="eastAsia" w:ascii="宋体" w:hAnsi="宋体" w:cs="宋体"/>
          <w:b/>
          <w:bCs/>
          <w:sz w:val="24"/>
          <w:szCs w:val="21"/>
        </w:rPr>
      </w:pPr>
      <w:r>
        <w:rPr>
          <w:rFonts w:hint="eastAsia" w:ascii="宋体" w:hAnsi="宋体" w:cs="宋体"/>
        </w:rPr>
        <w:br w:type="page" w:clear="all"/>
      </w:r>
      <w:bookmarkEnd w:id="171"/>
      <w:r/>
      <w:bookmarkEnd w:id="172"/>
      <w:r/>
      <w:bookmarkEnd w:id="182"/>
      <w:r/>
      <w:bookmarkEnd w:id="183"/>
      <w:r/>
      <w:bookmarkEnd w:id="184"/>
      <w:r>
        <w:rPr>
          <w:rFonts w:hint="eastAsia" w:ascii="宋体" w:hAnsi="宋体" w:cs="宋体"/>
          <w:b/>
          <w:bCs/>
          <w:sz w:val="24"/>
          <w:szCs w:val="21"/>
        </w:rPr>
        <w:t xml:space="preserve">格式附件如下：</w:t>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开标一览表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项目名称：</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招标编号：                                   标段：</w:t>
      </w:r>
      <w:r/>
    </w:p>
    <w:tbl>
      <w:tblPr>
        <w:tblStyle w:val="74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cantSplit/>
          <w:trHeight w:val="612"/>
        </w:trPr>
        <w:tc>
          <w:tcPr>
            <w:tcW w:w="8206" w:type="dxa"/>
            <w:vAlign w:val="center"/>
            <w:textDirection w:val="lrTb"/>
            <w:noWrap w:val="false"/>
          </w:tcPr>
          <w:p>
            <w:pPr>
              <w:pStyle w:val="922"/>
              <w:ind w:firstLine="0"/>
              <w:spacing w:before="0" w:after="0" w:line="500" w:lineRule="exact"/>
              <w:rPr>
                <w:rFonts w:hint="eastAsia" w:ascii="宋体" w:hAnsi="宋体" w:cs="宋体"/>
                <w:szCs w:val="21"/>
              </w:rPr>
            </w:pPr>
            <w:r>
              <w:rPr>
                <w:rFonts w:hint="eastAsia" w:ascii="宋体" w:hAnsi="宋体" w:cs="宋体"/>
              </w:rPr>
              <w:t xml:space="preserve">小写：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日期：  年月日</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jc w:val="center"/>
        <w:spacing w:line="500" w:lineRule="exact"/>
        <w:rPr>
          <w:rFonts w:hint="eastAsia" w:ascii="宋体" w:hAnsi="宋体" w:cs="宋体"/>
          <w:b/>
          <w:bCs/>
          <w:sz w:val="32"/>
          <w:szCs w:val="32"/>
        </w:rPr>
      </w:pPr>
      <w:r>
        <w:rPr>
          <w:rFonts w:hint="eastAsia" w:ascii="宋体" w:hAnsi="宋体" w:cs="宋体"/>
          <w:b/>
          <w:bCs/>
          <w:sz w:val="32"/>
          <w:szCs w:val="32"/>
        </w:rPr>
      </w:r>
      <w:r/>
    </w:p>
    <w:p>
      <w:pPr>
        <w:pStyle w:val="928"/>
        <w:spacing w:line="500" w:lineRule="exact"/>
        <w:rPr>
          <w:rFonts w:hint="eastAsia" w:ascii="宋体" w:hAnsi="宋体" w:eastAsia="宋体" w:cs="宋体"/>
        </w:rPr>
      </w:pPr>
      <w:r>
        <w:rPr>
          <w:rFonts w:hint="eastAsia" w:ascii="宋体" w:hAnsi="宋体" w:eastAsia="宋体" w:cs="宋体"/>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500" w:lineRule="exact"/>
        <w:rPr>
          <w:rFonts w:hint="eastAsia" w:ascii="宋体" w:hAnsi="宋体" w:cs="宋体"/>
          <w:b/>
          <w:bCs/>
          <w:sz w:val="44"/>
          <w:szCs w:val="44"/>
        </w:rPr>
      </w:pPr>
      <w:r>
        <w:rPr>
          <w:rFonts w:hint="eastAsia" w:ascii="宋体" w:hAnsi="宋体" w:cs="宋体"/>
          <w:b/>
          <w:bCs/>
          <w:sz w:val="44"/>
          <w:szCs w:val="44"/>
        </w:rPr>
      </w:r>
      <w:r/>
    </w:p>
    <w:p>
      <w:pPr>
        <w:ind w:firstLine="480"/>
        <w:spacing w:line="50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0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0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0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0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0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0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50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500" w:lineRule="exact"/>
        <w:rPr>
          <w:rFonts w:hint="eastAsia" w:ascii="宋体" w:hAnsi="宋体" w:cs="宋体"/>
          <w:bCs/>
          <w:sz w:val="24"/>
          <w:szCs w:val="21"/>
        </w:rPr>
      </w:pPr>
      <w:r>
        <w:rPr>
          <w:rFonts w:hint="eastAsia" w:ascii="宋体" w:hAnsi="宋体" w:cs="宋体"/>
          <w:bCs/>
          <w:sz w:val="24"/>
          <w:szCs w:val="21"/>
        </w:rPr>
      </w:r>
      <w:r/>
    </w:p>
    <w:p>
      <w:pPr>
        <w:jc w:val="right"/>
        <w:spacing w:line="50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年月日</w:t>
      </w:r>
      <w:r/>
    </w:p>
    <w:p>
      <w:pPr>
        <w:contextualSpacing/>
        <w:ind w:firstLine="540"/>
        <w:spacing w:line="500" w:lineRule="exact"/>
        <w:rPr>
          <w:rFonts w:hint="eastAsia" w:ascii="宋体" w:hAnsi="宋体" w:cs="宋体"/>
          <w:b/>
          <w:sz w:val="28"/>
          <w:szCs w:val="28"/>
        </w:rPr>
      </w:pPr>
      <w:r>
        <w:rPr>
          <w:rFonts w:hint="eastAsia" w:ascii="宋体" w:hAnsi="宋体" w:cs="宋体"/>
          <w:b/>
          <w:sz w:val="28"/>
          <w:szCs w:val="28"/>
        </w:rPr>
      </w:r>
      <w:r/>
    </w:p>
    <w:p>
      <w:pPr>
        <w:pStyle w:val="928"/>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法人或者其他组织的营业执照等证明文件</w:t>
      </w:r>
      <w:r/>
    </w:p>
    <w:p>
      <w:pPr>
        <w:pStyle w:val="928"/>
        <w:jc w:val="center"/>
        <w:spacing w:line="500" w:lineRule="exact"/>
        <w:rPr>
          <w:rFonts w:hint="eastAsia" w:ascii="宋体" w:hAnsi="宋体" w:eastAsia="宋体" w:cs="宋体"/>
        </w:rPr>
      </w:pPr>
      <w:r>
        <w:rPr>
          <w:rFonts w:hint="eastAsia" w:ascii="宋体" w:hAnsi="宋体" w:eastAsia="宋体" w:cs="宋体"/>
          <w:b/>
          <w:sz w:val="30"/>
          <w:szCs w:val="30"/>
        </w:rPr>
        <w:t xml:space="preserve">（扫描件）</w:t>
      </w:r>
      <w:r/>
    </w:p>
    <w:p>
      <w:pPr>
        <w:pStyle w:val="928"/>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法人授权书</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500" w:lineRule="exact"/>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500" w:lineRule="exact"/>
        <w:tabs>
          <w:tab w:val="left" w:pos="360" w:leader="none"/>
        </w:tabs>
        <w:rPr>
          <w:rFonts w:hint="eastAsia" w:ascii="宋体" w:hAnsi="宋体" w:cs="宋体"/>
          <w:sz w:val="24"/>
          <w:szCs w:val="24"/>
        </w:rPr>
      </w:pPr>
      <w:r>
        <w:rPr>
          <w:rFonts w:hint="eastAsia" w:ascii="宋体" w:hAnsi="宋体" w:cs="宋体"/>
          <w:sz w:val="24"/>
          <w:szCs w:val="24"/>
        </w:rPr>
        <w:t xml:space="preserve">      日期：</w:t>
      </w:r>
      <w:r/>
    </w:p>
    <w:p>
      <w:pPr>
        <w:ind w:firstLine="420"/>
        <w:spacing w:line="500" w:lineRule="exact"/>
        <w:rPr>
          <w:rFonts w:hint="eastAsia" w:ascii="宋体" w:hAnsi="宋体" w:cs="宋体"/>
          <w:i/>
          <w:sz w:val="24"/>
          <w:szCs w:val="24"/>
          <w:u w:val="single"/>
        </w:rPr>
      </w:pPr>
      <w:r>
        <w:rPr>
          <w:rFonts w:hint="eastAsia" w:ascii="宋体" w:hAnsi="宋体" w:cs="宋体"/>
          <w:i/>
          <w:sz w:val="24"/>
          <w:szCs w:val="24"/>
          <w:u w:val="single"/>
        </w:rPr>
      </w:r>
      <w:r/>
    </w:p>
    <w:p>
      <w:pPr>
        <w:spacing w:line="500" w:lineRule="exact"/>
        <w:rPr>
          <w:rFonts w:hint="eastAsia" w:ascii="宋体" w:hAnsi="宋体" w:cs="宋体"/>
          <w:szCs w:val="21"/>
        </w:rPr>
      </w:pPr>
      <w:r>
        <w:rPr>
          <w:rFonts w:hint="eastAsia" w:ascii="宋体" w:hAnsi="宋体" w:cs="宋体"/>
          <w:szCs w:val="21"/>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依法缴纳税收和社会保障资金的相关材料</w:t>
      </w:r>
      <w:r/>
    </w:p>
    <w:p>
      <w:pPr>
        <w:ind w:firstLine="480"/>
        <w:spacing w:line="500" w:lineRule="exact"/>
        <w:rPr>
          <w:rFonts w:hint="eastAsia" w:ascii="宋体" w:hAnsi="宋体" w:cs="宋体"/>
          <w:bCs/>
          <w:sz w:val="24"/>
        </w:rPr>
      </w:pPr>
      <w:r/>
      <w:bookmarkStart w:id="185" w:name="_Toc120614284"/>
      <w:r>
        <w:rPr>
          <w:rFonts w:hint="eastAsia" w:ascii="宋体" w:hAnsi="宋体" w:cs="宋体"/>
          <w:bCs/>
          <w:sz w:val="24"/>
        </w:rPr>
        <w:t xml:space="preserve">提供提交投标文件截止时间前一年内至少一个月依法缴纳税收及缴纳社会保障资金的证明材料。投标人依法享受缓缴、免缴税收、社会保障资金的提供证明材料。</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500" w:lineRule="exact"/>
        <w:rPr>
          <w:rFonts w:hint="eastAsia" w:ascii="宋体" w:hAnsi="宋体" w:cs="宋体"/>
          <w:b/>
          <w:sz w:val="30"/>
          <w:szCs w:val="30"/>
        </w:rPr>
      </w:pPr>
      <w:r>
        <w:rPr>
          <w:rFonts w:hint="eastAsia" w:ascii="宋体" w:hAnsi="宋体" w:cs="宋体"/>
          <w:b/>
          <w:sz w:val="30"/>
          <w:szCs w:val="30"/>
        </w:rPr>
        <w:t xml:space="preserve">具备履行合同所必需的设备和专业技术能力的书面声明</w:t>
      </w:r>
      <w:r/>
    </w:p>
    <w:p>
      <w:pPr>
        <w:ind w:firstLine="492"/>
        <w:spacing w:line="50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50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firstLine="492"/>
        <w:spacing w:line="50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spacing w:line="500" w:lineRule="exact"/>
        <w:rPr>
          <w:rFonts w:hint="eastAsia" w:ascii="宋体" w:hAnsi="宋体" w:cs="宋体"/>
          <w:bCs/>
          <w:sz w:val="24"/>
        </w:rPr>
      </w:pPr>
      <w:r>
        <w:rPr>
          <w:rFonts w:hint="eastAsia" w:ascii="宋体" w:hAnsi="宋体" w:cs="宋体"/>
          <w:bCs/>
          <w:sz w:val="24"/>
        </w:rPr>
      </w:r>
      <w:r/>
    </w:p>
    <w:p>
      <w:pPr>
        <w:pStyle w:val="930"/>
        <w:ind w:firstLine="0"/>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b/>
          <w:sz w:val="28"/>
          <w:szCs w:val="28"/>
        </w:rPr>
      </w:pPr>
      <w:r>
        <w:rPr>
          <w:rFonts w:hint="eastAsia" w:ascii="宋体" w:hAnsi="宋体" w:cs="宋体"/>
          <w:b/>
          <w:sz w:val="28"/>
          <w:szCs w:val="28"/>
        </w:rPr>
        <w:t xml:space="preserve">参加政府采购活动前 3 年内在经营活动中没有重大违法记录的书面声明</w:t>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spacing w:line="500" w:lineRule="exact"/>
        <w:rPr>
          <w:rFonts w:hint="eastAsia" w:ascii="宋体" w:hAnsi="宋体" w:cs="宋体"/>
          <w:b/>
          <w:bCs/>
          <w:sz w:val="44"/>
          <w:szCs w:val="44"/>
        </w:rPr>
      </w:pPr>
      <w:r>
        <w:rPr>
          <w:rFonts w:hint="eastAsia" w:ascii="宋体" w:hAnsi="宋体" w:cs="宋体"/>
          <w:b/>
          <w:bCs/>
          <w:sz w:val="44"/>
          <w:szCs w:val="44"/>
        </w:rPr>
      </w:r>
      <w:r/>
    </w:p>
    <w:p>
      <w:pPr>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spacing w:line="500" w:lineRule="exact"/>
        <w:rPr>
          <w:rFonts w:hint="eastAsia" w:ascii="宋体" w:hAnsi="宋体" w:cs="宋体"/>
          <w:bCs/>
          <w:sz w:val="24"/>
        </w:rPr>
      </w:pPr>
      <w:r>
        <w:rPr>
          <w:rFonts w:hint="eastAsia" w:ascii="宋体" w:hAnsi="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28"/>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cs="宋体"/>
          <w:bCs/>
          <w:sz w:val="24"/>
        </w:rPr>
      </w:pPr>
      <w:r>
        <w:rPr>
          <w:rFonts w:hint="eastAsia" w:ascii="宋体" w:hAnsi="宋体" w:cs="宋体"/>
          <w:bCs/>
          <w:sz w:val="24"/>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投标函</w:t>
      </w:r>
      <w:r/>
    </w:p>
    <w:p>
      <w:pPr>
        <w:pStyle w:val="922"/>
        <w:ind w:firstLine="0"/>
        <w:spacing w:before="0" w:after="0" w:line="500" w:lineRule="exact"/>
        <w:rPr>
          <w:rFonts w:hint="eastAsia" w:ascii="宋体" w:hAnsi="宋体" w:cs="宋体"/>
          <w:szCs w:val="21"/>
        </w:rPr>
      </w:pPr>
      <w:r>
        <w:rPr>
          <w:rFonts w:hint="eastAsia" w:ascii="宋体" w:hAnsi="宋体" w:cs="宋体"/>
          <w:szCs w:val="21"/>
        </w:rPr>
        <w:t xml:space="preserve">致：南通市通州区公共资源交易中心</w:t>
      </w:r>
      <w:r/>
    </w:p>
    <w:p>
      <w:pPr>
        <w:pStyle w:val="922"/>
        <w:spacing w:before="0" w:after="0" w:line="50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（项目名称）</w:t>
      </w:r>
      <w:r>
        <w:rPr>
          <w:rFonts w:hint="eastAsia" w:ascii="宋体" w:hAnsi="宋体" w:cs="宋体"/>
          <w:szCs w:val="21"/>
        </w:rPr>
        <w:t xml:space="preserve">招标文件，正式授权下述签字人______(姓名)代表我方______________（投标人的名称），全权处理本次项目投标的有关事宜。</w:t>
      </w:r>
      <w:r/>
    </w:p>
    <w:p>
      <w:pPr>
        <w:pStyle w:val="922"/>
        <w:spacing w:before="0" w:after="0" w:line="50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922"/>
        <w:spacing w:before="0" w:after="0" w:line="500" w:lineRule="exact"/>
        <w:rPr>
          <w:rFonts w:hint="eastAsia" w:ascii="宋体" w:hAnsi="宋体" w:cs="宋体"/>
          <w:szCs w:val="21"/>
        </w:rPr>
      </w:pPr>
      <w:r>
        <w:rPr>
          <w:rFonts w:hint="eastAsia" w:ascii="宋体" w:hAnsi="宋体" w:cs="宋体"/>
          <w:szCs w:val="21"/>
        </w:rPr>
        <w:t xml:space="preserve">1.按招标文件规定的各项要求，向买方提供所需服务（包含与服务相关的货物）。</w:t>
      </w:r>
      <w:r/>
    </w:p>
    <w:p>
      <w:pPr>
        <w:pStyle w:val="922"/>
        <w:spacing w:before="0" w:after="0" w:line="50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922"/>
        <w:spacing w:before="0" w:after="0" w:line="50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922"/>
        <w:spacing w:before="0" w:after="0" w:line="50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922"/>
        <w:spacing w:before="0" w:after="0" w:line="500" w:lineRule="exact"/>
        <w:rPr>
          <w:rFonts w:hint="eastAsia" w:ascii="宋体" w:hAnsi="宋体" w:cs="宋体"/>
          <w:szCs w:val="21"/>
        </w:rPr>
      </w:pPr>
      <w:r>
        <w:rPr>
          <w:rFonts w:hint="eastAsia" w:ascii="宋体" w:hAnsi="宋体" w:cs="宋体"/>
          <w:szCs w:val="21"/>
        </w:rPr>
        <w:t xml:space="preserve">5.同意向贵方提供贵方可能另外要求的与投标有关的任何证据或资料，并保证我方已提供和将要提供的文件是真实的、准确的。</w:t>
      </w:r>
      <w:r/>
    </w:p>
    <w:p>
      <w:pPr>
        <w:pStyle w:val="922"/>
        <w:spacing w:before="0" w:after="0" w:line="500" w:lineRule="exact"/>
        <w:rPr>
          <w:rFonts w:hint="eastAsia"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p>
    <w:p>
      <w:pPr>
        <w:pStyle w:val="922"/>
        <w:spacing w:before="0" w:after="0" w:line="500" w:lineRule="exact"/>
        <w:rPr>
          <w:rFonts w:hint="eastAsia" w:ascii="宋体" w:hAnsi="宋体" w:cs="宋体"/>
          <w:szCs w:val="21"/>
        </w:rPr>
      </w:pPr>
      <w:r>
        <w:rPr>
          <w:rFonts w:hint="eastAsia" w:ascii="宋体" w:hAnsi="宋体" w:cs="宋体"/>
          <w:szCs w:val="21"/>
        </w:rPr>
        <w:t xml:space="preserve">7.与本投标有关的正式通讯地址为：</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地          址：</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邮          编：</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电          话：</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传          真：</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投标人开户行：</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账          号： </w:t>
      </w:r>
      <w:r/>
    </w:p>
    <w:p>
      <w:pPr>
        <w:pStyle w:val="922"/>
        <w:ind w:left="420"/>
        <w:spacing w:before="0" w:after="0" w:line="500" w:lineRule="exact"/>
        <w:rPr>
          <w:rFonts w:hint="eastAsia" w:ascii="宋体" w:hAnsi="宋体" w:cs="宋体"/>
          <w:szCs w:val="21"/>
        </w:rPr>
      </w:pPr>
      <w:r>
        <w:rPr>
          <w:rFonts w:hint="eastAsia" w:ascii="宋体" w:hAnsi="宋体" w:cs="宋体"/>
          <w:szCs w:val="21"/>
        </w:rPr>
        <w:t xml:space="preserve">日           期：________年____月____日</w:t>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ind w:firstLine="240"/>
        <w:jc w:val="center"/>
        <w:spacing w:line="500" w:lineRule="exact"/>
        <w:rPr>
          <w:rFonts w:hint="eastAsia" w:ascii="宋体" w:hAnsi="宋体" w:cs="宋体"/>
          <w:bCs/>
          <w:sz w:val="24"/>
        </w:rPr>
      </w:pPr>
      <w:r>
        <w:rPr>
          <w:rFonts w:hint="eastAsia" w:ascii="宋体" w:hAnsi="宋体" w:cs="宋体"/>
          <w:bCs/>
          <w:sz w:val="24"/>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中小企业声明函（货物）</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本公司（联合体）郑重声明，根据《政府采购促进中小企业发展管理办法》（财库﹝2020﹞46 号）的规定，本公司（联合体）参加</w:t>
      </w:r>
      <w:r>
        <w:rPr>
          <w:rFonts w:hint="eastAsia" w:ascii="宋体" w:hAnsi="宋体" w:cs="宋体"/>
          <w:bCs/>
          <w:sz w:val="24"/>
          <w:szCs w:val="24"/>
          <w:u w:val="single"/>
          <w:lang w:bidi="zh-CN"/>
        </w:rPr>
        <w:t xml:space="preserve">（单位名称）</w:t>
      </w:r>
      <w:r>
        <w:rPr>
          <w:rFonts w:hint="eastAsia" w:ascii="宋体" w:hAnsi="宋体" w:cs="宋体"/>
          <w:bCs/>
          <w:sz w:val="24"/>
          <w:szCs w:val="24"/>
          <w:lang w:bidi="zh-CN"/>
        </w:rPr>
        <w:t xml:space="preserve">的</w:t>
      </w:r>
      <w:r>
        <w:rPr>
          <w:rFonts w:hint="eastAsia" w:ascii="宋体" w:hAnsi="宋体" w:cs="宋体"/>
          <w:bCs/>
          <w:sz w:val="24"/>
          <w:szCs w:val="24"/>
          <w:u w:val="single"/>
          <w:lang w:bidi="zh-CN"/>
        </w:rPr>
        <w:t xml:space="preserve">（项目名称）</w:t>
      </w:r>
      <w:r>
        <w:rPr>
          <w:rFonts w:hint="eastAsia" w:ascii="宋体" w:hAnsi="宋体" w:cs="宋体"/>
          <w:bCs/>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1.</w:t>
      </w:r>
      <w:r>
        <w:rPr>
          <w:rFonts w:hint="eastAsia" w:ascii="宋体" w:hAnsi="宋体" w:cs="宋体"/>
          <w:bCs/>
          <w:sz w:val="24"/>
          <w:szCs w:val="24"/>
          <w:u w:val="single"/>
          <w:lang w:bidi="zh-CN"/>
        </w:rPr>
        <w:t xml:space="preserve"> （标的名称）</w:t>
      </w:r>
      <w:r>
        <w:rPr>
          <w:rFonts w:hint="eastAsia" w:ascii="宋体" w:hAnsi="宋体" w:cs="宋体"/>
          <w:bCs/>
          <w:sz w:val="24"/>
          <w:szCs w:val="24"/>
          <w:lang w:bidi="zh-CN"/>
        </w:rPr>
        <w:t xml:space="preserve"> ，属于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2.</w:t>
      </w:r>
      <w:r>
        <w:rPr>
          <w:rFonts w:hint="eastAsia" w:ascii="宋体" w:hAnsi="宋体" w:cs="宋体"/>
          <w:bCs/>
          <w:sz w:val="24"/>
          <w:szCs w:val="24"/>
          <w:u w:val="single"/>
          <w:lang w:bidi="zh-CN"/>
        </w:rPr>
        <w:t xml:space="preserve">（标的名称） </w:t>
      </w:r>
      <w:r>
        <w:rPr>
          <w:rFonts w:hint="eastAsia" w:ascii="宋体" w:hAnsi="宋体" w:cs="宋体"/>
          <w:bCs/>
          <w:sz w:val="24"/>
          <w:szCs w:val="24"/>
          <w:lang w:bidi="zh-CN"/>
        </w:rPr>
        <w:t xml:space="preserve">，属于</w:t>
      </w:r>
      <w:r>
        <w:rPr>
          <w:rFonts w:hint="eastAsia" w:ascii="宋体" w:hAnsi="宋体" w:cs="宋体"/>
          <w:bCs/>
          <w:sz w:val="24"/>
          <w:szCs w:val="24"/>
          <w:u w:val="single"/>
          <w:lang w:bidi="zh-CN"/>
        </w:rPr>
        <w:t xml:space="preserve">（采购文件中明确的所属行业）</w:t>
      </w:r>
      <w:r>
        <w:rPr>
          <w:rFonts w:hint="eastAsia" w:ascii="宋体" w:hAnsi="宋体" w:cs="宋体"/>
          <w:bCs/>
          <w:sz w:val="24"/>
          <w:szCs w:val="24"/>
          <w:lang w:bidi="zh-CN"/>
        </w:rPr>
        <w:t xml:space="preserve">行业；制造商为</w:t>
      </w:r>
      <w:r>
        <w:rPr>
          <w:rFonts w:hint="eastAsia" w:ascii="宋体" w:hAnsi="宋体" w:cs="宋体"/>
          <w:bCs/>
          <w:sz w:val="24"/>
          <w:szCs w:val="24"/>
          <w:u w:val="single"/>
          <w:lang w:bidi="zh-CN"/>
        </w:rPr>
        <w:t xml:space="preserve">（企业名称）</w:t>
      </w:r>
      <w:r>
        <w:rPr>
          <w:rFonts w:hint="eastAsia" w:ascii="宋体" w:hAnsi="宋体" w:cs="宋体"/>
          <w:bCs/>
          <w:sz w:val="24"/>
          <w:szCs w:val="24"/>
          <w:lang w:bidi="zh-CN"/>
        </w:rPr>
        <w:t xml:space="preserve">，从业人员</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人，营业收入为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万元，资产总额为</w:t>
      </w:r>
      <w:r>
        <w:rPr>
          <w:rFonts w:hint="eastAsia" w:ascii="宋体" w:hAnsi="宋体" w:cs="宋体"/>
          <w:bCs/>
          <w:sz w:val="24"/>
          <w:szCs w:val="24"/>
          <w:u w:val="single"/>
          <w:lang w:bidi="zh-CN"/>
        </w:rPr>
        <w:tab/>
      </w:r>
      <w:r>
        <w:rPr>
          <w:rFonts w:hint="eastAsia" w:ascii="宋体" w:hAnsi="宋体" w:cs="宋体"/>
          <w:bCs/>
          <w:sz w:val="24"/>
          <w:szCs w:val="24"/>
          <w:lang w:bidi="zh-CN"/>
        </w:rPr>
        <w:t xml:space="preserve">万元，属于</w:t>
      </w:r>
      <w:r>
        <w:rPr>
          <w:rFonts w:hint="eastAsia" w:ascii="宋体" w:hAnsi="宋体" w:cs="宋体"/>
          <w:bCs/>
          <w:sz w:val="24"/>
          <w:szCs w:val="24"/>
          <w:u w:val="single"/>
          <w:lang w:bidi="zh-CN"/>
        </w:rPr>
        <w:t xml:space="preserve">（中型企业、小型企业、微型企业）</w:t>
      </w:r>
      <w:r>
        <w:rPr>
          <w:rFonts w:hint="eastAsia" w:ascii="宋体" w:hAnsi="宋体" w:cs="宋体"/>
          <w:bCs/>
          <w:sz w:val="24"/>
          <w:szCs w:val="24"/>
          <w:lang w:bidi="zh-CN"/>
        </w:rPr>
        <w:t xml:space="preserve">；</w:t>
      </w:r>
      <w:r/>
    </w:p>
    <w:p>
      <w:pPr>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本企业对上述声明内容的真实性负责。如有虚假，将依法承担相应责任。</w:t>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企业名称（盖章）：</w:t>
      </w:r>
      <w:r/>
    </w:p>
    <w:p>
      <w:pPr>
        <w:jc w:val="center"/>
        <w:spacing w:line="300" w:lineRule="auto"/>
        <w:rPr>
          <w:rFonts w:hint="eastAsia" w:ascii="宋体" w:hAnsi="宋体" w:cs="宋体"/>
          <w:bCs/>
          <w:sz w:val="24"/>
          <w:szCs w:val="24"/>
          <w:lang w:bidi="zh-CN"/>
        </w:rPr>
        <w:outlineLvl w:val="0"/>
      </w:pPr>
      <w:r>
        <w:rPr>
          <w:rFonts w:hint="eastAsia" w:ascii="宋体" w:hAnsi="宋体" w:cs="宋体"/>
          <w:bCs/>
          <w:sz w:val="24"/>
          <w:szCs w:val="24"/>
          <w:lang w:bidi="zh-CN"/>
        </w:rPr>
        <w:t xml:space="preserve">          日期：</w:t>
      </w:r>
      <w:r/>
    </w:p>
    <w:p>
      <w:pPr>
        <w:ind w:right="480" w:firstLine="5400"/>
        <w:spacing w:line="500" w:lineRule="exact"/>
        <w:rPr>
          <w:rFonts w:hint="eastAsia" w:ascii="宋体" w:hAnsi="宋体" w:cs="宋体"/>
          <w:sz w:val="24"/>
          <w:szCs w:val="24"/>
        </w:rPr>
      </w:pPr>
      <w:r>
        <w:rPr>
          <w:rFonts w:hint="eastAsia" w:ascii="宋体" w:hAnsi="宋体" w:cs="宋体"/>
          <w:sz w:val="24"/>
          <w:szCs w:val="24"/>
        </w:rPr>
      </w:r>
      <w:r/>
    </w:p>
    <w:p>
      <w:pPr>
        <w:ind w:firstLine="24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jc w:val="center"/>
        <w:spacing w:line="500" w:lineRule="exact"/>
        <w:rPr>
          <w:rFonts w:hint="eastAsia" w:ascii="宋体" w:hAnsi="宋体" w:cs="宋体"/>
          <w:b/>
          <w:sz w:val="30"/>
          <w:szCs w:val="30"/>
        </w:rPr>
      </w:pPr>
      <w:r>
        <w:rPr>
          <w:rFonts w:hint="eastAsia" w:ascii="宋体" w:hAnsi="宋体" w:cs="宋体"/>
          <w:b/>
          <w:sz w:val="32"/>
          <w:szCs w:val="32"/>
        </w:rPr>
        <w:br w:type="page" w:clear="all"/>
      </w:r>
      <w:r>
        <w:rPr>
          <w:rFonts w:hint="eastAsia" w:ascii="宋体" w:hAnsi="宋体" w:cs="宋体"/>
          <w:b/>
          <w:sz w:val="30"/>
          <w:szCs w:val="30"/>
        </w:rPr>
        <w:t xml:space="preserve">残疾人福利性单位声明函</w:t>
      </w:r>
      <w:r/>
    </w:p>
    <w:p>
      <w:pPr>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141号）的规定，本单位为符合条件的残疾人福利性单位，且本单位参加______单位的采购文件编号为______的项目（标段：**）采购活动由本单位提供服务。</w:t>
      </w:r>
      <w:r/>
    </w:p>
    <w:p>
      <w:pPr>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00" w:lineRule="exact"/>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p>
    <w:p>
      <w:pPr>
        <w:ind w:firstLine="624"/>
        <w:spacing w:line="500" w:lineRule="exact"/>
        <w:rPr>
          <w:rFonts w:hint="eastAsia" w:ascii="宋体" w:hAnsi="宋体" w:cs="宋体"/>
          <w:spacing w:val="6"/>
          <w:sz w:val="30"/>
          <w:szCs w:val="30"/>
        </w:rPr>
      </w:pPr>
      <w:r>
        <w:rPr>
          <w:rFonts w:hint="eastAsia" w:ascii="宋体" w:hAnsi="宋体" w:cs="宋体"/>
          <w:spacing w:val="6"/>
          <w:sz w:val="30"/>
          <w:szCs w:val="30"/>
        </w:rPr>
      </w:r>
      <w:r/>
    </w:p>
    <w:p>
      <w:pPr>
        <w:ind w:right="1560" w:firstLine="624"/>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供应商全称（加盖CA电子公章）：</w:t>
      </w:r>
      <w:r/>
    </w:p>
    <w:p>
      <w:pPr>
        <w:ind w:right="1560" w:firstLine="480"/>
        <w:jc w:val="center"/>
        <w:spacing w:line="500" w:lineRule="exact"/>
        <w:tabs>
          <w:tab w:val="left" w:pos="4860" w:leader="none"/>
        </w:tabs>
        <w:rPr>
          <w:rFonts w:hint="eastAsia" w:ascii="宋体" w:hAnsi="宋体" w:cs="宋体"/>
          <w:sz w:val="24"/>
        </w:rPr>
      </w:pPr>
      <w:r>
        <w:rPr>
          <w:rFonts w:hint="eastAsia" w:ascii="宋体" w:hAnsi="宋体" w:cs="宋体"/>
          <w:sz w:val="24"/>
        </w:rPr>
        <w:t xml:space="preserve">        日  期：</w:t>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bCs/>
          <w:sz w:val="24"/>
        </w:rPr>
      </w:pPr>
      <w:r>
        <w:rPr>
          <w:rFonts w:hint="eastAsia" w:ascii="宋体" w:hAnsi="宋体" w:cs="宋体"/>
          <w:bCs/>
          <w:sz w:val="24"/>
        </w:rPr>
      </w:r>
      <w:r/>
    </w:p>
    <w:p>
      <w:pPr>
        <w:spacing w:line="500" w:lineRule="exact"/>
        <w:rPr>
          <w:rFonts w:hint="eastAsia" w:ascii="宋体" w:hAnsi="宋体" w:cs="宋体"/>
        </w:rPr>
      </w:pPr>
      <w:r>
        <w:rPr>
          <w:rFonts w:hint="eastAsia" w:ascii="宋体" w:hAnsi="宋体" w:cs="宋体"/>
        </w:rPr>
        <w:br w:type="page" w:clear="all"/>
      </w:r>
      <w:r/>
    </w:p>
    <w:p>
      <w:pPr>
        <w:jc w:val="center"/>
        <w:spacing w:line="400" w:lineRule="exact"/>
        <w:rPr>
          <w:rFonts w:hint="eastAsia" w:ascii="宋体" w:hAnsi="宋体" w:cs="宋体"/>
          <w:bCs/>
          <w:sz w:val="32"/>
          <w:szCs w:val="32"/>
        </w:rPr>
      </w:pPr>
      <w:r>
        <w:rPr>
          <w:rFonts w:hint="eastAsia" w:ascii="宋体" w:hAnsi="宋体" w:cs="宋体"/>
          <w:bCs/>
          <w:sz w:val="32"/>
          <w:szCs w:val="32"/>
        </w:rPr>
        <w:t xml:space="preserve">分项报价明细表（货物类）</w:t>
      </w:r>
      <w:r/>
    </w:p>
    <w:p>
      <w:pPr>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7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ind w:firstLine="105"/>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r>
    </w:tbl>
    <w:p>
      <w:pPr>
        <w:ind w:left="984" w:hanging="980"/>
        <w:spacing w:line="400" w:lineRule="exact"/>
        <w:rPr>
          <w:rFonts w:hint="eastAsia" w:ascii="宋体" w:hAnsi="宋体" w:cs="宋体"/>
          <w:bCs/>
          <w:sz w:val="28"/>
          <w:szCs w:val="28"/>
        </w:rPr>
      </w:pPr>
      <w:r>
        <w:rPr>
          <w:rFonts w:hint="eastAsia" w:ascii="宋体" w:hAnsi="宋体" w:cs="宋体"/>
          <w:bCs/>
          <w:sz w:val="28"/>
          <w:szCs w:val="28"/>
        </w:rPr>
      </w:r>
      <w:r/>
    </w:p>
    <w:p>
      <w:pPr>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spacing w:line="500" w:lineRule="exact"/>
        <w:rPr>
          <w:rFonts w:hint="eastAsia" w:ascii="宋体" w:hAnsi="宋体" w:cs="宋体"/>
          <w:sz w:val="24"/>
          <w:szCs w:val="24"/>
        </w:rPr>
      </w:pPr>
      <w:r>
        <w:rPr>
          <w:rFonts w:hint="eastAsia" w:ascii="宋体" w:hAnsi="宋体" w:cs="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spacing w:line="500" w:lineRule="exact"/>
        <w:rPr>
          <w:rFonts w:hint="eastAsia" w:ascii="宋体" w:hAnsi="宋体" w:cs="宋体"/>
          <w:b/>
          <w:sz w:val="24"/>
          <w:szCs w:val="24"/>
        </w:rPr>
      </w:pPr>
      <w:r>
        <w:rPr>
          <w:rFonts w:hint="eastAsia" w:ascii="宋体" w:hAnsi="宋体" w:cs="宋体"/>
          <w:b/>
          <w:sz w:val="24"/>
          <w:szCs w:val="24"/>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2"/>
          <w:szCs w:val="32"/>
        </w:rPr>
      </w:pPr>
      <w:r>
        <w:rPr>
          <w:rFonts w:hint="eastAsia" w:ascii="宋体" w:hAnsi="宋体" w:cs="宋体"/>
          <w:b/>
          <w:sz w:val="32"/>
          <w:szCs w:val="32"/>
        </w:rPr>
      </w:r>
      <w:bookmarkEnd w:id="185"/>
      <w:r/>
      <w:r/>
    </w:p>
    <w:p>
      <w:pPr>
        <w:jc w:val="center"/>
        <w:spacing w:line="500" w:lineRule="exact"/>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43"/>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43"/>
        <w:tblW w:w="99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91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249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82"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81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550"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917"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249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182"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281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12" w:space="0"/>
            </w:tcBorders>
            <w:tcW w:w="1550"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cs="宋体"/>
          <w:sz w:val="24"/>
        </w:rPr>
      </w:pPr>
      <w:r>
        <w:rPr>
          <w:rFonts w:hint="eastAsia" w:ascii="宋体" w:hAnsi="宋体" w:cs="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cs="宋体"/>
          <w:sz w:val="24"/>
        </w:rPr>
      </w:pPr>
      <w:r>
        <w:rPr>
          <w:rFonts w:hint="eastAsia" w:ascii="宋体" w:hAnsi="宋体" w:cs="宋体"/>
          <w:sz w:val="24"/>
        </w:rPr>
        <w:t xml:space="preserve">3.投标人如果虚假响应，将被暂停参加南通市通州区公共资源交易中心组织政府采购活动。</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质疑函范本</w:t>
      </w:r>
      <w:r/>
    </w:p>
    <w:p>
      <w:pPr>
        <w:spacing w:before="290" w:line="500" w:lineRule="exact"/>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质疑供应商：</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sz w:val="24"/>
          <w:szCs w:val="24"/>
        </w:rPr>
      </w:pPr>
      <w:r>
        <w:rPr>
          <w:rFonts w:hint="eastAsia" w:ascii="宋体" w:hAnsi="宋体" w:cs="宋体"/>
          <w:sz w:val="24"/>
          <w:szCs w:val="24"/>
        </w:rPr>
        <w:t xml:space="preserve">联系人：联系电话：</w:t>
      </w:r>
      <w:r/>
    </w:p>
    <w:p>
      <w:pPr>
        <w:spacing w:line="500" w:lineRule="exact"/>
        <w:rPr>
          <w:rFonts w:hint="eastAsia" w:ascii="宋体" w:hAnsi="宋体" w:cs="宋体"/>
          <w:sz w:val="24"/>
          <w:szCs w:val="24"/>
          <w:u w:val="single"/>
        </w:rPr>
      </w:pPr>
      <w:r>
        <w:rPr>
          <w:rFonts w:hint="eastAsia" w:ascii="宋体" w:hAnsi="宋体" w:cs="宋体"/>
          <w:sz w:val="24"/>
          <w:szCs w:val="24"/>
        </w:rPr>
        <w:t xml:space="preserve">授权代表：</w:t>
      </w:r>
      <w:r/>
    </w:p>
    <w:p>
      <w:pPr>
        <w:spacing w:line="500" w:lineRule="exact"/>
        <w:rPr>
          <w:rFonts w:hint="eastAsia" w:ascii="宋体" w:hAnsi="宋体" w:cs="宋体"/>
          <w:sz w:val="24"/>
          <w:szCs w:val="24"/>
        </w:rPr>
      </w:pPr>
      <w:r>
        <w:rPr>
          <w:rFonts w:hint="eastAsia" w:ascii="宋体" w:hAnsi="宋体" w:cs="宋体"/>
          <w:sz w:val="24"/>
          <w:szCs w:val="24"/>
        </w:rPr>
        <w:t xml:space="preserve">联系电话：</w:t>
      </w:r>
      <w:r/>
    </w:p>
    <w:p>
      <w:pPr>
        <w:spacing w:line="500" w:lineRule="exact"/>
        <w:rPr>
          <w:rFonts w:hint="eastAsia" w:ascii="宋体" w:hAnsi="宋体" w:cs="宋体"/>
          <w:sz w:val="24"/>
          <w:szCs w:val="24"/>
        </w:rPr>
      </w:pPr>
      <w:r>
        <w:rPr>
          <w:rFonts w:hint="eastAsia" w:ascii="宋体" w:hAnsi="宋体" w:cs="宋体"/>
          <w:sz w:val="24"/>
          <w:szCs w:val="24"/>
        </w:rPr>
        <w:t xml:space="preserve">地址：邮编：</w:t>
      </w:r>
      <w:r/>
    </w:p>
    <w:p>
      <w:pPr>
        <w:spacing w:line="500" w:lineRule="exact"/>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500" w:lineRule="exact"/>
        <w:rPr>
          <w:rFonts w:hint="eastAsia" w:ascii="宋体" w:hAnsi="宋体" w:cs="宋体"/>
          <w:sz w:val="24"/>
          <w:szCs w:val="24"/>
        </w:rPr>
      </w:pPr>
      <w:r>
        <w:rPr>
          <w:rFonts w:hint="eastAsia" w:ascii="宋体" w:hAnsi="宋体" w:cs="宋体"/>
          <w:sz w:val="24"/>
          <w:szCs w:val="24"/>
        </w:rPr>
        <w:t xml:space="preserve">质疑项目的名称：</w:t>
      </w:r>
      <w:r/>
    </w:p>
    <w:p>
      <w:pPr>
        <w:spacing w:line="500" w:lineRule="exact"/>
        <w:rPr>
          <w:rFonts w:hint="eastAsia" w:ascii="宋体" w:hAnsi="宋体" w:cs="宋体"/>
          <w:sz w:val="24"/>
          <w:szCs w:val="24"/>
        </w:rPr>
      </w:pPr>
      <w:r>
        <w:rPr>
          <w:rFonts w:hint="eastAsia" w:ascii="宋体" w:hAnsi="宋体" w:cs="宋体"/>
          <w:sz w:val="24"/>
          <w:szCs w:val="24"/>
        </w:rPr>
        <w:t xml:space="preserve">质疑项目的编号：包号：</w:t>
      </w:r>
      <w:r/>
    </w:p>
    <w:p>
      <w:pPr>
        <w:spacing w:line="500" w:lineRule="exact"/>
        <w:rPr>
          <w:rFonts w:hint="eastAsia" w:ascii="宋体" w:hAnsi="宋体" w:cs="宋体"/>
          <w:sz w:val="24"/>
          <w:szCs w:val="24"/>
          <w:u w:val="single"/>
        </w:rPr>
      </w:pPr>
      <w:r>
        <w:rPr>
          <w:rFonts w:hint="eastAsia" w:ascii="宋体" w:hAnsi="宋体" w:cs="宋体"/>
          <w:sz w:val="24"/>
          <w:szCs w:val="24"/>
        </w:rPr>
        <w:t xml:space="preserve">采购人名称：</w:t>
      </w:r>
      <w:r/>
    </w:p>
    <w:p>
      <w:pPr>
        <w:spacing w:line="500" w:lineRule="exact"/>
        <w:rPr>
          <w:rFonts w:hint="eastAsia" w:ascii="宋体" w:hAnsi="宋体" w:cs="宋体"/>
          <w:sz w:val="24"/>
          <w:szCs w:val="24"/>
        </w:rPr>
      </w:pPr>
      <w:r>
        <w:rPr>
          <w:rFonts w:hint="eastAsia" w:ascii="宋体" w:hAnsi="宋体" w:cs="宋体"/>
          <w:sz w:val="24"/>
          <w:szCs w:val="24"/>
        </w:rPr>
        <w:t xml:space="preserve">采购文件获取日期：</w:t>
      </w:r>
      <w:r/>
    </w:p>
    <w:p>
      <w:pPr>
        <w:spacing w:line="500" w:lineRule="exact"/>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质疑事项1：</w:t>
      </w:r>
      <w:r/>
    </w:p>
    <w:p>
      <w:pPr>
        <w:spacing w:line="500" w:lineRule="exact"/>
        <w:rPr>
          <w:rFonts w:hint="eastAsia" w:ascii="宋体" w:hAnsi="宋体" w:cs="宋体"/>
          <w:sz w:val="24"/>
          <w:szCs w:val="24"/>
          <w:u w:val="single"/>
        </w:rPr>
      </w:pPr>
      <w:r>
        <w:rPr>
          <w:rFonts w:hint="eastAsia" w:ascii="宋体" w:hAnsi="宋体" w:cs="宋体"/>
          <w:sz w:val="24"/>
          <w:szCs w:val="24"/>
        </w:rPr>
        <w:t xml:space="preserve">事实依据：</w:t>
      </w:r>
      <w:r/>
    </w:p>
    <w:p>
      <w:pPr>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法律依据：</w:t>
      </w:r>
      <w:r/>
    </w:p>
    <w:p>
      <w:pPr>
        <w:spacing w:line="500" w:lineRule="exact"/>
        <w:rPr>
          <w:rFonts w:hint="eastAsia" w:ascii="宋体" w:hAnsi="宋体" w:cs="宋体"/>
          <w:sz w:val="24"/>
          <w:szCs w:val="24"/>
          <w:u w:val="single"/>
        </w:rPr>
      </w:pPr>
      <w:r>
        <w:rPr>
          <w:rFonts w:hint="eastAsia" w:ascii="宋体" w:hAnsi="宋体" w:cs="宋体"/>
          <w:sz w:val="24"/>
          <w:szCs w:val="24"/>
          <w:u w:val="single"/>
        </w:rPr>
      </w:r>
      <w:r/>
    </w:p>
    <w:p>
      <w:pPr>
        <w:spacing w:line="500" w:lineRule="exact"/>
        <w:rPr>
          <w:rFonts w:hint="eastAsia" w:ascii="宋体" w:hAnsi="宋体" w:cs="宋体"/>
          <w:sz w:val="24"/>
          <w:szCs w:val="24"/>
          <w:u w:val="single"/>
        </w:rPr>
      </w:pPr>
      <w:r>
        <w:rPr>
          <w:rFonts w:hint="eastAsia" w:ascii="宋体" w:hAnsi="宋体" w:cs="宋体"/>
          <w:sz w:val="24"/>
          <w:szCs w:val="24"/>
        </w:rPr>
        <w:t xml:space="preserve">质疑事项2</w:t>
      </w:r>
      <w:r/>
    </w:p>
    <w:p>
      <w:pPr>
        <w:spacing w:line="500" w:lineRule="exact"/>
        <w:rPr>
          <w:rFonts w:hint="eastAsia" w:ascii="宋体" w:hAnsi="宋体" w:cs="宋体"/>
          <w:sz w:val="24"/>
          <w:szCs w:val="24"/>
        </w:rPr>
      </w:pPr>
      <w:r>
        <w:rPr>
          <w:rFonts w:hint="eastAsia" w:ascii="宋体" w:hAnsi="宋体" w:cs="宋体"/>
          <w:sz w:val="24"/>
          <w:szCs w:val="24"/>
        </w:rPr>
        <w:t xml:space="preserve">……</w:t>
      </w:r>
      <w:r/>
    </w:p>
    <w:p>
      <w:pPr>
        <w:spacing w:line="500" w:lineRule="exact"/>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500" w:lineRule="exact"/>
        <w:rPr>
          <w:rFonts w:hint="eastAsia" w:ascii="宋体" w:hAnsi="宋体" w:cs="宋体"/>
          <w:sz w:val="24"/>
          <w:szCs w:val="24"/>
          <w:u w:val="single"/>
        </w:rPr>
      </w:pPr>
      <w:r>
        <w:rPr>
          <w:rFonts w:hint="eastAsia" w:ascii="宋体" w:hAnsi="宋体" w:cs="宋体"/>
          <w:sz w:val="24"/>
          <w:szCs w:val="24"/>
        </w:rPr>
        <w:t xml:space="preserve">请求：</w:t>
      </w:r>
      <w:r/>
    </w:p>
    <w:p>
      <w:pPr>
        <w:spacing w:line="500" w:lineRule="exact"/>
        <w:rPr>
          <w:rFonts w:hint="eastAsia" w:ascii="宋体" w:hAnsi="宋体" w:cs="宋体"/>
          <w:sz w:val="24"/>
          <w:szCs w:val="24"/>
        </w:rPr>
      </w:pPr>
      <w:r>
        <w:rPr>
          <w:rFonts w:hint="eastAsia" w:ascii="宋体" w:hAnsi="宋体" w:cs="宋体"/>
          <w:sz w:val="24"/>
          <w:szCs w:val="24"/>
        </w:rPr>
        <w:t xml:space="preserve">签字(签章)：                   公章：                      </w:t>
      </w:r>
      <w:r/>
    </w:p>
    <w:p>
      <w:pPr>
        <w:spacing w:line="500" w:lineRule="exact"/>
        <w:rPr>
          <w:rFonts w:hint="eastAsia" w:ascii="宋体" w:hAnsi="宋体" w:cs="宋体"/>
          <w:sz w:val="24"/>
          <w:szCs w:val="24"/>
        </w:rPr>
      </w:pPr>
      <w:r>
        <w:rPr>
          <w:rFonts w:hint="eastAsia" w:ascii="宋体" w:hAnsi="宋体" w:cs="宋体"/>
          <w:sz w:val="24"/>
          <w:szCs w:val="24"/>
        </w:rPr>
        <w:t xml:space="preserve">日期：    </w:t>
      </w:r>
      <w:r/>
    </w:p>
    <w:p>
      <w:pPr>
        <w:spacing w:line="5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0"/>
        <w:spacing w:line="500" w:lineRule="exact"/>
        <w:rPr>
          <w:rFonts w:hint="eastAsia" w:ascii="宋体" w:hAnsi="宋体" w:cs="宋体"/>
          <w:sz w:val="24"/>
          <w:szCs w:val="24"/>
        </w:rPr>
      </w:pPr>
      <w:r>
        <w:rPr>
          <w:rFonts w:hint="eastAsia" w:ascii="宋体" w:hAnsi="宋体" w:cs="宋体"/>
          <w:sz w:val="24"/>
          <w:szCs w:val="24"/>
        </w:rPr>
      </w:r>
      <w:r/>
    </w:p>
    <w:p>
      <w:pPr>
        <w:pStyle w:val="930"/>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libri">
    <w:panose1 w:val="020F0502020204030204"/>
  </w:font>
  <w:font w:name="Wingdings">
    <w:panose1 w:val="05000000000000000000"/>
  </w:font>
  <w:font w:name="华文楷体">
    <w:panose1 w:val="0201060004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6"/>
  </w:num>
  <w:num w:numId="4">
    <w:abstractNumId w:val="4"/>
  </w:num>
  <w:num w:numId="5">
    <w:abstractNumId w:val="3"/>
  </w:num>
  <w:num w:numId="6">
    <w:abstractNumId w:val="0"/>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42"/>
    <w:link w:val="733"/>
    <w:uiPriority w:val="9"/>
    <w:rPr>
      <w:rFonts w:ascii="Arial" w:hAnsi="Arial" w:eastAsia="Arial" w:cs="Arial"/>
      <w:sz w:val="40"/>
      <w:szCs w:val="40"/>
    </w:rPr>
  </w:style>
  <w:style w:type="character" w:styleId="697">
    <w:name w:val="Heading 2 Char"/>
    <w:basedOn w:val="742"/>
    <w:link w:val="734"/>
    <w:uiPriority w:val="9"/>
    <w:rPr>
      <w:rFonts w:ascii="Arial" w:hAnsi="Arial" w:eastAsia="Arial" w:cs="Arial"/>
      <w:sz w:val="34"/>
    </w:rPr>
  </w:style>
  <w:style w:type="character" w:styleId="698">
    <w:name w:val="Heading 3 Char"/>
    <w:basedOn w:val="742"/>
    <w:link w:val="735"/>
    <w:uiPriority w:val="9"/>
    <w:rPr>
      <w:rFonts w:ascii="Arial" w:hAnsi="Arial" w:eastAsia="Arial" w:cs="Arial"/>
      <w:sz w:val="30"/>
      <w:szCs w:val="30"/>
    </w:rPr>
  </w:style>
  <w:style w:type="character" w:styleId="699">
    <w:name w:val="Heading 4 Char"/>
    <w:basedOn w:val="742"/>
    <w:link w:val="736"/>
    <w:uiPriority w:val="9"/>
    <w:rPr>
      <w:rFonts w:ascii="Arial" w:hAnsi="Arial" w:eastAsia="Arial" w:cs="Arial"/>
      <w:b/>
      <w:bCs/>
      <w:sz w:val="26"/>
      <w:szCs w:val="26"/>
    </w:rPr>
  </w:style>
  <w:style w:type="character" w:styleId="700">
    <w:name w:val="Heading 5 Char"/>
    <w:basedOn w:val="742"/>
    <w:link w:val="737"/>
    <w:uiPriority w:val="9"/>
    <w:rPr>
      <w:rFonts w:ascii="Arial" w:hAnsi="Arial" w:eastAsia="Arial" w:cs="Arial"/>
      <w:b/>
      <w:bCs/>
      <w:sz w:val="24"/>
      <w:szCs w:val="24"/>
    </w:rPr>
  </w:style>
  <w:style w:type="character" w:styleId="701">
    <w:name w:val="Heading 6 Char"/>
    <w:basedOn w:val="742"/>
    <w:link w:val="738"/>
    <w:uiPriority w:val="9"/>
    <w:rPr>
      <w:rFonts w:ascii="Arial" w:hAnsi="Arial" w:eastAsia="Arial" w:cs="Arial"/>
      <w:b/>
      <w:bCs/>
      <w:sz w:val="22"/>
      <w:szCs w:val="22"/>
    </w:rPr>
  </w:style>
  <w:style w:type="character" w:styleId="702">
    <w:name w:val="Heading 7 Char"/>
    <w:basedOn w:val="742"/>
    <w:link w:val="739"/>
    <w:uiPriority w:val="9"/>
    <w:rPr>
      <w:rFonts w:ascii="Arial" w:hAnsi="Arial" w:eastAsia="Arial" w:cs="Arial"/>
      <w:b/>
      <w:bCs/>
      <w:i/>
      <w:iCs/>
      <w:sz w:val="22"/>
      <w:szCs w:val="22"/>
    </w:rPr>
  </w:style>
  <w:style w:type="character" w:styleId="703">
    <w:name w:val="Heading 8 Char"/>
    <w:basedOn w:val="742"/>
    <w:link w:val="740"/>
    <w:uiPriority w:val="9"/>
    <w:rPr>
      <w:rFonts w:ascii="Arial" w:hAnsi="Arial" w:eastAsia="Arial" w:cs="Arial"/>
      <w:i/>
      <w:iCs/>
      <w:sz w:val="22"/>
      <w:szCs w:val="22"/>
    </w:rPr>
  </w:style>
  <w:style w:type="character" w:styleId="704">
    <w:name w:val="Heading 9 Char"/>
    <w:basedOn w:val="742"/>
    <w:link w:val="741"/>
    <w:uiPriority w:val="9"/>
    <w:rPr>
      <w:rFonts w:ascii="Arial" w:hAnsi="Arial" w:eastAsia="Arial" w:cs="Arial"/>
      <w:i/>
      <w:iCs/>
      <w:sz w:val="21"/>
      <w:szCs w:val="21"/>
    </w:rPr>
  </w:style>
  <w:style w:type="character" w:styleId="705">
    <w:name w:val="Title Char"/>
    <w:basedOn w:val="742"/>
    <w:link w:val="767"/>
    <w:uiPriority w:val="10"/>
    <w:rPr>
      <w:sz w:val="48"/>
      <w:szCs w:val="48"/>
    </w:rPr>
  </w:style>
  <w:style w:type="character" w:styleId="706">
    <w:name w:val="Subtitle Char"/>
    <w:basedOn w:val="742"/>
    <w:link w:val="761"/>
    <w:uiPriority w:val="11"/>
    <w:rPr>
      <w:sz w:val="24"/>
      <w:szCs w:val="24"/>
    </w:rPr>
  </w:style>
  <w:style w:type="character" w:styleId="707">
    <w:name w:val="Quote Char"/>
    <w:link w:val="787"/>
    <w:uiPriority w:val="29"/>
    <w:rPr>
      <w:i/>
    </w:rPr>
  </w:style>
  <w:style w:type="character" w:styleId="708">
    <w:name w:val="Intense Quote Char"/>
    <w:link w:val="789"/>
    <w:uiPriority w:val="30"/>
    <w:rPr>
      <w:i/>
    </w:rPr>
  </w:style>
  <w:style w:type="character" w:styleId="709">
    <w:name w:val="Header Char"/>
    <w:basedOn w:val="742"/>
    <w:link w:val="758"/>
    <w:uiPriority w:val="99"/>
  </w:style>
  <w:style w:type="table" w:styleId="710">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9">
    <w:name w:val="Footnote Text Char"/>
    <w:link w:val="762"/>
    <w:uiPriority w:val="99"/>
    <w:rPr>
      <w:sz w:val="18"/>
    </w:rPr>
  </w:style>
  <w:style w:type="character" w:styleId="730">
    <w:name w:val="Endnote Text Char"/>
    <w:link w:val="755"/>
    <w:uiPriority w:val="99"/>
    <w:rPr>
      <w:sz w:val="20"/>
    </w:rPr>
  </w:style>
  <w:style w:type="paragraph" w:styleId="731">
    <w:name w:val="TOC Heading"/>
    <w:uiPriority w:val="39"/>
    <w:unhideWhenUsed/>
  </w:style>
  <w:style w:type="paragraph" w:styleId="732" w:default="1">
    <w:name w:val="Normal"/>
    <w:next w:val="733"/>
    <w:uiPriority w:val="0"/>
    <w:qFormat/>
    <w:pPr>
      <w:jc w:val="both"/>
      <w:widowControl w:val="off"/>
    </w:pPr>
    <w:rPr>
      <w:rFonts w:ascii="Times New Roman" w:hAnsi="Times New Roman" w:eastAsia="宋体" w:cs="Times New Roman"/>
      <w:sz w:val="21"/>
      <w:szCs w:val="22"/>
      <w:lang w:val="en-US" w:eastAsia="zh-CN" w:bidi="ar-SA"/>
    </w:rPr>
  </w:style>
  <w:style w:type="paragraph" w:styleId="733">
    <w:name w:val="Heading 1"/>
    <w:basedOn w:val="732"/>
    <w:next w:val="732"/>
    <w:link w:val="774"/>
    <w:uiPriority w:val="9"/>
    <w:qFormat/>
    <w:pPr>
      <w:keepLines/>
      <w:keepNext/>
      <w:spacing w:before="480" w:after="200"/>
      <w:outlineLvl w:val="0"/>
    </w:pPr>
    <w:rPr>
      <w:rFonts w:ascii="Arial" w:hAnsi="Arial" w:eastAsia="Arial" w:cs="Arial"/>
      <w:sz w:val="40"/>
      <w:szCs w:val="40"/>
    </w:rPr>
  </w:style>
  <w:style w:type="paragraph" w:styleId="734">
    <w:name w:val="Heading 2"/>
    <w:basedOn w:val="735"/>
    <w:next w:val="736"/>
    <w:link w:val="775"/>
    <w:uiPriority w:val="9"/>
    <w:unhideWhenUsed/>
    <w:qFormat/>
    <w:pPr>
      <w:spacing w:before="360"/>
      <w:outlineLvl w:val="1"/>
    </w:pPr>
    <w:rPr>
      <w:sz w:val="34"/>
    </w:rPr>
  </w:style>
  <w:style w:type="paragraph" w:styleId="735">
    <w:name w:val="Heading 3"/>
    <w:basedOn w:val="736"/>
    <w:next w:val="732"/>
    <w:link w:val="776"/>
    <w:uiPriority w:val="9"/>
    <w:unhideWhenUsed/>
    <w:qFormat/>
    <w:pPr>
      <w:outlineLvl w:val="2"/>
    </w:pPr>
    <w:rPr>
      <w:sz w:val="30"/>
      <w:szCs w:val="30"/>
    </w:rPr>
  </w:style>
  <w:style w:type="paragraph" w:styleId="736">
    <w:name w:val="Heading 4"/>
    <w:basedOn w:val="732"/>
    <w:next w:val="732"/>
    <w:link w:val="777"/>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78"/>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79"/>
    <w:uiPriority w:val="9"/>
    <w:unhideWhenUsed/>
    <w:qFormat/>
    <w:pPr>
      <w:keepLines/>
      <w:keepNext/>
      <w:spacing w:before="320" w:after="200"/>
      <w:outlineLvl w:val="5"/>
    </w:pPr>
    <w:rPr>
      <w:rFonts w:ascii="Arial" w:hAnsi="Arial" w:eastAsia="Arial" w:cs="Arial"/>
      <w:b/>
      <w:bCs/>
      <w:sz w:val="22"/>
    </w:rPr>
  </w:style>
  <w:style w:type="paragraph" w:styleId="739">
    <w:name w:val="Heading 7"/>
    <w:basedOn w:val="732"/>
    <w:next w:val="732"/>
    <w:link w:val="780"/>
    <w:uiPriority w:val="9"/>
    <w:unhideWhenUsed/>
    <w:qFormat/>
    <w:pPr>
      <w:keepLines/>
      <w:keepNext/>
      <w:spacing w:before="320" w:after="200"/>
      <w:outlineLvl w:val="6"/>
    </w:pPr>
    <w:rPr>
      <w:rFonts w:ascii="Arial" w:hAnsi="Arial" w:eastAsia="Arial" w:cs="Arial"/>
      <w:b/>
      <w:bCs/>
      <w:i/>
      <w:iCs/>
      <w:sz w:val="22"/>
    </w:rPr>
  </w:style>
  <w:style w:type="paragraph" w:styleId="740">
    <w:name w:val="Heading 8"/>
    <w:basedOn w:val="732"/>
    <w:next w:val="732"/>
    <w:link w:val="781"/>
    <w:uiPriority w:val="9"/>
    <w:unhideWhenUsed/>
    <w:qFormat/>
    <w:pPr>
      <w:keepLines/>
      <w:keepNext/>
      <w:spacing w:before="320" w:after="200"/>
      <w:outlineLvl w:val="7"/>
    </w:pPr>
    <w:rPr>
      <w:rFonts w:ascii="Arial" w:hAnsi="Arial" w:eastAsia="Arial" w:cs="Arial"/>
      <w:i/>
      <w:iCs/>
      <w:sz w:val="22"/>
    </w:rPr>
  </w:style>
  <w:style w:type="paragraph" w:styleId="741">
    <w:name w:val="Heading 9"/>
    <w:basedOn w:val="732"/>
    <w:next w:val="732"/>
    <w:link w:val="782"/>
    <w:uiPriority w:val="9"/>
    <w:unhideWhenUsed/>
    <w:qFormat/>
    <w:pPr>
      <w:keepLines/>
      <w:keepNext/>
      <w:spacing w:before="320" w:after="200"/>
      <w:outlineLvl w:val="8"/>
    </w:pPr>
    <w:rPr>
      <w:rFonts w:ascii="Arial" w:hAnsi="Arial" w:eastAsia="Arial" w:cs="Arial"/>
      <w:i/>
      <w:iCs/>
      <w:szCs w:val="21"/>
    </w:rPr>
  </w:style>
  <w:style w:type="character" w:styleId="742" w:default="1">
    <w:name w:val="Default Paragraph Font"/>
    <w:uiPriority w:val="1"/>
    <w:semiHidden/>
    <w:unhideWhenUsed/>
  </w:style>
  <w:style w:type="table" w:styleId="743" w:default="1">
    <w:name w:val="Normal Table"/>
    <w:uiPriority w:val="99"/>
    <w:semiHidden/>
    <w:unhideWhenUsed/>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Caption"/>
    <w:basedOn w:val="732"/>
    <w:next w:val="73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6">
    <w:name w:val="annotation text"/>
    <w:basedOn w:val="732"/>
    <w:uiPriority w:val="99"/>
    <w:semiHidden/>
    <w:unhideWhenUsed/>
    <w:qFormat/>
    <w:pPr>
      <w:jc w:val="left"/>
    </w:pPr>
  </w:style>
  <w:style w:type="paragraph" w:styleId="747">
    <w:name w:val="Body Text"/>
    <w:basedOn w:val="732"/>
    <w:next w:val="748"/>
    <w:uiPriority w:val="99"/>
    <w:qFormat/>
    <w:rPr>
      <w:rFonts w:ascii="楷体_GB2312" w:hAnsi="Arial" w:eastAsia="楷体_GB2312"/>
      <w:sz w:val="28"/>
      <w:szCs w:val="28"/>
    </w:rPr>
  </w:style>
  <w:style w:type="paragraph" w:styleId="748">
    <w:name w:val="Body Text First Indent"/>
    <w:basedOn w:val="747"/>
    <w:next w:val="732"/>
    <w:uiPriority w:val="0"/>
    <w:qFormat/>
    <w:pPr>
      <w:ind w:firstLine="420"/>
      <w:spacing w:after="120"/>
    </w:pPr>
    <w:rPr>
      <w:rFonts w:ascii="Times New Roman" w:eastAsia="宋体"/>
      <w:szCs w:val="24"/>
    </w:rPr>
  </w:style>
  <w:style w:type="paragraph" w:styleId="749">
    <w:name w:val="Body Text Indent"/>
    <w:basedOn w:val="732"/>
    <w:next w:val="750"/>
    <w:uiPriority w:val="0"/>
    <w:unhideWhenUsed/>
    <w:qFormat/>
    <w:pPr>
      <w:ind w:left="420"/>
      <w:spacing w:after="120"/>
    </w:pPr>
  </w:style>
  <w:style w:type="paragraph" w:styleId="750">
    <w:name w:val="Body Text First Indent 2"/>
    <w:basedOn w:val="749"/>
    <w:next w:val="732"/>
    <w:uiPriority w:val="0"/>
    <w:qFormat/>
    <w:pPr>
      <w:ind w:left="0" w:firstLine="420"/>
      <w:spacing w:after="0" w:line="360" w:lineRule="auto"/>
    </w:pPr>
    <w:rPr>
      <w:rFonts w:ascii="宋体" w:hAnsi="宋体"/>
      <w:szCs w:val="20"/>
    </w:rPr>
  </w:style>
  <w:style w:type="paragraph" w:styleId="751">
    <w:name w:val="toc 5"/>
    <w:basedOn w:val="732"/>
    <w:next w:val="732"/>
    <w:uiPriority w:val="39"/>
    <w:unhideWhenUsed/>
    <w:qFormat/>
    <w:pPr>
      <w:ind w:left="1134"/>
      <w:spacing w:after="57"/>
    </w:pPr>
  </w:style>
  <w:style w:type="paragraph" w:styleId="752">
    <w:name w:val="toc 3"/>
    <w:basedOn w:val="732"/>
    <w:next w:val="732"/>
    <w:uiPriority w:val="39"/>
    <w:unhideWhenUsed/>
    <w:qFormat/>
    <w:pPr>
      <w:ind w:left="567"/>
      <w:spacing w:after="57"/>
    </w:pPr>
  </w:style>
  <w:style w:type="paragraph" w:styleId="753">
    <w:name w:val="Plain Text"/>
    <w:basedOn w:val="732"/>
    <w:uiPriority w:val="0"/>
    <w:qFormat/>
    <w:rPr>
      <w:rFonts w:ascii="宋体" w:hAnsi="Courier New" w:cs="Courier New"/>
    </w:rPr>
  </w:style>
  <w:style w:type="paragraph" w:styleId="754">
    <w:name w:val="toc 8"/>
    <w:basedOn w:val="732"/>
    <w:next w:val="732"/>
    <w:uiPriority w:val="39"/>
    <w:unhideWhenUsed/>
    <w:qFormat/>
    <w:pPr>
      <w:ind w:left="1984"/>
      <w:spacing w:after="57"/>
    </w:pPr>
  </w:style>
  <w:style w:type="paragraph" w:styleId="755">
    <w:name w:val="endnote text"/>
    <w:basedOn w:val="732"/>
    <w:link w:val="920"/>
    <w:uiPriority w:val="99"/>
    <w:semiHidden/>
    <w:unhideWhenUsed/>
    <w:qFormat/>
    <w:rPr>
      <w:sz w:val="20"/>
    </w:rPr>
  </w:style>
  <w:style w:type="paragraph" w:styleId="756">
    <w:name w:val="Balloon Text"/>
    <w:basedOn w:val="732"/>
    <w:link w:val="934"/>
    <w:uiPriority w:val="99"/>
    <w:semiHidden/>
    <w:unhideWhenUsed/>
    <w:qFormat/>
    <w:rPr>
      <w:sz w:val="18"/>
      <w:szCs w:val="18"/>
    </w:rPr>
  </w:style>
  <w:style w:type="paragraph" w:styleId="757">
    <w:name w:val="Footer"/>
    <w:basedOn w:val="732"/>
    <w:uiPriority w:val="99"/>
    <w:unhideWhenUsed/>
    <w:qFormat/>
    <w:pPr>
      <w:tabs>
        <w:tab w:val="center" w:pos="7143" w:leader="none"/>
        <w:tab w:val="right" w:pos="14287" w:leader="none"/>
      </w:tabs>
    </w:pPr>
  </w:style>
  <w:style w:type="paragraph" w:styleId="758">
    <w:name w:val="Header"/>
    <w:basedOn w:val="732"/>
    <w:link w:val="791"/>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786"/>
    <w:uiPriority w:val="11"/>
    <w:qFormat/>
    <w:pPr>
      <w:spacing w:before="200" w:after="200"/>
    </w:pPr>
    <w:rPr>
      <w:sz w:val="24"/>
      <w:szCs w:val="24"/>
    </w:rPr>
  </w:style>
  <w:style w:type="paragraph" w:styleId="762">
    <w:name w:val="footnote text"/>
    <w:basedOn w:val="732"/>
    <w:link w:val="919"/>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Title"/>
    <w:basedOn w:val="732"/>
    <w:next w:val="732"/>
    <w:link w:val="785"/>
    <w:uiPriority w:val="10"/>
    <w:qFormat/>
    <w:pPr>
      <w:contextualSpacing/>
      <w:spacing w:before="300" w:after="200"/>
    </w:pPr>
    <w:rPr>
      <w:sz w:val="48"/>
      <w:szCs w:val="48"/>
    </w:rPr>
  </w:style>
  <w:style w:type="table" w:styleId="768">
    <w:name w:val="Table Grid"/>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endnote reference"/>
    <w:basedOn w:val="742"/>
    <w:uiPriority w:val="99"/>
    <w:semiHidden/>
    <w:unhideWhenUsed/>
    <w:qFormat/>
    <w:rPr>
      <w:vertAlign w:val="superscript"/>
    </w:rPr>
  </w:style>
  <w:style w:type="character" w:styleId="770">
    <w:name w:val="Hyperlink"/>
    <w:uiPriority w:val="99"/>
    <w:unhideWhenUsed/>
    <w:qFormat/>
    <w:rPr>
      <w:color w:val="0563c1" w:themeColor="hyperlink"/>
      <w:u w:val="single"/>
      <w14:textFill>
        <w14:solidFill>
          <w14:schemeClr w14:val="hlink"/>
        </w14:solidFill>
      </w14:textFill>
    </w:rPr>
  </w:style>
  <w:style w:type="character" w:styleId="771">
    <w:name w:val="annotation reference"/>
    <w:basedOn w:val="742"/>
    <w:uiPriority w:val="99"/>
    <w:semiHidden/>
    <w:unhideWhenUsed/>
    <w:qFormat/>
    <w:rPr>
      <w:sz w:val="21"/>
      <w:szCs w:val="21"/>
    </w:rPr>
  </w:style>
  <w:style w:type="character" w:styleId="772">
    <w:name w:val="footnote reference"/>
    <w:basedOn w:val="742"/>
    <w:uiPriority w:val="99"/>
    <w:unhideWhenUsed/>
    <w:qFormat/>
    <w:rPr>
      <w:vertAlign w:val="superscript"/>
    </w:rPr>
  </w:style>
  <w:style w:type="paragraph" w:styleId="773" w:customStyle="1">
    <w:name w:val="Default"/>
    <w:next w:val="732"/>
    <w:uiPriority w:val="99"/>
    <w:qFormat/>
    <w:pPr>
      <w:widowControl w:val="off"/>
    </w:pPr>
    <w:rPr>
      <w:rFonts w:ascii="宋体" w:hAnsi="Times New Roman" w:eastAsia="宋体" w:cs="Times New Roman"/>
      <w:color w:val="000000"/>
      <w:sz w:val="24"/>
      <w:szCs w:val="24"/>
      <w:lang w:val="en-US" w:eastAsia="zh-CN" w:bidi="ar-SA"/>
    </w:rPr>
  </w:style>
  <w:style w:type="character" w:styleId="774" w:customStyle="1">
    <w:name w:val="标题 1 字符"/>
    <w:basedOn w:val="742"/>
    <w:link w:val="733"/>
    <w:uiPriority w:val="9"/>
    <w:qFormat/>
    <w:rPr>
      <w:rFonts w:ascii="Arial" w:hAnsi="Arial" w:eastAsia="Arial" w:cs="Arial"/>
      <w:sz w:val="40"/>
      <w:szCs w:val="40"/>
    </w:rPr>
  </w:style>
  <w:style w:type="character" w:styleId="775" w:customStyle="1">
    <w:name w:val="标题 2 字符"/>
    <w:basedOn w:val="742"/>
    <w:link w:val="734"/>
    <w:uiPriority w:val="9"/>
    <w:qFormat/>
    <w:rPr>
      <w:rFonts w:ascii="Arial" w:hAnsi="Arial" w:eastAsia="Arial" w:cs="Arial"/>
      <w:sz w:val="34"/>
    </w:rPr>
  </w:style>
  <w:style w:type="character" w:styleId="776" w:customStyle="1">
    <w:name w:val="标题 3 字符"/>
    <w:basedOn w:val="742"/>
    <w:link w:val="735"/>
    <w:uiPriority w:val="9"/>
    <w:qFormat/>
    <w:rPr>
      <w:rFonts w:ascii="Arial" w:hAnsi="Arial" w:eastAsia="Arial" w:cs="Arial"/>
      <w:sz w:val="30"/>
      <w:szCs w:val="30"/>
    </w:rPr>
  </w:style>
  <w:style w:type="character" w:styleId="777" w:customStyle="1">
    <w:name w:val="标题 4 字符"/>
    <w:basedOn w:val="742"/>
    <w:link w:val="736"/>
    <w:uiPriority w:val="9"/>
    <w:qFormat/>
    <w:rPr>
      <w:rFonts w:ascii="Arial" w:hAnsi="Arial" w:eastAsia="Arial" w:cs="Arial"/>
      <w:b/>
      <w:bCs/>
      <w:sz w:val="26"/>
      <w:szCs w:val="26"/>
    </w:rPr>
  </w:style>
  <w:style w:type="character" w:styleId="778" w:customStyle="1">
    <w:name w:val="标题 5 字符"/>
    <w:basedOn w:val="742"/>
    <w:link w:val="737"/>
    <w:uiPriority w:val="9"/>
    <w:qFormat/>
    <w:rPr>
      <w:rFonts w:ascii="Arial" w:hAnsi="Arial" w:eastAsia="Arial" w:cs="Arial"/>
      <w:b/>
      <w:bCs/>
      <w:sz w:val="24"/>
      <w:szCs w:val="24"/>
    </w:rPr>
  </w:style>
  <w:style w:type="character" w:styleId="779" w:customStyle="1">
    <w:name w:val="标题 6 字符"/>
    <w:basedOn w:val="742"/>
    <w:link w:val="738"/>
    <w:uiPriority w:val="9"/>
    <w:qFormat/>
    <w:rPr>
      <w:rFonts w:ascii="Arial" w:hAnsi="Arial" w:eastAsia="Arial" w:cs="Arial"/>
      <w:b/>
      <w:bCs/>
      <w:sz w:val="22"/>
      <w:szCs w:val="22"/>
    </w:rPr>
  </w:style>
  <w:style w:type="character" w:styleId="780" w:customStyle="1">
    <w:name w:val="标题 7 字符"/>
    <w:basedOn w:val="742"/>
    <w:link w:val="739"/>
    <w:uiPriority w:val="9"/>
    <w:qFormat/>
    <w:rPr>
      <w:rFonts w:ascii="Arial" w:hAnsi="Arial" w:eastAsia="Arial" w:cs="Arial"/>
      <w:b/>
      <w:bCs/>
      <w:i/>
      <w:iCs/>
      <w:sz w:val="22"/>
      <w:szCs w:val="22"/>
    </w:rPr>
  </w:style>
  <w:style w:type="character" w:styleId="781" w:customStyle="1">
    <w:name w:val="标题 8 字符"/>
    <w:basedOn w:val="742"/>
    <w:link w:val="740"/>
    <w:uiPriority w:val="9"/>
    <w:qFormat/>
    <w:rPr>
      <w:rFonts w:ascii="Arial" w:hAnsi="Arial" w:eastAsia="Arial" w:cs="Arial"/>
      <w:i/>
      <w:iCs/>
      <w:sz w:val="22"/>
      <w:szCs w:val="22"/>
    </w:rPr>
  </w:style>
  <w:style w:type="character" w:styleId="782" w:customStyle="1">
    <w:name w:val="标题 9 字符"/>
    <w:basedOn w:val="742"/>
    <w:link w:val="741"/>
    <w:uiPriority w:val="9"/>
    <w:qFormat/>
    <w:rPr>
      <w:rFonts w:ascii="Arial" w:hAnsi="Arial" w:eastAsia="Arial" w:cs="Arial"/>
      <w:i/>
      <w:iCs/>
      <w:sz w:val="21"/>
      <w:szCs w:val="21"/>
    </w:rPr>
  </w:style>
  <w:style w:type="paragraph" w:styleId="783">
    <w:name w:val="List Paragraph"/>
    <w:basedOn w:val="732"/>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basedOn w:val="742"/>
    <w:link w:val="767"/>
    <w:uiPriority w:val="10"/>
    <w:qFormat/>
    <w:rPr>
      <w:sz w:val="48"/>
      <w:szCs w:val="48"/>
    </w:rPr>
  </w:style>
  <w:style w:type="character" w:styleId="786" w:customStyle="1">
    <w:name w:val="副标题 字符"/>
    <w:basedOn w:val="742"/>
    <w:link w:val="761"/>
    <w:uiPriority w:val="11"/>
    <w:qFormat/>
    <w:rPr>
      <w:sz w:val="24"/>
      <w:szCs w:val="24"/>
    </w:rPr>
  </w:style>
  <w:style w:type="paragraph" w:styleId="787">
    <w:name w:val="Quote"/>
    <w:basedOn w:val="732"/>
    <w:next w:val="732"/>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32"/>
    <w:next w:val="73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basedOn w:val="742"/>
    <w:link w:val="758"/>
    <w:uiPriority w:val="99"/>
    <w:qFormat/>
  </w:style>
  <w:style w:type="character" w:styleId="792" w:customStyle="1">
    <w:name w:val="Footer Char"/>
    <w:basedOn w:val="742"/>
    <w:uiPriority w:val="99"/>
    <w:qFormat/>
  </w:style>
  <w:style w:type="character" w:styleId="793" w:customStyle="1">
    <w:name w:val="Caption Char"/>
    <w:uiPriority w:val="99"/>
    <w:qFormat/>
  </w:style>
  <w:style w:type="table" w:styleId="794"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4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4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4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3"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4"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6" w:customStyle="1">
    <w:name w:val="Grid Table 4 - Accent 5"/>
    <w:basedOn w:val="74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7"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4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9"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4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4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4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4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4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4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74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4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4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4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74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6"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4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4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4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6"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7"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8"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9" w:customStyle="1">
    <w:name w:val="List Table 6 Colorful - Accent 5"/>
    <w:basedOn w:val="74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0"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1"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4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4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4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4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4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4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字符"/>
    <w:link w:val="762"/>
    <w:uiPriority w:val="99"/>
    <w:qFormat/>
    <w:rPr>
      <w:sz w:val="18"/>
    </w:rPr>
  </w:style>
  <w:style w:type="character" w:styleId="920" w:customStyle="1">
    <w:name w:val="尾注文本 字符"/>
    <w:link w:val="755"/>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923" w:customStyle="1">
    <w:name w:val="正文缩进1"/>
    <w:basedOn w:val="732"/>
    <w:uiPriority w:val="99"/>
    <w:qFormat/>
    <w:pPr>
      <w:ind w:firstLine="420"/>
      <w:jc w:val="left"/>
    </w:pPr>
    <w:rPr>
      <w:sz w:val="24"/>
    </w:rPr>
  </w:style>
  <w:style w:type="paragraph" w:styleId="924" w:customStyle="1">
    <w:name w:val="正文文本2"/>
    <w:basedOn w:val="732"/>
    <w:next w:val="732"/>
    <w:uiPriority w:val="0"/>
    <w:qFormat/>
    <w:rPr>
      <w:rFonts w:ascii="楷体_GB2312" w:hAnsi="Arial" w:eastAsia="楷体_GB2312"/>
      <w:sz w:val="28"/>
      <w:szCs w:val="28"/>
    </w:rPr>
  </w:style>
  <w:style w:type="paragraph" w:styleId="925" w:customStyle="1">
    <w:name w:val="*正文"/>
    <w:basedOn w:val="732"/>
    <w:uiPriority w:val="99"/>
    <w:qFormat/>
    <w:pPr>
      <w:ind w:firstLine="482"/>
      <w:spacing w:line="360" w:lineRule="auto"/>
    </w:pPr>
    <w:rPr>
      <w:rFonts w:eastAsia="仿宋_GB2312"/>
      <w:sz w:val="28"/>
    </w:rPr>
  </w:style>
  <w:style w:type="paragraph" w:styleId="926" w:customStyle="1">
    <w:name w:val="脚注文本1"/>
    <w:basedOn w:val="732"/>
    <w:next w:val="927"/>
    <w:uiPriority w:val="0"/>
    <w:qFormat/>
    <w:pPr>
      <w:jc w:val="left"/>
      <w:spacing w:line="312" w:lineRule="atLeast"/>
    </w:pPr>
    <w:rPr>
      <w:sz w:val="18"/>
      <w:szCs w:val="20"/>
    </w:rPr>
  </w:style>
  <w:style w:type="paragraph" w:styleId="927" w:customStyle="1">
    <w:name w:val="索引 51"/>
    <w:basedOn w:val="732"/>
    <w:next w:val="732"/>
    <w:uiPriority w:val="99"/>
    <w:unhideWhenUsed/>
    <w:qFormat/>
    <w:pPr>
      <w:ind w:left="1050" w:hanging="210"/>
      <w:jc w:val="left"/>
    </w:pPr>
    <w:rPr>
      <w:sz w:val="18"/>
      <w:szCs w:val="18"/>
      <w:lang w:eastAsia="zh-TW"/>
    </w:rPr>
  </w:style>
  <w:style w:type="paragraph" w:styleId="928" w:customStyle="1">
    <w:name w:val="正文文本1"/>
    <w:basedOn w:val="732"/>
    <w:next w:val="929"/>
    <w:uiPriority w:val="0"/>
    <w:qFormat/>
    <w:rPr>
      <w:rFonts w:ascii="仿宋_GB2312" w:eastAsia="仿宋_GB2312"/>
      <w:sz w:val="24"/>
      <w:szCs w:val="20"/>
    </w:rPr>
  </w:style>
  <w:style w:type="paragraph" w:styleId="929" w:customStyle="1">
    <w:name w:val="正文首行缩进1"/>
    <w:basedOn w:val="924"/>
    <w:next w:val="732"/>
    <w:uiPriority w:val="0"/>
    <w:qFormat/>
    <w:pPr>
      <w:ind w:firstLine="200"/>
      <w:spacing w:line="360" w:lineRule="auto"/>
    </w:pPr>
    <w:rPr>
      <w:rFonts w:ascii="仿宋_GB2312" w:hAnsi="Times New Roman" w:eastAsia="仿宋_GB2312"/>
      <w:sz w:val="30"/>
      <w:szCs w:val="30"/>
    </w:rPr>
  </w:style>
  <w:style w:type="paragraph" w:styleId="930" w:customStyle="1">
    <w:name w:val="正文缩进11"/>
    <w:basedOn w:val="732"/>
    <w:uiPriority w:val="0"/>
    <w:qFormat/>
    <w:pPr>
      <w:ind w:firstLine="420"/>
    </w:pPr>
    <w:rPr>
      <w:sz w:val="20"/>
      <w:szCs w:val="21"/>
    </w:rPr>
  </w:style>
  <w:style w:type="paragraph" w:styleId="931" w:customStyle="1">
    <w:name w:val="页眉1"/>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932" w:customStyle="1">
    <w:name w:val="页脚1"/>
    <w:basedOn w:val="732"/>
    <w:uiPriority w:val="0"/>
    <w:qFormat/>
    <w:pPr>
      <w:jc w:val="left"/>
      <w:tabs>
        <w:tab w:val="center" w:pos="4153" w:leader="none"/>
        <w:tab w:val="right" w:pos="8306" w:leader="none"/>
      </w:tabs>
    </w:pPr>
    <w:rPr>
      <w:sz w:val="18"/>
      <w:szCs w:val="18"/>
    </w:rPr>
  </w:style>
  <w:style w:type="character" w:styleId="933" w:customStyle="1">
    <w:name w:val="页码1"/>
    <w:uiPriority w:val="0"/>
    <w:qFormat/>
    <w:rPr>
      <w:rFonts w:hint="default" w:ascii="Times New Roman" w:hAnsi="Times New Roman" w:eastAsia="宋体" w:cs="Times New Roman"/>
      <w:sz w:val="21"/>
      <w:szCs w:val="22"/>
      <w:lang w:val="en-US" w:eastAsia="zh-CN" w:bidi="ar-SA"/>
    </w:rPr>
  </w:style>
  <w:style w:type="character" w:styleId="934" w:customStyle="1">
    <w:name w:val="批注框文本 字符"/>
    <w:basedOn w:val="742"/>
    <w:link w:val="756"/>
    <w:uiPriority w:val="99"/>
    <w:semiHidden/>
    <w:qFormat/>
    <w:rPr>
      <w:sz w:val="18"/>
      <w:szCs w:val="18"/>
    </w:rPr>
  </w:style>
  <w:style w:type="paragraph" w:styleId="9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6" w:customStyle="1">
    <w:name w:val="列出段落1"/>
    <w:basedOn w:val="732"/>
    <w:uiPriority w:val="0"/>
    <w:qFormat/>
    <w:pPr>
      <w:ind w:firstLine="420"/>
    </w:pPr>
    <w:rPr>
      <w:rFonts w:ascii="Calibri" w:hAnsi="Calibri"/>
    </w:rPr>
  </w:style>
  <w:style w:type="character" w:styleId="937" w:customStyle="1">
    <w:name w:val="font21"/>
    <w:basedOn w:val="742"/>
    <w:uiPriority w:val="0"/>
    <w:qFormat/>
    <w:rPr>
      <w:rFonts w:hint="eastAsia" w:ascii="宋体" w:hAnsi="宋体" w:eastAsia="宋体" w:cs="宋体"/>
      <w:color w:val="000000"/>
      <w:sz w:val="22"/>
      <w:szCs w:val="22"/>
      <w:u w:val="none"/>
    </w:rPr>
  </w:style>
  <w:style w:type="character" w:styleId="938" w:customStyle="1">
    <w:name w:val="font01"/>
    <w:basedOn w:val="742"/>
    <w:uiPriority w:val="0"/>
    <w:qFormat/>
    <w:rPr>
      <w:rFonts w:ascii="Arial Unicode MS" w:hAnsi="Arial Unicode MS" w:eastAsia="Arial Unicode MS" w:cs="Arial Unicode MS"/>
      <w:color w:val="000000"/>
      <w:sz w:val="24"/>
      <w:szCs w:val="24"/>
      <w:u w:val="none"/>
    </w:rPr>
  </w:style>
  <w:style w:type="paragraph" w:styleId="939" w:customStyle="1">
    <w:name w:val="正文首行缩进 21"/>
    <w:basedOn w:val="940"/>
    <w:next w:val="732"/>
    <w:uiPriority w:val="0"/>
    <w:qFormat/>
    <w:pPr>
      <w:ind w:firstLine="420"/>
      <w:spacing w:line="360" w:lineRule="auto"/>
    </w:pPr>
    <w:rPr>
      <w:rFonts w:ascii="宋体" w:hAnsi="宋体" w:eastAsia="宋体"/>
      <w:sz w:val="21"/>
      <w:szCs w:val="20"/>
    </w:rPr>
  </w:style>
  <w:style w:type="paragraph" w:styleId="940" w:customStyle="1">
    <w:name w:val="正文文本缩进1"/>
    <w:basedOn w:val="732"/>
    <w:next w:val="941"/>
    <w:uiPriority w:val="0"/>
    <w:qFormat/>
    <w:pPr>
      <w:ind w:firstLine="645"/>
    </w:pPr>
    <w:rPr>
      <w:rFonts w:ascii="楷体_GB2312" w:eastAsia="楷体_GB2312"/>
      <w:sz w:val="32"/>
      <w:szCs w:val="32"/>
    </w:rPr>
  </w:style>
  <w:style w:type="paragraph" w:styleId="941" w:customStyle="1">
    <w:name w:val="寄信人地址1"/>
    <w:basedOn w:val="732"/>
    <w:next w:val="942"/>
    <w:uiPriority w:val="99"/>
    <w:qFormat/>
    <w:rPr>
      <w:rFonts w:ascii="Arial" w:hAnsi="Arial"/>
    </w:rPr>
  </w:style>
  <w:style w:type="paragraph" w:styleId="942" w:customStyle="1">
    <w:name w:val="目录 71"/>
    <w:basedOn w:val="732"/>
    <w:next w:val="732"/>
    <w:uiPriority w:val="39"/>
    <w:unhideWhenUsed/>
    <w:qFormat/>
    <w:pPr>
      <w:ind w:left="1701"/>
      <w:spacing w:after="57"/>
    </w:pPr>
  </w:style>
  <w:style w:type="character" w:styleId="943" w:customStyle="1">
    <w:name w:val="font41"/>
    <w:basedOn w:val="742"/>
    <w:uiPriority w:val="0"/>
    <w:rPr>
      <w:rFonts w:hint="eastAsia" w:ascii="宋体" w:hAnsi="宋体" w:eastAsia="宋体" w:cs="宋体"/>
      <w:color w:val="000000"/>
      <w:sz w:val="20"/>
      <w:szCs w:val="20"/>
      <w:u w:val="none"/>
    </w:rPr>
  </w:style>
  <w:style w:type="character" w:styleId="944" w:customStyle="1">
    <w:name w:val="font61"/>
    <w:basedOn w:val="742"/>
    <w:uiPriority w:val="0"/>
    <w:rPr>
      <w:rFonts w:hint="eastAsia" w:ascii="宋体" w:hAnsi="宋体" w:eastAsia="宋体" w:cs="宋体"/>
      <w:color w:val="ff0000"/>
      <w:sz w:val="20"/>
      <w:szCs w:val="20"/>
      <w:u w:val="none"/>
    </w:rPr>
  </w:style>
  <w:style w:type="character" w:styleId="945" w:customStyle="1">
    <w:name w:val="font71"/>
    <w:basedOn w:val="742"/>
    <w:uiPriority w:val="0"/>
    <w:rPr>
      <w:rFonts w:hint="eastAsia" w:ascii="宋体" w:hAnsi="宋体" w:eastAsia="宋体" w:cs="宋体"/>
      <w:color w:val="ff0000"/>
      <w:sz w:val="24"/>
      <w:szCs w:val="24"/>
      <w:u w:val="none"/>
    </w:rPr>
  </w:style>
  <w:style w:type="character" w:styleId="946" w:customStyle="1">
    <w:name w:val="font11"/>
    <w:basedOn w:val="742"/>
    <w:uiPriority w:val="0"/>
    <w:rPr>
      <w:rFonts w:hint="eastAsia" w:ascii="宋体" w:hAnsi="宋体" w:eastAsia="宋体" w:cs="宋体"/>
      <w:color w:val="000000"/>
      <w:sz w:val="24"/>
      <w:szCs w:val="24"/>
      <w:u w:val="none"/>
    </w:rPr>
  </w:style>
  <w:style w:type="character" w:styleId="947" w:customStyle="1">
    <w:name w:val="font51"/>
    <w:basedOn w:val="742"/>
    <w:uiPriority w:val="0"/>
    <w:rPr>
      <w:rFonts w:hint="eastAsia" w:ascii="宋体" w:hAnsi="宋体" w:eastAsia="宋体" w:cs="宋体"/>
      <w:color w:val="000000"/>
      <w:sz w:val="24"/>
      <w:szCs w:val="24"/>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A吴元庆（招标，造价）13862811224</dc:creator>
  <cp:lastModifiedBy>潘荣</cp:lastModifiedBy>
  <cp:revision>10</cp:revision>
  <dcterms:created xsi:type="dcterms:W3CDTF">2024-07-02T08:17:00Z</dcterms:created>
  <dcterms:modified xsi:type="dcterms:W3CDTF">2025-07-16T07:40:02Z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BFF26D5DAAD147BEB4EE8FA4D2221D9D_13</vt:lpwstr>
  </property>
  <property fmtid="{D5CDD505-2E9C-101B-9397-08002B2CF9AE}" pid="4" name="KSOTemplateDocerSaveRecord">
    <vt:lpwstr>eyJoZGlkIjoiYWJmNTAxYTA0NTllZTU0OWY5NWY0MWNlMzBjNGU2OTYiLCJ1c2VySWQiOiI2MDcyNDQ5MTMifQ==</vt:lpwstr>
  </property>
</Properties>
</file>