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苏州高新区政府采购</w:t>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招标文件</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80" w:lineRule="auto"/>
        <w:tabs>
          <w:tab w:val="left" w:pos="7977"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ab/>
      </w:r>
      <w:r/>
    </w:p>
    <w:p>
      <w:pPr>
        <w:jc w:val="left"/>
        <w:spacing w:line="48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JSZC-320505-HXGW-G2024-0087</w:t>
      </w:r>
      <w:r/>
    </w:p>
    <w:p>
      <w:pPr>
        <w:jc w:val="left"/>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采购单位：苏州科技城管理委员会</w:t>
      </w:r>
      <w:r/>
    </w:p>
    <w:p>
      <w:pPr>
        <w:jc w:val="left"/>
        <w:spacing w:line="48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项目名称：</w:t>
      </w:r>
      <w:r>
        <w:rPr>
          <w:rFonts w:hint="eastAsia" w:ascii="宋体" w:hAnsi="宋体" w:eastAsia="宋体" w:cs="宋体"/>
          <w:b/>
          <w:color w:val="auto"/>
          <w:sz w:val="32"/>
          <w:highlight w:val="none"/>
          <w:lang w:eastAsia="zh-CN"/>
        </w:rPr>
        <w:t xml:space="preserve">2024-2026年苏州科技城土壤环境调查及地下水检测年度服务第二批次</w:t>
      </w:r>
      <w:r/>
    </w:p>
    <w:p>
      <w:pPr>
        <w:jc w:val="left"/>
        <w:spacing w:line="480" w:lineRule="auto"/>
        <w:tabs>
          <w:tab w:val="center" w:pos="6264" w:leader="none"/>
        </w:tabs>
        <w:rPr>
          <w:rFonts w:hint="eastAsia" w:ascii="宋体" w:hAnsi="宋体" w:eastAsia="宋体" w:cs="宋体"/>
          <w:b/>
          <w:color w:val="auto"/>
          <w:spacing w:val="20"/>
          <w:sz w:val="32"/>
          <w:highlight w:val="none"/>
        </w:rPr>
      </w:pPr>
      <w:r>
        <w:rPr>
          <w:rFonts w:hint="eastAsia" w:ascii="宋体" w:hAnsi="宋体" w:eastAsia="宋体" w:cs="宋体"/>
          <w:b/>
          <w:color w:val="auto"/>
          <w:sz w:val="32"/>
          <w:highlight w:val="none"/>
        </w:rPr>
        <w:t xml:space="preserve">项目类别：服务类</w:t>
      </w:r>
      <w:r/>
    </w:p>
    <w:p>
      <w:pPr>
        <w:ind w:firstLine="2695"/>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2249"/>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涵熙（苏州）工程顾问有限公司</w:t>
      </w:r>
      <w:r/>
    </w:p>
    <w:p>
      <w:pPr>
        <w:pStyle w:val="934"/>
        <w:ind w:firstLine="3534"/>
        <w:rPr>
          <w:rFonts w:hint="eastAsia"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t xml:space="preserve">2024年</w:t>
      </w:r>
      <w:r>
        <w:rPr>
          <w:rFonts w:hint="eastAsia" w:ascii="宋体" w:hAnsi="宋体" w:eastAsia="宋体" w:cs="宋体"/>
          <w:b/>
          <w:color w:val="auto"/>
          <w:sz w:val="32"/>
          <w:highlight w:val="none"/>
          <w:lang w:val="en-US" w:eastAsia="zh-CN"/>
        </w:rPr>
        <w:t xml:space="preserve">11</w:t>
      </w:r>
      <w:r>
        <w:rPr>
          <w:rFonts w:hint="eastAsia" w:ascii="宋体" w:hAnsi="宋体" w:eastAsia="宋体" w:cs="宋体"/>
          <w:b/>
          <w:color w:val="auto"/>
          <w:sz w:val="32"/>
          <w:highlight w:val="none"/>
          <w:lang w:val="en-US"/>
        </w:rPr>
        <w:t xml:space="preserve">月</w:t>
      </w:r>
      <w:r/>
    </w:p>
    <w:p>
      <w:pPr>
        <w:pStyle w:val="934"/>
        <w:ind w:firstLine="643"/>
        <w:jc w:val="center"/>
        <w:rPr>
          <w:rFonts w:hint="eastAsia"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r>
      <w:r/>
    </w:p>
    <w:p>
      <w:pPr>
        <w:jc w:val="center"/>
        <w:tabs>
          <w:tab w:val="left" w:pos="315" w:leader="none"/>
          <w:tab w:val="center" w:pos="4153" w:leader="none"/>
        </w:tabs>
        <w:rPr>
          <w:rFonts w:hint="eastAsia" w:ascii="宋体" w:hAnsi="宋体" w:eastAsia="宋体" w:cs="宋体"/>
          <w:b/>
          <w:color w:val="auto"/>
          <w:sz w:val="32"/>
          <w:szCs w:val="32"/>
          <w:highlight w:val="none"/>
        </w:rPr>
        <w:sectPr>
          <w:footerReference w:type="default" r:id="rId9"/>
          <w:footnotePr/>
          <w:endnotePr/>
          <w:type w:val="nextPage"/>
          <w:pgSz w:w="11906" w:h="16838" w:orient="portrait"/>
          <w:pgMar w:top="1440" w:right="1417" w:bottom="1327" w:left="1417" w:header="851" w:footer="992" w:gutter="0"/>
          <w:cols w:num="1" w:sep="0" w:space="1701" w:equalWidth="1"/>
          <w:docGrid w:linePitch="360"/>
        </w:sectPr>
      </w:pPr>
      <w:r>
        <w:rPr>
          <w:rFonts w:hint="eastAsia" w:ascii="宋体" w:hAnsi="宋体" w:eastAsia="宋体" w:cs="宋体"/>
          <w:b/>
          <w:color w:val="auto"/>
          <w:sz w:val="32"/>
          <w:szCs w:val="32"/>
          <w:highlight w:val="none"/>
        </w:rPr>
      </w:r>
      <w:r/>
    </w:p>
    <w:p>
      <w:pPr>
        <w:jc w:val="center"/>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录</w:t>
      </w:r>
      <w:r/>
    </w:p>
    <w:p>
      <w:pPr>
        <w:jc w:val="center"/>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17"/>
        <w:spacing w:after="312" w:line="48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前附表</w:t>
      </w:r>
      <w:r/>
    </w:p>
    <w:p>
      <w:pPr>
        <w:pStyle w:val="917"/>
        <w:spacing w:after="312" w:line="48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投标邀请函</w:t>
      </w:r>
      <w:r/>
    </w:p>
    <w:p>
      <w:pPr>
        <w:pStyle w:val="917"/>
        <w:spacing w:after="312" w:line="48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p>
    <w:p>
      <w:pPr>
        <w:pStyle w:val="917"/>
        <w:spacing w:after="312" w:line="48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p>
    <w:p>
      <w:pPr>
        <w:pStyle w:val="917"/>
        <w:spacing w:after="312" w:line="48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p>
    <w:p>
      <w:pPr>
        <w:pStyle w:val="917"/>
        <w:spacing w:after="312" w:line="48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合同及主要条款</w:t>
      </w:r>
      <w:r/>
    </w:p>
    <w:p>
      <w:pPr>
        <w:pStyle w:val="917"/>
        <w:spacing w:after="312" w:line="48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评标办法和评分标准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pacing w:val="20"/>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t xml:space="preserve">前附表</w:t>
      </w:r>
      <w:r/>
    </w:p>
    <w:tbl>
      <w:tblPr>
        <w:tblStyle w:val="70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08"/>
        <w:gridCol w:w="2012"/>
        <w:gridCol w:w="6419"/>
      </w:tblGrid>
      <w:tr>
        <w:trPr>
          <w:trHeight w:val="8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               容</w:t>
            </w:r>
            <w:r/>
          </w:p>
        </w:tc>
      </w:tr>
      <w:tr>
        <w:trPr>
          <w:trHeight w:val="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JSZC-320505-HXGW-G2024-0087</w:t>
            </w:r>
            <w:r/>
          </w:p>
        </w:tc>
      </w:tr>
      <w:tr>
        <w:trPr>
          <w:trHeight w:val="6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2024-2026年苏州科技城土壤环境调查及地下水检测年度服务第二批次</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tabs>
                <w:tab w:val="left" w:pos="25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w:t>
            </w:r>
            <w:r/>
          </w:p>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名称：涵熙（苏州）工程顾问有限公司</w:t>
            </w:r>
            <w:r/>
          </w:p>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苏州高新区汾湖路99号狮山总部经济中心7幢3层</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联系人：邵赞瑜、邹雅琴</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联系电话：0512-69589240</w:t>
            </w:r>
            <w:r/>
          </w:p>
        </w:tc>
      </w:tr>
      <w:tr>
        <w:trPr>
          <w:trHeight w:val="171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名称：苏州科技城管理委员会</w:t>
            </w:r>
            <w:r/>
          </w:p>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cs="宋体"/>
                <w:color w:val="auto"/>
                <w:szCs w:val="21"/>
                <w:highlight w:val="none"/>
                <w:lang w:eastAsia="zh-CN"/>
              </w:rPr>
              <w:t xml:space="preserve">苏州高新区培源路3号软件大厦6号楼</w:t>
            </w:r>
            <w:r/>
          </w:p>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eastAsia="zh-CN"/>
              </w:rPr>
              <w:t xml:space="preserve">王晓东</w:t>
            </w:r>
            <w:r/>
          </w:p>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联系电话：0512-</w:t>
            </w:r>
            <w:r>
              <w:rPr>
                <w:rFonts w:hint="eastAsia" w:ascii="宋体" w:hAnsi="宋体" w:cs="宋体"/>
                <w:color w:val="auto"/>
                <w:szCs w:val="21"/>
                <w:highlight w:val="none"/>
                <w:lang w:eastAsia="zh-CN"/>
              </w:rPr>
              <w:t xml:space="preserve">66911726</w:t>
            </w:r>
            <w:r/>
          </w:p>
        </w:tc>
      </w:tr>
      <w:tr>
        <w:trPr>
          <w:trHeight w:val="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详见招标文件第二章</w:t>
            </w:r>
            <w:r/>
          </w:p>
        </w:tc>
      </w:tr>
      <w:tr>
        <w:trPr>
          <w:trHeight w:val="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本项目不收取投标保证金</w:t>
            </w:r>
            <w:r/>
          </w:p>
        </w:tc>
      </w:tr>
      <w:tr>
        <w:trPr>
          <w:trHeight w:val="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九十天（日历日）</w:t>
            </w:r>
            <w:r/>
          </w:p>
        </w:tc>
      </w:tr>
      <w:tr>
        <w:trPr>
          <w:trHeight w:val="8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获取招标文件</w:t>
            </w:r>
            <w:r/>
          </w:p>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自公告发布之日起5个工作日</w:t>
            </w:r>
            <w:r/>
          </w:p>
        </w:tc>
      </w:tr>
      <w:tr>
        <w:trPr>
          <w:trHeight w:val="1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投标文件网上</w:t>
            </w:r>
            <w:r/>
          </w:p>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2024年</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rPr>
              <w:t xml:space="preserve">：30（北京时间）</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投标文件必须在截止时间前完成提交（上传），逾期提交（上传）的投标文件恕不接受。</w:t>
            </w:r>
            <w:r/>
          </w:p>
        </w:tc>
      </w:tr>
      <w:tr>
        <w:trPr>
          <w:trHeight w:val="8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开标时间</w:t>
            </w:r>
            <w:r/>
          </w:p>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2024年</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rPr>
              <w:t xml:space="preserve">：30（北京时间）</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“苏采云”系统（网址：http://jszfcg.jsczt.cn/）</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8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评标时间</w:t>
            </w:r>
            <w:r/>
          </w:p>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2024年</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rPr>
              <w:t xml:space="preserve">：30（北京时间）</w:t>
            </w:r>
            <w:r/>
          </w:p>
          <w:p>
            <w:pPr>
              <w:jc w:val="left"/>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苏州市姑苏区平泷路251号城市生活广场西楼五楼</w:t>
            </w:r>
            <w:r/>
          </w:p>
        </w:tc>
      </w:tr>
      <w:tr>
        <w:trPr>
          <w:trHeight w:val="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2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本项目采用电子投标文件，投标单位按照招标文件要求制作上传电子投标文件，投标单位无需提供纸质投标文件。</w:t>
            </w:r>
            <w:r/>
          </w:p>
          <w:p>
            <w:pPr>
              <w:pStyle w:val="92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中标后中标单位提供与投标时上传的电子投标响应文件一致的全套纸质投标文件（四份），纸质投标文件送至采购代理机构。</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注：纸质投标文件仅用归档使用。</w:t>
            </w:r>
            <w:r/>
          </w:p>
        </w:tc>
      </w:tr>
      <w:tr>
        <w:trPr>
          <w:trHeight w:val="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w:t>
            </w:r>
            <w:r/>
          </w:p>
        </w:tc>
      </w:tr>
      <w:tr>
        <w:trPr>
          <w:trHeight w:val="54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2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由中标单位支付,以项目预算金额作为招标代理服务费的计算基数,按照以下差额定率累进法计算方法确定政府采购代理服务费金额：</w:t>
            </w:r>
            <w:r/>
          </w:p>
          <w:p>
            <w:pPr>
              <w:pStyle w:val="92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预算金额：100万元以下部分按预算金额的1.5%收取；</w:t>
            </w:r>
            <w:r/>
          </w:p>
          <w:p>
            <w:pPr>
              <w:pStyle w:val="92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预算金额：100万元（含）~500万元以下部分按预算金额的1.1%收取；</w:t>
            </w:r>
            <w:r/>
          </w:p>
          <w:p>
            <w:pPr>
              <w:pStyle w:val="92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预算金额：500万元（含）~1000万元以下部分按预算金额的0.8%收取；</w:t>
            </w:r>
            <w:r/>
          </w:p>
          <w:p>
            <w:pPr>
              <w:pStyle w:val="92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预算金额：1000万元（含）~5000万元以下部分按预算金额的0.5%收取；</w:t>
            </w:r>
            <w:r/>
          </w:p>
          <w:p>
            <w:pPr>
              <w:pStyle w:val="92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预算金额：5000万元（含）以上部分按预算金额的0.25%收取；领取中标通知书时向招标代理机构一次性付清。</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本项目一标段中标服务费为</w:t>
            </w:r>
            <w:r>
              <w:rPr>
                <w:rFonts w:hint="eastAsia" w:ascii="宋体" w:hAnsi="宋体" w:eastAsia="宋体" w:cs="宋体"/>
                <w:color w:val="auto"/>
                <w:szCs w:val="21"/>
                <w:highlight w:val="none"/>
                <w:lang w:val="en-US" w:eastAsia="zh-CN"/>
              </w:rPr>
              <w:t xml:space="preserve">贰万零伍佰</w:t>
            </w:r>
            <w:r>
              <w:rPr>
                <w:rFonts w:hint="eastAsia" w:ascii="宋体" w:hAnsi="宋体" w:eastAsia="宋体" w:cs="宋体"/>
                <w:color w:val="auto"/>
                <w:szCs w:val="21"/>
                <w:highlight w:val="none"/>
              </w:rPr>
              <w:t xml:space="preserve">元整（￥：</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500.00）；二标段中标服务费为</w:t>
            </w:r>
            <w:r>
              <w:rPr>
                <w:rFonts w:hint="eastAsia" w:ascii="宋体" w:hAnsi="宋体" w:eastAsia="宋体" w:cs="宋体"/>
                <w:color w:val="auto"/>
                <w:szCs w:val="21"/>
                <w:highlight w:val="none"/>
                <w:lang w:val="en-US" w:eastAsia="zh-CN"/>
              </w:rPr>
              <w:t xml:space="preserve">贰万零伍佰</w:t>
            </w:r>
            <w:r>
              <w:rPr>
                <w:rFonts w:hint="eastAsia" w:ascii="宋体" w:hAnsi="宋体" w:eastAsia="宋体" w:cs="宋体"/>
                <w:color w:val="auto"/>
                <w:szCs w:val="21"/>
                <w:highlight w:val="none"/>
              </w:rPr>
              <w:t xml:space="preserve">元整（￥：</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500.00），由各标段中标单位支付。</w:t>
            </w:r>
            <w:r/>
          </w:p>
        </w:tc>
      </w:tr>
      <w:tr>
        <w:trPr>
          <w:trHeight w:val="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p>
        </w:tc>
      </w:tr>
      <w:tr>
        <w:trPr>
          <w:trHeight w:val="17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中标（未中标）通知书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34"/>
              <w:ind w:firstLine="0"/>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确定出中标人后，采购代理机构在法定时间内向中标人发出中标通知书。中标通知书将成为合同的组成部分。</w:t>
            </w:r>
            <w:r/>
          </w:p>
          <w:p>
            <w:pPr>
              <w:pStyle w:val="934"/>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rPr>
              <w:t xml:space="preserve">请中标人在中标结果公告届满之日起30日内,使用CA证书登录“苏采云”系统及时下载中标通知书。</w:t>
            </w:r>
            <w:r/>
          </w:p>
        </w:tc>
      </w:tr>
      <w:tr>
        <w:trPr>
          <w:trHeight w:val="2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出现下列情形之一的，为废标： </w:t>
            </w:r>
            <w:r/>
          </w:p>
          <w:p>
            <w:pPr>
              <w:numPr>
                <w:ilvl w:val="0"/>
                <w:numId w:val="1"/>
              </w:numPr>
              <w:jc w:val="left"/>
              <w:spacing w:line="440" w:lineRule="exact"/>
              <w:tabs>
                <w:tab w:val="left" w:pos="420" w:leader="none"/>
              </w:tabs>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各标段</w:t>
            </w:r>
            <w:r>
              <w:rPr>
                <w:rFonts w:hint="eastAsia" w:ascii="宋体" w:hAnsi="宋体" w:eastAsia="宋体" w:cs="宋体"/>
                <w:color w:val="auto"/>
                <w:szCs w:val="21"/>
                <w:highlight w:val="none"/>
              </w:rPr>
              <w:t xml:space="preserve">符合专业条件的投标人或者对招标文件作实质响应的各标段投标人不足三家的；</w:t>
            </w:r>
            <w:r/>
          </w:p>
          <w:p>
            <w:pPr>
              <w:numPr>
                <w:ilvl w:val="0"/>
                <w:numId w:val="1"/>
              </w:numPr>
              <w:jc w:val="left"/>
              <w:spacing w:line="440" w:lineRule="exact"/>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出现影响采购公正的违法、违规行为的； </w:t>
            </w:r>
            <w:r/>
          </w:p>
          <w:p>
            <w:pPr>
              <w:jc w:val="left"/>
              <w:spacing w:line="440" w:lineRule="exact"/>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（三）投标人的报价均超过了采购预算，采购人不能支付的； </w:t>
            </w:r>
            <w:r/>
          </w:p>
          <w:p>
            <w:pPr>
              <w:jc w:val="left"/>
              <w:spacing w:line="440" w:lineRule="exact"/>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（四）因重大变故，采购任务取消的。</w:t>
            </w:r>
            <w:r/>
          </w:p>
        </w:tc>
      </w:tr>
      <w:tr>
        <w:trPr>
          <w:trHeight w:val="31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360" w:lineRule="auto"/>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投标文件属下列情况之一的，在资格性、符合性检查时按照无效投标处理：</w:t>
            </w:r>
            <w:r/>
          </w:p>
          <w:p>
            <w:pPr>
              <w:jc w:val="left"/>
              <w:spacing w:line="360" w:lineRule="auto"/>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（一）未按照招标文件规定要求签署、盖章的；</w:t>
            </w:r>
            <w:r/>
          </w:p>
          <w:p>
            <w:pPr>
              <w:jc w:val="left"/>
              <w:spacing w:line="360" w:lineRule="auto"/>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（二）不具备招标文件中规定资格要求的；</w:t>
            </w:r>
            <w:r/>
          </w:p>
          <w:p>
            <w:pPr>
              <w:jc w:val="left"/>
              <w:spacing w:line="360" w:lineRule="auto"/>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（三）报价超过招标文件中规定的预算金额或者最高限价的；</w:t>
            </w:r>
            <w:r/>
          </w:p>
          <w:p>
            <w:pPr>
              <w:jc w:val="left"/>
              <w:spacing w:line="360" w:lineRule="auto"/>
              <w:tabs>
                <w:tab w:val="left" w:pos="4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（四）投标文件含有采购人不能接受的附加条件的；</w:t>
            </w:r>
            <w:r/>
          </w:p>
          <w:p>
            <w:pPr>
              <w:ind w:left="0"/>
              <w:jc w:val="left"/>
              <w:spacing w:line="360" w:lineRule="auto"/>
              <w:tabs>
                <w:tab w:val="left" w:pos="4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（五）法律、法规和招标文件规定的其他无效情形</w:t>
            </w:r>
            <w:r>
              <w:rPr>
                <w:rFonts w:hint="eastAsia" w:ascii="宋体" w:hAnsi="宋体" w:eastAsia="宋体" w:cs="宋体"/>
                <w:color w:val="auto"/>
                <w:szCs w:val="21"/>
                <w:highlight w:val="none"/>
                <w:lang w:eastAsia="zh-CN"/>
              </w:rPr>
              <w:t xml:space="preserve">；</w:t>
            </w:r>
            <w:r/>
          </w:p>
          <w:p>
            <w:pPr>
              <w:ind w:left="0"/>
              <w:jc w:val="left"/>
              <w:spacing w:line="360" w:lineRule="auto"/>
              <w:tabs>
                <w:tab w:val="left" w:pos="420" w:leader="none"/>
              </w:tabs>
              <w:rPr>
                <w:rFonts w:hint="eastAsia" w:ascii="宋体" w:hAnsi="宋体" w:eastAsia="宋体" w:cs="宋体"/>
                <w:color w:val="auto"/>
                <w:szCs w:val="21"/>
                <w:highlight w:val="none"/>
                <w:lang w:val="en-US" w:eastAsia="zh-CN"/>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）机器码检查中，出现不同投标人投标文件机器码一致情形的</w:t>
            </w:r>
            <w:r>
              <w:rPr>
                <w:rFonts w:hint="eastAsia" w:ascii="宋体" w:hAnsi="宋体" w:eastAsia="宋体" w:cs="宋体"/>
                <w:b/>
                <w:color w:val="auto"/>
                <w:sz w:val="21"/>
                <w:szCs w:val="21"/>
                <w:highlight w:val="none"/>
                <w:lang w:eastAsia="zh-CN"/>
              </w:rPr>
              <w:t xml:space="preserve">。</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6"/>
          <w:highlight w:val="none"/>
        </w:rPr>
        <w:t xml:space="preserve">   </w:t>
      </w:r>
      <w:r>
        <w:rPr>
          <w:rFonts w:hint="eastAsia" w:ascii="宋体" w:hAnsi="宋体" w:eastAsia="宋体" w:cs="宋体"/>
          <w:b/>
          <w:color w:val="auto"/>
          <w:sz w:val="32"/>
          <w:highlight w:val="none"/>
        </w:rPr>
        <w:t xml:space="preserve">  第一章 投标邀请函</w:t>
      </w:r>
      <w:r/>
    </w:p>
    <w:tbl>
      <w:tblPr>
        <w:tblStyle w:val="952"/>
        <w:tblW w:w="9561" w:type="dxa"/>
        <w:tblInd w:w="-85"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561"/>
      </w:tblGrid>
      <w:tr>
        <w:trPr>
          <w:trHeight w:val="905"/>
        </w:trPr>
        <w:tc>
          <w:tcPr>
            <w:tcW w:w="9561" w:type="dxa"/>
            <w:vAlign w:val="top"/>
            <w:textDirection w:val="lrTb"/>
            <w:noWrap w:val="false"/>
          </w:tcPr>
          <w:p>
            <w:pPr>
              <w:ind w:firstLine="424"/>
              <w:jc w:val="both"/>
              <w:spacing w:line="360"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项目概况：</w:t>
            </w:r>
            <w:r/>
          </w:p>
          <w:p>
            <w:pPr>
              <w:ind w:firstLine="42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u w:val="none"/>
                <w:lang w:eastAsia="zh-CN"/>
              </w:rPr>
              <w:t xml:space="preserve">2024-2026年苏州科技城土壤环境调查及地下水检测年度服务第二批次</w:t>
            </w:r>
            <w:r>
              <w:rPr>
                <w:rFonts w:hint="eastAsia" w:ascii="宋体" w:hAnsi="宋体" w:cs="宋体"/>
                <w:color w:val="auto"/>
                <w:szCs w:val="21"/>
                <w:highlight w:val="none"/>
                <w:u w:val="none"/>
                <w:lang w:eastAsia="zh-CN"/>
              </w:rPr>
              <w:t xml:space="preserve">JSZC-320505-HXGW-G2024-0087</w:t>
            </w:r>
            <w:r>
              <w:rPr>
                <w:rFonts w:hint="eastAsia" w:ascii="宋体" w:hAnsi="宋体" w:eastAsia="宋体" w:cs="宋体"/>
                <w:color w:val="auto"/>
                <w:highlight w:val="none"/>
                <w:u w:val="none"/>
              </w:rPr>
              <w:t xml:space="preserve">招标项目的潜在投标人应在苏采云系统获取招标文件，并于2024</w:t>
            </w:r>
            <w:r>
              <w:rPr>
                <w:rFonts w:hint="eastAsia" w:ascii="宋体" w:hAnsi="宋体" w:eastAsia="宋体" w:cs="宋体"/>
                <w:color w:val="auto"/>
                <w:highlight w:val="none"/>
                <w:u w:val="none"/>
                <w:lang w:val="en-US" w:eastAsia="zh-CN"/>
              </w:rPr>
              <w:t xml:space="preserve">-12-12 09</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rPr>
              <w:t xml:space="preserve">30（北京时间）前递交投标文件。</w:t>
            </w:r>
            <w:r/>
          </w:p>
        </w:tc>
      </w:tr>
    </w:tbl>
    <w:p>
      <w:pPr>
        <w:jc w:val="left"/>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jc w:val="left"/>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JSZC-320505-HXGW-G2024-0087</w:t>
      </w:r>
      <w:r/>
    </w:p>
    <w:p>
      <w:pPr>
        <w:ind w:firstLine="420"/>
        <w:jc w:val="left"/>
        <w:spacing w:line="400" w:lineRule="exact"/>
        <w:rPr>
          <w:rFonts w:hint="eastAsia" w:ascii="宋体" w:hAnsi="宋体" w:eastAsia="宋体" w:cs="宋体"/>
          <w:color w:val="auto"/>
          <w:szCs w:val="21"/>
          <w:highlight w:val="none"/>
          <w:lang w:eastAsia="zh-CN"/>
        </w:rPr>
      </w:pPr>
      <w:r/>
      <w:bookmarkStart w:id="0" w:name="_Toc6572"/>
      <w:r/>
      <w:bookmarkStart w:id="1" w:name="_Toc25156"/>
      <w:r>
        <w:rPr>
          <w:rFonts w:hint="eastAsia" w:ascii="宋体" w:hAnsi="宋体" w:eastAsia="宋体" w:cs="宋体"/>
          <w:color w:val="auto"/>
          <w:szCs w:val="21"/>
          <w:highlight w:val="none"/>
        </w:rPr>
        <w:t xml:space="preserve">项目名称：</w:t>
      </w:r>
      <w:bookmarkEnd w:id="0"/>
      <w:r/>
      <w:bookmarkEnd w:id="1"/>
      <w:r>
        <w:rPr>
          <w:rFonts w:hint="eastAsia" w:ascii="宋体" w:hAnsi="宋体" w:eastAsia="宋体" w:cs="宋体"/>
          <w:color w:val="auto"/>
          <w:szCs w:val="21"/>
          <w:highlight w:val="none"/>
          <w:lang w:eastAsia="zh-CN"/>
        </w:rPr>
        <w:t xml:space="preserve">2024-2026年苏州科技城土壤环境调查及地下水检测年度服务第二批次</w:t>
      </w:r>
      <w:r/>
    </w:p>
    <w:p>
      <w:pPr>
        <w:ind w:firstLine="420"/>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预算金额：</w:t>
      </w:r>
      <w:r>
        <w:rPr>
          <w:rFonts w:hint="eastAsia" w:ascii="宋体" w:hAnsi="宋体" w:eastAsia="宋体" w:cs="宋体"/>
          <w:color w:val="auto"/>
          <w:szCs w:val="21"/>
          <w:highlight w:val="none"/>
          <w:lang w:eastAsia="zh-CN"/>
        </w:rPr>
        <w:t xml:space="preserve">300</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000000</w:t>
      </w:r>
      <w:r>
        <w:rPr>
          <w:rFonts w:hint="eastAsia" w:ascii="宋体" w:hAnsi="宋体" w:eastAsia="宋体" w:cs="宋体"/>
          <w:color w:val="auto"/>
          <w:szCs w:val="21"/>
          <w:highlight w:val="none"/>
          <w:lang w:val="en-US" w:eastAsia="zh-CN"/>
        </w:rPr>
        <w:t xml:space="preserve">万元（</w:t>
      </w:r>
      <w:r>
        <w:rPr>
          <w:rFonts w:hint="eastAsia" w:ascii="宋体" w:hAnsi="宋体" w:eastAsia="宋体" w:cs="宋体"/>
          <w:color w:val="auto"/>
          <w:sz w:val="21"/>
          <w:szCs w:val="21"/>
          <w:highlight w:val="none"/>
        </w:rPr>
        <w:t xml:space="preserve">采购包1：</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.000000万元；采购包2：</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.000000万元</w:t>
      </w:r>
      <w:r>
        <w:rPr>
          <w:rFonts w:hint="eastAsia" w:ascii="宋体" w:hAnsi="宋体" w:eastAsia="宋体" w:cs="宋体"/>
          <w:color w:val="auto"/>
          <w:szCs w:val="21"/>
          <w:highlight w:val="none"/>
          <w:lang w:val="en-US" w:eastAsia="zh-CN"/>
        </w:rPr>
        <w:t xml:space="preserve">）</w:t>
      </w:r>
      <w:r/>
    </w:p>
    <w:p>
      <w:pPr>
        <w:ind w:left="420" w:firstLine="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最高限价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300</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000000</w:t>
      </w:r>
      <w:r>
        <w:rPr>
          <w:rFonts w:hint="eastAsia" w:ascii="宋体" w:hAnsi="宋体" w:eastAsia="宋体" w:cs="宋体"/>
          <w:color w:val="auto"/>
          <w:szCs w:val="21"/>
          <w:highlight w:val="none"/>
          <w:lang w:val="en-US" w:eastAsia="zh-CN"/>
        </w:rPr>
        <w:t xml:space="preserve">万元（</w:t>
      </w:r>
      <w:r>
        <w:rPr>
          <w:rFonts w:hint="eastAsia" w:ascii="宋体" w:hAnsi="宋体" w:eastAsia="宋体" w:cs="宋体"/>
          <w:color w:val="auto"/>
          <w:sz w:val="21"/>
          <w:szCs w:val="21"/>
          <w:highlight w:val="none"/>
        </w:rPr>
        <w:t xml:space="preserve">采购包1：</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.000000万元；采购包2：</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.000000</w:t>
      </w:r>
      <w:r/>
    </w:p>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Cs w:val="21"/>
          <w:highlight w:val="none"/>
          <w:lang w:val="en-US" w:eastAsia="zh-CN"/>
        </w:rPr>
        <w:t xml:space="preserve">）</w:t>
      </w:r>
      <w:r/>
    </w:p>
    <w:p>
      <w:pPr>
        <w:ind w:left="420" w:firstLine="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本项目各标段按固定</w:t>
      </w:r>
      <w:r>
        <w:rPr>
          <w:rFonts w:hint="eastAsia" w:ascii="宋体" w:hAnsi="宋体" w:cs="宋体"/>
          <w:color w:val="auto"/>
          <w:szCs w:val="21"/>
          <w:highlight w:val="none"/>
          <w:lang w:val="en-US" w:eastAsia="zh-CN"/>
        </w:rPr>
        <w:t xml:space="preserve">优惠率</w:t>
      </w:r>
      <w:r>
        <w:rPr>
          <w:rFonts w:hint="eastAsia" w:ascii="宋体" w:hAnsi="宋体" w:eastAsia="宋体" w:cs="宋体"/>
          <w:color w:val="auto"/>
          <w:szCs w:val="21"/>
          <w:highlight w:val="none"/>
        </w:rPr>
        <w:t xml:space="preserve">报价，结算时按照土壤污染状况调查计费表固定单价结合固</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w:t>
      </w:r>
      <w:r>
        <w:rPr>
          <w:rFonts w:hint="eastAsia" w:ascii="宋体" w:hAnsi="宋体" w:cs="宋体"/>
          <w:color w:val="auto"/>
          <w:szCs w:val="21"/>
          <w:highlight w:val="none"/>
          <w:lang w:val="en-US" w:eastAsia="zh-CN"/>
        </w:rPr>
        <w:t xml:space="preserve">优惠率</w:t>
      </w:r>
      <w:r>
        <w:rPr>
          <w:rFonts w:hint="eastAsia" w:ascii="宋体" w:hAnsi="宋体" w:eastAsia="宋体" w:cs="宋体"/>
          <w:color w:val="auto"/>
          <w:szCs w:val="21"/>
          <w:highlight w:val="none"/>
        </w:rPr>
        <w:t xml:space="preserve">，并根据调查地块的面积分段按实结算。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采购需求：根据《土壤环境质量建设用地土壤污染风险管控标准》、《城市用地分类与规划建设用地标准》等文件规定，土壤污染状况调查地块的类型主要分为两大类，本项目主要为“第二类用地” 包括</w:t>
      </w:r>
      <w:r>
        <w:rPr>
          <w:rFonts w:hint="eastAsia" w:ascii="宋体" w:hAnsi="宋体" w:eastAsia="宋体" w:cs="宋体"/>
          <w:color w:val="auto"/>
          <w:szCs w:val="21"/>
          <w:highlight w:val="none"/>
        </w:rPr>
        <w:t xml:space="preserve">GB 50137规定的城市建设用地中的工业用地（M）、物流仓储用地（W），商业服务业设施用地（B）,道路与交通设施用地（S）,公用设施用地(U)，公共管理与公共服务用地（A）(A33,A5,A6除外)，以及绿地与广场用地（G）(G1中的社区公园或儿童公园用地除外)等土地上市环节的调查工作。主要内容和标准须满足所有相关政策文件，主要包括但不限于：调查方案编制、地块历史资料收集、现场踏勘、人员访谈、样品采集、土壤现场快速筛查、必要时进行土壤及地下水样品实验室检测，土壤污染状况调查报告编制、专家评审及备案等内容。</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特别说明，若资料收集过程中未找到能够真实反应项目地块的地勘资料，调查单位应于调查方案编制前委托具备勘察资质的第三方开展地质勘察，查明项目所在地土层结构、地下水水位、流向等基本信息，为调查方案编制提供有力的支撑材料。具体详见招标文件要求</w:t>
      </w:r>
      <w:r>
        <w:rPr>
          <w:rFonts w:hint="eastAsia" w:ascii="宋体" w:hAnsi="宋体" w:eastAsia="宋体" w:cs="宋体"/>
          <w:color w:val="auto"/>
          <w:szCs w:val="21"/>
          <w:highlight w:val="none"/>
          <w:lang w:eastAsia="zh-CN"/>
        </w:rPr>
        <w:t xml:space="preserve">。</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rPr>
          <w:rFonts w:hint="eastAsia" w:ascii="宋体" w:hAnsi="宋体" w:eastAsia="宋体" w:cs="宋体"/>
          <w:color w:val="auto"/>
          <w:szCs w:val="21"/>
          <w:highlight w:val="none"/>
          <w:lang w:eastAsia="zh-CN"/>
        </w:rPr>
        <w:t xml:space="preserve">自合同签订之日三年。三年履行期满或最终实际结算额达到各标段预算金额即合同履行完毕。如已委托项目尚未完成，则合同有效期延长至该项目结束中标单位履行完毕全部义务为止。</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4"/>
          <w:highlight w:val="none"/>
          <w:shd w:val="clear" w:color="auto" w:fill="ffffff"/>
        </w:rPr>
        <w:t xml:space="preserve">本项目（是/否）接受联合体投标：否</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二、申请人的资格要求</w:t>
      </w:r>
      <w:r/>
    </w:p>
    <w:p>
      <w:pPr>
        <w:ind w:firstLine="21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满足《中华人民共和国政府采购法》第二十二条规定：</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具有独立承担民事责任的能力； </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具有良好的商业信誉和健全的财务会计制度；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具有履行合同所必须的设备和专业技术能力；</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有依法缴纳税收和社会保障资金的良好记录；</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参加政府采购活动前三年内，在经营活动中没有重大违法记录；</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法律、行政法规规定的其他条件。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b/>
          <w:bCs/>
          <w:color w:val="auto"/>
          <w:szCs w:val="21"/>
          <w:highlight w:val="none"/>
        </w:rPr>
        <w:t xml:space="preserve">本项目专门面向中小企业采购，所属行业为其他未列明行业。</w:t>
      </w:r>
      <w:r>
        <w:rPr>
          <w:rFonts w:hint="eastAsia" w:ascii="宋体" w:hAnsi="宋体" w:eastAsia="宋体" w:cs="宋体"/>
          <w:color w:val="auto"/>
          <w:szCs w:val="21"/>
          <w:highlight w:val="none"/>
        </w:rPr>
        <w:t xml:space="preserve">投标人必须提供《中小企业声明函》或《残疾人福利性单位声明函》或由省级以上监狱管理局、戒毒管理局（含新疆生产建设兵团）出具的属于监狱企业的证明文件。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本项目的特定资格要求：未被“信用中国”或“中国政府采购网”网站列入失信被执行人、重大税收违法案件当事人名单、政府采购严重失信行为记录名单。</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三、获取招标文件</w:t>
      </w:r>
      <w:r/>
    </w:p>
    <w:p>
      <w:pPr>
        <w:ind w:firstLine="420"/>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时间：</w:t>
      </w:r>
      <w:r>
        <w:rPr>
          <w:rFonts w:hint="eastAsia" w:ascii="宋体" w:hAnsi="宋体" w:cs="宋体"/>
          <w:color w:val="auto"/>
          <w:szCs w:val="21"/>
          <w:highlight w:val="none"/>
          <w:lang w:val="en-US" w:eastAsia="zh-CN"/>
        </w:rPr>
        <w:t xml:space="preserve">自招标文件公告发布之日起5个工作日</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地点：苏采云系统</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方式：自行下载</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售价：0.00元</w:t>
      </w:r>
      <w:r/>
    </w:p>
    <w:p>
      <w:pPr>
        <w:numPr>
          <w:ilvl w:val="0"/>
          <w:numId w:val="2"/>
        </w:num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提交投标文件截止时间、开标时间和地点</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2024-</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0（北京时间）</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地点：“苏采云”系统</w:t>
      </w:r>
      <w:r/>
    </w:p>
    <w:p>
      <w:pPr>
        <w:numPr>
          <w:ilvl w:val="0"/>
          <w:numId w:val="2"/>
        </w:num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公告期限</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六、其他相关事宜</w:t>
      </w:r>
      <w:r/>
    </w:p>
    <w:p>
      <w:pPr>
        <w:ind w:firstLine="480"/>
        <w:jc w:val="both"/>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1、CA证书办理</w:t>
      </w:r>
      <w:r/>
    </w:p>
    <w:p>
      <w:pPr>
        <w:ind w:firstLine="480"/>
        <w:jc w:val="both"/>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供应商</w:t>
      </w:r>
      <w:r>
        <w:rPr>
          <w:rFonts w:hint="eastAsia" w:ascii="宋体" w:hAnsi="宋体" w:eastAsia="宋体" w:cs="宋体"/>
          <w:bCs/>
          <w:color w:val="auto"/>
          <w:sz w:val="21"/>
          <w:szCs w:val="21"/>
          <w:highlight w:val="none"/>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both"/>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2、依法获取采购文件</w:t>
      </w:r>
      <w:r/>
    </w:p>
    <w:p>
      <w:pPr>
        <w:ind w:firstLine="480"/>
        <w:jc w:val="both"/>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供应商插入CA证书登陆</w:t>
      </w:r>
      <w:r>
        <w:rPr>
          <w:rFonts w:hint="eastAsia" w:ascii="宋体" w:hAnsi="宋体" w:eastAsia="宋体" w:cs="宋体"/>
          <w:bCs/>
          <w:color w:val="auto"/>
          <w:sz w:val="21"/>
          <w:szCs w:val="21"/>
          <w:highlight w:val="none"/>
          <w:lang w:bidi="ar"/>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jc w:val="both"/>
        <w:keepLines w:val="0"/>
        <w:keepNext w:val="0"/>
        <w:pageBreakBefore w:val="0"/>
        <w:spacing w:line="400" w:lineRule="exact"/>
        <w:widowControl w:val="off"/>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更正（补充）公告及附件的获取：项目的招标（采购）文件的更正、补充（澄清）通知作为招标（采购）文件的组成部分，对</w:t>
      </w:r>
      <w:r>
        <w:rPr>
          <w:rFonts w:hint="eastAsia" w:ascii="宋体" w:hAnsi="宋体" w:eastAsia="宋体" w:cs="宋体"/>
          <w:bCs/>
          <w:color w:val="auto"/>
          <w:sz w:val="21"/>
          <w:szCs w:val="21"/>
          <w:highlight w:val="none"/>
          <w:lang w:eastAsia="zh-CN" w:bidi="ar"/>
        </w:rPr>
        <w:t xml:space="preserve">投标人</w:t>
      </w:r>
      <w:r>
        <w:rPr>
          <w:rFonts w:hint="eastAsia" w:ascii="宋体" w:hAnsi="宋体" w:eastAsia="宋体" w:cs="宋体"/>
          <w:bCs/>
          <w:color w:val="auto"/>
          <w:sz w:val="21"/>
          <w:szCs w:val="21"/>
          <w:highlight w:val="none"/>
          <w:lang w:bidi="ar"/>
        </w:rPr>
        <w:t xml:space="preserve">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jc w:val="both"/>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3、电子投标（响应）准备</w:t>
      </w:r>
      <w:r/>
    </w:p>
    <w:p>
      <w:pPr>
        <w:ind w:firstLine="480"/>
        <w:jc w:val="both"/>
        <w:keepLines w:val="0"/>
        <w:keepNext w:val="0"/>
        <w:pageBreakBefore w:val="0"/>
        <w:spacing w:line="400" w:lineRule="exact"/>
        <w:widowControl w:val="off"/>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p>
    <w:p>
      <w:pPr>
        <w:ind w:firstLine="480"/>
        <w:jc w:val="both"/>
        <w:keepLines w:val="0"/>
        <w:keepNext w:val="0"/>
        <w:pageBreakBefore w:val="0"/>
        <w:spacing w:line="40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lang w:bidi="ar"/>
        </w:rPr>
        <w:t xml:space="preserve">本项目采用电子招投标形式，请供应商按照《苏采云系统供应商操作手册》进行制作、上传电子投标（响应）文件。电子投标（响应）文件制作完成后请于投标（响应）文件递交截止时间前成功上传至“苏采云”系统，否则视为放弃参加该采购项目。</w:t>
      </w:r>
      <w:r>
        <w:rPr>
          <w:rFonts w:hint="eastAsia" w:ascii="宋体" w:hAnsi="宋体" w:eastAsia="宋体" w:cs="宋体"/>
          <w:color w:val="auto"/>
          <w:sz w:val="21"/>
          <w:szCs w:val="21"/>
          <w:highlight w:val="none"/>
          <w:lang w:bidi="ar"/>
        </w:rPr>
        <w:t xml:space="preserve">供应商应充分考虑到网络环境、网络带宽等风险因素，如因供应商自身原因造成的电子投标（响应）文件上传不成功由供应商自行承担全部责任。</w:t>
      </w:r>
      <w:r/>
    </w:p>
    <w:p>
      <w:pPr>
        <w:ind w:firstLine="48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4、在系统操作过程中如有疑问，请按以下方式联系：</w:t>
      </w:r>
      <w:r/>
    </w:p>
    <w:p>
      <w:pPr>
        <w:ind w:firstLine="48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注册咨询：</w:t>
      </w:r>
      <w:r>
        <w:rPr>
          <w:rFonts w:hint="eastAsia" w:ascii="宋体" w:hAnsi="宋体" w:eastAsia="宋体" w:cs="宋体"/>
          <w:color w:val="auto"/>
          <w:sz w:val="21"/>
          <w:szCs w:val="21"/>
          <w:highlight w:val="none"/>
          <w:lang w:val="en-US" w:eastAsia="zh-CN"/>
        </w:rPr>
        <w:t xml:space="preserve">0512-69820854</w:t>
      </w:r>
      <w:r>
        <w:rPr>
          <w:rFonts w:hint="eastAsia" w:ascii="宋体" w:hAnsi="宋体" w:eastAsia="宋体" w:cs="宋体"/>
          <w:color w:val="auto"/>
          <w:sz w:val="21"/>
          <w:szCs w:val="21"/>
          <w:highlight w:val="none"/>
        </w:rPr>
        <w:t xml:space="preserve">；</w:t>
      </w:r>
      <w:r/>
    </w:p>
    <w:p>
      <w:pPr>
        <w:ind w:firstLine="48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CA技术咨询服务电话：400-608-6099</w:t>
      </w:r>
      <w:r/>
    </w:p>
    <w:p>
      <w:pPr>
        <w:ind w:firstLine="48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电子签章技术咨询服务电话：025-83633811、025-83633812、15380932027、15371015030；</w:t>
      </w:r>
      <w:r/>
    </w:p>
    <w:p>
      <w:pPr>
        <w:ind w:firstLine="48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系统使用指导与咨询：联系电话：</w:t>
      </w:r>
      <w:r>
        <w:rPr>
          <w:rFonts w:hint="eastAsia" w:ascii="宋体" w:hAnsi="宋体" w:eastAsia="宋体" w:cs="宋体"/>
          <w:color w:val="auto"/>
          <w:sz w:val="21"/>
          <w:szCs w:val="21"/>
          <w:highlight w:val="none"/>
          <w:lang w:val="en-US"/>
        </w:rPr>
        <w:t xml:space="preserve">0512-69820854</w:t>
      </w:r>
      <w:r>
        <w:rPr>
          <w:rFonts w:hint="eastAsia" w:ascii="宋体" w:hAnsi="宋体" w:eastAsia="宋体" w:cs="宋体"/>
          <w:color w:val="auto"/>
          <w:sz w:val="21"/>
          <w:szCs w:val="21"/>
          <w:highlight w:val="none"/>
        </w:rPr>
        <w:t xml:space="preserve">；智能客服：登录苏采云系统后，联系系统右下方智能客服图标进行咨询。</w:t>
      </w:r>
      <w:r/>
    </w:p>
    <w:p>
      <w:pPr>
        <w:ind w:firstLine="480"/>
        <w:jc w:val="both"/>
        <w:keepLines w:val="0"/>
        <w:keepNext w:val="0"/>
        <w:pageBreakBefore w:val="0"/>
        <w:spacing w:line="400" w:lineRule="exact"/>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rPr>
        <w:t xml:space="preserve">5、</w:t>
      </w:r>
      <w:r>
        <w:rPr>
          <w:rFonts w:hint="eastAsia" w:ascii="宋体" w:hAnsi="宋体" w:eastAsia="宋体" w:cs="宋体"/>
          <w:bCs/>
          <w:color w:val="auto"/>
          <w:sz w:val="21"/>
          <w:szCs w:val="21"/>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lang w:bidi="ar"/>
        </w:rPr>
        <w:t xml:space="preserve">本项目为不见面开标项目，开标阶段供应商在【供应商解密】环节必须使用 CA证书解密电子投标（响应）文件，如在系统规定的解密时间（投标/</w:t>
      </w:r>
      <w:r>
        <w:rPr>
          <w:rFonts w:hint="eastAsia" w:ascii="宋体" w:hAnsi="宋体" w:cs="宋体"/>
          <w:b/>
          <w:bCs/>
          <w:color w:val="auto"/>
          <w:sz w:val="21"/>
          <w:szCs w:val="21"/>
          <w:highlight w:val="none"/>
          <w:lang w:val="en-US" w:eastAsia="zh-CN" w:bidi="ar"/>
        </w:rPr>
        <w:t xml:space="preserve">响应</w:t>
      </w:r>
      <w:r>
        <w:rPr>
          <w:rFonts w:hint="eastAsia" w:ascii="宋体" w:hAnsi="宋体" w:eastAsia="宋体" w:cs="宋体"/>
          <w:b/>
          <w:bCs/>
          <w:color w:val="auto"/>
          <w:sz w:val="21"/>
          <w:szCs w:val="21"/>
          <w:highlight w:val="none"/>
          <w:lang w:bidi="ar"/>
        </w:rPr>
        <w:t xml:space="preserve">文件提交截止时间后30分钟）内未能完成解密的视为放弃投标。</w:t>
      </w:r>
      <w:r/>
    </w:p>
    <w:p>
      <w:pPr>
        <w:ind w:firstLine="480"/>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6、本项目获取招标（采购）文件截止日期之后下载的招标（采购）文件，视为非有效方式且不作为供应商权益受到损害的证明材料和依据。</w:t>
      </w:r>
      <w:r/>
    </w:p>
    <w:p>
      <w:pPr>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bidi="ar"/>
        </w:rPr>
        <w:t xml:space="preserve">为采购项目提供整体设计、规范编制或者项目管理、监理、监测等服务的供应商，不得再参加该采购项目的其他采购活动。</w:t>
      </w:r>
      <w:r/>
    </w:p>
    <w:p>
      <w:pPr>
        <w:ind w:firstLine="480"/>
        <w:jc w:val="both"/>
        <w:keepLines w:val="0"/>
        <w:keepNext w:val="0"/>
        <w:pageBreakBefore w:val="0"/>
        <w:spacing w:line="400" w:lineRule="exact"/>
        <w:widowControl w:val="off"/>
        <w:tabs>
          <w:tab w:val="left" w:pos="148"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9、不同供应商</w:t>
      </w:r>
      <w:r>
        <w:rPr>
          <w:rFonts w:hint="eastAsia" w:ascii="宋体" w:hAnsi="宋体" w:eastAsia="宋体" w:cs="宋体"/>
          <w:b/>
          <w:bCs/>
          <w:color w:val="auto"/>
          <w:sz w:val="21"/>
          <w:szCs w:val="21"/>
          <w:highlight w:val="none"/>
          <w:lang w:eastAsia="zh-CN" w:bidi="ar"/>
        </w:rPr>
        <w:t xml:space="preserve">的</w:t>
      </w:r>
      <w:r>
        <w:rPr>
          <w:rFonts w:hint="eastAsia" w:ascii="宋体" w:hAnsi="宋体" w:eastAsia="宋体" w:cs="宋体"/>
          <w:b/>
          <w:bCs/>
          <w:color w:val="auto"/>
          <w:sz w:val="21"/>
          <w:szCs w:val="21"/>
          <w:highlight w:val="none"/>
          <w:lang w:bidi="ar"/>
        </w:rPr>
        <w:t xml:space="preserve">投标文件</w:t>
      </w:r>
      <w:r>
        <w:rPr>
          <w:rFonts w:hint="eastAsia" w:ascii="宋体" w:hAnsi="宋体" w:eastAsia="宋体" w:cs="宋体"/>
          <w:b/>
          <w:bCs/>
          <w:color w:val="auto"/>
          <w:sz w:val="21"/>
          <w:szCs w:val="21"/>
          <w:highlight w:val="none"/>
          <w:lang w:eastAsia="zh-CN" w:bidi="ar"/>
        </w:rPr>
        <w:t xml:space="preserve">“</w:t>
      </w:r>
      <w:r>
        <w:rPr>
          <w:rFonts w:hint="eastAsia" w:ascii="宋体" w:hAnsi="宋体" w:eastAsia="宋体" w:cs="宋体"/>
          <w:b/>
          <w:bCs/>
          <w:color w:val="auto"/>
          <w:sz w:val="21"/>
          <w:szCs w:val="21"/>
          <w:highlight w:val="none"/>
          <w:lang w:bidi="ar"/>
        </w:rPr>
        <w:t xml:space="preserve">机器码一致</w:t>
      </w:r>
      <w:r>
        <w:rPr>
          <w:rFonts w:hint="eastAsia" w:ascii="宋体" w:hAnsi="宋体" w:eastAsia="宋体" w:cs="宋体"/>
          <w:b/>
          <w:bCs/>
          <w:color w:val="auto"/>
          <w:sz w:val="21"/>
          <w:szCs w:val="21"/>
          <w:highlight w:val="none"/>
          <w:lang w:eastAsia="zh-CN" w:bidi="ar"/>
        </w:rPr>
        <w:t xml:space="preserve">”</w:t>
      </w:r>
      <w:r>
        <w:rPr>
          <w:rFonts w:hint="eastAsia" w:ascii="宋体" w:hAnsi="宋体" w:eastAsia="宋体" w:cs="宋体"/>
          <w:b/>
          <w:bCs/>
          <w:color w:val="auto"/>
          <w:sz w:val="21"/>
          <w:szCs w:val="21"/>
          <w:highlight w:val="none"/>
          <w:lang w:bidi="ar"/>
        </w:rPr>
        <w:t xml:space="preserve">，</w:t>
      </w:r>
      <w:r>
        <w:rPr>
          <w:rFonts w:hint="eastAsia" w:ascii="宋体" w:hAnsi="宋体" w:eastAsia="宋体" w:cs="宋体"/>
          <w:b/>
          <w:bCs/>
          <w:color w:val="auto"/>
          <w:sz w:val="21"/>
          <w:szCs w:val="21"/>
          <w:highlight w:val="none"/>
          <w:lang w:val="en-US" w:eastAsia="zh-CN" w:bidi="ar"/>
        </w:rPr>
        <w:t xml:space="preserve">投标文件将被拒绝</w:t>
      </w:r>
      <w:r>
        <w:rPr>
          <w:rFonts w:hint="eastAsia" w:ascii="宋体" w:hAnsi="宋体" w:eastAsia="宋体" w:cs="宋体"/>
          <w:b/>
          <w:bCs/>
          <w:color w:val="auto"/>
          <w:sz w:val="21"/>
          <w:szCs w:val="21"/>
          <w:highlight w:val="none"/>
          <w:lang w:bidi="ar"/>
        </w:rPr>
        <w:t xml:space="preserve">。</w:t>
      </w:r>
      <w:r/>
    </w:p>
    <w:p>
      <w:pPr>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10、本项目无须缴纳投标保证金。</w:t>
      </w:r>
      <w:r/>
    </w:p>
    <w:p>
      <w:pPr>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11、根据苏州市财政局《关于深入开展苏州市政府采购合同信用融资业务的通知》相关要求，本项目支持政府采购合同信用融资。</w:t>
      </w:r>
      <w:r/>
    </w:p>
    <w:p>
      <w:pPr>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12、本采购信息公告媒体：中国政府采购网、江苏省政府采购、苏州市政府采购。</w:t>
      </w:r>
      <w:r/>
    </w:p>
    <w:p>
      <w:pPr>
        <w:ind w:firstLine="480"/>
        <w:jc w:val="both"/>
        <w:keepLines w:val="0"/>
        <w:keepNext w:val="0"/>
        <w:pageBreakBefore w:val="0"/>
        <w:spacing w:line="400" w:lineRule="exact"/>
        <w:widowControl w:val="off"/>
        <w:tabs>
          <w:tab w:val="left" w:pos="148"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13、苏州高新区政府采购管理监督电话：0512-68751335。</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七、对本次招标提出询问，请按以下方式联系</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名称：苏州科技城管理委员会</w:t>
      </w:r>
      <w:r/>
    </w:p>
    <w:p>
      <w:pPr>
        <w:ind w:firstLine="420"/>
        <w:jc w:val="left"/>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cs="宋体"/>
          <w:color w:val="auto"/>
          <w:szCs w:val="21"/>
          <w:highlight w:val="none"/>
          <w:lang w:eastAsia="zh-CN"/>
        </w:rPr>
        <w:t xml:space="preserve">苏州高新区培源路3号软件大厦6号楼</w:t>
      </w:r>
      <w:r/>
    </w:p>
    <w:p>
      <w:pPr>
        <w:ind w:firstLine="420"/>
        <w:jc w:val="left"/>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eastAsia="zh-CN"/>
        </w:rPr>
        <w:t xml:space="preserve">王晓东</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联系电话：0512-</w:t>
      </w:r>
      <w:r>
        <w:rPr>
          <w:rFonts w:hint="eastAsia" w:ascii="宋体" w:hAnsi="宋体" w:cs="宋体"/>
          <w:color w:val="auto"/>
          <w:szCs w:val="21"/>
          <w:highlight w:val="none"/>
          <w:lang w:eastAsia="zh-CN"/>
        </w:rPr>
        <w:t xml:space="preserve">66911726</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名称：涵熙（苏州）工程顾问有限公司</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苏州高新区汾湖路99号狮山总部经济中心7幢3层</w:t>
      </w:r>
      <w:r/>
    </w:p>
    <w:p>
      <w:pPr>
        <w:pStyle w:val="739"/>
        <w:ind w:left="0"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联系方式：0512-69589240</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项目联系人：邵赞瑜、邹雅琴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电话：0512-69589240</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highlight w:val="none"/>
        </w:rPr>
        <w:t xml:space="preserve">第二章 投标</w:t>
      </w:r>
      <w:r>
        <w:rPr>
          <w:rFonts w:hint="eastAsia" w:ascii="宋体" w:hAnsi="宋体" w:eastAsia="宋体" w:cs="宋体"/>
          <w:b/>
          <w:bCs/>
          <w:color w:val="auto"/>
          <w:sz w:val="32"/>
          <w:highlight w:val="none"/>
        </w:rPr>
        <w:t xml:space="preserve">人须知</w:t>
      </w:r>
      <w:r/>
    </w:p>
    <w:p>
      <w:pPr>
        <w:pStyle w:val="891"/>
        <w:ind w:firstLine="422"/>
        <w:spacing w:line="400" w:lineRule="exact"/>
        <w:rPr>
          <w:rFonts w:hint="eastAsia" w:ascii="宋体" w:hAnsi="宋体" w:eastAsia="宋体" w:cs="宋体"/>
          <w:b/>
          <w:color w:val="auto"/>
          <w:sz w:val="21"/>
          <w:szCs w:val="21"/>
          <w:highlight w:val="none"/>
        </w:rPr>
      </w:pPr>
      <w:r/>
      <w:bookmarkStart w:id="2" w:name="_Toc13437"/>
      <w:r/>
      <w:bookmarkStart w:id="3" w:name="_Toc20132"/>
      <w:r>
        <w:rPr>
          <w:rFonts w:hint="eastAsia" w:ascii="宋体" w:hAnsi="宋体" w:eastAsia="宋体" w:cs="宋体"/>
          <w:b/>
          <w:color w:val="auto"/>
          <w:sz w:val="21"/>
          <w:szCs w:val="21"/>
          <w:highlight w:val="none"/>
        </w:rPr>
        <w:t xml:space="preserve">一、说明和释义</w:t>
      </w:r>
      <w:bookmarkEnd w:id="2"/>
      <w:r/>
      <w:bookmarkEnd w:id="3"/>
      <w:r/>
      <w:r/>
    </w:p>
    <w:p>
      <w:pPr>
        <w:pStyle w:val="891"/>
        <w:ind w:firstLine="422"/>
        <w:spacing w:line="400" w:lineRule="exact"/>
        <w:rPr>
          <w:rFonts w:hint="eastAsia" w:ascii="宋体" w:hAnsi="宋体" w:eastAsia="宋体" w:cs="宋体"/>
          <w:b/>
          <w:color w:val="auto"/>
          <w:sz w:val="21"/>
          <w:szCs w:val="21"/>
          <w:highlight w:val="none"/>
        </w:rPr>
      </w:pPr>
      <w:r/>
      <w:bookmarkStart w:id="4" w:name="_Toc9408"/>
      <w:r>
        <w:rPr>
          <w:rFonts w:hint="eastAsia" w:ascii="宋体" w:hAnsi="宋体" w:eastAsia="宋体" w:cs="宋体"/>
          <w:b/>
          <w:color w:val="auto"/>
          <w:sz w:val="21"/>
          <w:szCs w:val="21"/>
          <w:highlight w:val="none"/>
        </w:rPr>
        <w:t xml:space="preserve">1.说明</w:t>
      </w:r>
      <w:bookmarkEnd w:id="4"/>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1.1本招标文件仅适用涵熙（苏州）工程顾问有限公司组织的招标活动。</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1.3本招标文件的解释权属涵熙（苏州）工程顾问有限公司。</w:t>
      </w:r>
      <w:r/>
    </w:p>
    <w:p>
      <w:pPr>
        <w:pStyle w:val="891"/>
        <w:ind w:firstLine="422"/>
        <w:spacing w:line="400" w:lineRule="exact"/>
        <w:rPr>
          <w:rFonts w:hint="eastAsia" w:ascii="宋体" w:hAnsi="宋体" w:eastAsia="宋体" w:cs="宋体"/>
          <w:b/>
          <w:color w:val="auto"/>
          <w:sz w:val="21"/>
          <w:szCs w:val="21"/>
          <w:highlight w:val="none"/>
        </w:rPr>
      </w:pPr>
      <w:r/>
      <w:bookmarkStart w:id="5" w:name="_Toc27555"/>
      <w:r>
        <w:rPr>
          <w:rFonts w:hint="eastAsia" w:ascii="宋体" w:hAnsi="宋体" w:eastAsia="宋体" w:cs="宋体"/>
          <w:b/>
          <w:color w:val="auto"/>
          <w:sz w:val="21"/>
          <w:szCs w:val="21"/>
          <w:highlight w:val="none"/>
        </w:rPr>
        <w:t xml:space="preserve">2.词语释义</w:t>
      </w:r>
      <w:bookmarkEnd w:id="5"/>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2.1采购人：指依法进行政府采购的国家机关、事业单位、团体组织。</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2.2采购代理机构：指依法接受采购人委托，从事货物、工程和服务等政府采购业务的采购代理机构。本项目采购代理机构是涵熙（苏州）工程顾问有限公司。</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2.3投标人：指投标招标、参加投标竞争的法人、其他组织或自然人。</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2.4招标采购单位：采购人及采购代理机构的统称。</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2.5投标：投标人根据采购人或采购代理机构发布的招标文件，编制投标文件并按规定投标的行为。</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2.6合同：采供双方根据招标文件和中标的投标文件及中标通知书规定的内容签署的以书面形式所达成的协议，包括所有的附件、附录和构成协议的所有文件。</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2.7甲方（采购人）：指招标文件中载明的，依法进行政府采购的国家机关、事业单位、团体组织。</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2.8乙方（供应商）：合同中规定的向采购人提供货物和服务的法人或其他组织和自然人。</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2.9天：日历日。</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2.10时间：除特别说明，均指北京时间。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2.11知识产权：指专利权、商标权、著作权等无形财产专有权的统称。</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2.12交货地点：合同中明确约定的乙方提交的货物和服务最终到达地点。</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2.13合同价款：根据合同规定,乙方在正确地履行合同义务后甲方应支付乙方的价款。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2.16实质性投标：满足有关本次采购标的、数量、质量、价款或者报酬、履行期限、履行地点和方式、违约责任和解决争议方法等要求。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2.17进口产品：指通过中国海关报关验放进入中国境内且产自境外的产品。</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2.18书面形式：指书面文字、合同书、信件和传真等可以有形地表现所载内容的形式。</w:t>
      </w:r>
      <w:bookmarkStart w:id="6" w:name="_Toc13350"/>
      <w:r/>
      <w:bookmarkStart w:id="7" w:name="_Toc14976"/>
      <w:r/>
      <w:r/>
    </w:p>
    <w:p>
      <w:pPr>
        <w:pStyle w:val="891"/>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二、投标人</w:t>
      </w:r>
      <w:bookmarkEnd w:id="6"/>
      <w:r/>
      <w:bookmarkEnd w:id="7"/>
      <w:r/>
      <w:r/>
    </w:p>
    <w:p>
      <w:pPr>
        <w:pStyle w:val="891"/>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3.合格投标人的资格条件：</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3.1满足《中华人民共和国政府采购法》第二十二条规定，投标人应当具备下列条件：</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3.2落实政府采购政策需满足的资格要求：本项目专门面向中小企业采购，所属行业为其他未列明行业。</w:t>
      </w:r>
      <w:r>
        <w:rPr>
          <w:rFonts w:hint="eastAsia" w:ascii="宋体" w:hAnsi="宋体" w:eastAsia="宋体" w:cs="宋体"/>
          <w:color w:val="auto"/>
          <w:szCs w:val="21"/>
          <w:highlight w:val="none"/>
        </w:rPr>
        <w:t xml:space="preserve">投标人必须提供《中小企业声明函》或《残疾人福利性单位声明函》或由省级以上监狱管理局、戒毒管理局（含新疆生产建设兵团）出具的属于监狱企业的证明文件。</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3.3本项目的特定资格要求：未被“信用中国”或“中国政府采购网”网站列入失信被执行人、重大税收违法案件当事人名单、政府采购严重失信行为记录名单。</w:t>
      </w:r>
      <w:r/>
    </w:p>
    <w:p>
      <w:pPr>
        <w:pStyle w:val="922"/>
        <w:ind w:firstLine="422"/>
        <w:spacing w:beforeAutospacing="0" w:afterAutospacing="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4.投标人代表</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922"/>
        <w:ind w:firstLine="422"/>
        <w:spacing w:beforeAutospacing="0" w:afterAutospacing="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5.投标费用</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5.1无论投标过程中的做法和结果如何，投标人自行承担所有与参加投标有关的全部费用。</w:t>
      </w:r>
      <w:r/>
    </w:p>
    <w:p>
      <w:pPr>
        <w:pStyle w:val="891"/>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6.联合投标及转包、分包</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6.1本项目不接受联合体投标。</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6.2本项目不接受转包、分包。</w:t>
      </w:r>
      <w:bookmarkStart w:id="8" w:name="_Toc31958"/>
      <w:r/>
      <w:bookmarkStart w:id="9" w:name="_Toc5764"/>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6.3本项目不接受进口产品。</w:t>
      </w:r>
      <w:r/>
    </w:p>
    <w:p>
      <w:pPr>
        <w:pStyle w:val="891"/>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三、招标文件的说明</w:t>
      </w:r>
      <w:bookmarkEnd w:id="8"/>
      <w:r/>
      <w:bookmarkEnd w:id="9"/>
      <w:r/>
      <w:r/>
    </w:p>
    <w:p>
      <w:pPr>
        <w:pStyle w:val="891"/>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7.招标文件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7.2招标文件</w:t>
      </w:r>
      <w:r>
        <w:rPr>
          <w:rFonts w:hint="eastAsia" w:ascii="宋体" w:hAnsi="宋体" w:eastAsia="宋体" w:cs="宋体"/>
          <w:color w:val="auto"/>
          <w:szCs w:val="21"/>
          <w:highlight w:val="none"/>
          <w:lang w:bidi="ar"/>
        </w:rPr>
        <w:t xml:space="preserve">及其补充通知（包括更正公告）</w:t>
      </w:r>
      <w:r>
        <w:rPr>
          <w:rFonts w:hint="eastAsia" w:ascii="宋体" w:hAnsi="宋体" w:eastAsia="宋体" w:cs="宋体"/>
          <w:color w:val="auto"/>
          <w:szCs w:val="21"/>
          <w:highlight w:val="none"/>
        </w:rPr>
        <w:t xml:space="preserve">未按本招标文件规定的方式获得的，采</w:t>
      </w:r>
      <w:r>
        <w:rPr>
          <w:rFonts w:hint="eastAsia" w:ascii="宋体" w:hAnsi="宋体" w:eastAsia="宋体" w:cs="宋体"/>
          <w:color w:val="auto"/>
          <w:szCs w:val="21"/>
          <w:highlight w:val="none"/>
          <w:lang w:bidi="ar"/>
        </w:rPr>
        <w:t xml:space="preserve">购人或采购代理机构对招标文件及其补遗的真实性、完整性不承担任何责任。</w:t>
      </w:r>
      <w:r/>
    </w:p>
    <w:p>
      <w:pPr>
        <w:ind w:firstLine="422"/>
        <w:spacing w:line="400" w:lineRule="exact"/>
        <w:rPr>
          <w:rFonts w:hint="eastAsia" w:ascii="宋体" w:hAnsi="宋体" w:eastAsia="宋体" w:cs="宋体"/>
          <w:b/>
          <w:bCs/>
          <w:color w:val="auto"/>
          <w:szCs w:val="21"/>
          <w:highlight w:val="none"/>
        </w:rPr>
      </w:pPr>
      <w:r/>
      <w:bookmarkStart w:id="10" w:name="_Toc16745"/>
      <w:r/>
      <w:bookmarkStart w:id="11" w:name="_Toc19463"/>
      <w:r>
        <w:rPr>
          <w:rFonts w:hint="eastAsia" w:ascii="宋体" w:hAnsi="宋体" w:eastAsia="宋体" w:cs="宋体"/>
          <w:b/>
          <w:bCs/>
          <w:color w:val="auto"/>
          <w:szCs w:val="21"/>
          <w:highlight w:val="none"/>
        </w:rPr>
        <w:t xml:space="preserve">8、招标文件的询问与澄清(修改)</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8.4招标文件的澄清、修改、补充等内容均以苏州市政府采购网上发布的内容为准。</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9.勘察现场（不涉及此条的忽略）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10.投标质疑</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10.2本次招标文件要求供应商在法定质疑期内一次性提出针对同一采购程序环节的质疑，否则不予受理。</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10.3供应商提出质疑应当提交质疑函和必要的证明材料，质疑函应当包括下列内容：</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891"/>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891"/>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10.5接收质疑函的方式：书面形式（当场送达或邮寄方式）。</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10.6联系单位：涵熙（苏州）工程顾问有限公司</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10.7收件人：邵赞瑜、邹雅琴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10.8联系电话：0512-69589240</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10.9通讯地址：</w:t>
      </w:r>
      <w:r>
        <w:rPr>
          <w:rFonts w:hint="eastAsia" w:ascii="宋体" w:hAnsi="宋体" w:eastAsia="宋体" w:cs="宋体"/>
          <w:color w:val="auto"/>
          <w:szCs w:val="21"/>
          <w:highlight w:val="none"/>
          <w:lang w:eastAsia="zh-CN"/>
        </w:rPr>
        <w:t xml:space="preserve">苏州高新区汾湖路99号狮山总部经济中心7幢3层</w:t>
      </w:r>
      <w:r/>
    </w:p>
    <w:p>
      <w:pPr>
        <w:pStyle w:val="891"/>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四、投标文件说明</w:t>
      </w:r>
      <w:bookmarkEnd w:id="10"/>
      <w:r/>
      <w:bookmarkEnd w:id="11"/>
      <w:r/>
      <w:r/>
    </w:p>
    <w:p>
      <w:pPr>
        <w:pStyle w:val="891"/>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11.提示与要求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11.2无论是否递交投标文件，投标人都应将招标文件及以后的所有通知、文件等视为保密文件。</w:t>
      </w:r>
      <w:r/>
    </w:p>
    <w:p>
      <w:pPr>
        <w:pStyle w:val="891"/>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12.投标文件计量单位和使用文字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12.1投标文件中所使用的计量单位，除招标文件中有特殊要求外，均应使用中华人民共和国法定计量单位。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13.知识产权</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00" w:lineRule="exact"/>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14.投标文件的组成</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14.1报价部分：</w:t>
      </w:r>
      <w:r/>
    </w:p>
    <w:p>
      <w:pPr>
        <w:pStyle w:val="891"/>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开标一览表，具体按照“苏采云”系统要求填报</w:t>
      </w:r>
      <w:r>
        <w:rPr>
          <w:rFonts w:hint="eastAsia" w:ascii="宋体" w:hAnsi="宋体" w:eastAsia="宋体" w:cs="宋体"/>
          <w:color w:val="auto"/>
          <w:sz w:val="21"/>
          <w:szCs w:val="21"/>
          <w:highlight w:val="none"/>
          <w:lang w:eastAsia="zh-CN"/>
        </w:rPr>
        <w:t xml:space="preserve">。</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14.2资格</w:t>
      </w:r>
      <w:r>
        <w:rPr>
          <w:rFonts w:hint="eastAsia" w:ascii="宋体" w:hAnsi="宋体" w:eastAsia="宋体" w:cs="宋体"/>
          <w:b/>
          <w:color w:val="auto"/>
          <w:szCs w:val="21"/>
          <w:highlight w:val="none"/>
          <w:lang w:val="en-US" w:eastAsia="zh-CN"/>
        </w:rPr>
        <w:t xml:space="preserve">审查</w:t>
      </w:r>
      <w:r>
        <w:rPr>
          <w:rFonts w:hint="eastAsia" w:ascii="宋体" w:hAnsi="宋体" w:eastAsia="宋体" w:cs="宋体"/>
          <w:b/>
          <w:color w:val="auto"/>
          <w:szCs w:val="21"/>
          <w:highlight w:val="none"/>
        </w:rPr>
        <w:t xml:space="preserve">部分</w:t>
      </w:r>
      <w:r>
        <w:rPr>
          <w:rFonts w:hint="eastAsia" w:ascii="宋体" w:hAnsi="宋体" w:eastAsia="宋体" w:cs="宋体"/>
          <w:b/>
          <w:bCs/>
          <w:color w:val="auto"/>
          <w:sz w:val="21"/>
          <w:szCs w:val="21"/>
          <w:highlight w:val="none"/>
          <w:lang w:val="en-US" w:eastAsia="zh-CN"/>
        </w:rPr>
        <w:t xml:space="preserve">(格式见第三章，不得出现投标总报价）</w:t>
      </w:r>
      <w:r>
        <w:rPr>
          <w:rFonts w:hint="eastAsia" w:ascii="宋体" w:hAnsi="宋体" w:eastAsia="宋体" w:cs="宋体"/>
          <w:b/>
          <w:color w:val="auto"/>
          <w:sz w:val="21"/>
          <w:szCs w:val="21"/>
          <w:highlight w:val="none"/>
          <w:lang w:eastAsia="zh-CN"/>
        </w:rPr>
        <w:t xml:space="preserve">：</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14.2.1关于资格文件的声明函；</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投标人《营业执照》副本复印件；</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投标人法定代表人身份证复印件；</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法定代表人授权委托书、投标人授权代理人身份证复印件（如有授权）；</w:t>
      </w:r>
      <w:r/>
    </w:p>
    <w:p>
      <w:pPr>
        <w:pStyle w:val="891"/>
        <w:spacing w:line="40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合格投标人资格证明材料：</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（1）具有独立承担民事责任的能力证明。包括法人或者其他组织的营业执照等证明文件，自然人的身份证明；</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（2）具有良好的商业信誉和健全的财务会计制度证明：包括但不限于最近一年度经审计的财务报告，其他组织、自然人及成立未满一年的法人应提供银行出具的资信证明；</w:t>
      </w:r>
      <w:r/>
    </w:p>
    <w:p>
      <w:pPr>
        <w:pStyle w:val="922"/>
        <w:ind w:firstLine="420"/>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（3）具备履行合同所必需的设备和专业技术能力的证明材料或承诺；</w:t>
      </w:r>
      <w:r/>
    </w:p>
    <w:p>
      <w:pPr>
        <w:pStyle w:val="891"/>
        <w:spacing w:line="400" w:lineRule="exact"/>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（4）有依法缴纳税收和社会保障资金的相关资料：税务登记证（如有）和合理期限内依法缴纳税收的凭据，社会保险登记证（如有）和合理期限内依法缴纳社会保险的凭据（专用收据或社会保险缴纳清单）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：投标人如依法享受缓缴、免缴税收、社会保障资金的应提供相关主管部门出具的证明材料，否则不予认可；</w:t>
      </w:r>
      <w:r/>
    </w:p>
    <w:p>
      <w:pPr>
        <w:pStyle w:val="891"/>
        <w:ind w:firstLine="420"/>
        <w:spacing w:line="400" w:lineRule="exact"/>
        <w:tabs>
          <w:tab w:val="left" w:pos="0" w:leader="none"/>
        </w:tabs>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在经营活动中没有重大违法记录的书面声明函</w:t>
      </w:r>
      <w:r>
        <w:rPr>
          <w:rFonts w:hint="eastAsia" w:ascii="宋体" w:hAnsi="宋体" w:eastAsia="宋体" w:cs="宋体"/>
          <w:color w:val="auto"/>
          <w:sz w:val="21"/>
          <w:szCs w:val="21"/>
          <w:highlight w:val="none"/>
          <w:lang w:eastAsia="zh-CN"/>
        </w:rPr>
        <w:t xml:space="preserve">；</w:t>
      </w:r>
      <w:r/>
    </w:p>
    <w:p>
      <w:pPr>
        <w:pStyle w:val="891"/>
        <w:spacing w:line="40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14.2.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投标人必须提供《中小企业声明函》或《残疾人福利性单位声明函》或由省级以上监狱管理局、戒毒管理局（含新疆生产建设兵团）出具的属于监狱企业的证明文件；</w:t>
      </w:r>
      <w:r/>
    </w:p>
    <w:p>
      <w:pPr>
        <w:pStyle w:val="891"/>
        <w:ind w:left="0"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14.2.7</w:t>
      </w:r>
      <w:r>
        <w:rPr>
          <w:rFonts w:hint="eastAsia" w:ascii="宋体" w:hAnsi="宋体" w:eastAsia="宋体" w:cs="宋体"/>
          <w:color w:val="auto"/>
          <w:sz w:val="21"/>
          <w:szCs w:val="21"/>
          <w:highlight w:val="none"/>
        </w:rPr>
        <w:t xml:space="preserve">本项目的特定资格要求：未被“信用中国”或“中国政府采购网”网站列入失信被执行</w:t>
      </w:r>
      <w:r>
        <w:rPr>
          <w:rFonts w:hint="eastAsia" w:ascii="宋体" w:hAnsi="宋体" w:eastAsia="宋体" w:cs="宋体"/>
          <w:color w:val="auto"/>
          <w:sz w:val="21"/>
          <w:szCs w:val="21"/>
          <w:highlight w:val="none"/>
          <w:lang w:val="en-US" w:eastAsia="zh-CN"/>
        </w:rPr>
        <w:t xml:space="preserve">人、重大税收违法案件当事人名单、政府采购严重失信行为记录名单。需提供“信用中国”网站下载的信用报告复印件；</w:t>
      </w:r>
      <w:r/>
    </w:p>
    <w:p>
      <w:pPr>
        <w:pStyle w:val="891"/>
        <w:ind w:left="0"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14.2.8其它有关资格证明文件（如有）。</w:t>
      </w:r>
      <w:r/>
    </w:p>
    <w:p>
      <w:pPr>
        <w:pStyle w:val="891"/>
        <w:ind w:left="0"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14.3符合性审查文件(格式见第三章，不得出现投标总报价）</w:t>
      </w:r>
      <w:r>
        <w:rPr>
          <w:rFonts w:hint="eastAsia" w:ascii="宋体" w:hAnsi="宋体" w:eastAsia="宋体" w:cs="宋体"/>
          <w:b/>
          <w:color w:val="auto"/>
          <w:sz w:val="21"/>
          <w:szCs w:val="21"/>
          <w:highlight w:val="none"/>
          <w:lang w:eastAsia="zh-CN"/>
        </w:rPr>
        <w:t xml:space="preserve">：</w:t>
      </w:r>
      <w:r/>
    </w:p>
    <w:p>
      <w:pPr>
        <w:pStyle w:val="891"/>
        <w:ind w:left="0"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14.3.1投标函；</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情况表（格式见第三章）；</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偏离表（服务、商务）；</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单位与其他单位存在控股、管理关系情况表</w:t>
      </w:r>
      <w:r>
        <w:rPr>
          <w:rFonts w:hint="eastAsia" w:ascii="宋体" w:hAnsi="宋体" w:eastAsia="宋体" w:cs="宋体"/>
          <w:color w:val="auto"/>
          <w:sz w:val="21"/>
          <w:szCs w:val="21"/>
          <w:highlight w:val="none"/>
        </w:rPr>
        <w:t xml:space="preserve">；</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投标（响应）保证承诺书；</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14.3.6</w:t>
      </w:r>
      <w:r>
        <w:rPr>
          <w:rFonts w:hint="eastAsia" w:ascii="宋体" w:hAnsi="宋体" w:eastAsia="宋体" w:cs="宋体"/>
          <w:color w:val="auto"/>
          <w:sz w:val="21"/>
          <w:szCs w:val="21"/>
          <w:highlight w:val="none"/>
        </w:rPr>
        <w:t xml:space="preserve">其他有关符合性证明文件（如有）。</w:t>
      </w:r>
      <w:r/>
    </w:p>
    <w:p>
      <w:pPr>
        <w:pStyle w:val="954"/>
        <w:ind w:left="0" w:firstLine="482"/>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14.4</w:t>
      </w:r>
      <w:r>
        <w:rPr>
          <w:rFonts w:hint="eastAsia" w:ascii="宋体" w:hAnsi="宋体" w:eastAsia="宋体" w:cs="宋体"/>
          <w:b/>
          <w:color w:val="auto"/>
          <w:sz w:val="21"/>
          <w:szCs w:val="21"/>
          <w:highlight w:val="none"/>
        </w:rPr>
        <w:t xml:space="preserve">综合评审文件（评分要点及技术要求</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格式见第三章，不得出现投标总报价）</w:t>
      </w:r>
      <w:r>
        <w:rPr>
          <w:rFonts w:hint="eastAsia" w:ascii="宋体" w:hAnsi="宋体" w:eastAsia="宋体" w:cs="宋体"/>
          <w:b/>
          <w:color w:val="auto"/>
          <w:sz w:val="21"/>
          <w:szCs w:val="21"/>
          <w:highlight w:val="none"/>
          <w:lang w:eastAsia="zh-CN"/>
        </w:rPr>
        <w:t xml:space="preserve">：</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投入设备一览表；</w:t>
      </w:r>
      <w:r/>
    </w:p>
    <w:p>
      <w:pPr>
        <w:pStyle w:val="891"/>
        <w:spacing w:line="40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项目组成员一览表；</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类似业绩一览表；</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针对本项目所制定的服务方案；</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采购需求及评分标准中所涉及到的其他材料等；</w:t>
      </w:r>
      <w:r/>
    </w:p>
    <w:p>
      <w:pPr>
        <w:pStyle w:val="8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与本次招标相关的证明材料。</w:t>
      </w:r>
      <w:r/>
    </w:p>
    <w:p>
      <w:pPr>
        <w:pStyle w:val="934"/>
        <w:ind w:firstLine="430"/>
        <w:spacing w:line="400" w:lineRule="exact"/>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注：</w:t>
      </w:r>
      <w:r/>
    </w:p>
    <w:p>
      <w:pPr>
        <w:pStyle w:val="934"/>
        <w:ind w:firstLine="43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rPr>
        <w:t xml:space="preserve">（1）</w:t>
      </w:r>
      <w:r>
        <w:rPr>
          <w:rFonts w:hint="eastAsia" w:ascii="宋体" w:hAnsi="宋体" w:eastAsia="宋体" w:cs="宋体"/>
          <w:b/>
          <w:bCs/>
          <w:color w:val="auto"/>
          <w:sz w:val="21"/>
          <w:szCs w:val="21"/>
          <w:highlight w:val="none"/>
        </w:rPr>
        <w:t xml:space="preserve">投标文件由“14.1-14.</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”款规定的内容共同组成，投标人必须提交上述“14.1</w:t>
      </w:r>
      <w:r>
        <w:rPr>
          <w:rFonts w:hint="eastAsia" w:ascii="宋体" w:hAnsi="宋体" w:eastAsia="宋体" w:cs="宋体"/>
          <w:b/>
          <w:bCs/>
          <w:color w:val="auto"/>
          <w:sz w:val="21"/>
          <w:szCs w:val="21"/>
          <w:highlight w:val="none"/>
          <w:lang w:val="en-US" w:eastAsia="zh-CN"/>
        </w:rPr>
        <w:t xml:space="preserve">-14.3</w:t>
      </w:r>
      <w:r>
        <w:rPr>
          <w:rFonts w:hint="eastAsia" w:ascii="宋体" w:hAnsi="宋体" w:eastAsia="宋体" w:cs="宋体"/>
          <w:b/>
          <w:bCs/>
          <w:color w:val="auto"/>
          <w:sz w:val="21"/>
          <w:szCs w:val="21"/>
          <w:highlight w:val="none"/>
        </w:rPr>
        <w:t xml:space="preserve">”款规定的资料，否则，投标文件将被视为未实质性响应招标要求。</w:t>
      </w:r>
      <w:r/>
    </w:p>
    <w:p>
      <w:pPr>
        <w:pStyle w:val="934"/>
        <w:ind w:firstLine="43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rPr>
        <w:t xml:space="preserve">2</w:t>
      </w:r>
      <w:r>
        <w:rPr>
          <w:rFonts w:hint="eastAsia" w:ascii="宋体" w:hAnsi="宋体" w:eastAsia="宋体" w:cs="宋体"/>
          <w:b/>
          <w:bCs/>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15.投标文件编制要求</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15.1</w:t>
      </w:r>
      <w:r>
        <w:rPr>
          <w:rFonts w:hint="eastAsia" w:ascii="宋体" w:hAnsi="宋体" w:eastAsia="宋体" w:cs="宋体"/>
          <w:b/>
          <w:color w:val="auto"/>
          <w:szCs w:val="21"/>
          <w:highlight w:val="none"/>
        </w:rPr>
        <w:t xml:space="preserve">投标文件按统一格式、顺序编写。</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15.2《开标一览表》为在开标仪式上唱标的内容，要求按格式填写，统一规范，不得自行增减内容。</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16.投标报价（编制）要求的说明</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除非合同中另有规定，投标人对《开标一览表》中的报价包含完成本项目全部服务内容所需的人工费、调查方案编制费、现场采样费、样品检测分析费、调查报告编制费、专家评审费、差旅食宿费、文印费、资料费、通讯、工器具、设备、加班费、管理费、保险、材料、劳保、专利技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代理服务费</w:t>
      </w:r>
      <w:r>
        <w:rPr>
          <w:rFonts w:hint="eastAsia" w:ascii="宋体" w:hAnsi="宋体" w:eastAsia="宋体" w:cs="宋体"/>
          <w:color w:val="auto"/>
          <w:szCs w:val="21"/>
          <w:highlight w:val="none"/>
        </w:rPr>
        <w:t xml:space="preserve">等全部费用以及投标单位企业利润、税金和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16.2投标人应按《开标一览表》要求的内容填写，并由其法定代表人或授权代理人签署。</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16.3投标人应对招标文件内所要采购的全部内容进行报价，只投其中部分内容者，其标书将被拒绝（如为多标段项目，则上述提到的全部内容是指所投标段对应采购的全部内容）。</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16.4一项投标内容只允许一个报价，招标人不接受任何有选择性的投标报价。</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16.5投标文件报价采用人民币表示，除非合同的特殊条款另有规定。</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16.6最低的报价或最高的折扣</w:t>
      </w:r>
      <w:r>
        <w:rPr>
          <w:rFonts w:hint="eastAsia" w:ascii="宋体" w:hAnsi="宋体" w:eastAsia="宋体" w:cs="宋体"/>
          <w:color w:val="auto"/>
          <w:sz w:val="21"/>
          <w:szCs w:val="21"/>
          <w:highlight w:val="none"/>
          <w:lang w:val="en-US" w:eastAsia="zh-CN"/>
        </w:rPr>
        <w:t xml:space="preserve">比例</w:t>
      </w:r>
      <w:r>
        <w:rPr>
          <w:rFonts w:hint="eastAsia" w:ascii="宋体" w:hAnsi="宋体" w:eastAsia="宋体" w:cs="宋体"/>
          <w:color w:val="auto"/>
          <w:sz w:val="21"/>
          <w:szCs w:val="21"/>
          <w:highlight w:val="none"/>
        </w:rPr>
        <w:t xml:space="preserve">不能作为中标的保证。</w:t>
      </w:r>
      <w:r/>
    </w:p>
    <w:p>
      <w:pPr>
        <w:pStyle w:val="934"/>
        <w:ind w:firstLine="422"/>
        <w:spacing w:line="400" w:lineRule="exact"/>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rPr>
        <w:t xml:space="preserve">17.投标保证金：</w:t>
      </w:r>
      <w:r>
        <w:rPr>
          <w:rFonts w:hint="eastAsia" w:ascii="宋体" w:hAnsi="宋体" w:eastAsia="宋体" w:cs="宋体"/>
          <w:b/>
          <w:color w:val="auto"/>
          <w:sz w:val="21"/>
          <w:szCs w:val="21"/>
          <w:highlight w:val="none"/>
          <w:lang w:val="en-US"/>
        </w:rPr>
        <w:t xml:space="preserve">本项目不收取投标保证金。</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18.投标文件的有效期</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18.1自提交投标文件截止之日起90天内，投标文件中承诺的投标有效期应当不少于招标文件中载明的投标有效期。</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18.2在特殊情况下，采购人、采购代理机构可与投标人协商延长投标书的有效期。这种要求和答复都应以书面形式进行。同意延长有效期的投标人不能修改投标文件。</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19.投标文件的制作、签署、上传</w:t>
      </w:r>
      <w:r/>
    </w:p>
    <w:p>
      <w:pPr>
        <w:pStyle w:val="934"/>
        <w:ind w:firstLine="420"/>
        <w:spacing w:line="400" w:lineRule="exact"/>
        <w:rPr>
          <w:rFonts w:hint="eastAsia" w:ascii="宋体" w:hAnsi="宋体" w:eastAsia="宋体" w:cs="宋体"/>
          <w:b/>
          <w:color w:val="auto"/>
          <w:sz w:val="21"/>
          <w:szCs w:val="21"/>
          <w:highlight w:val="none"/>
          <w:lang w:val="en-US"/>
        </w:rPr>
      </w:pPr>
      <w:r/>
      <w:bookmarkStart w:id="12" w:name="_Toc31150"/>
      <w:r/>
      <w:bookmarkStart w:id="13" w:name="_Toc25608"/>
      <w:r>
        <w:rPr>
          <w:rFonts w:hint="eastAsia" w:ascii="宋体" w:hAnsi="宋体" w:eastAsia="宋体" w:cs="宋体"/>
          <w:color w:val="auto"/>
          <w:sz w:val="21"/>
          <w:szCs w:val="21"/>
          <w:highlight w:val="none"/>
        </w:rPr>
        <w:t xml:space="preserve">19.1本项目采用电子招投标形式，请供应商按照</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进行制作、上传电子投标文件。</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19.2制作电子投标文件时，应按照招标文件要求加盖投标人电子公章。</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rPr>
          <w:rFonts w:hint="eastAsia" w:ascii="宋体" w:hAnsi="宋体" w:eastAsia="宋体" w:cs="宋体"/>
          <w:b/>
          <w:color w:val="auto"/>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五、</w:t>
      </w:r>
      <w:r>
        <w:rPr>
          <w:rFonts w:hint="eastAsia" w:ascii="宋体" w:hAnsi="宋体" w:eastAsia="宋体" w:cs="宋体"/>
          <w:b/>
          <w:color w:val="auto"/>
          <w:sz w:val="21"/>
          <w:szCs w:val="21"/>
          <w:highlight w:val="none"/>
        </w:rPr>
        <w:t xml:space="preserve">投标文件的递交、补充、修改和撤回</w:t>
      </w:r>
      <w:r/>
    </w:p>
    <w:p>
      <w:pPr>
        <w:pStyle w:val="934"/>
        <w:ind w:firstLine="0"/>
        <w:spacing w:line="400" w:lineRule="exact"/>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    20.</w:t>
      </w:r>
      <w:r>
        <w:rPr>
          <w:rFonts w:hint="eastAsia" w:ascii="宋体" w:hAnsi="宋体" w:eastAsia="宋体" w:cs="宋体"/>
          <w:b/>
          <w:color w:val="auto"/>
          <w:sz w:val="21"/>
          <w:szCs w:val="21"/>
          <w:highlight w:val="none"/>
        </w:rPr>
        <w:t xml:space="preserve">投标文件的递交（</w:t>
      </w:r>
      <w:r>
        <w:rPr>
          <w:rFonts w:hint="eastAsia" w:ascii="宋体" w:hAnsi="宋体" w:eastAsia="宋体" w:cs="宋体"/>
          <w:b/>
          <w:color w:val="auto"/>
          <w:sz w:val="21"/>
          <w:szCs w:val="21"/>
          <w:highlight w:val="none"/>
          <w:lang w:val="en-US"/>
        </w:rPr>
        <w:t xml:space="preserve">上传</w:t>
      </w:r>
      <w:r>
        <w:rPr>
          <w:rFonts w:hint="eastAsia" w:ascii="宋体" w:hAnsi="宋体" w:eastAsia="宋体" w:cs="宋体"/>
          <w:b/>
          <w:color w:val="auto"/>
          <w:sz w:val="21"/>
          <w:szCs w:val="21"/>
          <w:highlight w:val="none"/>
        </w:rPr>
        <w:t xml:space="preserve">）</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20.1</w:t>
      </w:r>
      <w:r>
        <w:rPr>
          <w:rFonts w:hint="eastAsia" w:ascii="宋体" w:hAnsi="宋体" w:eastAsia="宋体" w:cs="宋体"/>
          <w:color w:val="auto"/>
          <w:sz w:val="21"/>
          <w:szCs w:val="21"/>
          <w:highlight w:val="none"/>
        </w:rPr>
        <w:t xml:space="preserve">投标人应当在在投标截止时间前制作并上传电子投标文件。</w:t>
      </w:r>
      <w:r/>
    </w:p>
    <w:p>
      <w:pPr>
        <w:pStyle w:val="891"/>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20.2投标人通过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21.投标截止时间</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21.1投标人应当在招标文件要求投标文件网上提交截止时间前，将投标文件完成提交（上传）。逾期提交（上传）的投标文件，采购人和采购代理机构拒绝接收。</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21.3在投标截止时间止成功解密的</w:t>
      </w:r>
      <w:r>
        <w:rPr>
          <w:rFonts w:hint="eastAsia" w:ascii="宋体" w:hAnsi="宋体" w:eastAsia="宋体" w:cs="宋体"/>
          <w:color w:val="auto"/>
          <w:sz w:val="21"/>
          <w:szCs w:val="21"/>
          <w:highlight w:val="none"/>
          <w:lang w:val="en-US"/>
        </w:rPr>
        <w:t xml:space="preserve">各标段</w:t>
      </w:r>
      <w:r>
        <w:rPr>
          <w:rFonts w:hint="eastAsia" w:ascii="宋体" w:hAnsi="宋体" w:eastAsia="宋体" w:cs="宋体"/>
          <w:color w:val="auto"/>
          <w:sz w:val="21"/>
          <w:szCs w:val="21"/>
          <w:highlight w:val="none"/>
        </w:rPr>
        <w:t xml:space="preserve">投标文件少于三份，采购代理机构有权宣布本次招标失败。</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22.投标文件的补充、修改和撤回</w:t>
      </w:r>
      <w:r/>
    </w:p>
    <w:p>
      <w:pPr>
        <w:pStyle w:val="934"/>
        <w:ind w:firstLine="420"/>
        <w:spacing w:line="400" w:lineRule="exact"/>
        <w:rPr>
          <w:rFonts w:hint="eastAsia" w:ascii="宋体" w:hAnsi="宋体" w:eastAsia="宋体" w:cs="宋体"/>
          <w:color w:val="auto"/>
          <w:sz w:val="21"/>
          <w:szCs w:val="21"/>
          <w:highlight w:val="none"/>
        </w:rPr>
      </w:pPr>
      <w:r/>
      <w:bookmarkStart w:id="14" w:name="_Toc29371"/>
      <w:r/>
      <w:bookmarkStart w:id="15" w:name="_Toc22837"/>
      <w:r>
        <w:rPr>
          <w:rFonts w:hint="eastAsia" w:ascii="宋体" w:hAnsi="宋体" w:eastAsia="宋体" w:cs="宋体"/>
          <w:color w:val="auto"/>
          <w:sz w:val="21"/>
          <w:szCs w:val="21"/>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934"/>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六、开标和评标</w:t>
      </w:r>
      <w:bookmarkEnd w:id="14"/>
      <w:r/>
      <w:bookmarkEnd w:id="15"/>
      <w:r/>
      <w:r/>
    </w:p>
    <w:p>
      <w:pPr>
        <w:pStyle w:val="934"/>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23.开标</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23.2开标时，由采购代理机构</w:t>
      </w:r>
      <w:r>
        <w:rPr>
          <w:rFonts w:hint="eastAsia" w:ascii="宋体" w:hAnsi="宋体" w:eastAsia="宋体" w:cs="宋体"/>
          <w:color w:val="auto"/>
          <w:sz w:val="21"/>
          <w:szCs w:val="21"/>
          <w:highlight w:val="none"/>
          <w:lang w:val="en-US"/>
        </w:rPr>
        <w:t xml:space="preserve">通过“苏采云”系统在线</w:t>
      </w:r>
      <w:r>
        <w:rPr>
          <w:rFonts w:hint="eastAsia" w:ascii="宋体" w:hAnsi="宋体" w:eastAsia="宋体" w:cs="宋体"/>
          <w:color w:val="auto"/>
          <w:sz w:val="21"/>
          <w:szCs w:val="21"/>
          <w:highlight w:val="none"/>
        </w:rPr>
        <w:t xml:space="preserve">宣布投标人名称、投标价格和招标文件规定的需要宣布的其他内容。</w:t>
      </w:r>
      <w:r>
        <w:rPr>
          <w:rFonts w:hint="eastAsia" w:ascii="宋体" w:hAnsi="宋体" w:eastAsia="宋体" w:cs="宋体"/>
          <w:color w:val="auto"/>
          <w:sz w:val="21"/>
          <w:szCs w:val="21"/>
          <w:highlight w:val="none"/>
          <w:lang w:val="en-US"/>
        </w:rPr>
        <w:t xml:space="preserve">投标人在不见面开标系统中确认投标价格，如</w:t>
      </w:r>
      <w:r>
        <w:rPr>
          <w:rFonts w:hint="eastAsia" w:ascii="宋体" w:hAnsi="宋体" w:eastAsia="宋体" w:cs="宋体"/>
          <w:color w:val="auto"/>
          <w:sz w:val="21"/>
          <w:szCs w:val="21"/>
          <w:highlight w:val="none"/>
        </w:rPr>
        <w:t xml:space="preserve">投标人未</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参加开标</w:t>
      </w:r>
      <w:r>
        <w:rPr>
          <w:rFonts w:hint="eastAsia" w:ascii="宋体" w:hAnsi="宋体" w:eastAsia="宋体" w:cs="宋体"/>
          <w:color w:val="auto"/>
          <w:sz w:val="21"/>
          <w:szCs w:val="21"/>
          <w:highlight w:val="none"/>
          <w:lang w:val="en-US"/>
        </w:rPr>
        <w:t xml:space="preserve">或未在规定时间内确认价格</w:t>
      </w:r>
      <w:r>
        <w:rPr>
          <w:rFonts w:hint="eastAsia" w:ascii="宋体" w:hAnsi="宋体" w:eastAsia="宋体" w:cs="宋体"/>
          <w:color w:val="auto"/>
          <w:sz w:val="21"/>
          <w:szCs w:val="21"/>
          <w:highlight w:val="none"/>
        </w:rPr>
        <w:t xml:space="preserve">的，视同认可开标结果。</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23.3资格审查</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23.3.1公开招标采购项目开标结束后，采购人应当依法对投标人的资格进行审查，未通过资格审查的视为无效投标。</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23.3.2.1查询时间：投标文件递交截止时间。</w:t>
      </w:r>
      <w:r/>
    </w:p>
    <w:p>
      <w:pPr>
        <w:pStyle w:val="934"/>
        <w:ind w:firstLine="420"/>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23.3.2.2查询渠道：采购代理机构会在接收投标文件截止时间后，查询供应商的信用记录，并将查询结果递交评标委员会。</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jc w:val="both"/>
        <w:spacing w:line="400" w:lineRule="exact"/>
        <w:rPr>
          <w:rFonts w:hint="eastAsia" w:ascii="宋体" w:hAnsi="宋体" w:eastAsia="宋体" w:cs="宋体"/>
          <w:color w:val="auto"/>
          <w:spacing w:val="0"/>
          <w:szCs w:val="21"/>
          <w:highlight w:val="none"/>
          <w:lang w:val="zh-CN"/>
        </w:rPr>
      </w:pPr>
      <w:r>
        <w:rPr>
          <w:rFonts w:hint="eastAsia" w:ascii="宋体" w:hAnsi="宋体" w:eastAsia="宋体" w:cs="宋体"/>
          <w:b w:val="0"/>
          <w:color w:val="auto"/>
          <w:sz w:val="21"/>
          <w:szCs w:val="21"/>
          <w:highlight w:val="none"/>
          <w:lang w:val="zh-CN"/>
        </w:rPr>
        <w:t xml:space="preserve">23.3.</w:t>
      </w:r>
      <w:r>
        <w:rPr>
          <w:rFonts w:hint="eastAsia" w:ascii="宋体" w:hAnsi="宋体" w:eastAsia="宋体" w:cs="宋体"/>
          <w:b w:val="0"/>
          <w:color w:val="auto"/>
          <w:sz w:val="21"/>
          <w:szCs w:val="21"/>
          <w:highlight w:val="none"/>
          <w:lang w:val="en-US" w:eastAsia="zh-CN"/>
        </w:rPr>
        <w:t xml:space="preserve">3</w:t>
      </w:r>
      <w:r>
        <w:rPr>
          <w:rFonts w:hint="eastAsia" w:ascii="宋体" w:hAnsi="宋体" w:eastAsia="宋体" w:cs="宋体"/>
          <w:color w:val="auto"/>
          <w:spacing w:val="0"/>
          <w:szCs w:val="21"/>
          <w:highlight w:val="none"/>
          <w:lang w:val="zh-CN"/>
        </w:rPr>
        <w:t xml:space="preserve">信用记录使用规则：</w:t>
      </w:r>
      <w:r>
        <w:rPr>
          <w:rFonts w:hint="eastAsia" w:ascii="宋体" w:hAnsi="宋体" w:eastAsia="宋体" w:cs="宋体"/>
          <w:color w:val="auto"/>
          <w:spacing w:val="0"/>
          <w:szCs w:val="21"/>
          <w:highlight w:val="none"/>
          <w:lang w:val="zh-CN" w:eastAsia="zh-CN"/>
        </w:rPr>
        <w:t xml:space="preserve">评审</w:t>
      </w:r>
      <w:r>
        <w:rPr>
          <w:rFonts w:hint="eastAsia" w:ascii="宋体" w:hAnsi="宋体" w:eastAsia="宋体" w:cs="宋体"/>
          <w:color w:val="auto"/>
          <w:spacing w:val="0"/>
          <w:szCs w:val="21"/>
          <w:highlight w:val="none"/>
          <w:lang w:val="zh-CN"/>
        </w:rPr>
        <w:t xml:space="preserve">小组在对供应商进行资格性审查时，应根据查询结果对供应商的不良信用记录逐项甄别确认。按照《中华人民共和国政府采购法》第二十二条规定，</w:t>
      </w:r>
      <w:r>
        <w:rPr>
          <w:rFonts w:hint="eastAsia" w:ascii="宋体" w:hAnsi="宋体" w:eastAsia="宋体" w:cs="宋体"/>
          <w:b w:val="0"/>
          <w:bCs w:val="0"/>
          <w:color w:val="auto"/>
          <w:spacing w:val="0"/>
          <w:szCs w:val="21"/>
          <w:highlight w:val="none"/>
          <w:lang w:val="zh-CN"/>
        </w:rPr>
        <w:t xml:space="preserve">下列信用记录属于应依法拒绝供应商参加政府采购的失信信息，存在此类失信信息的供应商的</w:t>
      </w:r>
      <w:r>
        <w:rPr>
          <w:rFonts w:hint="eastAsia" w:ascii="宋体" w:hAnsi="宋体" w:eastAsia="宋体" w:cs="宋体"/>
          <w:b w:val="0"/>
          <w:bCs w:val="0"/>
          <w:color w:val="auto"/>
          <w:spacing w:val="0"/>
          <w:szCs w:val="21"/>
          <w:highlight w:val="none"/>
          <w:lang w:val="zh-CN" w:eastAsia="zh-CN"/>
        </w:rPr>
        <w:t xml:space="preserve">投标</w:t>
      </w:r>
      <w:r>
        <w:rPr>
          <w:rFonts w:hint="eastAsia" w:ascii="宋体" w:hAnsi="宋体" w:eastAsia="宋体" w:cs="宋体"/>
          <w:b w:val="0"/>
          <w:bCs w:val="0"/>
          <w:color w:val="auto"/>
          <w:spacing w:val="0"/>
          <w:szCs w:val="21"/>
          <w:highlight w:val="none"/>
          <w:lang w:val="zh-CN"/>
        </w:rPr>
        <w:t xml:space="preserve">文件按无效文件处理</w:t>
      </w:r>
      <w:r>
        <w:rPr>
          <w:rFonts w:hint="eastAsia" w:ascii="宋体" w:hAnsi="宋体" w:eastAsia="宋体" w:cs="宋体"/>
          <w:color w:val="auto"/>
          <w:spacing w:val="0"/>
          <w:szCs w:val="21"/>
          <w:highlight w:val="none"/>
          <w:lang w:val="zh-CN"/>
        </w:rPr>
        <w:t xml:space="preserve">：</w:t>
      </w:r>
      <w:r/>
    </w:p>
    <w:p>
      <w:pPr>
        <w:ind w:firstLine="420"/>
        <w:jc w:val="both"/>
        <w:spacing w:line="400" w:lineRule="exact"/>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(一)政府采购严重违法记录，即供应商被全国各级财政部门列入“政府采购严重违法失信行为记录名单”，且在处罚有效期内的。</w:t>
      </w:r>
      <w:r/>
    </w:p>
    <w:p>
      <w:pPr>
        <w:ind w:firstLine="420"/>
        <w:jc w:val="both"/>
        <w:spacing w:line="400" w:lineRule="exact"/>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(二)财政部门与法院、工商、税务等部门联合惩戒的失信信息，包括：</w:t>
      </w:r>
      <w:r/>
    </w:p>
    <w:p>
      <w:pPr>
        <w:ind w:firstLine="420"/>
        <w:jc w:val="both"/>
        <w:spacing w:line="400" w:lineRule="exact"/>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(1)被列入失信被执行人名单；</w:t>
      </w:r>
      <w:r/>
    </w:p>
    <w:p>
      <w:pPr>
        <w:ind w:firstLine="420"/>
        <w:jc w:val="both"/>
        <w:spacing w:line="400" w:lineRule="exact"/>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(2)被列入重大税收违法案件当事人名单；</w:t>
      </w:r>
      <w:r/>
    </w:p>
    <w:p>
      <w:pPr>
        <w:pStyle w:val="934"/>
        <w:ind w:firstLine="422"/>
        <w:spacing w:line="40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pacing w:val="0"/>
          <w:sz w:val="21"/>
          <w:szCs w:val="21"/>
          <w:highlight w:val="none"/>
          <w:lang w:val="zh-CN" w:eastAsia="zh-CN"/>
        </w:rPr>
        <w:t xml:space="preserve">23.3.</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zh-CN" w:eastAsia="zh-CN"/>
        </w:rPr>
        <w:t xml:space="preserve">评审</w:t>
      </w:r>
      <w:r>
        <w:rPr>
          <w:rFonts w:hint="eastAsia" w:ascii="宋体" w:hAnsi="宋体" w:eastAsia="宋体" w:cs="宋体"/>
          <w:color w:val="auto"/>
          <w:spacing w:val="0"/>
          <w:sz w:val="21"/>
          <w:szCs w:val="21"/>
          <w:highlight w:val="none"/>
        </w:rPr>
        <w:t xml:space="preserve">小组应当对</w:t>
      </w:r>
      <w:r>
        <w:rPr>
          <w:rFonts w:hint="eastAsia" w:ascii="宋体" w:hAnsi="宋体" w:eastAsia="宋体" w:cs="宋体"/>
          <w:color w:val="auto"/>
          <w:spacing w:val="0"/>
          <w:sz w:val="21"/>
          <w:szCs w:val="21"/>
          <w:highlight w:val="none"/>
          <w:lang w:val="zh-CN" w:eastAsia="zh-CN"/>
        </w:rPr>
        <w:t xml:space="preserve">投标</w:t>
      </w:r>
      <w:r>
        <w:rPr>
          <w:rFonts w:hint="eastAsia" w:ascii="宋体" w:hAnsi="宋体" w:eastAsia="宋体" w:cs="宋体"/>
          <w:color w:val="auto"/>
          <w:spacing w:val="0"/>
          <w:sz w:val="21"/>
          <w:szCs w:val="21"/>
          <w:highlight w:val="none"/>
        </w:rPr>
        <w:t xml:space="preserve">文件进行评审，并根据</w:t>
      </w:r>
      <w:r>
        <w:rPr>
          <w:rFonts w:hint="eastAsia" w:ascii="宋体" w:hAnsi="宋体" w:eastAsia="宋体" w:cs="宋体"/>
          <w:color w:val="auto"/>
          <w:spacing w:val="0"/>
          <w:sz w:val="21"/>
          <w:szCs w:val="21"/>
          <w:highlight w:val="none"/>
          <w:lang w:val="zh-CN" w:eastAsia="zh-CN"/>
        </w:rPr>
        <w:t xml:space="preserve">招标</w:t>
      </w:r>
      <w:r>
        <w:rPr>
          <w:rFonts w:hint="eastAsia" w:ascii="宋体" w:hAnsi="宋体" w:eastAsia="宋体" w:cs="宋体"/>
          <w:color w:val="auto"/>
          <w:spacing w:val="0"/>
          <w:sz w:val="21"/>
          <w:szCs w:val="21"/>
          <w:highlight w:val="none"/>
        </w:rPr>
        <w:t xml:space="preserve">文件规定的程序、评定</w:t>
      </w:r>
      <w:r>
        <w:rPr>
          <w:rFonts w:hint="eastAsia" w:ascii="宋体" w:hAnsi="宋体" w:eastAsia="宋体" w:cs="宋体"/>
          <w:color w:val="auto"/>
          <w:spacing w:val="0"/>
          <w:sz w:val="21"/>
          <w:szCs w:val="21"/>
          <w:highlight w:val="none"/>
          <w:lang w:val="zh-CN" w:eastAsia="zh-CN"/>
        </w:rPr>
        <w:t xml:space="preserve">中标</w:t>
      </w:r>
      <w:r>
        <w:rPr>
          <w:rFonts w:hint="eastAsia" w:ascii="宋体" w:hAnsi="宋体" w:eastAsia="宋体" w:cs="宋体"/>
          <w:color w:val="auto"/>
          <w:spacing w:val="0"/>
          <w:sz w:val="21"/>
          <w:szCs w:val="21"/>
          <w:highlight w:val="none"/>
        </w:rPr>
        <w:t xml:space="preserve">的标准等事项与实质性响应</w:t>
      </w:r>
      <w:r>
        <w:rPr>
          <w:rFonts w:hint="eastAsia" w:ascii="宋体" w:hAnsi="宋体" w:eastAsia="宋体" w:cs="宋体"/>
          <w:color w:val="auto"/>
          <w:spacing w:val="0"/>
          <w:sz w:val="21"/>
          <w:szCs w:val="21"/>
          <w:highlight w:val="none"/>
          <w:lang w:val="zh-CN" w:eastAsia="zh-CN"/>
        </w:rPr>
        <w:t xml:space="preserve">招标</w:t>
      </w:r>
      <w:r>
        <w:rPr>
          <w:rFonts w:hint="eastAsia" w:ascii="宋体" w:hAnsi="宋体" w:eastAsia="宋体" w:cs="宋体"/>
          <w:color w:val="auto"/>
          <w:spacing w:val="0"/>
          <w:sz w:val="21"/>
          <w:szCs w:val="21"/>
          <w:highlight w:val="none"/>
        </w:rPr>
        <w:t xml:space="preserve">文件要求的供应商进行</w:t>
      </w:r>
      <w:r>
        <w:rPr>
          <w:rFonts w:hint="eastAsia" w:ascii="宋体" w:hAnsi="宋体" w:eastAsia="宋体" w:cs="宋体"/>
          <w:color w:val="auto"/>
          <w:spacing w:val="0"/>
          <w:sz w:val="21"/>
          <w:szCs w:val="21"/>
          <w:highlight w:val="none"/>
          <w:lang w:val="zh-CN" w:eastAsia="zh-CN"/>
        </w:rPr>
        <w:t xml:space="preserve">评审</w:t>
      </w:r>
      <w:r>
        <w:rPr>
          <w:rFonts w:hint="eastAsia" w:ascii="宋体" w:hAnsi="宋体" w:eastAsia="宋体" w:cs="宋体"/>
          <w:color w:val="auto"/>
          <w:spacing w:val="0"/>
          <w:sz w:val="21"/>
          <w:szCs w:val="21"/>
          <w:highlight w:val="none"/>
        </w:rPr>
        <w:t xml:space="preserve">。未实质性响应</w:t>
      </w:r>
      <w:r>
        <w:rPr>
          <w:rFonts w:hint="eastAsia" w:ascii="宋体" w:hAnsi="宋体" w:eastAsia="宋体" w:cs="宋体"/>
          <w:color w:val="auto"/>
          <w:spacing w:val="0"/>
          <w:sz w:val="21"/>
          <w:szCs w:val="21"/>
          <w:highlight w:val="none"/>
          <w:lang w:val="zh-CN" w:eastAsia="zh-CN"/>
        </w:rPr>
        <w:t xml:space="preserve">招标</w:t>
      </w:r>
      <w:r>
        <w:rPr>
          <w:rFonts w:hint="eastAsia" w:ascii="宋体" w:hAnsi="宋体" w:eastAsia="宋体" w:cs="宋体"/>
          <w:color w:val="auto"/>
          <w:spacing w:val="0"/>
          <w:sz w:val="21"/>
          <w:szCs w:val="21"/>
          <w:highlight w:val="none"/>
        </w:rPr>
        <w:t xml:space="preserve">文件的</w:t>
      </w:r>
      <w:r>
        <w:rPr>
          <w:rFonts w:hint="eastAsia" w:ascii="宋体" w:hAnsi="宋体" w:eastAsia="宋体" w:cs="宋体"/>
          <w:color w:val="auto"/>
          <w:spacing w:val="0"/>
          <w:sz w:val="21"/>
          <w:szCs w:val="21"/>
          <w:highlight w:val="none"/>
          <w:lang w:val="zh-CN" w:eastAsia="zh-CN"/>
        </w:rPr>
        <w:t xml:space="preserve">投标</w:t>
      </w:r>
      <w:r>
        <w:rPr>
          <w:rFonts w:hint="eastAsia" w:ascii="宋体" w:hAnsi="宋体" w:eastAsia="宋体" w:cs="宋体"/>
          <w:color w:val="auto"/>
          <w:spacing w:val="0"/>
          <w:sz w:val="21"/>
          <w:szCs w:val="21"/>
          <w:highlight w:val="none"/>
        </w:rPr>
        <w:t xml:space="preserve">文件按无效处理，</w:t>
      </w:r>
      <w:r>
        <w:rPr>
          <w:rFonts w:hint="eastAsia" w:ascii="宋体" w:hAnsi="宋体" w:eastAsia="宋体" w:cs="宋体"/>
          <w:color w:val="auto"/>
          <w:spacing w:val="0"/>
          <w:sz w:val="21"/>
          <w:szCs w:val="21"/>
          <w:highlight w:val="none"/>
          <w:lang w:val="zh-CN" w:eastAsia="zh-CN"/>
        </w:rPr>
        <w:t xml:space="preserve">评审</w:t>
      </w:r>
      <w:r>
        <w:rPr>
          <w:rFonts w:hint="eastAsia" w:ascii="宋体" w:hAnsi="宋体" w:eastAsia="宋体" w:cs="宋体"/>
          <w:color w:val="auto"/>
          <w:spacing w:val="0"/>
          <w:sz w:val="21"/>
          <w:szCs w:val="21"/>
          <w:highlight w:val="none"/>
        </w:rPr>
        <w:t xml:space="preserve">小组应当告知有关供应商。</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24.评标委员会</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24.1评标委员会负责具体评标事务，并独立履行下列职责：</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24.1.1审查、评价投标文件是否符合招标文件的商务、技术等实质性要求；</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24.1.2要求投标人对投标文件有关事项作出澄清或者说明；</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24.1.3对投标文件进行比较和评价；</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24.1.4确定中标候选人名单，以及根据采购人委托直接确定中标人；</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24.1.5向采购人、采购代理机构或者有关部门报告评标中发现的违法行为。</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24.2评标委员会成员应当履行下列义务：</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24.2.1遵纪守法，客观、公正、廉洁地履行职责；</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24.2.2按照招标文件规定的评标办法和评标标准进行评标，对评审意见承担个人责任；</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24.2.3对评标过程和结果，以及投标人的商业秘密保密；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24.2.4评标委员会根据全体评标成员签字的原始评标记录和评标结果编写评标报告。评标报告应当包括以下内容：</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（二）投标人名单和评标委员会成员名单；</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（四）开标记录和评标情况及说明，包括无效投标人名单及原因；</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24.2.5配合相关部门的投诉处理工作；</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24.2.6配合招标采购单位答复投标供应商提出的质疑。</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25.评标内容的保密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25.1公开开标后，直到宣布授予中标单位合同为止，凡属于审查、澄清、评价和比较投标的所有资料，有关授予合同的信息都不应向投标人或与评标无关的其他人泄露。</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25.2在投标文件的审查、澄清、评价和比较以及授予合同的过程中，投标人对招标采购单位和评标委员会成员施加影响的任何行为，都将取消其中标资格。</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26.对投标文件初审</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26.1评标委员会应当对符合资格的投标人的投标文件进行符合性审查，以确定其是否满足招标文件的实质性要求。</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投标文件有下列情况之一者评标委员会有权将其拒绝：</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26.1.1投标人的投标文件未按照本须知规定制作的；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26.1.2未按本须知规定提交资格文件；</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26.1.3与招标文件有重大偏离；</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26.1.4投标人拒绝修正错误；</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26.1.5投标人的报价是选择性的；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26.1.6投标人的报价只投了部分内容；</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26.1.7投标人的投标文件出现了评标委员会认为不应当雷同的情况；</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26.1.8其他被评委会认定无效的情况。</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26.3投标文件报价出现前后不一致的，除招标文件另有规定外，按照下列规定修正：</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（一）投标文件中开标一览表（报价表）内容与投标文件中相应内容不一致的，以开标一览表（报价表）为准；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（二）大写金额和小写金额不一致的，以大写金额为准；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（三）单价金额小数点或者百分比有明显错位的，以开标一览表的总价为准，并修改单价；</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（四）总价金额与按单价汇总金额不一致的，以单价金额计算结果为准。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27.投标的澄清</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27.1对于投标文件中含义不明确、同类问题表述不一致或者有明显文字和计算错误的内容，评标委员会应当以书面形式要求投标人作出必要的澄清、说明或者补正。</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27.2投标人的澄清、说明或者补正应当采用书面形式，并加盖</w:t>
      </w:r>
      <w:r>
        <w:rPr>
          <w:rFonts w:hint="eastAsia" w:ascii="宋体" w:hAnsi="宋体" w:eastAsia="宋体" w:cs="宋体"/>
          <w:color w:val="auto"/>
          <w:sz w:val="21"/>
          <w:szCs w:val="21"/>
          <w:highlight w:val="none"/>
          <w:lang w:val="en-US"/>
        </w:rPr>
        <w:t xml:space="preserve">其单位电子</w:t>
      </w:r>
      <w:r>
        <w:rPr>
          <w:rFonts w:hint="eastAsia" w:ascii="宋体" w:hAnsi="宋体" w:eastAsia="宋体" w:cs="宋体"/>
          <w:color w:val="auto"/>
          <w:sz w:val="21"/>
          <w:szCs w:val="21"/>
          <w:highlight w:val="none"/>
        </w:rPr>
        <w:t xml:space="preserve">公章，或者由法定代表人/负责人或其授权的代表签字。投标人的澄清、说明或者补正不得超出投标文件的范围或者改变投标文件的实质性内容。</w:t>
      </w:r>
      <w:r/>
    </w:p>
    <w:p>
      <w:pPr>
        <w:pStyle w:val="934"/>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28.投标无效</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28.1投标人存在下列情况之一的，投标无效：</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一</w:t>
      </w:r>
      <w:r>
        <w:rPr>
          <w:rFonts w:hint="eastAsia" w:ascii="宋体" w:hAnsi="宋体" w:eastAsia="宋体" w:cs="宋体"/>
          <w:color w:val="auto"/>
          <w:sz w:val="21"/>
          <w:szCs w:val="21"/>
          <w:highlight w:val="none"/>
        </w:rPr>
        <w:t xml:space="preserve">）投标文件未按招标文件要求签署、盖章的；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二</w:t>
      </w:r>
      <w:r>
        <w:rPr>
          <w:rFonts w:hint="eastAsia" w:ascii="宋体" w:hAnsi="宋体" w:eastAsia="宋体" w:cs="宋体"/>
          <w:color w:val="auto"/>
          <w:sz w:val="21"/>
          <w:szCs w:val="21"/>
          <w:highlight w:val="none"/>
        </w:rPr>
        <w:t xml:space="preserve">）不具备招标文件中规定的资格要求的；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三</w:t>
      </w:r>
      <w:r>
        <w:rPr>
          <w:rFonts w:hint="eastAsia" w:ascii="宋体" w:hAnsi="宋体" w:eastAsia="宋体" w:cs="宋体"/>
          <w:color w:val="auto"/>
          <w:sz w:val="21"/>
          <w:szCs w:val="21"/>
          <w:highlight w:val="none"/>
        </w:rPr>
        <w:t xml:space="preserve">）报价超过招标文件中规定的预算金额或者最高限价的；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四</w:t>
      </w:r>
      <w:r>
        <w:rPr>
          <w:rFonts w:hint="eastAsia" w:ascii="宋体" w:hAnsi="宋体" w:eastAsia="宋体" w:cs="宋体"/>
          <w:color w:val="auto"/>
          <w:sz w:val="21"/>
          <w:szCs w:val="21"/>
          <w:highlight w:val="none"/>
        </w:rPr>
        <w:t xml:space="preserve">）投标文件含有采购人不能接受的附加条件的；</w:t>
      </w:r>
      <w:r/>
    </w:p>
    <w:p>
      <w:pPr>
        <w:pStyle w:val="934"/>
        <w:ind w:firstLine="42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（五）机器码检查中，出现不同投标人投标文件机器码一致情形的；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六</w:t>
      </w:r>
      <w:r>
        <w:rPr>
          <w:rFonts w:hint="eastAsia" w:ascii="宋体" w:hAnsi="宋体" w:eastAsia="宋体" w:cs="宋体"/>
          <w:color w:val="auto"/>
          <w:sz w:val="21"/>
          <w:szCs w:val="21"/>
          <w:highlight w:val="none"/>
        </w:rPr>
        <w:t xml:space="preserve">）法律、法规和招标文件规定的其他无效情形。</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28.2投标人应当遵循公平竞争的原则，不得恶意串通，不得妨碍其他投标人的竞争行为，不得损害采购人或者其他投标人的合法权益。</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在评标过程中发现投标人有上述情形的，评标委员会应当认定其投标无效，并书面报告本级财政部门。</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28.3有下列情形之一的，视为投标人串通投标，其投标无效：</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（一）不同投标人的投标文件由同一单位或者个人编制；</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（二）不同投标人委托同一单位或者个人办理投标事宜；</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（三）不同投标人的投标文件载明的项目管理成员或者联系人员为同一人；</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（四）不同投标人的投标文件异常一致或者投标报价呈规律性差异；</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（五）不同投标人的投标文件相互混装。</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29.废标</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29.1在招标过程中，出现下列情况之一的，应予废标：</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29.1.1符合专业条件的供应商或者对招标文件作实质投标的</w:t>
      </w:r>
      <w:r>
        <w:rPr>
          <w:rFonts w:hint="eastAsia" w:ascii="宋体" w:hAnsi="宋体" w:eastAsia="宋体" w:cs="宋体"/>
          <w:color w:val="auto"/>
          <w:sz w:val="21"/>
          <w:szCs w:val="21"/>
          <w:highlight w:val="none"/>
          <w:lang w:val="en-US"/>
        </w:rPr>
        <w:t xml:space="preserve">各标段</w:t>
      </w:r>
      <w:r>
        <w:rPr>
          <w:rFonts w:hint="eastAsia" w:ascii="宋体" w:hAnsi="宋体" w:eastAsia="宋体" w:cs="宋体"/>
          <w:color w:val="auto"/>
          <w:sz w:val="21"/>
          <w:szCs w:val="21"/>
          <w:highlight w:val="none"/>
        </w:rPr>
        <w:t xml:space="preserve">供应商不足</w:t>
      </w:r>
      <w:r>
        <w:rPr>
          <w:rFonts w:hint="eastAsia" w:ascii="宋体" w:hAnsi="宋体" w:eastAsia="宋体" w:cs="宋体"/>
          <w:color w:val="auto"/>
          <w:sz w:val="21"/>
          <w:szCs w:val="21"/>
          <w:highlight w:val="none"/>
          <w:lang w:val="en-US"/>
        </w:rPr>
        <w:t xml:space="preserve">三</w:t>
      </w:r>
      <w:r>
        <w:rPr>
          <w:rFonts w:hint="eastAsia" w:ascii="宋体" w:hAnsi="宋体" w:eastAsia="宋体" w:cs="宋体"/>
          <w:color w:val="auto"/>
          <w:sz w:val="21"/>
          <w:szCs w:val="21"/>
          <w:highlight w:val="none"/>
        </w:rPr>
        <w:t xml:space="preserve">家的；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29.1.2出现影响采购公正的违法、违规行为的；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29.1.3投标人的报价均超过了采购预算，采购人不能支付的；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9</w:t>
      </w:r>
      <w:r>
        <w:rPr>
          <w:rFonts w:hint="eastAsia" w:ascii="宋体" w:hAnsi="宋体" w:eastAsia="宋体" w:cs="宋体"/>
          <w:color w:val="auto"/>
          <w:sz w:val="21"/>
          <w:szCs w:val="21"/>
          <w:highlight w:val="none"/>
        </w:rPr>
        <w:t xml:space="preserve">.1.4因重大变故，采购任务取消的；</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29.2废标后，招标采购单位将把废标的理由通知所有投标人。</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30.投标文件的评价和比较</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30.1</w:t>
      </w:r>
      <w:r>
        <w:rPr>
          <w:rFonts w:hint="eastAsia" w:ascii="宋体" w:hAnsi="宋体" w:eastAsia="宋体" w:cs="宋体"/>
          <w:color w:val="auto"/>
          <w:sz w:val="21"/>
          <w:szCs w:val="21"/>
          <w:highlight w:val="none"/>
        </w:rPr>
        <w:t xml:space="preserve">评标办法采用综合评分法。评标结果按评审后得分由高到低顺序排列。本次</w:t>
      </w:r>
      <w:r>
        <w:rPr>
          <w:rFonts w:hint="eastAsia" w:ascii="宋体" w:hAnsi="宋体" w:eastAsia="宋体" w:cs="宋体"/>
          <w:color w:val="auto"/>
          <w:sz w:val="21"/>
          <w:szCs w:val="21"/>
          <w:highlight w:val="none"/>
          <w:lang w:eastAsia="zh-CN"/>
        </w:rPr>
        <w:t xml:space="preserve">2024-2026年苏州科技城土壤环境调查及地下水检测年度服务第二批次</w:t>
      </w:r>
      <w:r>
        <w:rPr>
          <w:rFonts w:hint="eastAsia" w:ascii="宋体" w:hAnsi="宋体" w:eastAsia="宋体" w:cs="宋体"/>
          <w:color w:val="auto"/>
          <w:sz w:val="21"/>
          <w:szCs w:val="21"/>
          <w:highlight w:val="none"/>
        </w:rPr>
        <w:t xml:space="preserve">共计</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个标段，各标段投标文件满足招标文件全部实质性要求的供应商少于3家时，则该标段采购失败。各投标人在</w:t>
      </w:r>
      <w:r>
        <w:rPr>
          <w:rFonts w:hint="eastAsia" w:ascii="宋体" w:hAnsi="宋体" w:eastAsia="宋体" w:cs="宋体"/>
          <w:color w:val="auto"/>
          <w:sz w:val="21"/>
          <w:szCs w:val="21"/>
          <w:highlight w:val="none"/>
          <w:lang w:eastAsia="zh-CN"/>
        </w:rPr>
        <w:t xml:space="preserve">2024-2026年苏州科技城土壤环境调查及地下水检测年度服务第二批次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个标段）中，中标标段</w:t>
      </w:r>
      <w:r>
        <w:rPr>
          <w:rFonts w:hint="eastAsia" w:ascii="宋体" w:hAnsi="宋体" w:eastAsia="宋体" w:cs="宋体"/>
          <w:color w:val="auto"/>
          <w:sz w:val="21"/>
          <w:szCs w:val="21"/>
          <w:highlight w:val="none"/>
          <w:lang w:val="en-US" w:eastAsia="zh-CN"/>
        </w:rPr>
        <w:t xml:space="preserve">最多允许中一个标段</w:t>
      </w:r>
      <w:r>
        <w:rPr>
          <w:rFonts w:hint="eastAsia" w:ascii="宋体" w:hAnsi="宋体" w:eastAsia="宋体" w:cs="宋体"/>
          <w:color w:val="auto"/>
          <w:sz w:val="21"/>
          <w:szCs w:val="21"/>
          <w:highlight w:val="none"/>
        </w:rPr>
        <w:t xml:space="preserve">，已在前期某标段评审中中标的供应商，不再具有其他标段的得标权，也不计入之后开标标段的实质性</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数量内。得分相同的，按投标报价由低到高顺序排列。得分且投标报价相同的并列，则由采购代理机构组织抽签确定中标人。投标文件满足招标文件全部实质性要求，且按照评审因素的量化指标评审得分最高的投标人为排名第一的中标候选人。</w:t>
      </w:r>
      <w:r/>
    </w:p>
    <w:p>
      <w:pPr>
        <w:ind w:firstLine="420"/>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30.2本项目开评标顺序：按照一标段到二标段的顺序依次进行开评标。</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最低的投标报价或最高的折扣比例是中标的重要条件，但不是唯一条件。</w:t>
      </w:r>
      <w:bookmarkStart w:id="16" w:name="_Toc18442"/>
      <w:r/>
      <w:bookmarkStart w:id="17" w:name="_Toc19501"/>
      <w:r/>
      <w:r/>
    </w:p>
    <w:p>
      <w:pPr>
        <w:pStyle w:val="934"/>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七、授予合同</w:t>
      </w:r>
      <w:bookmarkEnd w:id="16"/>
      <w:r/>
      <w:bookmarkEnd w:id="17"/>
      <w:r/>
      <w:r/>
    </w:p>
    <w:p>
      <w:pPr>
        <w:pStyle w:val="934"/>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31.中标单位的确认</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31.1评标委员会根据投标人资格审查情况，对投标文件进行评价和比较，按照评标办法和标准进行评标，并按招标采购单位的委托向招标采购单位推荐中标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31.2经评标委员会评审并确定中标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后，采购</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32.合同授予标准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将把合同授予其投标文件在实质上响应投标招标文件要求且按本须知规定评选出的投标人。确定为中标的投标人必须具有实施本合同的能力和资源。</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33.中标通知书</w:t>
      </w:r>
      <w:r/>
    </w:p>
    <w:p>
      <w:pPr>
        <w:pStyle w:val="934"/>
        <w:ind w:firstLine="420"/>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33.1确定出中标人后，采购代理机构在法定时间内向中标人发出中标通知书。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val="0"/>
          <w:color w:val="auto"/>
          <w:sz w:val="21"/>
          <w:szCs w:val="21"/>
          <w:highlight w:val="none"/>
        </w:rPr>
        <w:t xml:space="preserve">对未通过资格审查的供应商，应当告知其未通过的原因；未</w:t>
      </w:r>
      <w:r>
        <w:rPr>
          <w:rFonts w:hint="eastAsia" w:ascii="宋体" w:hAnsi="宋体" w:eastAsia="宋体" w:cs="宋体"/>
          <w:bCs w:val="0"/>
          <w:color w:val="auto"/>
          <w:sz w:val="21"/>
          <w:szCs w:val="21"/>
          <w:highlight w:val="none"/>
          <w:lang w:val="en-US" w:eastAsia="zh-CN"/>
        </w:rPr>
        <w:t xml:space="preserve">中标</w:t>
      </w:r>
      <w:r>
        <w:rPr>
          <w:rFonts w:hint="eastAsia" w:ascii="宋体" w:hAnsi="宋体" w:eastAsia="宋体" w:cs="宋体"/>
          <w:bCs w:val="0"/>
          <w:color w:val="auto"/>
          <w:sz w:val="21"/>
          <w:szCs w:val="21"/>
          <w:highlight w:val="none"/>
        </w:rPr>
        <w:t xml:space="preserve">供应商须在</w:t>
      </w:r>
      <w:r>
        <w:rPr>
          <w:rFonts w:hint="eastAsia" w:ascii="宋体" w:hAnsi="宋体" w:eastAsia="宋体" w:cs="宋体"/>
          <w:bCs w:val="0"/>
          <w:color w:val="auto"/>
          <w:sz w:val="21"/>
          <w:szCs w:val="21"/>
          <w:highlight w:val="none"/>
          <w:lang w:val="en-US" w:eastAsia="zh-CN"/>
        </w:rPr>
        <w:t xml:space="preserve">中标</w:t>
      </w:r>
      <w:r>
        <w:rPr>
          <w:rFonts w:hint="eastAsia" w:ascii="宋体" w:hAnsi="宋体" w:eastAsia="宋体" w:cs="宋体"/>
          <w:bCs w:val="0"/>
          <w:color w:val="auto"/>
          <w:sz w:val="21"/>
          <w:szCs w:val="21"/>
          <w:highlight w:val="none"/>
        </w:rPr>
        <w:t xml:space="preserve">公告发出之日起2个工作日内向采购代理机构另行提供用以接收《未</w:t>
      </w:r>
      <w:r>
        <w:rPr>
          <w:rFonts w:hint="eastAsia" w:ascii="宋体" w:hAnsi="宋体" w:eastAsia="宋体" w:cs="宋体"/>
          <w:bCs w:val="0"/>
          <w:color w:val="auto"/>
          <w:sz w:val="21"/>
          <w:szCs w:val="21"/>
          <w:highlight w:val="none"/>
          <w:lang w:val="en-US" w:eastAsia="zh-CN"/>
        </w:rPr>
        <w:t xml:space="preserve">中标</w:t>
      </w:r>
      <w:r>
        <w:rPr>
          <w:rFonts w:hint="eastAsia" w:ascii="宋体" w:hAnsi="宋体" w:eastAsia="宋体" w:cs="宋体"/>
          <w:bCs w:val="0"/>
          <w:color w:val="auto"/>
          <w:sz w:val="21"/>
          <w:szCs w:val="21"/>
          <w:highlight w:val="none"/>
        </w:rPr>
        <w:t xml:space="preserve">通知书》的电子邮件地址，未按时提供电子邮件地址或提供信息有误的，视为自动放弃并自行承担相应后果。</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33.2中标通知书将成为合同的组成部分，对采购人和中标人具有同等法律效力。</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.3中标通知书发出后，采购人不得违法改变中标结果，中标人无正当理由不得放弃中标。</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34.合同的签订</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最长不得超过三十日。</w:t>
      </w:r>
      <w:r/>
    </w:p>
    <w:p>
      <w:pPr>
        <w:pStyle w:val="934"/>
        <w:ind w:firstLine="42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34.2</w:t>
      </w:r>
      <w:r>
        <w:rPr>
          <w:rFonts w:hint="eastAsia" w:ascii="宋体" w:hAnsi="宋体" w:eastAsia="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34.3招标文件、中标人的投标文件及招标过程中有关澄清、承诺文件均应作为合同附件。</w:t>
      </w:r>
      <w:r/>
    </w:p>
    <w:p>
      <w:pPr>
        <w:pStyle w:val="934"/>
        <w:ind w:firstLine="420"/>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400" w:lineRule="exact"/>
        <w:rPr>
          <w:rFonts w:hint="eastAsia" w:ascii="宋体" w:hAnsi="宋体" w:eastAsia="宋体" w:cs="宋体"/>
          <w:b/>
          <w:color w:val="auto"/>
          <w:szCs w:val="21"/>
          <w:highlight w:val="none"/>
        </w:rPr>
      </w:pPr>
      <w:r/>
      <w:bookmarkStart w:id="18" w:name="_Toc21029"/>
      <w:r/>
      <w:bookmarkStart w:id="19" w:name="_Toc8186"/>
      <w:r>
        <w:rPr>
          <w:rFonts w:hint="eastAsia" w:ascii="宋体" w:hAnsi="宋体" w:eastAsia="宋体" w:cs="宋体"/>
          <w:b/>
          <w:color w:val="auto"/>
          <w:szCs w:val="21"/>
          <w:highlight w:val="none"/>
        </w:rPr>
        <w:t xml:space="preserve">八、其他事项</w:t>
      </w:r>
      <w:bookmarkEnd w:id="18"/>
      <w:r/>
      <w:bookmarkEnd w:id="19"/>
      <w:r/>
      <w:r/>
    </w:p>
    <w:p>
      <w:pPr>
        <w:pStyle w:val="934"/>
        <w:ind w:firstLine="422"/>
        <w:spacing w:line="400" w:lineRule="exact"/>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rPr>
        <w:t xml:space="preserve">35.代理服务费：</w:t>
      </w:r>
      <w:r>
        <w:rPr>
          <w:rFonts w:hint="eastAsia" w:ascii="宋体" w:hAnsi="宋体" w:eastAsia="宋体" w:cs="宋体"/>
          <w:color w:val="auto"/>
          <w:sz w:val="21"/>
          <w:szCs w:val="21"/>
          <w:highlight w:val="none"/>
        </w:rPr>
        <w:t xml:space="preserve">中标人须按规定支付中标服务费，该费用应在领取中标通知书时付清。</w:t>
      </w:r>
      <w:r/>
    </w:p>
    <w:p>
      <w:pPr>
        <w:pStyle w:val="934"/>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36.有关监督部门将对招投标全过程进行监督。</w:t>
      </w:r>
      <w:r/>
    </w:p>
    <w:p>
      <w:pPr>
        <w:pStyle w:val="934"/>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37.未尽事宜：</w:t>
      </w:r>
      <w:r>
        <w:rPr>
          <w:rFonts w:hint="eastAsia" w:ascii="宋体" w:hAnsi="宋体" w:eastAsia="宋体" w:cs="宋体"/>
          <w:color w:val="auto"/>
          <w:sz w:val="21"/>
          <w:szCs w:val="21"/>
          <w:highlight w:val="none"/>
        </w:rPr>
        <w:t xml:space="preserve">按《中华人民共和国政府采购法》及其他有关的法律法规的规定执行。</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32"/>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32"/>
          <w:highlight w:val="none"/>
        </w:rPr>
        <w:t xml:space="preserve">第三章 投标文件格式</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说明：</w:t>
      </w:r>
      <w:r/>
    </w:p>
    <w:p>
      <w:pPr>
        <w:pStyle w:val="934"/>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对本章所有的投标书格式，投标方可根据自身情况进行补充和修改，但补充和修改不得造成与本格式内容有实质性的违背。</w:t>
      </w:r>
      <w:r/>
    </w:p>
    <w:p>
      <w:pPr>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outlineLvl w:val="0"/>
      </w:pPr>
      <w:r/>
      <w:bookmarkStart w:id="20" w:name="_Toc3821"/>
      <w:r/>
      <w:bookmarkStart w:id="21" w:name="_Toc17036"/>
      <w:r/>
      <w:bookmarkStart w:id="22" w:name="_Toc71810480"/>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附件1.投标函</w:t>
      </w:r>
      <w:bookmarkEnd w:id="20"/>
      <w:r/>
      <w:bookmarkEnd w:id="21"/>
      <w:r/>
      <w:bookmarkEnd w:id="22"/>
      <w:r/>
      <w:r/>
    </w:p>
    <w:p>
      <w:pPr>
        <w:ind w:firstLine="4638"/>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投标函</w:t>
      </w:r>
      <w:r/>
    </w:p>
    <w:p>
      <w:pPr>
        <w:ind w:firstLine="4638"/>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致：</w:t>
      </w:r>
      <w:r>
        <w:rPr>
          <w:rFonts w:hint="eastAsia" w:ascii="宋体" w:hAnsi="宋体" w:eastAsia="宋体" w:cs="宋体"/>
          <w:color w:val="auto"/>
          <w:szCs w:val="21"/>
          <w:highlight w:val="none"/>
          <w:u w:val="single"/>
          <w:lang w:val="zh-CN"/>
        </w:rPr>
        <w:t xml:space="preserve">涵熙（苏州）工程顾问有限公司</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我方收到贵</w:t>
      </w:r>
      <w:r>
        <w:rPr>
          <w:rFonts w:hint="eastAsia" w:ascii="宋体" w:hAnsi="宋体" w:eastAsia="宋体" w:cs="宋体"/>
          <w:color w:val="auto"/>
          <w:szCs w:val="21"/>
          <w:highlight w:val="none"/>
        </w:rPr>
        <w:t xml:space="preserve">公司</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（项目编号）招标文件，经仔细阅读和研究，我方决定参加投标，并向贵</w:t>
      </w:r>
      <w:r>
        <w:rPr>
          <w:rFonts w:hint="eastAsia" w:ascii="宋体" w:hAnsi="宋体" w:eastAsia="宋体" w:cs="宋体"/>
          <w:color w:val="auto"/>
          <w:szCs w:val="21"/>
          <w:highlight w:val="none"/>
        </w:rPr>
        <w:t xml:space="preserve">公司</w:t>
      </w:r>
      <w:r>
        <w:rPr>
          <w:rFonts w:hint="eastAsia" w:ascii="宋体" w:hAnsi="宋体" w:eastAsia="宋体" w:cs="宋体"/>
          <w:color w:val="auto"/>
          <w:szCs w:val="21"/>
          <w:highlight w:val="none"/>
          <w:lang w:val="zh-CN"/>
        </w:rPr>
        <w:t xml:space="preserve">作出如下承诺：</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4、本投标书的有效期限为投标截止时间之日起90天。</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6、我方承诺该项投标在开标后的全过程中保持有效，不作任何更改和变动。</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7、我方承诺满足《中华人民共和国政府采购法》第二十二条规定的所有条件。</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8、与本投标有关的通讯地址：</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单   位：                                              联 系 人： </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地   址：                                              邮政编码： </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联系电话：                                             电子邮箱：</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br w:type="page" w:clear="all"/>
      </w:r>
      <w:bookmarkStart w:id="23" w:name="_Toc71810481"/>
      <w:r>
        <w:rPr>
          <w:rFonts w:hint="eastAsia" w:ascii="宋体" w:hAnsi="宋体" w:eastAsia="宋体" w:cs="宋体"/>
          <w:b/>
          <w:color w:val="auto"/>
          <w:szCs w:val="21"/>
          <w:highlight w:val="none"/>
        </w:rPr>
        <w:t xml:space="preserve">附件2.开标一览表</w:t>
      </w:r>
      <w:bookmarkEnd w:id="23"/>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3453"/>
        <w:spacing w:line="6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开标一览表</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具体按“苏采云”系统填报</w:t>
      </w:r>
      <w:r/>
    </w:p>
    <w:p>
      <w:pPr>
        <w:pStyle w:val="71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712"/>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710"/>
        <w:ind w:left="0" w:firstLine="0"/>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注：本项目采用优惠率报价。</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1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1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1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1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b/>
          <w:color w:val="auto"/>
          <w:szCs w:val="21"/>
          <w:highlight w:val="none"/>
        </w:rPr>
        <w:outlineLvl w:val="1"/>
      </w:pPr>
      <w:r/>
      <w:bookmarkStart w:id="24" w:name="_Toc241"/>
      <w:r/>
      <w:bookmarkStart w:id="25" w:name="_Toc7945"/>
      <w:r/>
      <w:bookmarkStart w:id="26" w:name="_Toc71810482"/>
      <w:r>
        <w:rPr>
          <w:rFonts w:hint="eastAsia" w:ascii="宋体" w:hAnsi="宋体" w:eastAsia="宋体" w:cs="宋体"/>
          <w:b/>
          <w:bCs/>
          <w:color w:val="auto"/>
          <w:szCs w:val="21"/>
          <w:highlight w:val="none"/>
        </w:rPr>
        <w:br w:type="page" w:clear="all"/>
      </w:r>
      <w:bookmarkEnd w:id="24"/>
      <w:r/>
      <w:bookmarkEnd w:id="25"/>
      <w:r/>
      <w:bookmarkEnd w:id="26"/>
      <w:r/>
      <w:bookmarkStart w:id="27" w:name="_Toc71810483"/>
      <w:r>
        <w:rPr>
          <w:rFonts w:hint="eastAsia" w:ascii="宋体" w:hAnsi="宋体" w:eastAsia="宋体" w:cs="宋体"/>
          <w:b/>
          <w:color w:val="auto"/>
          <w:szCs w:val="21"/>
          <w:highlight w:val="none"/>
        </w:rPr>
        <w:t xml:space="preserve">附件3.投入设备一览表</w:t>
      </w:r>
      <w:r/>
    </w:p>
    <w:p>
      <w:pPr>
        <w:pStyle w:val="739"/>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(1)投入</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标段设备一览表</w:t>
      </w:r>
      <w:r/>
    </w:p>
    <w:p>
      <w:pPr>
        <w:pStyle w:val="73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09"/>
        <w:tblW w:w="8522" w:type="dxa"/>
        <w:jc w:val="center"/>
        <w:tblLayout w:type="fixed"/>
        <w:tblCellMar>
          <w:left w:w="108" w:type="dxa"/>
          <w:top w:w="0" w:type="dxa"/>
          <w:right w:w="108" w:type="dxa"/>
          <w:bottom w:w="0" w:type="dxa"/>
        </w:tblCellMar>
        <w:tblLook w:val="04A0" w:firstRow="1" w:lastRow="0" w:firstColumn="1" w:lastColumn="0" w:noHBand="0" w:noVBand="1"/>
      </w:tblPr>
      <w:tblGrid>
        <w:gridCol w:w="926"/>
        <w:gridCol w:w="2466"/>
        <w:gridCol w:w="3510"/>
        <w:gridCol w:w="1620"/>
      </w:tblGrid>
      <w:tr>
        <w:trPr>
          <w:jc w:val="center"/>
          <w:trHeight w:val="546"/>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211"/>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466"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自有或已租赁或承诺中标后购买或租赁</w:t>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2466" w:type="dxa"/>
            <w:vAlign w:val="bottom"/>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52"/>
          <w:tblHeader/>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39"/>
              <w:ind w:left="0"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466"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8"/>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pStyle w:val="948"/>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739"/>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73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3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400" w:lineRule="exact"/>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附件4.项目组成员一览表</w:t>
      </w:r>
      <w:r/>
    </w:p>
    <w:p>
      <w:pPr>
        <w:pStyle w:val="73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before="100" w:beforeAutospacing="1" w:after="100" w:afterAutospacing="1"/>
        <w:rPr>
          <w:rFonts w:hint="eastAsia" w:ascii="宋体" w:hAnsi="宋体" w:eastAsia="宋体" w:cs="宋体"/>
          <w:b/>
          <w:color w:val="auto"/>
          <w:szCs w:val="21"/>
          <w:highlight w:val="none"/>
        </w:rPr>
      </w:pP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标段  项目组成员一览表</w:t>
      </w:r>
      <w:r/>
    </w:p>
    <w:tbl>
      <w:tblPr>
        <w:tblStyle w:val="709"/>
        <w:tblW w:w="903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755"/>
        <w:gridCol w:w="1486"/>
        <w:gridCol w:w="1559"/>
        <w:gridCol w:w="789"/>
        <w:gridCol w:w="770"/>
        <w:gridCol w:w="825"/>
        <w:gridCol w:w="752"/>
        <w:gridCol w:w="770"/>
        <w:gridCol w:w="789"/>
      </w:tblGrid>
      <w:tr>
        <w:trPr>
          <w:trHeight w:val="1012"/>
        </w:trPr>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75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14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155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身份证号码</w:t>
            </w:r>
            <w:r/>
          </w:p>
        </w:tc>
        <w:tc>
          <w:tcPr>
            <w:tcW w:w="78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7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7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W w:w="7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W w:w="78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1012"/>
        </w:trPr>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75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w:t>
            </w:r>
            <w:r/>
          </w:p>
        </w:tc>
        <w:tc>
          <w:tcPr>
            <w:tcW w:w="155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1012"/>
        </w:trPr>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75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技术负责人</w:t>
            </w:r>
            <w:r/>
          </w:p>
        </w:tc>
        <w:tc>
          <w:tcPr>
            <w:tcW w:w="155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21"/>
        </w:trPr>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75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21"/>
        </w:trPr>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75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21"/>
        </w:trPr>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75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63"/>
        </w:trPr>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75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55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注：按第四章招标书要求及第六章评分标准提供相关证明材料。</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3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pStyle w:val="94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73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7"/>
        <w:jc w:val="both"/>
        <w:spacing w:line="360" w:lineRule="exact"/>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附件5.类似业绩一览表</w:t>
      </w:r>
      <w:r/>
    </w:p>
    <w:p>
      <w:pPr>
        <w:ind w:left="-42" w:right="357"/>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类似业绩一览表（</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标段）</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09"/>
        <w:tblW w:w="8517" w:type="dxa"/>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641"/>
        <w:gridCol w:w="2290"/>
        <w:gridCol w:w="1977"/>
        <w:gridCol w:w="1956"/>
        <w:gridCol w:w="1653"/>
      </w:tblGrid>
      <w:tr>
        <w:trPr>
          <w:cantSplit/>
          <w:trHeight w:val="1086" w:hRule="exact"/>
        </w:trPr>
        <w:tc>
          <w:tcPr>
            <w:tcW w:w="64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合同名称</w:t>
            </w:r>
            <w:r/>
          </w:p>
        </w:tc>
        <w:tc>
          <w:tcPr>
            <w:tcW w:w="19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W w:w="19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合同签订日期</w:t>
            </w:r>
            <w:r/>
          </w:p>
        </w:tc>
        <w:tc>
          <w:tcPr>
            <w:tcW w:w="16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586" w:hRule="exact"/>
        </w:trPr>
        <w:tc>
          <w:tcPr>
            <w:tcW w:w="64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9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77"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6"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3"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86" w:hRule="exact"/>
        </w:trPr>
        <w:tc>
          <w:tcPr>
            <w:tcW w:w="64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9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77"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6"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3"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86" w:hRule="exact"/>
        </w:trPr>
        <w:tc>
          <w:tcPr>
            <w:tcW w:w="64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9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77"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6"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3"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31" w:hRule="exact"/>
        </w:trPr>
        <w:tc>
          <w:tcPr>
            <w:tcW w:w="64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9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77"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6"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3"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tabs>
          <w:tab w:val="left" w:pos="752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注：投标文件中须提供的证明材料详见第六章评分标准。</w:t>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pStyle w:val="94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Cs w:val="21"/>
          <w:highlight w:val="none"/>
        </w:rPr>
        <w:outlineLvl w:val="0"/>
      </w:pPr>
      <w:r>
        <w:rPr>
          <w:rFonts w:hint="eastAsia" w:ascii="宋体" w:hAnsi="宋体" w:eastAsia="宋体" w:cs="宋体"/>
          <w:b/>
          <w:color w:val="auto"/>
          <w:szCs w:val="21"/>
          <w:highlight w:val="none"/>
        </w:rPr>
        <w:t xml:space="preserve">附件6.法定代表人授权委托书</w:t>
      </w:r>
      <w:bookmarkEnd w:id="27"/>
      <w:r/>
      <w:r/>
    </w:p>
    <w:p>
      <w:pPr>
        <w:jc w:val="center"/>
        <w:spacing w:before="100" w:beforeAutospacing="1" w:after="100" w:afterAutospacing="1"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法定代表人授权委托书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本授权委托书声明：  我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投标人名称）的法定代表人，现授权委托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（姓名）为我公司授权代表（即代理人），以本公司的名义参加</w:t>
      </w:r>
      <w:r>
        <w:rPr>
          <w:rFonts w:hint="eastAsia" w:ascii="宋体" w:hAnsi="宋体" w:eastAsia="宋体" w:cs="宋体"/>
          <w:color w:val="auto"/>
          <w:szCs w:val="21"/>
          <w:highlight w:val="none"/>
          <w:u w:val="single"/>
        </w:rPr>
        <w:t xml:space="preserve">涵熙（苏州）工程顾问有限公司</w:t>
      </w:r>
      <w:r>
        <w:rPr>
          <w:rFonts w:hint="eastAsia" w:ascii="宋体" w:hAnsi="宋体" w:eastAsia="宋体" w:cs="宋体"/>
          <w:color w:val="auto"/>
          <w:szCs w:val="21"/>
          <w:highlight w:val="none"/>
        </w:rPr>
        <w:t xml:space="preserve">组织实施的编号为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号（项目编号）的招标活动。代理人在开标、评标、合同谈判过程中所签署的一切文件和处理与这有关的一切事务，我均予以承认。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代理人无转委托权。特此委托。</w:t>
      </w:r>
      <w:r/>
    </w:p>
    <w:p>
      <w:pPr>
        <w:pStyle w:val="90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法定代表人（签字或签章）：</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849"/>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br w:type="page" w:clear="all"/>
      </w:r>
      <w:bookmarkStart w:id="28" w:name="_Toc19621"/>
      <w:r/>
      <w:bookmarkStart w:id="29" w:name="_Toc21574"/>
      <w:r/>
      <w:bookmarkStart w:id="30" w:name="_Toc71810484"/>
      <w:r>
        <w:rPr>
          <w:rFonts w:hint="eastAsia" w:ascii="宋体" w:hAnsi="宋体" w:eastAsia="宋体" w:cs="宋体"/>
          <w:b/>
          <w:color w:val="auto"/>
          <w:szCs w:val="21"/>
          <w:highlight w:val="none"/>
        </w:rPr>
        <w:t xml:space="preserve">附件7.关于资格文件的声明函</w:t>
      </w:r>
      <w:r/>
    </w:p>
    <w:p>
      <w:pPr>
        <w:jc w:val="lef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r>
      <w:r/>
    </w:p>
    <w:p>
      <w:pPr>
        <w:ind w:firstLine="42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关于资格文件的声明函</w:t>
      </w:r>
      <w:r/>
    </w:p>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涵熙（苏州）工程顾问有限公司</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本公司愿就由贵公司组织实施的编号为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rPr>
          <w:rFonts w:hint="eastAsia" w:ascii="宋体" w:hAnsi="宋体" w:eastAsia="宋体" w:cs="宋体"/>
          <w:b/>
          <w:color w:val="auto"/>
          <w:szCs w:val="21"/>
          <w:highlight w:val="none"/>
        </w:rPr>
        <w:outlineLvl w:val="0"/>
      </w:pPr>
      <w:r>
        <w:rPr>
          <w:rFonts w:hint="eastAsia" w:ascii="宋体" w:hAnsi="宋体" w:eastAsia="宋体" w:cs="宋体"/>
          <w:color w:val="auto"/>
          <w:szCs w:val="21"/>
          <w:highlight w:val="none"/>
        </w:rPr>
        <w:br w:type="page" w:clear="all"/>
      </w:r>
      <w:bookmarkStart w:id="31" w:name="_Toc71810491"/>
      <w:r>
        <w:rPr>
          <w:rFonts w:hint="eastAsia" w:ascii="宋体" w:hAnsi="宋体" w:eastAsia="宋体" w:cs="宋体"/>
          <w:b/>
          <w:color w:val="auto"/>
          <w:szCs w:val="21"/>
          <w:highlight w:val="none"/>
        </w:rPr>
        <w:t xml:space="preserve">附件8.投标人基本情况表</w:t>
      </w:r>
      <w:bookmarkEnd w:id="31"/>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投标人基本情况表</w:t>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2023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2023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2023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315"/>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注：若事项较多，投标人可根据投标内容的实际情况另纸说明。</w:t>
      </w:r>
      <w:r/>
    </w:p>
    <w:p>
      <w:pPr>
        <w:ind w:firstLine="3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r>
      <w:r/>
    </w:p>
    <w:p>
      <w:pPr>
        <w:jc w:val="left"/>
        <w:rPr>
          <w:rFonts w:hint="eastAsia" w:ascii="宋体" w:hAnsi="宋体" w:eastAsia="宋体" w:cs="宋体"/>
          <w:b/>
          <w:color w:val="auto"/>
          <w:szCs w:val="21"/>
          <w:highlight w:val="none"/>
        </w:rPr>
        <w:outlineLvl w:val="0"/>
      </w:pPr>
      <w:r/>
      <w:bookmarkStart w:id="32" w:name="_Toc71810487"/>
      <w:r>
        <w:rPr>
          <w:rFonts w:hint="eastAsia" w:ascii="宋体" w:hAnsi="宋体" w:eastAsia="宋体" w:cs="宋体"/>
          <w:b/>
          <w:color w:val="auto"/>
          <w:szCs w:val="21"/>
          <w:highlight w:val="none"/>
        </w:rPr>
        <w:t xml:space="preserve">附件9.</w:t>
      </w:r>
      <w:bookmarkEnd w:id="32"/>
      <w:r>
        <w:rPr>
          <w:rFonts w:hint="eastAsia" w:ascii="宋体" w:hAnsi="宋体" w:eastAsia="宋体" w:cs="宋体"/>
          <w:b/>
          <w:color w:val="auto"/>
          <w:szCs w:val="21"/>
          <w:highlight w:val="none"/>
        </w:rPr>
        <w:t xml:space="preserve">偏离表（服务、商务）</w:t>
      </w:r>
      <w:r/>
    </w:p>
    <w:p>
      <w:pPr>
        <w:jc w:val="center"/>
        <w:spacing w:before="100" w:beforeAutospacing="1" w:after="100" w:afterAutospacing="1"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偏离表（服务、商务）</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投标内容</w:t>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418" w:type="dxa"/>
            <w:vAlign w:val="top"/>
            <w:textDirection w:val="lrTb"/>
            <w:noWrap w:val="false"/>
          </w:tcPr>
          <w:p>
            <w:pPr>
              <w:jc w:val="center"/>
              <w:spacing w:line="6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495"/>
        </w:trPr>
        <w:tc>
          <w:tcPr>
            <w:tcW w:w="7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2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39"/>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注：投标人应在本表中对照招标文件服务要求有偏离的，应在此表中说明。未说明偏离的，将被认为响应招标文件的规定。但该表不作为供应商对所投标服务的详细描述和说明的替代。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以上表格内容不够的请自行添加。</w:t>
      </w:r>
      <w:r/>
    </w:p>
    <w:p>
      <w:pPr>
        <w:ind w:right="156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3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附件10.投标</w:t>
      </w:r>
      <w:r>
        <w:rPr>
          <w:rFonts w:hint="eastAsia" w:ascii="宋体" w:hAnsi="宋体" w:eastAsia="宋体" w:cs="宋体"/>
          <w:b/>
          <w:bCs/>
          <w:color w:val="auto"/>
          <w:szCs w:val="21"/>
          <w:highlight w:val="none"/>
          <w:lang w:val="zh-CN"/>
        </w:rPr>
        <w:t xml:space="preserve">单位与其他单位存在控股、管理关系情况表</w:t>
      </w:r>
      <w:r/>
    </w:p>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投标</w:t>
      </w:r>
      <w:r>
        <w:rPr>
          <w:rFonts w:hint="eastAsia" w:ascii="宋体" w:hAnsi="宋体" w:eastAsia="宋体" w:cs="宋体"/>
          <w:b/>
          <w:bCs/>
          <w:color w:val="auto"/>
          <w:szCs w:val="21"/>
          <w:highlight w:val="none"/>
          <w:lang w:val="zh-CN"/>
        </w:rPr>
        <w:t xml:space="preserve">单位与其他单位存在控股、管理关系情况表</w:t>
      </w:r>
      <w:r/>
    </w:p>
    <w:tbl>
      <w:tblPr>
        <w:tblStyle w:val="7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7"/>
        <w:gridCol w:w="4191"/>
      </w:tblGrid>
      <w:tr>
        <w:trPr>
          <w:jc w:val="center"/>
          <w:trHeight w:val="637"/>
        </w:trPr>
        <w:tc>
          <w:tcPr>
            <w:tcW w:w="4928"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与投标单位存在控股、管理关系的单位名称</w:t>
            </w:r>
            <w:r/>
          </w:p>
        </w:tc>
        <w:tc>
          <w:tcPr>
            <w:tcW w:w="4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控股、管理关系情况说明</w:t>
            </w:r>
            <w:r/>
          </w:p>
        </w:tc>
      </w:tr>
      <w:tr>
        <w:trPr>
          <w:jc w:val="center"/>
          <w:trHeight w:val="850"/>
        </w:trPr>
        <w:tc>
          <w:tcPr>
            <w:tcW w:w="49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850"/>
        </w:trPr>
        <w:tc>
          <w:tcPr>
            <w:tcW w:w="49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850"/>
        </w:trPr>
        <w:tc>
          <w:tcPr>
            <w:tcW w:w="49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850"/>
        </w:trPr>
        <w:tc>
          <w:tcPr>
            <w:tcW w:w="49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850"/>
        </w:trPr>
        <w:tc>
          <w:tcPr>
            <w:tcW w:w="49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850"/>
        </w:trPr>
        <w:tc>
          <w:tcPr>
            <w:tcW w:w="49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注：投标单位应当按实填写所有与之有控股、管理关系的情况</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附件11.中小企业声明函</w:t>
      </w:r>
      <w:bookmarkEnd w:id="28"/>
      <w:r/>
      <w:bookmarkEnd w:id="29"/>
      <w:r/>
      <w:bookmarkEnd w:id="30"/>
      <w:r/>
      <w:r/>
    </w:p>
    <w:p>
      <w:pPr>
        <w:jc w:val="center"/>
        <w:spacing w:before="100" w:beforeAutospacing="1" w:after="100" w:afterAutospacing="1"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中小企业声明函（服务）</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涵熙（苏州）工程顾问有限公司：</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，属于</w:t>
      </w:r>
      <w:r>
        <w:rPr>
          <w:rFonts w:hint="eastAsia" w:ascii="宋体" w:hAnsi="宋体" w:eastAsia="宋体" w:cs="宋体"/>
          <w:b/>
          <w:bCs/>
          <w:color w:val="auto"/>
          <w:szCs w:val="21"/>
          <w:highlight w:val="none"/>
          <w:u w:val="single"/>
        </w:rPr>
        <w:t xml:space="preserve">其他未列明行业</w:t>
      </w:r>
      <w:r>
        <w:rPr>
          <w:rFonts w:hint="eastAsia" w:ascii="宋体" w:hAnsi="宋体" w:eastAsia="宋体" w:cs="宋体"/>
          <w:color w:val="auto"/>
          <w:szCs w:val="21"/>
          <w:highlight w:val="none"/>
        </w:rPr>
        <w:t xml:space="preserve">；承接企业为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Style w:val="931"/>
          <w:rFonts w:hint="eastAsia" w:ascii="宋体" w:hAnsi="宋体" w:eastAsia="宋体" w:cs="宋体"/>
          <w:color w:val="auto"/>
          <w:szCs w:val="21"/>
          <w:highlight w:val="none"/>
        </w:rPr>
        <w:footnoteReference w:id="2"/>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lang w:val="zh-CN"/>
        </w:rPr>
        <w:t xml:space="preserve">（项目名称）</w:t>
      </w:r>
      <w:r>
        <w:rPr>
          <w:rFonts w:hint="eastAsia" w:ascii="宋体" w:hAnsi="宋体" w:eastAsia="宋体" w:cs="宋体"/>
          <w:color w:val="auto"/>
          <w:szCs w:val="21"/>
          <w:highlight w:val="none"/>
          <w:lang w:val="zh-CN"/>
        </w:rPr>
        <w:t xml:space="preserve">，属于</w:t>
      </w:r>
      <w:r>
        <w:rPr>
          <w:rFonts w:hint="eastAsia" w:ascii="宋体" w:hAnsi="宋体" w:eastAsia="宋体" w:cs="宋体"/>
          <w:b/>
          <w:bCs/>
          <w:color w:val="auto"/>
          <w:szCs w:val="21"/>
          <w:highlight w:val="none"/>
          <w:u w:val="single"/>
        </w:rPr>
        <w:t xml:space="preserve">其他未列明行业</w:t>
      </w:r>
      <w:r>
        <w:rPr>
          <w:rFonts w:hint="eastAsia" w:ascii="宋体" w:hAnsi="宋体" w:eastAsia="宋体" w:cs="宋体"/>
          <w:color w:val="auto"/>
          <w:szCs w:val="21"/>
          <w:highlight w:val="none"/>
          <w:lang w:val="zh-CN"/>
        </w:rPr>
        <w:t xml:space="preserve">；承接企业为</w:t>
      </w:r>
      <w:r>
        <w:rPr>
          <w:rFonts w:hint="eastAsia" w:ascii="宋体" w:hAnsi="宋体" w:eastAsia="宋体" w:cs="宋体"/>
          <w:color w:val="auto"/>
          <w:szCs w:val="21"/>
          <w:highlight w:val="none"/>
          <w:u w:val="single"/>
          <w:lang w:val="zh-CN"/>
        </w:rPr>
        <w:t xml:space="preserve">（企业名称）</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99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企业名称（</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lang w:val="zh-CN"/>
        </w:rPr>
        <w:t xml:space="preserve">）：</w:t>
      </w:r>
      <w:r/>
    </w:p>
    <w:p>
      <w:pPr>
        <w:ind w:right="2500" w:firstLine="399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年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月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日</w:t>
      </w:r>
      <w:r/>
    </w:p>
    <w:p>
      <w:pPr>
        <w:spacing w:line="28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br w:type="page" w:clear="all"/>
      </w:r>
      <w:bookmarkStart w:id="33" w:name="_Toc71810485"/>
      <w:r>
        <w:rPr>
          <w:rFonts w:hint="eastAsia" w:ascii="宋体" w:hAnsi="宋体" w:eastAsia="宋体" w:cs="宋体"/>
          <w:b/>
          <w:color w:val="auto"/>
          <w:szCs w:val="21"/>
          <w:highlight w:val="none"/>
        </w:rPr>
        <w:t xml:space="preserve">附：中小企业划型标准规定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（一）农、林、牧、渔业。</w:t>
      </w:r>
      <w:r>
        <w:rPr>
          <w:rFonts w:hint="eastAsia" w:ascii="宋体" w:hAnsi="宋体" w:eastAsia="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（二）工业。</w:t>
      </w:r>
      <w:r>
        <w:rPr>
          <w:rFonts w:hint="eastAsia" w:ascii="宋体" w:hAnsi="宋体" w:eastAsia="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（三）建筑业。</w:t>
      </w:r>
      <w:r>
        <w:rPr>
          <w:rFonts w:hint="eastAsia" w:ascii="宋体" w:hAnsi="宋体" w:eastAsia="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（四）批发业。</w:t>
      </w:r>
      <w:r>
        <w:rPr>
          <w:rFonts w:hint="eastAsia" w:ascii="宋体" w:hAnsi="宋体" w:eastAsia="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（五）零售业。</w:t>
      </w:r>
      <w:r>
        <w:rPr>
          <w:rFonts w:hint="eastAsia" w:ascii="宋体" w:hAnsi="宋体" w:eastAsia="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（六）交通运输业。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（七）仓储业。</w:t>
      </w:r>
      <w:r>
        <w:rPr>
          <w:rFonts w:hint="eastAsia" w:ascii="宋体" w:hAnsi="宋体" w:eastAsia="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（八）邮政业。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（九）住宿业。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（十）餐饮业。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（十一）信息传输业。</w:t>
      </w:r>
      <w:r>
        <w:rPr>
          <w:rFonts w:hint="eastAsia" w:ascii="宋体" w:hAnsi="宋体" w:eastAsia="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（十二）软件和信息技术服务业。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（十三）房地产开发经营。</w:t>
      </w:r>
      <w:r>
        <w:rPr>
          <w:rFonts w:hint="eastAsia" w:ascii="宋体" w:hAnsi="宋体" w:eastAsia="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（十四）物业管理。</w:t>
      </w:r>
      <w:r>
        <w:rPr>
          <w:rFonts w:hint="eastAsia" w:ascii="宋体" w:hAnsi="宋体" w:eastAsia="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（十五）租赁和商务服务业。</w:t>
      </w:r>
      <w:r>
        <w:rPr>
          <w:rFonts w:hint="eastAsia" w:ascii="宋体" w:hAnsi="宋体" w:eastAsia="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（十六）其他未列明行业。</w:t>
      </w:r>
      <w:r>
        <w:rPr>
          <w:rFonts w:hint="eastAsia" w:ascii="宋体" w:hAnsi="宋体" w:eastAsia="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rPr>
          <w:rFonts w:hint="eastAsia" w:ascii="宋体" w:hAnsi="宋体" w:eastAsia="宋体" w:cs="宋体"/>
          <w:b/>
          <w:bCs/>
          <w:color w:val="auto"/>
          <w:szCs w:val="21"/>
          <w:highlight w:val="none"/>
        </w:rPr>
        <w:outlineLvl w:val="0"/>
      </w:pP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附件12.残疾人福利性单位声明函</w:t>
      </w:r>
      <w:bookmarkEnd w:id="33"/>
      <w:r/>
      <w:r/>
    </w:p>
    <w:p>
      <w:pPr>
        <w:jc w:val="center"/>
        <w:spacing w:before="100" w:beforeAutospacing="1" w:after="100" w:afterAutospacing="1"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残疾人福利性单位声明函</w:t>
      </w:r>
      <w:r/>
    </w:p>
    <w:p>
      <w:pPr>
        <w:spacing w:line="360" w:lineRule="auto"/>
        <w:rPr>
          <w:rFonts w:hint="eastAsia" w:ascii="宋体" w:hAnsi="宋体" w:eastAsia="宋体" w:cs="宋体"/>
          <w:color w:val="auto"/>
          <w:szCs w:val="21"/>
          <w:highlight w:val="none"/>
          <w:lang w:val="zh-CN"/>
        </w:rPr>
      </w:pPr>
      <w:r/>
      <w:bookmarkStart w:id="34" w:name="_Toc32206"/>
      <w:r/>
      <w:bookmarkStart w:id="35" w:name="_Toc3869"/>
      <w:r/>
      <w:bookmarkStart w:id="36" w:name="_Toc15378"/>
      <w:r>
        <w:rPr>
          <w:rFonts w:hint="eastAsia" w:ascii="宋体" w:hAnsi="宋体" w:eastAsia="宋体" w:cs="宋体"/>
          <w:color w:val="auto"/>
          <w:szCs w:val="21"/>
          <w:highlight w:val="none"/>
          <w:u w:val="single"/>
          <w:lang w:val="zh-CN"/>
        </w:rPr>
        <w:t xml:space="preserve">涵熙（苏州）工程顾问有限公司</w:t>
      </w:r>
      <w:r>
        <w:rPr>
          <w:rFonts w:hint="eastAsia" w:ascii="宋体" w:hAnsi="宋体" w:eastAsia="宋体" w:cs="宋体"/>
          <w:color w:val="auto"/>
          <w:szCs w:val="21"/>
          <w:highlight w:val="none"/>
          <w:lang w:val="zh-CN"/>
        </w:rPr>
        <w:t xml:space="preserve">：</w:t>
      </w:r>
      <w:bookmarkEnd w:id="34"/>
      <w:r/>
      <w:bookmarkEnd w:id="35"/>
      <w:r/>
      <w:bookmarkEnd w:id="3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1"/>
          <w:highlight w:val="none"/>
          <w:lang w:val="zh-CN"/>
        </w:rPr>
        <w:t xml:space="preserve">贵</w:t>
      </w:r>
      <w:r>
        <w:rPr>
          <w:rFonts w:hint="eastAsia" w:ascii="宋体" w:hAnsi="宋体" w:eastAsia="宋体" w:cs="宋体"/>
          <w:color w:val="auto"/>
          <w:szCs w:val="21"/>
          <w:highlight w:val="none"/>
        </w:rPr>
        <w:t xml:space="preserve">公司</w:t>
      </w:r>
      <w:r>
        <w:rPr>
          <w:rFonts w:hint="eastAsia" w:ascii="宋体" w:hAnsi="宋体" w:eastAsia="宋体" w:cs="宋体"/>
          <w:color w:val="auto"/>
          <w:szCs w:val="21"/>
          <w:highlight w:val="none"/>
          <w:lang w:val="zh-CN"/>
        </w:rPr>
        <w:t xml:space="preserve">组织实施的编号为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号的招标活动</w:t>
      </w:r>
      <w:r>
        <w:rPr>
          <w:rFonts w:hint="eastAsia" w:ascii="宋体" w:hAnsi="宋体" w:eastAsia="宋体" w:cs="宋体"/>
          <w:color w:val="auto"/>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pStyle w:val="94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 </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73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Cs w:val="21"/>
          <w:highlight w:val="none"/>
        </w:rPr>
        <w:t xml:space="preserve">附件13.投标（响应）保证承诺书</w:t>
      </w:r>
      <w:r/>
    </w:p>
    <w:p>
      <w:pPr>
        <w:ind w:firstLine="422"/>
        <w:jc w:val="center"/>
        <w:spacing w:line="400" w:lineRule="exact"/>
        <w:tabs>
          <w:tab w:val="left" w:pos="8930" w:leader="none"/>
          <w:tab w:val="left" w:pos="9306"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投标（响应）保证承诺书</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cs/>
        </w:rPr>
        <w:t xml:space="preserve"> </w:t>
      </w:r>
      <w:r>
        <w:rPr>
          <w:rFonts w:hint="eastAsia" w:ascii="宋体" w:hAnsi="宋体" w:eastAsia="宋体" w:cs="宋体"/>
          <w:color w:val="auto"/>
          <w:szCs w:val="21"/>
          <w:highlight w:val="none"/>
          <w:u w:val="single"/>
        </w:rPr>
        <w:t xml:space="preserve">（采购代理机构名称）</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我（单位/本人，以下统称我单位）自愿参加</w:t>
      </w:r>
      <w:r>
        <w:rPr>
          <w:rFonts w:hint="eastAsia" w:ascii="宋体" w:hAnsi="宋体" w:eastAsia="宋体" w:cs="宋体"/>
          <w:color w:val="auto"/>
          <w:szCs w:val="21"/>
          <w:highlight w:val="none"/>
          <w:u w:val="single"/>
        </w:rPr>
        <w:t xml:space="preserve">（项目名称和采购编号）</w:t>
      </w:r>
      <w:r>
        <w:rPr>
          <w:rFonts w:hint="eastAsia" w:ascii="宋体" w:hAnsi="宋体" w:eastAsia="宋体" w:cs="宋体"/>
          <w:color w:val="auto"/>
          <w:szCs w:val="21"/>
          <w:highlight w:val="none"/>
        </w:rPr>
        <w:t xml:space="preserve">的投标（响应）,并做出如下承诺：</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一、除不可抗力外，我单位如果发生以下行为，将在行为发生的10个工作日内，向贵方</w:t>
      </w:r>
      <w:r>
        <w:rPr>
          <w:rFonts w:hint="eastAsia" w:ascii="宋体" w:hAnsi="宋体" w:eastAsia="宋体" w:cs="宋体"/>
          <w:color w:val="auto"/>
          <w:szCs w:val="21"/>
          <w:highlight w:val="none"/>
          <w:u w:val="single"/>
        </w:rPr>
        <w:t xml:space="preserve">（或采购人）</w:t>
      </w:r>
      <w:r>
        <w:rPr>
          <w:rFonts w:hint="eastAsia" w:ascii="宋体" w:hAnsi="宋体" w:eastAsia="宋体" w:cs="宋体"/>
          <w:color w:val="auto"/>
          <w:szCs w:val="21"/>
          <w:highlight w:val="none"/>
        </w:rPr>
        <w:t xml:space="preserve">支付本招标文件公布的预算金额（或最高限价）的2%作为违约赔偿金（数量不确定的单价采购须约定具体金额）。</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1、自投标（响应）截止时间至本项目发布中标（中标）公告为止，撤销投标（响应）；</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2、中标（中标）后不依法与采购人签订合同；</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3、中标（中标）后不按本招标文件规定向贵方缴纳采购代理费。</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二、我单位知晓上述行为的法律后果，承认本承诺书作为贵方</w:t>
      </w:r>
      <w:r>
        <w:rPr>
          <w:rFonts w:hint="eastAsia" w:ascii="宋体" w:hAnsi="宋体" w:eastAsia="宋体" w:cs="宋体"/>
          <w:color w:val="auto"/>
          <w:szCs w:val="21"/>
          <w:highlight w:val="none"/>
          <w:u w:val="single"/>
        </w:rPr>
        <w:t xml:space="preserve">（或采购人）</w:t>
      </w:r>
      <w:r>
        <w:rPr>
          <w:rFonts w:hint="eastAsia" w:ascii="宋体" w:hAnsi="宋体" w:eastAsia="宋体" w:cs="宋体"/>
          <w:color w:val="auto"/>
          <w:szCs w:val="21"/>
          <w:highlight w:val="none"/>
        </w:rPr>
        <w:t xml:space="preserve">要求我单位履行违约赔偿义务的依据作用。</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投标（响应）人：（签章）</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rPr>
          <w:rFonts w:hint="eastAsia" w:ascii="宋体" w:hAnsi="宋体" w:eastAsia="宋体" w:cs="宋体"/>
          <w:color w:val="auto"/>
          <w:szCs w:val="21"/>
          <w:highlight w:val="none"/>
          <w:cs/>
        </w:rPr>
        <w:t xml:space="preserve">              </w:t>
      </w:r>
      <w:r>
        <w:rPr>
          <w:rFonts w:hint="eastAsia" w:ascii="宋体" w:hAnsi="宋体" w:eastAsia="宋体" w:cs="宋体"/>
          <w:color w:val="auto"/>
          <w:szCs w:val="21"/>
          <w:highlight w:val="none"/>
        </w:rPr>
        <w:t xml:space="preserve"> </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电子邮件：</w:t>
      </w:r>
      <w:r>
        <w:rPr>
          <w:rFonts w:hint="eastAsia" w:ascii="宋体" w:hAnsi="宋体" w:eastAsia="宋体" w:cs="宋体"/>
          <w:color w:val="auto"/>
          <w:szCs w:val="21"/>
          <w:highlight w:val="none"/>
          <w:cs/>
        </w:rPr>
        <w:t xml:space="preserve">                </w:t>
      </w:r>
      <w:r>
        <w:rPr>
          <w:rFonts w:hint="eastAsia" w:ascii="宋体" w:hAnsi="宋体" w:eastAsia="宋体" w:cs="宋体"/>
          <w:color w:val="auto"/>
          <w:szCs w:val="21"/>
          <w:highlight w:val="none"/>
        </w:rPr>
        <w:t xml:space="preserve">  </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法定代表人或委托代理人(签字或签章)：</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cs/>
        </w:rPr>
        <w:t xml:space="preserve">      </w:t>
      </w:r>
      <w:r/>
    </w:p>
    <w:p>
      <w:pPr>
        <w:pStyle w:val="90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925"/>
          <w:rFonts w:hint="eastAsia" w:ascii="宋体" w:hAnsi="宋体" w:eastAsia="宋体" w:cs="宋体"/>
          <w:b w:val="0"/>
          <w:color w:val="auto"/>
          <w:sz w:val="32"/>
          <w:szCs w:val="32"/>
          <w:highlight w:val="none"/>
        </w:rPr>
      </w:pPr>
      <w:r>
        <w:rPr>
          <w:rFonts w:hint="eastAsia" w:ascii="宋体" w:hAnsi="宋体" w:eastAsia="宋体" w:cs="宋体"/>
          <w:color w:val="auto"/>
          <w:highlight w:val="none"/>
        </w:rPr>
        <w:br w:type="page" w:clear="all"/>
      </w:r>
      <w:r>
        <w:rPr>
          <w:rStyle w:val="925"/>
          <w:rFonts w:hint="eastAsia" w:ascii="宋体" w:hAnsi="宋体" w:eastAsia="宋体" w:cs="宋体"/>
          <w:color w:val="auto"/>
          <w:sz w:val="32"/>
          <w:szCs w:val="32"/>
          <w:highlight w:val="none"/>
        </w:rPr>
        <w:t xml:space="preserve">                  第四章</w:t>
      </w:r>
      <w:r>
        <w:rPr>
          <w:rStyle w:val="925"/>
          <w:rFonts w:hint="eastAsia" w:ascii="宋体" w:hAnsi="宋体" w:eastAsia="宋体" w:cs="宋体"/>
          <w:color w:val="auto"/>
          <w:sz w:val="32"/>
          <w:szCs w:val="32"/>
          <w:highlight w:val="none"/>
          <w:lang w:val="en-US" w:eastAsia="zh-CN"/>
        </w:rPr>
        <w:t xml:space="preserve"> </w:t>
      </w:r>
      <w:r>
        <w:rPr>
          <w:rStyle w:val="925"/>
          <w:rFonts w:hint="eastAsia" w:ascii="宋体" w:hAnsi="宋体" w:eastAsia="宋体" w:cs="宋体"/>
          <w:color w:val="auto"/>
          <w:sz w:val="32"/>
          <w:szCs w:val="32"/>
          <w:highlight w:val="none"/>
        </w:rPr>
        <w:t xml:space="preserve">招标书</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涵熙（苏州）工程顾问有限公司受</w:t>
      </w:r>
      <w:r>
        <w:rPr>
          <w:rFonts w:hint="eastAsia" w:ascii="宋体" w:hAnsi="宋体" w:eastAsia="宋体" w:cs="宋体"/>
          <w:color w:val="auto"/>
          <w:szCs w:val="21"/>
          <w:highlight w:val="none"/>
          <w:u w:val="single"/>
        </w:rPr>
        <w:t xml:space="preserve">苏州科技城管理委员会</w:t>
      </w:r>
      <w:r>
        <w:rPr>
          <w:rFonts w:hint="eastAsia" w:ascii="宋体" w:hAnsi="宋体" w:eastAsia="宋体" w:cs="宋体"/>
          <w:color w:val="auto"/>
          <w:szCs w:val="21"/>
          <w:highlight w:val="none"/>
        </w:rPr>
        <w:t xml:space="preserve">的委托，就</w:t>
      </w:r>
      <w:r>
        <w:rPr>
          <w:rFonts w:hint="eastAsia" w:ascii="宋体" w:hAnsi="宋体" w:eastAsia="宋体" w:cs="宋体"/>
          <w:color w:val="auto"/>
          <w:szCs w:val="21"/>
          <w:highlight w:val="none"/>
          <w:u w:val="single"/>
          <w:lang w:eastAsia="zh-CN"/>
        </w:rPr>
        <w:t xml:space="preserve">2024-2026年苏州科技城土壤环境调查及地下水检测年度服务第二批次</w:t>
      </w:r>
      <w:r>
        <w:rPr>
          <w:rFonts w:hint="eastAsia" w:ascii="宋体" w:hAnsi="宋体" w:eastAsia="宋体" w:cs="宋体"/>
          <w:color w:val="auto"/>
          <w:szCs w:val="21"/>
          <w:highlight w:val="none"/>
        </w:rPr>
        <w:t xml:space="preserve">项目进行公开招标，现欢迎符合相关条件的供应商参加投标。</w:t>
      </w:r>
      <w:r/>
    </w:p>
    <w:p>
      <w:pPr>
        <w:spacing w:line="400" w:lineRule="exact"/>
        <w:tabs>
          <w:tab w:val="left" w:pos="0" w:leader="none"/>
        </w:tabs>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一、项目编号：</w:t>
      </w:r>
      <w:r>
        <w:rPr>
          <w:rFonts w:hint="eastAsia" w:ascii="宋体" w:hAnsi="宋体" w:cs="宋体"/>
          <w:color w:val="auto"/>
          <w:szCs w:val="21"/>
          <w:highlight w:val="none"/>
          <w:lang w:eastAsia="zh-CN"/>
        </w:rPr>
        <w:t xml:space="preserve">JSZC-320505-HXGW-G2024-0087</w:t>
      </w:r>
      <w:r/>
    </w:p>
    <w:p>
      <w:pPr>
        <w:spacing w:line="400" w:lineRule="exact"/>
        <w:tabs>
          <w:tab w:val="left" w:pos="0" w:leader="none"/>
        </w:tabs>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二、项目名称：</w:t>
      </w:r>
      <w:r>
        <w:rPr>
          <w:rFonts w:hint="eastAsia" w:ascii="宋体" w:hAnsi="宋体" w:eastAsia="宋体" w:cs="宋体"/>
          <w:color w:val="auto"/>
          <w:szCs w:val="21"/>
          <w:highlight w:val="none"/>
          <w:lang w:eastAsia="zh-CN"/>
        </w:rPr>
        <w:t xml:space="preserve">2024-2026年苏州科技城土壤环境调查及地下水检测年度服务第二批次</w:t>
      </w:r>
      <w:r/>
    </w:p>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 xml:space="preserve">三、预算金额：</w:t>
      </w:r>
      <w:r>
        <w:rPr>
          <w:rFonts w:hint="eastAsia" w:ascii="宋体" w:hAnsi="宋体" w:eastAsia="宋体" w:cs="宋体"/>
          <w:color w:val="auto"/>
          <w:szCs w:val="21"/>
          <w:highlight w:val="none"/>
          <w:lang w:eastAsia="zh-CN"/>
        </w:rPr>
        <w:t xml:space="preserve">300</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000000</w:t>
      </w:r>
      <w:r>
        <w:rPr>
          <w:rFonts w:hint="eastAsia" w:ascii="宋体" w:hAnsi="宋体" w:eastAsia="宋体" w:cs="宋体"/>
          <w:color w:val="auto"/>
          <w:szCs w:val="21"/>
          <w:highlight w:val="none"/>
          <w:lang w:val="en-US" w:eastAsia="zh-CN"/>
        </w:rPr>
        <w:t xml:space="preserve">万元（</w:t>
      </w:r>
      <w:r>
        <w:rPr>
          <w:rFonts w:hint="eastAsia" w:ascii="宋体" w:hAnsi="宋体" w:eastAsia="宋体" w:cs="宋体"/>
          <w:color w:val="auto"/>
          <w:sz w:val="21"/>
          <w:szCs w:val="21"/>
          <w:highlight w:val="none"/>
        </w:rPr>
        <w:t xml:space="preserve">采购包1：</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.000000万元；采购包2：</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.000000万元</w:t>
      </w:r>
      <w:r>
        <w:rPr>
          <w:rFonts w:hint="eastAsia" w:ascii="宋体" w:hAnsi="宋体" w:eastAsia="宋体" w:cs="宋体"/>
          <w:color w:val="auto"/>
          <w:szCs w:val="21"/>
          <w:highlight w:val="none"/>
          <w:lang w:val="en-US" w:eastAsia="zh-CN"/>
        </w:rPr>
        <w:t xml:space="preserve">）</w:t>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最高限价</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如有</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lang w:eastAsia="zh-CN"/>
        </w:rPr>
        <w:t xml:space="preserve">300</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000000</w:t>
      </w:r>
      <w:r>
        <w:rPr>
          <w:rFonts w:hint="eastAsia" w:ascii="宋体" w:hAnsi="宋体" w:eastAsia="宋体" w:cs="宋体"/>
          <w:color w:val="auto"/>
          <w:szCs w:val="21"/>
          <w:highlight w:val="none"/>
          <w:lang w:val="en-US" w:eastAsia="zh-CN"/>
        </w:rPr>
        <w:t xml:space="preserve">万元（</w:t>
      </w:r>
      <w:r>
        <w:rPr>
          <w:rFonts w:hint="eastAsia" w:ascii="宋体" w:hAnsi="宋体" w:eastAsia="宋体" w:cs="宋体"/>
          <w:color w:val="auto"/>
          <w:sz w:val="21"/>
          <w:szCs w:val="21"/>
          <w:highlight w:val="none"/>
        </w:rPr>
        <w:t xml:space="preserve">采购包1：</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.000000万元；采购包2：</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.000000</w:t>
      </w:r>
      <w:r/>
    </w:p>
    <w:p>
      <w:pPr>
        <w:spacing w:line="400" w:lineRule="exact"/>
        <w:tabs>
          <w:tab w:val="left" w:pos="42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万元</w:t>
      </w:r>
      <w:r>
        <w:rPr>
          <w:rFonts w:hint="eastAsia" w:ascii="宋体" w:hAnsi="宋体" w:eastAsia="宋体" w:cs="宋体"/>
          <w:color w:val="auto"/>
          <w:szCs w:val="21"/>
          <w:highlight w:val="none"/>
          <w:lang w:val="en-US" w:eastAsia="zh-CN"/>
        </w:rPr>
        <w:t xml:space="preserve">）</w:t>
      </w:r>
      <w:r/>
    </w:p>
    <w:p>
      <w:pPr>
        <w:ind w:firstLine="420"/>
        <w:spacing w:line="400" w:lineRule="exact"/>
        <w:tabs>
          <w:tab w:val="left" w:pos="4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lang w:eastAsia="zh-CN"/>
        </w:rPr>
        <w:t xml:space="preserve">本项目各标段按固定</w:t>
      </w:r>
      <w:r>
        <w:rPr>
          <w:rFonts w:hint="eastAsia" w:ascii="宋体" w:hAnsi="宋体" w:eastAsia="宋体" w:cs="宋体"/>
          <w:color w:val="auto"/>
          <w:szCs w:val="21"/>
          <w:highlight w:val="none"/>
          <w:lang w:val="en-US" w:eastAsia="zh-CN"/>
        </w:rPr>
        <w:t xml:space="preserve">优惠率</w:t>
      </w:r>
      <w:r>
        <w:rPr>
          <w:rFonts w:hint="eastAsia" w:ascii="宋体" w:hAnsi="宋体" w:eastAsia="宋体" w:cs="宋体"/>
          <w:color w:val="auto"/>
          <w:szCs w:val="21"/>
          <w:highlight w:val="none"/>
          <w:lang w:eastAsia="zh-CN"/>
        </w:rPr>
        <w:t xml:space="preserve">报价，结算时按照土壤污染状况调查计费表固定单价结合固定</w:t>
      </w:r>
      <w:r>
        <w:rPr>
          <w:rFonts w:hint="eastAsia" w:ascii="宋体" w:hAnsi="宋体" w:eastAsia="宋体" w:cs="宋体"/>
          <w:color w:val="auto"/>
          <w:szCs w:val="21"/>
          <w:highlight w:val="none"/>
          <w:lang w:val="en-US" w:eastAsia="zh-CN"/>
        </w:rPr>
        <w:t xml:space="preserve">优惠率</w:t>
      </w:r>
      <w:r>
        <w:rPr>
          <w:rFonts w:hint="eastAsia" w:ascii="宋体" w:hAnsi="宋体" w:eastAsia="宋体" w:cs="宋体"/>
          <w:color w:val="auto"/>
          <w:szCs w:val="21"/>
          <w:highlight w:val="none"/>
          <w:lang w:eastAsia="zh-CN"/>
        </w:rPr>
        <w:t xml:space="preserve">，并根据调查地块的面积分段按实结算。</w:t>
      </w:r>
      <w:r/>
    </w:p>
    <w:p>
      <w:pPr>
        <w:spacing w:line="400" w:lineRule="exact"/>
        <w:tabs>
          <w:tab w:val="left" w:pos="420" w:leader="none"/>
        </w:tabs>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五、合同履行期限：</w:t>
      </w:r>
      <w:r>
        <w:rPr>
          <w:rFonts w:hint="eastAsia" w:ascii="宋体" w:hAnsi="宋体" w:eastAsia="宋体" w:cs="宋体"/>
          <w:color w:val="auto"/>
          <w:szCs w:val="21"/>
          <w:highlight w:val="none"/>
          <w:lang w:eastAsia="zh-CN"/>
        </w:rPr>
        <w:t xml:space="preserve">自合同签订之日三年。三年履行期满或最终实际结算额达到各标段预算金额即合同履行完毕。如已委托项目尚未完成，则合同有效期延长至该项目结束中标单位履行完毕全部义务为止。</w:t>
      </w:r>
      <w:r/>
    </w:p>
    <w:p>
      <w:pPr>
        <w:spacing w:line="400" w:lineRule="exact"/>
        <w:tabs>
          <w:tab w:val="left" w:pos="4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六、招标内容：</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（一）项目背景</w:t>
      </w:r>
      <w:r/>
    </w:p>
    <w:p>
      <w:pPr>
        <w:ind w:firstLine="420"/>
        <w:jc w:val="left"/>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近年来，随着苏州科技城社会、经济水平的不断发展，根据《中华人民共和国土壤污染防治法》、《土壤污染防治行动计划》等相关政策要求，苏州科技城管委会拟选择三家具备专业技术能力的第三方机构，开展待开发用地土壤污染状况调查。</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（二）服务内容</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1、服务工作内容构成</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根据《土壤环境质量建设用地土壤污染风险管控标准》、《城市用地分类与规划建设用地标准》等文件规定，土壤污染状况调查地块的类型主要分为两大类，本项目主要为“第二类用地” 包括</w:t>
      </w:r>
      <w:r>
        <w:rPr>
          <w:rFonts w:hint="eastAsia" w:ascii="宋体" w:hAnsi="宋体" w:eastAsia="宋体" w:cs="宋体"/>
          <w:color w:val="auto"/>
          <w:szCs w:val="21"/>
          <w:highlight w:val="none"/>
          <w:lang w:val="zh-CN"/>
        </w:rPr>
        <w:t xml:space="preserve">GB 50137规定的城市建设用地中的工业用地（M）、物流仓储用地（W），商业服务业设施用地（B）,道路与交通设施用地（S）,公用设施用地(U)，公共管理与公共服务用地（A）(A33,A5,A6除外)，以及绿地与广场用地（G）(G1中的社区公园或儿童公园用地除外)等土地上市环节的调查工作。主要内容和标准须满足所有相关政策文件，主要包括但不限于：调查方案编制、地块历史资料收集、现场踏勘、人员访谈、样品采集、土壤现场快速筛查、必要时进行土壤及地下水样品实验室检测，土壤污染状况调查报告编制、专家评审及备案等内容。</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说明，若资料收集过程中未找到能够真实反应项目地块的地勘资料，调查单位应于调查方案编制前委托具备勘察资质的第三方开展地质勘察，查明项目所在地土层结构、地下水水位、流向等基本信息，为调查方案编制提供有力的支撑材料。</w:t>
      </w:r>
      <w:r/>
    </w:p>
    <w:p>
      <w:pPr>
        <w:pStyle w:val="920"/>
        <w:ind w:firstLine="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（三）项目实施依据</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主要参考的依据如下：</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《中华人民共和国土壤污染防治法》（主席令 第八号）</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《土壤污染防治行动计划》（国发〔2016〕31号）</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《苏州市土壤污染防治工作方案》（苏府〔2017〕102号）</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《苏州高新区（虎丘区）土壤污染防治工作方案》（苏高新管〔2017〕194号）</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《污染地块土壤环境管理办法（试行）》（环保部令 第42号）</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《建设用地土壤污染状况调查 技术导则》（HJ25.1-2019）</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《建设用地土壤污染风险管控和修复 监测技术导则》（HJ25.2-2019）</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《建设用地土壤环境调查评估技术指南》</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《工矿用地土壤环境管理办法(试行)》（部令 第3号）</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《江苏省环境监测专业服务收费管理办法与收费标准》</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《土壤环境质量建设用地土壤污染风险管控标准（试行）》（GB36600-2018）</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《地下水质量标准》（GB/T 14848-2017）</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《污染场地岩土工程勘察标准》（HG/T 20717-2019）</w:t>
      </w:r>
      <w:r/>
    </w:p>
    <w:p>
      <w:pPr>
        <w:pStyle w:val="92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《城市用地分类与规划建设用地标准》（GB50137-2011）</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注：以上依据若相关部门已发布最新标准，按最新标准执行。</w:t>
      </w:r>
      <w:r/>
    </w:p>
    <w:p>
      <w:pPr>
        <w:ind w:firstLine="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（四）服务要求</w:t>
      </w:r>
      <w:r/>
    </w:p>
    <w:p>
      <w:pPr>
        <w:ind w:firstLine="420"/>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供应商出具的调查报告均应附从业人员责任页，明确项目负责人，各分项工作承担者，从业单位应建立内部审核制度，明确报告的审核人、审定人，上述人员均需亲笔签字确认。另外</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供应商和检测单位的营业执照、资质证明等文件也应作为附件附在调查报告内。</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Cs w:val="21"/>
          <w:highlight w:val="none"/>
        </w:rPr>
        <w:t xml:space="preserve">中标供应商在调查期间应加强对方案编制环节、样品采集、制备、保存、流转和分析等环节的管理，上述环节中如出现违反国家法律法规、违反行业规定，或者弄虚作假，采购单位会对中标供应商予以警告直至不再对其进行委托，并保留追究造成采购单位损失的责任。</w:t>
      </w:r>
      <w:r/>
    </w:p>
    <w:p>
      <w:pPr>
        <w:ind w:firstLine="420"/>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自行采样，也可选择有能力的采样单位，但无论自行采样或选定的采样单位必须具有以下条件：必须具有Geoprobe或类似Geoprobe的土壤及地下水采样专业设备1台以上（含1台）并采用该类设备进行土壤样品采集、地下水监测井建设。</w:t>
      </w:r>
      <w:r/>
    </w:p>
    <w:p>
      <w:pPr>
        <w:ind w:firstLine="420"/>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供应商应加强对场地调查资料的保管，并按采购单位的要求进行项目公示、上传国家相关管理系统等，及时提供资料调用、审核等需求；并应配合采购单位完成调查评估报告的评审申请和后续审核备案等工作。</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供应商应切实履行保密义务，未经采购单位许可不得向第三方提供本项目的相关技术资料和数据。采购结束后，</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供应商应退还采购单位在采购过程中提供的所有相关资料。未经采购单位允许，</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供应商不得擅自将履行合同过程中所获得的关于甲方以及所调查项目的一切相关技术资料和数据对外公开，不允许在采购单位未许可的条件下发表与本合同相关的论文、看法、著作等。因</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供应商责任造成相关技术资料和数据外泄所引起的一切后果由</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供应商承担。</w:t>
      </w:r>
      <w:r/>
    </w:p>
    <w:p>
      <w:pPr>
        <w:ind w:firstLine="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（五）苏州科技城土壤污染状况调查费用构成</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本次苏州科技城土壤污染状况调查费用按照不同用地类型前提下，以单个项目地块的面积核算，共分为“四类、四挡”，详见表1。</w:t>
      </w:r>
      <w:r/>
    </w:p>
    <w:p>
      <w:pPr>
        <w:jc w:val="cente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表1土壤污染状况调查计费表</w:t>
      </w:r>
      <w:r/>
    </w:p>
    <w:tbl>
      <w:tblPr>
        <w:tblStyle w:val="7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915"/>
        <w:gridCol w:w="1067"/>
        <w:gridCol w:w="1056"/>
        <w:gridCol w:w="5166"/>
      </w:tblGrid>
      <w:tr>
        <w:trPr>
          <w:trHeight w:val="20"/>
          <w:tblHeader/>
        </w:trPr>
        <w:tc>
          <w:tcPr>
            <w:gridSpan w:val="5"/>
            <w:tcW w:w="9288" w:type="dxa"/>
            <w:vAlign w:val="top"/>
            <w:textDirection w:val="lrTb"/>
            <w:noWrap w:val="false"/>
          </w:tcPr>
          <w:p>
            <w:pPr>
              <w:jc w:val="center"/>
              <w:spacing w:line="400" w:lineRule="exact"/>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土壤污染状况调查计费表（万元）</w:t>
            </w:r>
            <w:r/>
          </w:p>
        </w:tc>
      </w:tr>
      <w:tr>
        <w:trPr>
          <w:trHeight w:val="20"/>
          <w:tblHeader/>
        </w:trPr>
        <w:tc>
          <w:tcPr>
            <w:tcW w:w="1084" w:type="dxa"/>
            <w:vAlign w:val="center"/>
            <w:textDirection w:val="lrTb"/>
            <w:noWrap w:val="false"/>
          </w:tcPr>
          <w:p>
            <w:pPr>
              <w:ind w:firstLine="422"/>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地块面积</w:t>
            </w:r>
            <w:r/>
          </w:p>
        </w:tc>
        <w:tc>
          <w:tcPr>
            <w:tcW w:w="915"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0-15000m</w:t>
            </w:r>
            <w:r>
              <w:rPr>
                <w:rFonts w:hint="eastAsia" w:ascii="宋体" w:hAnsi="宋体" w:eastAsia="宋体" w:cs="宋体"/>
                <w:b/>
                <w:bCs/>
                <w:color w:val="auto"/>
                <w:szCs w:val="21"/>
                <w:highlight w:val="none"/>
                <w:vertAlign w:val="superscript"/>
              </w:rPr>
              <w:t xml:space="preserve">2</w:t>
            </w:r>
            <w:r>
              <w:rPr>
                <w:rFonts w:hint="eastAsia" w:ascii="宋体" w:hAnsi="宋体" w:eastAsia="宋体" w:cs="宋体"/>
                <w:b/>
                <w:bCs/>
                <w:color w:val="auto"/>
                <w:szCs w:val="21"/>
                <w:highlight w:val="none"/>
              </w:rPr>
              <w:t xml:space="preserve">（含）</w:t>
            </w:r>
            <w:r/>
          </w:p>
        </w:tc>
        <w:tc>
          <w:tcPr>
            <w:tcW w:w="1067" w:type="dxa"/>
            <w:vAlign w:val="center"/>
            <w:textDirection w:val="lrTb"/>
            <w:noWrap w:val="false"/>
          </w:tcPr>
          <w:p>
            <w:pPr>
              <w:jc w:val="center"/>
              <w:spacing w:line="40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15000-30000m</w:t>
            </w:r>
            <w:r>
              <w:rPr>
                <w:rFonts w:hint="eastAsia" w:ascii="宋体" w:hAnsi="宋体" w:eastAsia="宋体" w:cs="宋体"/>
                <w:b/>
                <w:color w:val="auto"/>
                <w:szCs w:val="21"/>
                <w:highlight w:val="none"/>
                <w:vertAlign w:val="superscript"/>
              </w:rPr>
              <w:t xml:space="preserve">2</w:t>
            </w:r>
            <w:r>
              <w:rPr>
                <w:rFonts w:hint="eastAsia" w:ascii="宋体" w:hAnsi="宋体" w:eastAsia="宋体" w:cs="宋体"/>
                <w:b/>
                <w:color w:val="auto"/>
                <w:szCs w:val="21"/>
                <w:highlight w:val="none"/>
              </w:rPr>
              <w:t xml:space="preserve">（含）</w:t>
            </w:r>
            <w:r/>
          </w:p>
        </w:tc>
        <w:tc>
          <w:tcPr>
            <w:tcW w:w="1056" w:type="dxa"/>
            <w:vAlign w:val="center"/>
            <w:textDirection w:val="lrTb"/>
            <w:noWrap w:val="false"/>
          </w:tcPr>
          <w:p>
            <w:pPr>
              <w:jc w:val="center"/>
              <w:spacing w:line="40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30000-70000m</w:t>
            </w:r>
            <w:r>
              <w:rPr>
                <w:rFonts w:hint="eastAsia" w:ascii="宋体" w:hAnsi="宋体" w:eastAsia="宋体" w:cs="宋体"/>
                <w:b/>
                <w:color w:val="auto"/>
                <w:szCs w:val="21"/>
                <w:highlight w:val="none"/>
                <w:vertAlign w:val="superscript"/>
              </w:rPr>
              <w:t xml:space="preserve">2</w:t>
            </w:r>
            <w:r>
              <w:rPr>
                <w:rFonts w:hint="eastAsia" w:ascii="宋体" w:hAnsi="宋体" w:eastAsia="宋体" w:cs="宋体"/>
                <w:b/>
                <w:color w:val="auto"/>
                <w:szCs w:val="21"/>
                <w:highlight w:val="none"/>
              </w:rPr>
              <w:t xml:space="preserve">（含）</w:t>
            </w:r>
            <w:r/>
          </w:p>
        </w:tc>
        <w:tc>
          <w:tcPr>
            <w:tcW w:w="875" w:type="dxa"/>
            <w:vAlign w:val="center"/>
            <w:textDirection w:val="lrTb"/>
            <w:noWrap w:val="false"/>
          </w:tcPr>
          <w:p>
            <w:pPr>
              <w:jc w:val="center"/>
              <w:spacing w:line="40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70000m</w:t>
            </w:r>
            <w:r>
              <w:rPr>
                <w:rFonts w:hint="eastAsia" w:ascii="宋体" w:hAnsi="宋体" w:eastAsia="宋体" w:cs="宋体"/>
                <w:b/>
                <w:color w:val="auto"/>
                <w:szCs w:val="21"/>
                <w:highlight w:val="none"/>
                <w:vertAlign w:val="superscript"/>
              </w:rPr>
              <w:t xml:space="preserve">2</w:t>
            </w:r>
            <w:r>
              <w:rPr>
                <w:rFonts w:hint="eastAsia" w:ascii="宋体" w:hAnsi="宋体" w:eastAsia="宋体" w:cs="宋体"/>
                <w:b/>
                <w:color w:val="auto"/>
                <w:szCs w:val="21"/>
                <w:highlight w:val="none"/>
              </w:rPr>
              <w:t xml:space="preserve">以上</w:t>
            </w:r>
            <w:r/>
          </w:p>
        </w:tc>
      </w:tr>
      <w:tr>
        <w:trPr>
          <w:trHeight w:val="20"/>
        </w:trPr>
        <w:tc>
          <w:tcPr>
            <w:tcW w:w="108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第一阶段土壤污染状况调查类</w:t>
            </w:r>
            <w:r/>
          </w:p>
        </w:tc>
        <w:tc>
          <w:tcPr>
            <w:tcW w:w="91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067"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0.75元/ m</w:t>
            </w:r>
            <w:r>
              <w:rPr>
                <w:rFonts w:hint="eastAsia" w:ascii="宋体" w:hAnsi="宋体" w:eastAsia="宋体" w:cs="宋体"/>
                <w:color w:val="auto"/>
                <w:szCs w:val="21"/>
                <w:highlight w:val="none"/>
                <w:vertAlign w:val="superscript"/>
              </w:rPr>
              <w:t xml:space="preserve">2</w:t>
            </w:r>
            <w:r/>
          </w:p>
        </w:tc>
        <w:tc>
          <w:tcPr>
            <w:tcW w:w="1056"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0.45元/ m</w:t>
            </w:r>
            <w:r>
              <w:rPr>
                <w:rFonts w:hint="eastAsia" w:ascii="宋体" w:hAnsi="宋体" w:eastAsia="宋体" w:cs="宋体"/>
                <w:color w:val="auto"/>
                <w:szCs w:val="21"/>
                <w:highlight w:val="none"/>
                <w:vertAlign w:val="superscript"/>
              </w:rPr>
              <w:t xml:space="preserve">2</w:t>
            </w:r>
            <w:r/>
          </w:p>
        </w:tc>
        <w:tc>
          <w:tcPr>
            <w:tcW w:w="87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0.25元/ m</w:t>
            </w:r>
            <w:r>
              <w:rPr>
                <w:rFonts w:hint="eastAsia" w:ascii="宋体" w:hAnsi="宋体" w:eastAsia="宋体" w:cs="宋体"/>
                <w:color w:val="auto"/>
                <w:szCs w:val="21"/>
                <w:highlight w:val="none"/>
                <w:vertAlign w:val="superscript"/>
              </w:rPr>
              <w:t xml:space="preserve">2</w:t>
            </w:r>
            <w:r/>
          </w:p>
        </w:tc>
      </w:tr>
      <w:tr>
        <w:trPr>
          <w:trHeight w:val="20"/>
        </w:trPr>
        <w:tc>
          <w:tcPr>
            <w:tcW w:w="108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第二阶段土壤污染状况调查（初步采样分析）类</w:t>
            </w:r>
            <w:r/>
          </w:p>
        </w:tc>
        <w:tc>
          <w:tcPr>
            <w:tcW w:w="91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1067"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1.8元/ m</w:t>
            </w:r>
            <w:r>
              <w:rPr>
                <w:rFonts w:hint="eastAsia" w:ascii="宋体" w:hAnsi="宋体" w:eastAsia="宋体" w:cs="宋体"/>
                <w:color w:val="auto"/>
                <w:szCs w:val="21"/>
                <w:highlight w:val="none"/>
                <w:vertAlign w:val="superscript"/>
              </w:rPr>
              <w:t xml:space="preserve">2</w:t>
            </w:r>
            <w:r/>
          </w:p>
        </w:tc>
        <w:tc>
          <w:tcPr>
            <w:tcW w:w="1056"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1.3元/ m</w:t>
            </w:r>
            <w:r>
              <w:rPr>
                <w:rFonts w:hint="eastAsia" w:ascii="宋体" w:hAnsi="宋体" w:eastAsia="宋体" w:cs="宋体"/>
                <w:color w:val="auto"/>
                <w:szCs w:val="21"/>
                <w:highlight w:val="none"/>
                <w:vertAlign w:val="superscript"/>
              </w:rPr>
              <w:t xml:space="preserve">2</w:t>
            </w:r>
            <w:r/>
          </w:p>
        </w:tc>
        <w:tc>
          <w:tcPr>
            <w:tcW w:w="87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0.8元/ m</w:t>
            </w:r>
            <w:r>
              <w:rPr>
                <w:rFonts w:hint="eastAsia" w:ascii="宋体" w:hAnsi="宋体" w:eastAsia="宋体" w:cs="宋体"/>
                <w:color w:val="auto"/>
                <w:szCs w:val="21"/>
                <w:highlight w:val="none"/>
                <w:vertAlign w:val="superscript"/>
              </w:rPr>
              <w:t xml:space="preserve">2</w:t>
            </w:r>
            <w:r/>
          </w:p>
        </w:tc>
      </w:tr>
      <w:tr>
        <w:trPr>
          <w:trHeight w:val="20"/>
        </w:trPr>
        <w:tc>
          <w:tcPr>
            <w:tcW w:w="108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第二阶段土壤污染状况调查（详细采样分析）类</w:t>
            </w:r>
            <w:r/>
          </w:p>
        </w:tc>
        <w:tc>
          <w:tcPr>
            <w:tcW w:w="91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c>
          <w:tcPr>
            <w:tcW w:w="1067"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12元/ m</w:t>
            </w:r>
            <w:r>
              <w:rPr>
                <w:rFonts w:hint="eastAsia" w:ascii="宋体" w:hAnsi="宋体" w:eastAsia="宋体" w:cs="宋体"/>
                <w:color w:val="auto"/>
                <w:szCs w:val="21"/>
                <w:highlight w:val="none"/>
                <w:vertAlign w:val="superscript"/>
              </w:rPr>
              <w:t xml:space="preserve">2</w:t>
            </w:r>
            <w:r/>
          </w:p>
        </w:tc>
        <w:tc>
          <w:tcPr>
            <w:tcW w:w="1056"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8元/ m</w:t>
            </w:r>
            <w:r>
              <w:rPr>
                <w:rFonts w:hint="eastAsia" w:ascii="宋体" w:hAnsi="宋体" w:eastAsia="宋体" w:cs="宋体"/>
                <w:color w:val="auto"/>
                <w:szCs w:val="21"/>
                <w:highlight w:val="none"/>
                <w:vertAlign w:val="superscript"/>
              </w:rPr>
              <w:t xml:space="preserve">2</w:t>
            </w:r>
            <w:r/>
          </w:p>
        </w:tc>
        <w:tc>
          <w:tcPr>
            <w:tcW w:w="87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5元/ m</w:t>
            </w:r>
            <w:r>
              <w:rPr>
                <w:rFonts w:hint="eastAsia" w:ascii="宋体" w:hAnsi="宋体" w:eastAsia="宋体" w:cs="宋体"/>
                <w:color w:val="auto"/>
                <w:szCs w:val="21"/>
                <w:highlight w:val="none"/>
                <w:vertAlign w:val="superscript"/>
              </w:rPr>
              <w:t xml:space="preserve">2</w:t>
            </w:r>
            <w:r/>
          </w:p>
        </w:tc>
      </w:tr>
      <w:tr>
        <w:trPr>
          <w:trHeight w:val="20"/>
        </w:trPr>
        <w:tc>
          <w:tcPr>
            <w:tcW w:w="108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地下水采样监测类</w:t>
            </w:r>
            <w:r/>
          </w:p>
        </w:tc>
        <w:tc>
          <w:tcPr>
            <w:tcW w:w="91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067"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1.5元/ m2</w:t>
            </w:r>
            <w:r/>
          </w:p>
        </w:tc>
        <w:tc>
          <w:tcPr>
            <w:tcW w:w="1056"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1.0元/ m2</w:t>
            </w:r>
            <w:r/>
          </w:p>
        </w:tc>
        <w:tc>
          <w:tcPr>
            <w:tcW w:w="87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0.5元/ m2</w:t>
            </w:r>
            <w:r/>
          </w:p>
        </w:tc>
      </w:tr>
    </w:tbl>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备注1）：单个项目总价采用累加计费，超过对应计费区间的面积按照单价累加；</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备注2）：第一阶段土壤污染状况调查类单个项目累计费用7万元封顶。</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备注3）：第二阶段土壤污染状况调查（初步采样分析）类单个项目累计费用17万元封顶。</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备注4）：第二阶段土壤污染状况调查（详细采样分析）类单个项目累计费用80万元封顶。</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备注5）：地下水采样监测类单个项目累计费用8万元封顶。</w:t>
      </w:r>
      <w:r/>
    </w:p>
    <w:p>
      <w:pPr>
        <w:pStyle w:val="920"/>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投标单位根据企业自身特点，在综合考虑技术水平、成本、利润等的基础上，对本项目进行报价。</w:t>
      </w:r>
      <w:r/>
    </w:p>
    <w:p>
      <w:pPr>
        <w:spacing w:line="40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（六）项目组人员配备要求：</w:t>
      </w:r>
      <w:r>
        <w:rPr>
          <w:rFonts w:hint="eastAsia" w:ascii="宋体" w:hAnsi="宋体" w:eastAsia="宋体" w:cs="宋体"/>
          <w:color w:val="auto"/>
          <w:szCs w:val="21"/>
          <w:highlight w:val="none"/>
        </w:rPr>
        <w:t xml:space="preserve">中标供应商对每个调查项目配备不少于1名项目负责人、1名技术负责人。</w:t>
      </w:r>
      <w:r/>
    </w:p>
    <w:p>
      <w:pPr>
        <w:pStyle w:val="934"/>
        <w:ind w:firstLine="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七、考核标准：</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585"/>
        <w:gridCol w:w="4133"/>
        <w:gridCol w:w="933"/>
        <w:gridCol w:w="1135"/>
        <w:gridCol w:w="928"/>
      </w:tblGrid>
      <w:tr>
        <w:trPr>
          <w:trHeight w:val="567"/>
        </w:trPr>
        <w:tc>
          <w:tcPr>
            <w:tcW w:w="574"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序号</w:t>
            </w:r>
            <w:r/>
          </w:p>
        </w:tc>
        <w:tc>
          <w:tcPr>
            <w:tcW w:w="158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考核内容</w:t>
            </w:r>
            <w:r/>
          </w:p>
        </w:tc>
        <w:tc>
          <w:tcPr>
            <w:tcW w:w="4133"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考核标准</w:t>
            </w:r>
            <w:r/>
          </w:p>
        </w:tc>
        <w:tc>
          <w:tcPr>
            <w:tcW w:w="933"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标准分</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扣分原因</w:t>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得分</w:t>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人员配备情况</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配备完成该项目所需的服务人员，不得无故减员或兼顾其它项目，每发现一次扣5分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473"/>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服务响应时间</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响应时间长于1小时，每发现一次扣5分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设备配备情况</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配备完成该项目所需的设备，若因设备问题造成项目实施障碍的，每发现一次扣5分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项目实施进度</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重要节点未按时完成，每发现一次扣5分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与甲方配合度</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根据配合度情况，酌情进行扣分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服务成果</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成果不满足要求，酌情进行扣分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gridSpan w:val="2"/>
            <w:tcW w:w="21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总分</w:t>
            </w:r>
            <w:r/>
          </w:p>
        </w:tc>
        <w:tc>
          <w:tcPr>
            <w:tcW w:w="41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c>
          <w:tcPr>
            <w:tcW w:w="1135" w:type="dxa"/>
            <w:vAlign w:val="top"/>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bl>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1）当95分≤考评结果，实际付款金额=应付金额*100%；</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2）当85分≤考评结果＜95分，实际付款金额=应付金额*90%；</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3）当75分≤考评结果＜85分，实际付款金额=应付金额*80%；</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4）当65分≤考评结果＜75分，实际付款金额=应付金额*60%；</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5）当考评结果＜65分，招标方有权拒绝付款。</w:t>
      </w:r>
      <w:r/>
    </w:p>
    <w:p>
      <w:pPr>
        <w:spacing w:line="400" w:lineRule="exact"/>
        <w:widowControl/>
        <w:tabs>
          <w:tab w:val="left" w:pos="4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八、其他说明：</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单位应经常对员工进行岗位职责和安全教育，加强岗位责任考核。因中标供应商管理不善，造成工作范围内的设施、设备等损坏的，由直接负责人赔偿，若直接负责人因故无法赔偿的，采购单位有权要求中标供应商负责赔偿损失，情节严重的可终止合同甚至诉诸法律。</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2、验收标准：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2.1服务期限内递交的成果内容必须符合招标文件的有关要求和国家有关标准。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2.2技术依据：为保证本项目实施的科学性、规范性和准确性，技术操作、服务需要严格遵照国家有关法律、法规、规章制度以及国家和行业颁布的相关技术标准和规范。</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项目结案要求：单个项目完成专家评审后，需提交业主并配合业主完成所在地环保和资规主管部门的备案工作，所在地环保和资规主管部门出具最终审核意见后视为项目完成。同时，单个地块项目结束后服务商须向采购单位提供项目满足国家规范要求的调查报告及附件等全部数据资料，包括纸质版（加盖公章）4套和电子版。</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3、中标供应商工作人员在岗履行职责期间（包括上下班途中），发生自身的人身伤害、伤亡，均由中标供应商负责处理并承担经济和道义上的责任，采购单位不承担任何责任。</w:t>
      </w:r>
      <w:r/>
    </w:p>
    <w:p>
      <w:pPr>
        <w:spacing w:line="400" w:lineRule="exact"/>
        <w:widowControl/>
        <w:tabs>
          <w:tab w:val="left" w:pos="4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九、综合说明：</w:t>
      </w:r>
      <w:r/>
    </w:p>
    <w:p>
      <w:pPr>
        <w:ind w:firstLine="420"/>
        <w:spacing w:line="400" w:lineRule="exact"/>
        <w:widowControl/>
        <w:tabs>
          <w:tab w:val="left" w:pos="420" w:leader="none"/>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1、投标人按照招标文件的要求提交投标文件，并对所提供的全部资料的真实性承担法律责任。</w:t>
      </w:r>
      <w:r/>
    </w:p>
    <w:p>
      <w:pPr>
        <w:ind w:firstLine="420"/>
        <w:spacing w:line="400" w:lineRule="exact"/>
        <w:widowControl/>
        <w:tabs>
          <w:tab w:val="left" w:pos="420" w:leader="none"/>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2、本项目按固定</w:t>
      </w:r>
      <w:r>
        <w:rPr>
          <w:rFonts w:hint="eastAsia" w:ascii="宋体" w:hAnsi="宋体" w:cs="宋体"/>
          <w:color w:val="auto"/>
          <w:szCs w:val="21"/>
          <w:highlight w:val="none"/>
          <w:lang w:val="en-US" w:eastAsia="zh-CN"/>
        </w:rPr>
        <w:t xml:space="preserve">优惠率</w:t>
      </w:r>
      <w:r>
        <w:rPr>
          <w:rFonts w:hint="eastAsia" w:ascii="宋体" w:hAnsi="宋体" w:eastAsia="宋体" w:cs="宋体"/>
          <w:color w:val="auto"/>
          <w:szCs w:val="21"/>
          <w:highlight w:val="none"/>
        </w:rPr>
        <w:t xml:space="preserve">报价，投标报价包含完成本项目全部服务内容所需的人工费、调查方案编制费、现场采样费、样品检测分析费、调查报告编制费、专家评审费、差旅食宿费、文印费、资料费、通讯、工器具、设备、加班费、管理费、保险、材料、劳保、专利技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代理服务费</w:t>
      </w:r>
      <w:r>
        <w:rPr>
          <w:rFonts w:hint="eastAsia" w:ascii="宋体" w:hAnsi="宋体" w:eastAsia="宋体" w:cs="宋体"/>
          <w:color w:val="auto"/>
          <w:szCs w:val="21"/>
          <w:highlight w:val="none"/>
        </w:rPr>
        <w:t xml:space="preserve">等全部费用以及投标单位企业利润、税金和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400" w:lineRule="exact"/>
        <w:widowControl/>
        <w:tabs>
          <w:tab w:val="left" w:pos="420" w:leader="none"/>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3、中标单位将根据招标文件、投标文件的相关约定，承担合同责任，履行合同义务。</w:t>
      </w:r>
      <w:r/>
    </w:p>
    <w:p>
      <w:pPr>
        <w:spacing w:line="400" w:lineRule="exact"/>
        <w:widowControl/>
        <w:tabs>
          <w:tab w:val="left" w:pos="4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十、政府采购政策：</w:t>
      </w:r>
      <w:r/>
    </w:p>
    <w:p>
      <w:pPr>
        <w:ind w:firstLine="420"/>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1、小、微企业</w:t>
      </w:r>
      <w:r/>
    </w:p>
    <w:p>
      <w:pPr>
        <w:pStyle w:val="71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民法典》订立劳动合同的从业人员。</w:t>
      </w:r>
      <w:r/>
    </w:p>
    <w:p>
      <w:pPr>
        <w:ind w:firstLine="422"/>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20"/>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2、残疾人福利性单位</w:t>
      </w:r>
      <w:r/>
    </w:p>
    <w:p>
      <w:pPr>
        <w:ind w:firstLine="420"/>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3、监狱企业</w:t>
      </w:r>
      <w:r/>
    </w:p>
    <w:p>
      <w:pPr>
        <w:ind w:firstLine="420"/>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4、绿色采购</w:t>
      </w:r>
      <w:r/>
    </w:p>
    <w:p>
      <w:pPr>
        <w:ind w:firstLine="420"/>
        <w:spacing w:line="400" w:lineRule="exact"/>
        <w:widowControl/>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spacing w:line="400" w:lineRule="exact"/>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十一、凡涉及招标文件的补充说明和修改，均以网上发布的通知为准。</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jc w:val="center"/>
        <w:spacing w:after="312" w:line="480" w:lineRule="auto"/>
        <w:tabs>
          <w:tab w:val="right" w:pos="8302" w:leader="dot"/>
        </w:tabs>
        <w:rPr>
          <w:rStyle w:val="925"/>
          <w:rFonts w:hint="eastAsia" w:ascii="宋体" w:hAnsi="宋体" w:eastAsia="宋体" w:cs="宋体"/>
          <w:color w:val="auto"/>
          <w:sz w:val="32"/>
          <w:szCs w:val="32"/>
          <w:highlight w:val="none"/>
        </w:rPr>
      </w:pPr>
      <w:r>
        <w:rPr>
          <w:rStyle w:val="925"/>
          <w:rFonts w:hint="eastAsia" w:ascii="宋体" w:hAnsi="宋体" w:eastAsia="宋体" w:cs="宋体"/>
          <w:color w:val="auto"/>
          <w:sz w:val="32"/>
          <w:szCs w:val="32"/>
          <w:highlight w:val="none"/>
        </w:rPr>
        <w:br w:type="page" w:clear="all"/>
      </w:r>
      <w:r>
        <w:rPr>
          <w:rStyle w:val="925"/>
          <w:rFonts w:hint="eastAsia" w:ascii="宋体" w:hAnsi="宋体" w:eastAsia="宋体" w:cs="宋体"/>
          <w:color w:val="auto"/>
          <w:sz w:val="32"/>
          <w:szCs w:val="32"/>
          <w:highlight w:val="none"/>
        </w:rPr>
        <w:t xml:space="preserve">第五章  合同及主要条款</w:t>
      </w:r>
      <w:r/>
    </w:p>
    <w:p>
      <w:pP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eastAsia="zh-CN"/>
        </w:rPr>
        <w:t xml:space="preserve">2024-2026年苏州科技城土壤环境调查及地下水检测年度服务第二批次</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w:t>
      </w:r>
      <w:r/>
    </w:p>
    <w:p>
      <w:pP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JSZC-320505-HXGW-G2024-0087</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甲方（采购方）：</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地址：</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乙方（供应方）：</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地址：</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代理机构：涵熙（苏州）工程顾问有限公司</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苏州高新区汾湖路99号狮山总部经济中心7幢3层</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联系电话：0512-69589240</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根据苏州高新区政府采购编号</w:t>
      </w:r>
      <w:r>
        <w:rPr>
          <w:rFonts w:hint="eastAsia" w:ascii="宋体" w:hAnsi="宋体" w:cs="宋体"/>
          <w:color w:val="auto"/>
          <w:szCs w:val="21"/>
          <w:highlight w:val="none"/>
          <w:u w:val="single"/>
          <w:lang w:eastAsia="zh-CN"/>
        </w:rPr>
        <w:t xml:space="preserve">JSZC-320505-HXGW-G2024-0087</w:t>
      </w:r>
      <w:r>
        <w:rPr>
          <w:rFonts w:hint="eastAsia" w:ascii="宋体" w:hAnsi="宋体" w:eastAsia="宋体" w:cs="宋体"/>
          <w:color w:val="auto"/>
          <w:szCs w:val="21"/>
          <w:highlight w:val="none"/>
        </w:rPr>
        <w:t xml:space="preserve">号招标文件和中标单位的投标文件和中标通知书，甲乙双方就此次中标的标的物的购销事宜，签订本合同书。</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一、定义：</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以下术语有特定的含义：</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服务是指根据合同规定乙方应承担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等工作和合同中规定乙方应承担的其它义务。</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合同价款是指根据中标单位的响应文件和合同规定，乙方在正确地履行合同义务后甲方应支付给乙方的价款。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甲方是指合同中明确规定的实际购买和接受服务的单位。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乙方是指合同中规定的提供服务的单位。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spacing w:line="400" w:lineRule="exact"/>
        <w:tabs>
          <w:tab w:val="left" w:pos="567" w:leader="none"/>
        </w:tabs>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二、合同价格：</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1.1中标固定</w:t>
      </w:r>
      <w:r>
        <w:rPr>
          <w:rFonts w:hint="eastAsia" w:ascii="宋体" w:hAnsi="宋体" w:cs="宋体"/>
          <w:color w:val="auto"/>
          <w:szCs w:val="21"/>
          <w:highlight w:val="none"/>
          <w:lang w:val="en-US" w:eastAsia="zh-CN"/>
        </w:rPr>
        <w:t xml:space="preserve">优惠率</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合同价格包含完成本项目全部服务内容所需的人工费、调查方案编制费、现场采样费、样品检测分析费、调查报告编制费、专家评审费、差旅食宿费、文印费、资料费、通讯、工器具、设备、加班费、管理费、保险、材料、劳保、专利技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代理服务费</w:t>
      </w:r>
      <w:r>
        <w:rPr>
          <w:rFonts w:hint="eastAsia" w:ascii="宋体" w:hAnsi="宋体" w:eastAsia="宋体" w:cs="宋体"/>
          <w:color w:val="auto"/>
          <w:szCs w:val="21"/>
          <w:highlight w:val="none"/>
        </w:rPr>
        <w:t xml:space="preserve">等全部费用以及投标单位企业利润、税金和政策性文件规定及合同包含的所有风险、责任等各项应有费用。同时，除非合同条款中另有规定，否则，乙方所报价格在合同实施期间不因市场变化因素而变动，未经甲方书面确认，甲方不再另行支付其他任何费用。</w:t>
      </w:r>
      <w:r/>
    </w:p>
    <w:p>
      <w:pPr>
        <w:ind w:firstLine="420"/>
        <w:spacing w:line="400" w:lineRule="exact"/>
        <w:tabs>
          <w:tab w:val="left" w:pos="540" w:leader="none"/>
          <w:tab w:val="left" w:pos="92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1.2本次苏州科技城土壤污染状况调查费用按照不同用地类型前提下，以单个项目地块的面积核算，共分为“四类、四挡”，详见表1。</w:t>
      </w:r>
      <w:r/>
    </w:p>
    <w:p>
      <w:pPr>
        <w:ind w:firstLine="367"/>
        <w:jc w:val="center"/>
        <w:spacing w:line="360" w:lineRule="auto"/>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表1土壤污染状况调查计费表</w:t>
      </w:r>
      <w:r/>
    </w:p>
    <w:tbl>
      <w:tblPr>
        <w:tblStyle w:val="7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1292"/>
        <w:gridCol w:w="408"/>
        <w:gridCol w:w="1190"/>
        <w:gridCol w:w="790"/>
        <w:gridCol w:w="1151"/>
        <w:gridCol w:w="811"/>
        <w:gridCol w:w="1155"/>
        <w:gridCol w:w="1408"/>
      </w:tblGrid>
      <w:tr>
        <w:trPr>
          <w:trHeight w:val="454"/>
          <w:tblHeader/>
        </w:trPr>
        <w:tc>
          <w:tcPr>
            <w:gridSpan w:val="9"/>
            <w:tcW w:w="9288" w:type="dxa"/>
            <w:vAlign w:val="center"/>
            <w:textDirection w:val="lrTb"/>
            <w:noWrap w:val="false"/>
          </w:tcPr>
          <w:p>
            <w:pPr>
              <w:ind w:firstLine="367"/>
              <w:jc w:val="center"/>
              <w:spacing w:line="360" w:lineRule="auto"/>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土壤污染状况调查计费表（万元）</w:t>
            </w:r>
            <w:r/>
          </w:p>
        </w:tc>
      </w:tr>
      <w:tr>
        <w:trPr>
          <w:trHeight w:val="454"/>
          <w:tblHeader/>
        </w:trPr>
        <w:tc>
          <w:tcPr>
            <w:gridSpan w:val="2"/>
            <w:tcW w:w="2375" w:type="dxa"/>
            <w:vAlign w:val="center"/>
            <w:textDirection w:val="lrTb"/>
            <w:noWrap w:val="false"/>
          </w:tcPr>
          <w:p>
            <w:pPr>
              <w:ind w:firstLine="367"/>
              <w:jc w:val="center"/>
              <w:spacing w:line="360" w:lineRule="auto"/>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地块面积</w:t>
            </w:r>
            <w:r/>
          </w:p>
        </w:tc>
        <w:tc>
          <w:tcPr>
            <w:gridSpan w:val="2"/>
            <w:tcW w:w="1598" w:type="dxa"/>
            <w:vAlign w:val="center"/>
            <w:textDirection w:val="lrTb"/>
            <w:noWrap w:val="false"/>
          </w:tcPr>
          <w:p>
            <w:pPr>
              <w:jc w:val="center"/>
              <w:spacing w:line="360" w:lineRule="auto"/>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0-15000m2（含）</w:t>
            </w:r>
            <w:r/>
          </w:p>
        </w:tc>
        <w:tc>
          <w:tcPr>
            <w:gridSpan w:val="2"/>
            <w:tcW w:w="1941" w:type="dxa"/>
            <w:vAlign w:val="center"/>
            <w:textDirection w:val="lrTb"/>
            <w:noWrap w:val="false"/>
          </w:tcPr>
          <w:p>
            <w:pPr>
              <w:jc w:val="center"/>
              <w:spacing w:line="360" w:lineRule="auto"/>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15000-30000m2（含）</w:t>
            </w:r>
            <w:r/>
          </w:p>
        </w:tc>
        <w:tc>
          <w:tcPr>
            <w:gridSpan w:val="2"/>
            <w:tcW w:w="1966" w:type="dxa"/>
            <w:vAlign w:val="center"/>
            <w:textDirection w:val="lrTb"/>
            <w:noWrap w:val="false"/>
          </w:tcPr>
          <w:p>
            <w:pPr>
              <w:jc w:val="center"/>
              <w:spacing w:line="360" w:lineRule="auto"/>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30000-70000m2（含）</w:t>
            </w:r>
            <w:r/>
          </w:p>
        </w:tc>
        <w:tc>
          <w:tcPr>
            <w:tcW w:w="755" w:type="dxa"/>
            <w:vAlign w:val="center"/>
            <w:textDirection w:val="lrTb"/>
            <w:noWrap w:val="false"/>
          </w:tcPr>
          <w:p>
            <w:pPr>
              <w:jc w:val="center"/>
              <w:spacing w:line="360" w:lineRule="auto"/>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70000 m2以上</w:t>
            </w:r>
            <w:r/>
          </w:p>
        </w:tc>
      </w:tr>
      <w:tr>
        <w:trPr>
          <w:trHeight w:val="20"/>
          <w:tblHeader/>
        </w:trPr>
        <w:tc>
          <w:tcPr>
            <w:gridSpan w:val="9"/>
            <w:tcW w:w="9288" w:type="dxa"/>
            <w:vAlign w:val="top"/>
            <w:textDirection w:val="lrTb"/>
            <w:noWrap w:val="false"/>
          </w:tcPr>
          <w:p>
            <w:pPr>
              <w:jc w:val="center"/>
              <w:spacing w:line="400" w:lineRule="exact"/>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土壤污染状况调查计费表（万元）</w:t>
            </w:r>
            <w:r/>
          </w:p>
        </w:tc>
      </w:tr>
      <w:tr>
        <w:trPr>
          <w:trHeight w:val="20"/>
          <w:tblHeader/>
        </w:trPr>
        <w:tc>
          <w:tcPr>
            <w:tcW w:w="1083" w:type="dxa"/>
            <w:vAlign w:val="center"/>
            <w:textDirection w:val="lrTb"/>
            <w:noWrap w:val="false"/>
          </w:tcPr>
          <w:p>
            <w:pPr>
              <w:ind w:firstLine="422"/>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地块面积</w:t>
            </w:r>
            <w:r/>
          </w:p>
        </w:tc>
        <w:tc>
          <w:tcPr>
            <w:gridSpan w:val="2"/>
            <w:tcW w:w="1700"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0-15000m</w:t>
            </w:r>
            <w:r>
              <w:rPr>
                <w:rFonts w:hint="eastAsia" w:ascii="宋体" w:hAnsi="宋体" w:eastAsia="宋体" w:cs="宋体"/>
                <w:b/>
                <w:bCs/>
                <w:color w:val="auto"/>
                <w:szCs w:val="21"/>
                <w:highlight w:val="none"/>
                <w:vertAlign w:val="superscript"/>
              </w:rPr>
              <w:t xml:space="preserve">2</w:t>
            </w:r>
            <w:r>
              <w:rPr>
                <w:rFonts w:hint="eastAsia" w:ascii="宋体" w:hAnsi="宋体" w:eastAsia="宋体" w:cs="宋体"/>
                <w:b/>
                <w:bCs/>
                <w:color w:val="auto"/>
                <w:szCs w:val="21"/>
                <w:highlight w:val="none"/>
              </w:rPr>
              <w:t xml:space="preserve">（含）</w:t>
            </w:r>
            <w:r/>
          </w:p>
        </w:tc>
        <w:tc>
          <w:tcPr>
            <w:gridSpan w:val="2"/>
            <w:tcW w:w="1980" w:type="dxa"/>
            <w:vAlign w:val="center"/>
            <w:textDirection w:val="lrTb"/>
            <w:noWrap w:val="false"/>
          </w:tcPr>
          <w:p>
            <w:pPr>
              <w:jc w:val="center"/>
              <w:spacing w:line="40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15000-30000m</w:t>
            </w:r>
            <w:r>
              <w:rPr>
                <w:rFonts w:hint="eastAsia" w:ascii="宋体" w:hAnsi="宋体" w:eastAsia="宋体" w:cs="宋体"/>
                <w:b/>
                <w:color w:val="auto"/>
                <w:szCs w:val="21"/>
                <w:highlight w:val="none"/>
                <w:vertAlign w:val="superscript"/>
              </w:rPr>
              <w:t xml:space="preserve">2</w:t>
            </w:r>
            <w:r>
              <w:rPr>
                <w:rFonts w:hint="eastAsia" w:ascii="宋体" w:hAnsi="宋体" w:eastAsia="宋体" w:cs="宋体"/>
                <w:b/>
                <w:color w:val="auto"/>
                <w:szCs w:val="21"/>
                <w:highlight w:val="none"/>
              </w:rPr>
              <w:t xml:space="preserve">（含）</w:t>
            </w:r>
            <w:r/>
          </w:p>
        </w:tc>
        <w:tc>
          <w:tcPr>
            <w:gridSpan w:val="2"/>
            <w:tcW w:w="1962" w:type="dxa"/>
            <w:vAlign w:val="center"/>
            <w:textDirection w:val="lrTb"/>
            <w:noWrap w:val="false"/>
          </w:tcPr>
          <w:p>
            <w:pPr>
              <w:jc w:val="center"/>
              <w:spacing w:line="40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30000-70000m</w:t>
            </w:r>
            <w:r>
              <w:rPr>
                <w:rFonts w:hint="eastAsia" w:ascii="宋体" w:hAnsi="宋体" w:eastAsia="宋体" w:cs="宋体"/>
                <w:b/>
                <w:color w:val="auto"/>
                <w:szCs w:val="21"/>
                <w:highlight w:val="none"/>
                <w:vertAlign w:val="superscript"/>
              </w:rPr>
              <w:t xml:space="preserve">2</w:t>
            </w:r>
            <w:r>
              <w:rPr>
                <w:rFonts w:hint="eastAsia" w:ascii="宋体" w:hAnsi="宋体" w:eastAsia="宋体" w:cs="宋体"/>
                <w:b/>
                <w:color w:val="auto"/>
                <w:szCs w:val="21"/>
                <w:highlight w:val="none"/>
              </w:rPr>
              <w:t xml:space="preserve">（含）</w:t>
            </w:r>
            <w:r/>
          </w:p>
        </w:tc>
        <w:tc>
          <w:tcPr>
            <w:gridSpan w:val="2"/>
            <w:tcW w:w="1635" w:type="dxa"/>
            <w:vAlign w:val="center"/>
            <w:textDirection w:val="lrTb"/>
            <w:noWrap w:val="false"/>
          </w:tcPr>
          <w:p>
            <w:pPr>
              <w:jc w:val="center"/>
              <w:spacing w:line="40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70000m</w:t>
            </w:r>
            <w:r>
              <w:rPr>
                <w:rFonts w:hint="eastAsia" w:ascii="宋体" w:hAnsi="宋体" w:eastAsia="宋体" w:cs="宋体"/>
                <w:b/>
                <w:color w:val="auto"/>
                <w:szCs w:val="21"/>
                <w:highlight w:val="none"/>
                <w:vertAlign w:val="superscript"/>
              </w:rPr>
              <w:t xml:space="preserve">2</w:t>
            </w:r>
            <w:r>
              <w:rPr>
                <w:rFonts w:hint="eastAsia" w:ascii="宋体" w:hAnsi="宋体" w:eastAsia="宋体" w:cs="宋体"/>
                <w:b/>
                <w:color w:val="auto"/>
                <w:szCs w:val="21"/>
                <w:highlight w:val="none"/>
              </w:rPr>
              <w:t xml:space="preserve">以上</w:t>
            </w:r>
            <w:r/>
          </w:p>
        </w:tc>
      </w:tr>
      <w:tr>
        <w:trPr>
          <w:trHeight w:val="20"/>
        </w:trPr>
        <w:tc>
          <w:tcPr>
            <w:tcW w:w="1083"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第一阶段土壤污染状况调查类</w:t>
            </w:r>
            <w:r/>
          </w:p>
        </w:tc>
        <w:tc>
          <w:tcPr>
            <w:gridSpan w:val="2"/>
            <w:tcW w:w="1700"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gridSpan w:val="2"/>
            <w:tcW w:w="1980"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0.75元/ m</w:t>
            </w:r>
            <w:r>
              <w:rPr>
                <w:rFonts w:hint="eastAsia" w:ascii="宋体" w:hAnsi="宋体" w:eastAsia="宋体" w:cs="宋体"/>
                <w:color w:val="auto"/>
                <w:szCs w:val="21"/>
                <w:highlight w:val="none"/>
                <w:vertAlign w:val="superscript"/>
              </w:rPr>
              <w:t xml:space="preserve">2</w:t>
            </w:r>
            <w:r/>
          </w:p>
        </w:tc>
        <w:tc>
          <w:tcPr>
            <w:gridSpan w:val="2"/>
            <w:tcW w:w="1962"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0.45元/ m</w:t>
            </w:r>
            <w:r>
              <w:rPr>
                <w:rFonts w:hint="eastAsia" w:ascii="宋体" w:hAnsi="宋体" w:eastAsia="宋体" w:cs="宋体"/>
                <w:color w:val="auto"/>
                <w:szCs w:val="21"/>
                <w:highlight w:val="none"/>
                <w:vertAlign w:val="superscript"/>
              </w:rPr>
              <w:t xml:space="preserve">2</w:t>
            </w:r>
            <w:r/>
          </w:p>
        </w:tc>
        <w:tc>
          <w:tcPr>
            <w:gridSpan w:val="2"/>
            <w:tcW w:w="163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0.25元/ m</w:t>
            </w:r>
            <w:r>
              <w:rPr>
                <w:rFonts w:hint="eastAsia" w:ascii="宋体" w:hAnsi="宋体" w:eastAsia="宋体" w:cs="宋体"/>
                <w:color w:val="auto"/>
                <w:szCs w:val="21"/>
                <w:highlight w:val="none"/>
                <w:vertAlign w:val="superscript"/>
              </w:rPr>
              <w:t xml:space="preserve">2</w:t>
            </w:r>
            <w:r/>
          </w:p>
        </w:tc>
      </w:tr>
      <w:tr>
        <w:trPr>
          <w:trHeight w:val="20"/>
        </w:trPr>
        <w:tc>
          <w:tcPr>
            <w:tcW w:w="1083"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第二阶段土壤污染状况调查（初步采样分析）类</w:t>
            </w:r>
            <w:r/>
          </w:p>
        </w:tc>
        <w:tc>
          <w:tcPr>
            <w:gridSpan w:val="2"/>
            <w:tcW w:w="1700"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gridSpan w:val="2"/>
            <w:tcW w:w="1980"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1.8元/ m</w:t>
            </w:r>
            <w:r>
              <w:rPr>
                <w:rFonts w:hint="eastAsia" w:ascii="宋体" w:hAnsi="宋体" w:eastAsia="宋体" w:cs="宋体"/>
                <w:color w:val="auto"/>
                <w:szCs w:val="21"/>
                <w:highlight w:val="none"/>
                <w:vertAlign w:val="superscript"/>
              </w:rPr>
              <w:t xml:space="preserve">2</w:t>
            </w:r>
            <w:r/>
          </w:p>
        </w:tc>
        <w:tc>
          <w:tcPr>
            <w:gridSpan w:val="2"/>
            <w:tcW w:w="1962"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1.3元/ m</w:t>
            </w:r>
            <w:r>
              <w:rPr>
                <w:rFonts w:hint="eastAsia" w:ascii="宋体" w:hAnsi="宋体" w:eastAsia="宋体" w:cs="宋体"/>
                <w:color w:val="auto"/>
                <w:szCs w:val="21"/>
                <w:highlight w:val="none"/>
                <w:vertAlign w:val="superscript"/>
              </w:rPr>
              <w:t xml:space="preserve">2</w:t>
            </w:r>
            <w:r/>
          </w:p>
        </w:tc>
        <w:tc>
          <w:tcPr>
            <w:gridSpan w:val="2"/>
            <w:tcW w:w="163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0.8元/ m</w:t>
            </w:r>
            <w:r>
              <w:rPr>
                <w:rFonts w:hint="eastAsia" w:ascii="宋体" w:hAnsi="宋体" w:eastAsia="宋体" w:cs="宋体"/>
                <w:color w:val="auto"/>
                <w:szCs w:val="21"/>
                <w:highlight w:val="none"/>
                <w:vertAlign w:val="superscript"/>
              </w:rPr>
              <w:t xml:space="preserve">2</w:t>
            </w:r>
            <w:r/>
          </w:p>
        </w:tc>
      </w:tr>
      <w:tr>
        <w:trPr>
          <w:trHeight w:val="20"/>
        </w:trPr>
        <w:tc>
          <w:tcPr>
            <w:tcW w:w="1083"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第二阶段土壤污染状况调查（详细采样分析）类</w:t>
            </w:r>
            <w:r/>
          </w:p>
        </w:tc>
        <w:tc>
          <w:tcPr>
            <w:gridSpan w:val="2"/>
            <w:tcW w:w="1700"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c>
          <w:tcPr>
            <w:gridSpan w:val="2"/>
            <w:tcW w:w="1980"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12元/ m</w:t>
            </w:r>
            <w:r>
              <w:rPr>
                <w:rFonts w:hint="eastAsia" w:ascii="宋体" w:hAnsi="宋体" w:eastAsia="宋体" w:cs="宋体"/>
                <w:color w:val="auto"/>
                <w:szCs w:val="21"/>
                <w:highlight w:val="none"/>
                <w:vertAlign w:val="superscript"/>
              </w:rPr>
              <w:t xml:space="preserve">2</w:t>
            </w:r>
            <w:r/>
          </w:p>
        </w:tc>
        <w:tc>
          <w:tcPr>
            <w:gridSpan w:val="2"/>
            <w:tcW w:w="1962"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8元/ m</w:t>
            </w:r>
            <w:r>
              <w:rPr>
                <w:rFonts w:hint="eastAsia" w:ascii="宋体" w:hAnsi="宋体" w:eastAsia="宋体" w:cs="宋体"/>
                <w:color w:val="auto"/>
                <w:szCs w:val="21"/>
                <w:highlight w:val="none"/>
                <w:vertAlign w:val="superscript"/>
              </w:rPr>
              <w:t xml:space="preserve">2</w:t>
            </w:r>
            <w:r/>
          </w:p>
        </w:tc>
        <w:tc>
          <w:tcPr>
            <w:gridSpan w:val="2"/>
            <w:tcW w:w="163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5元/ m</w:t>
            </w:r>
            <w:r>
              <w:rPr>
                <w:rFonts w:hint="eastAsia" w:ascii="宋体" w:hAnsi="宋体" w:eastAsia="宋体" w:cs="宋体"/>
                <w:color w:val="auto"/>
                <w:szCs w:val="21"/>
                <w:highlight w:val="none"/>
                <w:vertAlign w:val="superscript"/>
              </w:rPr>
              <w:t xml:space="preserve">2</w:t>
            </w:r>
            <w:r/>
          </w:p>
        </w:tc>
      </w:tr>
      <w:tr>
        <w:trPr>
          <w:trHeight w:val="20"/>
        </w:trPr>
        <w:tc>
          <w:tcPr>
            <w:tcW w:w="1083"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地下水采样监测类</w:t>
            </w:r>
            <w:r/>
          </w:p>
        </w:tc>
        <w:tc>
          <w:tcPr>
            <w:gridSpan w:val="2"/>
            <w:tcW w:w="1700"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gridSpan w:val="2"/>
            <w:tcW w:w="1980"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1.5元/ m2</w:t>
            </w:r>
            <w:r/>
          </w:p>
        </w:tc>
        <w:tc>
          <w:tcPr>
            <w:gridSpan w:val="2"/>
            <w:tcW w:w="1962"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1.0元/ m2</w:t>
            </w:r>
            <w:r/>
          </w:p>
        </w:tc>
        <w:tc>
          <w:tcPr>
            <w:gridSpan w:val="2"/>
            <w:tcW w:w="1635"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0.5元/ m2</w:t>
            </w:r>
            <w:r/>
          </w:p>
        </w:tc>
      </w:tr>
    </w:tbl>
    <w:p>
      <w:pPr>
        <w:ind w:firstLine="367"/>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备注1）：单个项目总价采用累加计费，超过对应计费区间的面积按照单价累加；</w:t>
      </w:r>
      <w:r/>
    </w:p>
    <w:p>
      <w:pPr>
        <w:ind w:firstLine="367"/>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备注2）：第一阶段土壤污染状况调查类单个项目累计费用7万元封顶。</w:t>
      </w:r>
      <w:r/>
    </w:p>
    <w:p>
      <w:pPr>
        <w:ind w:firstLine="367"/>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备注3）：第二阶段土壤污染状况调查（初步采样分析）类单个项目累计费用17万元封顶。</w:t>
      </w:r>
      <w:r/>
    </w:p>
    <w:p>
      <w:pPr>
        <w:ind w:firstLine="367"/>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备注4）：第二阶段土壤污染状况调查（详细采样分析）类单个项目累计费用80万元封顶。</w:t>
      </w:r>
      <w:r/>
    </w:p>
    <w:p>
      <w:pPr>
        <w:ind w:firstLine="367"/>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备注5）：地下水采样监测类单个项目累计费用8万元封顶。</w:t>
      </w:r>
      <w:r/>
    </w:p>
    <w:p>
      <w:pPr>
        <w:ind w:firstLine="367"/>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1.3根据现行税法对甲方征收的与本合同有关的一切税费均由甲方承担；根据现行税法对乙方征收的与本合同有关的一切税费均由乙方承担。</w:t>
      </w:r>
      <w:r/>
    </w:p>
    <w:p>
      <w:pPr>
        <w:ind w:firstLine="367"/>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1.4本合同适用于苏州科技城管理委员会（苏州高新区（虎丘区）东渚街道办事处、苏州高新区（虎丘区）通安镇人民政府）下属行政单位、事业单位、下属企业，费用由各项目实施主体承担。</w:t>
      </w:r>
      <w:r/>
    </w:p>
    <w:p>
      <w:pPr>
        <w:pStyle w:val="710"/>
        <w:ind w:firstLine="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三、服务内容及期限：</w:t>
      </w:r>
      <w:r/>
    </w:p>
    <w:p>
      <w:pPr>
        <w:pStyle w:val="71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甲方聘请乙方提供以下服务：【</w:t>
      </w:r>
      <w:r>
        <w:rPr>
          <w:rFonts w:hint="eastAsia" w:ascii="宋体" w:hAnsi="宋体" w:eastAsia="宋体" w:cs="宋体"/>
          <w:color w:val="auto"/>
          <w:sz w:val="21"/>
          <w:szCs w:val="21"/>
          <w:highlight w:val="none"/>
          <w:lang w:eastAsia="zh-CN"/>
        </w:rPr>
        <w:t xml:space="preserve">2024-2026年苏州科技城土壤环境调查及地下水检测年度服务第二批次</w:t>
      </w:r>
      <w:r>
        <w:rPr>
          <w:rFonts w:hint="eastAsia" w:ascii="宋体" w:hAnsi="宋体" w:eastAsia="宋体" w:cs="宋体"/>
          <w:color w:val="auto"/>
          <w:sz w:val="21"/>
          <w:szCs w:val="21"/>
          <w:highlight w:val="none"/>
        </w:rPr>
        <w:t xml:space="preserve">】</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3.1服务团队配备要求：详见招标文件和乙方承诺。乙方组织的人员在任何时间皆不因本合同或类似合同被视为与甲方存在劳动合同关系、劳务关系等。</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3.2服务要求：</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根据服务实施依据完成对项目地块开展土壤污染状况调查，确保调查方法、过程、结论满足相关规范要求。其他要求详见招标文件。</w:t>
      </w:r>
      <w:r/>
    </w:p>
    <w:p>
      <w:pPr>
        <w:ind w:firstLine="420"/>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3.4服务期限：</w:t>
      </w:r>
      <w:r>
        <w:rPr>
          <w:rFonts w:hint="eastAsia" w:ascii="宋体" w:hAnsi="宋体" w:eastAsia="宋体" w:cs="宋体"/>
          <w:color w:val="auto"/>
          <w:szCs w:val="21"/>
          <w:highlight w:val="none"/>
          <w:lang w:eastAsia="zh-CN"/>
        </w:rPr>
        <w:t xml:space="preserve">自合同签订之日三年。三年履行期满或最终实际结算额达到各标段预算金额即合同履行完毕。如已委托项目尚未完成，则合同有效期延长至该项目结束中标单位履行完毕全部义务为止。</w:t>
      </w:r>
      <w:r/>
    </w:p>
    <w:p>
      <w:pPr>
        <w:ind w:firstLine="420"/>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3.5服务地点：甲方指定。</w:t>
      </w:r>
      <w:r/>
    </w:p>
    <w:p>
      <w:pPr>
        <w:spacing w:line="400" w:lineRule="exact"/>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合同价格支付：</w:t>
      </w:r>
      <w:r/>
    </w:p>
    <w:p>
      <w:pPr>
        <w:ind w:left="420"/>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4.1项目付款方式：合同签订生效后，甲方向乙方支付合同金额的10%作为预付款（在签订合</w:t>
      </w:r>
      <w:r/>
    </w:p>
    <w:p>
      <w:pPr>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同时，乙方明确表示无需预付款或者主动要求降低预付款比例的，甲方可不适用支付预付款10%规定）,每年度结束后30个工作日内甲方结算支付一次服务费用(按实际完成的工作量并结合中标</w:t>
      </w:r>
      <w:r>
        <w:rPr>
          <w:rFonts w:hint="eastAsia" w:ascii="宋体" w:hAnsi="宋体" w:cs="宋体"/>
          <w:color w:val="auto"/>
          <w:szCs w:val="21"/>
          <w:highlight w:val="none"/>
          <w:lang w:val="en-US" w:eastAsia="zh-CN"/>
        </w:rPr>
        <w:t xml:space="preserve">优惠率</w:t>
      </w:r>
      <w:r>
        <w:rPr>
          <w:rFonts w:hint="eastAsia" w:ascii="宋体" w:hAnsi="宋体" w:eastAsia="宋体" w:cs="宋体"/>
          <w:color w:val="auto"/>
          <w:szCs w:val="21"/>
          <w:highlight w:val="none"/>
        </w:rPr>
        <w:t xml:space="preserve">、考核结果结算)，乙方提交甲方全年度完成的项目清单、调查报告及合格的发票。</w:t>
      </w:r>
      <w:r/>
    </w:p>
    <w:p>
      <w:pPr>
        <w:ind w:left="420"/>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4.2乙方要求付款应提供以下资料：</w:t>
      </w:r>
      <w:r/>
    </w:p>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（1）合格的正规发票。</w:t>
      </w:r>
      <w:r/>
    </w:p>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（2）由甲乙双方及采购代理机构盖章的《政府采购合同履行考核报告》。</w:t>
      </w:r>
      <w:r/>
    </w:p>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（3）项目清单及调查报告。</w:t>
      </w:r>
      <w:r/>
    </w:p>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（4）其他（如有）。</w:t>
      </w:r>
      <w:r/>
    </w:p>
    <w:p>
      <w:pPr>
        <w:ind w:firstLine="420"/>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4.3支付方式：转账。</w:t>
      </w:r>
      <w:r/>
    </w:p>
    <w:p>
      <w:pPr>
        <w:ind w:firstLine="420"/>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4.4政府采购合同履行中，甲方需追加与合同标的物相同的服务的，在不改变合同其他条款的前提下，采购人可以与供应商签订补充合同，但所有补充合同的采购金额不得超过原合同采购金额的百分之十。</w:t>
      </w:r>
      <w:r/>
    </w:p>
    <w:p>
      <w:pPr>
        <w:pStyle w:val="934"/>
        <w:ind w:firstLine="0"/>
        <w:spacing w:line="400" w:lineRule="exact"/>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rPr>
        <w:t xml:space="preserve">、考核标准：</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585"/>
        <w:gridCol w:w="4133"/>
        <w:gridCol w:w="933"/>
        <w:gridCol w:w="1135"/>
        <w:gridCol w:w="928"/>
      </w:tblGrid>
      <w:tr>
        <w:trPr>
          <w:trHeight w:val="567"/>
        </w:trPr>
        <w:tc>
          <w:tcPr>
            <w:tcW w:w="574"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序号</w:t>
            </w:r>
            <w:r/>
          </w:p>
        </w:tc>
        <w:tc>
          <w:tcPr>
            <w:tcW w:w="158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考核内容</w:t>
            </w:r>
            <w:r/>
          </w:p>
        </w:tc>
        <w:tc>
          <w:tcPr>
            <w:tcW w:w="4133"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考核标准</w:t>
            </w:r>
            <w:r/>
          </w:p>
        </w:tc>
        <w:tc>
          <w:tcPr>
            <w:tcW w:w="933"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标准分</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扣分原因</w:t>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得分</w:t>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人员配备情况</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配备完成该项目所需的服务人员，不得无故减员或兼顾其它项目，每发现一次扣5分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473"/>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服务响应时间</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响应时间长于1小时，每发现一次扣5分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设备配备情况</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配备完成该项目所需的设备，若因设备问题造成项目实施障碍的，每发现一次扣5分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项目实施进度</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重要节点未按时完成，每发现一次扣5分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与甲方配合度</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根据配合度情况，酌情进行扣分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tcW w:w="5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58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服务成果</w:t>
            </w:r>
            <w:r/>
          </w:p>
        </w:tc>
        <w:tc>
          <w:tcPr>
            <w:tcW w:w="41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成果不满足要求，酌情进行扣分</w:t>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1135"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567"/>
        </w:trPr>
        <w:tc>
          <w:tcPr>
            <w:gridSpan w:val="2"/>
            <w:tcW w:w="21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总分</w:t>
            </w:r>
            <w:r/>
          </w:p>
        </w:tc>
        <w:tc>
          <w:tcPr>
            <w:tcW w:w="41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c>
          <w:tcPr>
            <w:tcW w:w="1135" w:type="dxa"/>
            <w:vAlign w:val="top"/>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92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bl>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1）当95分≤考评结果，实际付款金额=应付金额*100%；</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2）当85分≤考评结果＜95分，实际付款金额=应付金额*90%；</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3）当75分≤考评结果＜85分，实际付款金额=应付金额*80%；</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4）当65分≤考评结果＜75分，实际付款金额=应付金额*60%；</w:t>
      </w:r>
      <w:r/>
    </w:p>
    <w:p>
      <w:pPr>
        <w:pStyle w:val="739"/>
        <w:ind w:left="0"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5）当考评结果＜65分，招标方有权拒绝付款。</w:t>
      </w:r>
      <w:r/>
    </w:p>
    <w:p>
      <w:pPr>
        <w:jc w:val="left"/>
        <w:spacing w:line="400" w:lineRule="exac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、权利与义务：</w:t>
      </w:r>
      <w:r/>
    </w:p>
    <w:p>
      <w:pPr>
        <w:ind w:firstLine="420"/>
        <w:spacing w:line="400" w:lineRule="exact"/>
        <w:tabs>
          <w:tab w:val="left" w:pos="567"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6.1</w:t>
      </w:r>
      <w:r>
        <w:rPr>
          <w:rFonts w:hint="eastAsia" w:ascii="宋体" w:hAnsi="宋体" w:eastAsia="宋体" w:cs="宋体"/>
          <w:color w:val="auto"/>
          <w:szCs w:val="21"/>
          <w:highlight w:val="none"/>
          <w:lang w:val="zh-CN"/>
        </w:rPr>
        <w:t xml:space="preserve">乙方须按照</w:t>
      </w:r>
      <w:r>
        <w:rPr>
          <w:rFonts w:hint="eastAsia" w:ascii="宋体" w:hAnsi="宋体" w:eastAsia="宋体" w:cs="宋体"/>
          <w:color w:val="auto"/>
          <w:szCs w:val="21"/>
          <w:highlight w:val="none"/>
        </w:rPr>
        <w:t xml:space="preserve">招标文件</w:t>
      </w:r>
      <w:r>
        <w:rPr>
          <w:rFonts w:hint="eastAsia" w:ascii="宋体" w:hAnsi="宋体" w:eastAsia="宋体" w:cs="宋体"/>
          <w:color w:val="auto"/>
          <w:szCs w:val="21"/>
          <w:highlight w:val="none"/>
          <w:lang w:val="zh-CN"/>
        </w:rPr>
        <w:t xml:space="preserve">要求实施项目，履行承诺，保证质量。</w:t>
      </w:r>
      <w:r/>
    </w:p>
    <w:p>
      <w:pPr>
        <w:ind w:firstLine="420"/>
        <w:spacing w:line="40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6.2</w:t>
      </w:r>
      <w:r>
        <w:rPr>
          <w:rFonts w:hint="eastAsia" w:ascii="宋体" w:hAnsi="宋体" w:eastAsia="宋体" w:cs="宋体"/>
          <w:color w:val="auto"/>
          <w:szCs w:val="21"/>
          <w:highlight w:val="none"/>
          <w:lang w:val="zh-CN"/>
        </w:rPr>
        <w:t xml:space="preserve">甲方</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本合同约定方式拨付乙方项目经费，乙方须向甲方提供正规收款票据。</w:t>
      </w:r>
      <w:r/>
    </w:p>
    <w:p>
      <w:pPr>
        <w:ind w:firstLine="420"/>
        <w:spacing w:line="400" w:lineRule="exact"/>
        <w:tabs>
          <w:tab w:val="left" w:pos="567"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6.3</w:t>
      </w:r>
      <w:r>
        <w:rPr>
          <w:rFonts w:hint="eastAsia" w:ascii="宋体" w:hAnsi="宋体" w:eastAsia="宋体" w:cs="宋体"/>
          <w:color w:val="auto"/>
          <w:szCs w:val="21"/>
          <w:highlight w:val="none"/>
          <w:lang w:val="zh-CN"/>
        </w:rPr>
        <w:t xml:space="preserve">乙方在项目实施周期内接受甲方委托的第三方监管和评估，并向第三方提交监管和评估所需的所有项目信息和资料。</w:t>
      </w:r>
      <w:r/>
    </w:p>
    <w:p>
      <w:pPr>
        <w:ind w:firstLine="420"/>
        <w:spacing w:line="400" w:lineRule="exact"/>
        <w:tabs>
          <w:tab w:val="left" w:pos="567"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6.4</w:t>
      </w:r>
      <w:r>
        <w:rPr>
          <w:rFonts w:hint="eastAsia" w:ascii="宋体" w:hAnsi="宋体" w:eastAsia="宋体" w:cs="宋体"/>
          <w:color w:val="auto"/>
          <w:szCs w:val="21"/>
          <w:highlight w:val="none"/>
          <w:lang w:val="zh-CN"/>
        </w:rPr>
        <w:t xml:space="preserve">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p>
    <w:p>
      <w:pPr>
        <w:jc w:val="left"/>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、验收标准：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.1服务期限内递交的成果内容必须符合招标文件的有关要求和国家有关标准。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.2技术依据：为保证本项目实施的科学性、规范性和准确性，技术操作、服务需要严格遵照国家有关法律、法规、规章制度以及国家和行业颁布的相关技术标准和规范。</w:t>
      </w:r>
      <w:r/>
    </w:p>
    <w:p>
      <w:pPr>
        <w:jc w:val="left"/>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八</w:t>
      </w:r>
      <w:r>
        <w:rPr>
          <w:rFonts w:hint="eastAsia" w:ascii="宋体" w:hAnsi="宋体" w:eastAsia="宋体" w:cs="宋体"/>
          <w:b/>
          <w:color w:val="auto"/>
          <w:szCs w:val="21"/>
          <w:highlight w:val="none"/>
        </w:rPr>
        <w:t xml:space="preserve">、违约责任：</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.1甲方违约责任</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（1）在合同生效后，甲方无正当理由擅自解除本合同的，应向乙方偿付3000元的违约金，违约金不足以补偿损失的，乙方有权要求甲方补足。</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（2）如因甲方原因，造成乙方未完成规定管理目标或直接造成乙方经济损失的，甲方应给予乙方相应补偿；乙方有权要求甲方限期整改，并有权终止协议。</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.2乙方违约责任</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（1）乙方不能履行合同从而影响甲方按期实施的，甲方有权解除合同，乙方向甲方偿付3000元的违约金，违约金不足以补偿损失的甲方有权要求乙方补足。</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（2）乙方应制定相关的应急与安全保障措施，在服务过程中如发生安全等相关事件，责任由乙方承担。</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应按照甲方要求如期完成调查报告的出具，如因乙方自身原因迟延提供的，每逾期一天，应按照该单项委托费用的万分之二支付违约金，逾期超过10日的，甲方有权另行委托其他第三方完成，由此造成的损失概由乙方自行承担，相关费用甲方不予结算。</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因乙方编制的调查报告存在问题造成未通过专家评审或政府主管部门不认可的，甲方有权要求乙方限期整改，整改后仍未通过专家评审或政府主管部门不认可的，甲方有权终止合同，该项调查报告费用不予结算。</w:t>
      </w:r>
      <w:r/>
    </w:p>
    <w:p>
      <w:pPr>
        <w:jc w:val="left"/>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rPr>
        <w:t xml:space="preserve">、合同的生效及其他：</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.1合同生效</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本合同经招标代理机构加盖骑缝章，甲乙双方法定代表人或授权代表签字并加盖公章后生效，生效后经政府采购监管部门备案。</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.2其他 </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在执行过程中出现的未尽事宜，双方在不违背本合同和招标文件的原则下协商解决，协商结果以书面形式盖章记录在案，作为本合同的附件，与本合同具有同等效力，但需向政府采购管理处和招标代理机构备存。</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（2）合同附件：本合同附件、招标文件、乙方的投标文件和乙方在开标过程中所作的承诺以及中标通知书均作本合同的组成部分，与本合同具有同等的法律效力。</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（3）合同份数：合同份数：本合同一式陆份，甲乙双方各执两份，采购代理机构一份，政府采购管理部门一份。</w:t>
      </w:r>
      <w:r/>
    </w:p>
    <w:p>
      <w:pPr>
        <w:jc w:val="left"/>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十</w:t>
      </w:r>
      <w:r>
        <w:rPr>
          <w:rFonts w:hint="eastAsia" w:ascii="宋体" w:hAnsi="宋体" w:eastAsia="宋体" w:cs="宋体"/>
          <w:b/>
          <w:color w:val="auto"/>
          <w:szCs w:val="21"/>
          <w:highlight w:val="none"/>
        </w:rPr>
        <w:t xml:space="preserve">、合同的解除和转让：</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.1甲方和乙方协商一致，可以解除合同。</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.2有下列情形之一，合同一方可以解除合同：</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（1）因不可抗力致使不能实现合同目的，未受不可抗力影响的一方有权解除合同；</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（2）因合同一方违约导致合同不能履行，另一方有权解除合同。</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.3有权解除合同的一方，应当在违约事实或不可抗力发生之后三十天内书面通知对方提出解除合同，合同在书面通知到达对方时解除。</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4合同的部分和全部都不得转让。违反此约定的，甲方有权立即终止本合同，同时乙方按照合同总金额的20%承担相应违约金责任，违约金不足以补偿损失的，甲方有权要求乙方补足，包括但不限于调查费用、公证费用、诉讼费、律师费等费用。</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5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、不可抗力：</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400" w:lineRule="exact"/>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.2合同一方因不可抗力不能履行合同的，应当及时通知对方，以减轻可能给对方造成的损失，并应当在合理期限内提供证明。</w:t>
      </w:r>
      <w:r/>
    </w:p>
    <w:p>
      <w:pPr>
        <w:jc w:val="left"/>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十</w:t>
      </w:r>
      <w:r>
        <w:rPr>
          <w:rFonts w:hint="eastAsia" w:ascii="宋体" w:hAnsi="宋体" w:eastAsia="宋体" w:cs="宋体"/>
          <w:b/>
          <w:color w:val="auto"/>
          <w:szCs w:val="21"/>
          <w:highlight w:val="none"/>
          <w:lang w:val="en-US" w:eastAsia="zh-CN"/>
        </w:rPr>
        <w:t xml:space="preserve">二</w:t>
      </w:r>
      <w:r>
        <w:rPr>
          <w:rFonts w:hint="eastAsia" w:ascii="宋体" w:hAnsi="宋体" w:eastAsia="宋体" w:cs="宋体"/>
          <w:b/>
          <w:color w:val="auto"/>
          <w:szCs w:val="21"/>
          <w:highlight w:val="none"/>
        </w:rPr>
        <w:t xml:space="preserve">、争议处理：</w:t>
      </w:r>
      <w:r/>
    </w:p>
    <w:p>
      <w:pPr>
        <w:ind w:firstLine="420"/>
        <w:jc w:val="left"/>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双方因履行本协议产生纠纷的，应友好协商解决。协商不成的，任何一方均有权向甲方所在地有管辖权的人民法院提起诉讼。</w:t>
      </w:r>
      <w:r/>
    </w:p>
    <w:p>
      <w:pPr>
        <w:jc w:val="left"/>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十</w:t>
      </w: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、未尽事宜：</w:t>
      </w:r>
      <w:r/>
    </w:p>
    <w:p>
      <w:pPr>
        <w:pStyle w:val="710"/>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未尽事宜应按照《中华人民共和国民法典》、《中华人民共和国政府采购法》等相关法律法规之规定解释。</w:t>
      </w:r>
      <w:r/>
    </w:p>
    <w:tbl>
      <w:tblPr>
        <w:tblStyle w:val="709"/>
        <w:tblpPr w:horzAnchor="page" w:tblpX="1464" w:vertAnchor="text" w:tblpY="466" w:leftFromText="180" w:topFromText="0" w:rightFromText="180" w:bottomFromText="0"/>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6"/>
        </w:trPr>
        <w:tc>
          <w:tcPr>
            <w:tcW w:w="4786" w:type="dxa"/>
            <w:vAlign w:val="center"/>
            <w:textDirection w:val="lrTb"/>
            <w:noWrap w:val="false"/>
          </w:tcPr>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甲方（盖章）：</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w:t>
            </w:r>
            <w:r/>
          </w:p>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经办人：</w:t>
            </w:r>
            <w:r/>
          </w:p>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签署日期：</w:t>
            </w:r>
            <w:r/>
          </w:p>
        </w:tc>
        <w:tc>
          <w:tcPr>
            <w:tcW w:w="4678"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乙方（盖章）：</w:t>
            </w:r>
            <w:r/>
          </w:p>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w:t>
            </w:r>
            <w:r/>
          </w:p>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经办人：</w:t>
            </w:r>
            <w:r/>
          </w:p>
          <w:p>
            <w:p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签署日期：</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w:t>
      </w:r>
      <w:r/>
    </w:p>
    <w:tbl>
      <w:tblPr>
        <w:tblStyle w:val="70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716"/>
              <w:ind w:lef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政府采购合同信用融资政策告知函</w:t>
            </w:r>
            <w:r/>
          </w:p>
          <w:p>
            <w:pPr>
              <w:pStyle w:val="716"/>
              <w:ind w:left="0"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各政府采购供应商:</w:t>
            </w:r>
            <w:r/>
          </w:p>
          <w:p>
            <w:pPr>
              <w:pStyle w:val="716"/>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欢迎贵公司参加苏州市政府采购活动！</w:t>
            </w:r>
            <w:r/>
          </w:p>
          <w:p>
            <w:pPr>
              <w:pStyle w:val="716"/>
              <w:ind w:left="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3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00" w:lineRule="exact"/>
        <w:rPr>
          <w:rFonts w:hint="eastAsia" w:ascii="宋体" w:hAnsi="宋体" w:eastAsia="宋体" w:cs="宋体"/>
          <w:b/>
          <w:color w:val="auto"/>
          <w:sz w:val="32"/>
          <w:szCs w:val="32"/>
          <w:highlight w:val="none"/>
        </w:rPr>
      </w:pPr>
      <w:r>
        <w:rPr>
          <w:rFonts w:hint="eastAsia" w:ascii="宋体" w:hAnsi="宋体" w:eastAsia="宋体" w:cs="宋体"/>
          <w:color w:val="auto"/>
          <w:highlight w:val="none"/>
        </w:rPr>
        <w:br w:type="page" w:clear="all"/>
      </w:r>
      <w:r>
        <w:rPr>
          <w:rStyle w:val="925"/>
          <w:rFonts w:hint="eastAsia" w:ascii="宋体" w:hAnsi="宋体" w:eastAsia="宋体" w:cs="宋体"/>
          <w:color w:val="auto"/>
          <w:sz w:val="32"/>
          <w:szCs w:val="32"/>
          <w:highlight w:val="none"/>
        </w:rPr>
        <w:t xml:space="preserve">             第六章  评标办法和评分标准</w:t>
      </w:r>
      <w:r/>
    </w:p>
    <w:p>
      <w:pPr>
        <w:contextualSpacing/>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一、</w:t>
      </w:r>
      <w:bookmarkStart w:id="37" w:name="_Toc17476"/>
      <w:r/>
      <w:bookmarkStart w:id="38" w:name="_Toc16264"/>
      <w:r/>
      <w:bookmarkStart w:id="39" w:name="_Toc698"/>
      <w:r>
        <w:rPr>
          <w:rFonts w:hint="eastAsia" w:ascii="宋体" w:hAnsi="宋体" w:eastAsia="宋体" w:cs="宋体"/>
          <w:b/>
          <w:color w:val="auto"/>
          <w:szCs w:val="21"/>
          <w:highlight w:val="none"/>
        </w:rPr>
        <w:t xml:space="preserve">评标办法：</w:t>
      </w:r>
      <w:bookmarkEnd w:id="37"/>
      <w:r/>
      <w:bookmarkEnd w:id="38"/>
      <w:r/>
      <w:bookmarkEnd w:id="39"/>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1.评标办法采用综合评分法。评标结果按评审后得分由高到低顺序排列。本次</w:t>
      </w:r>
      <w:r>
        <w:rPr>
          <w:rFonts w:hint="eastAsia" w:ascii="宋体" w:hAnsi="宋体" w:eastAsia="宋体" w:cs="宋体"/>
          <w:color w:val="auto"/>
          <w:szCs w:val="21"/>
          <w:highlight w:val="none"/>
          <w:lang w:eastAsia="zh-CN"/>
        </w:rPr>
        <w:t xml:space="preserve">2024-2026年苏州科技城土壤环境调查及地下水检测年度服务第二批次</w:t>
      </w:r>
      <w:r>
        <w:rPr>
          <w:rFonts w:hint="eastAsia" w:ascii="宋体" w:hAnsi="宋体" w:eastAsia="宋体" w:cs="宋体"/>
          <w:color w:val="auto"/>
          <w:szCs w:val="21"/>
          <w:highlight w:val="none"/>
        </w:rPr>
        <w:t xml:space="preserve">共计</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个标段，各标段投标文件满足招标文件全部实质性要求的供应商少于3 家时，则该标段采购失败。各投标人在</w:t>
      </w:r>
      <w:r>
        <w:rPr>
          <w:rFonts w:hint="eastAsia" w:ascii="宋体" w:hAnsi="宋体" w:eastAsia="宋体" w:cs="宋体"/>
          <w:color w:val="auto"/>
          <w:szCs w:val="21"/>
          <w:highlight w:val="none"/>
          <w:lang w:eastAsia="zh-CN"/>
        </w:rPr>
        <w:t xml:space="preserve">2024-2026年苏州科技城土壤环境调查及地下水检测年度服务第二批次</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个标段）中，中标标段最多允许中一个标段，已在前期某标段评审中中标的供应商，不再具有其他标段的得标权，也不计入之后开标标段的实质性投标单位数量内。得分相同的，按投标报价由低到高顺序排列。得分且投标报价相同的并列，则由采购代理机构组织抽签确定中标人。投标文件满足招标文件全部实质性要求，且按照评审因素的量化指标评审得分最高的投标人为排名第一的中标候选人。</w:t>
      </w:r>
      <w:r/>
    </w:p>
    <w:p>
      <w:pPr>
        <w:pStyle w:val="933"/>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2.本项目开评标顺序：按照一标段到二标段的顺序依次进行开评标。</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评标时，评标委员会成员按照标段顺序，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4.评标委员会根据采购人的授权，按照中标候选人的顺序在中标候选人中直接确定中标供应商。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5.针对中小型企业、残疾人福利企业和监狱企业的评审：</w:t>
      </w:r>
      <w:r/>
    </w:p>
    <w:p>
      <w:pPr>
        <w:pStyle w:val="710"/>
        <w:ind w:firstLine="42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auto"/>
          <w:sz w:val="21"/>
          <w:szCs w:val="21"/>
          <w:highlight w:val="none"/>
        </w:rPr>
        <w:t xml:space="preserve">20%</w:t>
      </w:r>
      <w:r>
        <w:rPr>
          <w:rFonts w:hint="eastAsia" w:ascii="宋体" w:hAnsi="宋体" w:eastAsia="宋体" w:cs="宋体"/>
          <w:color w:val="auto"/>
          <w:sz w:val="21"/>
          <w:szCs w:val="21"/>
          <w:highlight w:val="none"/>
        </w:rPr>
        <w:t xml:space="preserve">的扣除，用扣除后的价格参与评审。</w:t>
      </w:r>
      <w:r/>
    </w:p>
    <w:p>
      <w:pPr>
        <w:pStyle w:val="710"/>
        <w:ind w:firstLine="42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（2）如扣除后的价格为最低价的，则作为评标基准价，中标金额则以实际投标报价为准。</w:t>
      </w:r>
      <w:r/>
    </w:p>
    <w:p>
      <w:pPr>
        <w:pStyle w:val="710"/>
        <w:ind w:firstLine="42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（3）残疾人福利企业和监狱企业属于小型、微型企业的，不重复享受政策。</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（4）小微企业提供《中小企业声明函》；监狱企业提供由省级以上监狱管理局、戒毒管理局（含新疆生产建</w:t>
      </w:r>
      <w:r>
        <w:rPr>
          <w:rFonts w:hint="eastAsia" w:ascii="宋体" w:hAnsi="宋体" w:eastAsia="宋体" w:cs="宋体"/>
          <w:color w:val="auto"/>
          <w:szCs w:val="21"/>
          <w:highlight w:val="none"/>
        </w:rPr>
        <w:t xml:space="preserve">设兵团）出具的属于监狱企业的证明文件；残疾人福利性单位提供《残疾人福利性单位声明函》。</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注：</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①填报“中小企业声明函”需严格按《关于印发中小企业划型标准规定的通知》（工信部联企业〔2011〕300号）进行。</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②若供应商提供的声明函或认定证明为虚假材料，按“政府采购法”相关规定处理并报请政府监管部门给予行政处罚。</w:t>
      </w:r>
      <w:r/>
    </w:p>
    <w:p>
      <w:pPr>
        <w:ind w:firstLine="422"/>
        <w:spacing w:line="40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③若为专门面向中小企业采购的项目或者采购包，不再执行价格评审优惠的扶持政策。</w:t>
      </w:r>
      <w:r/>
    </w:p>
    <w:p>
      <w:pPr>
        <w:ind w:firstLine="422"/>
        <w:spacing w:line="40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④中小企业依据预留项目和价格扣除等优惠政策获取政府采购合同后，小型、微型企业不得分包或转包给大型、中型企业，中型企业不得分包或转包给大型企业。</w:t>
      </w:r>
      <w:r/>
    </w:p>
    <w:p>
      <w:pPr>
        <w:contextualSpacing/>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二、评分标准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(一）价格分(10分)</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第一步：投标报价低于或等于财政预算价格的，为有效投标报价。超财政预算的投标报价为无效投标报价。</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第二步：在所有有效投标报价中满足招标文件要求，且投标价格最低</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优惠力度最大</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Cs w:val="21"/>
          <w:highlight w:val="none"/>
        </w:rPr>
        <w:t xml:space="preserve">的投标报价为评标基准价，其他投标人的价格分按照下列公式计算（计算结果四舍五入保留两位小数）。</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评标基准价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×10％×100</w:t>
      </w:r>
      <w:r/>
    </w:p>
    <w:p>
      <w:pPr>
        <w:ind w:firstLine="482"/>
        <w:keepLines w:val="0"/>
        <w:keepNext w:val="0"/>
        <w:pageBreakBefore w:val="0"/>
        <w:spacing w:line="400" w:lineRule="exact"/>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注：本项目采用优惠率报价。优惠率即为下浮率。（举例：若优惠率（下浮率）为20%，则“苏采云”系统填报优惠率为20%。）</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（二）技术服务方案（55分）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1、项目实施管理方案（40分）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（1）历史资料收集组织实施方案（5分）：方案完整、措施合理得5分；方案基本完整、措施尚可行得3分；方案一般、措施不佳得1分；未提供不得分。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（2）现场踏勘组织实施方案（5分）：方案完整、合理可行得5分；方案较完整、基本可行得3分；方案一般得1分；未提供不得分。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（3）人员访谈组织实施方案（5分）：措施得当、合理可行得5分；措施较得当、较合理可行得3分；措施基本可行得1分；未提供不得分。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（4）土壤及地下水采样组织实施方案（5分）：方案具有针对性、操作流程清晰、明确、科学完善的得5分；方案较有针对性、描述较清晰、操作性不强的得3分；方案一般、操作性一般得1分；未提供不得分。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土壤及地下水样品实验室分析检测组织实施方案（5分）：方案具有针对性、业务流程清晰、明确、科学完善的得5分；方案较简单、描述不够清晰、操作性不强的得3分；方案一般、操作性差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（6）质量保障措施（5分）：满足本项目服务期限要求、提供技术支持、对本项目的服务方式、响应时间有承诺及措施的得5分；方案简单、基本可行的得3分；方案一般、操作性一般得1分；未提供不得分。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（7）调查评估报告编制框架（5分）：框架完整正确得5分；框架较完整的得3分；框架基本可行得1分；未提供不得分。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（8）调查安全保证措施（5分）：措施合理可行得5分；措施较合理可行的得3分；措施基本可行得1分；未提供不得分。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2、调查工作组织计划（5分）：制定的工作计划安排合理得5分；工作计划安排较合理的得3分；工作计划安排基本可行得1分；未提供不得分。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3、调查过程中突发事件应急预案（5分）：制定的应急预案科学、合理、可行的得5分；应急预案较科学、合理、尚可行的得3分；应急预案基本科学、合理、可行性一般的得1分；未提供不得分。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4、对项目重点难点分析及合理化建议(5分)：对本项目的重点难点分析及提出的合理化建议考虑周到、可行性好的得5分；考虑较为周到、可行性较好的得3分；考虑不全、可行性一般的得1分；未提供不得分。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（三）人员配备：22分</w:t>
      </w:r>
      <w:r/>
    </w:p>
    <w:p>
      <w:pPr>
        <w:ind w:firstLine="420"/>
        <w:spacing w:line="400" w:lineRule="exact"/>
        <w:rPr>
          <w:rFonts w:hint="eastAsia" w:ascii="宋体" w:hAnsi="宋体" w:eastAsia="宋体" w:cs="宋体"/>
          <w:strike w:val="0"/>
          <w:color w:val="auto"/>
          <w:szCs w:val="21"/>
          <w:highlight w:val="none"/>
        </w:rPr>
      </w:pPr>
      <w:r>
        <w:rPr>
          <w:rFonts w:hint="eastAsia" w:ascii="宋体" w:hAnsi="宋体" w:eastAsia="宋体" w:cs="宋体"/>
          <w:bCs/>
          <w:strike w:val="0"/>
          <w:color w:val="auto"/>
          <w:szCs w:val="21"/>
          <w:highlight w:val="none"/>
        </w:rPr>
        <w:t xml:space="preserve">1、</w:t>
      </w:r>
      <w:r>
        <w:rPr>
          <w:rFonts w:hint="eastAsia" w:ascii="宋体" w:hAnsi="宋体" w:eastAsia="宋体" w:cs="宋体"/>
          <w:strike w:val="0"/>
          <w:color w:val="auto"/>
          <w:szCs w:val="21"/>
          <w:highlight w:val="none"/>
        </w:rPr>
        <w:t xml:space="preserve">项目负责人具有环保类或土壤类或化学类或地质类本科学历的得0.5分，具有环保类或土壤类或化学类或地质类硕士及以上学历的得1分。本项最高得1分。【投标文件中提供学历证书复印件或学信网学历证明截图，并同时投标人为其缴纳的近一个月的社保证明复印件，否则不得分。】</w:t>
      </w:r>
      <w:r/>
    </w:p>
    <w:p>
      <w:pPr>
        <w:ind w:firstLine="420"/>
        <w:spacing w:line="400" w:lineRule="exact"/>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lang w:val="en-US" w:eastAsia="zh-CN"/>
        </w:rPr>
        <w:t xml:space="preserve">2、</w:t>
      </w:r>
      <w:r>
        <w:rPr>
          <w:rFonts w:hint="eastAsia" w:ascii="宋体" w:hAnsi="宋体" w:eastAsia="宋体" w:cs="宋体"/>
          <w:strike w:val="0"/>
          <w:color w:val="auto"/>
          <w:szCs w:val="21"/>
          <w:highlight w:val="none"/>
        </w:rPr>
        <w:t xml:space="preserve">项目负责人具有环保类或土壤类或化学类或地质类工程师职称的得2分，具有环保类或土壤类或化学类或地质类高级工程师及以上职称的得3分。本项最高得3分。【投标文件中提供职称证书复印件，否则不得分。】</w:t>
      </w:r>
      <w:r/>
    </w:p>
    <w:p>
      <w:pPr>
        <w:ind w:firstLine="420"/>
        <w:spacing w:line="400" w:lineRule="exact"/>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lang w:val="en-US" w:eastAsia="zh-CN"/>
        </w:rPr>
        <w:t xml:space="preserve">3、</w:t>
      </w:r>
      <w:r>
        <w:rPr>
          <w:rFonts w:hint="eastAsia" w:ascii="宋体" w:hAnsi="宋体" w:eastAsia="宋体" w:cs="宋体"/>
          <w:strike w:val="0"/>
          <w:color w:val="auto"/>
          <w:szCs w:val="21"/>
          <w:highlight w:val="none"/>
        </w:rPr>
        <w:t xml:space="preserve">技术负责人具有环保类或土壤类或化学类或地质类本科学历的得0.5分，具有环保类或土壤类或化学类或地质类硕士及以上学历的得1分。本项最高得1分。【投标文件中提供学历证书复印件或学信网学历证明截图，并同时投标人为其缴纳的近一个月的社保证明复印件，否则不得分。】</w:t>
      </w:r>
      <w:r/>
    </w:p>
    <w:p>
      <w:pPr>
        <w:ind w:firstLine="420"/>
        <w:spacing w:line="400" w:lineRule="exact"/>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lang w:val="en-US" w:eastAsia="zh-CN"/>
        </w:rPr>
        <w:t xml:space="preserve">4、</w:t>
      </w:r>
      <w:r>
        <w:rPr>
          <w:rFonts w:hint="eastAsia" w:ascii="宋体" w:hAnsi="宋体" w:eastAsia="宋体" w:cs="宋体"/>
          <w:strike w:val="0"/>
          <w:color w:val="auto"/>
          <w:szCs w:val="21"/>
          <w:highlight w:val="none"/>
        </w:rPr>
        <w:t xml:space="preserve">技术负责人具有环保类或土壤类或化学类或地质类工程师及以上职称的得2分。本项最高得2分。【投标文件中提供职称证书复印件，否则不得分。】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strike w:val="0"/>
          <w:color w:val="auto"/>
          <w:szCs w:val="21"/>
          <w:highlight w:val="none"/>
          <w:lang w:val="en-US" w:eastAsia="zh-CN"/>
        </w:rPr>
        <w:t xml:space="preserve">5、</w:t>
      </w:r>
      <w:r>
        <w:rPr>
          <w:rFonts w:hint="eastAsia" w:ascii="宋体" w:hAnsi="宋体" w:eastAsia="宋体" w:cs="宋体"/>
          <w:strike w:val="0"/>
          <w:color w:val="auto"/>
          <w:szCs w:val="21"/>
          <w:highlight w:val="none"/>
        </w:rPr>
        <w:t xml:space="preserve">项目组成员（除项目负责人</w:t>
      </w:r>
      <w:r>
        <w:rPr>
          <w:rFonts w:hint="eastAsia" w:ascii="宋体" w:hAnsi="宋体" w:eastAsia="宋体" w:cs="宋体"/>
          <w:strike w:val="0"/>
          <w:color w:val="auto"/>
          <w:szCs w:val="21"/>
          <w:highlight w:val="none"/>
        </w:rPr>
        <w:t xml:space="preserve">及技术负责人以外）</w:t>
      </w:r>
      <w:r>
        <w:rPr>
          <w:rFonts w:hint="eastAsia" w:ascii="宋体" w:hAnsi="宋体" w:eastAsia="宋体" w:cs="宋体"/>
          <w:strike w:val="0"/>
          <w:color w:val="auto"/>
          <w:szCs w:val="21"/>
          <w:highlight w:val="none"/>
        </w:rPr>
        <w:t xml:space="preserve">具有环保类或土壤类或化学类或地质类本科学历的得0.5分，具有环保类或土壤类或化学类或地质类硕士及以上学历的得1分。本项最高得5分。【投标文件中提供学历证书复印件或学信网学历证明截图，并同时投标人为其缴纳的近一个</w:t>
      </w:r>
      <w:r>
        <w:rPr>
          <w:rFonts w:hint="eastAsia" w:ascii="宋体" w:hAnsi="宋体" w:eastAsia="宋体" w:cs="宋体"/>
          <w:color w:val="auto"/>
          <w:szCs w:val="21"/>
          <w:highlight w:val="none"/>
        </w:rPr>
        <w:t xml:space="preserve">月的社保证明复印件，否则不得分。】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项目组成员（除项目负责人及技术负责人以外）具有环保类或土壤类或化学类或地质类工程师及以上职称的得2分。本项最高</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分。【投标文件中提供职称证书复印件，并同时投标人为其缴纳的近一个月的社保证明复印件，否则不得分。】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（四）投标单位投入设备：2分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1、投标单位具有X射线荧光光谱仪（XRF）现场快速检测设备的，每提供一台得0.5分。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2、投标单位具有光离子化检测仪（PID）现场快速检测设备的，每提供一台得0.5分。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3、投标单位具有航拍无人飞机的，每提供一台得0.5分。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4、投标单位具有精确定位设备（RTK）的，每提供一台得0.5分。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注：投标时设备可自有或已租赁，也可以承诺中标后购买或租赁，投标文件中须提供设备清单。如出现2家及以上的投标单位投标文件中提供的自有或租赁的设备为同一单位租赁的，则该投</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标单位的相关项均不得分。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①设备为自有的，投标文件中须提供购买发票复印件。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②设备为已租赁的，投标文件中须提供投标单位的租赁协议及租赁费用发票复印件。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③承诺中标后购买或租赁的，需在投标文件中提供承诺函，否则不予认可。</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（五）综合实力：11分</w:t>
      </w:r>
      <w:r/>
    </w:p>
    <w:p>
      <w:pPr>
        <w:ind w:firstLine="420"/>
        <w:spacing w:line="400" w:lineRule="exact"/>
        <w:rPr>
          <w:rFonts w:hint="eastAsia" w:ascii="宋体" w:hAnsi="宋体" w:cs="宋体"/>
          <w:color w:val="auto"/>
          <w:spacing w:val="4"/>
          <w:szCs w:val="21"/>
          <w:highlight w:val="none"/>
        </w:rPr>
      </w:pPr>
      <w:r>
        <w:rPr>
          <w:rFonts w:hint="eastAsia" w:ascii="宋体" w:hAnsi="宋体" w:cs="宋体"/>
          <w:color w:val="auto"/>
          <w:spacing w:val="4"/>
          <w:szCs w:val="21"/>
          <w:highlight w:val="none"/>
        </w:rPr>
        <w:t xml:space="preserve">1、投标单位具有质量管理体系认证证书、环境管理体系认证证书、职业健康安全管理体系认证证书，每有一项得1分，最高得3分。【</w:t>
      </w:r>
      <w:r>
        <w:rPr>
          <w:rFonts w:hint="eastAsia" w:ascii="宋体" w:hAnsi="宋体" w:cs="宋体"/>
          <w:color w:val="auto"/>
          <w:spacing w:val="4"/>
          <w:szCs w:val="21"/>
          <w:highlight w:val="none"/>
          <w:lang w:val="en-US" w:eastAsia="zh-CN"/>
        </w:rPr>
        <w:t xml:space="preserve">投标</w:t>
      </w:r>
      <w:bookmarkStart w:id="40" w:name="_GoBack"/>
      <w:r/>
      <w:bookmarkEnd w:id="40"/>
      <w:r>
        <w:rPr>
          <w:rFonts w:hint="eastAsia" w:ascii="宋体" w:hAnsi="宋体" w:cs="宋体"/>
          <w:color w:val="auto"/>
          <w:spacing w:val="4"/>
          <w:szCs w:val="21"/>
          <w:highlight w:val="none"/>
        </w:rPr>
        <w:t xml:space="preserve">文件中提供证书</w:t>
      </w:r>
      <w:r>
        <w:rPr>
          <w:rFonts w:hint="eastAsia" w:ascii="宋体" w:hAnsi="宋体" w:cs="宋体"/>
          <w:color w:val="auto"/>
          <w:spacing w:val="4"/>
          <w:szCs w:val="21"/>
          <w:highlight w:val="none"/>
          <w:lang w:val="en-US" w:eastAsia="zh-CN"/>
        </w:rPr>
        <w:t xml:space="preserve">复印</w:t>
      </w:r>
      <w:r>
        <w:rPr>
          <w:rFonts w:hint="eastAsia" w:ascii="宋体" w:hAnsi="宋体" w:cs="宋体"/>
          <w:color w:val="auto"/>
          <w:spacing w:val="4"/>
          <w:szCs w:val="21"/>
          <w:highlight w:val="none"/>
        </w:rPr>
        <w:t xml:space="preserve">件</w:t>
      </w:r>
      <w:r>
        <w:rPr>
          <w:rFonts w:hint="eastAsia" w:ascii="宋体" w:hAnsi="宋体" w:cs="宋体"/>
          <w:b/>
          <w:bCs/>
          <w:color w:val="auto"/>
          <w:spacing w:val="4"/>
          <w:szCs w:val="21"/>
          <w:highlight w:val="none"/>
        </w:rPr>
        <w:t xml:space="preserve">及</w:t>
      </w:r>
      <w:r>
        <w:rPr>
          <w:rFonts w:hint="eastAsia" w:ascii="宋体" w:hAnsi="宋体" w:cs="宋体"/>
          <w:color w:val="auto"/>
          <w:szCs w:val="21"/>
          <w:highlight w:val="none"/>
        </w:rPr>
        <w:t xml:space="preserve">全国认证认可信息公共服务平台查询截图</w:t>
      </w:r>
      <w:r>
        <w:rPr>
          <w:rFonts w:hint="eastAsia" w:ascii="宋体" w:hAnsi="宋体" w:cs="宋体"/>
          <w:color w:val="auto"/>
          <w:spacing w:val="4"/>
          <w:szCs w:val="21"/>
          <w:highlight w:val="none"/>
          <w:lang w:val="zh-CN" w:bidi="ar"/>
        </w:rPr>
        <w:t xml:space="preserve">，</w:t>
      </w:r>
      <w:r>
        <w:rPr>
          <w:rFonts w:hint="eastAsia" w:ascii="宋体" w:hAnsi="宋体" w:cs="宋体"/>
          <w:color w:val="auto"/>
          <w:spacing w:val="4"/>
          <w:szCs w:val="21"/>
          <w:highlight w:val="none"/>
        </w:rPr>
        <w:t xml:space="preserve">否则不得分。】</w:t>
      </w:r>
      <w:r/>
    </w:p>
    <w:p>
      <w:pPr>
        <w:ind w:firstLine="420"/>
        <w:spacing w:line="400" w:lineRule="exact"/>
        <w:rPr>
          <w:rFonts w:hint="eastAsia" w:ascii="宋体" w:hAnsi="宋体" w:eastAsia="宋体" w:cs="宋体"/>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投标单位自2021年1月1日以来</w:t>
      </w:r>
      <w:r>
        <w:rPr>
          <w:rFonts w:hint="eastAsia" w:ascii="宋体" w:hAnsi="宋体" w:eastAsia="宋体" w:cs="宋体"/>
          <w:color w:val="auto"/>
          <w:szCs w:val="21"/>
          <w:highlight w:val="none"/>
        </w:rPr>
        <w:t xml:space="preserve">（以合同签订日期为准）已独立履约完成的类似项目业绩</w:t>
      </w:r>
      <w:r>
        <w:rPr>
          <w:rFonts w:hint="eastAsia" w:ascii="宋体" w:hAnsi="宋体" w:eastAsia="宋体" w:cs="宋体"/>
          <w:bCs/>
          <w:color w:val="auto"/>
          <w:szCs w:val="21"/>
          <w:highlight w:val="none"/>
        </w:rPr>
        <w:t xml:space="preserve">，每项业绩得2分，最高8分。【投标文件中须提供完整的业绩证明材料，包括合同或</w:t>
      </w:r>
      <w:r>
        <w:rPr>
          <w:rFonts w:hint="eastAsia" w:ascii="宋体" w:hAnsi="宋体" w:eastAsia="宋体" w:cs="宋体"/>
          <w:color w:val="auto"/>
          <w:szCs w:val="21"/>
          <w:highlight w:val="none"/>
        </w:rPr>
        <w:t xml:space="preserve">委托单复印件及专家评审及复核通过意见等能证明项目已经履约完成的证明材料复印件</w:t>
      </w:r>
      <w:r>
        <w:rPr>
          <w:rFonts w:hint="eastAsia" w:ascii="宋体" w:hAnsi="宋体" w:eastAsia="宋体" w:cs="宋体"/>
          <w:bCs/>
          <w:color w:val="auto"/>
          <w:szCs w:val="21"/>
          <w:highlight w:val="none"/>
        </w:rPr>
        <w:t xml:space="preserve">，否则不得分。】</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2.投标文件中如出现前后不一致时，评委有权请投标人澄清说明，澄清说明事项涉及评分时，评委有权酌情扣分。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93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firstLine="422"/>
        <w:jc w:val="right"/>
        <w:spacing w:line="400" w:lineRule="exact"/>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（全文完）</w:t>
      </w:r>
      <w:r/>
    </w:p>
    <w:p>
      <w:pPr>
        <w:pStyle w:val="739"/>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9"/>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417" w:bottom="132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仿宋_GB2312">
    <w:panose1 w:val="02010609060101010101"/>
  </w:font>
  <w:font w:name="楷体_GB2312">
    <w:panose1 w:val="02010609060101010101"/>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etween w:val="none" w:color="000000" w:sz="0" w:space="0"/>
      </w:pBdr>
      <w:framePr w:wrap="around" w:vAnchor="text" w:hAnchor="margin" w:xAlign="center" w:y="1"/>
    </w:pPr>
    <w:r/>
    <w:r/>
  </w:p>
  <w:p>
    <w:pPr>
      <w:pStyle w:val="912"/>
      <w:pBdr>
        <w:between w:val="none" w:color="000000" w:sz="0" w:space="0"/>
      </w:pBdr>
      <w:framePr w:wrap="around" w:vAnchor="text" w:hAnchor="page" w:x="3785" w:y="1"/>
    </w:pPr>
    <w:r/>
    <w:r/>
  </w:p>
  <w:p>
    <w:pPr>
      <w:pStyle w:val="91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ind w:firstLine="0"/>
                            <w:tabs>
                              <w:tab w:val="center" w:pos="4153" w:leader="none"/>
                              <w:tab w:val="right"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ind w:firstLine="0"/>
                      <w:tabs>
                        <w:tab w:val="center" w:pos="4153" w:leader="none"/>
                        <w:tab w:val="right"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8"/>
        <w:ind w:firstLine="0"/>
        <w:spacing w:line="240" w:lineRule="auto"/>
        <w:rPr>
          <w:rFonts w:ascii="宋体" w:hAnsi="宋体"/>
          <w:color w:val="000000"/>
        </w:rPr>
      </w:pPr>
      <w:r>
        <w:rPr>
          <w:rFonts w:hint="eastAsia" w:ascii="宋体" w:hAnsi="宋体"/>
          <w:color w:val="000000"/>
        </w:rPr>
        <w:footnoteRef/>
      </w:r>
      <w:r>
        <w:rPr>
          <w:rFonts w:hint="eastAsia" w:ascii="宋体" w:hAnsi="宋体"/>
          <w:color w:val="000000"/>
        </w:rPr>
        <w:t xml:space="preserve">备注：1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8"/>
        <w:ind w:firstLine="632"/>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w:t>
      </w:r>
      <w:r>
        <w:rPr>
          <w:rFonts w:hint="eastAsia" w:ascii="宋体" w:hAnsi="宋体"/>
        </w:rPr>
        <w:t xml:space="preserve">劳动合同法》订</w:t>
      </w:r>
      <w:r>
        <w:rPr>
          <w:rFonts w:hint="eastAsia" w:ascii="宋体" w:hAnsi="宋体"/>
          <w:color w:val="000000"/>
        </w:rPr>
        <w:t xml:space="preserve">立劳动合同的从业人员。</w:t>
      </w:r>
      <w:r/>
    </w:p>
    <w:p>
      <w:pPr>
        <w:pStyle w:val="918"/>
        <w:ind w:firstLine="632"/>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918"/>
        <w:ind w:firstLine="632"/>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如未对（中型企业、小型企业、微型企业）进行勾选，视同非小微企业，不可享受相应扶持政策。</w:t>
      </w:r>
      <w:r/>
    </w:p>
    <w:p>
      <w:pPr>
        <w:pStyle w:val="918"/>
        <w:ind w:firstLine="632"/>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944"/>
    <w:uiPriority w:val="0"/>
    <w:qFormat/>
    <w:pPr>
      <w:jc w:val="both"/>
      <w:widowControl w:val="off"/>
    </w:pPr>
    <w:rPr>
      <w:rFonts w:hint="default" w:ascii="Calibri" w:hAnsi="Calibri" w:eastAsia="宋体" w:cs="Times New Roman"/>
      <w:sz w:val="21"/>
      <w:szCs w:val="24"/>
      <w:lang w:val="en-US" w:eastAsia="zh-CN" w:bidi="ar-SA"/>
    </w:rPr>
  </w:style>
  <w:style w:type="paragraph" w:styleId="699">
    <w:name w:val="Heading 1"/>
    <w:basedOn w:val="698"/>
    <w:next w:val="698"/>
    <w:link w:val="740"/>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41"/>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2"/>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3"/>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4"/>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5"/>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7"/>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8"/>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段"/>
    <w:next w:val="698"/>
    <w:uiPriority w:val="0"/>
    <w:qFormat/>
    <w:pPr>
      <w:ind w:firstLine="200"/>
      <w:jc w:val="both"/>
      <w:spacing w:line="360" w:lineRule="auto"/>
    </w:pPr>
    <w:rPr>
      <w:rFonts w:hint="default" w:ascii="Times New Roman" w:hAnsi="Times New Roman" w:eastAsia="宋体" w:cs="Times New Roman"/>
      <w:sz w:val="24"/>
      <w:szCs w:val="22"/>
      <w:lang w:val="en-US" w:eastAsia="zh-CN" w:bidi="ar-SA"/>
    </w:rPr>
  </w:style>
  <w:style w:type="paragraph" w:styleId="711">
    <w:name w:val="toc 7"/>
    <w:basedOn w:val="698"/>
    <w:next w:val="698"/>
    <w:uiPriority w:val="39"/>
    <w:unhideWhenUsed/>
    <w:qFormat/>
    <w:pPr>
      <w:ind w:left="1701" w:right="0" w:firstLine="0"/>
      <w:spacing w:after="57"/>
    </w:pPr>
  </w:style>
  <w:style w:type="paragraph" w:styleId="712">
    <w:name w:val="Normal Indent"/>
    <w:basedOn w:val="698"/>
    <w:next w:val="698"/>
    <w:uiPriority w:val="0"/>
    <w:qFormat/>
    <w:pPr>
      <w:ind w:left="420" w:firstLine="4772"/>
    </w:pPr>
  </w:style>
  <w:style w:type="paragraph" w:styleId="713">
    <w:name w:val="Caption"/>
    <w:basedOn w:val="698"/>
    <w:next w:val="698"/>
    <w:uiPriority w:val="35"/>
    <w:semiHidden/>
    <w:unhideWhenUsed/>
    <w:qFormat/>
    <w:pPr>
      <w:spacing w:line="276" w:lineRule="auto"/>
    </w:pPr>
    <w:rPr>
      <w:b/>
      <w:bCs/>
      <w:color w:val="4f81bd" w:themeColor="accent1"/>
      <w:sz w:val="18"/>
      <w:szCs w:val="18"/>
    </w:rPr>
  </w:style>
  <w:style w:type="paragraph" w:styleId="714">
    <w:name w:val="annotation text"/>
    <w:basedOn w:val="698"/>
    <w:uiPriority w:val="99"/>
    <w:semiHidden/>
    <w:unhideWhenUsed/>
    <w:qFormat/>
    <w:pPr>
      <w:jc w:val="left"/>
    </w:pPr>
  </w:style>
  <w:style w:type="paragraph" w:styleId="715">
    <w:name w:val="Body Text Indent"/>
    <w:basedOn w:val="698"/>
    <w:next w:val="716"/>
    <w:uiPriority w:val="0"/>
    <w:qFormat/>
    <w:pPr>
      <w:ind w:left="420" w:firstLine="1188"/>
      <w:spacing w:line="360" w:lineRule="exact"/>
    </w:pPr>
    <w:rPr>
      <w:rFonts w:ascii="Times New Roman" w:hAnsi="Times New Roman" w:cs="Times New Roman"/>
    </w:rPr>
  </w:style>
  <w:style w:type="paragraph" w:styleId="716">
    <w:name w:val="Body Text First Indent 2"/>
    <w:basedOn w:val="715"/>
    <w:next w:val="712"/>
    <w:uiPriority w:val="0"/>
    <w:unhideWhenUsed/>
    <w:qFormat/>
    <w:pPr>
      <w:ind w:firstLine="420"/>
    </w:pPr>
  </w:style>
  <w:style w:type="paragraph" w:styleId="717">
    <w:name w:val="toc 5"/>
    <w:basedOn w:val="698"/>
    <w:next w:val="698"/>
    <w:uiPriority w:val="39"/>
    <w:unhideWhenUsed/>
    <w:qFormat/>
    <w:pPr>
      <w:ind w:left="1134" w:right="0" w:firstLine="0"/>
      <w:spacing w:after="57"/>
    </w:pPr>
  </w:style>
  <w:style w:type="paragraph" w:styleId="718">
    <w:name w:val="toc 3"/>
    <w:basedOn w:val="698"/>
    <w:next w:val="698"/>
    <w:uiPriority w:val="39"/>
    <w:unhideWhenUsed/>
    <w:qFormat/>
    <w:pPr>
      <w:ind w:left="567" w:right="0" w:firstLine="0"/>
      <w:spacing w:after="57"/>
    </w:pPr>
  </w:style>
  <w:style w:type="paragraph" w:styleId="719">
    <w:name w:val="toc 8"/>
    <w:basedOn w:val="698"/>
    <w:next w:val="698"/>
    <w:uiPriority w:val="39"/>
    <w:unhideWhenUsed/>
    <w:qFormat/>
    <w:pPr>
      <w:ind w:left="1984" w:right="0" w:firstLine="0"/>
      <w:spacing w:after="57"/>
    </w:pPr>
  </w:style>
  <w:style w:type="paragraph" w:styleId="720">
    <w:name w:val="endnote text"/>
    <w:basedOn w:val="698"/>
    <w:link w:val="886"/>
    <w:uiPriority w:val="99"/>
    <w:semiHidden/>
    <w:unhideWhenUsed/>
    <w:qFormat/>
    <w:pPr>
      <w:spacing w:after="0" w:line="240" w:lineRule="auto"/>
    </w:pPr>
    <w:rPr>
      <w:sz w:val="20"/>
    </w:rPr>
  </w:style>
  <w:style w:type="paragraph" w:styleId="721">
    <w:name w:val="Footer"/>
    <w:basedOn w:val="698"/>
    <w:link w:val="759"/>
    <w:uiPriority w:val="99"/>
    <w:unhideWhenUsed/>
    <w:qFormat/>
    <w:pPr>
      <w:spacing w:after="0" w:line="240" w:lineRule="auto"/>
      <w:tabs>
        <w:tab w:val="center" w:pos="7143" w:leader="none"/>
        <w:tab w:val="right" w:pos="14287" w:leader="none"/>
      </w:tabs>
    </w:pPr>
  </w:style>
  <w:style w:type="paragraph" w:styleId="722">
    <w:name w:val="Header"/>
    <w:basedOn w:val="698"/>
    <w:link w:val="757"/>
    <w:uiPriority w:val="99"/>
    <w:unhideWhenUsed/>
    <w:qFormat/>
    <w:pPr>
      <w:spacing w:after="0" w:line="240" w:lineRule="auto"/>
      <w:tabs>
        <w:tab w:val="center" w:pos="7143" w:leader="none"/>
        <w:tab w:val="right" w:pos="14287" w:leader="none"/>
      </w:tabs>
    </w:pPr>
  </w:style>
  <w:style w:type="paragraph" w:styleId="723">
    <w:name w:val="toc 1"/>
    <w:basedOn w:val="698"/>
    <w:next w:val="698"/>
    <w:uiPriority w:val="39"/>
    <w:unhideWhenUsed/>
    <w:qFormat/>
    <w:pPr>
      <w:ind w:left="0" w:right="0" w:firstLine="0"/>
      <w:spacing w:after="57"/>
    </w:pPr>
  </w:style>
  <w:style w:type="paragraph" w:styleId="724">
    <w:name w:val="toc 4"/>
    <w:basedOn w:val="698"/>
    <w:next w:val="698"/>
    <w:uiPriority w:val="39"/>
    <w:unhideWhenUsed/>
    <w:qFormat/>
    <w:pPr>
      <w:ind w:left="850" w:right="0" w:firstLine="0"/>
      <w:spacing w:after="57"/>
    </w:pPr>
  </w:style>
  <w:style w:type="paragraph" w:styleId="725">
    <w:name w:val="Subtitle"/>
    <w:basedOn w:val="698"/>
    <w:next w:val="698"/>
    <w:link w:val="752"/>
    <w:uiPriority w:val="11"/>
    <w:qFormat/>
    <w:pPr>
      <w:spacing w:before="200" w:after="200"/>
    </w:pPr>
    <w:rPr>
      <w:sz w:val="24"/>
      <w:szCs w:val="24"/>
    </w:rPr>
  </w:style>
  <w:style w:type="paragraph" w:styleId="726">
    <w:name w:val="footnote text"/>
    <w:basedOn w:val="698"/>
    <w:link w:val="885"/>
    <w:uiPriority w:val="99"/>
    <w:semiHidden/>
    <w:unhideWhenUsed/>
    <w:qFormat/>
    <w:pPr>
      <w:spacing w:after="40" w:line="240" w:lineRule="auto"/>
    </w:pPr>
    <w:rPr>
      <w:sz w:val="18"/>
    </w:rPr>
  </w:style>
  <w:style w:type="paragraph" w:styleId="727">
    <w:name w:val="toc 6"/>
    <w:basedOn w:val="698"/>
    <w:next w:val="698"/>
    <w:uiPriority w:val="39"/>
    <w:unhideWhenUsed/>
    <w:qFormat/>
    <w:pPr>
      <w:ind w:left="1417" w:right="0" w:firstLine="0"/>
      <w:spacing w:after="57"/>
    </w:pPr>
  </w:style>
  <w:style w:type="paragraph" w:styleId="728">
    <w:name w:val="table of figures"/>
    <w:basedOn w:val="698"/>
    <w:next w:val="698"/>
    <w:uiPriority w:val="99"/>
    <w:unhideWhenUsed/>
    <w:qFormat/>
    <w:pPr>
      <w:spacing w:after="0" w:afterAutospacing="0"/>
    </w:pPr>
  </w:style>
  <w:style w:type="paragraph" w:styleId="729">
    <w:name w:val="toc 2"/>
    <w:basedOn w:val="698"/>
    <w:next w:val="698"/>
    <w:uiPriority w:val="39"/>
    <w:unhideWhenUsed/>
    <w:qFormat/>
    <w:pPr>
      <w:ind w:left="283" w:right="0" w:firstLine="0"/>
      <w:spacing w:after="57"/>
    </w:pPr>
  </w:style>
  <w:style w:type="paragraph" w:styleId="730">
    <w:name w:val="toc 9"/>
    <w:basedOn w:val="698"/>
    <w:next w:val="698"/>
    <w:uiPriority w:val="39"/>
    <w:unhideWhenUsed/>
    <w:qFormat/>
    <w:pPr>
      <w:ind w:left="2268" w:right="0" w:firstLine="0"/>
      <w:spacing w:after="57"/>
    </w:pPr>
  </w:style>
  <w:style w:type="paragraph" w:styleId="731">
    <w:name w:val="Normal (Web)"/>
    <w:basedOn w:val="698"/>
    <w:uiPriority w:val="99"/>
    <w:semiHidden/>
    <w:unhideWhenUsed/>
    <w:qFormat/>
    <w:pPr>
      <w:ind w:left="0" w:right="0"/>
      <w:jc w:val="left"/>
      <w:spacing w:before="0" w:beforeAutospacing="1" w:after="0" w:afterAutospacing="1"/>
      <w:pBdr>
        <w:top w:val="none" w:color="auto" w:sz="0" w:space="0"/>
        <w:left w:val="none" w:color="auto" w:sz="0" w:space="0"/>
        <w:bottom w:val="none" w:color="auto" w:sz="0" w:space="0"/>
        <w:right w:val="none" w:color="auto" w:sz="0" w:space="0"/>
      </w:pBdr>
    </w:pPr>
    <w:rPr>
      <w:sz w:val="24"/>
      <w:lang w:val="en-US" w:eastAsia="zh-CN" w:bidi="ar"/>
    </w:rPr>
  </w:style>
  <w:style w:type="paragraph" w:styleId="732">
    <w:name w:val="Title"/>
    <w:basedOn w:val="698"/>
    <w:next w:val="698"/>
    <w:link w:val="751"/>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FollowedHyperlink"/>
    <w:basedOn w:val="708"/>
    <w:uiPriority w:val="99"/>
    <w:semiHidden/>
    <w:unhideWhenUsed/>
    <w:qFormat/>
    <w:rPr>
      <w:color w:val="333333"/>
      <w:u w:val="none"/>
    </w:rPr>
  </w:style>
  <w:style w:type="character" w:styleId="736">
    <w:name w:val="Emphasis"/>
    <w:basedOn w:val="708"/>
    <w:uiPriority w:val="20"/>
    <w:qFormat/>
  </w:style>
  <w:style w:type="character" w:styleId="737">
    <w:name w:val="Hyperlink"/>
    <w:uiPriority w:val="99"/>
    <w:unhideWhenUsed/>
    <w:qFormat/>
    <w:rPr>
      <w:color w:val="0000ff" w:themeColor="hyperlink"/>
      <w:u w:val="single"/>
    </w:rPr>
  </w:style>
  <w:style w:type="character" w:styleId="738">
    <w:name w:val="footnote reference"/>
    <w:uiPriority w:val="99"/>
    <w:unhideWhenUsed/>
    <w:qFormat/>
    <w:rPr>
      <w:vertAlign w:val="superscript"/>
    </w:rPr>
  </w:style>
  <w:style w:type="paragraph" w:styleId="739" w:customStyle="1">
    <w:name w:val="正文文本缩进1"/>
    <w:basedOn w:val="698"/>
    <w:next w:val="698"/>
    <w:uiPriority w:val="99"/>
    <w:unhideWhenUsed/>
    <w:qFormat/>
    <w:pPr>
      <w:ind w:left="420" w:firstLine="1188"/>
      <w:spacing w:line="360" w:lineRule="exact"/>
    </w:pPr>
    <w:rPr>
      <w:rFonts w:ascii="Times New Roman" w:hAnsi="Times New Roman" w:eastAsia="宋体" w:cs="Times New Roman"/>
    </w:rPr>
  </w:style>
  <w:style w:type="character" w:styleId="740" w:customStyle="1">
    <w:name w:val="Heading 1 Char"/>
    <w:link w:val="699"/>
    <w:uiPriority w:val="9"/>
    <w:qFormat/>
    <w:rPr>
      <w:rFonts w:ascii="Arial" w:hAnsi="Arial" w:eastAsia="Arial" w:cs="Arial"/>
      <w:sz w:val="40"/>
      <w:szCs w:val="40"/>
    </w:rPr>
  </w:style>
  <w:style w:type="character" w:styleId="741" w:customStyle="1">
    <w:name w:val="Heading 2 Char"/>
    <w:link w:val="700"/>
    <w:uiPriority w:val="9"/>
    <w:qFormat/>
    <w:rPr>
      <w:rFonts w:ascii="Arial" w:hAnsi="Arial" w:eastAsia="Arial" w:cs="Arial"/>
      <w:sz w:val="34"/>
    </w:rPr>
  </w:style>
  <w:style w:type="character" w:styleId="742" w:customStyle="1">
    <w:name w:val="Heading 3 Char"/>
    <w:link w:val="701"/>
    <w:uiPriority w:val="9"/>
    <w:qFormat/>
    <w:rPr>
      <w:rFonts w:ascii="Arial" w:hAnsi="Arial" w:eastAsia="Arial" w:cs="Arial"/>
      <w:sz w:val="30"/>
      <w:szCs w:val="30"/>
    </w:rPr>
  </w:style>
  <w:style w:type="character" w:styleId="743" w:customStyle="1">
    <w:name w:val="Heading 4 Char"/>
    <w:link w:val="702"/>
    <w:uiPriority w:val="9"/>
    <w:qFormat/>
    <w:rPr>
      <w:rFonts w:ascii="Arial" w:hAnsi="Arial" w:eastAsia="Arial" w:cs="Arial"/>
      <w:b/>
      <w:bCs/>
      <w:sz w:val="26"/>
      <w:szCs w:val="26"/>
    </w:rPr>
  </w:style>
  <w:style w:type="character" w:styleId="744" w:customStyle="1">
    <w:name w:val="Heading 5 Char"/>
    <w:link w:val="703"/>
    <w:uiPriority w:val="9"/>
    <w:qFormat/>
    <w:rPr>
      <w:rFonts w:ascii="Arial" w:hAnsi="Arial" w:eastAsia="Arial" w:cs="Arial"/>
      <w:b/>
      <w:bCs/>
      <w:sz w:val="24"/>
      <w:szCs w:val="24"/>
    </w:rPr>
  </w:style>
  <w:style w:type="character" w:styleId="745" w:customStyle="1">
    <w:name w:val="Heading 6 Char"/>
    <w:link w:val="704"/>
    <w:uiPriority w:val="9"/>
    <w:qFormat/>
    <w:rPr>
      <w:rFonts w:ascii="Arial" w:hAnsi="Arial" w:eastAsia="Arial" w:cs="Arial"/>
      <w:b/>
      <w:bCs/>
      <w:sz w:val="22"/>
      <w:szCs w:val="22"/>
    </w:rPr>
  </w:style>
  <w:style w:type="character" w:styleId="746" w:customStyle="1">
    <w:name w:val="Heading 7 Char"/>
    <w:link w:val="705"/>
    <w:uiPriority w:val="9"/>
    <w:qFormat/>
    <w:rPr>
      <w:rFonts w:ascii="Arial" w:hAnsi="Arial" w:eastAsia="Arial" w:cs="Arial"/>
      <w:b/>
      <w:bCs/>
      <w:i/>
      <w:iCs/>
      <w:sz w:val="22"/>
      <w:szCs w:val="22"/>
    </w:rPr>
  </w:style>
  <w:style w:type="character" w:styleId="747" w:customStyle="1">
    <w:name w:val="Heading 8 Char"/>
    <w:link w:val="706"/>
    <w:uiPriority w:val="9"/>
    <w:qFormat/>
    <w:rPr>
      <w:rFonts w:ascii="Arial" w:hAnsi="Arial" w:eastAsia="Arial" w:cs="Arial"/>
      <w:i/>
      <w:iCs/>
      <w:sz w:val="22"/>
      <w:szCs w:val="22"/>
    </w:rPr>
  </w:style>
  <w:style w:type="character" w:styleId="748" w:customStyle="1">
    <w:name w:val="Heading 9 Char"/>
    <w:link w:val="707"/>
    <w:uiPriority w:val="9"/>
    <w:qFormat/>
    <w:rPr>
      <w:rFonts w:ascii="Arial" w:hAnsi="Arial" w:eastAsia="Arial" w:cs="Arial"/>
      <w:i/>
      <w:iCs/>
      <w:sz w:val="21"/>
      <w:szCs w:val="21"/>
    </w:rPr>
  </w:style>
  <w:style w:type="paragraph" w:styleId="749">
    <w:name w:val="List Paragraph"/>
    <w:basedOn w:val="698"/>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2"/>
    <w:uiPriority w:val="10"/>
    <w:qFormat/>
    <w:rPr>
      <w:sz w:val="48"/>
      <w:szCs w:val="48"/>
    </w:rPr>
  </w:style>
  <w:style w:type="character" w:styleId="752" w:customStyle="1">
    <w:name w:val="Subtitle Char"/>
    <w:link w:val="725"/>
    <w:uiPriority w:val="11"/>
    <w:qFormat/>
    <w:rPr>
      <w:sz w:val="24"/>
      <w:szCs w:val="24"/>
    </w:rPr>
  </w:style>
  <w:style w:type="paragraph" w:styleId="753">
    <w:name w:val="Quote"/>
    <w:basedOn w:val="698"/>
    <w:next w:val="698"/>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98"/>
    <w:next w:val="698"/>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2"/>
    <w:uiPriority w:val="99"/>
    <w:qFormat/>
  </w:style>
  <w:style w:type="character" w:styleId="758" w:customStyle="1">
    <w:name w:val="Footer Char"/>
    <w:link w:val="721"/>
    <w:uiPriority w:val="99"/>
    <w:qFormat/>
  </w:style>
  <w:style w:type="character" w:styleId="759" w:customStyle="1">
    <w:name w:val="Caption Char"/>
    <w:link w:val="721"/>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6"/>
    <w:uiPriority w:val="99"/>
    <w:qFormat/>
    <w:rPr>
      <w:sz w:val="18"/>
    </w:rPr>
  </w:style>
  <w:style w:type="character" w:styleId="886" w:customStyle="1">
    <w:name w:val="Endnote Text Char"/>
    <w:link w:val="720"/>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698"/>
    <w:next w:val="698"/>
    <w:link w:val="895"/>
    <w:uiPriority w:val="9"/>
    <w:qFormat/>
    <w:pPr>
      <w:keepLines/>
      <w:keepNext/>
      <w:spacing w:before="340" w:after="330" w:line="578" w:lineRule="auto"/>
      <w:outlineLvl w:val="0"/>
    </w:pPr>
    <w:rPr>
      <w:rFonts w:eastAsia="宋体"/>
      <w:b/>
      <w:bCs/>
      <w:sz w:val="44"/>
      <w:szCs w:val="44"/>
    </w:rPr>
  </w:style>
  <w:style w:type="paragraph" w:styleId="889" w:customStyle="1">
    <w:name w:val="标题 21"/>
    <w:basedOn w:val="698"/>
    <w:next w:val="698"/>
    <w:link w:val="89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90" w:customStyle="1">
    <w:name w:val="标题 31"/>
    <w:basedOn w:val="698"/>
    <w:next w:val="891"/>
    <w:link w:val="897"/>
    <w:uiPriority w:val="9"/>
    <w:qFormat/>
    <w:pPr>
      <w:keepLines/>
      <w:keepNext/>
      <w:spacing w:before="260" w:after="260" w:line="416" w:lineRule="auto"/>
      <w:outlineLvl w:val="2"/>
    </w:pPr>
    <w:rPr>
      <w:rFonts w:ascii="Times New Roman" w:hAnsi="Times New Roman" w:eastAsia="宋体" w:cs="Times New Roman"/>
      <w:b/>
      <w:sz w:val="32"/>
      <w:szCs w:val="20"/>
    </w:rPr>
  </w:style>
  <w:style w:type="paragraph" w:styleId="891" w:customStyle="1">
    <w:name w:val="正文缩进1"/>
    <w:basedOn w:val="698"/>
    <w:next w:val="698"/>
    <w:link w:val="898"/>
    <w:uiPriority w:val="99"/>
    <w:unhideWhenUsed/>
    <w:qFormat/>
    <w:pPr>
      <w:ind w:firstLine="420"/>
      <w:jc w:val="left"/>
    </w:pPr>
    <w:rPr>
      <w:rFonts w:ascii="Times New Roman" w:hAnsi="Times New Roman" w:eastAsia="楷体_GB2312" w:cs="Times New Roman"/>
      <w:sz w:val="24"/>
      <w:szCs w:val="20"/>
    </w:rPr>
  </w:style>
  <w:style w:type="paragraph" w:styleId="892" w:customStyle="1">
    <w:name w:val="标题 51"/>
    <w:basedOn w:val="698"/>
    <w:next w:val="698"/>
    <w:link w:val="899"/>
    <w:uiPriority w:val="9"/>
    <w:qFormat/>
    <w:pPr>
      <w:jc w:val="left"/>
      <w:keepLines/>
      <w:keepNext/>
      <w:spacing w:before="280" w:after="290" w:line="376" w:lineRule="auto"/>
      <w:widowControl/>
      <w:outlineLvl w:val="4"/>
    </w:pPr>
    <w:rPr>
      <w:rFonts w:ascii="Times New Roman" w:hAnsi="Times New Roman" w:eastAsia="宋体" w:cs="Times New Roman"/>
      <w:b/>
      <w:bCs/>
      <w:sz w:val="28"/>
      <w:szCs w:val="28"/>
    </w:rPr>
  </w:style>
  <w:style w:type="character" w:styleId="893" w:customStyle="1">
    <w:name w:val="默认段落字体1"/>
    <w:link w:val="698"/>
    <w:uiPriority w:val="1"/>
    <w:unhideWhenUsed/>
    <w:qFormat/>
  </w:style>
  <w:style w:type="table" w:styleId="894" w:customStyle="1">
    <w:name w:val="普通表格1"/>
    <w:uiPriority w:val="99"/>
    <w:unhideWhenUsed/>
    <w:qFormat/>
    <w:tblPr/>
  </w:style>
  <w:style w:type="character" w:styleId="895" w:customStyle="1">
    <w:name w:val="标题 1 字符"/>
    <w:link w:val="888"/>
    <w:uiPriority w:val="0"/>
    <w:qFormat/>
    <w:rPr>
      <w:rFonts w:ascii="Calibri" w:hAnsi="Calibri" w:eastAsia="宋体" w:cs="Times New Roman"/>
      <w:b/>
      <w:bCs/>
      <w:sz w:val="44"/>
      <w:szCs w:val="44"/>
    </w:rPr>
  </w:style>
  <w:style w:type="character" w:styleId="896" w:customStyle="1">
    <w:name w:val="标题 2 字符"/>
    <w:link w:val="889"/>
    <w:uiPriority w:val="0"/>
    <w:qFormat/>
    <w:rPr>
      <w:rFonts w:ascii="Cambria" w:hAnsi="Cambria" w:eastAsia="宋体" w:cs="Times New Roman"/>
      <w:b/>
      <w:bCs/>
      <w:sz w:val="32"/>
      <w:szCs w:val="32"/>
    </w:rPr>
  </w:style>
  <w:style w:type="character" w:styleId="897" w:customStyle="1">
    <w:name w:val="标题 3 字符"/>
    <w:link w:val="890"/>
    <w:uiPriority w:val="0"/>
    <w:qFormat/>
    <w:rPr>
      <w:rFonts w:ascii="Times New Roman" w:hAnsi="Times New Roman" w:eastAsia="宋体" w:cs="Times New Roman"/>
      <w:b/>
      <w:sz w:val="32"/>
      <w:szCs w:val="20"/>
    </w:rPr>
  </w:style>
  <w:style w:type="character" w:styleId="898" w:customStyle="1">
    <w:name w:val="正文缩进 字符"/>
    <w:link w:val="891"/>
    <w:uiPriority w:val="0"/>
    <w:qFormat/>
    <w:rPr>
      <w:rFonts w:ascii="Times New Roman" w:hAnsi="Times New Roman" w:eastAsia="楷体_GB2312" w:cs="Times New Roman"/>
      <w:sz w:val="24"/>
      <w:szCs w:val="20"/>
    </w:rPr>
  </w:style>
  <w:style w:type="character" w:styleId="899" w:customStyle="1">
    <w:name w:val="标题 5 字符"/>
    <w:link w:val="892"/>
    <w:uiPriority w:val="0"/>
    <w:qFormat/>
    <w:rPr>
      <w:rFonts w:ascii="Times New Roman" w:hAnsi="Times New Roman" w:eastAsia="宋体" w:cs="Times New Roman"/>
      <w:b/>
      <w:bCs/>
      <w:sz w:val="28"/>
      <w:szCs w:val="28"/>
    </w:rPr>
  </w:style>
  <w:style w:type="paragraph" w:styleId="900" w:customStyle="1">
    <w:name w:val="引文目录1"/>
    <w:basedOn w:val="698"/>
    <w:next w:val="698"/>
    <w:uiPriority w:val="0"/>
    <w:qFormat/>
    <w:pPr>
      <w:ind w:left="420"/>
    </w:pPr>
  </w:style>
  <w:style w:type="paragraph" w:styleId="901" w:customStyle="1">
    <w:name w:val="批注文字1"/>
    <w:basedOn w:val="698"/>
    <w:link w:val="902"/>
    <w:uiPriority w:val="99"/>
    <w:unhideWhenUsed/>
    <w:qFormat/>
    <w:pPr>
      <w:jc w:val="left"/>
    </w:pPr>
  </w:style>
  <w:style w:type="character" w:styleId="902" w:customStyle="1">
    <w:name w:val="批注文字 字符"/>
    <w:link w:val="901"/>
    <w:uiPriority w:val="99"/>
    <w:qFormat/>
    <w:rPr>
      <w:rFonts w:ascii="Calibri" w:hAnsi="Calibri"/>
      <w:sz w:val="21"/>
      <w:szCs w:val="24"/>
    </w:rPr>
  </w:style>
  <w:style w:type="paragraph" w:styleId="903" w:customStyle="1">
    <w:name w:val="正文文本1"/>
    <w:basedOn w:val="698"/>
    <w:link w:val="904"/>
    <w:uiPriority w:val="99"/>
    <w:unhideWhenUsed/>
    <w:qFormat/>
    <w:pPr>
      <w:spacing w:after="120"/>
    </w:pPr>
    <w:rPr>
      <w:rFonts w:ascii="Times New Roman" w:hAnsi="Times New Roman" w:eastAsia="宋体" w:cs="Times New Roman"/>
    </w:rPr>
  </w:style>
  <w:style w:type="character" w:styleId="904" w:customStyle="1">
    <w:name w:val="正文文本 字符"/>
    <w:link w:val="903"/>
    <w:uiPriority w:val="99"/>
    <w:qFormat/>
    <w:rPr>
      <w:rFonts w:ascii="Times New Roman" w:hAnsi="Times New Roman" w:eastAsia="宋体" w:cs="Times New Roman"/>
    </w:rPr>
  </w:style>
  <w:style w:type="paragraph" w:styleId="905" w:customStyle="1">
    <w:name w:val="文本块1"/>
    <w:basedOn w:val="698"/>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906" w:customStyle="1">
    <w:name w:val="纯文本11"/>
    <w:basedOn w:val="698"/>
    <w:link w:val="907"/>
    <w:uiPriority w:val="99"/>
    <w:unhideWhenUsed/>
    <w:qFormat/>
    <w:pPr>
      <w:jc w:val="left"/>
      <w:widowControl/>
    </w:pPr>
    <w:rPr>
      <w:rFonts w:ascii="宋体" w:hAnsi="Courier New" w:eastAsia="楷体_GB2312" w:cs="Times New Roman"/>
      <w:sz w:val="26"/>
    </w:rPr>
  </w:style>
  <w:style w:type="character" w:styleId="907" w:customStyle="1">
    <w:name w:val="纯文本 字符"/>
    <w:link w:val="906"/>
    <w:uiPriority w:val="0"/>
    <w:qFormat/>
    <w:rPr>
      <w:rFonts w:ascii="宋体" w:hAnsi="Courier New" w:eastAsia="楷体_GB2312" w:cs="Times New Roman"/>
      <w:sz w:val="26"/>
    </w:rPr>
  </w:style>
  <w:style w:type="paragraph" w:styleId="908" w:customStyle="1">
    <w:name w:val="日期1"/>
    <w:basedOn w:val="698"/>
    <w:next w:val="698"/>
    <w:link w:val="909"/>
    <w:uiPriority w:val="99"/>
    <w:unhideWhenUsed/>
    <w:qFormat/>
    <w:pPr>
      <w:ind w:left="100"/>
    </w:pPr>
    <w:rPr>
      <w:rFonts w:eastAsia="宋体"/>
      <w:b/>
      <w:bCs/>
      <w:spacing w:val="20"/>
    </w:rPr>
  </w:style>
  <w:style w:type="character" w:styleId="909" w:customStyle="1">
    <w:name w:val="日期 字符"/>
    <w:link w:val="908"/>
    <w:uiPriority w:val="0"/>
    <w:qFormat/>
    <w:rPr>
      <w:rFonts w:ascii="Calibri" w:hAnsi="Calibri" w:eastAsia="宋体" w:cs="Times New Roman"/>
      <w:b/>
      <w:bCs/>
      <w:spacing w:val="20"/>
    </w:rPr>
  </w:style>
  <w:style w:type="paragraph" w:styleId="910" w:customStyle="1">
    <w:name w:val="批注框文本1"/>
    <w:basedOn w:val="698"/>
    <w:link w:val="911"/>
    <w:uiPriority w:val="99"/>
    <w:unhideWhenUsed/>
    <w:qFormat/>
    <w:rPr>
      <w:rFonts w:eastAsia="宋体"/>
      <w:sz w:val="18"/>
      <w:szCs w:val="18"/>
    </w:rPr>
  </w:style>
  <w:style w:type="character" w:styleId="911" w:customStyle="1">
    <w:name w:val="批注框文本 字符"/>
    <w:link w:val="910"/>
    <w:uiPriority w:val="0"/>
    <w:qFormat/>
    <w:rPr>
      <w:rFonts w:ascii="Calibri" w:hAnsi="Calibri" w:eastAsia="宋体" w:cs="Times New Roman"/>
      <w:sz w:val="18"/>
      <w:szCs w:val="18"/>
    </w:rPr>
  </w:style>
  <w:style w:type="paragraph" w:styleId="912" w:customStyle="1">
    <w:name w:val="页脚1"/>
    <w:basedOn w:val="698"/>
    <w:link w:val="913"/>
    <w:uiPriority w:val="99"/>
    <w:unhideWhenUsed/>
    <w:qFormat/>
    <w:pPr>
      <w:ind w:left="0" w:firstLine="3584"/>
      <w:spacing w:before="0" w:after="0" w:line="240" w:lineRule="auto"/>
    </w:pPr>
  </w:style>
  <w:style w:type="character" w:styleId="913" w:customStyle="1">
    <w:name w:val="页脚 字符"/>
    <w:link w:val="912"/>
    <w:uiPriority w:val="0"/>
    <w:qFormat/>
    <w:rPr>
      <w:rFonts w:ascii="Calibri" w:hAnsi="Calibri" w:eastAsia="宋体" w:cs="Times New Roman"/>
    </w:rPr>
  </w:style>
  <w:style w:type="paragraph" w:styleId="914" w:customStyle="1">
    <w:name w:val="寄信人地址1"/>
    <w:basedOn w:val="698"/>
    <w:uiPriority w:val="0"/>
    <w:qFormat/>
    <w:pPr>
      <w:widowControl w:val="off"/>
    </w:pPr>
    <w:rPr>
      <w:rFonts w:eastAsia="宋体" w:cs="Times New Roman"/>
      <w:sz w:val="26"/>
      <w:szCs w:val="24"/>
    </w:rPr>
  </w:style>
  <w:style w:type="paragraph" w:styleId="915" w:customStyle="1">
    <w:name w:val="页眉1"/>
    <w:basedOn w:val="698"/>
    <w:link w:val="916"/>
    <w:uiPriority w:val="99"/>
    <w:unhideWhenUsed/>
    <w:qFormat/>
    <w:pPr>
      <w:jc w:val="center"/>
      <w:tabs>
        <w:tab w:val="center" w:pos="4153" w:leader="none"/>
        <w:tab w:val="right" w:pos="8306" w:leader="none"/>
      </w:tabs>
      <w:pBdr>
        <w:bottom w:val="none" w:color="000000" w:sz="0" w:space="1"/>
      </w:pBdr>
    </w:pPr>
    <w:rPr>
      <w:sz w:val="18"/>
      <w:szCs w:val="18"/>
    </w:rPr>
  </w:style>
  <w:style w:type="character" w:styleId="916" w:customStyle="1">
    <w:name w:val="页眉 字符"/>
    <w:link w:val="915"/>
    <w:uiPriority w:val="0"/>
    <w:qFormat/>
    <w:rPr>
      <w:rFonts w:ascii="Calibri" w:hAnsi="Calibri" w:eastAsia="宋体" w:cs="Times New Roman"/>
      <w:sz w:val="18"/>
      <w:szCs w:val="18"/>
    </w:rPr>
  </w:style>
  <w:style w:type="paragraph" w:styleId="917" w:customStyle="1">
    <w:name w:val="目录 11"/>
    <w:basedOn w:val="698"/>
    <w:next w:val="698"/>
    <w:uiPriority w:val="39"/>
    <w:unhideWhenUsed/>
    <w:qFormat/>
    <w:pPr>
      <w:jc w:val="left"/>
    </w:pPr>
    <w:rPr>
      <w:rFonts w:ascii="Times New Roman" w:hAnsi="Times New Roman" w:eastAsia="楷体_GB2312" w:cs="Times New Roman"/>
      <w:sz w:val="24"/>
      <w:szCs w:val="20"/>
    </w:rPr>
  </w:style>
  <w:style w:type="paragraph" w:styleId="918" w:customStyle="1">
    <w:name w:val="脚注文本1"/>
    <w:basedOn w:val="888"/>
    <w:next w:val="905"/>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919" w:customStyle="1">
    <w:name w:val="目录 61"/>
    <w:basedOn w:val="888"/>
    <w:next w:val="698"/>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paragraph" w:styleId="920" w:customStyle="1">
    <w:name w:val="正文文本缩进 31"/>
    <w:basedOn w:val="698"/>
    <w:next w:val="919"/>
    <w:link w:val="921"/>
    <w:uiPriority w:val="99"/>
    <w:unhideWhenUsed/>
    <w:qFormat/>
    <w:pPr>
      <w:ind w:firstLine="480"/>
      <w:jc w:val="left"/>
      <w:spacing w:line="440" w:lineRule="atLeast"/>
    </w:pPr>
    <w:rPr>
      <w:rFonts w:ascii="Times New Roman" w:hAnsi="Times New Roman" w:eastAsia="宋体" w:cs="Times New Roman"/>
      <w:sz w:val="24"/>
    </w:rPr>
  </w:style>
  <w:style w:type="character" w:styleId="921" w:customStyle="1">
    <w:name w:val="正文文本缩进 3 字符"/>
    <w:link w:val="920"/>
    <w:uiPriority w:val="0"/>
    <w:qFormat/>
    <w:rPr>
      <w:rFonts w:ascii="Times New Roman" w:hAnsi="Times New Roman" w:eastAsia="宋体" w:cs="Times New Roman"/>
      <w:sz w:val="24"/>
    </w:rPr>
  </w:style>
  <w:style w:type="paragraph" w:styleId="922" w:customStyle="1">
    <w:name w:val="普通(网站)1"/>
    <w:basedOn w:val="698"/>
    <w:uiPriority w:val="99"/>
    <w:qFormat/>
    <w:pPr>
      <w:jc w:val="left"/>
      <w:spacing w:beforeAutospacing="1" w:afterAutospacing="1"/>
    </w:pPr>
    <w:rPr>
      <w:rFonts w:eastAsia="宋体" w:cs="Times New Roman"/>
      <w:sz w:val="24"/>
    </w:rPr>
  </w:style>
  <w:style w:type="paragraph" w:styleId="923" w:customStyle="1">
    <w:name w:val="批注主题1"/>
    <w:basedOn w:val="901"/>
    <w:next w:val="901"/>
    <w:link w:val="924"/>
    <w:uiPriority w:val="99"/>
    <w:unhideWhenUsed/>
    <w:qFormat/>
    <w:rPr>
      <w:b/>
      <w:bCs/>
    </w:rPr>
  </w:style>
  <w:style w:type="character" w:styleId="924" w:customStyle="1">
    <w:name w:val="批注主题 字符"/>
    <w:link w:val="923"/>
    <w:uiPriority w:val="99"/>
    <w:semiHidden/>
    <w:qFormat/>
    <w:rPr>
      <w:rFonts w:ascii="Calibri" w:hAnsi="Calibri"/>
      <w:b/>
      <w:bCs/>
      <w:sz w:val="21"/>
      <w:szCs w:val="24"/>
    </w:rPr>
  </w:style>
  <w:style w:type="character" w:styleId="925" w:customStyle="1">
    <w:name w:val="要点1"/>
    <w:link w:val="698"/>
    <w:uiPriority w:val="0"/>
    <w:qFormat/>
    <w:rPr>
      <w:rFonts w:ascii="Calibri" w:hAnsi="Calibri" w:eastAsia="宋体" w:cs="Times New Roman"/>
      <w:b/>
    </w:rPr>
  </w:style>
  <w:style w:type="character" w:styleId="926" w:customStyle="1">
    <w:name w:val="页码1"/>
    <w:link w:val="698"/>
    <w:uiPriority w:val="99"/>
    <w:unhideWhenUsed/>
    <w:qFormat/>
    <w:rPr>
      <w:rFonts w:ascii="Times New Roman" w:hAnsi="Times New Roman" w:eastAsia="宋体" w:cs="Times New Roman"/>
      <w:sz w:val="20"/>
    </w:rPr>
  </w:style>
  <w:style w:type="character" w:styleId="927" w:customStyle="1">
    <w:name w:val="已访问的超链接1"/>
    <w:link w:val="698"/>
    <w:uiPriority w:val="99"/>
    <w:unhideWhenUsed/>
    <w:qFormat/>
    <w:rPr>
      <w:color w:val="333333"/>
      <w:u w:val="none"/>
    </w:rPr>
  </w:style>
  <w:style w:type="character" w:styleId="928" w:customStyle="1">
    <w:name w:val="强调1"/>
    <w:link w:val="698"/>
    <w:uiPriority w:val="20"/>
    <w:qFormat/>
  </w:style>
  <w:style w:type="character" w:styleId="929" w:customStyle="1">
    <w:name w:val="超链接1"/>
    <w:link w:val="698"/>
    <w:uiPriority w:val="99"/>
    <w:unhideWhenUsed/>
    <w:qFormat/>
    <w:rPr>
      <w:color w:val="333333"/>
      <w:u w:val="none"/>
    </w:rPr>
  </w:style>
  <w:style w:type="character" w:styleId="930" w:customStyle="1">
    <w:name w:val="批注引用1"/>
    <w:link w:val="698"/>
    <w:uiPriority w:val="99"/>
    <w:unhideWhenUsed/>
    <w:qFormat/>
    <w:rPr>
      <w:rFonts w:ascii="Calibri" w:hAnsi="Calibri" w:eastAsia="宋体" w:cs="Times New Roman"/>
      <w:sz w:val="21"/>
      <w:szCs w:val="21"/>
    </w:rPr>
  </w:style>
  <w:style w:type="character" w:styleId="931" w:customStyle="1">
    <w:name w:val="脚注引用1"/>
    <w:link w:val="698"/>
    <w:uiPriority w:val="99"/>
    <w:unhideWhenUsed/>
    <w:qFormat/>
    <w:rPr>
      <w:rFonts w:ascii="Times New Roman" w:hAnsi="Times New Roman" w:eastAsia="宋体" w:cs="Times New Roman"/>
      <w:vertAlign w:val="superscript"/>
    </w:rPr>
  </w:style>
  <w:style w:type="paragraph" w:styleId="932" w:customStyle="1">
    <w:name w:val="_正文段落"/>
    <w:basedOn w:val="698"/>
    <w:uiPriority w:val="0"/>
    <w:qFormat/>
    <w:pPr>
      <w:ind w:firstLine="480"/>
      <w:widowControl w:val="off"/>
    </w:pPr>
    <w:rPr>
      <w:rFonts w:ascii="宋体" w:hAnsi="宋体" w:eastAsia="宋体"/>
      <w:sz w:val="24"/>
      <w:szCs w:val="24"/>
    </w:rPr>
  </w:style>
  <w:style w:type="paragraph" w:styleId="933" w:customStyle="1">
    <w:name w:val="列表段落"/>
    <w:basedOn w:val="698"/>
    <w:uiPriority w:val="99"/>
    <w:qFormat/>
    <w:pPr>
      <w:ind w:firstLine="420"/>
    </w:pPr>
    <w:rPr>
      <w:rFonts w:eastAsia="宋体"/>
    </w:rPr>
  </w:style>
  <w:style w:type="paragraph" w:styleId="934" w:customStyle="1">
    <w:name w:val="首行缩进"/>
    <w:basedOn w:val="698"/>
    <w:uiPriority w:val="0"/>
    <w:qFormat/>
    <w:pPr>
      <w:ind w:firstLine="480"/>
    </w:pPr>
    <w:rPr>
      <w:rFonts w:ascii="Times New Roman" w:hAnsi="Times New Roman" w:eastAsia="楷体_GB2312" w:cs="Times New Roman"/>
      <w:sz w:val="28"/>
      <w:szCs w:val="20"/>
      <w:lang w:val="zh-CN"/>
    </w:rPr>
  </w:style>
  <w:style w:type="character" w:styleId="935" w:customStyle="1">
    <w:name w:val="正文文本缩进 3 Char"/>
    <w:link w:val="698"/>
    <w:uiPriority w:val="99"/>
    <w:semiHidden/>
    <w:qFormat/>
    <w:rPr>
      <w:rFonts w:ascii="Calibri" w:hAnsi="Calibri" w:eastAsia="宋体" w:cs="Times New Roman"/>
      <w:sz w:val="16"/>
      <w:szCs w:val="16"/>
    </w:rPr>
  </w:style>
  <w:style w:type="character" w:styleId="936" w:customStyle="1">
    <w:name w:val="font11"/>
    <w:link w:val="698"/>
    <w:uiPriority w:val="0"/>
    <w:qFormat/>
    <w:rPr>
      <w:rFonts w:hint="eastAsia" w:ascii="仿宋" w:hAnsi="仿宋" w:eastAsia="仿宋" w:cs="仿宋"/>
      <w:color w:val="000000"/>
      <w:sz w:val="24"/>
      <w:szCs w:val="24"/>
      <w:u w:val="none"/>
    </w:rPr>
  </w:style>
  <w:style w:type="paragraph" w:styleId="937" w:customStyle="1">
    <w:name w:val="纯文本10"/>
    <w:basedOn w:val="698"/>
    <w:uiPriority w:val="0"/>
    <w:qFormat/>
    <w:pPr>
      <w:jc w:val="left"/>
      <w:spacing w:line="240" w:lineRule="auto"/>
    </w:pPr>
    <w:rPr>
      <w:rFonts w:ascii="宋体" w:hAnsi="Courier New" w:eastAsia="宋体"/>
      <w:sz w:val="28"/>
    </w:rPr>
  </w:style>
  <w:style w:type="character" w:styleId="938" w:customStyle="1">
    <w:name w:val="正文文本 Char"/>
    <w:link w:val="698"/>
    <w:uiPriority w:val="99"/>
    <w:qFormat/>
    <w:rPr>
      <w:rFonts w:ascii="Calibri" w:hAnsi="Calibri" w:eastAsia="宋体" w:cs="Times New Roman"/>
      <w:szCs w:val="24"/>
    </w:rPr>
  </w:style>
  <w:style w:type="character" w:styleId="939" w:customStyle="1">
    <w:name w:val="纯文本 Char"/>
    <w:link w:val="698"/>
    <w:uiPriority w:val="0"/>
    <w:qFormat/>
    <w:rPr>
      <w:rFonts w:ascii="宋体" w:hAnsi="Courier New" w:eastAsia="宋体" w:cs="Courier New"/>
      <w:szCs w:val="21"/>
    </w:rPr>
  </w:style>
  <w:style w:type="paragraph" w:styleId="940" w:customStyle="1">
    <w:name w:val="纯文本1"/>
    <w:basedOn w:val="698"/>
    <w:uiPriority w:val="0"/>
    <w:qFormat/>
    <w:rPr>
      <w:rFonts w:ascii="宋体" w:hAnsi="Courier New" w:eastAsia="楷体_GB2312" w:cs="Times New Roman"/>
      <w:sz w:val="28"/>
      <w:szCs w:val="20"/>
    </w:rPr>
  </w:style>
  <w:style w:type="paragraph" w:styleId="941" w:customStyle="1">
    <w:name w:val="纯文本2"/>
    <w:basedOn w:val="698"/>
    <w:uiPriority w:val="0"/>
    <w:qFormat/>
    <w:rPr>
      <w:rFonts w:ascii="宋体" w:hAnsi="Courier New" w:eastAsia="宋体" w:cs="Times New Roman"/>
    </w:rPr>
  </w:style>
  <w:style w:type="character" w:styleId="942" w:customStyle="1">
    <w:name w:val="Plain Text Char"/>
    <w:link w:val="943"/>
    <w:uiPriority w:val="0"/>
    <w:qFormat/>
    <w:rPr>
      <w:rFonts w:ascii="宋体" w:hAnsi="Courier New" w:eastAsia="楷体_GB2312" w:cs="Times New Roman"/>
      <w:sz w:val="26"/>
      <w:szCs w:val="22"/>
    </w:rPr>
  </w:style>
  <w:style w:type="paragraph" w:styleId="943" w:customStyle="1">
    <w:name w:val="纯文本3"/>
    <w:basedOn w:val="698"/>
    <w:link w:val="942"/>
    <w:uiPriority w:val="0"/>
    <w:qFormat/>
    <w:rPr>
      <w:rFonts w:ascii="宋体" w:hAnsi="Courier New" w:eastAsia="楷体_GB2312"/>
      <w:sz w:val="26"/>
      <w:szCs w:val="22"/>
    </w:rPr>
  </w:style>
  <w:style w:type="character" w:styleId="944" w:customStyle="1">
    <w:name w:val="日期 Char1"/>
    <w:link w:val="698"/>
    <w:uiPriority w:val="0"/>
    <w:qFormat/>
    <w:rPr>
      <w:rFonts w:ascii="Calibri" w:hAnsi="Calibri" w:eastAsia="宋体" w:cs="Times New Roman"/>
      <w:szCs w:val="24"/>
    </w:rPr>
  </w:style>
  <w:style w:type="paragraph" w:styleId="945" w:customStyle="1">
    <w:name w:val="纯文本4"/>
    <w:basedOn w:val="698"/>
    <w:uiPriority w:val="0"/>
    <w:qFormat/>
    <w:rPr>
      <w:rFonts w:ascii="宋体" w:hAnsi="Courier New" w:eastAsia="楷体_GB2312" w:cs="Times New Roman"/>
      <w:sz w:val="26"/>
      <w:szCs w:val="20"/>
    </w:rPr>
  </w:style>
  <w:style w:type="paragraph" w:styleId="946" w:customStyle="1">
    <w:name w:val="纯文本5"/>
    <w:basedOn w:val="698"/>
    <w:uiPriority w:val="0"/>
    <w:qFormat/>
    <w:rPr>
      <w:rFonts w:ascii="宋体" w:hAnsi="Courier New" w:eastAsia="楷体_GB2312" w:cs="Times New Roman"/>
      <w:sz w:val="26"/>
      <w:szCs w:val="20"/>
    </w:rPr>
  </w:style>
  <w:style w:type="paragraph" w:styleId="947" w:customStyle="1">
    <w:name w:val="纯文本6"/>
    <w:basedOn w:val="698"/>
    <w:uiPriority w:val="0"/>
    <w:qFormat/>
    <w:rPr>
      <w:rFonts w:ascii="宋体" w:hAnsi="Courier New" w:eastAsia="楷体_GB2312"/>
      <w:sz w:val="26"/>
      <w:szCs w:val="20"/>
    </w:rPr>
  </w:style>
  <w:style w:type="paragraph" w:styleId="948" w:customStyle="1">
    <w:name w:val="纯文本8"/>
    <w:basedOn w:val="698"/>
    <w:uiPriority w:val="0"/>
    <w:qFormat/>
    <w:pPr>
      <w:spacing w:line="240" w:lineRule="auto"/>
      <w:widowControl w:val="off"/>
    </w:pPr>
    <w:rPr>
      <w:rFonts w:ascii="宋体" w:hAnsi="Courier New" w:eastAsia="宋体"/>
    </w:rPr>
  </w:style>
  <w:style w:type="paragraph" w:styleId="949" w:customStyle="1">
    <w:name w:val="+正文"/>
    <w:basedOn w:val="698"/>
    <w:uiPriority w:val="0"/>
    <w:qFormat/>
    <w:pPr>
      <w:ind w:firstLine="200"/>
    </w:pPr>
    <w:rPr>
      <w:rFonts w:eastAsia="宋体"/>
      <w:sz w:val="24"/>
    </w:rPr>
  </w:style>
  <w:style w:type="paragraph" w:styleId="950" w:customStyle="1">
    <w:name w:val="TableOfAuthoring1"/>
    <w:basedOn w:val="698"/>
    <w:next w:val="698"/>
    <w:uiPriority w:val="0"/>
    <w:qFormat/>
    <w:pPr>
      <w:ind w:left="420"/>
    </w:pPr>
    <w:rPr>
      <w:rFonts w:ascii="Calibri" w:hAnsi="Calibri" w:eastAsia="楷体_GB2312"/>
      <w:szCs w:val="24"/>
    </w:rPr>
  </w:style>
  <w:style w:type="paragraph" w:styleId="951" w:customStyle="1">
    <w:name w:val="修订"/>
    <w:uiPriority w:val="99"/>
    <w:unhideWhenUsed/>
    <w:qFormat/>
    <w:rPr>
      <w:rFonts w:hint="default" w:ascii="Calibri" w:hAnsi="Calibri" w:eastAsia="宋体" w:cs="Times New Roman"/>
      <w:sz w:val="21"/>
      <w:szCs w:val="24"/>
      <w:lang w:val="en-US" w:eastAsia="zh-CN" w:bidi="ar-SA"/>
    </w:rPr>
  </w:style>
  <w:style w:type="table" w:styleId="952" w:customStyle="1">
    <w:name w:val="Table Normal"/>
    <w:uiPriority w:val="0"/>
    <w:unhideWhenUsed/>
    <w:qFormat/>
    <w:tblPr/>
  </w:style>
  <w:style w:type="paragraph" w:styleId="953" w:customStyle="1">
    <w:name w:val="正文文本11"/>
    <w:basedOn w:val="698"/>
    <w:next w:val="891"/>
    <w:uiPriority w:val="0"/>
    <w:qFormat/>
    <w:pPr>
      <w:spacing w:after="120"/>
    </w:pPr>
  </w:style>
  <w:style w:type="paragraph" w:styleId="954" w:customStyle="1">
    <w:name w:val="目录 21"/>
    <w:basedOn w:val="698"/>
    <w:next w:val="698"/>
    <w:uiPriority w:val="39"/>
    <w:qFormat/>
    <w:pPr>
      <w:ind w:left="200"/>
      <w:spacing w:line="360" w:lineRule="auto"/>
    </w:pPr>
  </w:style>
  <w:style w:type="numbering" w:styleId="10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邵赞瑜</cp:lastModifiedBy>
  <cp:revision>6</cp:revision>
  <dcterms:created xsi:type="dcterms:W3CDTF">2024-02-29T07:35:00Z</dcterms:created>
  <dcterms:modified xsi:type="dcterms:W3CDTF">2024-11-18T08:21:30Z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B2A4FF86470E4084A2F49C369C227D57_12</vt:lpwstr>
  </property>
</Properties>
</file>