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E09683">
      <w:pPr>
        <w:jc w:val="center"/>
        <w:rPr>
          <w:rFonts w:hint="eastAsia" w:ascii="宋体" w:hAnsi="宋体" w:cs="宋体"/>
          <w:sz w:val="36"/>
        </w:rPr>
      </w:pPr>
    </w:p>
    <w:p w14:paraId="74AFFCA4">
      <w:pPr>
        <w:jc w:val="center"/>
        <w:rPr>
          <w:rFonts w:hint="eastAsia" w:ascii="宋体" w:hAnsi="宋体" w:cs="宋体"/>
          <w:sz w:val="36"/>
        </w:rPr>
      </w:pPr>
    </w:p>
    <w:p w14:paraId="7648149B">
      <w:pPr>
        <w:jc w:val="center"/>
        <w:rPr>
          <w:rFonts w:hint="eastAsia" w:ascii="宋体" w:hAnsi="宋体" w:cs="宋体"/>
          <w:sz w:val="36"/>
        </w:rPr>
      </w:pPr>
    </w:p>
    <w:p w14:paraId="167E8DF9">
      <w:pPr>
        <w:jc w:val="center"/>
        <w:rPr>
          <w:rFonts w:hint="eastAsia" w:ascii="宋体" w:hAnsi="宋体" w:cs="宋体"/>
          <w:sz w:val="36"/>
        </w:rPr>
      </w:pPr>
    </w:p>
    <w:p w14:paraId="78A978CE">
      <w:pPr>
        <w:jc w:val="center"/>
        <w:rPr>
          <w:rFonts w:hint="eastAsia" w:ascii="宋体" w:hAnsi="宋体" w:cs="宋体"/>
          <w:b/>
          <w:sz w:val="84"/>
        </w:rPr>
      </w:pPr>
      <w:r>
        <w:rPr>
          <w:rFonts w:hint="eastAsia" w:ascii="宋体" w:hAnsi="宋体" w:cs="宋体"/>
          <w:bCs/>
          <w:sz w:val="84"/>
        </w:rPr>
        <w:t>招 标 文 件</w:t>
      </w:r>
    </w:p>
    <w:p w14:paraId="4F64601F">
      <w:pPr>
        <w:rPr>
          <w:rFonts w:hint="eastAsia" w:ascii="宋体" w:hAnsi="宋体" w:cs="宋体"/>
          <w:b/>
          <w:sz w:val="32"/>
        </w:rPr>
      </w:pPr>
    </w:p>
    <w:p w14:paraId="4513D2BF">
      <w:pPr>
        <w:jc w:val="center"/>
        <w:rPr>
          <w:rFonts w:hint="eastAsia" w:ascii="宋体" w:hAnsi="宋体" w:cs="宋体"/>
          <w:b/>
          <w:sz w:val="32"/>
        </w:rPr>
      </w:pPr>
    </w:p>
    <w:p w14:paraId="0F4BAB95">
      <w:pPr>
        <w:pStyle w:val="15"/>
        <w:rPr>
          <w:rFonts w:hint="eastAsia"/>
        </w:rPr>
      </w:pPr>
    </w:p>
    <w:p w14:paraId="34ED8D99">
      <w:pPr>
        <w:jc w:val="center"/>
        <w:rPr>
          <w:rFonts w:hint="eastAsia" w:ascii="宋体" w:hAnsi="宋体" w:cs="宋体"/>
          <w:b/>
          <w:sz w:val="32"/>
        </w:rPr>
      </w:pPr>
    </w:p>
    <w:p w14:paraId="2C7D8FCE">
      <w:pPr>
        <w:jc w:val="both"/>
        <w:rPr>
          <w:rFonts w:hint="eastAsia" w:ascii="宋体" w:hAnsi="宋体" w:eastAsia="宋体" w:cs="宋体"/>
          <w:b/>
          <w:sz w:val="36"/>
          <w:lang w:eastAsia="zh-CN"/>
        </w:rPr>
      </w:pPr>
      <w:r>
        <w:rPr>
          <w:rFonts w:hint="eastAsia" w:ascii="宋体" w:hAnsi="宋体" w:cs="宋体"/>
          <w:b/>
          <w:sz w:val="36"/>
        </w:rPr>
        <w:t>项目编号：</w:t>
      </w:r>
      <w:r>
        <w:rPr>
          <w:rFonts w:hint="eastAsia" w:ascii="宋体" w:hAnsi="宋体" w:cs="宋体"/>
          <w:b/>
          <w:sz w:val="36"/>
          <w:lang w:eastAsia="zh-CN"/>
        </w:rPr>
        <w:t>JSZC-320904-JZCG-G2024-0042</w:t>
      </w:r>
      <w:r>
        <w:rPr>
          <w:rFonts w:hint="eastAsia" w:ascii="宋体" w:hAnsi="宋体" w:cs="宋体"/>
          <w:b/>
          <w:sz w:val="36"/>
          <w:lang w:val="en-US" w:eastAsia="zh-CN"/>
        </w:rPr>
        <w:t xml:space="preserve"> </w:t>
      </w:r>
    </w:p>
    <w:p w14:paraId="473D9CBB">
      <w:pPr>
        <w:rPr>
          <w:rFonts w:hint="eastAsia" w:ascii="宋体" w:hAnsi="宋体" w:cs="宋体"/>
          <w:b/>
          <w:sz w:val="36"/>
          <w:szCs w:val="36"/>
        </w:rPr>
      </w:pPr>
    </w:p>
    <w:p w14:paraId="19B7ACF7">
      <w:pPr>
        <w:rPr>
          <w:rFonts w:hint="eastAsia" w:ascii="宋体" w:hAnsi="宋体" w:eastAsia="宋体" w:cs="宋体"/>
          <w:b/>
          <w:sz w:val="30"/>
          <w:szCs w:val="30"/>
          <w:lang w:eastAsia="zh-CN"/>
        </w:rPr>
      </w:pPr>
      <w:r>
        <w:rPr>
          <w:rFonts w:hint="eastAsia" w:ascii="宋体" w:hAnsi="宋体" w:cs="宋体"/>
          <w:b/>
          <w:sz w:val="32"/>
          <w:szCs w:val="36"/>
        </w:rPr>
        <w:t>项目名称：</w:t>
      </w:r>
      <w:r>
        <w:rPr>
          <w:rFonts w:hint="eastAsia" w:ascii="宋体" w:hAnsi="宋体" w:cs="宋体"/>
          <w:b/>
          <w:sz w:val="32"/>
          <w:szCs w:val="36"/>
          <w:lang w:eastAsia="zh-CN"/>
        </w:rPr>
        <w:t>2024年“智慧安防村居”建设项目</w:t>
      </w:r>
    </w:p>
    <w:p w14:paraId="72E2E4E3">
      <w:pPr>
        <w:rPr>
          <w:rFonts w:hint="eastAsia" w:ascii="宋体" w:hAnsi="宋体" w:cs="宋体"/>
          <w:b/>
          <w:sz w:val="32"/>
        </w:rPr>
      </w:pPr>
    </w:p>
    <w:p w14:paraId="7ABFDD98">
      <w:pPr>
        <w:rPr>
          <w:rFonts w:hint="eastAsia" w:ascii="宋体" w:hAnsi="宋体" w:cs="宋体"/>
          <w:b/>
          <w:sz w:val="32"/>
        </w:rPr>
      </w:pPr>
    </w:p>
    <w:p w14:paraId="6720C88D">
      <w:pPr>
        <w:pStyle w:val="15"/>
        <w:rPr>
          <w:rFonts w:hint="eastAsia" w:ascii="宋体" w:hAnsi="宋体" w:cs="宋体"/>
          <w:b/>
          <w:sz w:val="32"/>
        </w:rPr>
      </w:pPr>
    </w:p>
    <w:p w14:paraId="394CCF50">
      <w:pPr>
        <w:rPr>
          <w:rFonts w:hint="eastAsia" w:ascii="宋体" w:hAnsi="宋体" w:cs="宋体"/>
          <w:b/>
          <w:sz w:val="32"/>
        </w:rPr>
      </w:pPr>
    </w:p>
    <w:p w14:paraId="271C64C0">
      <w:pPr>
        <w:pStyle w:val="15"/>
        <w:rPr>
          <w:rFonts w:hint="eastAsia" w:ascii="宋体" w:hAnsi="宋体" w:cs="宋体"/>
          <w:b/>
          <w:sz w:val="32"/>
        </w:rPr>
      </w:pPr>
    </w:p>
    <w:p w14:paraId="7981C5E8">
      <w:pPr>
        <w:rPr>
          <w:rFonts w:hint="eastAsia" w:ascii="宋体" w:hAnsi="宋体" w:cs="宋体"/>
          <w:b/>
          <w:sz w:val="32"/>
        </w:rPr>
      </w:pPr>
    </w:p>
    <w:p w14:paraId="259CCF8A">
      <w:pPr>
        <w:pStyle w:val="15"/>
        <w:rPr>
          <w:rFonts w:hint="eastAsia"/>
        </w:rPr>
      </w:pPr>
    </w:p>
    <w:p w14:paraId="083FB69F">
      <w:pPr>
        <w:rPr>
          <w:rFonts w:hint="eastAsia"/>
        </w:rPr>
      </w:pPr>
    </w:p>
    <w:p w14:paraId="6D1084B0">
      <w:pPr>
        <w:pStyle w:val="16"/>
        <w:rPr>
          <w:rFonts w:hint="eastAsia" w:cs="宋体"/>
        </w:rPr>
      </w:pPr>
    </w:p>
    <w:p w14:paraId="40370833">
      <w:pPr>
        <w:rPr>
          <w:rFonts w:hint="eastAsia" w:ascii="宋体" w:hAnsi="宋体" w:cs="宋体"/>
          <w:b/>
          <w:sz w:val="32"/>
        </w:rPr>
      </w:pPr>
    </w:p>
    <w:p w14:paraId="3D2E42E6">
      <w:pPr>
        <w:jc w:val="center"/>
        <w:rPr>
          <w:rFonts w:hint="eastAsia" w:ascii="宋体" w:hAnsi="宋体" w:cs="宋体"/>
          <w:sz w:val="36"/>
          <w:szCs w:val="36"/>
        </w:rPr>
      </w:pPr>
      <w:r>
        <w:rPr>
          <w:rFonts w:hint="eastAsia" w:ascii="宋体" w:hAnsi="宋体" w:cs="宋体"/>
          <w:sz w:val="36"/>
          <w:szCs w:val="36"/>
        </w:rPr>
        <w:t>盐城市大丰区公安局</w:t>
      </w:r>
    </w:p>
    <w:p w14:paraId="22AC9814">
      <w:pPr>
        <w:jc w:val="center"/>
        <w:rPr>
          <w:rFonts w:hint="eastAsia" w:ascii="宋体" w:hAnsi="宋体" w:cs="宋体"/>
          <w:sz w:val="36"/>
          <w:szCs w:val="36"/>
        </w:rPr>
      </w:pPr>
      <w:r>
        <w:rPr>
          <w:rFonts w:hint="eastAsia" w:ascii="宋体" w:hAnsi="宋体" w:cs="宋体"/>
          <w:sz w:val="36"/>
          <w:szCs w:val="36"/>
        </w:rPr>
        <w:t>202</w:t>
      </w:r>
      <w:r>
        <w:rPr>
          <w:rFonts w:ascii="宋体" w:hAnsi="宋体" w:cs="宋体"/>
          <w:sz w:val="36"/>
          <w:szCs w:val="36"/>
        </w:rPr>
        <w:t>4</w:t>
      </w:r>
      <w:r>
        <w:rPr>
          <w:rFonts w:hint="eastAsia" w:ascii="宋体" w:hAnsi="宋体" w:cs="宋体"/>
          <w:sz w:val="36"/>
          <w:szCs w:val="36"/>
        </w:rPr>
        <w:t>年</w:t>
      </w:r>
      <w:r>
        <w:rPr>
          <w:rFonts w:hint="eastAsia" w:ascii="宋体" w:hAnsi="宋体" w:cs="宋体"/>
          <w:sz w:val="36"/>
          <w:szCs w:val="36"/>
          <w:lang w:val="en-US" w:eastAsia="zh-CN"/>
        </w:rPr>
        <w:t>8</w:t>
      </w:r>
      <w:r>
        <w:rPr>
          <w:rFonts w:hint="eastAsia" w:ascii="宋体" w:hAnsi="宋体" w:cs="宋体"/>
          <w:sz w:val="36"/>
          <w:szCs w:val="36"/>
        </w:rPr>
        <w:t>月</w:t>
      </w:r>
    </w:p>
    <w:p w14:paraId="6EECD6D2">
      <w:pPr>
        <w:spacing w:line="480" w:lineRule="auto"/>
        <w:jc w:val="center"/>
        <w:outlineLvl w:val="0"/>
        <w:rPr>
          <w:rFonts w:hint="eastAsia" w:ascii="宋体" w:hAnsi="宋体" w:cs="宋体"/>
          <w:b/>
          <w:sz w:val="44"/>
        </w:rPr>
        <w:sectPr>
          <w:pgSz w:w="11906" w:h="16838"/>
          <w:pgMar w:top="1440" w:right="1800" w:bottom="1440" w:left="1800" w:header="851" w:footer="992" w:gutter="0"/>
          <w:pgNumType w:fmt="decimal"/>
          <w:cols w:space="720" w:num="1"/>
          <w:docGrid w:linePitch="360" w:charSpace="0"/>
        </w:sectPr>
      </w:pPr>
      <w:bookmarkStart w:id="0" w:name="_Toc120614210"/>
      <w:bookmarkStart w:id="1" w:name="_Toc523127445"/>
      <w:bookmarkStart w:id="2" w:name="_Toc479757206"/>
      <w:bookmarkStart w:id="3" w:name="_Toc16938516"/>
      <w:bookmarkStart w:id="4" w:name="_Toc20823272"/>
      <w:bookmarkStart w:id="5" w:name="_Toc513029200"/>
    </w:p>
    <w:p w14:paraId="5ED27792">
      <w:pPr>
        <w:spacing w:line="480" w:lineRule="auto"/>
        <w:jc w:val="center"/>
        <w:outlineLvl w:val="0"/>
        <w:rPr>
          <w:rFonts w:hint="eastAsia" w:ascii="宋体" w:hAnsi="宋体" w:cs="宋体"/>
          <w:b/>
          <w:sz w:val="44"/>
        </w:rPr>
      </w:pPr>
      <w:r>
        <w:rPr>
          <w:rFonts w:hint="eastAsia" w:ascii="宋体" w:hAnsi="宋体" w:cs="宋体"/>
          <w:b/>
          <w:sz w:val="44"/>
        </w:rPr>
        <w:t>总  目  录</w:t>
      </w:r>
    </w:p>
    <w:p w14:paraId="21679FD4">
      <w:pPr>
        <w:spacing w:line="480" w:lineRule="auto"/>
        <w:rPr>
          <w:rFonts w:hint="eastAsia" w:ascii="宋体" w:hAnsi="宋体" w:cs="宋体"/>
          <w:b/>
          <w:sz w:val="28"/>
        </w:rPr>
      </w:pPr>
    </w:p>
    <w:p w14:paraId="2EBCEEF7">
      <w:pPr>
        <w:numPr>
          <w:ilvl w:val="0"/>
          <w:numId w:val="1"/>
        </w:numPr>
        <w:spacing w:line="480" w:lineRule="auto"/>
        <w:outlineLvl w:val="0"/>
        <w:rPr>
          <w:rFonts w:hint="eastAsia" w:ascii="宋体" w:hAnsi="宋体" w:cs="宋体"/>
          <w:sz w:val="32"/>
        </w:rPr>
      </w:pPr>
      <w:r>
        <w:rPr>
          <w:rFonts w:hint="eastAsia" w:ascii="宋体" w:hAnsi="宋体" w:cs="宋体"/>
          <w:sz w:val="36"/>
        </w:rPr>
        <w:t>招标公告……………………………………2</w:t>
      </w:r>
    </w:p>
    <w:p w14:paraId="648CC513">
      <w:pPr>
        <w:numPr>
          <w:ilvl w:val="0"/>
          <w:numId w:val="1"/>
        </w:numPr>
        <w:spacing w:line="480" w:lineRule="auto"/>
        <w:outlineLvl w:val="0"/>
        <w:rPr>
          <w:rFonts w:hint="eastAsia" w:ascii="宋体" w:hAnsi="宋体" w:cs="宋体"/>
          <w:sz w:val="36"/>
        </w:rPr>
      </w:pPr>
      <w:r>
        <w:rPr>
          <w:rFonts w:hint="eastAsia" w:ascii="宋体" w:hAnsi="宋体" w:cs="宋体"/>
          <w:bCs/>
          <w:sz w:val="36"/>
          <w:szCs w:val="36"/>
        </w:rPr>
        <w:t>投标人须知</w:t>
      </w:r>
      <w:r>
        <w:rPr>
          <w:rFonts w:hint="eastAsia" w:ascii="宋体" w:hAnsi="宋体" w:cs="宋体"/>
          <w:sz w:val="36"/>
          <w:szCs w:val="36"/>
        </w:rPr>
        <w:t>…</w:t>
      </w:r>
      <w:r>
        <w:rPr>
          <w:rFonts w:hint="eastAsia" w:ascii="宋体" w:hAnsi="宋体" w:cs="宋体"/>
          <w:sz w:val="36"/>
        </w:rPr>
        <w:t>………………………………</w:t>
      </w:r>
      <w:r>
        <w:rPr>
          <w:rFonts w:ascii="宋体" w:hAnsi="宋体" w:cs="宋体"/>
          <w:sz w:val="36"/>
        </w:rPr>
        <w:t>5</w:t>
      </w:r>
    </w:p>
    <w:p w14:paraId="0F1A608B">
      <w:pPr>
        <w:numPr>
          <w:ilvl w:val="0"/>
          <w:numId w:val="1"/>
        </w:numPr>
        <w:spacing w:line="480" w:lineRule="auto"/>
        <w:outlineLvl w:val="0"/>
        <w:rPr>
          <w:rFonts w:hint="eastAsia" w:ascii="宋体" w:hAnsi="宋体" w:cs="宋体"/>
          <w:sz w:val="36"/>
        </w:rPr>
      </w:pPr>
      <w:r>
        <w:rPr>
          <w:rFonts w:hint="eastAsia" w:ascii="宋体" w:hAnsi="宋体" w:cs="宋体"/>
          <w:sz w:val="36"/>
        </w:rPr>
        <w:t>合同条款及格式……………………………</w:t>
      </w:r>
      <w:r>
        <w:rPr>
          <w:rFonts w:ascii="宋体" w:hAnsi="宋体" w:cs="宋体"/>
          <w:sz w:val="36"/>
        </w:rPr>
        <w:t>1</w:t>
      </w:r>
      <w:r>
        <w:rPr>
          <w:rFonts w:hint="eastAsia" w:ascii="宋体" w:hAnsi="宋体" w:cs="宋体"/>
          <w:sz w:val="36"/>
          <w:lang w:val="en-US" w:eastAsia="zh-CN"/>
        </w:rPr>
        <w:t>6</w:t>
      </w:r>
    </w:p>
    <w:p w14:paraId="498BBA0F">
      <w:pPr>
        <w:numPr>
          <w:ilvl w:val="0"/>
          <w:numId w:val="1"/>
        </w:numPr>
        <w:spacing w:line="480" w:lineRule="auto"/>
        <w:outlineLvl w:val="0"/>
        <w:rPr>
          <w:rFonts w:hint="eastAsia" w:ascii="宋体" w:hAnsi="宋体" w:cs="宋体"/>
          <w:sz w:val="36"/>
        </w:rPr>
      </w:pPr>
      <w:r>
        <w:rPr>
          <w:rFonts w:hint="eastAsia" w:ascii="宋体" w:hAnsi="宋体" w:cs="宋体"/>
          <w:sz w:val="36"/>
        </w:rPr>
        <w:t>采购需求……………………………………2</w:t>
      </w:r>
      <w:r>
        <w:rPr>
          <w:rFonts w:hint="eastAsia" w:ascii="宋体" w:hAnsi="宋体" w:cs="宋体"/>
          <w:sz w:val="36"/>
          <w:lang w:val="en-US" w:eastAsia="zh-CN"/>
        </w:rPr>
        <w:t>0</w:t>
      </w:r>
    </w:p>
    <w:p w14:paraId="48FFF21D">
      <w:pPr>
        <w:numPr>
          <w:ilvl w:val="0"/>
          <w:numId w:val="1"/>
        </w:numPr>
        <w:spacing w:line="480" w:lineRule="auto"/>
        <w:outlineLvl w:val="0"/>
        <w:rPr>
          <w:rFonts w:hint="eastAsia" w:ascii="宋体" w:hAnsi="宋体" w:cs="宋体"/>
          <w:sz w:val="36"/>
        </w:rPr>
      </w:pPr>
      <w:r>
        <w:rPr>
          <w:rFonts w:hint="eastAsia" w:ascii="宋体" w:hAnsi="宋体" w:cs="宋体"/>
          <w:bCs/>
          <w:sz w:val="36"/>
          <w:szCs w:val="36"/>
        </w:rPr>
        <w:t>评标方法与评标标准</w:t>
      </w:r>
      <w:r>
        <w:rPr>
          <w:rFonts w:hint="eastAsia" w:ascii="宋体" w:hAnsi="宋体" w:cs="宋体"/>
          <w:sz w:val="36"/>
        </w:rPr>
        <w:t>……………………</w:t>
      </w:r>
      <w:r>
        <w:rPr>
          <w:rFonts w:hint="eastAsia" w:ascii="宋体" w:hAnsi="宋体" w:cs="宋体"/>
          <w:sz w:val="36"/>
          <w:lang w:val="en-US" w:eastAsia="zh-CN"/>
        </w:rPr>
        <w:t>116</w:t>
      </w:r>
    </w:p>
    <w:p w14:paraId="2ED85974">
      <w:pPr>
        <w:numPr>
          <w:ilvl w:val="0"/>
          <w:numId w:val="1"/>
        </w:numPr>
        <w:spacing w:line="480" w:lineRule="auto"/>
        <w:outlineLvl w:val="0"/>
        <w:rPr>
          <w:rFonts w:hint="eastAsia" w:ascii="宋体" w:hAnsi="宋体" w:cs="宋体"/>
          <w:sz w:val="36"/>
        </w:rPr>
      </w:pPr>
      <w:r>
        <w:rPr>
          <w:rFonts w:hint="eastAsia" w:ascii="宋体" w:hAnsi="宋体" w:cs="宋体"/>
          <w:sz w:val="36"/>
        </w:rPr>
        <w:t>投标文件格式……………………………</w:t>
      </w:r>
      <w:r>
        <w:rPr>
          <w:rFonts w:hint="eastAsia" w:ascii="宋体" w:hAnsi="宋体" w:cs="宋体"/>
          <w:sz w:val="36"/>
          <w:lang w:val="en-US" w:eastAsia="zh-CN"/>
        </w:rPr>
        <w:t>122</w:t>
      </w:r>
    </w:p>
    <w:p w14:paraId="3CB81F7D">
      <w:pPr>
        <w:rPr>
          <w:rFonts w:hint="eastAsia" w:ascii="宋体" w:hAnsi="宋体" w:cs="宋体"/>
        </w:rPr>
        <w:sectPr>
          <w:footerReference r:id="rId3" w:type="default"/>
          <w:pgSz w:w="11906" w:h="16838"/>
          <w:pgMar w:top="1440" w:right="1800" w:bottom="1440" w:left="1800" w:header="851" w:footer="992" w:gutter="0"/>
          <w:pgNumType w:fmt="decimal" w:start="1"/>
          <w:cols w:space="720" w:num="1"/>
          <w:docGrid w:linePitch="360" w:charSpace="0"/>
        </w:sectPr>
      </w:pPr>
    </w:p>
    <w:p w14:paraId="774D4C04">
      <w:pPr>
        <w:pStyle w:val="20"/>
        <w:rPr>
          <w:rFonts w:hint="eastAsia" w:ascii="宋体" w:hAnsi="宋体" w:eastAsia="宋体" w:cs="宋体"/>
          <w:sz w:val="24"/>
          <w:szCs w:val="24"/>
        </w:rPr>
      </w:pPr>
      <w:r>
        <w:rPr>
          <w:rFonts w:hint="eastAsia" w:ascii="宋体" w:hAnsi="宋体" w:eastAsia="宋体" w:cs="宋体"/>
          <w:sz w:val="44"/>
          <w:szCs w:val="44"/>
        </w:rPr>
        <w:t xml:space="preserve">第一章  </w:t>
      </w:r>
      <w:bookmarkEnd w:id="0"/>
      <w:r>
        <w:rPr>
          <w:rFonts w:hint="eastAsia" w:ascii="宋体" w:hAnsi="宋体" w:eastAsia="宋体" w:cs="宋体"/>
          <w:sz w:val="44"/>
          <w:szCs w:val="44"/>
        </w:rPr>
        <w:t>招标公告</w:t>
      </w:r>
    </w:p>
    <w:p w14:paraId="5EE9E677">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sz w:val="24"/>
          <w:szCs w:val="24"/>
        </w:rPr>
      </w:pPr>
      <w:r>
        <w:rPr>
          <w:rFonts w:hint="eastAsia" w:ascii="宋体" w:hAnsi="宋体" w:cs="宋体"/>
          <w:sz w:val="24"/>
          <w:szCs w:val="24"/>
        </w:rPr>
        <w:t>项目概况</w:t>
      </w:r>
    </w:p>
    <w:p w14:paraId="28EE9322">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sz w:val="24"/>
          <w:szCs w:val="24"/>
        </w:rPr>
      </w:pPr>
      <w:r>
        <w:rPr>
          <w:rFonts w:hint="eastAsia" w:ascii="宋体" w:hAnsi="宋体" w:cs="宋体"/>
          <w:sz w:val="24"/>
          <w:szCs w:val="24"/>
          <w:u w:val="single"/>
          <w:lang w:eastAsia="zh-CN"/>
        </w:rPr>
        <w:t>2024年“智慧安防村居”建设项目</w:t>
      </w:r>
      <w:r>
        <w:rPr>
          <w:rFonts w:hint="eastAsia" w:ascii="宋体" w:hAnsi="宋体" w:cs="宋体"/>
          <w:sz w:val="24"/>
          <w:szCs w:val="24"/>
        </w:rPr>
        <w:t>的潜在投标人应在</w:t>
      </w:r>
      <w:r>
        <w:rPr>
          <w:rFonts w:hint="eastAsia" w:ascii="宋体" w:hAnsi="宋体" w:cs="宋体"/>
          <w:sz w:val="24"/>
          <w:szCs w:val="24"/>
          <w:u w:val="single"/>
        </w:rPr>
        <w:t>江苏政府采购网、盐城市政府采购网</w:t>
      </w:r>
      <w:r>
        <w:rPr>
          <w:rFonts w:hint="eastAsia" w:ascii="宋体" w:hAnsi="宋体" w:cs="宋体"/>
          <w:sz w:val="24"/>
          <w:szCs w:val="24"/>
        </w:rPr>
        <w:t>获取招标文件，并于</w:t>
      </w:r>
      <w:r>
        <w:rPr>
          <w:rFonts w:hint="eastAsia" w:ascii="宋体" w:hAnsi="宋体" w:cs="宋体"/>
          <w:sz w:val="24"/>
          <w:szCs w:val="24"/>
          <w:u w:val="single"/>
        </w:rPr>
        <w:t>202</w:t>
      </w:r>
      <w:r>
        <w:rPr>
          <w:rFonts w:ascii="宋体" w:hAnsi="宋体" w:cs="宋体"/>
          <w:sz w:val="24"/>
          <w:szCs w:val="24"/>
          <w:u w:val="single"/>
        </w:rPr>
        <w:t>4</w:t>
      </w:r>
      <w:r>
        <w:rPr>
          <w:rFonts w:hint="eastAsia" w:ascii="宋体" w:hAnsi="宋体" w:cs="宋体"/>
          <w:bCs/>
          <w:sz w:val="24"/>
          <w:szCs w:val="24"/>
          <w:u w:val="single"/>
        </w:rPr>
        <w:t>年</w:t>
      </w:r>
      <w:r>
        <w:rPr>
          <w:rFonts w:hint="eastAsia" w:ascii="宋体" w:hAnsi="宋体" w:cs="宋体"/>
          <w:bCs/>
          <w:sz w:val="24"/>
          <w:szCs w:val="24"/>
          <w:u w:val="single"/>
          <w:lang w:val="en-US" w:eastAsia="zh-CN"/>
        </w:rPr>
        <w:t>9</w:t>
      </w:r>
      <w:r>
        <w:rPr>
          <w:rFonts w:hint="eastAsia" w:ascii="宋体" w:hAnsi="宋体" w:cs="宋体"/>
          <w:bCs/>
          <w:sz w:val="24"/>
          <w:szCs w:val="24"/>
          <w:u w:val="single"/>
        </w:rPr>
        <w:t>月</w:t>
      </w:r>
      <w:r>
        <w:rPr>
          <w:rFonts w:hint="eastAsia" w:ascii="宋体" w:hAnsi="宋体" w:cs="宋体"/>
          <w:bCs/>
          <w:sz w:val="24"/>
          <w:szCs w:val="24"/>
          <w:u w:val="single"/>
          <w:lang w:val="en-US" w:eastAsia="zh-CN"/>
        </w:rPr>
        <w:t>2</w:t>
      </w:r>
      <w:r>
        <w:rPr>
          <w:rFonts w:hint="eastAsia" w:ascii="宋体" w:hAnsi="宋体" w:cs="宋体"/>
          <w:bCs/>
          <w:sz w:val="24"/>
          <w:szCs w:val="24"/>
          <w:u w:val="single"/>
        </w:rPr>
        <w:t>日</w:t>
      </w:r>
      <w:r>
        <w:rPr>
          <w:rFonts w:hint="eastAsia" w:ascii="宋体" w:hAnsi="宋体" w:cs="宋体"/>
          <w:bCs/>
          <w:sz w:val="24"/>
          <w:szCs w:val="24"/>
          <w:u w:val="single"/>
          <w:lang w:val="en-US" w:eastAsia="zh-CN"/>
        </w:rPr>
        <w:t>9</w:t>
      </w:r>
      <w:r>
        <w:rPr>
          <w:rFonts w:hint="eastAsia" w:ascii="宋体" w:hAnsi="宋体" w:cs="宋体"/>
          <w:bCs/>
          <w:sz w:val="24"/>
          <w:szCs w:val="24"/>
          <w:u w:val="single"/>
        </w:rPr>
        <w:t>点 00 分（</w:t>
      </w:r>
      <w:r>
        <w:rPr>
          <w:rFonts w:hint="eastAsia" w:ascii="宋体" w:hAnsi="宋体" w:cs="宋体"/>
          <w:bCs/>
          <w:sz w:val="24"/>
          <w:szCs w:val="24"/>
        </w:rPr>
        <w:t>北京时间）前递交投标文件</w:t>
      </w:r>
      <w:r>
        <w:rPr>
          <w:rFonts w:hint="eastAsia" w:ascii="宋体" w:hAnsi="宋体" w:cs="宋体"/>
          <w:sz w:val="24"/>
          <w:szCs w:val="24"/>
        </w:rPr>
        <w:t>。</w:t>
      </w:r>
    </w:p>
    <w:p w14:paraId="7CA0BDE1">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一、项目基本情况</w:t>
      </w:r>
    </w:p>
    <w:p w14:paraId="50D755E2">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sz w:val="24"/>
          <w:szCs w:val="24"/>
          <w:lang w:eastAsia="zh-CN"/>
        </w:rPr>
      </w:pPr>
      <w:r>
        <w:rPr>
          <w:rFonts w:hint="eastAsia" w:ascii="宋体" w:hAnsi="宋体"/>
          <w:sz w:val="24"/>
          <w:szCs w:val="24"/>
        </w:rPr>
        <w:t>项目编号：</w:t>
      </w:r>
      <w:r>
        <w:rPr>
          <w:rFonts w:hint="eastAsia" w:ascii="宋体" w:hAnsi="宋体"/>
          <w:sz w:val="24"/>
          <w:szCs w:val="24"/>
          <w:lang w:eastAsia="zh-CN"/>
        </w:rPr>
        <w:t>JSZC-320904-JZCG-G2024-0042</w:t>
      </w:r>
      <w:r>
        <w:rPr>
          <w:rFonts w:hint="eastAsia" w:ascii="宋体" w:hAnsi="宋体"/>
          <w:sz w:val="24"/>
          <w:szCs w:val="24"/>
          <w:lang w:val="en-US" w:eastAsia="zh-CN"/>
        </w:rPr>
        <w:t xml:space="preserve"> </w:t>
      </w:r>
    </w:p>
    <w:p w14:paraId="33C89C4C">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sz w:val="24"/>
          <w:szCs w:val="24"/>
          <w:lang w:eastAsia="zh-CN"/>
        </w:rPr>
      </w:pPr>
      <w:r>
        <w:rPr>
          <w:rFonts w:hint="eastAsia" w:ascii="宋体" w:hAnsi="宋体"/>
          <w:sz w:val="24"/>
          <w:szCs w:val="24"/>
        </w:rPr>
        <w:t>项目名称：</w:t>
      </w:r>
      <w:r>
        <w:rPr>
          <w:rFonts w:hint="eastAsia" w:ascii="宋体" w:hAnsi="宋体"/>
          <w:sz w:val="24"/>
          <w:szCs w:val="24"/>
          <w:lang w:eastAsia="zh-CN"/>
        </w:rPr>
        <w:t>2024年“智慧安防村居”建设项目</w:t>
      </w:r>
    </w:p>
    <w:p w14:paraId="6640C738">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预算金额：人民币</w:t>
      </w:r>
      <w:r>
        <w:rPr>
          <w:rFonts w:hint="eastAsia" w:ascii="宋体" w:hAnsi="宋体"/>
          <w:sz w:val="24"/>
          <w:szCs w:val="24"/>
          <w:lang w:val="en-US" w:eastAsia="zh-CN"/>
        </w:rPr>
        <w:t>1350</w:t>
      </w:r>
      <w:r>
        <w:rPr>
          <w:rFonts w:ascii="宋体" w:hAnsi="宋体"/>
          <w:sz w:val="24"/>
          <w:szCs w:val="24"/>
        </w:rPr>
        <w:t>万元；</w:t>
      </w:r>
    </w:p>
    <w:p w14:paraId="669A2BD3">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最高限价：人民币</w:t>
      </w:r>
      <w:r>
        <w:rPr>
          <w:rFonts w:hint="eastAsia" w:ascii="宋体" w:hAnsi="宋体"/>
          <w:sz w:val="24"/>
          <w:szCs w:val="24"/>
          <w:lang w:val="en-US" w:eastAsia="zh-CN"/>
        </w:rPr>
        <w:t>1350</w:t>
      </w:r>
      <w:r>
        <w:rPr>
          <w:rFonts w:ascii="宋体" w:hAnsi="宋体"/>
          <w:sz w:val="24"/>
          <w:szCs w:val="24"/>
        </w:rPr>
        <w:t>万元；</w:t>
      </w:r>
    </w:p>
    <w:p w14:paraId="3CD4B9A4">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采购需求：</w:t>
      </w:r>
      <w:r>
        <w:rPr>
          <w:rFonts w:hint="eastAsia" w:ascii="宋体" w:hAnsi="宋体"/>
          <w:sz w:val="24"/>
          <w:szCs w:val="24"/>
          <w:lang w:val="en-US" w:eastAsia="zh-CN"/>
        </w:rPr>
        <w:t>抓拍设备、杆件、机房、存储、软件平台</w:t>
      </w:r>
      <w:r>
        <w:rPr>
          <w:rFonts w:hint="eastAsia" w:ascii="宋体" w:hAnsi="宋体"/>
          <w:bCs/>
          <w:sz w:val="24"/>
          <w:szCs w:val="24"/>
        </w:rPr>
        <w:t>等采购、包装、运输保险、安装布置就位、调试、验收，质保期内的维保服务，配套光纤服务和其他服务，还包括但不限于提供各项资料等伴随服务,具体详见本项目招标文件采购需求</w:t>
      </w:r>
      <w:r>
        <w:rPr>
          <w:rFonts w:ascii="宋体" w:hAnsi="宋体"/>
          <w:bCs/>
          <w:sz w:val="24"/>
          <w:szCs w:val="24"/>
        </w:rPr>
        <w:t>。</w:t>
      </w:r>
    </w:p>
    <w:p w14:paraId="362CE7B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sz w:val="24"/>
          <w:szCs w:val="24"/>
        </w:rPr>
      </w:pPr>
      <w:r>
        <w:rPr>
          <w:rFonts w:hint="eastAsia" w:ascii="宋体" w:hAnsi="宋体"/>
          <w:sz w:val="24"/>
          <w:szCs w:val="24"/>
        </w:rPr>
        <w:t>合同履行期限：合同签订后</w:t>
      </w:r>
      <w:r>
        <w:rPr>
          <w:rFonts w:hint="eastAsia" w:ascii="宋体" w:hAnsi="宋体"/>
          <w:sz w:val="24"/>
          <w:szCs w:val="24"/>
          <w:lang w:val="en-US" w:eastAsia="zh-CN"/>
        </w:rPr>
        <w:t>100</w:t>
      </w:r>
      <w:r>
        <w:rPr>
          <w:rFonts w:hint="eastAsia" w:ascii="宋体" w:hAnsi="宋体"/>
          <w:sz w:val="24"/>
          <w:szCs w:val="24"/>
        </w:rPr>
        <w:t>日历天全部完成并经采购人验收合格。</w:t>
      </w:r>
    </w:p>
    <w:p w14:paraId="64BC6D85">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质保期：五年。</w:t>
      </w:r>
    </w:p>
    <w:p w14:paraId="5A7AB621">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本项目不接受联合体投标。</w:t>
      </w:r>
    </w:p>
    <w:p w14:paraId="71033D61">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二、申请人的资格要求：</w:t>
      </w:r>
    </w:p>
    <w:p w14:paraId="27012510">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1.满足《中华人民共和国政府采购法》第二十二条规定，并提供下列材料；</w:t>
      </w:r>
    </w:p>
    <w:p w14:paraId="7A6EACC8">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(1)法人或者其他组织的营业执照等证明文件，自然人的身份证明；</w:t>
      </w:r>
    </w:p>
    <w:p w14:paraId="7B755668">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(2)上一年度的财务</w:t>
      </w:r>
      <w:r>
        <w:rPr>
          <w:rFonts w:hint="eastAsia" w:ascii="宋体" w:hAnsi="宋体"/>
          <w:sz w:val="24"/>
          <w:szCs w:val="24"/>
          <w:lang w:eastAsia="zh-CN"/>
        </w:rPr>
        <w:t>状况报告</w:t>
      </w:r>
      <w:r>
        <w:rPr>
          <w:rFonts w:ascii="宋体" w:hAnsi="宋体"/>
          <w:sz w:val="24"/>
          <w:szCs w:val="24"/>
        </w:rPr>
        <w:t>（成立不满一年不需提供）；</w:t>
      </w:r>
    </w:p>
    <w:p w14:paraId="25DAB38F">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(3)依法缴纳税收和社会保障资金的相关材料；</w:t>
      </w:r>
    </w:p>
    <w:p w14:paraId="451C875C">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(4)具备履行合同所必需的设备和专业技术能力的书面声明；</w:t>
      </w:r>
    </w:p>
    <w:p w14:paraId="76D3EA07">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bookmarkStart w:id="6" w:name="_Hlk151391965"/>
      <w:r>
        <w:rPr>
          <w:rFonts w:ascii="宋体" w:hAnsi="宋体"/>
          <w:sz w:val="24"/>
          <w:szCs w:val="24"/>
        </w:rPr>
        <w:t>(5)</w:t>
      </w:r>
      <w:bookmarkEnd w:id="6"/>
      <w:r>
        <w:rPr>
          <w:rFonts w:ascii="宋体" w:hAnsi="宋体"/>
          <w:sz w:val="24"/>
          <w:szCs w:val="24"/>
        </w:rPr>
        <w:t>参加政府采购活动前3年内在经营活动中没有重大违法记录的书面声明；</w:t>
      </w:r>
    </w:p>
    <w:p w14:paraId="27E60BC7">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2.落实政府采购政策需满足的资格要求：</w:t>
      </w:r>
      <w:r>
        <w:rPr>
          <w:rFonts w:hint="eastAsia" w:ascii="宋体" w:hAnsi="宋体"/>
          <w:sz w:val="24"/>
          <w:szCs w:val="24"/>
        </w:rPr>
        <w:t>无</w:t>
      </w:r>
      <w:r>
        <w:rPr>
          <w:rFonts w:ascii="宋体" w:hAnsi="宋体"/>
          <w:sz w:val="24"/>
          <w:szCs w:val="24"/>
        </w:rPr>
        <w:t>。</w:t>
      </w:r>
    </w:p>
    <w:p w14:paraId="63CA4C93">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3.本项目的特定资格要求：</w:t>
      </w:r>
    </w:p>
    <w:p w14:paraId="72716552">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w:t>
      </w:r>
      <w:r>
        <w:rPr>
          <w:rFonts w:ascii="宋体" w:hAnsi="宋体"/>
          <w:sz w:val="24"/>
          <w:szCs w:val="24"/>
        </w:rPr>
        <w:t>1）未被“信用中国”网站（www.creditchina.gov.cn）列入失信被执行人、重大税收违法案件当事人名单、政府采购严重失信行为记录名单。</w:t>
      </w:r>
    </w:p>
    <w:p w14:paraId="36333638">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w:t>
      </w:r>
      <w:r>
        <w:rPr>
          <w:rFonts w:ascii="宋体" w:hAnsi="宋体"/>
          <w:sz w:val="24"/>
          <w:szCs w:val="24"/>
        </w:rPr>
        <w:t>2）单位负责人为同一人或者存在直接控股、管理关系的不同供应商，不得参加同一合同项下的政府采购活动。</w:t>
      </w:r>
    </w:p>
    <w:p w14:paraId="402FC6DA">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三、获取招标文件</w:t>
      </w:r>
    </w:p>
    <w:p w14:paraId="58E7A93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sz w:val="24"/>
          <w:szCs w:val="24"/>
        </w:rPr>
      </w:pPr>
      <w:r>
        <w:rPr>
          <w:rFonts w:hint="eastAsia" w:ascii="宋体" w:hAnsi="宋体"/>
          <w:sz w:val="24"/>
          <w:szCs w:val="24"/>
        </w:rPr>
        <w:t>时间：自招标文件公告发布之日至投标文件提交截止之日</w:t>
      </w:r>
    </w:p>
    <w:p w14:paraId="513CDAEC">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sz w:val="24"/>
          <w:szCs w:val="24"/>
        </w:rPr>
      </w:pPr>
      <w:r>
        <w:rPr>
          <w:rFonts w:hint="eastAsia" w:ascii="宋体" w:hAnsi="宋体"/>
          <w:sz w:val="24"/>
          <w:szCs w:val="24"/>
        </w:rPr>
        <w:t>方式：网上自行免费下载招标文件。</w:t>
      </w:r>
    </w:p>
    <w:p w14:paraId="7BE94030">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sz w:val="24"/>
          <w:szCs w:val="24"/>
        </w:rPr>
      </w:pPr>
      <w:r>
        <w:rPr>
          <w:rFonts w:hint="eastAsia" w:ascii="宋体" w:hAnsi="宋体"/>
          <w:sz w:val="24"/>
          <w:szCs w:val="24"/>
        </w:rPr>
        <w:t>注意事项：</w:t>
      </w:r>
    </w:p>
    <w:p w14:paraId="15CBBBB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sz w:val="24"/>
          <w:szCs w:val="24"/>
        </w:rPr>
      </w:pPr>
      <w:r>
        <w:rPr>
          <w:rFonts w:hint="eastAsia" w:ascii="宋体" w:hAnsi="宋体"/>
          <w:sz w:val="24"/>
          <w:szCs w:val="24"/>
        </w:rPr>
        <w:t>关与CA办理：根据省财政厅《关于更换全省政府采购交易系统C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6B1A17A6">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sz w:val="24"/>
          <w:szCs w:val="24"/>
        </w:rPr>
      </w:pPr>
      <w:r>
        <w:rPr>
          <w:rFonts w:hint="eastAsia" w:ascii="宋体" w:hAnsi="宋体"/>
          <w:sz w:val="24"/>
          <w:szCs w:val="24"/>
        </w:rPr>
        <w:t>领取CA和办理电子签章(请至盐城市亭湖区政务服务中心二楼226CA办理窗口办理（联系电话：15051556883），具体联系方式见《苏采云系统供应商操作手册》（以下简称《操作手册》））、进行注册并按《操作手册》要求制作、上传电子投标文件。</w:t>
      </w:r>
    </w:p>
    <w:p w14:paraId="7073A7A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sz w:val="24"/>
          <w:szCs w:val="24"/>
        </w:rPr>
      </w:pPr>
      <w:r>
        <w:rPr>
          <w:rFonts w:hint="eastAsia" w:ascii="宋体" w:hAnsi="宋体"/>
          <w:sz w:val="24"/>
          <w:szCs w:val="24"/>
        </w:rPr>
        <w:t>供应商操作过程中有问题联系软件公司的联系方式：投标人在使用系统进行投标的过程中如遇到涉及“苏采云”系统使用的任何问题，应在工作日上午9：00-11：30下午13：30-17：30期间致电技术实现热线咨询，联系电话：0519-86722805、0519-86617173。</w:t>
      </w:r>
    </w:p>
    <w:p w14:paraId="4B93CC77">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四、提交投标文件截止时间、开标时间和地点</w:t>
      </w:r>
    </w:p>
    <w:p w14:paraId="32DE9772">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sz w:val="24"/>
          <w:szCs w:val="24"/>
        </w:rPr>
      </w:pPr>
      <w:r>
        <w:rPr>
          <w:rFonts w:hint="eastAsia" w:ascii="宋体" w:hAnsi="宋体"/>
          <w:sz w:val="24"/>
          <w:szCs w:val="24"/>
        </w:rPr>
        <w:t>1. 2024年</w:t>
      </w:r>
      <w:r>
        <w:rPr>
          <w:rFonts w:hint="eastAsia" w:ascii="宋体" w:hAnsi="宋体"/>
          <w:sz w:val="24"/>
          <w:szCs w:val="24"/>
          <w:lang w:val="en-US" w:eastAsia="zh-CN"/>
        </w:rPr>
        <w:t>9</w:t>
      </w:r>
      <w:r>
        <w:rPr>
          <w:rFonts w:hint="eastAsia" w:ascii="宋体" w:hAnsi="宋体"/>
          <w:sz w:val="24"/>
          <w:szCs w:val="24"/>
        </w:rPr>
        <w:t>月</w:t>
      </w:r>
      <w:r>
        <w:rPr>
          <w:rFonts w:hint="eastAsia" w:ascii="宋体" w:hAnsi="宋体"/>
          <w:sz w:val="24"/>
          <w:szCs w:val="24"/>
          <w:lang w:val="en-US" w:eastAsia="zh-CN"/>
        </w:rPr>
        <w:t>2</w:t>
      </w:r>
      <w:r>
        <w:rPr>
          <w:rFonts w:hint="eastAsia" w:ascii="宋体" w:hAnsi="宋体"/>
          <w:sz w:val="24"/>
          <w:szCs w:val="24"/>
        </w:rPr>
        <w:t>日</w:t>
      </w:r>
      <w:r>
        <w:rPr>
          <w:rFonts w:hint="eastAsia" w:ascii="宋体" w:hAnsi="宋体"/>
          <w:sz w:val="24"/>
          <w:szCs w:val="24"/>
          <w:lang w:val="en-US" w:eastAsia="zh-CN"/>
        </w:rPr>
        <w:t>9</w:t>
      </w:r>
      <w:r>
        <w:rPr>
          <w:rFonts w:hint="eastAsia" w:ascii="宋体" w:hAnsi="宋体"/>
          <w:sz w:val="24"/>
          <w:szCs w:val="24"/>
        </w:rPr>
        <w:t>点</w:t>
      </w:r>
      <w:r>
        <w:rPr>
          <w:rFonts w:ascii="宋体" w:hAnsi="宋体"/>
          <w:sz w:val="24"/>
          <w:szCs w:val="24"/>
        </w:rPr>
        <w:t>00</w:t>
      </w:r>
      <w:r>
        <w:rPr>
          <w:rFonts w:hint="eastAsia" w:ascii="宋体" w:hAnsi="宋体"/>
          <w:sz w:val="24"/>
          <w:szCs w:val="24"/>
        </w:rPr>
        <w:t>分（北京时间）</w:t>
      </w:r>
    </w:p>
    <w:p w14:paraId="14FCB00F">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2.地点：“苏采云”政府采购交易系统网上开标大厅。</w:t>
      </w:r>
    </w:p>
    <w:p w14:paraId="1A4636AF">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五、公告期限</w:t>
      </w:r>
    </w:p>
    <w:p w14:paraId="28E129BC">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自本公告发布之日起</w:t>
      </w:r>
      <w:r>
        <w:rPr>
          <w:rFonts w:ascii="宋体" w:hAnsi="宋体"/>
          <w:sz w:val="24"/>
          <w:szCs w:val="24"/>
        </w:rPr>
        <w:t>5个工作日。</w:t>
      </w:r>
    </w:p>
    <w:p w14:paraId="24A76280">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六、其他补充事宜</w:t>
      </w:r>
    </w:p>
    <w:p w14:paraId="06DF93DA">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1、电子投标文件一份(通过系统提交)；纸质投标文件正本一份，副本四份（评审结束后由中标候选人邮寄至采购人，未中标单位不需要提供）。</w:t>
      </w:r>
    </w:p>
    <w:p w14:paraId="165E91AA">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2、有关本次招标的事项若存在变动或修改，敬请及时关注“江苏政府采购网”、“盐城市政府采购网”发布的更正公告。</w:t>
      </w:r>
    </w:p>
    <w:p w14:paraId="24AAA635">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ascii="宋体" w:hAnsi="宋体"/>
          <w:sz w:val="24"/>
          <w:szCs w:val="24"/>
        </w:rPr>
        <w:t>3、</w:t>
      </w:r>
      <w:r>
        <w:rPr>
          <w:rFonts w:hint="eastAsia" w:ascii="宋体" w:hAnsi="宋体"/>
          <w:sz w:val="24"/>
          <w:szCs w:val="24"/>
        </w:rPr>
        <w:t>本次招标不收取投标保证金，不收取质量保证金。</w:t>
      </w:r>
    </w:p>
    <w:p w14:paraId="17F78872">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七、对本次招标提出询问，请按以下方式联系。</w:t>
      </w:r>
    </w:p>
    <w:p w14:paraId="6500A6C4">
      <w:pPr>
        <w:pStyle w:val="4"/>
        <w:pageBreakBefore w:val="0"/>
        <w:widowControl w:val="0"/>
        <w:kinsoku/>
        <w:wordWrap/>
        <w:overflowPunct/>
        <w:topLinePunct w:val="0"/>
        <w:autoSpaceDE/>
        <w:autoSpaceDN/>
        <w:bidi w:val="0"/>
        <w:adjustRightInd/>
        <w:snapToGrid/>
        <w:spacing w:line="400" w:lineRule="exact"/>
        <w:jc w:val="both"/>
        <w:textAlignment w:val="auto"/>
        <w:rPr>
          <w:rFonts w:ascii="宋体" w:hAnsi="宋体" w:eastAsia="宋体" w:cs="宋体"/>
          <w:b w:val="0"/>
          <w:sz w:val="24"/>
          <w:szCs w:val="24"/>
        </w:rPr>
      </w:pPr>
      <w:bookmarkStart w:id="7" w:name="_Toc28359096"/>
      <w:bookmarkStart w:id="8" w:name="_Toc28359019"/>
      <w:bookmarkStart w:id="9" w:name="_Toc35393806"/>
      <w:bookmarkStart w:id="10" w:name="_Toc35393637"/>
      <w:r>
        <w:rPr>
          <w:rFonts w:hint="eastAsia" w:ascii="宋体" w:hAnsi="宋体" w:eastAsia="宋体" w:cs="宋体"/>
          <w:b w:val="0"/>
          <w:sz w:val="24"/>
          <w:szCs w:val="24"/>
        </w:rPr>
        <w:t>1.采购人信息</w:t>
      </w:r>
      <w:bookmarkEnd w:id="7"/>
      <w:bookmarkEnd w:id="8"/>
      <w:bookmarkEnd w:id="9"/>
      <w:bookmarkEnd w:id="10"/>
    </w:p>
    <w:p w14:paraId="34316E43">
      <w:pPr>
        <w:pageBreakBefore w:val="0"/>
        <w:widowControl w:val="0"/>
        <w:kinsoku/>
        <w:wordWrap/>
        <w:overflowPunct/>
        <w:topLinePunct w:val="0"/>
        <w:autoSpaceDE/>
        <w:autoSpaceDN/>
        <w:bidi w:val="0"/>
        <w:adjustRightInd/>
        <w:snapToGrid/>
        <w:spacing w:line="400" w:lineRule="exact"/>
        <w:ind w:left="1079" w:leftChars="371" w:hanging="300" w:hangingChars="125"/>
        <w:jc w:val="left"/>
        <w:textAlignment w:val="auto"/>
        <w:rPr>
          <w:rFonts w:ascii="宋体" w:hAnsi="宋体" w:cs="宋体"/>
          <w:kern w:val="0"/>
          <w:sz w:val="24"/>
          <w:szCs w:val="24"/>
          <w:u w:val="single"/>
        </w:rPr>
      </w:pPr>
      <w:r>
        <w:rPr>
          <w:rFonts w:hint="eastAsia" w:ascii="宋体" w:hAnsi="宋体" w:cs="宋体"/>
          <w:sz w:val="24"/>
          <w:szCs w:val="24"/>
        </w:rPr>
        <w:t>名    称：</w:t>
      </w:r>
      <w:r>
        <w:rPr>
          <w:rFonts w:hint="eastAsia" w:ascii="宋体" w:hAnsi="宋体" w:cs="宋体"/>
          <w:kern w:val="0"/>
          <w:sz w:val="24"/>
          <w:szCs w:val="24"/>
          <w:u w:val="none"/>
        </w:rPr>
        <w:t>盐城市大丰区公安局</w:t>
      </w:r>
    </w:p>
    <w:p w14:paraId="52F4A736">
      <w:pPr>
        <w:pageBreakBefore w:val="0"/>
        <w:widowControl w:val="0"/>
        <w:kinsoku/>
        <w:wordWrap/>
        <w:overflowPunct/>
        <w:topLinePunct w:val="0"/>
        <w:autoSpaceDE/>
        <w:autoSpaceDN/>
        <w:bidi w:val="0"/>
        <w:adjustRightInd/>
        <w:snapToGrid/>
        <w:spacing w:line="400" w:lineRule="exact"/>
        <w:ind w:left="1079" w:leftChars="371" w:hanging="300" w:hangingChars="125"/>
        <w:jc w:val="left"/>
        <w:textAlignment w:val="auto"/>
        <w:rPr>
          <w:rFonts w:ascii="宋体" w:hAnsi="宋体" w:cs="宋体"/>
          <w:sz w:val="24"/>
          <w:szCs w:val="24"/>
          <w:u w:val="single"/>
        </w:rPr>
      </w:pPr>
      <w:r>
        <w:rPr>
          <w:rFonts w:hint="eastAsia" w:ascii="宋体" w:hAnsi="宋体" w:cs="宋体"/>
          <w:sz w:val="24"/>
          <w:szCs w:val="24"/>
        </w:rPr>
        <w:t>地    址：</w:t>
      </w:r>
      <w:bookmarkStart w:id="11" w:name="_Hlk130225944"/>
      <w:r>
        <w:rPr>
          <w:rFonts w:hint="eastAsia" w:ascii="宋体" w:hAnsi="宋体" w:cs="宋体"/>
          <w:kern w:val="0"/>
          <w:sz w:val="24"/>
          <w:szCs w:val="24"/>
          <w:u w:val="none"/>
        </w:rPr>
        <w:t>盐城市大丰市区健康西路21号</w:t>
      </w:r>
      <w:bookmarkEnd w:id="11"/>
    </w:p>
    <w:p w14:paraId="0FE418FF">
      <w:pPr>
        <w:pageBreakBefore w:val="0"/>
        <w:widowControl w:val="0"/>
        <w:kinsoku/>
        <w:wordWrap/>
        <w:overflowPunct/>
        <w:topLinePunct w:val="0"/>
        <w:autoSpaceDE/>
        <w:autoSpaceDN/>
        <w:bidi w:val="0"/>
        <w:adjustRightInd/>
        <w:snapToGrid/>
        <w:spacing w:line="400" w:lineRule="exact"/>
        <w:ind w:left="1079" w:leftChars="371" w:hanging="300" w:hangingChars="125"/>
        <w:jc w:val="left"/>
        <w:textAlignment w:val="auto"/>
        <w:rPr>
          <w:rFonts w:ascii="宋体" w:hAnsi="宋体" w:cs="宋体"/>
          <w:sz w:val="24"/>
          <w:szCs w:val="24"/>
        </w:rPr>
      </w:pPr>
      <w:r>
        <w:rPr>
          <w:rFonts w:hint="eastAsia" w:ascii="宋体" w:hAnsi="宋体" w:cs="宋体"/>
          <w:sz w:val="24"/>
          <w:szCs w:val="24"/>
        </w:rPr>
        <w:t>联</w:t>
      </w:r>
      <w:r>
        <w:rPr>
          <w:rFonts w:hint="eastAsia" w:ascii="宋体" w:hAnsi="宋体" w:cs="宋体"/>
          <w:sz w:val="24"/>
          <w:szCs w:val="24"/>
          <w:lang w:val="en-US" w:eastAsia="zh-CN"/>
        </w:rPr>
        <w:t xml:space="preserve"> </w:t>
      </w:r>
      <w:r>
        <w:rPr>
          <w:rFonts w:hint="eastAsia" w:ascii="宋体" w:hAnsi="宋体" w:cs="宋体"/>
          <w:sz w:val="24"/>
          <w:szCs w:val="24"/>
        </w:rPr>
        <w:t>系</w:t>
      </w:r>
      <w:r>
        <w:rPr>
          <w:rFonts w:hint="eastAsia" w:ascii="宋体" w:hAnsi="宋体" w:cs="宋体"/>
          <w:sz w:val="24"/>
          <w:szCs w:val="24"/>
          <w:lang w:val="en-US" w:eastAsia="zh-CN"/>
        </w:rPr>
        <w:t xml:space="preserve"> </w:t>
      </w:r>
      <w:r>
        <w:rPr>
          <w:rFonts w:hint="eastAsia" w:ascii="宋体" w:hAnsi="宋体" w:cs="宋体"/>
          <w:sz w:val="24"/>
          <w:szCs w:val="24"/>
        </w:rPr>
        <w:t xml:space="preserve">人：  </w:t>
      </w:r>
      <w:r>
        <w:rPr>
          <w:rFonts w:hint="eastAsia" w:ascii="宋体" w:hAnsi="宋体" w:cs="宋体"/>
          <w:sz w:val="24"/>
          <w:szCs w:val="24"/>
          <w:u w:val="none"/>
        </w:rPr>
        <w:t>王建</w:t>
      </w:r>
      <w:r>
        <w:rPr>
          <w:rFonts w:hint="eastAsia" w:ascii="宋体" w:hAnsi="宋体" w:cs="宋体"/>
          <w:sz w:val="24"/>
          <w:szCs w:val="24"/>
        </w:rPr>
        <w:t xml:space="preserve">              </w:t>
      </w:r>
    </w:p>
    <w:p w14:paraId="7A1DE3B8">
      <w:pPr>
        <w:pageBreakBefore w:val="0"/>
        <w:widowControl w:val="0"/>
        <w:kinsoku/>
        <w:wordWrap/>
        <w:overflowPunct/>
        <w:topLinePunct w:val="0"/>
        <w:autoSpaceDE/>
        <w:autoSpaceDN/>
        <w:bidi w:val="0"/>
        <w:adjustRightInd/>
        <w:snapToGrid/>
        <w:spacing w:line="400" w:lineRule="exact"/>
        <w:ind w:left="1079" w:leftChars="371" w:hanging="300" w:hangingChars="125"/>
        <w:jc w:val="left"/>
        <w:textAlignment w:val="auto"/>
        <w:rPr>
          <w:rFonts w:ascii="宋体" w:hAnsi="宋体" w:cs="宋体"/>
          <w:sz w:val="24"/>
          <w:szCs w:val="24"/>
        </w:rPr>
      </w:pPr>
      <w:r>
        <w:rPr>
          <w:rFonts w:hint="eastAsia" w:ascii="宋体" w:hAnsi="宋体" w:cs="宋体"/>
          <w:sz w:val="24"/>
          <w:szCs w:val="24"/>
        </w:rPr>
        <w:t>联系电话：</w:t>
      </w:r>
      <w:r>
        <w:rPr>
          <w:rFonts w:hint="eastAsia" w:ascii="宋体" w:hAnsi="宋体" w:cs="宋体"/>
          <w:kern w:val="0"/>
          <w:sz w:val="24"/>
          <w:szCs w:val="24"/>
          <w:u w:val="none"/>
        </w:rPr>
        <w:t>18862036650</w:t>
      </w:r>
      <w:r>
        <w:rPr>
          <w:rFonts w:hint="eastAsia" w:ascii="宋体" w:hAnsi="宋体" w:cs="宋体"/>
          <w:sz w:val="24"/>
          <w:szCs w:val="24"/>
          <w:u w:val="none"/>
        </w:rPr>
        <w:t xml:space="preserve"> </w:t>
      </w:r>
    </w:p>
    <w:p w14:paraId="053A6510">
      <w:pPr>
        <w:pStyle w:val="4"/>
        <w:pageBreakBefore w:val="0"/>
        <w:widowControl w:val="0"/>
        <w:numPr>
          <w:ilvl w:val="0"/>
          <w:numId w:val="2"/>
        </w:numPr>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sz w:val="24"/>
          <w:szCs w:val="24"/>
          <w:lang w:eastAsia="zh-CN"/>
        </w:rPr>
      </w:pPr>
      <w:bookmarkStart w:id="12" w:name="_Toc28359021"/>
      <w:bookmarkStart w:id="13" w:name="_Toc35393639"/>
      <w:bookmarkStart w:id="14" w:name="_Toc28359098"/>
      <w:bookmarkStart w:id="15" w:name="_Toc35393808"/>
      <w:r>
        <w:rPr>
          <w:rFonts w:hint="eastAsia" w:ascii="宋体" w:hAnsi="宋体" w:eastAsia="宋体" w:cs="宋体"/>
          <w:b w:val="0"/>
          <w:sz w:val="24"/>
          <w:szCs w:val="24"/>
          <w:lang w:eastAsia="zh-CN"/>
        </w:rPr>
        <w:t>采购代理机构（如有）</w:t>
      </w:r>
    </w:p>
    <w:bookmarkEnd w:id="12"/>
    <w:bookmarkEnd w:id="13"/>
    <w:bookmarkEnd w:id="14"/>
    <w:bookmarkEnd w:id="15"/>
    <w:p w14:paraId="41C32DB9">
      <w:pPr>
        <w:pStyle w:val="9"/>
        <w:pageBreakBefore w:val="0"/>
        <w:widowControl w:val="0"/>
        <w:kinsoku/>
        <w:wordWrap/>
        <w:overflowPunct/>
        <w:topLinePunct w:val="0"/>
        <w:autoSpaceDE/>
        <w:autoSpaceDN/>
        <w:bidi w:val="0"/>
        <w:adjustRightInd/>
        <w:snapToGrid/>
        <w:spacing w:line="400" w:lineRule="exact"/>
        <w:ind w:firstLine="720" w:firstLineChars="300"/>
        <w:textAlignment w:val="auto"/>
        <w:rPr>
          <w:rFonts w:hint="eastAsia" w:hAnsi="宋体" w:cs="宋体"/>
          <w:b w:val="0"/>
          <w:sz w:val="24"/>
          <w:szCs w:val="24"/>
          <w:lang w:eastAsia="zh-CN"/>
        </w:rPr>
      </w:pPr>
      <w:r>
        <w:rPr>
          <w:rFonts w:hint="eastAsia" w:hAnsi="宋体" w:cs="宋体"/>
          <w:b w:val="0"/>
          <w:sz w:val="24"/>
          <w:szCs w:val="24"/>
          <w:lang w:eastAsia="zh-CN"/>
        </w:rPr>
        <w:t>单位名称：盐城市大丰区公共资源交易中心</w:t>
      </w:r>
    </w:p>
    <w:p w14:paraId="16E13146">
      <w:pPr>
        <w:pStyle w:val="9"/>
        <w:pageBreakBefore w:val="0"/>
        <w:widowControl w:val="0"/>
        <w:kinsoku/>
        <w:wordWrap/>
        <w:overflowPunct/>
        <w:topLinePunct w:val="0"/>
        <w:autoSpaceDE/>
        <w:autoSpaceDN/>
        <w:bidi w:val="0"/>
        <w:adjustRightInd/>
        <w:snapToGrid/>
        <w:spacing w:line="400" w:lineRule="exact"/>
        <w:ind w:firstLine="720" w:firstLineChars="300"/>
        <w:textAlignment w:val="auto"/>
        <w:rPr>
          <w:rFonts w:hint="eastAsia" w:hAnsi="宋体" w:cs="宋体"/>
          <w:b w:val="0"/>
          <w:sz w:val="24"/>
          <w:szCs w:val="24"/>
          <w:lang w:eastAsia="zh-CN"/>
        </w:rPr>
      </w:pPr>
      <w:r>
        <w:rPr>
          <w:rFonts w:hint="eastAsia" w:hAnsi="宋体" w:cs="宋体"/>
          <w:b w:val="0"/>
          <w:sz w:val="24"/>
          <w:szCs w:val="24"/>
          <w:lang w:eastAsia="zh-CN"/>
        </w:rPr>
        <w:t>单位地址：盐城市大丰区飞达东路100号（丰华国际大厦5楼）</w:t>
      </w:r>
    </w:p>
    <w:p w14:paraId="0AB7E87D">
      <w:pPr>
        <w:pStyle w:val="9"/>
        <w:pageBreakBefore w:val="0"/>
        <w:widowControl w:val="0"/>
        <w:kinsoku/>
        <w:wordWrap/>
        <w:overflowPunct/>
        <w:topLinePunct w:val="0"/>
        <w:autoSpaceDE/>
        <w:autoSpaceDN/>
        <w:bidi w:val="0"/>
        <w:adjustRightInd/>
        <w:snapToGrid/>
        <w:spacing w:line="400" w:lineRule="exact"/>
        <w:ind w:firstLine="720" w:firstLineChars="300"/>
        <w:textAlignment w:val="auto"/>
        <w:rPr>
          <w:rFonts w:hint="eastAsia" w:hAnsi="宋体" w:cs="宋体"/>
          <w:b w:val="0"/>
          <w:sz w:val="24"/>
          <w:szCs w:val="24"/>
          <w:lang w:eastAsia="zh-CN"/>
        </w:rPr>
      </w:pPr>
      <w:r>
        <w:rPr>
          <w:rFonts w:hint="eastAsia" w:hAnsi="宋体" w:cs="宋体"/>
          <w:b w:val="0"/>
          <w:sz w:val="24"/>
          <w:szCs w:val="24"/>
          <w:lang w:eastAsia="zh-CN"/>
        </w:rPr>
        <w:t xml:space="preserve">联系人：  吴亚兵    </w:t>
      </w:r>
    </w:p>
    <w:p w14:paraId="7D6A4067">
      <w:pPr>
        <w:pageBreakBefore w:val="0"/>
        <w:widowControl w:val="0"/>
        <w:kinsoku/>
        <w:wordWrap/>
        <w:overflowPunct/>
        <w:topLinePunct w:val="0"/>
        <w:autoSpaceDE/>
        <w:autoSpaceDN/>
        <w:bidi w:val="0"/>
        <w:adjustRightInd/>
        <w:snapToGrid/>
        <w:spacing w:line="400" w:lineRule="exact"/>
        <w:ind w:firstLine="720" w:firstLineChars="300"/>
        <w:textAlignment w:val="auto"/>
        <w:rPr>
          <w:rFonts w:hint="eastAsia" w:ascii="宋体" w:hAnsi="宋体" w:cs="宋体"/>
          <w:sz w:val="24"/>
          <w:szCs w:val="24"/>
          <w:u w:val="single"/>
        </w:rPr>
      </w:pPr>
      <w:r>
        <w:rPr>
          <w:rFonts w:hint="eastAsia" w:ascii="宋体" w:hAnsi="宋体" w:cs="宋体"/>
          <w:sz w:val="24"/>
          <w:szCs w:val="24"/>
          <w:lang w:eastAsia="zh-CN"/>
        </w:rPr>
        <w:t>联系</w:t>
      </w:r>
      <w:r>
        <w:rPr>
          <w:rFonts w:hint="eastAsia" w:ascii="宋体" w:hAnsi="宋体" w:cs="宋体"/>
          <w:sz w:val="24"/>
          <w:szCs w:val="24"/>
        </w:rPr>
        <w:t>电话：</w:t>
      </w:r>
      <w:r>
        <w:rPr>
          <w:rFonts w:hint="eastAsia" w:ascii="宋体" w:hAnsi="宋体" w:cs="宋体"/>
          <w:sz w:val="24"/>
          <w:szCs w:val="24"/>
          <w:u w:val="none"/>
        </w:rPr>
        <w:t>13390713868　</w:t>
      </w:r>
    </w:p>
    <w:p w14:paraId="53FFDA64">
      <w:pPr>
        <w:pStyle w:val="4"/>
        <w:pageBreakBefore w:val="0"/>
        <w:widowControl w:val="0"/>
        <w:numPr>
          <w:ilvl w:val="0"/>
          <w:numId w:val="2"/>
        </w:numPr>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项目联系方式：</w:t>
      </w:r>
    </w:p>
    <w:p w14:paraId="446AA112">
      <w:pPr>
        <w:pStyle w:val="9"/>
        <w:pageBreakBefore w:val="0"/>
        <w:widowControl w:val="0"/>
        <w:kinsoku/>
        <w:wordWrap/>
        <w:overflowPunct/>
        <w:topLinePunct w:val="0"/>
        <w:autoSpaceDE/>
        <w:autoSpaceDN/>
        <w:bidi w:val="0"/>
        <w:adjustRightInd/>
        <w:snapToGrid/>
        <w:spacing w:line="400" w:lineRule="exact"/>
        <w:ind w:firstLine="720" w:firstLineChars="300"/>
        <w:textAlignment w:val="auto"/>
        <w:rPr>
          <w:rFonts w:hint="eastAsia" w:hAnsi="宋体" w:cs="宋体"/>
          <w:b w:val="0"/>
          <w:sz w:val="24"/>
          <w:szCs w:val="24"/>
          <w:lang w:val="en-US" w:eastAsia="zh-CN"/>
        </w:rPr>
      </w:pPr>
      <w:r>
        <w:rPr>
          <w:rFonts w:hint="eastAsia" w:hAnsi="宋体" w:cs="宋体"/>
          <w:b w:val="0"/>
          <w:sz w:val="24"/>
          <w:szCs w:val="24"/>
          <w:lang w:val="en-US" w:eastAsia="zh-CN"/>
        </w:rPr>
        <w:t>项目联系人：吴亚兵</w:t>
      </w:r>
    </w:p>
    <w:p w14:paraId="77BA9478">
      <w:pPr>
        <w:pStyle w:val="9"/>
        <w:pageBreakBefore w:val="0"/>
        <w:widowControl w:val="0"/>
        <w:kinsoku/>
        <w:wordWrap/>
        <w:overflowPunct/>
        <w:topLinePunct w:val="0"/>
        <w:autoSpaceDE/>
        <w:autoSpaceDN/>
        <w:bidi w:val="0"/>
        <w:adjustRightInd/>
        <w:snapToGrid/>
        <w:spacing w:line="400" w:lineRule="exact"/>
        <w:ind w:firstLine="720" w:firstLineChars="300"/>
        <w:textAlignment w:val="auto"/>
        <w:rPr>
          <w:rFonts w:hint="default" w:hAnsi="宋体" w:cs="宋体"/>
          <w:b w:val="0"/>
          <w:sz w:val="24"/>
          <w:szCs w:val="24"/>
          <w:lang w:val="en-US" w:eastAsia="zh-CN"/>
        </w:rPr>
      </w:pPr>
      <w:r>
        <w:rPr>
          <w:rFonts w:hint="eastAsia" w:hAnsi="宋体" w:cs="宋体"/>
          <w:b w:val="0"/>
          <w:sz w:val="24"/>
          <w:szCs w:val="24"/>
          <w:lang w:val="en-US" w:eastAsia="zh-CN"/>
        </w:rPr>
        <w:t>电话：13390713868</w:t>
      </w:r>
    </w:p>
    <w:p w14:paraId="0D53E10C">
      <w:pPr>
        <w:rPr>
          <w:rFonts w:hint="eastAsia" w:ascii="宋体" w:hAnsi="宋体" w:eastAsia="宋体" w:cs="宋体"/>
        </w:rPr>
      </w:pPr>
      <w:bookmarkStart w:id="16" w:name="_Toc120614211"/>
      <w:r>
        <w:rPr>
          <w:rFonts w:hint="eastAsia" w:ascii="宋体" w:hAnsi="宋体" w:eastAsia="宋体" w:cs="宋体"/>
        </w:rPr>
        <w:br w:type="page"/>
      </w:r>
    </w:p>
    <w:p w14:paraId="28204D2D">
      <w:pPr>
        <w:pStyle w:val="22"/>
        <w:rPr>
          <w:rFonts w:hint="eastAsia" w:ascii="宋体" w:hAnsi="宋体" w:eastAsia="宋体" w:cs="宋体"/>
          <w:b w:val="0"/>
          <w:bCs w:val="0"/>
        </w:rPr>
      </w:pPr>
      <w:r>
        <w:rPr>
          <w:rFonts w:hint="eastAsia" w:ascii="宋体" w:hAnsi="宋体" w:eastAsia="宋体" w:cs="宋体"/>
        </w:rPr>
        <w:t xml:space="preserve">第二章  </w:t>
      </w:r>
      <w:bookmarkEnd w:id="1"/>
      <w:bookmarkEnd w:id="2"/>
      <w:bookmarkEnd w:id="3"/>
      <w:bookmarkEnd w:id="4"/>
      <w:bookmarkEnd w:id="5"/>
      <w:bookmarkEnd w:id="16"/>
      <w:bookmarkStart w:id="17" w:name="_Toc16938518"/>
      <w:bookmarkStart w:id="18" w:name="_Toc513029202"/>
      <w:bookmarkStart w:id="19" w:name="_Toc120614213"/>
      <w:bookmarkStart w:id="20" w:name="_Toc20823274"/>
      <w:r>
        <w:rPr>
          <w:rFonts w:hint="eastAsia" w:ascii="宋体" w:hAnsi="宋体" w:eastAsia="宋体" w:cs="宋体"/>
        </w:rPr>
        <w:t>投标人须知</w:t>
      </w:r>
      <w:bookmarkEnd w:id="17"/>
      <w:bookmarkEnd w:id="18"/>
      <w:bookmarkEnd w:id="19"/>
      <w:bookmarkEnd w:id="20"/>
    </w:p>
    <w:p w14:paraId="3CEA7AF5">
      <w:pPr>
        <w:pStyle w:val="23"/>
        <w:pageBreakBefore w:val="0"/>
        <w:widowControl w:val="0"/>
        <w:kinsoku/>
        <w:wordWrap/>
        <w:overflowPunct/>
        <w:topLinePunct w:val="0"/>
        <w:autoSpaceDE/>
        <w:autoSpaceDN/>
        <w:bidi w:val="0"/>
        <w:adjustRightInd/>
        <w:snapToGrid/>
        <w:spacing w:before="145" w:after="145" w:line="400" w:lineRule="exact"/>
        <w:ind w:firstLine="321"/>
        <w:textAlignment w:val="auto"/>
        <w:rPr>
          <w:rFonts w:hint="eastAsia" w:ascii="宋体" w:hAnsi="宋体" w:cs="宋体"/>
        </w:rPr>
      </w:pPr>
      <w:bookmarkStart w:id="21" w:name="_Toc513029203"/>
      <w:bookmarkStart w:id="22" w:name="_Toc120614214"/>
      <w:bookmarkStart w:id="23" w:name="_Toc16938519"/>
      <w:bookmarkStart w:id="24" w:name="_Toc20823275"/>
      <w:r>
        <w:rPr>
          <w:rFonts w:hint="eastAsia" w:ascii="宋体" w:hAnsi="宋体" w:cs="宋体"/>
        </w:rPr>
        <w:t>一、总则</w:t>
      </w:r>
      <w:bookmarkEnd w:id="21"/>
      <w:bookmarkEnd w:id="22"/>
      <w:bookmarkEnd w:id="23"/>
      <w:bookmarkEnd w:id="24"/>
    </w:p>
    <w:p w14:paraId="6C35740C">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25" w:name="_Hlt16619475"/>
      <w:bookmarkEnd w:id="25"/>
      <w:bookmarkStart w:id="26" w:name="_Toc458694821"/>
      <w:bookmarkStart w:id="27" w:name="_Toc513029204"/>
      <w:bookmarkStart w:id="28" w:name="_Toc20823276"/>
      <w:bookmarkStart w:id="29" w:name="_Toc16938520"/>
      <w:r>
        <w:rPr>
          <w:rFonts w:hint="eastAsia" w:ascii="宋体" w:hAnsi="宋体" w:eastAsia="宋体" w:cs="宋体"/>
          <w:b w:val="0"/>
          <w:bCs w:val="0"/>
        </w:rPr>
        <w:t>1</w:t>
      </w:r>
      <w:bookmarkEnd w:id="26"/>
      <w:r>
        <w:rPr>
          <w:rFonts w:hint="eastAsia" w:ascii="宋体" w:hAnsi="宋体" w:eastAsia="宋体" w:cs="宋体"/>
          <w:b w:val="0"/>
          <w:bCs w:val="0"/>
        </w:rPr>
        <w:t>、招标方式</w:t>
      </w:r>
      <w:bookmarkEnd w:id="27"/>
      <w:bookmarkEnd w:id="28"/>
      <w:bookmarkEnd w:id="29"/>
    </w:p>
    <w:p w14:paraId="2444AA6C">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 本次招标采取公开招标方式，本招标文件仅适用于招标公告中所述项目。</w:t>
      </w:r>
    </w:p>
    <w:p w14:paraId="637434D3">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30" w:name="_Toc513029205"/>
      <w:bookmarkStart w:id="31" w:name="_Toc20823277"/>
      <w:bookmarkStart w:id="32" w:name="_Toc16938521"/>
      <w:r>
        <w:rPr>
          <w:rFonts w:hint="eastAsia" w:ascii="宋体" w:hAnsi="宋体" w:eastAsia="宋体" w:cs="宋体"/>
          <w:b w:val="0"/>
          <w:bCs w:val="0"/>
        </w:rPr>
        <w:t>2、合格的投标人</w:t>
      </w:r>
      <w:bookmarkEnd w:id="30"/>
      <w:bookmarkEnd w:id="31"/>
      <w:bookmarkEnd w:id="32"/>
    </w:p>
    <w:p w14:paraId="3BBC874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2.1满足招标公告中供应商的资格要求的规定。</w:t>
      </w:r>
    </w:p>
    <w:p w14:paraId="2EBF23BF">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2.2 满足本文件实质性条款的规定。</w:t>
      </w:r>
    </w:p>
    <w:p w14:paraId="1CC65F18">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33" w:name="_Toc16938522"/>
      <w:bookmarkStart w:id="34" w:name="_Toc20823278"/>
      <w:bookmarkStart w:id="35" w:name="_Toc513029206"/>
      <w:r>
        <w:rPr>
          <w:rFonts w:hint="eastAsia" w:ascii="宋体" w:hAnsi="宋体" w:eastAsia="宋体" w:cs="宋体"/>
          <w:b w:val="0"/>
          <w:bCs w:val="0"/>
        </w:rPr>
        <w:t>3、适用法律</w:t>
      </w:r>
      <w:bookmarkEnd w:id="33"/>
      <w:bookmarkEnd w:id="34"/>
      <w:bookmarkEnd w:id="35"/>
    </w:p>
    <w:p w14:paraId="0CB24D1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3.1 本次招标及由此产生的合同受中华人民共和国有关的法律法规制约和保护。</w:t>
      </w:r>
    </w:p>
    <w:p w14:paraId="4DDAE35B">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36" w:name="_Toc462564067"/>
      <w:bookmarkStart w:id="37" w:name="_Toc513029207"/>
      <w:bookmarkStart w:id="38" w:name="_Toc20823279"/>
      <w:bookmarkStart w:id="39" w:name="_Toc16938523"/>
      <w:r>
        <w:rPr>
          <w:rFonts w:hint="eastAsia" w:ascii="宋体" w:hAnsi="宋体" w:eastAsia="宋体" w:cs="宋体"/>
          <w:b w:val="0"/>
          <w:bCs w:val="0"/>
        </w:rPr>
        <w:t>4、投标费用</w:t>
      </w:r>
      <w:bookmarkEnd w:id="36"/>
      <w:bookmarkEnd w:id="37"/>
      <w:bookmarkEnd w:id="38"/>
      <w:bookmarkEnd w:id="39"/>
    </w:p>
    <w:p w14:paraId="576C2600">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4.1 投标人应自行承担所有与参加投标有关的费用，无论投标过程中的做法和结果如何，采购人在任何情况下均无义务和责任承担这些费用。</w:t>
      </w:r>
    </w:p>
    <w:p w14:paraId="3298D95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4.2本次招标采购，采购人不收取标书工本费。</w:t>
      </w:r>
    </w:p>
    <w:p w14:paraId="0DCBCCF3">
      <w:pPr>
        <w:pStyle w:val="24"/>
        <w:pageBreakBefore w:val="0"/>
        <w:widowControl w:val="0"/>
        <w:kinsoku/>
        <w:wordWrap/>
        <w:overflowPunct/>
        <w:topLinePunct w:val="0"/>
        <w:autoSpaceDE/>
        <w:autoSpaceDN/>
        <w:bidi w:val="0"/>
        <w:adjustRightInd/>
        <w:snapToGrid/>
        <w:spacing w:before="0" w:after="0" w:line="400" w:lineRule="exact"/>
        <w:ind w:firstLine="452"/>
        <w:textAlignment w:val="auto"/>
        <w:rPr>
          <w:rFonts w:hint="eastAsia" w:ascii="宋体" w:hAnsi="宋体" w:eastAsia="宋体" w:cs="宋体"/>
          <w:b w:val="0"/>
          <w:bCs w:val="0"/>
        </w:rPr>
      </w:pPr>
      <w:r>
        <w:rPr>
          <w:rFonts w:hint="eastAsia" w:ascii="宋体" w:hAnsi="宋体" w:eastAsia="宋体" w:cs="宋体"/>
          <w:sz w:val="30"/>
        </w:rPr>
        <w:t>5、</w:t>
      </w:r>
      <w:r>
        <w:rPr>
          <w:rFonts w:hint="eastAsia" w:ascii="宋体" w:hAnsi="宋体" w:eastAsia="宋体" w:cs="宋体"/>
          <w:b w:val="0"/>
          <w:bCs w:val="0"/>
        </w:rPr>
        <w:t>招标文件的约束力</w:t>
      </w:r>
    </w:p>
    <w:p w14:paraId="009D319F">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bCs/>
          <w:sz w:val="24"/>
          <w:szCs w:val="24"/>
        </w:rPr>
        <w:t>5.1</w:t>
      </w:r>
      <w:r>
        <w:rPr>
          <w:rFonts w:hint="eastAsia" w:ascii="宋体" w:hAnsi="宋体" w:cs="宋体"/>
          <w:sz w:val="24"/>
          <w:szCs w:val="24"/>
        </w:rPr>
        <w:t xml:space="preserve"> 投标人一旦参加本项目采购活动，即被认为接受了本招标文件的规定和约束，并且视为自招标公告期限届满之日起知道或应当知道自身权益是否受到了损害。</w:t>
      </w:r>
    </w:p>
    <w:p w14:paraId="6726F06E">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r>
        <w:rPr>
          <w:rFonts w:hint="eastAsia" w:ascii="宋体" w:hAnsi="宋体" w:eastAsia="宋体" w:cs="宋体"/>
          <w:b w:val="0"/>
          <w:bCs w:val="0"/>
        </w:rPr>
        <w:t>6、招标文件的解释</w:t>
      </w:r>
    </w:p>
    <w:p w14:paraId="3B850CCC">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szCs w:val="24"/>
        </w:rPr>
      </w:pPr>
      <w:r>
        <w:rPr>
          <w:rFonts w:hint="eastAsia" w:ascii="宋体" w:hAnsi="宋体" w:cs="宋体"/>
          <w:bCs/>
          <w:sz w:val="24"/>
          <w:szCs w:val="24"/>
        </w:rPr>
        <w:t>6.1 本招标文件由</w:t>
      </w:r>
      <w:r>
        <w:rPr>
          <w:rFonts w:hint="eastAsia" w:ascii="宋体" w:hAnsi="宋体" w:cs="宋体"/>
          <w:bCs/>
          <w:sz w:val="24"/>
        </w:rPr>
        <w:t>采购人</w:t>
      </w:r>
      <w:r>
        <w:rPr>
          <w:rFonts w:hint="eastAsia" w:ascii="宋体" w:hAnsi="宋体" w:cs="宋体"/>
          <w:bCs/>
          <w:sz w:val="24"/>
          <w:szCs w:val="24"/>
        </w:rPr>
        <w:t>负责解释。</w:t>
      </w:r>
    </w:p>
    <w:p w14:paraId="116D1AC3">
      <w:pPr>
        <w:pStyle w:val="23"/>
        <w:pageBreakBefore w:val="0"/>
        <w:widowControl w:val="0"/>
        <w:kinsoku/>
        <w:wordWrap/>
        <w:overflowPunct/>
        <w:topLinePunct w:val="0"/>
        <w:autoSpaceDE/>
        <w:autoSpaceDN/>
        <w:bidi w:val="0"/>
        <w:adjustRightInd/>
        <w:snapToGrid/>
        <w:spacing w:before="145" w:after="145" w:line="400" w:lineRule="exact"/>
        <w:ind w:firstLine="321"/>
        <w:textAlignment w:val="auto"/>
        <w:rPr>
          <w:rFonts w:hint="eastAsia" w:ascii="宋体" w:hAnsi="宋体" w:cs="宋体"/>
        </w:rPr>
      </w:pPr>
      <w:bookmarkStart w:id="40" w:name="_Toc16938525"/>
      <w:bookmarkStart w:id="41" w:name="_Toc513029209"/>
      <w:bookmarkStart w:id="42" w:name="_Toc120614215"/>
      <w:bookmarkStart w:id="43" w:name="_Toc20823281"/>
      <w:r>
        <w:rPr>
          <w:rFonts w:hint="eastAsia" w:ascii="宋体" w:hAnsi="宋体" w:cs="宋体"/>
        </w:rPr>
        <w:t>二、招标文件</w:t>
      </w:r>
      <w:bookmarkEnd w:id="40"/>
      <w:bookmarkEnd w:id="41"/>
      <w:bookmarkEnd w:id="42"/>
      <w:bookmarkEnd w:id="43"/>
    </w:p>
    <w:p w14:paraId="7AEAE7C0">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44" w:name="_Toc513029210"/>
      <w:bookmarkStart w:id="45" w:name="_Toc16938526"/>
      <w:bookmarkStart w:id="46" w:name="_Toc20823282"/>
      <w:r>
        <w:rPr>
          <w:rFonts w:hint="eastAsia" w:ascii="宋体" w:hAnsi="宋体" w:eastAsia="宋体" w:cs="宋体"/>
          <w:b w:val="0"/>
          <w:bCs w:val="0"/>
        </w:rPr>
        <w:t>7、招标文件构成</w:t>
      </w:r>
      <w:bookmarkEnd w:id="44"/>
      <w:bookmarkEnd w:id="45"/>
      <w:bookmarkEnd w:id="46"/>
    </w:p>
    <w:p w14:paraId="0E4A12B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7.1 招标文件有以下部分组成：</w:t>
      </w:r>
    </w:p>
    <w:p w14:paraId="4AB748D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（1）招标公告</w:t>
      </w:r>
    </w:p>
    <w:p w14:paraId="20B4341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（2）投标人须知</w:t>
      </w:r>
    </w:p>
    <w:p w14:paraId="382533D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（3）合同条款及格式</w:t>
      </w:r>
    </w:p>
    <w:p w14:paraId="559C9B60">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（4）项目需求</w:t>
      </w:r>
    </w:p>
    <w:p w14:paraId="30241A2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（5）评标方法与评标标准</w:t>
      </w:r>
    </w:p>
    <w:p w14:paraId="546C13F0">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（6）投标文件格式</w:t>
      </w:r>
    </w:p>
    <w:p w14:paraId="7093045F">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请仔细检查招标文件是否齐全，如有缺漏请立即与采购人联系解决。</w:t>
      </w:r>
    </w:p>
    <w:p w14:paraId="7BAAC1B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bCs/>
          <w:sz w:val="24"/>
        </w:rPr>
        <w:t>7.2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2C3E7E9">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47" w:name="_Toc513029211"/>
      <w:bookmarkStart w:id="48" w:name="_Toc20823283"/>
      <w:bookmarkStart w:id="49" w:name="_Toc462564070"/>
      <w:bookmarkStart w:id="50" w:name="_Toc16938527"/>
      <w:r>
        <w:rPr>
          <w:rFonts w:hint="eastAsia" w:ascii="宋体" w:hAnsi="宋体" w:eastAsia="宋体" w:cs="宋体"/>
          <w:b w:val="0"/>
          <w:bCs w:val="0"/>
        </w:rPr>
        <w:t>8、招标文件的</w:t>
      </w:r>
      <w:bookmarkEnd w:id="47"/>
      <w:bookmarkEnd w:id="48"/>
      <w:bookmarkEnd w:id="49"/>
      <w:bookmarkEnd w:id="50"/>
      <w:r>
        <w:rPr>
          <w:rFonts w:hint="eastAsia" w:ascii="宋体" w:hAnsi="宋体" w:eastAsia="宋体" w:cs="宋体"/>
          <w:b w:val="0"/>
          <w:bCs w:val="0"/>
        </w:rPr>
        <w:t>询问</w:t>
      </w:r>
    </w:p>
    <w:p w14:paraId="1034EB5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bCs/>
          <w:sz w:val="24"/>
        </w:rPr>
        <w:t>8.1</w:t>
      </w:r>
      <w:r>
        <w:rPr>
          <w:rFonts w:hint="eastAsia" w:ascii="宋体" w:hAnsi="宋体" w:cs="宋体"/>
          <w:sz w:val="24"/>
        </w:rPr>
        <w:t xml:space="preserve"> 任何要求对招标文件进行询问的投标人，应在投标截止日期</w:t>
      </w:r>
      <w:r>
        <w:rPr>
          <w:rFonts w:hint="eastAsia" w:ascii="宋体" w:hAnsi="宋体" w:cs="宋体"/>
          <w:b/>
          <w:sz w:val="24"/>
          <w:szCs w:val="24"/>
        </w:rPr>
        <w:t>十日</w:t>
      </w:r>
      <w:r>
        <w:rPr>
          <w:rFonts w:hint="eastAsia" w:ascii="宋体" w:hAnsi="宋体" w:cs="宋体"/>
          <w:sz w:val="24"/>
          <w:szCs w:val="24"/>
        </w:rPr>
        <w:t>前</w:t>
      </w:r>
      <w:r>
        <w:rPr>
          <w:rFonts w:hint="eastAsia" w:ascii="宋体" w:hAnsi="宋体" w:cs="宋体"/>
          <w:sz w:val="24"/>
        </w:rPr>
        <w:t>按招标公告中的通讯地址，向采购人提出。</w:t>
      </w:r>
    </w:p>
    <w:p w14:paraId="020D5158">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51" w:name="_Toc462564071"/>
      <w:bookmarkStart w:id="52" w:name="_Toc16938528"/>
      <w:bookmarkStart w:id="53" w:name="_Toc513029212"/>
      <w:bookmarkStart w:id="54" w:name="_Toc20823284"/>
      <w:r>
        <w:rPr>
          <w:rFonts w:hint="eastAsia" w:ascii="宋体" w:hAnsi="宋体" w:eastAsia="宋体" w:cs="宋体"/>
          <w:b w:val="0"/>
          <w:bCs w:val="0"/>
        </w:rPr>
        <w:t>9、招标文件的修改</w:t>
      </w:r>
      <w:bookmarkEnd w:id="51"/>
      <w:bookmarkEnd w:id="52"/>
      <w:bookmarkEnd w:id="53"/>
      <w:bookmarkEnd w:id="54"/>
    </w:p>
    <w:p w14:paraId="09A95BA2">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9.1 在投标截止时间前，采购人可以对招标文件进行修改。</w:t>
      </w:r>
    </w:p>
    <w:p w14:paraId="44FAF67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9.2采购人有权依法推迟投标截止日期和开标日期。</w:t>
      </w:r>
    </w:p>
    <w:p w14:paraId="0B0BE3A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9.3招标文件的澄清或者修改的内容将在江苏政府采购网、盐城市政府采购网公布，澄清或者修改的内容将作为招标文件的组成部分，并对投标人具有约束力。</w:t>
      </w:r>
    </w:p>
    <w:p w14:paraId="5A004B5A">
      <w:pPr>
        <w:pStyle w:val="23"/>
        <w:pageBreakBefore w:val="0"/>
        <w:widowControl w:val="0"/>
        <w:kinsoku/>
        <w:wordWrap/>
        <w:overflowPunct/>
        <w:topLinePunct w:val="0"/>
        <w:autoSpaceDE/>
        <w:autoSpaceDN/>
        <w:bidi w:val="0"/>
        <w:adjustRightInd/>
        <w:snapToGrid/>
        <w:spacing w:before="145" w:after="145" w:line="400" w:lineRule="exact"/>
        <w:ind w:firstLine="321"/>
        <w:textAlignment w:val="auto"/>
        <w:rPr>
          <w:rFonts w:hint="eastAsia" w:ascii="宋体" w:hAnsi="宋体" w:cs="宋体"/>
        </w:rPr>
      </w:pPr>
      <w:bookmarkStart w:id="55" w:name="_Toc16938529"/>
      <w:bookmarkStart w:id="56" w:name="_Toc120614216"/>
      <w:bookmarkStart w:id="57" w:name="_Toc513029213"/>
      <w:bookmarkStart w:id="58" w:name="_Toc462564072"/>
      <w:bookmarkStart w:id="59" w:name="_Toc20823285"/>
      <w:r>
        <w:rPr>
          <w:rFonts w:hint="eastAsia" w:ascii="宋体" w:hAnsi="宋体" w:cs="宋体"/>
        </w:rPr>
        <w:t>三、投标文件的编制</w:t>
      </w:r>
      <w:bookmarkEnd w:id="55"/>
      <w:bookmarkEnd w:id="56"/>
      <w:bookmarkEnd w:id="57"/>
      <w:bookmarkEnd w:id="58"/>
      <w:bookmarkEnd w:id="59"/>
    </w:p>
    <w:p w14:paraId="097607B1">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Cs w:val="0"/>
        </w:rPr>
      </w:pPr>
      <w:bookmarkStart w:id="60" w:name="_Toc462564073"/>
      <w:bookmarkStart w:id="61" w:name="_Toc513029214"/>
      <w:bookmarkStart w:id="62" w:name="_Toc16938530"/>
      <w:bookmarkStart w:id="63" w:name="_Toc20823286"/>
      <w:r>
        <w:rPr>
          <w:rFonts w:hint="eastAsia" w:ascii="宋体" w:hAnsi="宋体" w:eastAsia="宋体" w:cs="宋体"/>
          <w:b w:val="0"/>
          <w:bCs w:val="0"/>
        </w:rPr>
        <w:t>10、投标文件的语言及度量衡单位</w:t>
      </w:r>
      <w:bookmarkEnd w:id="60"/>
      <w:bookmarkEnd w:id="61"/>
      <w:bookmarkEnd w:id="62"/>
      <w:bookmarkEnd w:id="63"/>
    </w:p>
    <w:p w14:paraId="3D98527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bCs/>
          <w:sz w:val="24"/>
        </w:rPr>
        <w:t>10.1</w:t>
      </w:r>
      <w:r>
        <w:rPr>
          <w:rFonts w:hint="eastAsia" w:ascii="宋体" w:hAnsi="宋体" w:cs="宋体"/>
          <w:sz w:val="24"/>
        </w:rPr>
        <w:t xml:space="preserve"> 投标人提交的投标文件以及投标人与采购人就有关投标的所有来往通知、函件和文件均应使用</w:t>
      </w:r>
      <w:r>
        <w:rPr>
          <w:rFonts w:hint="eastAsia" w:ascii="宋体" w:hAnsi="宋体" w:cs="宋体"/>
          <w:b/>
          <w:bCs/>
          <w:sz w:val="24"/>
        </w:rPr>
        <w:t>简体中文</w:t>
      </w:r>
      <w:r>
        <w:rPr>
          <w:rFonts w:hint="eastAsia" w:ascii="宋体" w:hAnsi="宋体" w:cs="宋体"/>
          <w:sz w:val="24"/>
        </w:rPr>
        <w:t>。</w:t>
      </w:r>
    </w:p>
    <w:p w14:paraId="56F956F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bCs/>
          <w:sz w:val="24"/>
        </w:rPr>
        <w:t>10.2</w:t>
      </w:r>
      <w:r>
        <w:rPr>
          <w:rFonts w:hint="eastAsia" w:ascii="宋体" w:hAnsi="宋体" w:cs="宋体"/>
          <w:sz w:val="24"/>
        </w:rPr>
        <w:t xml:space="preserve"> 除技术性能另有规定外，投标文件所使用的度量衡单位，均须采用国家法定计量单位。</w:t>
      </w:r>
    </w:p>
    <w:p w14:paraId="628DDC89">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64" w:name="_Toc462564074"/>
      <w:bookmarkStart w:id="65" w:name="_Toc20823287"/>
      <w:bookmarkStart w:id="66" w:name="_Toc16938531"/>
      <w:bookmarkStart w:id="67" w:name="_Toc513029215"/>
      <w:r>
        <w:rPr>
          <w:rFonts w:hint="eastAsia" w:ascii="宋体" w:hAnsi="宋体" w:eastAsia="宋体" w:cs="宋体"/>
          <w:b w:val="0"/>
          <w:bCs w:val="0"/>
        </w:rPr>
        <w:t>11、投标文件构成</w:t>
      </w:r>
      <w:bookmarkEnd w:id="64"/>
      <w:bookmarkEnd w:id="65"/>
      <w:bookmarkEnd w:id="66"/>
      <w:bookmarkEnd w:id="67"/>
    </w:p>
    <w:p w14:paraId="744AC2F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bookmarkStart w:id="68" w:name="_Hlt26670360"/>
      <w:bookmarkEnd w:id="68"/>
      <w:bookmarkStart w:id="69" w:name="_Hlt26668975"/>
      <w:bookmarkEnd w:id="69"/>
      <w:bookmarkStart w:id="70" w:name="_Hlt26954838"/>
      <w:bookmarkEnd w:id="70"/>
      <w:bookmarkStart w:id="71" w:name="_Toc513029219"/>
      <w:bookmarkStart w:id="72" w:name="_Toc14577357"/>
      <w:bookmarkStart w:id="73" w:name="_Toc49090509"/>
      <w:bookmarkStart w:id="74" w:name="_Toc49090507"/>
      <w:bookmarkStart w:id="75" w:name="_Toc14577354"/>
      <w:bookmarkStart w:id="76" w:name="_Toc513029216"/>
      <w:r>
        <w:rPr>
          <w:rFonts w:hint="eastAsia" w:ascii="宋体" w:hAnsi="宋体" w:cs="宋体"/>
          <w:sz w:val="24"/>
        </w:rPr>
        <w:t>11.1 投标文件至少应提交（包含并不限于）以下投标材料：(请各单位根据实际情况进行调整)</w:t>
      </w:r>
    </w:p>
    <w:p w14:paraId="770DE3DB">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11.1.1 资信证明文件</w:t>
      </w:r>
    </w:p>
    <w:p w14:paraId="4E1AF31A">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11.1.2 资格性审查响应对照表</w:t>
      </w:r>
    </w:p>
    <w:p w14:paraId="605E143A">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11.1.3 符合性检查响应对照表</w:t>
      </w:r>
    </w:p>
    <w:p w14:paraId="4A723076">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11.1.4 投标函</w:t>
      </w:r>
    </w:p>
    <w:p w14:paraId="4C9435E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11.1.5 开标一览表（详见投标文件格式，用于唱标）</w:t>
      </w:r>
    </w:p>
    <w:p w14:paraId="525A5CE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11.1.6 投标报价分项表（详见招标文件格式）</w:t>
      </w:r>
    </w:p>
    <w:p w14:paraId="5314366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11.1.7 技术部分</w:t>
      </w:r>
    </w:p>
    <w:p w14:paraId="5EB9E1E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11.1.8 招标文件中规定要求提供的证明材料和投标人认为需要提供的其他材料</w:t>
      </w:r>
    </w:p>
    <w:p w14:paraId="2342110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11.1.9 盐城市大丰区政府采购供应商承诺书</w:t>
      </w:r>
    </w:p>
    <w:p w14:paraId="0B71CF61">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r>
        <w:rPr>
          <w:rFonts w:hint="eastAsia" w:ascii="宋体" w:hAnsi="宋体" w:eastAsia="宋体" w:cs="宋体"/>
          <w:b w:val="0"/>
          <w:bCs w:val="0"/>
        </w:rPr>
        <w:t>12、</w:t>
      </w:r>
      <w:bookmarkEnd w:id="71"/>
      <w:bookmarkEnd w:id="72"/>
      <w:bookmarkEnd w:id="73"/>
      <w:r>
        <w:rPr>
          <w:rFonts w:hint="eastAsia" w:ascii="宋体" w:hAnsi="宋体" w:eastAsia="宋体" w:cs="宋体"/>
          <w:b w:val="0"/>
          <w:bCs w:val="0"/>
        </w:rPr>
        <w:t>证明投标人资格及符合招标文件规定的文件</w:t>
      </w:r>
    </w:p>
    <w:bookmarkEnd w:id="74"/>
    <w:bookmarkEnd w:id="75"/>
    <w:bookmarkEnd w:id="76"/>
    <w:p w14:paraId="6A2164CB">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bookmarkStart w:id="77" w:name="_Toc14577355"/>
      <w:bookmarkStart w:id="78" w:name="_Toc49090508"/>
      <w:r>
        <w:rPr>
          <w:rFonts w:hint="eastAsia" w:ascii="宋体" w:hAnsi="宋体" w:cs="宋体"/>
          <w:sz w:val="24"/>
        </w:rPr>
        <w:t>12.1</w:t>
      </w:r>
      <w:bookmarkStart w:id="79" w:name="_Hlt26668999"/>
      <w:bookmarkEnd w:id="79"/>
      <w:r>
        <w:rPr>
          <w:rFonts w:hint="eastAsia" w:ascii="宋体" w:hAnsi="宋体" w:cs="宋体"/>
          <w:sz w:val="24"/>
        </w:rPr>
        <w:t>投标人应按要求提交资格证明文件及符合招标文件规定的文件。</w:t>
      </w:r>
    </w:p>
    <w:p w14:paraId="7D8DB74A">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12.2投标人应提交证明其有资格参加投标和中标后有能力独立履行合同的文件。</w:t>
      </w:r>
    </w:p>
    <w:p w14:paraId="626EDFD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12.3投标人除必须具有履行合同所需提供的服务的能力外，还必须具备相应的财务、技术方面的能力。</w:t>
      </w:r>
    </w:p>
    <w:p w14:paraId="675A89F6">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rPr>
      </w:pPr>
      <w:r>
        <w:rPr>
          <w:rFonts w:hint="eastAsia" w:ascii="宋体" w:hAnsi="宋体" w:cs="宋体"/>
          <w:sz w:val="24"/>
        </w:rPr>
        <w:t xml:space="preserve">    12.4投标人应提交根据合同要求提供的证明产品质量合格以及符合招标文件规定的证明文件。</w:t>
      </w:r>
    </w:p>
    <w:p w14:paraId="5B33C62C">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szCs w:val="24"/>
        </w:rPr>
      </w:pPr>
      <w:r>
        <w:rPr>
          <w:rFonts w:hint="eastAsia" w:ascii="宋体" w:hAnsi="宋体" w:cs="宋体"/>
          <w:sz w:val="24"/>
          <w:szCs w:val="24"/>
        </w:rPr>
        <w:t xml:space="preserve">    12.5证明投标人所提供服务与招标文件的要求相一致的文件可以是手册、图纸、文字资料和数据</w:t>
      </w:r>
      <w:r>
        <w:rPr>
          <w:rFonts w:hint="eastAsia" w:ascii="宋体" w:hAnsi="宋体" w:cs="宋体"/>
          <w:bCs/>
          <w:sz w:val="24"/>
        </w:rPr>
        <w:t>。</w:t>
      </w:r>
    </w:p>
    <w:p w14:paraId="760FBC75">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r>
        <w:rPr>
          <w:rFonts w:hint="eastAsia" w:ascii="宋体" w:hAnsi="宋体" w:eastAsia="宋体" w:cs="宋体"/>
          <w:b w:val="0"/>
          <w:bCs w:val="0"/>
        </w:rPr>
        <w:t>13、报价</w:t>
      </w:r>
      <w:bookmarkEnd w:id="77"/>
      <w:bookmarkStart w:id="80" w:name="_Hlt26670373"/>
      <w:bookmarkEnd w:id="80"/>
      <w:r>
        <w:rPr>
          <w:rFonts w:hint="eastAsia" w:ascii="宋体" w:hAnsi="宋体" w:eastAsia="宋体" w:cs="宋体"/>
          <w:b w:val="0"/>
          <w:bCs w:val="0"/>
        </w:rPr>
        <w:t>表</w:t>
      </w:r>
      <w:bookmarkEnd w:id="78"/>
    </w:p>
    <w:p w14:paraId="263439A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lang w:val="zh-CN"/>
        </w:rPr>
      </w:pPr>
      <w:r>
        <w:rPr>
          <w:rFonts w:hint="eastAsia" w:ascii="宋体" w:hAnsi="宋体" w:cs="宋体"/>
          <w:bCs/>
          <w:sz w:val="24"/>
          <w:lang w:val="zh-CN"/>
        </w:rPr>
        <w:t>13.1  采购人将拒绝高于最高限价的投标报价。</w:t>
      </w:r>
    </w:p>
    <w:p w14:paraId="57841858">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z w:val="24"/>
          <w:szCs w:val="24"/>
        </w:rPr>
      </w:pPr>
      <w:r>
        <w:rPr>
          <w:rFonts w:hint="eastAsia" w:ascii="宋体" w:hAnsi="宋体" w:cs="宋体"/>
          <w:bCs/>
          <w:sz w:val="24"/>
          <w:lang w:val="zh-CN"/>
        </w:rPr>
        <w:t>13.2  招标报价采用总承包方式，投标人的报价应包括投标文件所承诺的工期期限内并达到投标人所承诺的质量标准为完成招标文件所确定的招标范围的全部内容所需费用的全部价格体现。（包括但不限于软件费用、硬件设备费、运输费、上下力资、安装调试费、备品备件费、专用器具费、服务器等设备升级费、运维服务费（含运维人员、设备全部费用）、软件升级费用、光纤网络建设及使用费用、售后服务费、培训费、管理费、前期咨询费、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p>
    <w:p w14:paraId="0F07D7EC">
      <w:pPr>
        <w:pStyle w:val="25"/>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sz w:val="24"/>
          <w:szCs w:val="24"/>
        </w:rPr>
      </w:pPr>
      <w:r>
        <w:rPr>
          <w:rFonts w:hint="eastAsia" w:ascii="宋体" w:hAnsi="宋体" w:eastAsia="宋体" w:cs="宋体"/>
          <w:b/>
          <w:bCs/>
          <w:sz w:val="24"/>
          <w:szCs w:val="24"/>
        </w:rPr>
        <w:t>投标人须充分考虑各种影响报价的因素包括但不限于充分了解采购人现有平台及网络架构的与本项目融合对接费用，进行合理化报价。</w:t>
      </w:r>
    </w:p>
    <w:p w14:paraId="581CC17A">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lang w:val="zh-CN"/>
        </w:rPr>
      </w:pPr>
      <w:r>
        <w:rPr>
          <w:rFonts w:hint="eastAsia" w:ascii="宋体" w:hAnsi="宋体" w:cs="宋体"/>
          <w:bCs/>
          <w:sz w:val="24"/>
          <w:lang w:val="zh-CN"/>
        </w:rPr>
        <w:t>13.3  投标人根据招标内容的要求准确报价，一经报出，不得更改。</w:t>
      </w:r>
    </w:p>
    <w:p w14:paraId="45E173EF">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lang w:val="zh-CN"/>
        </w:rPr>
      </w:pPr>
      <w:r>
        <w:rPr>
          <w:rFonts w:hint="eastAsia" w:ascii="宋体" w:hAnsi="宋体" w:cs="宋体"/>
          <w:bCs/>
          <w:sz w:val="24"/>
          <w:lang w:val="zh-CN"/>
        </w:rPr>
        <w:t>13.4  如出现不合理的报价，经评标委员会评审其报价明显高于其市场价或低于其企业成本的，均可作废标处理。</w:t>
      </w:r>
    </w:p>
    <w:p w14:paraId="7C678CE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lang w:val="zh-CN"/>
        </w:rPr>
      </w:pPr>
      <w:r>
        <w:rPr>
          <w:rFonts w:hint="eastAsia" w:ascii="宋体" w:hAnsi="宋体" w:cs="宋体"/>
          <w:bCs/>
          <w:sz w:val="24"/>
          <w:lang w:val="zh-CN"/>
        </w:rPr>
        <w:t>13.5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p>
    <w:p w14:paraId="1F3B9D73">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lang w:val="zh-CN"/>
        </w:rPr>
      </w:pPr>
      <w:r>
        <w:rPr>
          <w:rFonts w:hint="eastAsia" w:ascii="宋体" w:hAnsi="宋体" w:cs="宋体"/>
          <w:bCs/>
          <w:sz w:val="24"/>
          <w:lang w:val="zh-CN"/>
        </w:rPr>
        <w:t>13.6对于超出招标文件的其他临时性服务项目，由甲乙双方协商解决。</w:t>
      </w:r>
    </w:p>
    <w:p w14:paraId="1E8B317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lang w:val="zh-CN"/>
        </w:rPr>
      </w:pPr>
      <w:r>
        <w:rPr>
          <w:rFonts w:hint="eastAsia" w:ascii="宋体" w:hAnsi="宋体" w:cs="宋体"/>
          <w:bCs/>
          <w:sz w:val="24"/>
          <w:lang w:val="zh-CN"/>
        </w:rPr>
        <w:t>13.7开标时，当投标文件中开标一览表内容与分项明细报价表内容不一致时，以开标一览表为准。</w:t>
      </w:r>
    </w:p>
    <w:p w14:paraId="1EDE73EF">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lang w:val="zh-CN"/>
        </w:rPr>
      </w:pPr>
      <w:r>
        <w:rPr>
          <w:rFonts w:hint="eastAsia" w:ascii="宋体" w:hAnsi="宋体" w:cs="宋体"/>
          <w:bCs/>
          <w:sz w:val="24"/>
          <w:lang w:val="zh-CN"/>
        </w:rPr>
        <w:t>投标文件的大写金额和小写金额不一致的，以大写金额为准；对不同文字文本投标的解释发生异议的，以中文文本为准。</w:t>
      </w:r>
    </w:p>
    <w:p w14:paraId="7766E56C">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lang w:val="zh-CN"/>
        </w:rPr>
      </w:pPr>
      <w:r>
        <w:rPr>
          <w:rFonts w:hint="eastAsia" w:ascii="宋体" w:hAnsi="宋体" w:cs="宋体"/>
          <w:bCs/>
          <w:sz w:val="24"/>
          <w:lang w:val="zh-CN"/>
        </w:rPr>
        <w:t>13.8投标人在报价时，价格包含一切税费，未作说明的情况下，视同包含一切税费。</w:t>
      </w:r>
    </w:p>
    <w:p w14:paraId="209A819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lang w:val="zh-CN"/>
        </w:rPr>
      </w:pPr>
      <w:r>
        <w:rPr>
          <w:rFonts w:hint="eastAsia" w:ascii="宋体" w:hAnsi="宋体" w:cs="宋体"/>
          <w:bCs/>
          <w:sz w:val="24"/>
          <w:lang w:val="zh-CN"/>
        </w:rPr>
        <w:t>13.9未宣读的投标价格信息评标时不予承认。</w:t>
      </w:r>
    </w:p>
    <w:p w14:paraId="07A9F627">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sz w:val="24"/>
        </w:rPr>
      </w:pPr>
      <w:bookmarkStart w:id="81" w:name="_Toc14577359"/>
      <w:bookmarkStart w:id="82" w:name="_Toc49090510"/>
      <w:r>
        <w:rPr>
          <w:rFonts w:hint="eastAsia" w:ascii="宋体" w:hAnsi="宋体" w:eastAsia="宋体" w:cs="宋体"/>
          <w:b w:val="0"/>
        </w:rPr>
        <w:t>14、技术参数响应及偏离表及投标说明</w:t>
      </w:r>
    </w:p>
    <w:p w14:paraId="524CDAE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lang w:val="zh-CN"/>
        </w:rPr>
      </w:pPr>
      <w:r>
        <w:rPr>
          <w:rFonts w:hint="eastAsia" w:ascii="宋体" w:hAnsi="宋体" w:cs="宋体"/>
          <w:bCs/>
          <w:sz w:val="24"/>
          <w:lang w:val="zh-CN"/>
        </w:rPr>
        <w:t>14.1</w:t>
      </w:r>
      <w:r>
        <w:rPr>
          <w:rFonts w:hint="eastAsia" w:ascii="宋体" w:hAnsi="宋体" w:cs="宋体"/>
          <w:sz w:val="24"/>
          <w:lang w:val="zh-CN"/>
        </w:rPr>
        <w:t xml:space="preserve"> 对招标文件中的</w:t>
      </w:r>
      <w:r>
        <w:rPr>
          <w:rFonts w:hint="eastAsia" w:ascii="宋体" w:hAnsi="宋体" w:cs="宋体"/>
          <w:sz w:val="24"/>
        </w:rPr>
        <w:t>采购需求</w:t>
      </w:r>
      <w:r>
        <w:rPr>
          <w:rFonts w:hint="eastAsia" w:ascii="宋体" w:hAnsi="宋体" w:cs="宋体"/>
          <w:sz w:val="24"/>
          <w:lang w:val="zh-CN"/>
        </w:rPr>
        <w:t>逐项作出响应或偏离，并说明原因；</w:t>
      </w:r>
    </w:p>
    <w:p w14:paraId="76C271E5">
      <w:pPr>
        <w:pageBreakBefore w:val="0"/>
        <w:widowControl w:val="0"/>
        <w:tabs>
          <w:tab w:val="left" w:pos="1035"/>
        </w:tabs>
        <w:kinsoku/>
        <w:wordWrap/>
        <w:overflowPunct/>
        <w:topLinePunct w:val="0"/>
        <w:autoSpaceDE/>
        <w:autoSpaceDN/>
        <w:bidi w:val="0"/>
        <w:adjustRightInd/>
        <w:snapToGrid/>
        <w:spacing w:line="400" w:lineRule="exact"/>
        <w:ind w:firstLine="480"/>
        <w:textAlignment w:val="auto"/>
        <w:rPr>
          <w:rFonts w:hint="eastAsia" w:ascii="宋体" w:hAnsi="宋体" w:cs="宋体"/>
          <w:sz w:val="24"/>
          <w:lang w:val="zh-CN"/>
        </w:rPr>
      </w:pPr>
      <w:r>
        <w:rPr>
          <w:rFonts w:hint="eastAsia" w:ascii="宋体" w:hAnsi="宋体" w:cs="宋体"/>
          <w:sz w:val="24"/>
          <w:lang w:val="zh-CN"/>
        </w:rPr>
        <w:t>14.2 提供参加本项目类似案例；</w:t>
      </w:r>
    </w:p>
    <w:p w14:paraId="15119E02">
      <w:pPr>
        <w:pageBreakBefore w:val="0"/>
        <w:widowControl w:val="0"/>
        <w:tabs>
          <w:tab w:val="left" w:pos="1035"/>
        </w:tabs>
        <w:kinsoku/>
        <w:wordWrap/>
        <w:overflowPunct/>
        <w:topLinePunct w:val="0"/>
        <w:autoSpaceDE/>
        <w:autoSpaceDN/>
        <w:bidi w:val="0"/>
        <w:adjustRightInd/>
        <w:snapToGrid/>
        <w:spacing w:line="400" w:lineRule="exact"/>
        <w:ind w:firstLine="480"/>
        <w:textAlignment w:val="auto"/>
        <w:rPr>
          <w:rFonts w:hint="eastAsia" w:ascii="宋体" w:hAnsi="宋体" w:cs="宋体"/>
          <w:sz w:val="24"/>
          <w:lang w:val="zh-CN"/>
        </w:rPr>
      </w:pPr>
      <w:r>
        <w:rPr>
          <w:rFonts w:hint="eastAsia" w:ascii="宋体" w:hAnsi="宋体" w:cs="宋体"/>
          <w:sz w:val="24"/>
          <w:lang w:val="zh-CN"/>
        </w:rPr>
        <w:t xml:space="preserve">14.3 </w:t>
      </w:r>
      <w:r>
        <w:rPr>
          <w:rFonts w:hint="eastAsia" w:ascii="宋体" w:hAnsi="宋体" w:cs="宋体"/>
          <w:sz w:val="24"/>
        </w:rPr>
        <w:t>技术部分</w:t>
      </w:r>
      <w:r>
        <w:rPr>
          <w:rFonts w:hint="eastAsia" w:ascii="宋体" w:hAnsi="宋体" w:cs="宋体"/>
          <w:sz w:val="24"/>
          <w:lang w:val="zh-CN"/>
        </w:rPr>
        <w:t>；</w:t>
      </w:r>
    </w:p>
    <w:p w14:paraId="53A1CB86">
      <w:pPr>
        <w:pageBreakBefore w:val="0"/>
        <w:widowControl w:val="0"/>
        <w:tabs>
          <w:tab w:val="left" w:pos="1035"/>
        </w:tabs>
        <w:kinsoku/>
        <w:wordWrap/>
        <w:overflowPunct/>
        <w:topLinePunct w:val="0"/>
        <w:autoSpaceDE/>
        <w:autoSpaceDN/>
        <w:bidi w:val="0"/>
        <w:adjustRightInd/>
        <w:snapToGrid/>
        <w:spacing w:line="400" w:lineRule="exact"/>
        <w:ind w:firstLine="480"/>
        <w:textAlignment w:val="auto"/>
        <w:rPr>
          <w:rFonts w:hint="eastAsia" w:ascii="宋体" w:hAnsi="宋体" w:cs="宋体"/>
          <w:sz w:val="24"/>
          <w:lang w:val="zh-CN"/>
        </w:rPr>
      </w:pPr>
      <w:r>
        <w:rPr>
          <w:rFonts w:hint="eastAsia" w:ascii="宋体" w:hAnsi="宋体" w:cs="宋体"/>
          <w:sz w:val="24"/>
          <w:lang w:val="zh-CN"/>
        </w:rPr>
        <w:t>14.</w:t>
      </w:r>
      <w:r>
        <w:rPr>
          <w:rFonts w:hint="eastAsia" w:ascii="宋体" w:hAnsi="宋体" w:cs="宋体"/>
          <w:sz w:val="24"/>
        </w:rPr>
        <w:t>4</w:t>
      </w:r>
      <w:r>
        <w:rPr>
          <w:rFonts w:hint="eastAsia" w:ascii="宋体" w:hAnsi="宋体" w:cs="宋体"/>
          <w:sz w:val="24"/>
          <w:lang w:val="zh-CN"/>
        </w:rPr>
        <w:t xml:space="preserve"> 投标人认为需要的其他技术文件或说明。</w:t>
      </w:r>
    </w:p>
    <w:p w14:paraId="5ABE30CA">
      <w:pPr>
        <w:pageBreakBefore w:val="0"/>
        <w:widowControl w:val="0"/>
        <w:tabs>
          <w:tab w:val="left" w:pos="1035"/>
        </w:tabs>
        <w:kinsoku/>
        <w:wordWrap/>
        <w:overflowPunct/>
        <w:topLinePunct w:val="0"/>
        <w:autoSpaceDE/>
        <w:autoSpaceDN/>
        <w:bidi w:val="0"/>
        <w:adjustRightInd/>
        <w:snapToGrid/>
        <w:spacing w:line="400" w:lineRule="exact"/>
        <w:ind w:firstLine="420"/>
        <w:textAlignment w:val="auto"/>
        <w:rPr>
          <w:rFonts w:hint="eastAsia" w:ascii="宋体" w:hAnsi="宋体" w:cs="宋体"/>
          <w:bCs/>
          <w:sz w:val="24"/>
          <w:lang w:val="zh-CN"/>
        </w:rPr>
      </w:pPr>
      <w:r>
        <w:rPr>
          <w:rFonts w:hint="eastAsia" w:ascii="宋体" w:hAnsi="宋体" w:cs="宋体"/>
          <w:bCs/>
          <w:sz w:val="28"/>
          <w:szCs w:val="28"/>
        </w:rPr>
        <w:t>15、服务承诺、人员的情况介绍</w:t>
      </w:r>
    </w:p>
    <w:p w14:paraId="47E19C9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bCs/>
          <w:sz w:val="24"/>
          <w:szCs w:val="24"/>
        </w:rPr>
        <w:t>15</w:t>
      </w:r>
      <w:r>
        <w:rPr>
          <w:rFonts w:hint="eastAsia" w:ascii="宋体" w:hAnsi="宋体" w:cs="宋体"/>
          <w:bCs/>
          <w:sz w:val="24"/>
          <w:lang w:val="zh-CN"/>
        </w:rPr>
        <w:t>.1</w:t>
      </w:r>
      <w:r>
        <w:rPr>
          <w:rFonts w:hint="eastAsia" w:ascii="宋体" w:hAnsi="宋体" w:cs="宋体"/>
          <w:sz w:val="24"/>
          <w:szCs w:val="24"/>
        </w:rPr>
        <w:t>提供投标人有关的服务承诺、人员的情况。</w:t>
      </w:r>
    </w:p>
    <w:p w14:paraId="60667C5F">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r>
        <w:rPr>
          <w:rFonts w:hint="eastAsia" w:ascii="宋体" w:hAnsi="宋体" w:eastAsia="宋体" w:cs="宋体"/>
          <w:b w:val="0"/>
          <w:bCs w:val="0"/>
        </w:rPr>
        <w:t>16、投标函和开标一览表</w:t>
      </w:r>
    </w:p>
    <w:p w14:paraId="154FD5B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bCs/>
          <w:sz w:val="24"/>
        </w:rPr>
        <w:t>16.1</w:t>
      </w:r>
      <w:r>
        <w:rPr>
          <w:rFonts w:hint="eastAsia" w:ascii="宋体" w:hAnsi="宋体" w:cs="宋体"/>
          <w:sz w:val="24"/>
        </w:rPr>
        <w:t xml:space="preserve"> 投标人应按照招标文件中提供的格式完整、正确填写投标函、开标一览表。</w:t>
      </w:r>
    </w:p>
    <w:p w14:paraId="410357A6">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bCs/>
          <w:sz w:val="24"/>
        </w:rPr>
        <w:t>16.2</w:t>
      </w:r>
      <w:r>
        <w:rPr>
          <w:rFonts w:hint="eastAsia" w:ascii="宋体" w:hAnsi="宋体" w:cs="宋体"/>
          <w:sz w:val="24"/>
        </w:rPr>
        <w:t xml:space="preserve"> </w:t>
      </w:r>
      <w:r>
        <w:rPr>
          <w:rFonts w:hint="eastAsia" w:ascii="宋体" w:hAnsi="宋体" w:cs="宋体"/>
          <w:bCs/>
          <w:sz w:val="24"/>
        </w:rPr>
        <w:t>开标一览表中的价格应与投标文件中投标报价分项表中的价格一致，如不一致，</w:t>
      </w:r>
      <w:r>
        <w:rPr>
          <w:rFonts w:hint="eastAsia" w:ascii="宋体" w:hAnsi="宋体" w:cs="宋体"/>
          <w:sz w:val="24"/>
          <w:szCs w:val="24"/>
        </w:rPr>
        <w:t>不作为无效投标处理</w:t>
      </w:r>
      <w:r>
        <w:rPr>
          <w:rFonts w:hint="eastAsia" w:ascii="宋体" w:hAnsi="宋体" w:cs="宋体"/>
          <w:bCs/>
          <w:sz w:val="24"/>
        </w:rPr>
        <w:t>，但评标时按开标一览表中价格为准</w:t>
      </w:r>
      <w:r>
        <w:rPr>
          <w:rFonts w:hint="eastAsia" w:ascii="宋体" w:hAnsi="宋体" w:cs="宋体"/>
          <w:b/>
          <w:bCs/>
          <w:sz w:val="24"/>
        </w:rPr>
        <w:t>。</w:t>
      </w:r>
    </w:p>
    <w:bookmarkEnd w:id="81"/>
    <w:bookmarkEnd w:id="82"/>
    <w:p w14:paraId="03FEE59F">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83" w:name="_Hlt26954734"/>
      <w:bookmarkEnd w:id="83"/>
      <w:bookmarkStart w:id="84" w:name="_Hlt26670489"/>
      <w:bookmarkEnd w:id="84"/>
      <w:bookmarkStart w:id="85" w:name="_Hlt26954850"/>
      <w:bookmarkEnd w:id="85"/>
      <w:bookmarkStart w:id="86" w:name="_Toc49090511"/>
      <w:bookmarkStart w:id="87" w:name="_Toc14577360"/>
      <w:r>
        <w:rPr>
          <w:rFonts w:hint="eastAsia" w:ascii="宋体" w:hAnsi="宋体" w:eastAsia="宋体" w:cs="宋体"/>
          <w:b w:val="0"/>
          <w:bCs w:val="0"/>
        </w:rPr>
        <w:t>17、投标有效期</w:t>
      </w:r>
      <w:bookmarkEnd w:id="86"/>
      <w:bookmarkEnd w:id="87"/>
    </w:p>
    <w:p w14:paraId="059B583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1</w:t>
      </w:r>
      <w:r>
        <w:rPr>
          <w:rFonts w:ascii="宋体" w:hAnsi="宋体" w:cs="宋体"/>
          <w:sz w:val="24"/>
        </w:rPr>
        <w:t>7</w:t>
      </w:r>
      <w:r>
        <w:rPr>
          <w:rFonts w:hint="eastAsia" w:ascii="宋体" w:hAnsi="宋体" w:cs="宋体"/>
          <w:sz w:val="24"/>
        </w:rPr>
        <w:t>.1</w:t>
      </w:r>
      <w:r>
        <w:rPr>
          <w:rFonts w:hint="eastAsia" w:ascii="宋体" w:hAnsi="宋体" w:cs="宋体"/>
          <w:bCs/>
          <w:sz w:val="24"/>
        </w:rPr>
        <w:t xml:space="preserve"> 投标有效期为开标之日后</w:t>
      </w:r>
      <w:r>
        <w:rPr>
          <w:rFonts w:hint="eastAsia" w:ascii="宋体" w:hAnsi="宋体" w:cs="宋体"/>
          <w:b/>
          <w:sz w:val="24"/>
          <w:u w:val="single"/>
        </w:rPr>
        <w:t>六十（60）天</w:t>
      </w:r>
      <w:r>
        <w:rPr>
          <w:rFonts w:hint="eastAsia" w:ascii="宋体" w:hAnsi="宋体" w:cs="宋体"/>
          <w:bCs/>
          <w:sz w:val="24"/>
        </w:rPr>
        <w:t>。投标有效期比规定短的将被视为非响应性投标而予以拒绝。</w:t>
      </w:r>
    </w:p>
    <w:p w14:paraId="346406BA">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1</w:t>
      </w:r>
      <w:r>
        <w:rPr>
          <w:rFonts w:ascii="宋体" w:hAnsi="宋体" w:cs="宋体"/>
          <w:sz w:val="24"/>
        </w:rPr>
        <w:t>7</w:t>
      </w:r>
      <w:r>
        <w:rPr>
          <w:rFonts w:hint="eastAsia" w:ascii="宋体" w:hAnsi="宋体" w:cs="宋体"/>
          <w:sz w:val="24"/>
        </w:rPr>
        <w:t>.2</w:t>
      </w:r>
      <w:r>
        <w:rPr>
          <w:rFonts w:hint="eastAsia" w:ascii="宋体" w:hAnsi="宋体" w:cs="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s="宋体"/>
          <w:sz w:val="24"/>
          <w:szCs w:val="24"/>
        </w:rPr>
        <w:t>。</w:t>
      </w:r>
      <w:r>
        <w:rPr>
          <w:rFonts w:hint="eastAsia" w:ascii="宋体" w:hAnsi="宋体" w:cs="宋体"/>
          <w:bCs/>
          <w:sz w:val="24"/>
        </w:rPr>
        <w:t>同意延长投标有效期的投标人既不能要求也不允许修改其投标文件。</w:t>
      </w:r>
      <w:bookmarkStart w:id="88" w:name="_Hlt26954739"/>
      <w:bookmarkEnd w:id="88"/>
      <w:bookmarkStart w:id="89" w:name="_Hlt26954852"/>
      <w:bookmarkEnd w:id="89"/>
      <w:bookmarkStart w:id="90" w:name="_Toc20823296"/>
      <w:bookmarkStart w:id="91" w:name="_Toc120614217"/>
      <w:bookmarkStart w:id="92" w:name="_Toc16938540"/>
      <w:bookmarkStart w:id="93" w:name="_Toc513029224"/>
    </w:p>
    <w:p w14:paraId="3B08D000">
      <w:pPr>
        <w:pStyle w:val="23"/>
        <w:pageBreakBefore w:val="0"/>
        <w:widowControl w:val="0"/>
        <w:kinsoku/>
        <w:wordWrap/>
        <w:overflowPunct/>
        <w:topLinePunct w:val="0"/>
        <w:autoSpaceDE/>
        <w:autoSpaceDN/>
        <w:bidi w:val="0"/>
        <w:adjustRightInd/>
        <w:snapToGrid/>
        <w:spacing w:before="145" w:after="145" w:line="400" w:lineRule="exact"/>
        <w:ind w:firstLine="321"/>
        <w:textAlignment w:val="auto"/>
        <w:rPr>
          <w:rFonts w:hint="eastAsia" w:ascii="宋体" w:hAnsi="宋体" w:cs="宋体"/>
        </w:rPr>
      </w:pPr>
      <w:r>
        <w:rPr>
          <w:rFonts w:hint="eastAsia" w:ascii="宋体" w:hAnsi="宋体" w:cs="宋体"/>
        </w:rPr>
        <w:t>四、投标文件的递交</w:t>
      </w:r>
      <w:bookmarkEnd w:id="90"/>
      <w:bookmarkEnd w:id="91"/>
      <w:bookmarkEnd w:id="92"/>
      <w:bookmarkEnd w:id="93"/>
    </w:p>
    <w:p w14:paraId="52977471">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94" w:name="_Toc16938541"/>
      <w:bookmarkStart w:id="95" w:name="_Toc513029225"/>
      <w:bookmarkStart w:id="96" w:name="_Toc20823297"/>
      <w:bookmarkStart w:id="97" w:name="_Toc462564084"/>
      <w:r>
        <w:rPr>
          <w:rFonts w:hint="eastAsia" w:ascii="宋体" w:hAnsi="宋体" w:eastAsia="宋体" w:cs="宋体"/>
          <w:b w:val="0"/>
          <w:bCs w:val="0"/>
        </w:rPr>
        <w:t>19、</w:t>
      </w:r>
      <w:bookmarkEnd w:id="94"/>
      <w:bookmarkEnd w:id="95"/>
      <w:bookmarkEnd w:id="96"/>
      <w:bookmarkEnd w:id="97"/>
      <w:r>
        <w:rPr>
          <w:rFonts w:hint="eastAsia" w:ascii="宋体" w:hAnsi="宋体" w:eastAsia="宋体" w:cs="宋体"/>
          <w:b w:val="0"/>
          <w:bCs w:val="0"/>
        </w:rPr>
        <w:t>电子投标文件的递交</w:t>
      </w:r>
    </w:p>
    <w:p w14:paraId="1BFBDA5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19.1电子投标文件的递交</w:t>
      </w:r>
    </w:p>
    <w:p w14:paraId="57D433E2">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投标人应当按照《操作手册》规定，在投标截止时间前制作并上传电子投标文件。</w:t>
      </w:r>
    </w:p>
    <w:p w14:paraId="3EA7D81E">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98" w:name="_Toc16938542"/>
      <w:bookmarkStart w:id="99" w:name="_Toc513029226"/>
      <w:bookmarkStart w:id="100" w:name="_Toc20823298"/>
      <w:r>
        <w:rPr>
          <w:rFonts w:hint="eastAsia" w:ascii="宋体" w:hAnsi="宋体" w:eastAsia="宋体" w:cs="宋体"/>
          <w:b w:val="0"/>
          <w:bCs w:val="0"/>
        </w:rPr>
        <w:t>20、投标截止日期</w:t>
      </w:r>
      <w:bookmarkEnd w:id="98"/>
      <w:bookmarkEnd w:id="99"/>
      <w:bookmarkEnd w:id="100"/>
    </w:p>
    <w:p w14:paraId="4C244086">
      <w:pPr>
        <w:pageBreakBefore w:val="0"/>
        <w:widowControl w:val="0"/>
        <w:tabs>
          <w:tab w:val="left" w:pos="525"/>
          <w:tab w:val="left" w:pos="94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20.1</w:t>
      </w:r>
      <w:r>
        <w:rPr>
          <w:rFonts w:hint="eastAsia" w:ascii="宋体" w:hAnsi="宋体" w:cs="宋体"/>
          <w:bCs/>
          <w:sz w:val="24"/>
        </w:rPr>
        <w:t>投标人上传电子投标文件的时间不得迟于招标公告中规定的投标截止时间。投标人应充分考虑到网络环境、网络带宽等风险因素，如因投标人自身原因造成的电子投标文件上传不成功由投标人自行承担全部责任。</w:t>
      </w:r>
    </w:p>
    <w:p w14:paraId="1884DB0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20.2</w:t>
      </w:r>
      <w:r>
        <w:rPr>
          <w:rFonts w:hint="eastAsia" w:ascii="宋体" w:hAnsi="宋体" w:cs="宋体"/>
          <w:bCs/>
          <w:sz w:val="24"/>
        </w:rPr>
        <w:t xml:space="preserve"> 采购人有权通过修改招标文件酌情延长投标截止日期，在此情况下，投标人的所有权利和义务以及投标人受制的截止日期均应以延长后新的截止日期为准。</w:t>
      </w:r>
    </w:p>
    <w:p w14:paraId="1F7162FE">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101" w:name="_Toc16938543"/>
      <w:bookmarkStart w:id="102" w:name="_Toc513029227"/>
      <w:bookmarkStart w:id="103" w:name="_Toc20823299"/>
      <w:r>
        <w:rPr>
          <w:rFonts w:hint="eastAsia" w:ascii="宋体" w:hAnsi="宋体" w:eastAsia="宋体" w:cs="宋体"/>
          <w:b w:val="0"/>
          <w:bCs w:val="0"/>
        </w:rPr>
        <w:t>21、迟交的投标文件</w:t>
      </w:r>
      <w:bookmarkEnd w:id="101"/>
      <w:bookmarkEnd w:id="102"/>
      <w:bookmarkEnd w:id="103"/>
    </w:p>
    <w:p w14:paraId="0A65EA7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21.1</w:t>
      </w:r>
      <w:r>
        <w:rPr>
          <w:rFonts w:hint="eastAsia" w:ascii="宋体" w:hAnsi="宋体" w:cs="宋体"/>
          <w:bCs/>
          <w:sz w:val="24"/>
        </w:rPr>
        <w:t>采购人拒绝接收在其规定的投标截止时间后上传的任何投标文件。</w:t>
      </w:r>
    </w:p>
    <w:p w14:paraId="095C5D69">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104" w:name="_Toc20823300"/>
      <w:bookmarkStart w:id="105" w:name="_Toc16938544"/>
      <w:bookmarkStart w:id="106" w:name="_Toc513029228"/>
      <w:r>
        <w:rPr>
          <w:rFonts w:hint="eastAsia" w:ascii="宋体" w:hAnsi="宋体" w:eastAsia="宋体" w:cs="宋体"/>
          <w:b w:val="0"/>
          <w:bCs w:val="0"/>
        </w:rPr>
        <w:t>22、投标文件的修改和撤回</w:t>
      </w:r>
      <w:bookmarkEnd w:id="104"/>
      <w:bookmarkEnd w:id="105"/>
      <w:bookmarkEnd w:id="106"/>
    </w:p>
    <w:p w14:paraId="61E3EA23">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22.1</w:t>
      </w:r>
      <w:r>
        <w:rPr>
          <w:rFonts w:hint="eastAsia" w:ascii="宋体" w:hAnsi="宋体" w:cs="宋体"/>
          <w:bCs/>
          <w:sz w:val="24"/>
        </w:rPr>
        <w:t>投标文件的撤回</w:t>
      </w:r>
    </w:p>
    <w:p w14:paraId="33D0213F">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bookmarkStart w:id="107" w:name="_Toc513029229"/>
      <w:bookmarkStart w:id="108" w:name="_Toc20823301"/>
      <w:bookmarkStart w:id="109" w:name="_Toc16938545"/>
      <w:bookmarkStart w:id="110" w:name="_Toc120614218"/>
      <w:r>
        <w:rPr>
          <w:rFonts w:hint="eastAsia" w:ascii="宋体" w:hAnsi="宋体" w:cs="宋体"/>
          <w:sz w:val="24"/>
        </w:rPr>
        <w:t>2</w:t>
      </w:r>
      <w:r>
        <w:rPr>
          <w:rFonts w:ascii="宋体" w:hAnsi="宋体" w:cs="宋体"/>
          <w:sz w:val="24"/>
        </w:rPr>
        <w:t>2.1.1</w:t>
      </w:r>
      <w:r>
        <w:rPr>
          <w:rFonts w:hint="eastAsia" w:ascii="宋体" w:hAnsi="宋体" w:cs="宋体"/>
          <w:sz w:val="24"/>
        </w:rPr>
        <w:t>投标人可在投标截止时间前，撤回其电子投标文件，具体操作方法见《操作手册》。</w:t>
      </w:r>
    </w:p>
    <w:p w14:paraId="508A5B5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2</w:t>
      </w:r>
      <w:r>
        <w:rPr>
          <w:rFonts w:ascii="宋体" w:hAnsi="宋体" w:cs="宋体"/>
          <w:sz w:val="24"/>
        </w:rPr>
        <w:t>2</w:t>
      </w:r>
      <w:r>
        <w:rPr>
          <w:rFonts w:hint="eastAsia" w:ascii="宋体" w:hAnsi="宋体" w:cs="宋体"/>
          <w:sz w:val="24"/>
        </w:rPr>
        <w:t>.1.2投标人撤回电子投标文件，则认为其不再参与本项目投标活动。</w:t>
      </w:r>
    </w:p>
    <w:p w14:paraId="30ABF76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2</w:t>
      </w:r>
      <w:r>
        <w:rPr>
          <w:rFonts w:ascii="宋体" w:hAnsi="宋体" w:cs="宋体"/>
          <w:sz w:val="24"/>
        </w:rPr>
        <w:t>2</w:t>
      </w:r>
      <w:r>
        <w:rPr>
          <w:rFonts w:hint="eastAsia" w:ascii="宋体" w:hAnsi="宋体" w:cs="宋体"/>
          <w:sz w:val="24"/>
        </w:rPr>
        <w:t>.2 投标文件的修改</w:t>
      </w:r>
    </w:p>
    <w:p w14:paraId="6088600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2</w:t>
      </w:r>
      <w:r>
        <w:rPr>
          <w:rFonts w:ascii="宋体" w:hAnsi="宋体" w:cs="宋体"/>
          <w:sz w:val="24"/>
        </w:rPr>
        <w:t>2</w:t>
      </w:r>
      <w:r>
        <w:rPr>
          <w:rFonts w:hint="eastAsia" w:ascii="宋体" w:hAnsi="宋体" w:cs="宋体"/>
          <w:sz w:val="24"/>
        </w:rPr>
        <w:t>.2.1投标人可在投标截止时间前，对其电子投标文件进行修改，具体操作方法见《操作手册》。</w:t>
      </w:r>
    </w:p>
    <w:p w14:paraId="52FF121C">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2</w:t>
      </w:r>
      <w:r>
        <w:rPr>
          <w:rFonts w:ascii="宋体" w:hAnsi="宋体" w:cs="宋体"/>
          <w:sz w:val="24"/>
        </w:rPr>
        <w:t>2</w:t>
      </w:r>
      <w:r>
        <w:rPr>
          <w:rFonts w:hint="eastAsia" w:ascii="宋体" w:hAnsi="宋体" w:cs="宋体"/>
          <w:sz w:val="24"/>
        </w:rPr>
        <w:t>.2.2在投标截止时间之后，投标人不得对其电子投标文件作任何修改。</w:t>
      </w:r>
    </w:p>
    <w:p w14:paraId="0EE50F60">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2</w:t>
      </w:r>
      <w:r>
        <w:rPr>
          <w:rFonts w:ascii="宋体" w:hAnsi="宋体" w:cs="宋体"/>
          <w:sz w:val="24"/>
        </w:rPr>
        <w:t>2</w:t>
      </w:r>
      <w:r>
        <w:rPr>
          <w:rFonts w:hint="eastAsia" w:ascii="宋体" w:hAnsi="宋体" w:cs="宋体"/>
          <w:sz w:val="24"/>
        </w:rPr>
        <w:t>.3在投标截止时间至招标文件中规定的投标有效期满之间的这段时间内，投标人不得撤回其投标。</w:t>
      </w:r>
    </w:p>
    <w:p w14:paraId="1D0804E1">
      <w:pPr>
        <w:pStyle w:val="23"/>
        <w:pageBreakBefore w:val="0"/>
        <w:widowControl w:val="0"/>
        <w:kinsoku/>
        <w:wordWrap/>
        <w:overflowPunct/>
        <w:topLinePunct w:val="0"/>
        <w:autoSpaceDE/>
        <w:autoSpaceDN/>
        <w:bidi w:val="0"/>
        <w:adjustRightInd/>
        <w:snapToGrid/>
        <w:spacing w:before="145" w:after="145" w:line="400" w:lineRule="exact"/>
        <w:ind w:firstLine="321"/>
        <w:textAlignment w:val="auto"/>
        <w:rPr>
          <w:rFonts w:hint="eastAsia" w:ascii="宋体" w:hAnsi="宋体" w:cs="宋体"/>
        </w:rPr>
      </w:pPr>
      <w:r>
        <w:rPr>
          <w:rFonts w:hint="eastAsia" w:ascii="宋体" w:hAnsi="宋体" w:cs="宋体"/>
        </w:rPr>
        <w:t>五、开标与评标</w:t>
      </w:r>
      <w:bookmarkEnd w:id="107"/>
      <w:bookmarkEnd w:id="108"/>
      <w:bookmarkEnd w:id="109"/>
      <w:bookmarkEnd w:id="110"/>
    </w:p>
    <w:p w14:paraId="6DA56D50">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111" w:name="_Toc513029230"/>
      <w:bookmarkStart w:id="112" w:name="_Toc16938546"/>
      <w:bookmarkStart w:id="113" w:name="_Toc20823302"/>
      <w:r>
        <w:rPr>
          <w:rFonts w:hint="eastAsia" w:ascii="宋体" w:hAnsi="宋体" w:eastAsia="宋体" w:cs="宋体"/>
          <w:b w:val="0"/>
          <w:bCs w:val="0"/>
        </w:rPr>
        <w:t>23、开标</w:t>
      </w:r>
      <w:bookmarkEnd w:id="111"/>
      <w:bookmarkEnd w:id="112"/>
      <w:bookmarkEnd w:id="113"/>
    </w:p>
    <w:p w14:paraId="5F60621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bookmarkStart w:id="114" w:name="_Toc20823303"/>
      <w:bookmarkStart w:id="115" w:name="_Toc16938547"/>
      <w:bookmarkStart w:id="116" w:name="_Toc513029231"/>
      <w:r>
        <w:rPr>
          <w:rFonts w:hint="eastAsia" w:ascii="宋体" w:hAnsi="宋体" w:cs="宋体"/>
          <w:sz w:val="24"/>
        </w:rPr>
        <w:t>2</w:t>
      </w:r>
      <w:r>
        <w:rPr>
          <w:rFonts w:ascii="宋体" w:hAnsi="宋体" w:cs="宋体"/>
          <w:sz w:val="24"/>
        </w:rPr>
        <w:t>3</w:t>
      </w:r>
      <w:r>
        <w:rPr>
          <w:rFonts w:hint="eastAsia" w:ascii="宋体" w:hAnsi="宋体" w:cs="宋体"/>
          <w:sz w:val="24"/>
        </w:rPr>
        <w:t>.1采购人将在招标公告中规定的时间和地点组织公开开标。投标人应当按照《操作手册》规定，参加开标活动和在苏采云系统规定的时间内对投标文件进行解密。</w:t>
      </w:r>
    </w:p>
    <w:p w14:paraId="139F5CB3">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2</w:t>
      </w:r>
      <w:r>
        <w:rPr>
          <w:rFonts w:ascii="宋体" w:hAnsi="宋体" w:cs="宋体"/>
          <w:sz w:val="24"/>
        </w:rPr>
        <w:t>3</w:t>
      </w:r>
      <w:r>
        <w:rPr>
          <w:rFonts w:hint="eastAsia" w:ascii="宋体" w:hAnsi="宋体" w:cs="宋体"/>
          <w:sz w:val="24"/>
        </w:rPr>
        <w:t>.2开标仪式由采购人组织。苏采云系统将自动对项目进行开标，并宣布各投标人名称和投标价格。</w:t>
      </w:r>
    </w:p>
    <w:p w14:paraId="37D812A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2</w:t>
      </w:r>
      <w:r>
        <w:rPr>
          <w:rFonts w:ascii="宋体" w:hAnsi="宋体" w:cs="宋体"/>
          <w:sz w:val="24"/>
        </w:rPr>
        <w:t>3</w:t>
      </w:r>
      <w:r>
        <w:rPr>
          <w:rFonts w:hint="eastAsia" w:ascii="宋体" w:hAnsi="宋体" w:cs="宋体"/>
          <w:sz w:val="24"/>
        </w:rPr>
        <w:t>.3投标人在开标过程中涉及到的投标文件解密、开标结果确认等工作，应按照《操作手册》规定执行。</w:t>
      </w:r>
    </w:p>
    <w:p w14:paraId="1CE5B673">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2</w:t>
      </w:r>
      <w:r>
        <w:rPr>
          <w:rFonts w:ascii="宋体" w:hAnsi="宋体" w:cs="宋体"/>
          <w:sz w:val="24"/>
        </w:rPr>
        <w:t>3</w:t>
      </w:r>
      <w:r>
        <w:rPr>
          <w:rFonts w:hint="eastAsia" w:ascii="宋体" w:hAnsi="宋体" w:cs="宋体"/>
          <w:sz w:val="24"/>
        </w:rPr>
        <w:t>.4投标人如果对开标过程和开标记录有疑义，应当根据《操作手册》规定提出，如苏采云系统中《开标记录表》宣布后5分钟内未提出的，视同认可开标结果。</w:t>
      </w:r>
    </w:p>
    <w:p w14:paraId="4C6AAE73">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r>
        <w:rPr>
          <w:rFonts w:hint="eastAsia" w:ascii="宋体" w:hAnsi="宋体" w:eastAsia="宋体" w:cs="宋体"/>
          <w:b w:val="0"/>
          <w:bCs w:val="0"/>
        </w:rPr>
        <w:t>24、资格审查</w:t>
      </w:r>
    </w:p>
    <w:p w14:paraId="4946768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561B543B">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1C3F0AD2">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接受联合体的项目，两个以上的自然人、法人或者其他组织组成一个联合体，以一个供应商的身份共同参加政府采购活动的,联合体成员存在不良信用记录的，视同联合体存在不良应用记录。</w:t>
      </w:r>
    </w:p>
    <w:p w14:paraId="1960745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合格投标人不足3家的，不得评标。</w:t>
      </w:r>
    </w:p>
    <w:p w14:paraId="4708B136">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r>
        <w:rPr>
          <w:rFonts w:hint="eastAsia" w:ascii="宋体" w:hAnsi="宋体" w:eastAsia="宋体" w:cs="宋体"/>
          <w:b w:val="0"/>
          <w:bCs w:val="0"/>
        </w:rPr>
        <w:t>25、评标委员会</w:t>
      </w:r>
    </w:p>
    <w:p w14:paraId="3F7C9E35">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25.1</w:t>
      </w:r>
      <w:r>
        <w:rPr>
          <w:rFonts w:hint="eastAsia" w:ascii="宋体" w:hAnsi="宋体" w:cs="宋体"/>
          <w:b/>
          <w:sz w:val="24"/>
          <w:szCs w:val="24"/>
        </w:rPr>
        <w:t xml:space="preserve"> </w:t>
      </w:r>
      <w:r>
        <w:rPr>
          <w:rFonts w:hint="eastAsia" w:ascii="宋体" w:hAnsi="宋体" w:cs="宋体"/>
          <w:sz w:val="24"/>
          <w:szCs w:val="24"/>
        </w:rPr>
        <w:t>资格审查通过后，采购人将组织评标委员会（以下简称评委会）进行评标。</w:t>
      </w:r>
    </w:p>
    <w:p w14:paraId="51998B05">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25.2 评委会由采购人代表和有关技术、经济等方面的专家组成，且人员构成符合政府采购有关规定。</w:t>
      </w:r>
    </w:p>
    <w:p w14:paraId="63BAE239">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25.3评委会独立工作，负责评审所有投标文件并确定中标侯选人。</w:t>
      </w:r>
    </w:p>
    <w:p w14:paraId="67B8BF14">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r>
        <w:rPr>
          <w:rFonts w:hint="eastAsia" w:ascii="宋体" w:hAnsi="宋体" w:eastAsia="宋体" w:cs="宋体"/>
          <w:b w:val="0"/>
          <w:bCs w:val="0"/>
        </w:rPr>
        <w:t>26、评标过程的保密与公正</w:t>
      </w:r>
    </w:p>
    <w:bookmarkEnd w:id="114"/>
    <w:bookmarkEnd w:id="115"/>
    <w:bookmarkEnd w:id="116"/>
    <w:p w14:paraId="1D05A5EB">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26.1</w:t>
      </w:r>
      <w:r>
        <w:rPr>
          <w:rFonts w:hint="eastAsia" w:ascii="宋体" w:hAnsi="宋体" w:cs="宋体"/>
          <w:bCs/>
          <w:sz w:val="24"/>
        </w:rPr>
        <w:t>公开开标后，直至签订合同之日止，凡是与审查、澄清、评价和比较投标的有关资料以及授标建议等，采购人、评委均不得向投标人或与评标无关的其他人员透露。</w:t>
      </w:r>
    </w:p>
    <w:p w14:paraId="464B0EA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rPr>
        <w:t>26.2</w:t>
      </w:r>
      <w:r>
        <w:rPr>
          <w:rFonts w:hint="eastAsia" w:ascii="宋体" w:hAnsi="宋体" w:cs="宋体"/>
          <w:sz w:val="24"/>
          <w:szCs w:val="24"/>
        </w:rPr>
        <w:t>在评标过程中，投标人不得以任何行为影响评标过程，否则其投标文件将被作为无效投标文件。</w:t>
      </w:r>
    </w:p>
    <w:p w14:paraId="0F8871B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rPr>
        <w:t>26.3</w:t>
      </w:r>
      <w:r>
        <w:rPr>
          <w:rFonts w:hint="eastAsia" w:ascii="宋体" w:hAnsi="宋体" w:cs="宋体"/>
          <w:sz w:val="24"/>
          <w:szCs w:val="24"/>
        </w:rPr>
        <w:t>在评标期间，采购人将设专门人员与投标人联系。</w:t>
      </w:r>
    </w:p>
    <w:p w14:paraId="7F2FC99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26.4 采购人和评标委员会不向落标的投标人解释未中标原因，也不公布评标过程中的相关细节。</w:t>
      </w:r>
    </w:p>
    <w:p w14:paraId="19032EA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26.5 采用综合评分法的项目，未中标的投标人如需了解自己的评审得分及排序情况，可向采购人提出申请。</w:t>
      </w:r>
    </w:p>
    <w:p w14:paraId="14594F13">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117" w:name="_Toc16938548"/>
      <w:bookmarkStart w:id="118" w:name="_Toc20823304"/>
      <w:bookmarkStart w:id="119" w:name="_Toc513029232"/>
      <w:r>
        <w:rPr>
          <w:rFonts w:hint="eastAsia" w:ascii="宋体" w:hAnsi="宋体" w:eastAsia="宋体" w:cs="宋体"/>
          <w:b w:val="0"/>
          <w:bCs w:val="0"/>
        </w:rPr>
        <w:t>27、投标的澄清</w:t>
      </w:r>
      <w:bookmarkEnd w:id="117"/>
      <w:bookmarkEnd w:id="118"/>
      <w:bookmarkEnd w:id="119"/>
    </w:p>
    <w:p w14:paraId="2CFC555C">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27.1评标期间，为有助于对投标文件的审查、评价和比较，评委会有权以书面形式要求投标人对其投标文件进行澄清，但并非对每个投标人都作澄清要求。</w:t>
      </w:r>
    </w:p>
    <w:p w14:paraId="5165335F">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szCs w:val="24"/>
        </w:rPr>
      </w:pPr>
      <w:r>
        <w:rPr>
          <w:rFonts w:hint="eastAsia" w:ascii="宋体" w:hAnsi="宋体" w:cs="宋体"/>
          <w:sz w:val="24"/>
          <w:szCs w:val="24"/>
        </w:rPr>
        <w:t xml:space="preserve">    27.2接到评委会澄清要求的投标人应派人按评委会通知的时间和地点做出书面澄清，书面澄清的内容须由投标人法人或授权代表签署，并作为投标文件的补充部分，但投标的价格和实质性的内容不得做任何更改。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2523917A">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szCs w:val="24"/>
        </w:rPr>
      </w:pPr>
      <w:r>
        <w:rPr>
          <w:rFonts w:hint="eastAsia" w:ascii="宋体" w:hAnsi="宋体" w:cs="宋体"/>
          <w:sz w:val="24"/>
          <w:szCs w:val="24"/>
        </w:rPr>
        <w:t xml:space="preserve">    27.3 接到评委会澄清要求的投标人如未按规定做出澄清，其风险由投标人自行承担。</w:t>
      </w:r>
    </w:p>
    <w:p w14:paraId="58D143D8">
      <w:pPr>
        <w:pStyle w:val="24"/>
        <w:pageBreakBefore w:val="0"/>
        <w:widowControl w:val="0"/>
        <w:kinsoku/>
        <w:wordWrap/>
        <w:overflowPunct/>
        <w:topLinePunct w:val="0"/>
        <w:autoSpaceDE/>
        <w:autoSpaceDN/>
        <w:bidi w:val="0"/>
        <w:adjustRightInd/>
        <w:snapToGrid/>
        <w:spacing w:before="0" w:after="0" w:line="400" w:lineRule="exact"/>
        <w:ind w:firstLine="420"/>
        <w:textAlignment w:val="auto"/>
        <w:rPr>
          <w:rFonts w:hint="eastAsia" w:ascii="宋体" w:hAnsi="宋体" w:eastAsia="宋体" w:cs="宋体"/>
          <w:b w:val="0"/>
          <w:bCs w:val="0"/>
        </w:rPr>
      </w:pPr>
      <w:bookmarkStart w:id="120" w:name="_Toc16938549"/>
      <w:bookmarkStart w:id="121" w:name="_Toc20823305"/>
      <w:bookmarkStart w:id="122" w:name="_Toc513029233"/>
      <w:r>
        <w:rPr>
          <w:rFonts w:hint="eastAsia" w:ascii="宋体" w:hAnsi="宋体" w:eastAsia="宋体" w:cs="宋体"/>
          <w:b w:val="0"/>
          <w:bCs w:val="0"/>
        </w:rPr>
        <w:t>28、对投标文件的评审</w:t>
      </w:r>
      <w:bookmarkEnd w:id="120"/>
      <w:bookmarkEnd w:id="121"/>
      <w:bookmarkEnd w:id="122"/>
    </w:p>
    <w:p w14:paraId="3E5F44C6">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28.1</w:t>
      </w:r>
      <w:r>
        <w:rPr>
          <w:rFonts w:hint="eastAsia" w:ascii="宋体" w:hAnsi="宋体" w:cs="宋体"/>
          <w:bCs/>
          <w:sz w:val="24"/>
        </w:rPr>
        <w:t>符合性检查：依据招标文件的规定，从投标文件的有效性、完整性和对招标文件的响应程度进行审查，以确定是否对招标文件的实质性要求作出响应。</w:t>
      </w:r>
    </w:p>
    <w:p w14:paraId="42D1A43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rPr>
        <w:t>28.2</w:t>
      </w:r>
      <w:r>
        <w:rPr>
          <w:rFonts w:hint="eastAsia" w:ascii="宋体" w:hAnsi="宋体" w:cs="宋体"/>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2BFA8E73">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cs="宋体"/>
          <w:bCs/>
          <w:sz w:val="24"/>
        </w:rPr>
        <w:t>评委决定投标文件的响应性只根据投标文件本身的内容，而不寻求外部的证据。</w:t>
      </w:r>
    </w:p>
    <w:p w14:paraId="7AE2CEC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28.3</w:t>
      </w:r>
      <w:r>
        <w:rPr>
          <w:rFonts w:hint="eastAsia" w:ascii="宋体" w:hAnsi="宋体" w:cs="宋体"/>
          <w:bCs/>
          <w:sz w:val="24"/>
        </w:rPr>
        <w:t>如果投标文件实质上没有响应招标文件的要求，评委会将按无效投标处理，投标人不得通过修改或撤销不合要求的偏离或保留而使其投标成为实质性响应的投标。</w:t>
      </w:r>
    </w:p>
    <w:p w14:paraId="0E5BF3A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28.4</w:t>
      </w:r>
      <w:r>
        <w:rPr>
          <w:rFonts w:hint="eastAsia" w:ascii="宋体" w:hAnsi="宋体" w:cs="宋体"/>
          <w:bCs/>
          <w:sz w:val="24"/>
        </w:rPr>
        <w:t>评委会将对确定为实质性响应的投标进行进一步审核，看其是否有计算上或累加上的算术错误，修正错误的原则如下：</w:t>
      </w:r>
    </w:p>
    <w:p w14:paraId="796A459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（1）投标文件中开标一览表内容与投标文件中相应内容不一致的，以开标一览表为准。</w:t>
      </w:r>
    </w:p>
    <w:p w14:paraId="1B9AE406">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（2）大写金额和小写金额不一致的，以大写金额为准。</w:t>
      </w:r>
    </w:p>
    <w:p w14:paraId="0EC70E6F">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（3）单价金额小数点或者百分比有明显错位的，以开标一览表的总价为准，并修改单价。</w:t>
      </w:r>
    </w:p>
    <w:p w14:paraId="33EA448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（4）总价金额与按单价汇总金额不一致的，以单价金额计算结果为准。</w:t>
      </w:r>
    </w:p>
    <w:p w14:paraId="0242EDB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同时出现两种以上错误的，按照前款规定的顺序修正。</w:t>
      </w:r>
    </w:p>
    <w:p w14:paraId="57CCC80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28.5</w:t>
      </w:r>
      <w:r>
        <w:rPr>
          <w:rFonts w:hint="eastAsia" w:ascii="宋体" w:hAnsi="宋体" w:cs="宋体"/>
          <w:bCs/>
          <w:sz w:val="24"/>
        </w:rPr>
        <w:t>评委会将按上述修正错误的方法调整投标文件中的投标报价，调整后的价格应对投标人具有约束力。如果投标人不接受修正后的价格，则其投标将被拒绝。</w:t>
      </w:r>
    </w:p>
    <w:p w14:paraId="0F25701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sz w:val="24"/>
        </w:rPr>
        <w:t>28.6</w:t>
      </w:r>
      <w:r>
        <w:rPr>
          <w:rFonts w:hint="eastAsia" w:ascii="宋体" w:hAnsi="宋体" w:cs="宋体"/>
          <w:bCs/>
          <w:sz w:val="24"/>
        </w:rPr>
        <w:t>评委会将允许修正投标文件中不构成重大偏离的、微小的、非正规的、不一致的或不规则的地方，但这些修改不能影响任何投标人相应的名次排列。</w:t>
      </w:r>
    </w:p>
    <w:p w14:paraId="46CEEBE7">
      <w:pPr>
        <w:pStyle w:val="24"/>
        <w:pageBreakBefore w:val="0"/>
        <w:widowControl w:val="0"/>
        <w:kinsoku/>
        <w:wordWrap/>
        <w:overflowPunct/>
        <w:topLinePunct w:val="0"/>
        <w:autoSpaceDE/>
        <w:autoSpaceDN/>
        <w:bidi w:val="0"/>
        <w:adjustRightInd/>
        <w:snapToGrid/>
        <w:spacing w:before="0" w:after="0" w:line="400" w:lineRule="exact"/>
        <w:ind w:firstLine="360"/>
        <w:textAlignment w:val="auto"/>
        <w:rPr>
          <w:rFonts w:hint="eastAsia" w:ascii="宋体" w:hAnsi="宋体" w:eastAsia="宋体" w:cs="宋体"/>
          <w:b w:val="0"/>
          <w:sz w:val="24"/>
          <w:szCs w:val="21"/>
        </w:rPr>
      </w:pPr>
      <w:bookmarkStart w:id="123" w:name="_Toc20823306"/>
      <w:bookmarkStart w:id="124" w:name="_Toc16938550"/>
      <w:bookmarkStart w:id="125" w:name="_Toc513029234"/>
      <w:r>
        <w:rPr>
          <w:rFonts w:hint="eastAsia" w:ascii="宋体" w:hAnsi="宋体" w:eastAsia="宋体" w:cs="宋体"/>
          <w:b w:val="0"/>
          <w:sz w:val="24"/>
          <w:szCs w:val="21"/>
        </w:rPr>
        <w:t>29、</w:t>
      </w:r>
      <w:bookmarkEnd w:id="123"/>
      <w:bookmarkEnd w:id="124"/>
      <w:bookmarkEnd w:id="125"/>
      <w:r>
        <w:rPr>
          <w:rFonts w:hint="eastAsia" w:ascii="宋体" w:hAnsi="宋体" w:eastAsia="宋体" w:cs="宋体"/>
          <w:b w:val="0"/>
          <w:sz w:val="24"/>
          <w:szCs w:val="21"/>
        </w:rPr>
        <w:t>无效投标条款和废标条款</w:t>
      </w:r>
    </w:p>
    <w:p w14:paraId="104545D6">
      <w:pPr>
        <w:pageBreakBefore w:val="0"/>
        <w:widowControl w:val="0"/>
        <w:kinsoku/>
        <w:wordWrap/>
        <w:overflowPunct/>
        <w:topLinePunct w:val="0"/>
        <w:autoSpaceDE/>
        <w:autoSpaceDN/>
        <w:bidi w:val="0"/>
        <w:adjustRightInd/>
        <w:snapToGrid/>
        <w:spacing w:line="400" w:lineRule="exact"/>
        <w:ind w:left="479"/>
        <w:textAlignment w:val="auto"/>
        <w:rPr>
          <w:rFonts w:hint="eastAsia" w:ascii="宋体" w:hAnsi="宋体" w:cs="宋体"/>
          <w:bCs/>
          <w:sz w:val="24"/>
        </w:rPr>
      </w:pPr>
      <w:bookmarkStart w:id="126" w:name="_Toc20823307"/>
      <w:bookmarkStart w:id="127" w:name="_Toc513029235"/>
      <w:bookmarkStart w:id="128" w:name="_Toc16938551"/>
      <w:r>
        <w:rPr>
          <w:rFonts w:hint="eastAsia" w:ascii="宋体" w:hAnsi="宋体" w:cs="宋体"/>
          <w:bCs/>
          <w:sz w:val="24"/>
        </w:rPr>
        <w:t>29.1无效投标条款</w:t>
      </w:r>
    </w:p>
    <w:p w14:paraId="564EF6A1">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29.1.1投标人未按照招标文件要求上传电子投标文件的；</w:t>
      </w:r>
    </w:p>
    <w:p w14:paraId="51F9224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29.1.2</w:t>
      </w:r>
      <w:r>
        <w:rPr>
          <w:rFonts w:hint="eastAsia" w:ascii="宋体" w:hAnsi="宋体" w:cs="宋体"/>
          <w:sz w:val="24"/>
        </w:rPr>
        <w:t>投标人未在规定解密时间内进行解密；</w:t>
      </w:r>
    </w:p>
    <w:p w14:paraId="60C0C581">
      <w:pPr>
        <w:pageBreakBefore w:val="0"/>
        <w:widowControl w:val="0"/>
        <w:kinsoku/>
        <w:wordWrap/>
        <w:overflowPunct/>
        <w:topLinePunct w:val="0"/>
        <w:autoSpaceDE/>
        <w:autoSpaceDN/>
        <w:bidi w:val="0"/>
        <w:adjustRightInd/>
        <w:snapToGrid/>
        <w:spacing w:line="400" w:lineRule="exact"/>
        <w:ind w:left="479"/>
        <w:textAlignment w:val="auto"/>
        <w:rPr>
          <w:rFonts w:hint="eastAsia" w:ascii="宋体" w:hAnsi="宋体" w:cs="宋体"/>
          <w:bCs/>
          <w:sz w:val="24"/>
        </w:rPr>
      </w:pPr>
      <w:r>
        <w:rPr>
          <w:rFonts w:hint="eastAsia" w:ascii="宋体" w:hAnsi="宋体" w:cs="宋体"/>
          <w:bCs/>
          <w:sz w:val="24"/>
        </w:rPr>
        <w:t>29.1.3投标人在报价时采用选择性报价；</w:t>
      </w:r>
    </w:p>
    <w:p w14:paraId="0D27A410">
      <w:pPr>
        <w:pageBreakBefore w:val="0"/>
        <w:widowControl w:val="0"/>
        <w:kinsoku/>
        <w:wordWrap/>
        <w:overflowPunct/>
        <w:topLinePunct w:val="0"/>
        <w:autoSpaceDE/>
        <w:autoSpaceDN/>
        <w:bidi w:val="0"/>
        <w:adjustRightInd/>
        <w:snapToGrid/>
        <w:spacing w:line="400" w:lineRule="exact"/>
        <w:ind w:left="479"/>
        <w:textAlignment w:val="auto"/>
        <w:rPr>
          <w:rFonts w:hint="eastAsia" w:ascii="宋体" w:hAnsi="宋体" w:cs="宋体"/>
          <w:bCs/>
          <w:sz w:val="24"/>
        </w:rPr>
      </w:pPr>
      <w:r>
        <w:rPr>
          <w:rFonts w:hint="eastAsia" w:ascii="宋体" w:hAnsi="宋体" w:cs="宋体"/>
          <w:bCs/>
          <w:sz w:val="24"/>
        </w:rPr>
        <w:t>29.1.4投标人不具备招标文件中规定资格要求的；</w:t>
      </w:r>
    </w:p>
    <w:p w14:paraId="61F172A3">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29.1.5投标人的报价超过了采购预算或最高限价的；</w:t>
      </w:r>
    </w:p>
    <w:p w14:paraId="27DD134C">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i/>
          <w:sz w:val="24"/>
          <w:u w:val="single"/>
        </w:rPr>
      </w:pPr>
      <w:r>
        <w:rPr>
          <w:rFonts w:hint="eastAsia" w:ascii="宋体" w:hAnsi="宋体" w:cs="宋体"/>
          <w:bCs/>
          <w:sz w:val="24"/>
        </w:rPr>
        <w:t>29.1.6未通过符合性检查的；</w:t>
      </w:r>
    </w:p>
    <w:p w14:paraId="2069BBCA">
      <w:pPr>
        <w:pageBreakBefore w:val="0"/>
        <w:widowControl w:val="0"/>
        <w:kinsoku/>
        <w:wordWrap/>
        <w:overflowPunct/>
        <w:topLinePunct w:val="0"/>
        <w:autoSpaceDE/>
        <w:autoSpaceDN/>
        <w:bidi w:val="0"/>
        <w:adjustRightInd/>
        <w:snapToGrid/>
        <w:spacing w:line="400" w:lineRule="exact"/>
        <w:ind w:firstLine="360"/>
        <w:textAlignment w:val="auto"/>
        <w:rPr>
          <w:rFonts w:hint="eastAsia" w:ascii="宋体" w:hAnsi="宋体" w:cs="宋体"/>
          <w:bCs/>
          <w:sz w:val="24"/>
        </w:rPr>
      </w:pPr>
      <w:r>
        <w:rPr>
          <w:rFonts w:hint="eastAsia" w:ascii="宋体" w:hAnsi="宋体" w:cs="宋体"/>
          <w:bCs/>
          <w:sz w:val="24"/>
        </w:rPr>
        <w:t xml:space="preserve"> 29.1.7不符合招标文件中规定的其他实质性要求和条件的；</w:t>
      </w:r>
    </w:p>
    <w:p w14:paraId="57EC3440">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29.1.8投标人串通投标；</w:t>
      </w:r>
    </w:p>
    <w:p w14:paraId="31CE179C">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29.1.9投标文件含有采购人不能接受的附加条件的。</w:t>
      </w:r>
    </w:p>
    <w:p w14:paraId="4B402896">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50B0FE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29.1.11投标文件未按照招标文件要求加盖电子签章。</w:t>
      </w:r>
    </w:p>
    <w:p w14:paraId="3489619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29.1.12其他法律、法规及本招标文件规定的属无效投标的情形。</w:t>
      </w:r>
    </w:p>
    <w:p w14:paraId="612CA1B3">
      <w:pPr>
        <w:pageBreakBefore w:val="0"/>
        <w:widowControl w:val="0"/>
        <w:kinsoku/>
        <w:wordWrap/>
        <w:overflowPunct/>
        <w:topLinePunct w:val="0"/>
        <w:autoSpaceDE/>
        <w:autoSpaceDN/>
        <w:bidi w:val="0"/>
        <w:adjustRightInd/>
        <w:snapToGrid/>
        <w:spacing w:line="400" w:lineRule="exact"/>
        <w:ind w:left="479"/>
        <w:textAlignment w:val="auto"/>
        <w:rPr>
          <w:rFonts w:hint="eastAsia" w:ascii="宋体" w:hAnsi="宋体" w:cs="宋体"/>
          <w:bCs/>
          <w:sz w:val="24"/>
        </w:rPr>
      </w:pPr>
      <w:r>
        <w:rPr>
          <w:rFonts w:hint="eastAsia" w:ascii="宋体" w:hAnsi="宋体" w:cs="宋体"/>
          <w:bCs/>
          <w:sz w:val="24"/>
        </w:rPr>
        <w:t xml:space="preserve">29.2废标条款：                                                                                                                                                                                                                                                                                                                                                                                                                                                                                                                                                                                                                                                                                                                                                                                                                                                                                                                                                                                                                                                                                                                                                                                                                                                                                                                                                                                                                                                                         </w:t>
      </w:r>
    </w:p>
    <w:p w14:paraId="0BAD3E7C">
      <w:pPr>
        <w:pageBreakBefore w:val="0"/>
        <w:widowControl w:val="0"/>
        <w:kinsoku/>
        <w:wordWrap/>
        <w:overflowPunct/>
        <w:topLinePunct w:val="0"/>
        <w:autoSpaceDE/>
        <w:autoSpaceDN/>
        <w:bidi w:val="0"/>
        <w:adjustRightInd/>
        <w:snapToGrid/>
        <w:spacing w:line="400" w:lineRule="exact"/>
        <w:ind w:left="479"/>
        <w:textAlignment w:val="auto"/>
        <w:rPr>
          <w:rFonts w:hint="eastAsia" w:ascii="宋体" w:hAnsi="宋体" w:cs="宋体"/>
          <w:bCs/>
          <w:sz w:val="24"/>
        </w:rPr>
      </w:pPr>
      <w:r>
        <w:rPr>
          <w:rFonts w:hint="eastAsia" w:ascii="宋体" w:hAnsi="宋体" w:cs="宋体"/>
          <w:bCs/>
          <w:sz w:val="24"/>
        </w:rPr>
        <w:t>29.2.1符合专业条件的供应商或者对招标文件作实质响应的供应商不足三家的；29.2.2出现影响采购公正的违法、违规行为的；</w:t>
      </w:r>
    </w:p>
    <w:p w14:paraId="131E4D40">
      <w:pPr>
        <w:pageBreakBefore w:val="0"/>
        <w:widowControl w:val="0"/>
        <w:kinsoku/>
        <w:wordWrap/>
        <w:overflowPunct/>
        <w:topLinePunct w:val="0"/>
        <w:autoSpaceDE/>
        <w:autoSpaceDN/>
        <w:bidi w:val="0"/>
        <w:adjustRightInd/>
        <w:snapToGrid/>
        <w:spacing w:line="400" w:lineRule="exact"/>
        <w:ind w:left="479"/>
        <w:textAlignment w:val="auto"/>
        <w:rPr>
          <w:rFonts w:hint="eastAsia" w:ascii="宋体" w:hAnsi="宋体" w:cs="宋体"/>
          <w:bCs/>
          <w:sz w:val="24"/>
        </w:rPr>
      </w:pPr>
      <w:r>
        <w:rPr>
          <w:rFonts w:hint="eastAsia" w:ascii="宋体" w:hAnsi="宋体" w:cs="宋体"/>
          <w:bCs/>
          <w:sz w:val="24"/>
        </w:rPr>
        <w:t>29.2.3因重大变故，采购任务取消的；</w:t>
      </w:r>
    </w:p>
    <w:p w14:paraId="0C20C8B6">
      <w:pPr>
        <w:pageBreakBefore w:val="0"/>
        <w:widowControl w:val="0"/>
        <w:kinsoku/>
        <w:wordWrap/>
        <w:overflowPunct/>
        <w:topLinePunct w:val="0"/>
        <w:autoSpaceDE/>
        <w:autoSpaceDN/>
        <w:bidi w:val="0"/>
        <w:adjustRightInd/>
        <w:snapToGrid/>
        <w:spacing w:line="400" w:lineRule="exact"/>
        <w:ind w:left="479"/>
        <w:textAlignment w:val="auto"/>
        <w:rPr>
          <w:rFonts w:hint="eastAsia" w:ascii="宋体" w:hAnsi="宋体" w:cs="宋体"/>
          <w:bCs/>
          <w:sz w:val="24"/>
        </w:rPr>
      </w:pPr>
      <w:r>
        <w:rPr>
          <w:rFonts w:hint="eastAsia" w:ascii="宋体" w:hAnsi="宋体" w:cs="宋体"/>
          <w:bCs/>
          <w:sz w:val="24"/>
        </w:rPr>
        <w:t>29.2.4评标委员会认定招标文件存在歧义、重大缺陷导致评审工作无法进行。</w:t>
      </w:r>
    </w:p>
    <w:p w14:paraId="444BD7DE">
      <w:pPr>
        <w:pageBreakBefore w:val="0"/>
        <w:widowControl w:val="0"/>
        <w:kinsoku/>
        <w:wordWrap/>
        <w:overflowPunct/>
        <w:topLinePunct w:val="0"/>
        <w:autoSpaceDE/>
        <w:autoSpaceDN/>
        <w:bidi w:val="0"/>
        <w:adjustRightInd/>
        <w:snapToGrid/>
        <w:spacing w:line="400" w:lineRule="exact"/>
        <w:ind w:left="479"/>
        <w:textAlignment w:val="auto"/>
        <w:rPr>
          <w:rFonts w:hint="eastAsia" w:ascii="宋体" w:hAnsi="宋体" w:cs="宋体"/>
          <w:bCs/>
          <w:sz w:val="24"/>
        </w:rPr>
      </w:pPr>
      <w:r>
        <w:rPr>
          <w:rFonts w:hint="eastAsia" w:ascii="宋体" w:hAnsi="宋体" w:cs="宋体"/>
          <w:bCs/>
          <w:sz w:val="24"/>
        </w:rPr>
        <w:t>29.3 投标截止时间结束后参加投标的供应商不足三家的处理：</w:t>
      </w:r>
    </w:p>
    <w:p w14:paraId="72BD714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29.3.1如出现投标截止时间结束后参加投标的供应商或者在评标期间对招标文件做出实质响应的供应商不足三家情况，按财政部第八十七号令第四十三条的规定执行。</w:t>
      </w:r>
    </w:p>
    <w:p w14:paraId="7CB951A5">
      <w:pPr>
        <w:pStyle w:val="23"/>
        <w:pageBreakBefore w:val="0"/>
        <w:widowControl w:val="0"/>
        <w:kinsoku/>
        <w:wordWrap/>
        <w:overflowPunct/>
        <w:topLinePunct w:val="0"/>
        <w:autoSpaceDE/>
        <w:autoSpaceDN/>
        <w:bidi w:val="0"/>
        <w:adjustRightInd/>
        <w:snapToGrid/>
        <w:spacing w:before="145" w:after="145" w:line="400" w:lineRule="exact"/>
        <w:ind w:firstLine="321"/>
        <w:textAlignment w:val="auto"/>
        <w:rPr>
          <w:rFonts w:hint="eastAsia" w:ascii="宋体" w:hAnsi="宋体" w:cs="宋体"/>
        </w:rPr>
      </w:pPr>
      <w:bookmarkStart w:id="129" w:name="_Toc120614219"/>
      <w:r>
        <w:rPr>
          <w:rFonts w:hint="eastAsia" w:ascii="宋体" w:hAnsi="宋体" w:cs="宋体"/>
        </w:rPr>
        <w:t>六、</w:t>
      </w:r>
      <w:bookmarkEnd w:id="126"/>
      <w:bookmarkEnd w:id="127"/>
      <w:bookmarkEnd w:id="128"/>
      <w:r>
        <w:rPr>
          <w:rFonts w:hint="eastAsia" w:ascii="宋体" w:hAnsi="宋体" w:cs="宋体"/>
        </w:rPr>
        <w:t>定标</w:t>
      </w:r>
      <w:bookmarkEnd w:id="129"/>
    </w:p>
    <w:p w14:paraId="2E167446">
      <w:pPr>
        <w:pStyle w:val="24"/>
        <w:pageBreakBefore w:val="0"/>
        <w:widowControl w:val="0"/>
        <w:kinsoku/>
        <w:wordWrap/>
        <w:overflowPunct/>
        <w:topLinePunct w:val="0"/>
        <w:autoSpaceDE/>
        <w:autoSpaceDN/>
        <w:bidi w:val="0"/>
        <w:adjustRightInd/>
        <w:snapToGrid/>
        <w:spacing w:before="0" w:after="0" w:line="400" w:lineRule="exact"/>
        <w:ind w:firstLine="450"/>
        <w:textAlignment w:val="auto"/>
        <w:rPr>
          <w:rFonts w:hint="eastAsia" w:ascii="宋体" w:hAnsi="宋体" w:eastAsia="宋体" w:cs="宋体"/>
          <w:b w:val="0"/>
          <w:sz w:val="30"/>
          <w:szCs w:val="30"/>
        </w:rPr>
      </w:pPr>
      <w:bookmarkStart w:id="130" w:name="_Toc513029238"/>
      <w:bookmarkStart w:id="131" w:name="_Toc16938554"/>
      <w:bookmarkStart w:id="132" w:name="_Toc20823310"/>
      <w:r>
        <w:rPr>
          <w:rFonts w:hint="eastAsia" w:ascii="宋体" w:hAnsi="宋体" w:eastAsia="宋体" w:cs="宋体"/>
          <w:b w:val="0"/>
          <w:sz w:val="30"/>
          <w:szCs w:val="30"/>
        </w:rPr>
        <w:t>30、</w:t>
      </w:r>
      <w:bookmarkEnd w:id="130"/>
      <w:r>
        <w:rPr>
          <w:rFonts w:hint="eastAsia" w:ascii="宋体" w:hAnsi="宋体" w:eastAsia="宋体" w:cs="宋体"/>
          <w:b w:val="0"/>
          <w:sz w:val="30"/>
          <w:szCs w:val="30"/>
        </w:rPr>
        <w:t>确定</w:t>
      </w:r>
      <w:bookmarkEnd w:id="131"/>
      <w:bookmarkEnd w:id="132"/>
      <w:r>
        <w:rPr>
          <w:rFonts w:hint="eastAsia" w:ascii="宋体" w:hAnsi="宋体" w:eastAsia="宋体" w:cs="宋体"/>
          <w:b w:val="0"/>
          <w:sz w:val="30"/>
          <w:szCs w:val="30"/>
        </w:rPr>
        <w:t>中标单位</w:t>
      </w:r>
    </w:p>
    <w:p w14:paraId="47783D3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30.1评委会根据本招标文件规定评标方法与评标标准向采购人推荐出中标候选人。</w:t>
      </w:r>
    </w:p>
    <w:p w14:paraId="5705F19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rPr>
      </w:pPr>
      <w:r>
        <w:rPr>
          <w:rFonts w:hint="eastAsia" w:ascii="宋体" w:hAnsi="宋体" w:cs="宋体"/>
          <w:bCs/>
          <w:sz w:val="24"/>
        </w:rPr>
        <w:t>30.2 采购人应根据评委会推荐的中标候选人确定中标供应商。</w:t>
      </w:r>
    </w:p>
    <w:p w14:paraId="0B8A34E2">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bCs/>
          <w:sz w:val="24"/>
          <w:szCs w:val="24"/>
        </w:rPr>
        <w:t>30.3</w:t>
      </w:r>
      <w:r>
        <w:rPr>
          <w:rFonts w:hint="eastAsia" w:ascii="宋体" w:hAnsi="宋体" w:cs="宋体"/>
          <w:sz w:val="24"/>
          <w:szCs w:val="24"/>
        </w:rPr>
        <w:t>采购人将在“江苏政府采购网、盐城市政府采购网”发布中标公告，公告期限为1个工作日。</w:t>
      </w:r>
    </w:p>
    <w:p w14:paraId="22A1FEE4">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30.4若有充分证据证明，中标供应商出现下列情况之一的，一经查实，将被取消中标资格：</w:t>
      </w:r>
    </w:p>
    <w:p w14:paraId="768C0E26">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30.4.1提供虚假材料谋取中标的；</w:t>
      </w:r>
    </w:p>
    <w:p w14:paraId="52B36BD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30.4.2向采购人行贿或者提供其他不正当利益的；</w:t>
      </w:r>
    </w:p>
    <w:p w14:paraId="304733CA">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30.4.3恶意竞争，投标总报价明显低于其自身合理成本且又无法提供证明的；</w:t>
      </w:r>
    </w:p>
    <w:p w14:paraId="4A4846AA">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30.4.4属于本文件规定的无效条件，但在评标过程中又未被评委会发现的；</w:t>
      </w:r>
    </w:p>
    <w:p w14:paraId="13819C1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30.4.5与采购人或者其他供应商恶意串通的；</w:t>
      </w:r>
    </w:p>
    <w:p w14:paraId="6894CA6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30.4.6采取不正当手段诋毁、排挤其他供应商的；</w:t>
      </w:r>
    </w:p>
    <w:p w14:paraId="237AB9F0">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30.4.7不符合法律、法规的规定的。</w:t>
      </w:r>
      <w:bookmarkStart w:id="133" w:name="_Toc200451960"/>
    </w:p>
    <w:p w14:paraId="2A18B46A">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30.5.</w:t>
      </w:r>
      <w:r>
        <w:rPr>
          <w:rFonts w:hint="eastAsia" w:ascii="宋体" w:hAnsi="宋体" w:cs="宋体"/>
        </w:rPr>
        <w:t xml:space="preserve"> </w:t>
      </w:r>
      <w:r>
        <w:rPr>
          <w:rFonts w:hint="eastAsia" w:ascii="宋体" w:hAnsi="宋体" w:cs="宋体"/>
          <w:sz w:val="24"/>
          <w:szCs w:val="24"/>
        </w:rPr>
        <w:t>有下列情形之一的，视为投标人串通投标，投标无效：</w:t>
      </w:r>
    </w:p>
    <w:p w14:paraId="0477D71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30.5.1不同投标人的投标文件由同一单位或者个人编制。</w:t>
      </w:r>
    </w:p>
    <w:p w14:paraId="6FFE95F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30.5.2不同投标人委托同一单位或者个人办理投标事宜。</w:t>
      </w:r>
    </w:p>
    <w:p w14:paraId="78BE2A1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30.5.3 不同投标人的投标文件载明的项目管理成员或者联系人员为同一人。</w:t>
      </w:r>
    </w:p>
    <w:p w14:paraId="28D5D71A">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30.5.4不同投标人的投标文件异常一致或者投标报价呈规律性差异。</w:t>
      </w:r>
    </w:p>
    <w:p w14:paraId="23C3E11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30.5.5不同投标人的投标文件相互混装。</w:t>
      </w:r>
    </w:p>
    <w:p w14:paraId="0535CDC7">
      <w:pPr>
        <w:pStyle w:val="24"/>
        <w:pageBreakBefore w:val="0"/>
        <w:widowControl w:val="0"/>
        <w:tabs>
          <w:tab w:val="left" w:pos="4120"/>
        </w:tabs>
        <w:kinsoku/>
        <w:wordWrap/>
        <w:overflowPunct/>
        <w:topLinePunct w:val="0"/>
        <w:autoSpaceDE/>
        <w:autoSpaceDN/>
        <w:bidi w:val="0"/>
        <w:adjustRightInd/>
        <w:snapToGrid/>
        <w:spacing w:before="0" w:after="0" w:line="400" w:lineRule="exact"/>
        <w:ind w:firstLine="450"/>
        <w:textAlignment w:val="auto"/>
        <w:rPr>
          <w:rFonts w:hint="eastAsia" w:ascii="宋体" w:hAnsi="宋体" w:eastAsia="宋体" w:cs="宋体"/>
          <w:b w:val="0"/>
          <w:sz w:val="30"/>
          <w:szCs w:val="30"/>
        </w:rPr>
      </w:pPr>
      <w:r>
        <w:rPr>
          <w:rFonts w:hint="eastAsia" w:ascii="宋体" w:hAnsi="宋体" w:eastAsia="宋体" w:cs="宋体"/>
          <w:b w:val="0"/>
          <w:sz w:val="30"/>
          <w:szCs w:val="30"/>
        </w:rPr>
        <w:t>31、质疑处理</w:t>
      </w:r>
      <w:bookmarkEnd w:id="133"/>
      <w:r>
        <w:rPr>
          <w:rFonts w:hint="eastAsia" w:ascii="宋体" w:hAnsi="宋体" w:eastAsia="宋体" w:cs="宋体"/>
          <w:b w:val="0"/>
          <w:sz w:val="30"/>
          <w:szCs w:val="30"/>
        </w:rPr>
        <w:tab/>
      </w:r>
    </w:p>
    <w:p w14:paraId="2106887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31.1参加投标供应商认为招标文件、采购过程和中标结果使自己的权益受到损害的，可以在知道或应知其权益受到损害之日起七个工作日内，以书面形式向采购人在法定质疑期内一次性提出针对同一采购程序环节的质疑。供应商提出质疑应当符合财政部令第94号《政府采购质疑和投诉办法》相关规定。上述应知其权益受到损害之日，是指：</w:t>
      </w:r>
    </w:p>
    <w:p w14:paraId="6F33D8E7">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31.1.1对可以质疑的招标文件提出质疑的，为收到招标文件之日或者招标文件公告期限届满之日；</w:t>
      </w:r>
      <w:r>
        <w:rPr>
          <w:rFonts w:hint="eastAsia" w:ascii="宋体" w:hAnsi="宋体" w:cs="宋体"/>
          <w:sz w:val="24"/>
          <w:szCs w:val="24"/>
        </w:rPr>
        <w:br w:type="textWrapping" w:clear="all"/>
      </w:r>
      <w:r>
        <w:rPr>
          <w:rFonts w:hint="eastAsia" w:ascii="宋体" w:hAnsi="宋体" w:cs="宋体"/>
          <w:sz w:val="24"/>
          <w:szCs w:val="24"/>
        </w:rPr>
        <w:t>　　31.1.2对采购过程提出质疑的，为各采购程序环节结束之日；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31.1.3对中标结果提出质疑的，为中标结果公告期限届满之日。</w:t>
      </w:r>
    </w:p>
    <w:p w14:paraId="53F474C2">
      <w:pPr>
        <w:pageBreakBefore w:val="0"/>
        <w:widowControl w:val="0"/>
        <w:kinsoku/>
        <w:wordWrap/>
        <w:overflowPunct/>
        <w:topLinePunct w:val="0"/>
        <w:autoSpaceDE/>
        <w:autoSpaceDN/>
        <w:bidi w:val="0"/>
        <w:adjustRightInd/>
        <w:snapToGrid/>
        <w:spacing w:line="400" w:lineRule="exact"/>
        <w:ind w:firstLine="473"/>
        <w:textAlignment w:val="auto"/>
        <w:rPr>
          <w:rFonts w:hint="eastAsia" w:ascii="宋体" w:hAnsi="宋体" w:cs="宋体"/>
          <w:sz w:val="24"/>
          <w:szCs w:val="24"/>
        </w:rPr>
      </w:pPr>
      <w:r>
        <w:rPr>
          <w:rFonts w:hint="eastAsia" w:ascii="宋体" w:hAnsi="宋体" w:cs="宋体"/>
          <w:sz w:val="24"/>
          <w:szCs w:val="24"/>
        </w:rPr>
        <w:t>31.2质疑必须按《政府采购法》、《政府采购法实施条例》及《江苏省政府采购供应商监督管理暂行办法》的相关规定提交，未按上述要求提交的质疑函（含传真、电子邮件等）采购人有权不予受理。</w:t>
      </w:r>
    </w:p>
    <w:p w14:paraId="70DDE64D">
      <w:pPr>
        <w:pageBreakBefore w:val="0"/>
        <w:widowControl w:val="0"/>
        <w:kinsoku/>
        <w:wordWrap/>
        <w:overflowPunct/>
        <w:topLinePunct w:val="0"/>
        <w:autoSpaceDE/>
        <w:autoSpaceDN/>
        <w:bidi w:val="0"/>
        <w:adjustRightInd/>
        <w:snapToGrid/>
        <w:spacing w:line="400" w:lineRule="exact"/>
        <w:ind w:firstLine="468"/>
        <w:textAlignment w:val="auto"/>
        <w:rPr>
          <w:rFonts w:hint="eastAsia" w:ascii="宋体" w:hAnsi="宋体" w:cs="宋体"/>
          <w:sz w:val="24"/>
          <w:szCs w:val="24"/>
        </w:rPr>
      </w:pPr>
      <w:r>
        <w:rPr>
          <w:rFonts w:hint="eastAsia" w:ascii="宋体" w:hAnsi="宋体" w:cs="宋体"/>
          <w:sz w:val="24"/>
          <w:szCs w:val="24"/>
        </w:rPr>
        <w:t>31.3未参加投标活动的供应商或在投标活动中自身权益未受到损害的供应商所提出的质疑不予受理。</w:t>
      </w:r>
    </w:p>
    <w:p w14:paraId="3E0B5BEF">
      <w:pPr>
        <w:pageBreakBefore w:val="0"/>
        <w:widowControl w:val="0"/>
        <w:kinsoku/>
        <w:wordWrap/>
        <w:overflowPunct/>
        <w:topLinePunct w:val="0"/>
        <w:autoSpaceDE/>
        <w:autoSpaceDN/>
        <w:bidi w:val="0"/>
        <w:adjustRightInd/>
        <w:snapToGrid/>
        <w:spacing w:line="400" w:lineRule="exact"/>
        <w:ind w:firstLine="468"/>
        <w:textAlignment w:val="auto"/>
        <w:rPr>
          <w:rFonts w:hint="eastAsia" w:ascii="宋体" w:hAnsi="宋体" w:cs="宋体"/>
          <w:sz w:val="24"/>
          <w:szCs w:val="24"/>
        </w:rPr>
      </w:pPr>
      <w:r>
        <w:rPr>
          <w:rFonts w:hint="eastAsia" w:ascii="宋体" w:hAnsi="宋体" w:cs="宋体"/>
          <w:sz w:val="24"/>
          <w:szCs w:val="24"/>
        </w:rPr>
        <w:t>31.4质疑函应当包括下列内容：</w:t>
      </w:r>
    </w:p>
    <w:p w14:paraId="79CD4863">
      <w:pPr>
        <w:pageBreakBefore w:val="0"/>
        <w:widowControl w:val="0"/>
        <w:kinsoku/>
        <w:wordWrap/>
        <w:overflowPunct/>
        <w:topLinePunct w:val="0"/>
        <w:autoSpaceDE/>
        <w:autoSpaceDN/>
        <w:bidi w:val="0"/>
        <w:adjustRightInd/>
        <w:snapToGrid/>
        <w:spacing w:line="400" w:lineRule="exact"/>
        <w:ind w:firstLine="468"/>
        <w:textAlignment w:val="auto"/>
        <w:rPr>
          <w:rFonts w:hint="eastAsia" w:ascii="宋体" w:hAnsi="宋体" w:cs="宋体"/>
          <w:sz w:val="24"/>
          <w:szCs w:val="24"/>
        </w:rPr>
      </w:pPr>
      <w:r>
        <w:rPr>
          <w:rFonts w:hint="eastAsia" w:ascii="宋体" w:hAnsi="宋体" w:cs="宋体"/>
          <w:sz w:val="24"/>
          <w:szCs w:val="24"/>
        </w:rPr>
        <w:t>31.4.1质疑投标人的名称、地址、邮编、联系人、联系电话；</w:t>
      </w:r>
    </w:p>
    <w:p w14:paraId="59E35930">
      <w:pPr>
        <w:pageBreakBefore w:val="0"/>
        <w:widowControl w:val="0"/>
        <w:kinsoku/>
        <w:wordWrap/>
        <w:overflowPunct/>
        <w:topLinePunct w:val="0"/>
        <w:autoSpaceDE/>
        <w:autoSpaceDN/>
        <w:bidi w:val="0"/>
        <w:adjustRightInd/>
        <w:snapToGrid/>
        <w:spacing w:line="400" w:lineRule="exact"/>
        <w:ind w:firstLine="468"/>
        <w:textAlignment w:val="auto"/>
        <w:rPr>
          <w:rFonts w:hint="eastAsia" w:ascii="宋体" w:hAnsi="宋体" w:cs="宋体"/>
          <w:sz w:val="24"/>
          <w:szCs w:val="24"/>
        </w:rPr>
      </w:pPr>
      <w:r>
        <w:rPr>
          <w:rFonts w:hint="eastAsia" w:ascii="宋体" w:hAnsi="宋体" w:cs="宋体"/>
          <w:sz w:val="24"/>
          <w:szCs w:val="24"/>
        </w:rPr>
        <w:t>31.4.2具体的质疑事项及明确的请求；</w:t>
      </w:r>
    </w:p>
    <w:p w14:paraId="1943C451">
      <w:pPr>
        <w:pageBreakBefore w:val="0"/>
        <w:widowControl w:val="0"/>
        <w:kinsoku/>
        <w:wordWrap/>
        <w:overflowPunct/>
        <w:topLinePunct w:val="0"/>
        <w:autoSpaceDE/>
        <w:autoSpaceDN/>
        <w:bidi w:val="0"/>
        <w:adjustRightInd/>
        <w:snapToGrid/>
        <w:spacing w:line="400" w:lineRule="exact"/>
        <w:ind w:firstLine="468"/>
        <w:textAlignment w:val="auto"/>
        <w:rPr>
          <w:rFonts w:hint="eastAsia" w:ascii="宋体" w:hAnsi="宋体" w:cs="宋体"/>
          <w:sz w:val="24"/>
          <w:szCs w:val="24"/>
        </w:rPr>
      </w:pPr>
      <w:r>
        <w:rPr>
          <w:rFonts w:hint="eastAsia" w:ascii="宋体" w:hAnsi="宋体" w:cs="宋体"/>
          <w:sz w:val="24"/>
          <w:szCs w:val="24"/>
        </w:rPr>
        <w:t>31.4.3认为自己合法权益受到损害或可能受到损害的相关证据材料；</w:t>
      </w:r>
    </w:p>
    <w:p w14:paraId="734BCBAD">
      <w:pPr>
        <w:pageBreakBefore w:val="0"/>
        <w:widowControl w:val="0"/>
        <w:kinsoku/>
        <w:wordWrap/>
        <w:overflowPunct/>
        <w:topLinePunct w:val="0"/>
        <w:autoSpaceDE/>
        <w:autoSpaceDN/>
        <w:bidi w:val="0"/>
        <w:adjustRightInd/>
        <w:snapToGrid/>
        <w:spacing w:line="400" w:lineRule="exact"/>
        <w:ind w:firstLine="468"/>
        <w:textAlignment w:val="auto"/>
        <w:rPr>
          <w:rFonts w:hint="eastAsia" w:ascii="宋体" w:hAnsi="宋体" w:cs="宋体"/>
          <w:sz w:val="24"/>
          <w:szCs w:val="24"/>
        </w:rPr>
      </w:pPr>
      <w:r>
        <w:rPr>
          <w:rFonts w:hint="eastAsia" w:ascii="宋体" w:hAnsi="宋体" w:cs="宋体"/>
          <w:sz w:val="24"/>
          <w:szCs w:val="24"/>
        </w:rPr>
        <w:t>31.4.4提起质疑的日期；</w:t>
      </w:r>
    </w:p>
    <w:p w14:paraId="4E54721B">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31.4.5质疑函应当署名：质疑人为自然人的，应当由本人签字并附有效身份证明；质疑人为法人或其他组织的，应当由法定代表人（或者负责人）签字并加盖单位公章。未按要求签字和盖章的为无效质疑，采购人将不予受理。)质疑人委托代理质疑的，应当向采购人提交授权委托书，并载明委托代理的具体权限和事项。</w:t>
      </w:r>
    </w:p>
    <w:p w14:paraId="377F116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31.5采购人收到质疑函后，将对质疑的形式和内容进行审查，如质疑函内容、格式不符合规定，采购人将告知质疑人进行补正。</w:t>
      </w:r>
    </w:p>
    <w:p w14:paraId="11691825">
      <w:pPr>
        <w:pageBreakBefore w:val="0"/>
        <w:widowControl w:val="0"/>
        <w:kinsoku/>
        <w:wordWrap/>
        <w:overflowPunct/>
        <w:topLinePunct w:val="0"/>
        <w:autoSpaceDE/>
        <w:autoSpaceDN/>
        <w:bidi w:val="0"/>
        <w:adjustRightInd/>
        <w:snapToGrid/>
        <w:spacing w:line="400" w:lineRule="exact"/>
        <w:ind w:firstLine="468"/>
        <w:textAlignment w:val="auto"/>
        <w:rPr>
          <w:rFonts w:hint="eastAsia" w:ascii="宋体" w:hAnsi="宋体" w:cs="宋体"/>
          <w:sz w:val="24"/>
          <w:szCs w:val="24"/>
        </w:rPr>
      </w:pPr>
      <w:r>
        <w:rPr>
          <w:rFonts w:hint="eastAsia" w:ascii="宋体" w:hAnsi="宋体" w:cs="宋体"/>
          <w:sz w:val="24"/>
          <w:szCs w:val="24"/>
        </w:rPr>
        <w:t>31.6质疑人应当在法定质疑期限内进行补正并重新提交质疑函，拒不补正或者在法定期限内未重新提交质疑函的，为无效质疑，采购人将不予受理。</w:t>
      </w:r>
    </w:p>
    <w:p w14:paraId="1BAA171F">
      <w:pPr>
        <w:pageBreakBefore w:val="0"/>
        <w:widowControl w:val="0"/>
        <w:kinsoku/>
        <w:wordWrap/>
        <w:overflowPunct/>
        <w:topLinePunct w:val="0"/>
        <w:autoSpaceDE/>
        <w:autoSpaceDN/>
        <w:bidi w:val="0"/>
        <w:adjustRightInd/>
        <w:snapToGrid/>
        <w:spacing w:line="400" w:lineRule="exact"/>
        <w:ind w:firstLine="468"/>
        <w:textAlignment w:val="auto"/>
        <w:rPr>
          <w:rFonts w:hint="eastAsia" w:ascii="宋体" w:hAnsi="宋体" w:cs="宋体"/>
          <w:sz w:val="24"/>
          <w:szCs w:val="24"/>
        </w:rPr>
      </w:pPr>
      <w:r>
        <w:rPr>
          <w:rFonts w:hint="eastAsia" w:ascii="宋体" w:hAnsi="宋体" w:cs="宋体"/>
          <w:sz w:val="24"/>
          <w:szCs w:val="24"/>
        </w:rPr>
        <w:t>31.7对于内容、格式符合规定的质疑函，采购人应当在收到投标供应商的书面质疑后七个工作日内作出答复，并以书面形式通知质疑供应商和其他有关供应商，但答复的内容不得涉及商业秘密。</w:t>
      </w:r>
    </w:p>
    <w:p w14:paraId="63483773">
      <w:pPr>
        <w:pageBreakBefore w:val="0"/>
        <w:widowControl w:val="0"/>
        <w:kinsoku/>
        <w:wordWrap/>
        <w:overflowPunct/>
        <w:topLinePunct w:val="0"/>
        <w:autoSpaceDE/>
        <w:autoSpaceDN/>
        <w:bidi w:val="0"/>
        <w:adjustRightInd/>
        <w:snapToGrid/>
        <w:spacing w:line="400" w:lineRule="exact"/>
        <w:ind w:firstLine="468"/>
        <w:textAlignment w:val="auto"/>
        <w:rPr>
          <w:rFonts w:hint="eastAsia" w:ascii="宋体" w:hAnsi="宋体" w:cs="宋体"/>
          <w:sz w:val="24"/>
          <w:szCs w:val="24"/>
        </w:rPr>
      </w:pPr>
      <w:r>
        <w:rPr>
          <w:rFonts w:hint="eastAsia" w:ascii="宋体" w:hAnsi="宋体" w:cs="宋体"/>
          <w:sz w:val="24"/>
          <w:szCs w:val="24"/>
        </w:rPr>
        <w:t>31.8投标人提出书面质疑必须有理、有据，不得恶意质疑或提交虚假质疑。否则，一经查实，采购人有权依据政府采购的有关规定，报请政府采购监管部门对该投标人进行相应的行政处罚，并扣减其诚信记录分。</w:t>
      </w:r>
    </w:p>
    <w:p w14:paraId="6DD36B6B">
      <w:pPr>
        <w:pStyle w:val="24"/>
        <w:pageBreakBefore w:val="0"/>
        <w:widowControl w:val="0"/>
        <w:kinsoku/>
        <w:wordWrap/>
        <w:overflowPunct/>
        <w:topLinePunct w:val="0"/>
        <w:autoSpaceDE/>
        <w:autoSpaceDN/>
        <w:bidi w:val="0"/>
        <w:adjustRightInd/>
        <w:snapToGrid/>
        <w:spacing w:before="0" w:after="0" w:line="400" w:lineRule="exact"/>
        <w:ind w:firstLine="450"/>
        <w:textAlignment w:val="auto"/>
        <w:rPr>
          <w:rFonts w:hint="eastAsia" w:ascii="宋体" w:hAnsi="宋体" w:eastAsia="宋体" w:cs="宋体"/>
          <w:b w:val="0"/>
          <w:sz w:val="30"/>
          <w:szCs w:val="30"/>
        </w:rPr>
      </w:pPr>
      <w:r>
        <w:rPr>
          <w:rFonts w:hint="eastAsia" w:ascii="宋体" w:hAnsi="宋体" w:eastAsia="宋体" w:cs="宋体"/>
          <w:b w:val="0"/>
          <w:sz w:val="30"/>
          <w:szCs w:val="30"/>
        </w:rPr>
        <w:t>32、中标通知书</w:t>
      </w:r>
    </w:p>
    <w:p w14:paraId="4E58209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32.l</w:t>
      </w:r>
      <w:r>
        <w:rPr>
          <w:rFonts w:hint="eastAsia" w:ascii="宋体" w:hAnsi="宋体" w:cs="宋体"/>
          <w:b/>
          <w:sz w:val="24"/>
          <w:szCs w:val="24"/>
        </w:rPr>
        <w:t xml:space="preserve"> </w:t>
      </w:r>
      <w:r>
        <w:rPr>
          <w:rFonts w:hint="eastAsia" w:ascii="宋体" w:hAnsi="宋体" w:cs="宋体"/>
          <w:sz w:val="24"/>
          <w:szCs w:val="24"/>
        </w:rPr>
        <w:t>中标结果确定后，采购人将向中标供应商发出中标通知书。</w:t>
      </w:r>
    </w:p>
    <w:p w14:paraId="549EA1F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32.2中标通知书将是合同的一个组成部分。对采购人和中标供应商均具有法律效力。中标通知书发出后，采购人改变中标结果的，或者中标供应商放弃中标项目的，应当依法承担法律责任。</w:t>
      </w:r>
    </w:p>
    <w:p w14:paraId="750C3604">
      <w:pPr>
        <w:pStyle w:val="23"/>
        <w:pageBreakBefore w:val="0"/>
        <w:widowControl w:val="0"/>
        <w:kinsoku/>
        <w:wordWrap/>
        <w:overflowPunct/>
        <w:topLinePunct w:val="0"/>
        <w:autoSpaceDE/>
        <w:autoSpaceDN/>
        <w:bidi w:val="0"/>
        <w:adjustRightInd/>
        <w:snapToGrid/>
        <w:spacing w:before="145" w:after="145" w:line="400" w:lineRule="exact"/>
        <w:ind w:firstLine="321"/>
        <w:textAlignment w:val="auto"/>
        <w:rPr>
          <w:rFonts w:hint="eastAsia" w:ascii="宋体" w:hAnsi="宋体" w:cs="宋体"/>
        </w:rPr>
      </w:pPr>
      <w:bookmarkStart w:id="134" w:name="_Toc120614220"/>
      <w:bookmarkStart w:id="135" w:name="_Toc20823308"/>
      <w:bookmarkStart w:id="136" w:name="_Toc16938552"/>
      <w:bookmarkStart w:id="137" w:name="_Toc513029236"/>
      <w:r>
        <w:rPr>
          <w:rFonts w:hint="eastAsia" w:ascii="宋体" w:hAnsi="宋体" w:cs="宋体"/>
        </w:rPr>
        <w:t>七、合同</w:t>
      </w:r>
      <w:bookmarkEnd w:id="134"/>
      <w:r>
        <w:rPr>
          <w:rFonts w:hint="eastAsia" w:ascii="宋体" w:hAnsi="宋体" w:cs="宋体"/>
        </w:rPr>
        <w:t>签订相关事项</w:t>
      </w:r>
    </w:p>
    <w:bookmarkEnd w:id="135"/>
    <w:bookmarkEnd w:id="136"/>
    <w:bookmarkEnd w:id="137"/>
    <w:p w14:paraId="5AC39118">
      <w:pPr>
        <w:pStyle w:val="24"/>
        <w:pageBreakBefore w:val="0"/>
        <w:widowControl w:val="0"/>
        <w:kinsoku/>
        <w:wordWrap/>
        <w:overflowPunct/>
        <w:topLinePunct w:val="0"/>
        <w:autoSpaceDE/>
        <w:autoSpaceDN/>
        <w:bidi w:val="0"/>
        <w:adjustRightInd/>
        <w:snapToGrid/>
        <w:spacing w:before="0" w:after="0" w:line="400" w:lineRule="exact"/>
        <w:ind w:firstLine="450"/>
        <w:textAlignment w:val="auto"/>
        <w:rPr>
          <w:rFonts w:hint="eastAsia" w:ascii="宋体" w:hAnsi="宋体" w:eastAsia="宋体" w:cs="宋体"/>
          <w:b w:val="0"/>
          <w:sz w:val="30"/>
          <w:szCs w:val="30"/>
        </w:rPr>
      </w:pPr>
      <w:bookmarkStart w:id="138" w:name="_Toc20823309"/>
      <w:bookmarkStart w:id="139" w:name="_Toc16938553"/>
      <w:bookmarkStart w:id="140" w:name="_Toc513029237"/>
      <w:r>
        <w:rPr>
          <w:rFonts w:hint="eastAsia" w:ascii="宋体" w:hAnsi="宋体" w:eastAsia="宋体" w:cs="宋体"/>
          <w:b w:val="0"/>
          <w:sz w:val="30"/>
          <w:szCs w:val="30"/>
        </w:rPr>
        <w:t>33. 签订合同</w:t>
      </w:r>
    </w:p>
    <w:p w14:paraId="5724E202">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bCs/>
          <w:sz w:val="24"/>
          <w:szCs w:val="24"/>
        </w:rPr>
        <w:t>33</w:t>
      </w:r>
      <w:r>
        <w:rPr>
          <w:rFonts w:hint="eastAsia" w:ascii="宋体" w:hAnsi="宋体" w:cs="宋体"/>
          <w:sz w:val="24"/>
          <w:szCs w:val="24"/>
        </w:rPr>
        <w:t>.l中标供应商应按中标通知书规定的时间、地点,按照招标文件确定的事项与采购人签订政府采购合同，且不得迟于中标通知书发出之日起十五日内，由此给采购人造成损失的，中标供应商还应承担赔偿责任。</w:t>
      </w:r>
    </w:p>
    <w:p w14:paraId="7CDBBA10">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33.2</w:t>
      </w:r>
      <w:r>
        <w:rPr>
          <w:rFonts w:hint="eastAsia" w:ascii="宋体" w:hAnsi="宋体" w:cs="宋体"/>
          <w:b/>
          <w:sz w:val="24"/>
          <w:szCs w:val="24"/>
        </w:rPr>
        <w:t xml:space="preserve"> </w:t>
      </w:r>
      <w:r>
        <w:rPr>
          <w:rFonts w:hint="eastAsia" w:ascii="宋体" w:hAnsi="宋体" w:cs="宋体"/>
          <w:sz w:val="24"/>
          <w:szCs w:val="24"/>
        </w:rPr>
        <w:t>招标文件、中标供应商的投标文件及招标过程中有关澄清、承诺文件均应作为合同附件。</w:t>
      </w:r>
    </w:p>
    <w:p w14:paraId="2AD03BFB">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14:paraId="5DFCAB90">
      <w:pPr>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b/>
          <w:bCs/>
          <w:sz w:val="24"/>
          <w:szCs w:val="24"/>
        </w:rPr>
        <w:t>33.4中标或者成交后无正当理由拒不与采购人签订政府采购合同的，将被列入不良行为记录名单，在一至三年内禁止参加政府采购活动。</w:t>
      </w:r>
    </w:p>
    <w:p w14:paraId="2E7FF103">
      <w:pPr>
        <w:pStyle w:val="24"/>
        <w:pageBreakBefore w:val="0"/>
        <w:widowControl w:val="0"/>
        <w:kinsoku/>
        <w:wordWrap/>
        <w:overflowPunct/>
        <w:topLinePunct w:val="0"/>
        <w:autoSpaceDE/>
        <w:autoSpaceDN/>
        <w:bidi w:val="0"/>
        <w:adjustRightInd/>
        <w:snapToGrid/>
        <w:spacing w:before="0" w:after="0" w:line="400" w:lineRule="exact"/>
        <w:ind w:firstLine="450"/>
        <w:textAlignment w:val="auto"/>
        <w:rPr>
          <w:rFonts w:hint="eastAsia" w:ascii="宋体" w:hAnsi="宋体" w:eastAsia="宋体" w:cs="宋体"/>
          <w:b w:val="0"/>
          <w:sz w:val="30"/>
          <w:szCs w:val="30"/>
        </w:rPr>
      </w:pPr>
      <w:r>
        <w:rPr>
          <w:rFonts w:hint="eastAsia" w:ascii="宋体" w:hAnsi="宋体" w:eastAsia="宋体" w:cs="宋体"/>
          <w:b w:val="0"/>
          <w:sz w:val="30"/>
          <w:szCs w:val="30"/>
        </w:rPr>
        <w:t>34、服务的追加、减少和添购。</w:t>
      </w:r>
    </w:p>
    <w:p w14:paraId="1387D318">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34.1政府采购合同履行中，采购人需追加与合同标的相同的货物和服务的，在不改变合同其他条款的前提下，可以与中标供应商协商签订补充合同，但所有补充合同的采购金额不超过原合同金额10%。</w:t>
      </w:r>
    </w:p>
    <w:p w14:paraId="316D4A35">
      <w:pPr>
        <w:pageBreakBefore w:val="0"/>
        <w:widowControl w:val="0"/>
        <w:kinsoku/>
        <w:wordWrap/>
        <w:overflowPunct/>
        <w:topLinePunct w:val="0"/>
        <w:autoSpaceDE/>
        <w:autoSpaceDN/>
        <w:bidi w:val="0"/>
        <w:adjustRightInd/>
        <w:snapToGrid/>
        <w:spacing w:line="400" w:lineRule="exact"/>
        <w:ind w:firstLine="600"/>
        <w:textAlignment w:val="auto"/>
        <w:rPr>
          <w:rFonts w:hint="eastAsia" w:ascii="宋体" w:hAnsi="宋体" w:cs="宋体"/>
          <w:b/>
          <w:sz w:val="24"/>
          <w:szCs w:val="24"/>
        </w:rPr>
      </w:pPr>
      <w:r>
        <w:rPr>
          <w:rFonts w:hint="eastAsia" w:ascii="宋体" w:hAnsi="宋体" w:cs="宋体"/>
          <w:sz w:val="24"/>
          <w:szCs w:val="24"/>
        </w:rPr>
        <w:t>34.2采购结束后，采购人若由于各种客观原因，必须对采购项目所牵涉的货物和服务进行适当的减少时，在双方协商一致的前提下，可以按照招标采购时的价格水平做相应的调减，并据此签订补充合同。</w:t>
      </w:r>
    </w:p>
    <w:bookmarkEnd w:id="138"/>
    <w:bookmarkEnd w:id="139"/>
    <w:bookmarkEnd w:id="140"/>
    <w:p w14:paraId="1035465B">
      <w:pPr>
        <w:pageBreakBefore w:val="0"/>
        <w:widowControl w:val="0"/>
        <w:tabs>
          <w:tab w:val="left" w:pos="900"/>
        </w:tabs>
        <w:kinsoku/>
        <w:wordWrap/>
        <w:overflowPunct/>
        <w:topLinePunct w:val="0"/>
        <w:autoSpaceDE/>
        <w:autoSpaceDN/>
        <w:bidi w:val="0"/>
        <w:adjustRightInd/>
        <w:snapToGrid/>
        <w:spacing w:after="145" w:line="400" w:lineRule="exact"/>
        <w:ind w:firstLine="450"/>
        <w:textAlignment w:val="auto"/>
        <w:rPr>
          <w:rFonts w:hint="eastAsia" w:ascii="宋体" w:hAnsi="宋体" w:cs="宋体"/>
          <w:bCs/>
          <w:sz w:val="30"/>
          <w:szCs w:val="30"/>
        </w:rPr>
      </w:pPr>
      <w:bookmarkStart w:id="141" w:name="_Toc479757207"/>
      <w:bookmarkStart w:id="142" w:name="_Toc120614221"/>
      <w:bookmarkStart w:id="143" w:name="_Toc20823314"/>
      <w:bookmarkStart w:id="144" w:name="_Toc16938558"/>
      <w:bookmarkStart w:id="145" w:name="_Toc513029242"/>
      <w:r>
        <w:rPr>
          <w:rFonts w:hint="eastAsia" w:ascii="宋体" w:hAnsi="宋体" w:cs="宋体"/>
          <w:bCs/>
          <w:sz w:val="30"/>
          <w:szCs w:val="30"/>
        </w:rPr>
        <w:t>35、履约保证金</w:t>
      </w:r>
    </w:p>
    <w:p w14:paraId="1666B41D">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35.1在签订合同时，须向采购人交纳履约保证金（中标价的10%）,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w:t>
      </w:r>
      <w:r>
        <w:rPr>
          <w:rFonts w:hint="eastAsia" w:ascii="宋体" w:hAnsi="宋体" w:cs="宋体"/>
          <w:color w:val="auto"/>
          <w:sz w:val="24"/>
          <w:szCs w:val="24"/>
        </w:rPr>
        <w:t>免收履约保证金。</w:t>
      </w:r>
    </w:p>
    <w:p w14:paraId="61D55386">
      <w:pPr>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z w:val="24"/>
          <w:szCs w:val="24"/>
        </w:rPr>
      </w:pPr>
      <w:r>
        <w:rPr>
          <w:rFonts w:hint="eastAsia" w:ascii="宋体" w:hAnsi="宋体" w:cs="宋体"/>
          <w:sz w:val="24"/>
          <w:szCs w:val="24"/>
        </w:rPr>
        <w:t>35.2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p>
    <w:p w14:paraId="7C5B38D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35.</w:t>
      </w:r>
      <w:r>
        <w:rPr>
          <w:rFonts w:ascii="宋体" w:hAnsi="宋体" w:cs="宋体"/>
          <w:sz w:val="24"/>
          <w:szCs w:val="24"/>
        </w:rPr>
        <w:t>3</w:t>
      </w:r>
      <w:r>
        <w:rPr>
          <w:rFonts w:hint="eastAsia" w:ascii="宋体" w:hAnsi="宋体" w:cs="宋体"/>
          <w:sz w:val="24"/>
          <w:szCs w:val="24"/>
        </w:rPr>
        <w:t>政府采购履约资金扶持政策</w:t>
      </w:r>
    </w:p>
    <w:p w14:paraId="10F92CC9">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p>
    <w:p w14:paraId="31FF6E44">
      <w:pPr>
        <w:pageBreakBefore w:val="0"/>
        <w:widowControl w:val="0"/>
        <w:kinsoku/>
        <w:wordWrap/>
        <w:overflowPunct/>
        <w:topLinePunct w:val="0"/>
        <w:autoSpaceDE/>
        <w:autoSpaceDN/>
        <w:bidi w:val="0"/>
        <w:adjustRightInd/>
        <w:snapToGrid/>
        <w:spacing w:line="400" w:lineRule="exact"/>
        <w:ind w:firstLine="480"/>
        <w:textAlignment w:val="auto"/>
        <w:rPr>
          <w:rFonts w:hint="eastAsia"/>
        </w:rPr>
      </w:pPr>
      <w:r>
        <w:rPr>
          <w:rFonts w:hint="eastAsia" w:ascii="宋体" w:hAnsi="宋体" w:cs="宋体"/>
          <w:sz w:val="24"/>
          <w:szCs w:val="24"/>
        </w:rPr>
        <w:t>供应商可登录江苏政府采购网“资料下载”栏目（网址：www.ccgp-jiangsu.gov.cn/jiangsu/zlxz）下载“政府采购电子履约保函（保险）操作手册”</w:t>
      </w:r>
    </w:p>
    <w:p w14:paraId="4FD6B13F">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r>
        <w:rPr>
          <w:rFonts w:hint="eastAsia" w:ascii="宋体" w:hAnsi="宋体" w:cs="宋体"/>
          <w:sz w:val="24"/>
          <w:szCs w:val="24"/>
        </w:rPr>
        <w:t>根据盐财购〔2024〕18号《 关于在全市政府采购领域进一步推行电子履约保函（保险）的通知》。</w:t>
      </w:r>
      <w:r>
        <w:rPr>
          <w:rFonts w:hint="eastAsia" w:ascii="宋体" w:hAnsi="宋体" w:cs="宋体"/>
          <w:sz w:val="24"/>
          <w:szCs w:val="24"/>
          <w:lang w:val="en-US" w:eastAsia="zh-CN"/>
        </w:rPr>
        <w:t>供应商可以以</w:t>
      </w:r>
      <w:r>
        <w:rPr>
          <w:rFonts w:hint="eastAsia" w:ascii="宋体" w:hAnsi="宋体" w:cs="宋体"/>
          <w:sz w:val="24"/>
          <w:szCs w:val="24"/>
        </w:rPr>
        <w:t>履约保函（保险）形式缴纳履约保证金，</w:t>
      </w:r>
      <w:r>
        <w:rPr>
          <w:rFonts w:hint="eastAsia" w:ascii="宋体" w:hAnsi="宋体" w:cs="宋体"/>
          <w:sz w:val="24"/>
          <w:szCs w:val="24"/>
          <w:lang w:val="en-US" w:eastAsia="zh-CN"/>
        </w:rPr>
        <w:t>供应商</w:t>
      </w:r>
      <w:r>
        <w:rPr>
          <w:rFonts w:hint="eastAsia" w:ascii="宋体" w:hAnsi="宋体" w:cs="宋体"/>
          <w:sz w:val="24"/>
          <w:szCs w:val="24"/>
        </w:rPr>
        <w:t>可以通过政府采购电子履约保函（保险）平台（www.jsdzbh.com）在线申请履约保函（保险）。</w:t>
      </w:r>
      <w:bookmarkStart w:id="439" w:name="_GoBack"/>
      <w:bookmarkEnd w:id="439"/>
    </w:p>
    <w:p w14:paraId="332E1BEB">
      <w:pPr>
        <w:pStyle w:val="16"/>
      </w:pPr>
    </w:p>
    <w:p w14:paraId="569BF34F">
      <w:pPr>
        <w:pStyle w:val="19"/>
      </w:pPr>
    </w:p>
    <w:p w14:paraId="350F4F3D">
      <w:pPr>
        <w:pStyle w:val="19"/>
      </w:pPr>
    </w:p>
    <w:p w14:paraId="07D06FC1">
      <w:pPr>
        <w:pStyle w:val="19"/>
        <w:rPr>
          <w:rFonts w:hint="eastAsia"/>
        </w:rPr>
      </w:pPr>
    </w:p>
    <w:p w14:paraId="51990C97">
      <w:pPr>
        <w:rPr>
          <w:rFonts w:hint="eastAsia" w:ascii="宋体" w:hAnsi="宋体" w:eastAsia="宋体" w:cs="宋体"/>
          <w:bCs/>
          <w:sz w:val="44"/>
        </w:rPr>
      </w:pPr>
      <w:r>
        <w:rPr>
          <w:rFonts w:hint="eastAsia" w:ascii="宋体" w:hAnsi="宋体" w:eastAsia="宋体" w:cs="宋体"/>
          <w:bCs/>
          <w:sz w:val="44"/>
        </w:rPr>
        <w:br w:type="page"/>
      </w:r>
    </w:p>
    <w:p w14:paraId="7A7CD959">
      <w:pPr>
        <w:pStyle w:val="20"/>
        <w:ind w:firstLine="1760"/>
        <w:jc w:val="both"/>
        <w:rPr>
          <w:rFonts w:hint="eastAsia" w:ascii="宋体" w:hAnsi="宋体" w:eastAsia="宋体" w:cs="宋体"/>
          <w:bCs/>
          <w:sz w:val="44"/>
        </w:rPr>
      </w:pPr>
      <w:r>
        <w:rPr>
          <w:rFonts w:hint="eastAsia" w:ascii="宋体" w:hAnsi="宋体" w:eastAsia="宋体" w:cs="宋体"/>
          <w:bCs/>
          <w:sz w:val="44"/>
        </w:rPr>
        <w:t>第三章  合同条款及</w:t>
      </w:r>
      <w:bookmarkEnd w:id="141"/>
      <w:bookmarkEnd w:id="142"/>
      <w:bookmarkEnd w:id="143"/>
      <w:bookmarkEnd w:id="144"/>
      <w:bookmarkEnd w:id="145"/>
      <w:r>
        <w:rPr>
          <w:rFonts w:hint="eastAsia" w:ascii="宋体" w:hAnsi="宋体" w:eastAsia="宋体" w:cs="宋体"/>
          <w:bCs/>
          <w:sz w:val="44"/>
        </w:rPr>
        <w:t>格式</w:t>
      </w:r>
    </w:p>
    <w:p w14:paraId="4B32C292">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color w:val="auto"/>
          <w:sz w:val="24"/>
          <w:szCs w:val="24"/>
        </w:rPr>
      </w:pPr>
      <w:bookmarkStart w:id="146" w:name="_Hlt16619369"/>
      <w:bookmarkEnd w:id="146"/>
      <w:bookmarkStart w:id="147" w:name="_Hlk130227972"/>
      <w:bookmarkStart w:id="148" w:name="_Toc26554093"/>
      <w:bookmarkStart w:id="149" w:name="_Toc49090575"/>
      <w:bookmarkStart w:id="150" w:name="_Toc462564139"/>
      <w:bookmarkStart w:id="151" w:name="_Toc479757211"/>
      <w:r>
        <w:rPr>
          <w:rFonts w:hAnsi="宋体"/>
          <w:color w:val="auto"/>
          <w:sz w:val="24"/>
          <w:szCs w:val="24"/>
        </w:rPr>
        <w:t xml:space="preserve">项目名称：                                       </w:t>
      </w:r>
    </w:p>
    <w:p w14:paraId="479C3592">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color w:val="auto"/>
          <w:sz w:val="24"/>
          <w:szCs w:val="24"/>
        </w:rPr>
      </w:pPr>
      <w:r>
        <w:rPr>
          <w:rFonts w:hAnsi="宋体"/>
          <w:color w:val="auto"/>
          <w:sz w:val="24"/>
          <w:szCs w:val="24"/>
        </w:rPr>
        <w:t>项目编号：</w:t>
      </w:r>
      <w:r>
        <w:rPr>
          <w:rFonts w:hint="eastAsia" w:ascii="宋体" w:hAnsi="宋体"/>
          <w:sz w:val="24"/>
          <w:szCs w:val="24"/>
          <w:lang w:eastAsia="zh-CN"/>
        </w:rPr>
        <w:t>JSZC-320904-JZCG-G2024-0042</w:t>
      </w:r>
    </w:p>
    <w:p w14:paraId="552C069F">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color w:val="auto"/>
          <w:sz w:val="24"/>
          <w:szCs w:val="24"/>
        </w:rPr>
      </w:pPr>
      <w:r>
        <w:rPr>
          <w:rFonts w:hAnsi="宋体"/>
          <w:color w:val="auto"/>
          <w:sz w:val="24"/>
          <w:szCs w:val="24"/>
        </w:rPr>
        <w:t>甲方：（买方）_________</w:t>
      </w:r>
    </w:p>
    <w:p w14:paraId="073214A7">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color w:val="auto"/>
          <w:sz w:val="24"/>
          <w:szCs w:val="24"/>
        </w:rPr>
      </w:pPr>
      <w:r>
        <w:rPr>
          <w:rFonts w:hAnsi="宋体"/>
          <w:color w:val="auto"/>
          <w:sz w:val="24"/>
          <w:szCs w:val="24"/>
        </w:rPr>
        <w:t>乙方：（卖方）_________</w:t>
      </w:r>
    </w:p>
    <w:p w14:paraId="21192658">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Ansi="宋体"/>
          <w:b/>
          <w:color w:val="auto"/>
          <w:sz w:val="24"/>
          <w:szCs w:val="24"/>
        </w:rPr>
      </w:pPr>
      <w:r>
        <w:rPr>
          <w:rFonts w:hAnsi="宋体"/>
          <w:color w:val="auto"/>
          <w:sz w:val="24"/>
          <w:szCs w:val="24"/>
        </w:rPr>
        <w:t>甲、乙双方根据</w:t>
      </w:r>
      <w:r>
        <w:rPr>
          <w:rFonts w:hint="eastAsia" w:hAnsi="宋体"/>
          <w:color w:val="auto"/>
          <w:sz w:val="24"/>
          <w:szCs w:val="24"/>
          <w:u w:val="single"/>
        </w:rPr>
        <w:t xml:space="preserve">         </w:t>
      </w:r>
      <w:r>
        <w:rPr>
          <w:rFonts w:hAnsi="宋体"/>
          <w:color w:val="auto"/>
          <w:sz w:val="24"/>
          <w:szCs w:val="24"/>
        </w:rPr>
        <w:t>项目公开招标的结果，签署本合同。</w:t>
      </w:r>
    </w:p>
    <w:p w14:paraId="1D04B0F5">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一、货物内容</w:t>
      </w:r>
    </w:p>
    <w:p w14:paraId="5AF19833">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Ansi="宋体"/>
          <w:color w:val="auto"/>
          <w:sz w:val="24"/>
          <w:szCs w:val="24"/>
        </w:rPr>
      </w:pPr>
      <w:r>
        <w:rPr>
          <w:rFonts w:hAnsi="宋体"/>
          <w:color w:val="auto"/>
          <w:sz w:val="24"/>
          <w:szCs w:val="24"/>
        </w:rPr>
        <w:t>1.1 货物名称：</w:t>
      </w:r>
    </w:p>
    <w:p w14:paraId="3DBFE80A">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Ansi="宋体"/>
          <w:color w:val="auto"/>
          <w:sz w:val="24"/>
          <w:szCs w:val="24"/>
        </w:rPr>
      </w:pPr>
      <w:r>
        <w:rPr>
          <w:rFonts w:hAnsi="宋体"/>
          <w:color w:val="auto"/>
          <w:sz w:val="24"/>
          <w:szCs w:val="24"/>
        </w:rPr>
        <w:t>1.2 型号规格：</w:t>
      </w:r>
    </w:p>
    <w:p w14:paraId="2C4CC90B">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Ansi="宋体"/>
          <w:color w:val="auto"/>
          <w:sz w:val="24"/>
          <w:szCs w:val="24"/>
        </w:rPr>
      </w:pPr>
      <w:r>
        <w:rPr>
          <w:rFonts w:hAnsi="宋体"/>
          <w:color w:val="auto"/>
          <w:sz w:val="24"/>
          <w:szCs w:val="24"/>
        </w:rPr>
        <w:t>1.3 数量（单位）：</w:t>
      </w:r>
    </w:p>
    <w:p w14:paraId="69D9E656">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二、合同金额</w:t>
      </w:r>
    </w:p>
    <w:p w14:paraId="06CFC297">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auto"/>
          <w:sz w:val="24"/>
        </w:rPr>
      </w:pPr>
      <w:r>
        <w:rPr>
          <w:rFonts w:ascii="宋体" w:hAnsi="宋体"/>
          <w:bCs/>
          <w:color w:val="auto"/>
          <w:sz w:val="24"/>
        </w:rPr>
        <w:t>2.1 本合同金额为（大写）：________元（_______________元）人民币</w:t>
      </w:r>
      <w:r>
        <w:rPr>
          <w:rFonts w:hint="eastAsia" w:ascii="宋体" w:hAnsi="宋体"/>
          <w:bCs/>
          <w:color w:val="auto"/>
          <w:sz w:val="24"/>
        </w:rPr>
        <w:t>或其他币种</w:t>
      </w:r>
      <w:r>
        <w:rPr>
          <w:rFonts w:ascii="宋体" w:hAnsi="宋体"/>
          <w:bCs/>
          <w:color w:val="auto"/>
          <w:sz w:val="24"/>
        </w:rPr>
        <w:t>。</w:t>
      </w:r>
    </w:p>
    <w:p w14:paraId="62934E20">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三、技术资料</w:t>
      </w:r>
    </w:p>
    <w:p w14:paraId="0531A9A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auto"/>
          <w:sz w:val="24"/>
        </w:rPr>
      </w:pPr>
      <w:r>
        <w:rPr>
          <w:rFonts w:ascii="宋体" w:hAnsi="宋体"/>
          <w:bCs/>
          <w:color w:val="auto"/>
          <w:sz w:val="24"/>
        </w:rPr>
        <w:t>3.1乙方应按招标文件规定的时间向甲方提供使用货物的有关技术资料。</w:t>
      </w:r>
    </w:p>
    <w:p w14:paraId="28A565B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auto"/>
          <w:sz w:val="24"/>
        </w:rPr>
      </w:pPr>
      <w:r>
        <w:rPr>
          <w:rFonts w:ascii="宋体" w:hAnsi="宋体"/>
          <w:bCs/>
          <w:color w:val="auto"/>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F0A0DD5">
      <w:pPr>
        <w:pStyle w:val="26"/>
        <w:keepNext w:val="0"/>
        <w:keepLines w:val="0"/>
        <w:pageBreakBefore w:val="0"/>
        <w:widowControl w:val="0"/>
        <w:kinsoku/>
        <w:wordWrap/>
        <w:overflowPunct/>
        <w:topLinePunct w:val="0"/>
        <w:autoSpaceDE/>
        <w:autoSpaceDN/>
        <w:bidi w:val="0"/>
        <w:adjustRightInd/>
        <w:snapToGrid/>
        <w:spacing w:before="120" w:after="120" w:line="360" w:lineRule="exact"/>
        <w:ind w:left="412" w:hanging="412"/>
        <w:textAlignment w:val="auto"/>
        <w:rPr>
          <w:rFonts w:hAnsi="宋体"/>
          <w:b/>
          <w:color w:val="auto"/>
          <w:sz w:val="24"/>
          <w:szCs w:val="24"/>
        </w:rPr>
      </w:pPr>
      <w:r>
        <w:rPr>
          <w:rFonts w:hAnsi="宋体"/>
          <w:b/>
          <w:color w:val="auto"/>
          <w:sz w:val="24"/>
          <w:szCs w:val="24"/>
        </w:rPr>
        <w:t>四、知识产权</w:t>
      </w:r>
    </w:p>
    <w:p w14:paraId="0CD5B26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rPr>
      </w:pPr>
      <w:r>
        <w:rPr>
          <w:rFonts w:ascii="宋体" w:hAnsi="宋体"/>
          <w:color w:val="auto"/>
          <w:sz w:val="24"/>
          <w:szCs w:val="24"/>
        </w:rPr>
        <w:t>4.1乙</w:t>
      </w:r>
      <w:r>
        <w:rPr>
          <w:rFonts w:hint="eastAsia" w:ascii="宋体" w:hAnsi="宋体"/>
          <w:color w:val="auto"/>
          <w:sz w:val="24"/>
        </w:rPr>
        <w:t>方应保证甲方在使用、接受本合同货物和服务或其任何一部分时不受第三方提出侵犯其专利权、版权、商标权和工业设计权等知识产权的起诉。一旦出现侵权，由乙方负全部责任。</w:t>
      </w:r>
    </w:p>
    <w:p w14:paraId="715C1592">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color w:val="auto"/>
          <w:sz w:val="24"/>
          <w:szCs w:val="24"/>
          <w:u w:val="single"/>
        </w:rPr>
      </w:pPr>
      <w:r>
        <w:rPr>
          <w:rFonts w:hAnsi="宋体"/>
          <w:b/>
          <w:color w:val="auto"/>
          <w:sz w:val="24"/>
          <w:szCs w:val="24"/>
        </w:rPr>
        <w:t>五、产权担保</w:t>
      </w:r>
    </w:p>
    <w:p w14:paraId="66C37406">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Ansi="宋体"/>
          <w:color w:val="auto"/>
          <w:sz w:val="24"/>
          <w:szCs w:val="24"/>
        </w:rPr>
      </w:pPr>
      <w:r>
        <w:rPr>
          <w:rFonts w:hAnsi="宋体"/>
          <w:color w:val="auto"/>
          <w:sz w:val="24"/>
          <w:szCs w:val="24"/>
        </w:rPr>
        <w:t>5.1 乙方保证所交付的货物的所有权完全属于乙方且无任何抵押、查封等产权瑕疵。</w:t>
      </w:r>
    </w:p>
    <w:p w14:paraId="6B638744">
      <w:pPr>
        <w:pStyle w:val="26"/>
        <w:keepNext w:val="0"/>
        <w:keepLines w:val="0"/>
        <w:pageBreakBefore w:val="0"/>
        <w:widowControl w:val="0"/>
        <w:kinsoku/>
        <w:wordWrap/>
        <w:overflowPunct/>
        <w:topLinePunct w:val="0"/>
        <w:autoSpaceDE/>
        <w:autoSpaceDN/>
        <w:bidi w:val="0"/>
        <w:adjustRightInd/>
        <w:snapToGrid/>
        <w:spacing w:before="120" w:after="120" w:line="360" w:lineRule="exact"/>
        <w:ind w:left="410" w:hanging="410"/>
        <w:textAlignment w:val="auto"/>
        <w:rPr>
          <w:rFonts w:hAnsi="宋体"/>
          <w:b/>
          <w:color w:val="auto"/>
          <w:sz w:val="24"/>
          <w:szCs w:val="24"/>
        </w:rPr>
      </w:pPr>
      <w:r>
        <w:rPr>
          <w:rFonts w:hAnsi="宋体"/>
          <w:b/>
          <w:color w:val="auto"/>
          <w:sz w:val="24"/>
          <w:szCs w:val="24"/>
        </w:rPr>
        <w:t>六、履约保证金</w:t>
      </w:r>
    </w:p>
    <w:p w14:paraId="633EFCE3">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int="eastAsia" w:hAnsi="宋体"/>
          <w:color w:val="auto"/>
          <w:sz w:val="24"/>
          <w:szCs w:val="24"/>
        </w:rPr>
      </w:pPr>
      <w:r>
        <w:rPr>
          <w:rFonts w:hAnsi="宋体"/>
          <w:color w:val="auto"/>
          <w:sz w:val="24"/>
          <w:szCs w:val="24"/>
        </w:rPr>
        <w:t>6.1乙方交纳本</w:t>
      </w:r>
      <w:r>
        <w:rPr>
          <w:rFonts w:hint="eastAsia" w:hAnsi="宋体"/>
          <w:color w:val="auto"/>
          <w:sz w:val="24"/>
          <w:szCs w:val="24"/>
        </w:rPr>
        <w:t>项目</w:t>
      </w:r>
      <w:r>
        <w:rPr>
          <w:rFonts w:hAnsi="宋体"/>
          <w:color w:val="auto"/>
          <w:sz w:val="24"/>
          <w:szCs w:val="24"/>
          <w:u w:val="single"/>
        </w:rPr>
        <w:t>合同</w:t>
      </w:r>
      <w:r>
        <w:rPr>
          <w:rFonts w:hint="eastAsia" w:hAnsi="宋体"/>
          <w:color w:val="auto"/>
          <w:sz w:val="24"/>
          <w:szCs w:val="24"/>
          <w:u w:val="single"/>
        </w:rPr>
        <w:t>价的10%给</w:t>
      </w:r>
      <w:r>
        <w:rPr>
          <w:rFonts w:hint="eastAsia" w:hAnsi="宋体"/>
          <w:color w:val="auto"/>
          <w:sz w:val="24"/>
          <w:szCs w:val="24"/>
        </w:rPr>
        <w:t>甲方，作为本项目</w:t>
      </w:r>
      <w:r>
        <w:rPr>
          <w:rFonts w:hAnsi="宋体"/>
          <w:color w:val="auto"/>
          <w:sz w:val="24"/>
          <w:szCs w:val="24"/>
        </w:rPr>
        <w:t>的履约保证金</w:t>
      </w:r>
      <w:r>
        <w:rPr>
          <w:rFonts w:hint="eastAsia" w:hAnsi="宋体"/>
          <w:color w:val="auto"/>
          <w:sz w:val="24"/>
          <w:szCs w:val="24"/>
        </w:rPr>
        <w:t>，乙方如系AA评级及以上政府采购供应商（需提供信用管理部门备案的第三方信用报告），可免交履约保证金。</w:t>
      </w:r>
    </w:p>
    <w:p w14:paraId="7E8D4ECD">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int="default" w:ascii="宋体" w:hAnsi="宋体" w:eastAsia="宋体" w:cs="Times New Roman"/>
          <w:color w:val="auto"/>
          <w:sz w:val="24"/>
          <w:szCs w:val="24"/>
          <w:lang w:val="en-US" w:eastAsia="zh-CN"/>
        </w:rPr>
      </w:pPr>
      <w:r>
        <w:rPr>
          <w:rFonts w:hint="eastAsia" w:hAnsi="宋体"/>
          <w:color w:val="auto"/>
          <w:sz w:val="24"/>
          <w:szCs w:val="24"/>
          <w:lang w:val="en-US" w:eastAsia="zh-CN"/>
        </w:rPr>
        <w:t>6.2</w:t>
      </w:r>
      <w:r>
        <w:rPr>
          <w:rFonts w:hint="eastAsia" w:ascii="宋体" w:hAnsi="宋体" w:eastAsia="宋体" w:cs="Times New Roman"/>
          <w:color w:val="auto"/>
          <w:sz w:val="24"/>
          <w:szCs w:val="24"/>
          <w:lang w:val="en-US" w:eastAsia="zh-CN"/>
        </w:rPr>
        <w:t>履约保证金的收取方式：银行转帐或电汇或保函或履约保函（保险），履约保证金的退还：项目验收合格后15日内无息退还。如未能按期交付验收合格的履约保证金不予退还。</w:t>
      </w:r>
    </w:p>
    <w:p w14:paraId="67A08670">
      <w:pPr>
        <w:keepNext w:val="0"/>
        <w:keepLines w:val="0"/>
        <w:pageBreakBefore w:val="0"/>
        <w:widowControl w:val="0"/>
        <w:kinsoku/>
        <w:wordWrap/>
        <w:overflowPunct/>
        <w:topLinePunct w:val="0"/>
        <w:autoSpaceDE/>
        <w:autoSpaceDN/>
        <w:bidi w:val="0"/>
        <w:adjustRightInd/>
        <w:snapToGrid/>
        <w:spacing w:before="145" w:after="145" w:line="360" w:lineRule="exact"/>
        <w:textAlignment w:val="auto"/>
        <w:rPr>
          <w:rFonts w:ascii="宋体" w:hAnsi="宋体"/>
          <w:b/>
          <w:color w:val="auto"/>
          <w:sz w:val="24"/>
          <w:szCs w:val="24"/>
        </w:rPr>
      </w:pPr>
      <w:r>
        <w:rPr>
          <w:rFonts w:hint="eastAsia" w:ascii="宋体" w:hAnsi="宋体"/>
          <w:b/>
          <w:color w:val="auto"/>
          <w:sz w:val="24"/>
          <w:szCs w:val="24"/>
        </w:rPr>
        <w:t>七、转包或分包</w:t>
      </w:r>
    </w:p>
    <w:p w14:paraId="431FBC4B">
      <w:pPr>
        <w:keepNext w:val="0"/>
        <w:keepLines w:val="0"/>
        <w:pageBreakBefore w:val="0"/>
        <w:widowControl w:val="0"/>
        <w:kinsoku/>
        <w:wordWrap/>
        <w:overflowPunct/>
        <w:topLinePunct w:val="0"/>
        <w:autoSpaceDE/>
        <w:autoSpaceDN/>
        <w:bidi w:val="0"/>
        <w:adjustRightInd/>
        <w:snapToGrid/>
        <w:spacing w:before="145" w:after="145" w:line="360" w:lineRule="exact"/>
        <w:ind w:firstLine="480"/>
        <w:textAlignment w:val="auto"/>
        <w:rPr>
          <w:rFonts w:ascii="宋体" w:hAnsi="宋体"/>
          <w:color w:val="auto"/>
          <w:sz w:val="24"/>
          <w:szCs w:val="24"/>
        </w:rPr>
      </w:pPr>
      <w:r>
        <w:rPr>
          <w:rFonts w:ascii="宋体" w:hAnsi="宋体"/>
          <w:color w:val="auto"/>
          <w:sz w:val="24"/>
          <w:szCs w:val="24"/>
        </w:rPr>
        <w:t>7.1</w:t>
      </w:r>
      <w:r>
        <w:rPr>
          <w:rFonts w:hint="eastAsia" w:ascii="宋体" w:hAnsi="宋体"/>
          <w:color w:val="auto"/>
          <w:sz w:val="24"/>
          <w:szCs w:val="24"/>
        </w:rPr>
        <w:t>本合同范围的货物，应由乙方直接供应，不得转让他人供应；</w:t>
      </w:r>
    </w:p>
    <w:p w14:paraId="6E800D74">
      <w:pPr>
        <w:keepNext w:val="0"/>
        <w:keepLines w:val="0"/>
        <w:pageBreakBefore w:val="0"/>
        <w:widowControl w:val="0"/>
        <w:kinsoku/>
        <w:wordWrap/>
        <w:overflowPunct/>
        <w:topLinePunct w:val="0"/>
        <w:autoSpaceDE/>
        <w:autoSpaceDN/>
        <w:bidi w:val="0"/>
        <w:adjustRightInd/>
        <w:snapToGrid/>
        <w:spacing w:before="145" w:after="145" w:line="360" w:lineRule="exact"/>
        <w:ind w:firstLine="480"/>
        <w:textAlignment w:val="auto"/>
        <w:rPr>
          <w:rFonts w:ascii="宋体" w:hAnsi="宋体"/>
          <w:color w:val="auto"/>
          <w:sz w:val="24"/>
          <w:szCs w:val="24"/>
        </w:rPr>
      </w:pPr>
      <w:r>
        <w:rPr>
          <w:rFonts w:ascii="宋体" w:hAnsi="宋体"/>
          <w:color w:val="auto"/>
          <w:sz w:val="24"/>
          <w:szCs w:val="24"/>
        </w:rPr>
        <w:t xml:space="preserve">7.2 </w:t>
      </w:r>
      <w:r>
        <w:rPr>
          <w:rFonts w:hint="eastAsia" w:ascii="宋体" w:hAnsi="宋体"/>
          <w:color w:val="auto"/>
          <w:sz w:val="24"/>
          <w:szCs w:val="24"/>
        </w:rPr>
        <w:t>除非得到甲方的书面同意，乙方不得部分分包给他人供应。</w:t>
      </w:r>
    </w:p>
    <w:p w14:paraId="28FC19BD">
      <w:pPr>
        <w:keepNext w:val="0"/>
        <w:keepLines w:val="0"/>
        <w:pageBreakBefore w:val="0"/>
        <w:widowControl w:val="0"/>
        <w:kinsoku/>
        <w:wordWrap/>
        <w:overflowPunct/>
        <w:topLinePunct w:val="0"/>
        <w:autoSpaceDE/>
        <w:autoSpaceDN/>
        <w:bidi w:val="0"/>
        <w:adjustRightInd/>
        <w:snapToGrid/>
        <w:spacing w:before="145" w:after="145" w:line="360" w:lineRule="exact"/>
        <w:ind w:firstLine="480"/>
        <w:textAlignment w:val="auto"/>
        <w:rPr>
          <w:rFonts w:ascii="宋体" w:hAnsi="宋体"/>
          <w:color w:val="auto"/>
          <w:sz w:val="24"/>
          <w:szCs w:val="24"/>
        </w:rPr>
      </w:pPr>
      <w:r>
        <w:rPr>
          <w:rFonts w:ascii="宋体" w:hAnsi="宋体"/>
          <w:color w:val="auto"/>
          <w:sz w:val="24"/>
          <w:szCs w:val="24"/>
        </w:rPr>
        <w:t>7.3</w:t>
      </w:r>
      <w:r>
        <w:rPr>
          <w:rFonts w:hint="eastAsia" w:ascii="宋体" w:hAnsi="宋体"/>
          <w:color w:val="auto"/>
          <w:sz w:val="24"/>
          <w:szCs w:val="24"/>
        </w:rPr>
        <w:t>如有转让和未经甲方同意的分包行为，甲方有权给予终止合同。</w:t>
      </w:r>
    </w:p>
    <w:p w14:paraId="649D82D2">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color w:val="auto"/>
          <w:sz w:val="24"/>
          <w:szCs w:val="24"/>
        </w:rPr>
      </w:pPr>
      <w:r>
        <w:rPr>
          <w:rFonts w:hAnsi="宋体"/>
          <w:b/>
          <w:color w:val="auto"/>
          <w:sz w:val="24"/>
          <w:szCs w:val="24"/>
        </w:rPr>
        <w:t>八、质保期</w:t>
      </w:r>
    </w:p>
    <w:p w14:paraId="1E4EBC6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8.1 质保期</w:t>
      </w:r>
      <w:r>
        <w:rPr>
          <w:rFonts w:ascii="宋体" w:hAnsi="宋体"/>
          <w:color w:val="auto"/>
          <w:sz w:val="24"/>
          <w:szCs w:val="24"/>
          <w:u w:val="single"/>
        </w:rPr>
        <w:t xml:space="preserve"> </w:t>
      </w:r>
      <w:r>
        <w:rPr>
          <w:rFonts w:hint="eastAsia" w:ascii="宋体" w:hAnsi="宋体"/>
          <w:color w:val="auto"/>
          <w:sz w:val="24"/>
          <w:szCs w:val="24"/>
          <w:u w:val="single"/>
          <w:lang w:eastAsia="zh-CN"/>
        </w:rPr>
        <w:t>五</w:t>
      </w:r>
      <w:r>
        <w:rPr>
          <w:rFonts w:ascii="宋体" w:hAnsi="宋体"/>
          <w:color w:val="auto"/>
          <w:sz w:val="24"/>
          <w:szCs w:val="24"/>
          <w:u w:val="single"/>
        </w:rPr>
        <w:t xml:space="preserve"> </w:t>
      </w:r>
      <w:r>
        <w:rPr>
          <w:rFonts w:ascii="宋体" w:hAnsi="宋体"/>
          <w:color w:val="auto"/>
          <w:sz w:val="24"/>
          <w:szCs w:val="24"/>
        </w:rPr>
        <w:t>年。自</w:t>
      </w:r>
      <w:r>
        <w:rPr>
          <w:rFonts w:hint="eastAsia" w:ascii="宋体" w:hAnsi="宋体"/>
          <w:color w:val="auto"/>
          <w:sz w:val="24"/>
          <w:szCs w:val="24"/>
          <w:lang w:val="en-US" w:eastAsia="zh-CN"/>
        </w:rPr>
        <w:t>整体</w:t>
      </w:r>
      <w:r>
        <w:rPr>
          <w:rFonts w:hint="eastAsia" w:ascii="宋体" w:hAnsi="宋体"/>
          <w:color w:val="auto"/>
          <w:sz w:val="24"/>
          <w:szCs w:val="24"/>
          <w:lang w:eastAsia="zh-CN"/>
        </w:rPr>
        <w:t>项目</w:t>
      </w:r>
      <w:r>
        <w:rPr>
          <w:rFonts w:ascii="宋体" w:hAnsi="宋体"/>
          <w:color w:val="auto"/>
          <w:sz w:val="24"/>
          <w:szCs w:val="24"/>
        </w:rPr>
        <w:t>验收合格之日起计</w:t>
      </w:r>
      <w:r>
        <w:rPr>
          <w:rFonts w:hint="eastAsia" w:ascii="宋体" w:hAnsi="宋体"/>
          <w:color w:val="auto"/>
          <w:sz w:val="24"/>
          <w:szCs w:val="24"/>
        </w:rPr>
        <w:t>，质保期内的设备等其他损害货物均由乙方在甲方要求时间内整修完毕，保证道路</w:t>
      </w:r>
      <w:r>
        <w:rPr>
          <w:rFonts w:hint="eastAsia" w:ascii="宋体" w:hAnsi="宋体"/>
          <w:color w:val="auto"/>
          <w:sz w:val="24"/>
          <w:szCs w:val="24"/>
          <w:lang w:eastAsia="zh-CN"/>
        </w:rPr>
        <w:t>、设备</w:t>
      </w:r>
      <w:r>
        <w:rPr>
          <w:rFonts w:hint="eastAsia" w:ascii="宋体" w:hAnsi="宋体"/>
          <w:color w:val="auto"/>
          <w:sz w:val="24"/>
          <w:szCs w:val="24"/>
        </w:rPr>
        <w:t>安全，由第三方人为因素造成的</w:t>
      </w:r>
      <w:r>
        <w:rPr>
          <w:rFonts w:hint="eastAsia" w:ascii="宋体" w:hAnsi="宋体"/>
          <w:color w:val="auto"/>
          <w:sz w:val="24"/>
          <w:szCs w:val="24"/>
          <w:lang w:eastAsia="zh-CN"/>
        </w:rPr>
        <w:t>损坏</w:t>
      </w:r>
      <w:r>
        <w:rPr>
          <w:rFonts w:hint="eastAsia" w:ascii="宋体" w:hAnsi="宋体"/>
          <w:color w:val="auto"/>
          <w:sz w:val="24"/>
          <w:szCs w:val="24"/>
        </w:rPr>
        <w:t>，由乙方自行处理索赔事务，与甲方无关。</w:t>
      </w:r>
    </w:p>
    <w:p w14:paraId="356A1417">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九、</w:t>
      </w:r>
      <w:r>
        <w:rPr>
          <w:rFonts w:hint="eastAsia" w:hAnsi="宋体"/>
          <w:b/>
          <w:color w:val="auto"/>
          <w:sz w:val="24"/>
          <w:szCs w:val="24"/>
        </w:rPr>
        <w:t>合同履行期限</w:t>
      </w:r>
      <w:r>
        <w:rPr>
          <w:rFonts w:hAnsi="宋体"/>
          <w:b/>
          <w:color w:val="auto"/>
          <w:sz w:val="24"/>
          <w:szCs w:val="24"/>
        </w:rPr>
        <w:t>、交货方式及交货地点</w:t>
      </w:r>
    </w:p>
    <w:p w14:paraId="019FF1DE">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Ansi="宋体"/>
          <w:bCs/>
          <w:color w:val="auto"/>
          <w:sz w:val="24"/>
          <w:szCs w:val="24"/>
        </w:rPr>
      </w:pPr>
      <w:r>
        <w:rPr>
          <w:rFonts w:hAnsi="宋体"/>
          <w:bCs/>
          <w:color w:val="auto"/>
          <w:sz w:val="24"/>
          <w:szCs w:val="24"/>
        </w:rPr>
        <w:t xml:space="preserve">9.1 </w:t>
      </w:r>
      <w:r>
        <w:rPr>
          <w:rFonts w:hint="eastAsia" w:hAnsi="宋体"/>
          <w:bCs/>
          <w:color w:val="auto"/>
          <w:sz w:val="24"/>
          <w:szCs w:val="24"/>
        </w:rPr>
        <w:t>合同履行期限</w:t>
      </w:r>
      <w:r>
        <w:rPr>
          <w:rFonts w:hAnsi="宋体"/>
          <w:bCs/>
          <w:color w:val="auto"/>
          <w:sz w:val="24"/>
          <w:szCs w:val="24"/>
        </w:rPr>
        <w:t>：</w:t>
      </w:r>
      <w:r>
        <w:rPr>
          <w:rFonts w:hAnsi="宋体"/>
          <w:color w:val="auto"/>
          <w:sz w:val="24"/>
          <w:szCs w:val="24"/>
        </w:rPr>
        <w:t>_________</w:t>
      </w:r>
    </w:p>
    <w:p w14:paraId="51FEC2DC">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Ansi="宋体"/>
          <w:bCs/>
          <w:color w:val="auto"/>
          <w:sz w:val="24"/>
          <w:szCs w:val="24"/>
        </w:rPr>
      </w:pPr>
      <w:r>
        <w:rPr>
          <w:rFonts w:hAnsi="宋体"/>
          <w:bCs/>
          <w:color w:val="auto"/>
          <w:sz w:val="24"/>
          <w:szCs w:val="24"/>
        </w:rPr>
        <w:t>9.2 交货方式：</w:t>
      </w:r>
      <w:r>
        <w:rPr>
          <w:rFonts w:hAnsi="宋体"/>
          <w:color w:val="auto"/>
          <w:sz w:val="24"/>
          <w:szCs w:val="24"/>
        </w:rPr>
        <w:t>_________</w:t>
      </w:r>
    </w:p>
    <w:p w14:paraId="0BA1242C">
      <w:pPr>
        <w:pStyle w:val="26"/>
        <w:keepNext w:val="0"/>
        <w:keepLines w:val="0"/>
        <w:pageBreakBefore w:val="0"/>
        <w:widowControl w:val="0"/>
        <w:kinsoku/>
        <w:wordWrap/>
        <w:overflowPunct/>
        <w:topLinePunct w:val="0"/>
        <w:autoSpaceDE/>
        <w:autoSpaceDN/>
        <w:bidi w:val="0"/>
        <w:adjustRightInd/>
        <w:snapToGrid/>
        <w:spacing w:before="120" w:after="120" w:line="360" w:lineRule="exact"/>
        <w:ind w:firstLine="480"/>
        <w:textAlignment w:val="auto"/>
        <w:rPr>
          <w:rFonts w:hAnsi="宋体"/>
          <w:b/>
          <w:color w:val="auto"/>
          <w:sz w:val="24"/>
          <w:szCs w:val="24"/>
        </w:rPr>
      </w:pPr>
      <w:r>
        <w:rPr>
          <w:rFonts w:hAnsi="宋体"/>
          <w:bCs/>
          <w:color w:val="auto"/>
          <w:sz w:val="24"/>
          <w:szCs w:val="24"/>
        </w:rPr>
        <w:t>9.3 交货地点：</w:t>
      </w:r>
      <w:r>
        <w:rPr>
          <w:rFonts w:hAnsi="宋体"/>
          <w:color w:val="auto"/>
          <w:sz w:val="24"/>
          <w:szCs w:val="24"/>
        </w:rPr>
        <w:t>_________</w:t>
      </w:r>
    </w:p>
    <w:p w14:paraId="447991CE">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十、货款支付</w:t>
      </w:r>
    </w:p>
    <w:p w14:paraId="47AAC2D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B0F0"/>
          <w:sz w:val="24"/>
          <w:szCs w:val="24"/>
          <w:u w:val="single"/>
        </w:rPr>
      </w:pPr>
      <w:r>
        <w:rPr>
          <w:rFonts w:ascii="宋体" w:hAnsi="宋体"/>
          <w:bCs/>
          <w:color w:val="auto"/>
          <w:sz w:val="24"/>
          <w:szCs w:val="24"/>
        </w:rPr>
        <w:t xml:space="preserve">10.1 </w:t>
      </w:r>
      <w:r>
        <w:rPr>
          <w:rFonts w:ascii="宋体" w:hAnsi="宋体"/>
          <w:b/>
          <w:color w:val="auto"/>
          <w:sz w:val="24"/>
          <w:szCs w:val="24"/>
          <w:highlight w:val="none"/>
        </w:rPr>
        <w:t>付款方式：</w:t>
      </w:r>
      <w:r>
        <w:rPr>
          <w:rFonts w:hint="eastAsia" w:ascii="宋体" w:hAnsi="宋体"/>
          <w:b/>
          <w:color w:val="auto"/>
          <w:sz w:val="24"/>
          <w:szCs w:val="24"/>
          <w:highlight w:val="none"/>
        </w:rPr>
        <w:t>合同签订后付30%预付款，项目验收合格后付至合同价款的</w:t>
      </w:r>
      <w:r>
        <w:rPr>
          <w:rFonts w:hint="eastAsia" w:ascii="宋体" w:hAnsi="宋体"/>
          <w:b/>
          <w:color w:val="auto"/>
          <w:sz w:val="24"/>
          <w:szCs w:val="24"/>
          <w:highlight w:val="none"/>
          <w:lang w:val="en-US" w:eastAsia="zh-CN"/>
        </w:rPr>
        <w:t>5</w:t>
      </w:r>
      <w:r>
        <w:rPr>
          <w:rFonts w:hint="eastAsia" w:ascii="宋体" w:hAnsi="宋体"/>
          <w:b/>
          <w:color w:val="auto"/>
          <w:sz w:val="24"/>
          <w:szCs w:val="24"/>
          <w:highlight w:val="none"/>
        </w:rPr>
        <w:t>0%，验收合格满一年后付至审核价款的</w:t>
      </w:r>
      <w:r>
        <w:rPr>
          <w:rFonts w:hint="eastAsia" w:ascii="宋体" w:hAnsi="宋体"/>
          <w:b/>
          <w:color w:val="auto"/>
          <w:sz w:val="24"/>
          <w:szCs w:val="24"/>
          <w:highlight w:val="none"/>
          <w:lang w:val="en-US" w:eastAsia="zh-CN"/>
        </w:rPr>
        <w:t>6</w:t>
      </w:r>
      <w:r>
        <w:rPr>
          <w:rFonts w:hint="eastAsia" w:ascii="宋体" w:hAnsi="宋体"/>
          <w:b/>
          <w:color w:val="auto"/>
          <w:sz w:val="24"/>
          <w:szCs w:val="24"/>
          <w:highlight w:val="none"/>
        </w:rPr>
        <w:t>0%，验收合格满二年后付至审核价款的</w:t>
      </w:r>
      <w:r>
        <w:rPr>
          <w:rFonts w:hint="eastAsia" w:ascii="宋体" w:hAnsi="宋体"/>
          <w:b/>
          <w:color w:val="auto"/>
          <w:sz w:val="24"/>
          <w:szCs w:val="24"/>
          <w:highlight w:val="none"/>
          <w:lang w:val="en-US" w:eastAsia="zh-CN"/>
        </w:rPr>
        <w:t>7</w:t>
      </w:r>
      <w:r>
        <w:rPr>
          <w:rFonts w:hint="eastAsia" w:ascii="宋体" w:hAnsi="宋体"/>
          <w:b/>
          <w:color w:val="auto"/>
          <w:sz w:val="24"/>
          <w:szCs w:val="24"/>
          <w:highlight w:val="none"/>
        </w:rPr>
        <w:t>0%，验收合格满三年后付至审核价款的</w:t>
      </w:r>
      <w:r>
        <w:rPr>
          <w:rFonts w:hint="eastAsia" w:ascii="宋体" w:hAnsi="宋体"/>
          <w:b/>
          <w:color w:val="auto"/>
          <w:sz w:val="24"/>
          <w:szCs w:val="24"/>
          <w:highlight w:val="none"/>
          <w:lang w:val="en-US" w:eastAsia="zh-CN"/>
        </w:rPr>
        <w:t>8</w:t>
      </w:r>
      <w:r>
        <w:rPr>
          <w:rFonts w:hint="eastAsia" w:ascii="宋体" w:hAnsi="宋体"/>
          <w:b/>
          <w:color w:val="auto"/>
          <w:sz w:val="24"/>
          <w:szCs w:val="24"/>
          <w:highlight w:val="none"/>
        </w:rPr>
        <w:t>0%，验收合格满四年后付至审核价款的9</w:t>
      </w:r>
      <w:r>
        <w:rPr>
          <w:rFonts w:hint="eastAsia" w:ascii="宋体" w:hAnsi="宋体"/>
          <w:b/>
          <w:color w:val="auto"/>
          <w:sz w:val="24"/>
          <w:szCs w:val="24"/>
          <w:highlight w:val="none"/>
          <w:lang w:val="en-US" w:eastAsia="zh-CN"/>
        </w:rPr>
        <w:t>0</w:t>
      </w:r>
      <w:r>
        <w:rPr>
          <w:rFonts w:hint="eastAsia" w:ascii="宋体" w:hAnsi="宋体"/>
          <w:b/>
          <w:color w:val="auto"/>
          <w:sz w:val="24"/>
          <w:szCs w:val="24"/>
          <w:highlight w:val="none"/>
        </w:rPr>
        <w:t>%，验收合格满五年后付至审核价款的100%。</w:t>
      </w:r>
    </w:p>
    <w:p w14:paraId="449F698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10.2当采购数量与实际使用数量不一致时，</w:t>
      </w:r>
      <w:r>
        <w:rPr>
          <w:rFonts w:hint="eastAsia" w:ascii="宋体" w:hAnsi="宋体"/>
          <w:color w:val="auto"/>
          <w:sz w:val="24"/>
          <w:szCs w:val="24"/>
        </w:rPr>
        <w:t>乙方</w:t>
      </w:r>
      <w:r>
        <w:rPr>
          <w:rFonts w:ascii="宋体" w:hAnsi="宋体"/>
          <w:color w:val="auto"/>
          <w:sz w:val="24"/>
          <w:szCs w:val="24"/>
        </w:rPr>
        <w:t>应根据实际使用量供货，合同的最终结算金额按实际使用量乘以成交单价进行计算。</w:t>
      </w:r>
    </w:p>
    <w:p w14:paraId="13A3A4B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hint="eastAsia" w:ascii="宋体" w:hAnsi="宋体"/>
          <w:color w:val="auto"/>
          <w:sz w:val="24"/>
          <w:szCs w:val="24"/>
        </w:rPr>
        <w:t>10.3</w:t>
      </w:r>
      <w:r>
        <w:rPr>
          <w:rFonts w:ascii="宋体" w:hAnsi="宋体"/>
          <w:color w:val="auto"/>
          <w:sz w:val="24"/>
          <w:szCs w:val="24"/>
        </w:rPr>
        <w:t>对于满足合同约定支付条件的，采购人应当自收到发票后 15 日内将资金支付到合同约定的供应商账户。</w:t>
      </w:r>
    </w:p>
    <w:p w14:paraId="38578F35">
      <w:pPr>
        <w:keepNext w:val="0"/>
        <w:keepLines w:val="0"/>
        <w:pageBreakBefore w:val="0"/>
        <w:widowControl w:val="0"/>
        <w:kinsoku/>
        <w:wordWrap/>
        <w:overflowPunct/>
        <w:topLinePunct w:val="0"/>
        <w:autoSpaceDE/>
        <w:autoSpaceDN/>
        <w:bidi w:val="0"/>
        <w:adjustRightInd/>
        <w:snapToGrid/>
        <w:spacing w:before="145" w:after="145" w:line="360" w:lineRule="exact"/>
        <w:textAlignment w:val="auto"/>
        <w:rPr>
          <w:rFonts w:ascii="宋体" w:hAnsi="宋体"/>
          <w:b/>
          <w:color w:val="auto"/>
          <w:sz w:val="24"/>
          <w:szCs w:val="24"/>
        </w:rPr>
      </w:pPr>
      <w:r>
        <w:rPr>
          <w:rFonts w:hint="eastAsia" w:ascii="宋体" w:hAnsi="宋体"/>
          <w:b/>
          <w:color w:val="auto"/>
          <w:sz w:val="24"/>
          <w:szCs w:val="24"/>
        </w:rPr>
        <w:t>十一</w:t>
      </w:r>
      <w:r>
        <w:rPr>
          <w:rFonts w:ascii="宋体" w:hAnsi="宋体"/>
          <w:b/>
          <w:color w:val="auto"/>
          <w:sz w:val="24"/>
          <w:szCs w:val="24"/>
        </w:rPr>
        <w:t>.</w:t>
      </w:r>
      <w:r>
        <w:rPr>
          <w:rFonts w:hint="eastAsia" w:ascii="宋体" w:hAnsi="宋体"/>
          <w:b/>
          <w:color w:val="auto"/>
          <w:sz w:val="24"/>
          <w:szCs w:val="24"/>
        </w:rPr>
        <w:t>税费</w:t>
      </w:r>
    </w:p>
    <w:p w14:paraId="385BAB60">
      <w:pPr>
        <w:keepNext w:val="0"/>
        <w:keepLines w:val="0"/>
        <w:pageBreakBefore w:val="0"/>
        <w:widowControl w:val="0"/>
        <w:kinsoku/>
        <w:wordWrap/>
        <w:overflowPunct/>
        <w:topLinePunct w:val="0"/>
        <w:autoSpaceDE/>
        <w:autoSpaceDN/>
        <w:bidi w:val="0"/>
        <w:adjustRightInd/>
        <w:snapToGrid/>
        <w:spacing w:before="145" w:after="145" w:line="360" w:lineRule="exact"/>
        <w:ind w:firstLine="480"/>
        <w:textAlignment w:val="auto"/>
        <w:rPr>
          <w:rFonts w:ascii="宋体" w:hAnsi="宋体"/>
          <w:color w:val="auto"/>
          <w:sz w:val="24"/>
          <w:szCs w:val="24"/>
        </w:rPr>
      </w:pPr>
      <w:r>
        <w:rPr>
          <w:rFonts w:ascii="宋体" w:hAnsi="宋体"/>
          <w:color w:val="auto"/>
          <w:sz w:val="24"/>
          <w:szCs w:val="24"/>
        </w:rPr>
        <w:t>11.1</w:t>
      </w:r>
      <w:r>
        <w:rPr>
          <w:rFonts w:hint="eastAsia" w:ascii="宋体" w:hAnsi="宋体"/>
          <w:color w:val="auto"/>
          <w:sz w:val="24"/>
          <w:szCs w:val="24"/>
        </w:rPr>
        <w:t>本合同执行中相关的一切税费均由乙方负担。</w:t>
      </w:r>
    </w:p>
    <w:p w14:paraId="5E4B8102">
      <w:pPr>
        <w:pStyle w:val="26"/>
        <w:keepNext w:val="0"/>
        <w:keepLines w:val="0"/>
        <w:pageBreakBefore w:val="0"/>
        <w:widowControl w:val="0"/>
        <w:kinsoku/>
        <w:wordWrap/>
        <w:overflowPunct/>
        <w:topLinePunct w:val="0"/>
        <w:autoSpaceDE/>
        <w:autoSpaceDN/>
        <w:bidi w:val="0"/>
        <w:adjustRightInd/>
        <w:snapToGrid/>
        <w:spacing w:before="120" w:after="120" w:line="360" w:lineRule="exact"/>
        <w:ind w:left="412" w:hanging="412"/>
        <w:textAlignment w:val="auto"/>
        <w:rPr>
          <w:rFonts w:hAnsi="宋体"/>
          <w:color w:val="auto"/>
          <w:sz w:val="24"/>
          <w:szCs w:val="24"/>
        </w:rPr>
      </w:pPr>
      <w:r>
        <w:rPr>
          <w:rFonts w:hAnsi="宋体"/>
          <w:b/>
          <w:color w:val="auto"/>
          <w:sz w:val="24"/>
          <w:szCs w:val="24"/>
        </w:rPr>
        <w:t>十二、质量保证及售后服务</w:t>
      </w:r>
    </w:p>
    <w:p w14:paraId="183D4739">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12.1 乙方应按招标文件规定的货物性能、技术要求、质量标准向甲方提供未经使用的全新产品。</w:t>
      </w:r>
    </w:p>
    <w:p w14:paraId="5861F387">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12.2 乙方提供的货物在质量期内因货物本身的质量问题发生故障，乙方应负责免费更换。对达不到技术要求者，根据实际情况，经双方协商，可按以下办法处理：</w:t>
      </w:r>
    </w:p>
    <w:p w14:paraId="0A7F04D3">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color w:val="auto"/>
          <w:sz w:val="24"/>
          <w:szCs w:val="24"/>
        </w:rPr>
      </w:pPr>
      <w:r>
        <w:rPr>
          <w:rFonts w:ascii="宋体" w:hAnsi="宋体"/>
          <w:color w:val="auto"/>
          <w:sz w:val="24"/>
          <w:szCs w:val="24"/>
        </w:rPr>
        <w:t>⑴更换：由乙方承担所发生的全部费用。</w:t>
      </w:r>
    </w:p>
    <w:p w14:paraId="52162D2A">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color w:val="auto"/>
          <w:sz w:val="24"/>
          <w:szCs w:val="24"/>
        </w:rPr>
      </w:pPr>
      <w:r>
        <w:rPr>
          <w:rFonts w:ascii="宋体" w:hAnsi="宋体"/>
          <w:color w:val="auto"/>
          <w:sz w:val="24"/>
          <w:szCs w:val="24"/>
        </w:rPr>
        <w:t>⑵贬值处理：由甲乙双方合议定价。</w:t>
      </w:r>
    </w:p>
    <w:p w14:paraId="60D7FC9C">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color w:val="auto"/>
          <w:sz w:val="24"/>
          <w:szCs w:val="24"/>
        </w:rPr>
      </w:pPr>
      <w:r>
        <w:rPr>
          <w:rFonts w:ascii="宋体" w:hAnsi="宋体"/>
          <w:color w:val="auto"/>
          <w:sz w:val="24"/>
          <w:szCs w:val="24"/>
        </w:rPr>
        <w:t>⑶退货处理：乙方应退还甲方支付的合同款，同时应承担该货物的直接费用（运输、保险、检验、货款利息及银行手续费等）。</w:t>
      </w:r>
    </w:p>
    <w:p w14:paraId="07B89E27">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olor w:val="auto"/>
          <w:sz w:val="24"/>
          <w:szCs w:val="24"/>
        </w:rPr>
      </w:pPr>
      <w:r>
        <w:rPr>
          <w:rFonts w:ascii="宋体" w:hAnsi="宋体"/>
          <w:color w:val="auto"/>
          <w:sz w:val="24"/>
          <w:szCs w:val="24"/>
        </w:rPr>
        <w:t>12.3 如在使用过程中发生质量问题，</w:t>
      </w:r>
      <w:r>
        <w:rPr>
          <w:rFonts w:hint="eastAsia" w:ascii="宋体" w:hAnsi="宋体"/>
          <w:color w:val="auto"/>
          <w:sz w:val="24"/>
          <w:szCs w:val="24"/>
        </w:rPr>
        <w:t>乙方在接到电话后须在</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3</w:t>
      </w:r>
      <w:r>
        <w:rPr>
          <w:rFonts w:ascii="宋体" w:hAnsi="宋体"/>
          <w:color w:val="auto"/>
          <w:sz w:val="24"/>
          <w:szCs w:val="24"/>
          <w:u w:val="single"/>
        </w:rPr>
        <w:t xml:space="preserve"> </w:t>
      </w:r>
      <w:r>
        <w:rPr>
          <w:rFonts w:hint="eastAsia" w:ascii="宋体" w:hAnsi="宋体"/>
          <w:color w:val="auto"/>
          <w:sz w:val="24"/>
          <w:szCs w:val="24"/>
        </w:rPr>
        <w:t>小时</w:t>
      </w:r>
      <w:r>
        <w:rPr>
          <w:rFonts w:hint="eastAsia" w:ascii="宋体" w:hAnsi="宋体"/>
          <w:color w:val="auto"/>
          <w:sz w:val="24"/>
          <w:szCs w:val="24"/>
          <w:lang w:eastAsia="zh-CN"/>
        </w:rPr>
        <w:t>内</w:t>
      </w:r>
      <w:r>
        <w:rPr>
          <w:rFonts w:hint="eastAsia" w:ascii="宋体" w:hAnsi="宋体"/>
          <w:color w:val="auto"/>
          <w:sz w:val="24"/>
          <w:szCs w:val="24"/>
        </w:rPr>
        <w:t>响应，</w:t>
      </w:r>
      <w:r>
        <w:rPr>
          <w:rFonts w:ascii="宋体" w:hAnsi="宋体"/>
          <w:color w:val="auto"/>
          <w:sz w:val="24"/>
          <w:szCs w:val="24"/>
        </w:rPr>
        <w:t xml:space="preserve"> </w:t>
      </w:r>
      <w:r>
        <w:rPr>
          <w:rFonts w:hint="eastAsia" w:ascii="宋体" w:hAnsi="宋体"/>
          <w:color w:val="auto"/>
          <w:sz w:val="24"/>
          <w:szCs w:val="24"/>
          <w:u w:val="single"/>
          <w:lang w:val="en-US" w:eastAsia="zh-CN"/>
        </w:rPr>
        <w:t>24</w:t>
      </w:r>
      <w:r>
        <w:rPr>
          <w:rFonts w:ascii="宋体" w:hAnsi="宋体"/>
          <w:color w:val="auto"/>
          <w:sz w:val="24"/>
          <w:szCs w:val="24"/>
          <w:u w:val="single"/>
        </w:rPr>
        <w:t xml:space="preserve"> </w:t>
      </w:r>
      <w:r>
        <w:rPr>
          <w:rFonts w:ascii="宋体" w:hAnsi="宋体"/>
          <w:color w:val="auto"/>
          <w:sz w:val="24"/>
          <w:szCs w:val="24"/>
        </w:rPr>
        <w:t>小时内到达</w:t>
      </w:r>
      <w:r>
        <w:rPr>
          <w:rFonts w:hint="eastAsia" w:ascii="宋体" w:hAnsi="宋体"/>
          <w:color w:val="auto"/>
          <w:sz w:val="24"/>
          <w:szCs w:val="24"/>
        </w:rPr>
        <w:t>现场解决问题</w:t>
      </w:r>
      <w:r>
        <w:rPr>
          <w:rFonts w:hint="eastAsia" w:ascii="宋体" w:hAnsi="宋体"/>
          <w:color w:val="auto"/>
          <w:sz w:val="24"/>
          <w:szCs w:val="24"/>
          <w:lang w:eastAsia="zh-CN"/>
        </w:rPr>
        <w:t>（</w:t>
      </w:r>
      <w:r>
        <w:rPr>
          <w:rFonts w:hint="eastAsia" w:ascii="宋体" w:hAnsi="宋体"/>
          <w:color w:val="auto"/>
          <w:sz w:val="24"/>
          <w:szCs w:val="24"/>
          <w:lang w:val="en-US" w:eastAsia="zh-CN"/>
        </w:rPr>
        <w:t>如遇特殊情况不能在规定时间内解决的须向甲方提出书面申请，经甲方同意后方可延长维修时间，否则按合同价的万分一/天作为逾期违约处罚，违约金直接从结算价款中扣除</w:t>
      </w:r>
      <w:r>
        <w:rPr>
          <w:rFonts w:hint="eastAsia" w:ascii="宋体" w:hAnsi="宋体"/>
          <w:color w:val="auto"/>
          <w:sz w:val="24"/>
          <w:szCs w:val="24"/>
          <w:lang w:eastAsia="zh-CN"/>
        </w:rPr>
        <w:t>）</w:t>
      </w:r>
      <w:r>
        <w:rPr>
          <w:rFonts w:hint="eastAsia" w:ascii="宋体" w:hAnsi="宋体"/>
          <w:color w:val="auto"/>
          <w:sz w:val="24"/>
          <w:szCs w:val="24"/>
        </w:rPr>
        <w:t>，如果需要更换货物或配件，需保证所换货物或配件不低于原配置</w:t>
      </w:r>
      <w:r>
        <w:rPr>
          <w:rFonts w:hint="eastAsia"/>
          <w:lang w:eastAsia="zh-CN"/>
        </w:rPr>
        <w:t>。</w:t>
      </w:r>
      <w:r>
        <w:rPr>
          <w:rFonts w:hint="eastAsia" w:ascii="宋体" w:hAnsi="宋体"/>
          <w:color w:val="auto"/>
          <w:sz w:val="24"/>
          <w:szCs w:val="24"/>
        </w:rPr>
        <w:t>如在</w:t>
      </w:r>
      <w:r>
        <w:rPr>
          <w:rFonts w:hint="eastAsia" w:ascii="宋体" w:hAnsi="宋体"/>
          <w:color w:val="auto"/>
          <w:sz w:val="24"/>
          <w:szCs w:val="24"/>
          <w:lang w:val="en-US" w:eastAsia="zh-CN"/>
        </w:rPr>
        <w:t>上述</w:t>
      </w:r>
      <w:r>
        <w:rPr>
          <w:rFonts w:hint="eastAsia" w:ascii="宋体" w:hAnsi="宋体"/>
          <w:color w:val="auto"/>
          <w:sz w:val="24"/>
          <w:szCs w:val="24"/>
        </w:rPr>
        <w:t>规定时间内不能到位的，甲方有权自行维修或更换，其费用在乙方</w:t>
      </w:r>
      <w:r>
        <w:rPr>
          <w:rFonts w:hint="eastAsia" w:ascii="宋体" w:hAnsi="宋体"/>
          <w:color w:val="auto"/>
          <w:sz w:val="24"/>
          <w:szCs w:val="24"/>
          <w:lang w:eastAsia="zh-CN"/>
        </w:rPr>
        <w:t>合同价款</w:t>
      </w:r>
      <w:r>
        <w:rPr>
          <w:rFonts w:hint="eastAsia" w:ascii="宋体" w:hAnsi="宋体"/>
          <w:color w:val="auto"/>
          <w:sz w:val="24"/>
          <w:szCs w:val="24"/>
        </w:rPr>
        <w:t>中扣除</w:t>
      </w:r>
      <w:r>
        <w:rPr>
          <w:rFonts w:hint="eastAsia" w:ascii="宋体" w:hAnsi="宋体"/>
          <w:color w:val="auto"/>
          <w:sz w:val="24"/>
          <w:szCs w:val="24"/>
          <w:lang w:eastAsia="zh-CN"/>
        </w:rPr>
        <w:t>，甲方自行维修后的设备仍享有乙方的质保承诺</w:t>
      </w:r>
      <w:r>
        <w:rPr>
          <w:rFonts w:hint="eastAsia" w:ascii="宋体" w:hAnsi="宋体"/>
          <w:color w:val="auto"/>
          <w:sz w:val="24"/>
          <w:szCs w:val="24"/>
        </w:rPr>
        <w:t>。如设备、配套设施、管线等出现意外（包括自然灾害等）或任何人为等因素造成损坏的，乙方需先无条件维修复原，维修完成后再由乙方（甲方配合）向人为因素造成损坏的责任人追偿。</w:t>
      </w:r>
    </w:p>
    <w:p w14:paraId="7EAD7B75">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default" w:eastAsia="宋体"/>
          <w:lang w:val="en-US" w:eastAsia="zh-CN"/>
        </w:rPr>
      </w:pPr>
      <w:r>
        <w:rPr>
          <w:rFonts w:ascii="宋体" w:hAnsi="宋体"/>
          <w:color w:val="auto"/>
          <w:sz w:val="24"/>
          <w:szCs w:val="24"/>
        </w:rPr>
        <w:t xml:space="preserve">12.4 </w:t>
      </w:r>
      <w:r>
        <w:rPr>
          <w:rFonts w:hint="eastAsia" w:ascii="宋体" w:hAnsi="宋体"/>
          <w:color w:val="auto"/>
          <w:sz w:val="24"/>
          <w:szCs w:val="24"/>
          <w:lang w:val="en-US" w:eastAsia="zh-CN"/>
        </w:rPr>
        <w:t>在质保期内，乙方应</w:t>
      </w:r>
      <w:r>
        <w:rPr>
          <w:rFonts w:hint="eastAsia" w:ascii="宋体" w:hAnsi="宋体" w:cs="宋体"/>
          <w:color w:val="auto"/>
          <w:kern w:val="2"/>
          <w:sz w:val="24"/>
          <w:szCs w:val="24"/>
          <w:lang w:val="en-US" w:eastAsia="zh-CN"/>
        </w:rPr>
        <w:t>确保每月（以每月的23日统计数据为准，注：23日为节假日的，延后到下一个工作日）的</w:t>
      </w:r>
      <w:r>
        <w:rPr>
          <w:rFonts w:hint="eastAsia" w:ascii="宋体" w:hAnsi="宋体" w:eastAsia="宋体" w:cs="宋体"/>
          <w:color w:val="auto"/>
          <w:kern w:val="2"/>
          <w:sz w:val="24"/>
          <w:szCs w:val="24"/>
          <w:lang w:val="en-US" w:eastAsia="zh-CN"/>
        </w:rPr>
        <w:t>监控在线率</w:t>
      </w:r>
      <w:r>
        <w:rPr>
          <w:rFonts w:hint="eastAsia" w:ascii="宋体" w:hAnsi="宋体" w:cs="宋体"/>
          <w:color w:val="auto"/>
          <w:kern w:val="2"/>
          <w:sz w:val="24"/>
          <w:szCs w:val="24"/>
          <w:lang w:val="en-US" w:eastAsia="zh-CN"/>
        </w:rPr>
        <w:t>达  %及</w:t>
      </w:r>
      <w:r>
        <w:rPr>
          <w:rFonts w:hint="eastAsia" w:ascii="宋体" w:hAnsi="宋体" w:eastAsia="宋体" w:cs="宋体"/>
          <w:color w:val="auto"/>
          <w:kern w:val="2"/>
          <w:sz w:val="24"/>
          <w:szCs w:val="24"/>
          <w:lang w:val="en-US" w:eastAsia="zh-CN"/>
        </w:rPr>
        <w:t>以</w:t>
      </w:r>
      <w:r>
        <w:rPr>
          <w:rFonts w:hint="eastAsia" w:ascii="宋体" w:hAnsi="宋体" w:eastAsia="宋体" w:cs="宋体"/>
          <w:color w:val="auto"/>
          <w:kern w:val="2"/>
          <w:sz w:val="24"/>
          <w:szCs w:val="24"/>
          <w:highlight w:val="none"/>
          <w:lang w:val="en-US" w:eastAsia="zh-CN"/>
        </w:rPr>
        <w:t>上</w:t>
      </w:r>
      <w:r>
        <w:rPr>
          <w:rFonts w:hint="eastAsia" w:ascii="宋体" w:hAnsi="宋体" w:cs="宋体"/>
          <w:color w:val="auto"/>
          <w:kern w:val="2"/>
          <w:sz w:val="24"/>
          <w:szCs w:val="24"/>
          <w:highlight w:val="none"/>
          <w:lang w:val="en-US" w:eastAsia="zh-CN"/>
        </w:rPr>
        <w:t>，未达到，每低1个百分点，扣除合同价款的</w:t>
      </w:r>
      <w:r>
        <w:rPr>
          <w:rFonts w:hint="eastAsia" w:ascii="宋体" w:hAnsi="宋体"/>
          <w:color w:val="auto"/>
          <w:sz w:val="24"/>
          <w:szCs w:val="24"/>
          <w:lang w:val="en-US" w:eastAsia="zh-CN"/>
        </w:rPr>
        <w:t>万分之一，扣款每月进行累计。</w:t>
      </w:r>
    </w:p>
    <w:p w14:paraId="245E5AC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12.</w:t>
      </w:r>
      <w:r>
        <w:rPr>
          <w:rFonts w:hint="eastAsia" w:ascii="宋体" w:hAnsi="宋体"/>
          <w:color w:val="auto"/>
          <w:sz w:val="24"/>
          <w:szCs w:val="24"/>
          <w:lang w:val="en-US" w:eastAsia="zh-CN"/>
        </w:rPr>
        <w:t>5</w:t>
      </w:r>
      <w:r>
        <w:rPr>
          <w:rFonts w:ascii="宋体" w:hAnsi="宋体"/>
          <w:color w:val="auto"/>
          <w:sz w:val="24"/>
          <w:szCs w:val="24"/>
        </w:rPr>
        <w:t xml:space="preserve"> 在质保期内，乙方应对货物出现的质量及安全问题负责处理解决并承担一切费用。</w:t>
      </w:r>
    </w:p>
    <w:p w14:paraId="48E07B3A">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十三、调试和验收</w:t>
      </w:r>
    </w:p>
    <w:p w14:paraId="2FC1BE4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13.1 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2B200679">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13.2 乙方交货前应对产品作出全面检查和对验收文件进行整理，并列出清单，作为甲方收货验收和使用的技术条件依据，检验的结果应随货物交甲方。</w:t>
      </w:r>
    </w:p>
    <w:p w14:paraId="75FF499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13.3 甲方对乙方提供的货物在使用前进行调试时，乙方需负责安装并培训甲方的使用操作人员，并协助甲方一起调试，直到符合技术要求，甲方才做最终验收。</w:t>
      </w:r>
    </w:p>
    <w:p w14:paraId="7942204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eastAsia="宋体"/>
          <w:color w:val="auto"/>
          <w:sz w:val="24"/>
          <w:szCs w:val="24"/>
          <w:lang w:eastAsia="zh-CN"/>
        </w:rPr>
      </w:pPr>
      <w:r>
        <w:rPr>
          <w:rFonts w:ascii="宋体" w:hAnsi="宋体"/>
          <w:color w:val="auto"/>
          <w:sz w:val="24"/>
          <w:szCs w:val="24"/>
        </w:rPr>
        <w:t>13.4 对技术复杂的货物，甲方</w:t>
      </w:r>
      <w:r>
        <w:rPr>
          <w:rFonts w:hint="eastAsia" w:ascii="宋体" w:hAnsi="宋体"/>
          <w:color w:val="auto"/>
          <w:sz w:val="24"/>
          <w:szCs w:val="24"/>
        </w:rPr>
        <w:t>可</w:t>
      </w:r>
      <w:r>
        <w:rPr>
          <w:rFonts w:ascii="宋体" w:hAnsi="宋体"/>
          <w:color w:val="auto"/>
          <w:sz w:val="24"/>
          <w:szCs w:val="24"/>
        </w:rPr>
        <w:t>请国家认可的专业检测机构参与初步验收及最终验收，并由其出具质量检测报告。</w:t>
      </w:r>
      <w:r>
        <w:rPr>
          <w:rFonts w:hint="eastAsia" w:ascii="宋体" w:hAnsi="宋体"/>
          <w:color w:val="auto"/>
          <w:sz w:val="24"/>
          <w:szCs w:val="24"/>
          <w:lang w:eastAsia="zh-CN"/>
        </w:rPr>
        <w:t>检测费用由乙方负责。</w:t>
      </w:r>
    </w:p>
    <w:p w14:paraId="3EF6B8C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13.5 验收时乙方必须在现场，验收完毕后作出验收结果报告；验收费用由乙方</w:t>
      </w:r>
      <w:r>
        <w:rPr>
          <w:rFonts w:hint="eastAsia" w:ascii="宋体" w:hAnsi="宋体"/>
          <w:color w:val="auto"/>
          <w:sz w:val="24"/>
          <w:szCs w:val="24"/>
          <w:lang w:eastAsia="zh-CN"/>
        </w:rPr>
        <w:t>支付</w:t>
      </w:r>
      <w:r>
        <w:rPr>
          <w:rFonts w:ascii="宋体" w:hAnsi="宋体"/>
          <w:color w:val="auto"/>
          <w:sz w:val="24"/>
          <w:szCs w:val="24"/>
        </w:rPr>
        <w:t>。</w:t>
      </w:r>
    </w:p>
    <w:p w14:paraId="5C9670BD">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十四、货物包装、发运及运输</w:t>
      </w:r>
    </w:p>
    <w:p w14:paraId="7013155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14.1 乙方应在货物发运前对其进行满足运输距离、防潮、防震、防锈和防破损装卸等要求包装，以保证货物安全运达甲方指定地点。</w:t>
      </w:r>
    </w:p>
    <w:p w14:paraId="123DE87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14.2 使用说明书、质量检验证明书、随配附件和工具以及清单一并附于货物内。</w:t>
      </w:r>
    </w:p>
    <w:p w14:paraId="58DB2A4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14.3 乙方在货物发运手续办理完毕后24小时内或货到甲方48小时前通知甲方，以准备接货。</w:t>
      </w:r>
    </w:p>
    <w:p w14:paraId="6B70197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14.4 货物在交付甲方前发生的风险均由乙方负责。</w:t>
      </w:r>
    </w:p>
    <w:p w14:paraId="1FCC0B9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14.5 货物在规定的交付期限内由乙方送达甲方指定的地点视为交付，乙方同时需通知甲方货物已送达。</w:t>
      </w:r>
    </w:p>
    <w:p w14:paraId="4D7693A7">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十五、违约责任</w:t>
      </w:r>
    </w:p>
    <w:p w14:paraId="0C763AD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15.1 甲方无正当理由拒收货物的，甲方向乙方偿付拒收货款总值的百分之五违约金。</w:t>
      </w:r>
    </w:p>
    <w:p w14:paraId="14C252E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15.2 甲方无故逾期验收和办理货款支付手续的,甲方应按逾期付款总额每日万分之五向乙方支付违约金。</w:t>
      </w:r>
    </w:p>
    <w:p w14:paraId="3E64454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651B5DF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15.4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5789D2D1">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十六、不可抗力事件处理</w:t>
      </w:r>
    </w:p>
    <w:p w14:paraId="6749564C">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16.1 在合同有效期内，任何一方因不可抗力事件导致不能履行合同，则合同履行期可延长，其延长期与不可抗力影响期相同。</w:t>
      </w:r>
    </w:p>
    <w:p w14:paraId="76B014C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16.2 不可抗力事件发生后，应立即通知对方，并寄送有关权威机构出具的证明。</w:t>
      </w:r>
    </w:p>
    <w:p w14:paraId="7676C07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16.3 不可抗力事件延续120天以上，双方应通过友好协商，确定是否继续履行合同。</w:t>
      </w:r>
    </w:p>
    <w:p w14:paraId="70D26ADA">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十七、诉讼</w:t>
      </w:r>
    </w:p>
    <w:p w14:paraId="0E4D154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17.1 双方在执行合同中所发生的一切争议，应通过协商解决。如协商不成，可向合同签订地法院起诉，合同签订地在此约定为</w:t>
      </w:r>
      <w:r>
        <w:rPr>
          <w:rFonts w:hint="eastAsia" w:ascii="宋体" w:hAnsi="宋体"/>
          <w:color w:val="auto"/>
          <w:sz w:val="24"/>
          <w:szCs w:val="24"/>
        </w:rPr>
        <w:t>盐城</w:t>
      </w:r>
      <w:r>
        <w:rPr>
          <w:rFonts w:ascii="宋体" w:hAnsi="宋体"/>
          <w:color w:val="auto"/>
          <w:sz w:val="24"/>
          <w:szCs w:val="24"/>
        </w:rPr>
        <w:t>市。</w:t>
      </w:r>
    </w:p>
    <w:p w14:paraId="3BB197C6">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b/>
          <w:color w:val="auto"/>
          <w:sz w:val="24"/>
          <w:szCs w:val="24"/>
        </w:rPr>
      </w:pPr>
      <w:r>
        <w:rPr>
          <w:rFonts w:hAnsi="宋体"/>
          <w:b/>
          <w:color w:val="auto"/>
          <w:sz w:val="24"/>
          <w:szCs w:val="24"/>
        </w:rPr>
        <w:t>十八、合同生效及其它</w:t>
      </w:r>
    </w:p>
    <w:p w14:paraId="508ABCCE">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18.1 合同经双方法定代表人</w:t>
      </w:r>
      <w:r>
        <w:rPr>
          <w:rFonts w:hint="eastAsia" w:ascii="宋体" w:hAnsi="宋体"/>
          <w:color w:val="auto"/>
          <w:sz w:val="24"/>
          <w:szCs w:val="24"/>
        </w:rPr>
        <w:t>（或负责人）</w:t>
      </w:r>
      <w:r>
        <w:rPr>
          <w:rFonts w:ascii="宋体" w:hAnsi="宋体"/>
          <w:color w:val="auto"/>
          <w:sz w:val="24"/>
          <w:szCs w:val="24"/>
        </w:rPr>
        <w:t>或授权委托代</w:t>
      </w:r>
      <w:r>
        <w:rPr>
          <w:rFonts w:hint="eastAsia" w:ascii="宋体" w:hAnsi="宋体"/>
          <w:color w:val="auto"/>
          <w:sz w:val="24"/>
          <w:szCs w:val="24"/>
        </w:rPr>
        <w:t>表</w:t>
      </w:r>
      <w:r>
        <w:rPr>
          <w:rFonts w:ascii="宋体" w:hAnsi="宋体"/>
          <w:color w:val="auto"/>
          <w:sz w:val="24"/>
          <w:szCs w:val="24"/>
        </w:rPr>
        <w:t>人签字并加盖单位公章后生效。</w:t>
      </w:r>
    </w:p>
    <w:p w14:paraId="349D320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18.2本合同未尽事宜，遵照《</w:t>
      </w:r>
      <w:r>
        <w:rPr>
          <w:rFonts w:hint="eastAsia" w:ascii="宋体" w:hAnsi="宋体"/>
          <w:color w:val="auto"/>
          <w:sz w:val="24"/>
          <w:szCs w:val="24"/>
        </w:rPr>
        <w:t>民</w:t>
      </w:r>
      <w:r>
        <w:rPr>
          <w:rFonts w:ascii="宋体" w:hAnsi="宋体"/>
          <w:color w:val="auto"/>
          <w:sz w:val="24"/>
          <w:szCs w:val="24"/>
        </w:rPr>
        <w:t>法典》有关条文执行。</w:t>
      </w:r>
    </w:p>
    <w:p w14:paraId="765B1CF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18.</w:t>
      </w:r>
      <w:r>
        <w:rPr>
          <w:rFonts w:hint="eastAsia" w:ascii="宋体" w:hAnsi="宋体"/>
          <w:color w:val="auto"/>
          <w:sz w:val="24"/>
          <w:szCs w:val="24"/>
        </w:rPr>
        <w:t>3</w:t>
      </w:r>
      <w:r>
        <w:rPr>
          <w:rFonts w:ascii="宋体" w:hAnsi="宋体"/>
          <w:color w:val="auto"/>
          <w:sz w:val="24"/>
          <w:szCs w:val="24"/>
        </w:rPr>
        <w:t xml:space="preserve"> 本合同一式</w:t>
      </w:r>
      <w:r>
        <w:rPr>
          <w:rFonts w:hint="eastAsia" w:ascii="宋体" w:hAnsi="宋体"/>
          <w:color w:val="auto"/>
          <w:sz w:val="24"/>
          <w:szCs w:val="24"/>
        </w:rPr>
        <w:t>肆</w:t>
      </w:r>
      <w:r>
        <w:rPr>
          <w:rFonts w:ascii="宋体" w:hAnsi="宋体"/>
          <w:color w:val="auto"/>
          <w:sz w:val="24"/>
          <w:szCs w:val="24"/>
        </w:rPr>
        <w:t>份，</w:t>
      </w:r>
      <w:r>
        <w:rPr>
          <w:rFonts w:hint="eastAsia" w:ascii="宋体" w:hAnsi="宋体"/>
          <w:color w:val="auto"/>
          <w:sz w:val="24"/>
          <w:szCs w:val="24"/>
        </w:rPr>
        <w:t>甲乙双方各执贰份。</w:t>
      </w:r>
    </w:p>
    <w:p w14:paraId="400EAAC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 xml:space="preserve">  甲方：                         乙方： </w:t>
      </w:r>
    </w:p>
    <w:p w14:paraId="55F52874">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 xml:space="preserve">  地址：                         地址： </w:t>
      </w:r>
    </w:p>
    <w:p w14:paraId="4B27249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 xml:space="preserve">  法定代表人</w:t>
      </w:r>
      <w:r>
        <w:rPr>
          <w:rFonts w:hint="eastAsia" w:ascii="宋体" w:hAnsi="宋体"/>
          <w:color w:val="auto"/>
          <w:sz w:val="24"/>
          <w:szCs w:val="24"/>
        </w:rPr>
        <w:t>或授权代表</w:t>
      </w:r>
      <w:r>
        <w:rPr>
          <w:rFonts w:ascii="宋体" w:hAnsi="宋体"/>
          <w:color w:val="auto"/>
          <w:sz w:val="24"/>
          <w:szCs w:val="24"/>
        </w:rPr>
        <w:t>：         法定代表人</w:t>
      </w:r>
      <w:r>
        <w:rPr>
          <w:rFonts w:hint="eastAsia" w:ascii="宋体" w:hAnsi="宋体"/>
          <w:color w:val="auto"/>
          <w:sz w:val="24"/>
          <w:szCs w:val="24"/>
        </w:rPr>
        <w:t>（或负责人）或授权代表</w:t>
      </w:r>
      <w:r>
        <w:rPr>
          <w:rFonts w:ascii="宋体" w:hAnsi="宋体"/>
          <w:color w:val="auto"/>
          <w:sz w:val="24"/>
          <w:szCs w:val="24"/>
        </w:rPr>
        <w:t>：</w:t>
      </w:r>
    </w:p>
    <w:p w14:paraId="7290577E">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auto"/>
          <w:sz w:val="24"/>
          <w:szCs w:val="24"/>
        </w:rPr>
      </w:pPr>
      <w:r>
        <w:rPr>
          <w:rFonts w:ascii="宋体" w:hAnsi="宋体"/>
          <w:color w:val="auto"/>
          <w:sz w:val="24"/>
          <w:szCs w:val="24"/>
        </w:rPr>
        <w:t xml:space="preserve">  </w:t>
      </w:r>
      <w:r>
        <w:rPr>
          <w:rFonts w:hint="eastAsia" w:ascii="宋体" w:hAnsi="宋体"/>
          <w:color w:val="auto"/>
          <w:sz w:val="24"/>
          <w:szCs w:val="24"/>
        </w:rPr>
        <w:t>联系电话：                     联系电话：</w:t>
      </w:r>
    </w:p>
    <w:p w14:paraId="47509A99">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Ansi="宋体"/>
          <w:color w:val="auto"/>
          <w:sz w:val="24"/>
          <w:szCs w:val="24"/>
        </w:rPr>
      </w:pPr>
    </w:p>
    <w:p w14:paraId="0FF58CA5">
      <w:pPr>
        <w:pStyle w:val="26"/>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int="eastAsia" w:hAnsi="宋体"/>
          <w:color w:val="auto"/>
          <w:sz w:val="24"/>
          <w:szCs w:val="24"/>
        </w:rPr>
      </w:pPr>
      <w:r>
        <w:rPr>
          <w:rFonts w:hAnsi="宋体"/>
          <w:color w:val="auto"/>
        </w:rPr>
        <w:t xml:space="preserve">                   </w:t>
      </w:r>
      <w:r>
        <w:rPr>
          <w:rFonts w:hint="eastAsia" w:hAnsi="宋体"/>
          <w:color w:val="auto"/>
        </w:rPr>
        <w:t xml:space="preserve">                     </w:t>
      </w:r>
      <w:r>
        <w:rPr>
          <w:rFonts w:hint="eastAsia" w:hAnsi="宋体"/>
          <w:color w:val="auto"/>
          <w:sz w:val="24"/>
          <w:szCs w:val="24"/>
        </w:rPr>
        <w:t xml:space="preserve"> </w:t>
      </w:r>
      <w:r>
        <w:rPr>
          <w:rFonts w:hAnsi="宋体"/>
          <w:color w:val="auto"/>
          <w:sz w:val="24"/>
          <w:szCs w:val="24"/>
        </w:rPr>
        <w:t xml:space="preserve"> 签订日期：      年  月  日</w:t>
      </w:r>
      <w:bookmarkEnd w:id="147"/>
    </w:p>
    <w:p w14:paraId="272048E3"/>
    <w:p w14:paraId="34F5BA3F">
      <w:pPr>
        <w:pStyle w:val="15"/>
        <w:ind w:left="1260"/>
      </w:pPr>
    </w:p>
    <w:p w14:paraId="003EF79D"/>
    <w:p w14:paraId="249B19E8">
      <w:pPr>
        <w:pStyle w:val="20"/>
        <w:numPr>
          <w:ilvl w:val="0"/>
          <w:numId w:val="3"/>
        </w:numPr>
        <w:rPr>
          <w:rFonts w:hint="eastAsia" w:ascii="宋体" w:hAnsi="宋体" w:eastAsia="宋体" w:cs="宋体"/>
          <w:bCs/>
          <w:sz w:val="44"/>
        </w:rPr>
      </w:pPr>
      <w:r>
        <w:rPr>
          <w:rFonts w:hint="eastAsia" w:ascii="宋体" w:hAnsi="宋体" w:eastAsia="宋体" w:cs="宋体"/>
          <w:bCs/>
          <w:sz w:val="44"/>
        </w:rPr>
        <w:t>采购需求</w:t>
      </w:r>
      <w:bookmarkStart w:id="152" w:name="_Toc120614281"/>
    </w:p>
    <w:p w14:paraId="354E701D">
      <w:pPr>
        <w:numPr>
          <w:ilvl w:val="0"/>
          <w:numId w:val="4"/>
        </w:numPr>
        <w:rPr>
          <w:rFonts w:hint="eastAsia"/>
          <w:lang w:eastAsia="zh-CN"/>
        </w:rPr>
      </w:pPr>
      <w:r>
        <w:rPr>
          <w:rFonts w:hint="eastAsia"/>
          <w:lang w:eastAsia="zh-CN"/>
        </w:rPr>
        <w:t>项目概况</w:t>
      </w:r>
    </w:p>
    <w:p w14:paraId="43AABFE4">
      <w:pPr>
        <w:pStyle w:val="4"/>
        <w:keepNext/>
        <w:keepLines/>
        <w:pageBreakBefore w:val="0"/>
        <w:widowControl w:val="0"/>
        <w:kinsoku/>
        <w:wordWrap/>
        <w:overflowPunct/>
        <w:topLinePunct w:val="0"/>
        <w:autoSpaceDE/>
        <w:autoSpaceDN/>
        <w:bidi w:val="0"/>
        <w:adjustRightInd/>
        <w:snapToGrid/>
        <w:spacing w:line="400" w:lineRule="exact"/>
        <w:ind w:firstLine="643"/>
        <w:textAlignment w:val="auto"/>
        <w:rPr>
          <w:rFonts w:ascii="黑体" w:hAnsi="黑体" w:eastAsia="黑体"/>
          <w:sz w:val="24"/>
          <w:szCs w:val="24"/>
        </w:rPr>
      </w:pPr>
      <w:bookmarkStart w:id="153" w:name="_Toc31205"/>
      <w:r>
        <w:rPr>
          <w:rFonts w:hint="eastAsia" w:ascii="黑体" w:hAnsi="黑体" w:eastAsia="黑体"/>
          <w:sz w:val="24"/>
          <w:szCs w:val="24"/>
        </w:rPr>
        <w:t>1</w:t>
      </w:r>
      <w:r>
        <w:rPr>
          <w:rFonts w:ascii="黑体" w:hAnsi="黑体" w:eastAsia="黑体"/>
          <w:sz w:val="24"/>
          <w:szCs w:val="24"/>
        </w:rPr>
        <w:t>.</w:t>
      </w:r>
      <w:r>
        <w:rPr>
          <w:rFonts w:hint="eastAsia" w:ascii="黑体" w:hAnsi="黑体" w:eastAsia="黑体"/>
          <w:sz w:val="24"/>
          <w:szCs w:val="24"/>
          <w:lang w:val="en-US" w:eastAsia="zh-CN"/>
        </w:rPr>
        <w:t>1</w:t>
      </w:r>
      <w:r>
        <w:rPr>
          <w:rFonts w:hint="eastAsia" w:ascii="黑体" w:hAnsi="黑体" w:eastAsia="黑体"/>
          <w:sz w:val="24"/>
          <w:szCs w:val="24"/>
        </w:rPr>
        <w:t>设计方案及投资概算编制依据</w:t>
      </w:r>
      <w:bookmarkEnd w:id="153"/>
    </w:p>
    <w:p w14:paraId="7BA97143">
      <w:pPr>
        <w:pStyle w:val="5"/>
        <w:keepNext/>
        <w:keepLines/>
        <w:pageBreakBefore w:val="0"/>
        <w:widowControl w:val="0"/>
        <w:kinsoku/>
        <w:wordWrap/>
        <w:overflowPunct/>
        <w:topLinePunct w:val="0"/>
        <w:autoSpaceDE/>
        <w:autoSpaceDN/>
        <w:bidi w:val="0"/>
        <w:adjustRightInd/>
        <w:snapToGrid/>
        <w:spacing w:line="400" w:lineRule="exact"/>
        <w:ind w:firstLine="602"/>
        <w:textAlignment w:val="auto"/>
        <w:rPr>
          <w:sz w:val="24"/>
          <w:szCs w:val="24"/>
        </w:rPr>
      </w:pPr>
      <w:bookmarkStart w:id="154" w:name="_Toc15442"/>
      <w:bookmarkStart w:id="155" w:name="_Toc167"/>
      <w:bookmarkStart w:id="156" w:name="_Toc27917"/>
      <w:bookmarkStart w:id="157" w:name="_Toc10384"/>
      <w:bookmarkStart w:id="158" w:name="_Toc161835500"/>
      <w:r>
        <w:rPr>
          <w:rFonts w:hint="eastAsia" w:ascii="黑体" w:hAnsi="黑体" w:eastAsia="黑体"/>
          <w:sz w:val="24"/>
          <w:szCs w:val="24"/>
        </w:rPr>
        <w:t>1.</w:t>
      </w:r>
      <w:r>
        <w:rPr>
          <w:rFonts w:hint="eastAsia" w:ascii="黑体" w:hAnsi="黑体" w:eastAsia="黑体"/>
          <w:sz w:val="24"/>
          <w:szCs w:val="24"/>
          <w:lang w:val="en-US" w:eastAsia="zh-CN"/>
        </w:rPr>
        <w:t>1</w:t>
      </w:r>
      <w:r>
        <w:rPr>
          <w:rFonts w:hint="eastAsia" w:ascii="黑体" w:hAnsi="黑体" w:eastAsia="黑体"/>
          <w:sz w:val="24"/>
          <w:szCs w:val="24"/>
        </w:rPr>
        <w:t>.1设计编制依据</w:t>
      </w:r>
      <w:bookmarkEnd w:id="154"/>
      <w:bookmarkEnd w:id="155"/>
      <w:bookmarkEnd w:id="156"/>
      <w:bookmarkEnd w:id="157"/>
      <w:bookmarkEnd w:id="158"/>
    </w:p>
    <w:p w14:paraId="0B2C7545">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bookmarkStart w:id="159" w:name="_Toc2467"/>
      <w:bookmarkStart w:id="160" w:name="_Toc23925"/>
      <w:bookmarkStart w:id="161" w:name="_Toc16043"/>
      <w:r>
        <w:rPr>
          <w:rFonts w:hint="eastAsia" w:ascii="宋体" w:hAnsi="宋体" w:eastAsia="宋体"/>
          <w:sz w:val="24"/>
          <w:szCs w:val="24"/>
        </w:rPr>
        <w:t>依据国家相关法律规章、国家和行业相关标准、相关研究成果等资料进行本设计，具体如下：</w:t>
      </w:r>
    </w:p>
    <w:p w14:paraId="4BBEA6F1">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《全国主干公路交通安全防控体系三年规划》</w:t>
      </w:r>
    </w:p>
    <w:p w14:paraId="0BF446A9">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《中华人民共和国道路交通安全法》2011年5月1日</w:t>
      </w:r>
    </w:p>
    <w:p w14:paraId="360604BB">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《交通技术监控成像补光装置通用技术条件》（GA/T 1202-2022）；</w:t>
      </w:r>
    </w:p>
    <w:p w14:paraId="1F2CC2E5">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《中华人民共和国公路法》2016年11月7日</w:t>
      </w:r>
    </w:p>
    <w:p w14:paraId="7641E374">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《道路危险货物运输管理规定》交通运输部令2016年第36号</w:t>
      </w:r>
    </w:p>
    <w:p w14:paraId="3C85C223">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《道路运输车辆动态监督管理办法》交通运输部令2016年第55号</w:t>
      </w:r>
    </w:p>
    <w:p w14:paraId="618AF37E">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《全国公安机关图像信息联网总体技术方案》</w:t>
      </w:r>
    </w:p>
    <w:p w14:paraId="6DF91A7C">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《公安交通集成指挥平台结构和功能》(GA/T1146)</w:t>
      </w:r>
    </w:p>
    <w:p w14:paraId="4EB00E51">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《公安交通集成指挥平台通讯协议》(GA/T1049)</w:t>
      </w:r>
    </w:p>
    <w:p w14:paraId="37D58371">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《公安交通指挥系统建设技术规范》(GA/T445)</w:t>
      </w:r>
    </w:p>
    <w:p w14:paraId="0D5FF5E6">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《公安交通指挥系统工程建设通用程序和要求》(GA/T651)</w:t>
      </w:r>
    </w:p>
    <w:p w14:paraId="30D49078">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《安全防范视频监控联网系统传输、交换、控制技术要求》(GB/T28181-2011)</w:t>
      </w:r>
    </w:p>
    <w:p w14:paraId="6DBBAECA">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《视频安防监控系统技术要求》(GA/T367-2001)</w:t>
      </w:r>
    </w:p>
    <w:p w14:paraId="308F430C">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《道路交通信息监测记录设备设置规范》(GA/T1047)</w:t>
      </w:r>
    </w:p>
    <w:p w14:paraId="47575DEF">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《公路车辆智能监测记录系统通用技术条件》(GA/T497)</w:t>
      </w:r>
    </w:p>
    <w:p w14:paraId="714581D7">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《道路通行状态信息发布规范》(GA/T994)</w:t>
      </w:r>
    </w:p>
    <w:p w14:paraId="3F15BD81">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《公安车载应急通信系统技术规范》(GA/T528)</w:t>
      </w:r>
    </w:p>
    <w:p w14:paraId="1E4DD948">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《道路交通违法管理信息代码》(GA408)</w:t>
      </w:r>
    </w:p>
    <w:p w14:paraId="75366F2B">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《公安交通管理信息系统安全防范体系建设规范》</w:t>
      </w:r>
    </w:p>
    <w:p w14:paraId="7600B08B">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《公安信息通信网边界接入平台安全规范》</w:t>
      </w:r>
    </w:p>
    <w:p w14:paraId="75D90A7E">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《信息安全技术信息系统灾难恢复规范》</w:t>
      </w:r>
    </w:p>
    <w:p w14:paraId="6A481A09">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《全国公安交通管理信息系统安全备份建设指导意见》</w:t>
      </w:r>
    </w:p>
    <w:p w14:paraId="20C69273">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《安全防范监控数字视音频编解码技术要求》(GB/T27524-2010)</w:t>
      </w:r>
    </w:p>
    <w:p w14:paraId="5E82010C">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《安全防范视频监控联网系统信息传输、交换、控制技术要求》（GB/T28181-2011）</w:t>
      </w:r>
    </w:p>
    <w:p w14:paraId="1C82CBB7">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《城市道路交通规划设计规范》（GB50220-2005）</w:t>
      </w:r>
    </w:p>
    <w:p w14:paraId="19145DFF">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《城镇道路路面设计规范》（CJJ 169-2012）；</w:t>
      </w:r>
    </w:p>
    <w:p w14:paraId="099D2699">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《城市道路交通设施设计规范》（GB50688-2011）；</w:t>
      </w:r>
    </w:p>
    <w:p w14:paraId="1AB5D398">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《电气装置安装工程电缆线路施工及验收规范》（GB501168-92）</w:t>
      </w:r>
    </w:p>
    <w:p w14:paraId="1752D57A">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《低压配电装置及线路设计规范》（GB50054-2011）</w:t>
      </w:r>
    </w:p>
    <w:p w14:paraId="02CCF0CF">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《电器装置安装工程电缆线路施工及验收规范》（GB50168-2002）</w:t>
      </w:r>
    </w:p>
    <w:p w14:paraId="358B1232">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《电器装置安装工程接地装置施工及验收规范》（GB50169-2002）</w:t>
      </w:r>
    </w:p>
    <w:p w14:paraId="621A6780">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《安全防范工作工作技术》GB50348-2004</w:t>
      </w:r>
    </w:p>
    <w:p w14:paraId="3CB6EE2E">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《智能运输系统通用术语》（GB/T20839-2007）</w:t>
      </w:r>
    </w:p>
    <w:p w14:paraId="1E3D9190">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《智能运输系统数据字典要求》（GB/T20606-2006）</w:t>
      </w:r>
    </w:p>
    <w:p w14:paraId="200F0767">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《智能运输系统体系结构服务》（GB/T20607-2006）</w:t>
      </w:r>
    </w:p>
    <w:p w14:paraId="6651D20B">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《机动车测速仪》（</w:t>
      </w:r>
      <w:r>
        <w:rPr>
          <w:rFonts w:ascii="宋体" w:hAnsi="宋体" w:eastAsia="宋体"/>
          <w:sz w:val="24"/>
          <w:szCs w:val="24"/>
        </w:rPr>
        <w:t>GB/T 21255-2007 ）</w:t>
      </w:r>
    </w:p>
    <w:p w14:paraId="6D5E8B2F">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《机动车区间测速技术规范》（</w:t>
      </w:r>
      <w:r>
        <w:rPr>
          <w:rFonts w:ascii="宋体" w:hAnsi="宋体" w:eastAsia="宋体"/>
          <w:sz w:val="24"/>
          <w:szCs w:val="24"/>
        </w:rPr>
        <w:t>GA/T 959-2011） </w:t>
      </w:r>
    </w:p>
    <w:p w14:paraId="7BFDA6A1">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《道路交通信息采集信息分类与编码》（GB/T20133-2006）</w:t>
      </w:r>
    </w:p>
    <w:p w14:paraId="5264653B">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《道路交通信息采集事件信息集》（GB/T20134-2006）</w:t>
      </w:r>
    </w:p>
    <w:p w14:paraId="7CD327C7">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《软件包质量要求和测试》（GB/T－17511）；</w:t>
      </w:r>
    </w:p>
    <w:p w14:paraId="708B5ACD">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《计算机信息系统安全保护等级划分准则》（GB 17859-1999）</w:t>
      </w:r>
    </w:p>
    <w:p w14:paraId="1DE1F245">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《公安交通指挥系统建设技术规范》（GA/T445-2010）</w:t>
      </w:r>
    </w:p>
    <w:p w14:paraId="000DBA1D">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《城市警用地理信息系统分类与代码》（GA/T491）</w:t>
      </w:r>
    </w:p>
    <w:p w14:paraId="713DE98E">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《城市警用地理信息系统图形符号》（GA/T492）</w:t>
      </w:r>
    </w:p>
    <w:p w14:paraId="336FCF64">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《城市警用地理信息系统建设规范》（GA/T493）</w:t>
      </w:r>
    </w:p>
    <w:p w14:paraId="0DE9BFE2">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《道路交通安全违法行为图像取证技术规范》（GA/T832-2014）</w:t>
      </w:r>
    </w:p>
    <w:p w14:paraId="77502DBF">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《机动车号牌图像自动识别技术规范》（GA/T833—2009）</w:t>
      </w:r>
    </w:p>
    <w:p w14:paraId="6DAD65C2">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《安全防范系统验收规范》GA308-2001</w:t>
      </w:r>
    </w:p>
    <w:p w14:paraId="730E1666">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《安全防范系统通用图形符号》GA\T74-2000</w:t>
      </w:r>
    </w:p>
    <w:p w14:paraId="353440E1">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《安全防范工程程序与要求》 GA\T74-1994</w:t>
      </w:r>
    </w:p>
    <w:p w14:paraId="10E9E02E">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《安全防范工程费用预算编制办法》 GA\T70-2004</w:t>
      </w:r>
    </w:p>
    <w:p w14:paraId="49ABE870">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《城市监控报警联网系统通用技术要求》GA/T669-2006</w:t>
      </w:r>
    </w:p>
    <w:p w14:paraId="5FB63981">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《安全防范系统雷电浪涌防护技术要求》GA/T670-2006</w:t>
      </w:r>
    </w:p>
    <w:p w14:paraId="2FC74E36">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《城市交通信号控制系统术语》（GA/T509-2004）</w:t>
      </w:r>
    </w:p>
    <w:p w14:paraId="690C548B">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《公安交通指挥系统设计规范》（GA/T515-2011）</w:t>
      </w:r>
    </w:p>
    <w:p w14:paraId="1748298D">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《警用电子地图坐标系与比例尺》（GA/T629-2006）</w:t>
      </w:r>
    </w:p>
    <w:p w14:paraId="64857C47">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《城市警用地理信息空间数据质量》（GA/T628-2006）</w:t>
      </w:r>
    </w:p>
    <w:p w14:paraId="0F5900C9">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《城市警用地理信息数据采集与更新规范》（GA/T627-2006）</w:t>
      </w:r>
    </w:p>
    <w:p w14:paraId="3FB9AFAA">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《信息安全管理实用规则》（ISO/IEC17799）</w:t>
      </w:r>
    </w:p>
    <w:p w14:paraId="75B27DA5">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《计算机软件开发规范》（GB8566-88）</w:t>
      </w:r>
    </w:p>
    <w:p w14:paraId="6A0AEC3F">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《信息技术开放系统互连网络层安全协议》（GB/T17963）</w:t>
      </w:r>
    </w:p>
    <w:p w14:paraId="5014A73E">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《电子计算机机房设计规范》(GB50174-2007)</w:t>
      </w:r>
    </w:p>
    <w:p w14:paraId="3CFFF0B5">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《视频安防监控系统技术要求》（GA/T367）</w:t>
      </w:r>
    </w:p>
    <w:p w14:paraId="513B8CE4">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《社会治安动态视频监控系统技术规范》（DB33/T502—2004）</w:t>
      </w:r>
    </w:p>
    <w:p w14:paraId="1E95397D">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《信息标准-计算机信息系统安全等》(GA216.1—1999)</w:t>
      </w:r>
    </w:p>
    <w:p w14:paraId="301324BE">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《城市交通信号控制系统术语》（GA/T 509-2004）</w:t>
      </w:r>
    </w:p>
    <w:p w14:paraId="4B2E8DC0">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《公安视频图像信息应用系统第1部分：通用技术要求》（GAT 1400.1-2017）</w:t>
      </w:r>
    </w:p>
    <w:p w14:paraId="1F807716">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《公安视频图像信息应用系统第2部分：应用平台技术要求》（GAT 1400.2-2017）</w:t>
      </w:r>
    </w:p>
    <w:p w14:paraId="4A35EAB2">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《公安视频图像信息应用系统第3部分：数据库技术要求》（GAT 1400.3-2017）</w:t>
      </w:r>
    </w:p>
    <w:p w14:paraId="6E15C57A">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《公安视频图像信息应用系统第4部分：接口协议要求》（GAT 1400.4-2017）</w:t>
      </w:r>
    </w:p>
    <w:p w14:paraId="10740D3B">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《公安视频图像分析系统第1部分通用技术要求》（GAT1399.1-2017）</w:t>
      </w:r>
    </w:p>
    <w:p w14:paraId="45D75814">
      <w:pPr>
        <w:keepNext w:val="0"/>
        <w:keepLines w:val="0"/>
        <w:pageBreakBefore w:val="0"/>
        <w:widowControl w:val="0"/>
        <w:kinsoku/>
        <w:wordWrap/>
        <w:overflowPunct/>
        <w:topLinePunct w:val="0"/>
        <w:autoSpaceDE/>
        <w:autoSpaceDN/>
        <w:bidi w:val="0"/>
        <w:spacing w:line="400" w:lineRule="exact"/>
        <w:ind w:firstLine="561"/>
        <w:textAlignment w:val="auto"/>
        <w:rPr>
          <w:rFonts w:ascii="宋体" w:hAnsi="宋体" w:eastAsia="宋体"/>
          <w:sz w:val="24"/>
          <w:szCs w:val="24"/>
        </w:rPr>
      </w:pPr>
      <w:r>
        <w:rPr>
          <w:rFonts w:hint="eastAsia" w:ascii="宋体" w:hAnsi="宋体" w:eastAsia="宋体"/>
          <w:sz w:val="24"/>
          <w:szCs w:val="24"/>
        </w:rPr>
        <w:t>《公安视频图像分析系统第2部分视频图像内容分析及描述技术要求》（GAT 1399.2-2017）</w:t>
      </w:r>
    </w:p>
    <w:p w14:paraId="463AC1BF">
      <w:pPr>
        <w:pStyle w:val="34"/>
        <w:keepNext w:val="0"/>
        <w:keepLines w:val="0"/>
        <w:pageBreakBefore w:val="0"/>
        <w:widowControl w:val="0"/>
        <w:kinsoku/>
        <w:wordWrap/>
        <w:overflowPunct/>
        <w:topLinePunct w:val="0"/>
        <w:autoSpaceDE/>
        <w:autoSpaceDN/>
        <w:bidi w:val="0"/>
        <w:adjustRightInd w:val="0"/>
        <w:snapToGrid w:val="0"/>
        <w:spacing w:line="400" w:lineRule="exact"/>
        <w:ind w:firstLine="561"/>
        <w:textAlignment w:val="auto"/>
        <w:rPr>
          <w:rFonts w:ascii="宋体" w:hAnsi="宋体"/>
          <w:sz w:val="24"/>
          <w:szCs w:val="24"/>
        </w:rPr>
      </w:pPr>
      <w:r>
        <w:rPr>
          <w:rFonts w:hint="eastAsia" w:ascii="宋体" w:hAnsi="宋体"/>
          <w:sz w:val="24"/>
          <w:szCs w:val="24"/>
        </w:rPr>
        <w:t>限于篇幅，此处列举部分依据，除上述规范以外，遵循国家现行的规范和标准要求</w:t>
      </w:r>
    </w:p>
    <w:p w14:paraId="023C9BFD">
      <w:pPr>
        <w:pStyle w:val="5"/>
        <w:pageBreakBefore w:val="0"/>
        <w:widowControl w:val="0"/>
        <w:kinsoku/>
        <w:wordWrap/>
        <w:overflowPunct/>
        <w:topLinePunct w:val="0"/>
        <w:autoSpaceDE/>
        <w:autoSpaceDN/>
        <w:bidi w:val="0"/>
        <w:spacing w:line="400" w:lineRule="exact"/>
        <w:ind w:firstLine="602"/>
        <w:textAlignment w:val="auto"/>
        <w:rPr>
          <w:rFonts w:ascii="黑体" w:hAnsi="黑体" w:eastAsia="黑体"/>
          <w:sz w:val="24"/>
          <w:szCs w:val="24"/>
        </w:rPr>
      </w:pPr>
      <w:bookmarkStart w:id="162" w:name="_Toc9314"/>
      <w:r>
        <w:rPr>
          <w:rFonts w:hint="eastAsia" w:ascii="黑体" w:hAnsi="黑体" w:eastAsia="黑体"/>
          <w:sz w:val="24"/>
          <w:szCs w:val="24"/>
        </w:rPr>
        <w:t>1.</w:t>
      </w:r>
      <w:r>
        <w:rPr>
          <w:rFonts w:hint="eastAsia" w:ascii="黑体" w:hAnsi="黑体" w:eastAsia="黑体"/>
          <w:sz w:val="24"/>
          <w:szCs w:val="24"/>
          <w:lang w:val="en-US" w:eastAsia="zh-CN"/>
        </w:rPr>
        <w:t>1</w:t>
      </w:r>
      <w:r>
        <w:rPr>
          <w:rFonts w:hint="eastAsia" w:ascii="黑体" w:hAnsi="黑体" w:eastAsia="黑体"/>
          <w:sz w:val="24"/>
          <w:szCs w:val="24"/>
        </w:rPr>
        <w:t>.2概算编制依据</w:t>
      </w:r>
      <w:bookmarkEnd w:id="159"/>
      <w:bookmarkEnd w:id="160"/>
      <w:bookmarkEnd w:id="161"/>
      <w:bookmarkEnd w:id="162"/>
    </w:p>
    <w:p w14:paraId="78A6F78A">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ascii="宋体" w:hAnsi="宋体" w:eastAsia="宋体" w:cs="Times New Roman"/>
          <w:sz w:val="24"/>
          <w:szCs w:val="24"/>
        </w:rPr>
      </w:pPr>
      <w:r>
        <w:rPr>
          <w:rFonts w:ascii="宋体" w:hAnsi="宋体" w:eastAsia="宋体" w:cs="Times New Roman"/>
          <w:sz w:val="24"/>
          <w:szCs w:val="24"/>
        </w:rPr>
        <w:t>（1）江苏省住房和城乡建设厅《江苏省建设工程费用定额（2014年）》（苏建价【2014】299号）。</w:t>
      </w:r>
    </w:p>
    <w:p w14:paraId="4844F3AF">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ascii="宋体" w:hAnsi="宋体" w:eastAsia="宋体" w:cs="Times New Roman"/>
          <w:sz w:val="24"/>
          <w:szCs w:val="24"/>
        </w:rPr>
      </w:pPr>
      <w:r>
        <w:rPr>
          <w:rFonts w:ascii="宋体" w:hAnsi="宋体" w:eastAsia="宋体" w:cs="Times New Roman"/>
          <w:sz w:val="24"/>
          <w:szCs w:val="24"/>
        </w:rPr>
        <w:t>（2）住房和城乡建设部办公厅《关于做好建筑业营改增建设工程计价依据调整准备工作的通知》（建办标【2016】4号）。</w:t>
      </w:r>
    </w:p>
    <w:p w14:paraId="662BB3E4">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ascii="宋体" w:hAnsi="宋体" w:eastAsia="宋体" w:cs="Times New Roman"/>
          <w:sz w:val="24"/>
          <w:szCs w:val="24"/>
        </w:rPr>
      </w:pPr>
      <w:r>
        <w:rPr>
          <w:rFonts w:ascii="宋体" w:hAnsi="宋体" w:eastAsia="宋体" w:cs="Times New Roman"/>
          <w:sz w:val="24"/>
          <w:szCs w:val="24"/>
        </w:rPr>
        <w:t>（3）江苏省住房和城乡建设厅《关于建筑业实施营改增后江苏省建设工程计价依据调整的通知》（苏建价【2016】154号）。</w:t>
      </w:r>
    </w:p>
    <w:p w14:paraId="208AC861">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ascii="宋体" w:hAnsi="宋体" w:eastAsia="宋体" w:cs="Times New Roman"/>
          <w:sz w:val="24"/>
          <w:szCs w:val="24"/>
        </w:rPr>
      </w:pPr>
      <w:r>
        <w:rPr>
          <w:rFonts w:ascii="宋体" w:hAnsi="宋体" w:eastAsia="宋体" w:cs="Times New Roman"/>
          <w:sz w:val="24"/>
          <w:szCs w:val="24"/>
        </w:rPr>
        <w:t>（4）江苏省住房和城乡建设厅《关于发布建设工程人工工资指导价的通知》（苏建函价【2019】142号）</w:t>
      </w:r>
    </w:p>
    <w:p w14:paraId="762E08BF">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ascii="宋体" w:hAnsi="宋体" w:eastAsia="宋体" w:cs="Times New Roman"/>
          <w:sz w:val="24"/>
          <w:szCs w:val="24"/>
        </w:rPr>
      </w:pPr>
      <w:r>
        <w:rPr>
          <w:rFonts w:ascii="宋体" w:hAnsi="宋体" w:eastAsia="宋体" w:cs="Times New Roman"/>
          <w:sz w:val="24"/>
          <w:szCs w:val="24"/>
        </w:rPr>
        <w:t>（5）财政部、国家安全生产监督管理总局《企业安全生产费用提取和使用管理办法》（财企【2012】16号）</w:t>
      </w:r>
    </w:p>
    <w:p w14:paraId="306845E5">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ascii="宋体" w:hAnsi="宋体" w:eastAsia="宋体" w:cs="Times New Roman"/>
          <w:sz w:val="24"/>
          <w:szCs w:val="24"/>
        </w:rPr>
      </w:pPr>
      <w:r>
        <w:rPr>
          <w:rFonts w:ascii="宋体" w:hAnsi="宋体" w:eastAsia="宋体" w:cs="Times New Roman"/>
          <w:sz w:val="24"/>
          <w:szCs w:val="24"/>
        </w:rPr>
        <w:t>（6）财政部《基本建设项目建设成本规定》（财建【2016年】504号）。</w:t>
      </w:r>
    </w:p>
    <w:p w14:paraId="3506380A">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sz w:val="24"/>
          <w:szCs w:val="24"/>
        </w:rPr>
      </w:pPr>
      <w:r>
        <w:rPr>
          <w:rFonts w:ascii="宋体" w:hAnsi="宋体" w:eastAsia="宋体" w:cs="Times New Roman"/>
          <w:sz w:val="24"/>
          <w:szCs w:val="24"/>
        </w:rPr>
        <w:t>（7）建设单位下发的关于本工程的概算编制的意见。</w:t>
      </w:r>
    </w:p>
    <w:p w14:paraId="1783B692">
      <w:pPr>
        <w:pStyle w:val="4"/>
        <w:pageBreakBefore w:val="0"/>
        <w:widowControl w:val="0"/>
        <w:kinsoku/>
        <w:wordWrap/>
        <w:overflowPunct/>
        <w:topLinePunct w:val="0"/>
        <w:autoSpaceDE/>
        <w:autoSpaceDN/>
        <w:bidi w:val="0"/>
        <w:spacing w:line="400" w:lineRule="exact"/>
        <w:ind w:firstLine="643"/>
        <w:textAlignment w:val="auto"/>
        <w:rPr>
          <w:rFonts w:ascii="黑体" w:hAnsi="黑体" w:eastAsia="黑体"/>
          <w:sz w:val="24"/>
          <w:szCs w:val="24"/>
        </w:rPr>
      </w:pPr>
      <w:bookmarkStart w:id="163" w:name="_Toc29207"/>
      <w:r>
        <w:rPr>
          <w:rFonts w:hint="eastAsia" w:ascii="黑体" w:hAnsi="黑体" w:eastAsia="黑体"/>
          <w:sz w:val="24"/>
          <w:szCs w:val="24"/>
        </w:rPr>
        <w:t>1</w:t>
      </w:r>
      <w:r>
        <w:rPr>
          <w:rFonts w:ascii="黑体" w:hAnsi="黑体" w:eastAsia="黑体"/>
          <w:sz w:val="24"/>
          <w:szCs w:val="24"/>
        </w:rPr>
        <w:t>.</w:t>
      </w:r>
      <w:r>
        <w:rPr>
          <w:rFonts w:hint="eastAsia" w:ascii="黑体" w:hAnsi="黑体" w:eastAsia="黑体"/>
          <w:sz w:val="24"/>
          <w:szCs w:val="24"/>
          <w:lang w:val="en-US" w:eastAsia="zh-CN"/>
        </w:rPr>
        <w:t>2</w:t>
      </w:r>
      <w:r>
        <w:rPr>
          <w:rFonts w:hint="eastAsia" w:ascii="黑体" w:hAnsi="黑体" w:eastAsia="黑体"/>
          <w:sz w:val="24"/>
          <w:szCs w:val="24"/>
        </w:rPr>
        <w:t>项目建设目标、规模、内容、工程合理使用年限</w:t>
      </w:r>
      <w:bookmarkEnd w:id="163"/>
    </w:p>
    <w:p w14:paraId="41A2FFDC">
      <w:pPr>
        <w:pStyle w:val="5"/>
        <w:pageBreakBefore w:val="0"/>
        <w:widowControl w:val="0"/>
        <w:kinsoku/>
        <w:wordWrap/>
        <w:overflowPunct/>
        <w:topLinePunct w:val="0"/>
        <w:autoSpaceDE/>
        <w:autoSpaceDN/>
        <w:bidi w:val="0"/>
        <w:spacing w:line="400" w:lineRule="exact"/>
        <w:ind w:firstLine="602"/>
        <w:textAlignment w:val="auto"/>
        <w:rPr>
          <w:rFonts w:ascii="黑体" w:hAnsi="黑体" w:eastAsia="黑体"/>
          <w:sz w:val="24"/>
          <w:szCs w:val="24"/>
        </w:rPr>
      </w:pPr>
      <w:bookmarkStart w:id="164" w:name="_Toc31609"/>
      <w:r>
        <w:rPr>
          <w:rFonts w:hint="eastAsia" w:ascii="黑体" w:hAnsi="黑体" w:eastAsia="黑体"/>
          <w:sz w:val="24"/>
          <w:szCs w:val="24"/>
        </w:rPr>
        <w:t>1.</w:t>
      </w:r>
      <w:r>
        <w:rPr>
          <w:rFonts w:hint="eastAsia" w:ascii="黑体" w:hAnsi="黑体" w:eastAsia="黑体"/>
          <w:sz w:val="24"/>
          <w:szCs w:val="24"/>
          <w:lang w:val="en-US" w:eastAsia="zh-CN"/>
        </w:rPr>
        <w:t>2</w:t>
      </w:r>
      <w:r>
        <w:rPr>
          <w:rFonts w:hint="eastAsia" w:ascii="黑体" w:hAnsi="黑体" w:eastAsia="黑体"/>
          <w:sz w:val="24"/>
          <w:szCs w:val="24"/>
        </w:rPr>
        <w:t>.1建设目标</w:t>
      </w:r>
      <w:bookmarkEnd w:id="164"/>
    </w:p>
    <w:p w14:paraId="5A3990CD">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ascii="宋体" w:hAnsi="宋体" w:eastAsia="宋体" w:cs="Times New Roman"/>
          <w:sz w:val="24"/>
          <w:szCs w:val="24"/>
        </w:rPr>
      </w:pPr>
      <w:bookmarkStart w:id="165" w:name="_Hlk106218559"/>
      <w:r>
        <w:rPr>
          <w:rFonts w:hint="eastAsia" w:ascii="宋体" w:hAnsi="宋体" w:eastAsia="宋体" w:cs="Times New Roman"/>
          <w:sz w:val="24"/>
          <w:szCs w:val="24"/>
        </w:rPr>
        <w:t>以习近平新时代中国特色社会主义思想为指导，认真贯彻落实总体国家安全观，大力深化省厅党委“六六战略”和市局“六大公安”建设，以推进区域社会治理现代化为方向，以夯实基础防控为根本，以智慧智能应用为动力，以警务机制创新为突破，大力推进智慧版技防城建设，细化落实全国社会治安防控体系建设示范城市各项创建措施，不断提升防范重大风险、维护治安秩序、服务社会治理、保障经济发展的能力水平，着力打造基础更牢、水平更高、群众更满意的平安新大丰。</w:t>
      </w:r>
    </w:p>
    <w:p w14:paraId="58555F2F">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ascii="宋体" w:hAnsi="宋体" w:eastAsia="宋体" w:cs="Times New Roman"/>
          <w:sz w:val="24"/>
          <w:szCs w:val="24"/>
        </w:rPr>
      </w:pPr>
      <w:r>
        <w:rPr>
          <w:rFonts w:hint="eastAsia" w:ascii="宋体" w:hAnsi="宋体" w:eastAsia="宋体" w:cs="Times New Roman"/>
          <w:sz w:val="24"/>
          <w:szCs w:val="24"/>
        </w:rPr>
        <w:t>以创建高质量的全国社会治安防控体系建设示范城市为目标，高起点谋划、高标准建设、高强度推进，在全区迅速掀起创建工作热潮，建立感知更加精准、巡逻查控更加严密、专业打击更加锐利、要素管控更加智慧的防控体系，切实把各类风险隐患更准更快地预警在事前、控制在事中、揭露在事后，让一线民警感到工作高效、便捷智慧、支撑有力。</w:t>
      </w:r>
    </w:p>
    <w:bookmarkEnd w:id="165"/>
    <w:p w14:paraId="0C7F7F84">
      <w:pPr>
        <w:pStyle w:val="5"/>
        <w:pageBreakBefore w:val="0"/>
        <w:widowControl w:val="0"/>
        <w:kinsoku/>
        <w:wordWrap/>
        <w:overflowPunct/>
        <w:topLinePunct w:val="0"/>
        <w:autoSpaceDE/>
        <w:autoSpaceDN/>
        <w:bidi w:val="0"/>
        <w:spacing w:line="400" w:lineRule="exact"/>
        <w:ind w:firstLine="602"/>
        <w:textAlignment w:val="auto"/>
        <w:rPr>
          <w:rFonts w:ascii="黑体" w:hAnsi="黑体" w:eastAsia="黑体"/>
          <w:sz w:val="24"/>
          <w:szCs w:val="24"/>
        </w:rPr>
      </w:pPr>
      <w:bookmarkStart w:id="166" w:name="_Toc28741"/>
      <w:r>
        <w:rPr>
          <w:rFonts w:hint="eastAsia" w:ascii="黑体" w:hAnsi="黑体" w:eastAsia="黑体"/>
          <w:sz w:val="24"/>
          <w:szCs w:val="24"/>
        </w:rPr>
        <w:t>1.</w:t>
      </w:r>
      <w:r>
        <w:rPr>
          <w:rFonts w:hint="eastAsia" w:ascii="黑体" w:hAnsi="黑体" w:eastAsia="黑体"/>
          <w:sz w:val="24"/>
          <w:szCs w:val="24"/>
          <w:lang w:val="en-US" w:eastAsia="zh-CN"/>
        </w:rPr>
        <w:t>2</w:t>
      </w:r>
      <w:r>
        <w:rPr>
          <w:rFonts w:hint="eastAsia" w:ascii="黑体" w:hAnsi="黑体" w:eastAsia="黑体"/>
          <w:sz w:val="24"/>
          <w:szCs w:val="24"/>
        </w:rPr>
        <w:t>.2建设规模、内容</w:t>
      </w:r>
      <w:bookmarkEnd w:id="166"/>
    </w:p>
    <w:p w14:paraId="65E803BD">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 xml:space="preserve">智慧安防村居： </w:t>
      </w:r>
    </w:p>
    <w:p w14:paraId="3C82FC2D">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本期项目建设内容主要使用双镜头结构化相机布放至各村主要出入口和重点场所为主。</w:t>
      </w:r>
    </w:p>
    <w:p w14:paraId="5DC70F57">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根据最新通知要求，我区共有39个农村村居，其中各村镇占地面积为：</w:t>
      </w:r>
    </w:p>
    <w:p w14:paraId="21DF92E5">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新丰镇小团村委会5.79km2；引水村委会6.91km2；大团村委会8.93km2；圩中村委会7.86km2；长坍村委会8.70km2；五丰村委会6.68km2；三总村委会14.45km2；齐贤村委会6.06km2；</w:t>
      </w:r>
    </w:p>
    <w:p w14:paraId="572B5316">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万盈镇西灶村委会7.54km2；殷灶村委会6.52km2；沈灶村委会5.47km2；顾灶村委会6.92km2；</w:t>
      </w:r>
    </w:p>
    <w:p w14:paraId="20D4B34D">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三龙镇和平村委会7.15km2；洋桥村委会7.50km2；持久村委会6.26km2；增产村委会7.41km2；</w:t>
      </w:r>
    </w:p>
    <w:p w14:paraId="657CA35D">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刘庄镇东联村委会7.09km2；胜利村委会6.86km2；民主村委会9.94km2；紫林居委会0.23km2；</w:t>
      </w:r>
    </w:p>
    <w:p w14:paraId="1B2FAF63">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大桥镇中业村委会9.31km2；中合村委会4.25km2；联丰村委会10.46km2；潘丿村委会4.13km2；洋南村委会6.09km2；川南村委会6.75km2；江岸村委会8.30km2；</w:t>
      </w:r>
    </w:p>
    <w:p w14:paraId="22F3326C">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草堰镇丁溪村委会6.36km2；界中村委会7.41km2；双垛村委会12.32km2；双河村委会5.37km2；西渣村委会6.66km2；草堰村委会7.20km2；成文村委会9.37km2；</w:t>
      </w:r>
    </w:p>
    <w:p w14:paraId="485D36B1">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草庙镇川洋村委会2.36km2；东灶村委会15.43km2；</w:t>
      </w:r>
    </w:p>
    <w:p w14:paraId="228A0106">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白驹镇沿堤村委会10.97km2；海宁居委会0.26km2；狮子口村委会6.68km2；</w:t>
      </w:r>
    </w:p>
    <w:p w14:paraId="26CF78C3">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39个村共计占地面积为283.97km2；</w:t>
      </w:r>
    </w:p>
    <w:p w14:paraId="216B4220">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经测算，整个村居项目需建设435个监控点位。</w:t>
      </w:r>
    </w:p>
    <w:p w14:paraId="7373418F">
      <w:pPr>
        <w:pStyle w:val="5"/>
        <w:pageBreakBefore w:val="0"/>
        <w:widowControl w:val="0"/>
        <w:kinsoku/>
        <w:wordWrap/>
        <w:overflowPunct/>
        <w:topLinePunct w:val="0"/>
        <w:autoSpaceDE/>
        <w:autoSpaceDN/>
        <w:bidi w:val="0"/>
        <w:spacing w:line="400" w:lineRule="exact"/>
        <w:ind w:firstLine="602"/>
        <w:textAlignment w:val="auto"/>
        <w:rPr>
          <w:rFonts w:ascii="黑体" w:hAnsi="黑体" w:eastAsia="黑体"/>
          <w:sz w:val="24"/>
          <w:szCs w:val="24"/>
        </w:rPr>
      </w:pPr>
      <w:bookmarkStart w:id="167" w:name="_Toc26042"/>
      <w:r>
        <w:rPr>
          <w:rFonts w:hint="eastAsia" w:ascii="黑体" w:hAnsi="黑体" w:eastAsia="黑体"/>
          <w:sz w:val="24"/>
          <w:szCs w:val="24"/>
        </w:rPr>
        <w:t>1.</w:t>
      </w:r>
      <w:r>
        <w:rPr>
          <w:rFonts w:hint="eastAsia" w:ascii="黑体" w:hAnsi="黑体" w:eastAsia="黑体"/>
          <w:sz w:val="24"/>
          <w:szCs w:val="24"/>
          <w:lang w:val="en-US" w:eastAsia="zh-CN"/>
        </w:rPr>
        <w:t>2</w:t>
      </w:r>
      <w:r>
        <w:rPr>
          <w:rFonts w:hint="eastAsia" w:ascii="黑体" w:hAnsi="黑体" w:eastAsia="黑体"/>
          <w:sz w:val="24"/>
          <w:szCs w:val="24"/>
        </w:rPr>
        <w:t>.3工程满足期和工程合理使用年限</w:t>
      </w:r>
      <w:bookmarkEnd w:id="167"/>
    </w:p>
    <w:p w14:paraId="66D577F0">
      <w:pPr>
        <w:pageBreakBefore w:val="0"/>
        <w:widowControl w:val="0"/>
        <w:kinsoku/>
        <w:wordWrap/>
        <w:overflowPunct/>
        <w:topLinePunct w:val="0"/>
        <w:autoSpaceDE/>
        <w:autoSpaceDN/>
        <w:bidi w:val="0"/>
        <w:spacing w:line="400" w:lineRule="exact"/>
        <w:ind w:firstLine="560"/>
        <w:textAlignment w:val="auto"/>
        <w:rPr>
          <w:rFonts w:ascii="宋体" w:hAnsi="宋体" w:eastAsia="宋体"/>
          <w:sz w:val="24"/>
          <w:szCs w:val="24"/>
        </w:rPr>
      </w:pPr>
      <w:r>
        <w:rPr>
          <w:rFonts w:hint="eastAsia" w:ascii="宋体" w:hAnsi="宋体" w:eastAsia="宋体"/>
          <w:sz w:val="24"/>
          <w:szCs w:val="24"/>
        </w:rPr>
        <w:t>工程</w:t>
      </w:r>
      <w:r>
        <w:rPr>
          <w:rFonts w:ascii="宋体" w:hAnsi="宋体" w:eastAsia="宋体"/>
          <w:sz w:val="24"/>
          <w:szCs w:val="24"/>
        </w:rPr>
        <w:t>合理使用</w:t>
      </w:r>
      <w:r>
        <w:rPr>
          <w:rFonts w:hint="eastAsia" w:ascii="宋体" w:hAnsi="宋体" w:eastAsia="宋体"/>
          <w:sz w:val="24"/>
          <w:szCs w:val="24"/>
        </w:rPr>
        <w:t>年</w:t>
      </w:r>
      <w:r>
        <w:rPr>
          <w:rFonts w:ascii="宋体" w:hAnsi="宋体" w:eastAsia="宋体"/>
          <w:sz w:val="24"/>
          <w:szCs w:val="24"/>
        </w:rPr>
        <w:t>限为</w:t>
      </w:r>
      <w:r>
        <w:rPr>
          <w:rFonts w:hint="eastAsia" w:ascii="宋体" w:hAnsi="宋体" w:eastAsia="宋体"/>
          <w:sz w:val="24"/>
          <w:szCs w:val="24"/>
        </w:rPr>
        <w:t>5</w:t>
      </w:r>
      <w:r>
        <w:rPr>
          <w:rFonts w:ascii="宋体" w:hAnsi="宋体" w:eastAsia="宋体"/>
          <w:sz w:val="24"/>
          <w:szCs w:val="24"/>
        </w:rPr>
        <w:t>年。</w:t>
      </w:r>
    </w:p>
    <w:p w14:paraId="4989214F">
      <w:pPr>
        <w:pStyle w:val="3"/>
        <w:keepNext/>
        <w:keepLines/>
        <w:pageBreakBefore w:val="0"/>
        <w:widowControl w:val="0"/>
        <w:tabs>
          <w:tab w:val="left" w:pos="3165"/>
          <w:tab w:val="center" w:pos="4594"/>
        </w:tabs>
        <w:kinsoku/>
        <w:wordWrap/>
        <w:overflowPunct/>
        <w:topLinePunct w:val="0"/>
        <w:autoSpaceDE/>
        <w:autoSpaceDN/>
        <w:bidi w:val="0"/>
        <w:adjustRightInd/>
        <w:snapToGrid/>
        <w:spacing w:line="400" w:lineRule="exact"/>
        <w:jc w:val="center"/>
        <w:textAlignment w:val="auto"/>
        <w:rPr>
          <w:rFonts w:ascii="黑体" w:hAnsi="黑体" w:eastAsia="黑体"/>
          <w:sz w:val="24"/>
          <w:szCs w:val="24"/>
        </w:rPr>
      </w:pPr>
      <w:bookmarkStart w:id="168" w:name="_Toc13756"/>
      <w:r>
        <w:rPr>
          <w:rFonts w:hint="eastAsia" w:ascii="黑体" w:hAnsi="黑体" w:eastAsia="黑体"/>
          <w:sz w:val="24"/>
          <w:szCs w:val="24"/>
        </w:rPr>
        <w:t>二、需求分析</w:t>
      </w:r>
      <w:bookmarkEnd w:id="168"/>
    </w:p>
    <w:p w14:paraId="72B8D82F">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bookmarkStart w:id="169" w:name="_Toc513474165"/>
      <w:r>
        <w:rPr>
          <w:rFonts w:hint="eastAsia" w:ascii="宋体" w:hAnsi="宋体" w:eastAsia="宋体" w:cs="Times New Roman"/>
          <w:sz w:val="24"/>
          <w:szCs w:val="24"/>
        </w:rPr>
        <w:t>目前农村地区的智慧安防现状并不乐观。虽然农村地区的人口数量在不断增加，但是智慧安防设施的覆盖率相对较低，许多农村地区仍然缺乏有效的安全保障，相应的公共安全问题也逐渐凸显，比如入室盗窃、非法入侵、抢劫等犯罪活动仍然频发。因此，智慧安防在农村地区的应用和发展至关重要。</w:t>
      </w:r>
    </w:p>
    <w:p w14:paraId="006C5BB5">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在很多农村地区，传统的安防措施如安装摄像头、围墙等已经无法满足现代安全需求，传统的安防手段往往只能起到短暂的效果，因为犯罪分子会寻找管理上的漏洞和防范的薄弱环节。然而，随着农村现代化建设的不断推进，许多地区开始探索和应用一些新型的智慧安防技术，包括视频监控、人脸识别、物联网、人工智能等，以期提高安防的智能化和信息化水平，需要借助智能化技术提高安全防范水平。但是，由于农村地区信息化程度相对较低，资金投入不足等问题，智慧安防设施的建设和应用还存在很多困难和挑战。</w:t>
      </w:r>
    </w:p>
    <w:p w14:paraId="673B8CAF">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为深入贯彻落实全国公安机关社会治安防控体系标准化城市和示范城市创建活动、省厅“苏警数智”攻坚行动和全市和区局公安工作会议关于数据赋能相关部署。根据创建全国社会治安防控体系建设示范城市部署要求，升级智慧安防村居监控建设，技防网络不断向农村地区延伸，进行整体性、系统性、创新性的设计。</w:t>
      </w:r>
    </w:p>
    <w:bookmarkEnd w:id="169"/>
    <w:p w14:paraId="762E5388">
      <w:pPr>
        <w:pStyle w:val="3"/>
        <w:keepNext/>
        <w:keepLines/>
        <w:pageBreakBefore w:val="0"/>
        <w:widowControl w:val="0"/>
        <w:numPr>
          <w:ilvl w:val="0"/>
          <w:numId w:val="4"/>
        </w:numPr>
        <w:tabs>
          <w:tab w:val="left" w:pos="3165"/>
          <w:tab w:val="center" w:pos="4594"/>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黑体" w:hAnsi="黑体" w:eastAsia="黑体"/>
          <w:sz w:val="24"/>
          <w:szCs w:val="24"/>
        </w:rPr>
      </w:pPr>
      <w:bookmarkStart w:id="170" w:name="_Toc28867"/>
      <w:r>
        <w:rPr>
          <w:rFonts w:hint="eastAsia" w:ascii="黑体" w:hAnsi="黑体" w:eastAsia="黑体"/>
          <w:sz w:val="24"/>
          <w:szCs w:val="24"/>
        </w:rPr>
        <w:t>项目总体设计方案</w:t>
      </w:r>
      <w:bookmarkEnd w:id="170"/>
      <w:bookmarkStart w:id="171" w:name="_Toc18938"/>
    </w:p>
    <w:p w14:paraId="4D030BDF">
      <w:pPr>
        <w:pStyle w:val="3"/>
        <w:keepNext/>
        <w:keepLines/>
        <w:pageBreakBefore w:val="0"/>
        <w:widowControl w:val="0"/>
        <w:numPr>
          <w:ilvl w:val="0"/>
          <w:numId w:val="0"/>
        </w:numPr>
        <w:tabs>
          <w:tab w:val="left" w:pos="3165"/>
          <w:tab w:val="center" w:pos="4594"/>
        </w:tabs>
        <w:kinsoku/>
        <w:wordWrap/>
        <w:overflowPunct/>
        <w:topLinePunct w:val="0"/>
        <w:autoSpaceDE/>
        <w:autoSpaceDN/>
        <w:bidi w:val="0"/>
        <w:adjustRightInd/>
        <w:snapToGrid/>
        <w:spacing w:line="400" w:lineRule="exact"/>
        <w:ind w:leftChars="0"/>
        <w:jc w:val="center"/>
        <w:textAlignment w:val="auto"/>
        <w:rPr>
          <w:rFonts w:ascii="黑体" w:hAnsi="黑体" w:eastAsia="黑体"/>
          <w:sz w:val="24"/>
          <w:szCs w:val="24"/>
        </w:rPr>
      </w:pPr>
      <w:r>
        <w:rPr>
          <w:rFonts w:hint="eastAsia" w:ascii="黑体" w:hAnsi="黑体" w:eastAsia="黑体"/>
          <w:sz w:val="24"/>
          <w:szCs w:val="24"/>
        </w:rPr>
        <w:t>3</w:t>
      </w:r>
      <w:r>
        <w:rPr>
          <w:rFonts w:ascii="黑体" w:hAnsi="黑体" w:eastAsia="黑体"/>
          <w:sz w:val="24"/>
          <w:szCs w:val="24"/>
        </w:rPr>
        <w:t>.1</w:t>
      </w:r>
      <w:bookmarkStart w:id="172" w:name="_Toc91064096"/>
      <w:bookmarkStart w:id="173" w:name="_Toc110456625"/>
      <w:r>
        <w:rPr>
          <w:rFonts w:hint="eastAsia" w:ascii="黑体" w:hAnsi="黑体" w:eastAsia="黑体"/>
          <w:sz w:val="24"/>
          <w:szCs w:val="24"/>
        </w:rPr>
        <w:t>设计思路</w:t>
      </w:r>
      <w:bookmarkEnd w:id="171"/>
      <w:bookmarkEnd w:id="172"/>
      <w:bookmarkEnd w:id="173"/>
    </w:p>
    <w:p w14:paraId="26B85A81">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根据智慧安防村居建设场景不同的感知需求，按照“利旧、补盲、升级”三个维度，重点围绕行政村出入口（含市县际边界）、重点道路（交叉口、搭接口、开口）、桥梁、宗教场所、集市、村部、人员活动场所等典型场景，分类选择使用高清视频摄像机、人像抓拍摄像机、车辆抓拍摄像机、全结构化摄像机等4种前端设备。实践中，应当加强多个典型场景视频前端资源的协同衔接，在整体实现场景区域视频监控全覆盖、图像采集无盲区的前提下，统筹做好集约建设。</w:t>
      </w:r>
    </w:p>
    <w:p w14:paraId="008EE64A">
      <w:pPr>
        <w:pStyle w:val="4"/>
        <w:pageBreakBefore w:val="0"/>
        <w:widowControl w:val="0"/>
        <w:kinsoku/>
        <w:wordWrap/>
        <w:overflowPunct/>
        <w:topLinePunct w:val="0"/>
        <w:autoSpaceDE/>
        <w:autoSpaceDN/>
        <w:bidi w:val="0"/>
        <w:spacing w:line="400" w:lineRule="exact"/>
        <w:ind w:firstLine="643"/>
        <w:textAlignment w:val="auto"/>
        <w:rPr>
          <w:rFonts w:ascii="宋体" w:hAnsi="宋体" w:eastAsia="宋体" w:cstheme="minorBidi"/>
          <w:b w:val="0"/>
          <w:bCs w:val="0"/>
          <w:sz w:val="24"/>
          <w:szCs w:val="24"/>
        </w:rPr>
      </w:pPr>
      <w:bookmarkStart w:id="174" w:name="_Toc15650"/>
      <w:r>
        <w:rPr>
          <w:rFonts w:hint="eastAsia" w:ascii="黑体" w:hAnsi="黑体" w:eastAsia="黑体"/>
          <w:sz w:val="24"/>
          <w:szCs w:val="24"/>
        </w:rPr>
        <w:t>3</w:t>
      </w:r>
      <w:r>
        <w:rPr>
          <w:rFonts w:ascii="黑体" w:hAnsi="黑体" w:eastAsia="黑体"/>
          <w:sz w:val="24"/>
          <w:szCs w:val="24"/>
        </w:rPr>
        <w:t>.2</w:t>
      </w:r>
      <w:bookmarkStart w:id="175" w:name="_Toc110456626"/>
      <w:bookmarkStart w:id="176" w:name="_Toc91064097"/>
      <w:r>
        <w:rPr>
          <w:rFonts w:hint="eastAsia" w:ascii="黑体" w:hAnsi="黑体" w:eastAsia="黑体"/>
          <w:sz w:val="24"/>
          <w:szCs w:val="24"/>
        </w:rPr>
        <w:t>设计原则</w:t>
      </w:r>
      <w:bookmarkEnd w:id="174"/>
      <w:bookmarkEnd w:id="175"/>
      <w:bookmarkEnd w:id="176"/>
    </w:p>
    <w:p w14:paraId="1DC86168">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本次设计的基本原则坚持客观性、实用性、先进性同时注重节约，依据2024年度省政府12类55件民生实事的通知、盐政发2024（1）号文件及大政发2024（1）号文件的相关要求，具体设计如下：</w:t>
      </w:r>
    </w:p>
    <w:p w14:paraId="6CD60B21">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坚持统一领导、分类建设，形成党政领导、综治牵头、公安负责、部门配合、社会参与的工作格局。</w:t>
      </w:r>
    </w:p>
    <w:p w14:paraId="5E07E9D8">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坚持统筹规划、合理布局，从社会治安、城市管理工作的需求出发，结合实际，统筹规划，合理布点，广泛覆盖，确保充分发挥公共安全视频系统作用。</w:t>
      </w:r>
    </w:p>
    <w:p w14:paraId="3E80D657">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坚持改建并举、注重节约，依据公共安全视频系统建设规范和标准，实事求是，因地制宜，统筹公共安全视频系统建设，避免重复投资。</w:t>
      </w:r>
    </w:p>
    <w:p w14:paraId="4954B662">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坚持技术引领、面向未来，运用新一代大数据、云计算、视频智能分析等技术，创新社会治安防控手段，形成全天候、全时空、立体化、可移动视频监控网络体系，完善具有大丰特色的视频监控建设应用管理新模式。</w:t>
      </w:r>
    </w:p>
    <w:p w14:paraId="5CFB1A4C">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坚持完善机制、突出整合，将视频图像信息系统建设纳入智慧城市公共基础设施统一管理，重点公共区域统一建设，各行业各领域视频监控资源统一整合，形成可持续发展的视频图像信息系统建设管理新模式和新局面。</w:t>
      </w:r>
    </w:p>
    <w:p w14:paraId="7400C57A">
      <w:pPr>
        <w:pStyle w:val="4"/>
        <w:pageBreakBefore w:val="0"/>
        <w:widowControl w:val="0"/>
        <w:kinsoku/>
        <w:wordWrap/>
        <w:overflowPunct/>
        <w:topLinePunct w:val="0"/>
        <w:autoSpaceDE/>
        <w:autoSpaceDN/>
        <w:bidi w:val="0"/>
        <w:spacing w:line="400" w:lineRule="exact"/>
        <w:ind w:firstLine="643"/>
        <w:textAlignment w:val="auto"/>
        <w:rPr>
          <w:rFonts w:ascii="黑体" w:hAnsi="黑体" w:eastAsia="黑体"/>
          <w:sz w:val="24"/>
          <w:szCs w:val="24"/>
        </w:rPr>
      </w:pPr>
      <w:bookmarkStart w:id="177" w:name="_Toc110456633"/>
      <w:bookmarkStart w:id="178" w:name="_Toc20019"/>
      <w:bookmarkStart w:id="179" w:name="_Toc161835509"/>
      <w:r>
        <w:rPr>
          <w:rFonts w:hint="eastAsia" w:ascii="黑体" w:hAnsi="黑体" w:eastAsia="黑体"/>
          <w:sz w:val="24"/>
          <w:szCs w:val="24"/>
        </w:rPr>
        <w:t>3</w:t>
      </w:r>
      <w:r>
        <w:rPr>
          <w:rFonts w:ascii="黑体" w:hAnsi="黑体" w:eastAsia="黑体"/>
          <w:sz w:val="24"/>
          <w:szCs w:val="24"/>
        </w:rPr>
        <w:t>.</w:t>
      </w:r>
      <w:bookmarkEnd w:id="177"/>
      <w:r>
        <w:rPr>
          <w:rFonts w:ascii="黑体" w:hAnsi="黑体" w:eastAsia="黑体"/>
          <w:sz w:val="24"/>
          <w:szCs w:val="24"/>
        </w:rPr>
        <w:t>3</w:t>
      </w:r>
      <w:r>
        <w:rPr>
          <w:rFonts w:hint="eastAsia" w:ascii="黑体" w:hAnsi="黑体" w:eastAsia="黑体"/>
          <w:sz w:val="24"/>
          <w:szCs w:val="24"/>
        </w:rPr>
        <w:t>智慧安防村居</w:t>
      </w:r>
      <w:bookmarkEnd w:id="178"/>
      <w:bookmarkEnd w:id="179"/>
      <w:r>
        <w:rPr>
          <w:rFonts w:ascii="黑体" w:hAnsi="黑体" w:eastAsia="黑体"/>
          <w:sz w:val="24"/>
          <w:szCs w:val="24"/>
        </w:rPr>
        <w:t xml:space="preserve"> </w:t>
      </w:r>
    </w:p>
    <w:p w14:paraId="42AE15A6">
      <w:pPr>
        <w:pStyle w:val="5"/>
        <w:keepNext/>
        <w:keepLines/>
        <w:pageBreakBefore w:val="0"/>
        <w:widowControl w:val="0"/>
        <w:kinsoku/>
        <w:wordWrap/>
        <w:overflowPunct/>
        <w:topLinePunct w:val="0"/>
        <w:autoSpaceDE/>
        <w:autoSpaceDN/>
        <w:bidi w:val="0"/>
        <w:adjustRightInd/>
        <w:snapToGrid/>
        <w:spacing w:line="400" w:lineRule="exact"/>
        <w:ind w:firstLine="601"/>
        <w:textAlignment w:val="auto"/>
        <w:rPr>
          <w:rFonts w:ascii="黑体" w:hAnsi="黑体" w:eastAsia="黑体"/>
          <w:sz w:val="24"/>
          <w:szCs w:val="24"/>
        </w:rPr>
      </w:pPr>
      <w:bookmarkStart w:id="180" w:name="_Toc26261"/>
      <w:bookmarkStart w:id="181" w:name="_Toc161835510"/>
      <w:r>
        <w:rPr>
          <w:rFonts w:hint="eastAsia" w:ascii="黑体" w:hAnsi="黑体" w:eastAsia="黑体"/>
          <w:sz w:val="24"/>
          <w:szCs w:val="24"/>
        </w:rPr>
        <w:t>3</w:t>
      </w:r>
      <w:r>
        <w:rPr>
          <w:rFonts w:ascii="黑体" w:hAnsi="黑体" w:eastAsia="黑体"/>
          <w:sz w:val="24"/>
          <w:szCs w:val="24"/>
        </w:rPr>
        <w:t>.3.1</w:t>
      </w:r>
      <w:r>
        <w:rPr>
          <w:rFonts w:hint="eastAsia" w:ascii="黑体" w:hAnsi="黑体" w:eastAsia="黑体"/>
          <w:sz w:val="24"/>
          <w:szCs w:val="24"/>
        </w:rPr>
        <w:t>系统概述</w:t>
      </w:r>
      <w:bookmarkEnd w:id="180"/>
      <w:bookmarkEnd w:id="181"/>
      <w:bookmarkStart w:id="182" w:name="_Toc110456635"/>
    </w:p>
    <w:p w14:paraId="04020C59">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按照“重点覆盖、全量采集、深度应用”原则，着力打造“点位精准覆盖、信息自动采集、要素智能管控、市县联动应用”的城乡一体感知网络，进一步突出重点、深化攻坚，实现管控要素“高密度感知、高精度识别、高速率采集”。</w:t>
      </w:r>
    </w:p>
    <w:p w14:paraId="6608F603">
      <w:pPr>
        <w:pStyle w:val="5"/>
        <w:keepNext/>
        <w:keepLines/>
        <w:pageBreakBefore w:val="0"/>
        <w:widowControl w:val="0"/>
        <w:kinsoku/>
        <w:wordWrap/>
        <w:overflowPunct/>
        <w:topLinePunct w:val="0"/>
        <w:autoSpaceDE/>
        <w:autoSpaceDN/>
        <w:bidi w:val="0"/>
        <w:adjustRightInd/>
        <w:snapToGrid/>
        <w:spacing w:line="400" w:lineRule="exact"/>
        <w:ind w:firstLine="601"/>
        <w:textAlignment w:val="auto"/>
        <w:rPr>
          <w:rFonts w:hint="eastAsia" w:ascii="黑体" w:hAnsi="黑体" w:eastAsia="黑体"/>
          <w:sz w:val="24"/>
          <w:szCs w:val="24"/>
        </w:rPr>
      </w:pPr>
      <w:bookmarkStart w:id="183" w:name="_Toc22815"/>
      <w:bookmarkStart w:id="184" w:name="_Toc161835511"/>
      <w:r>
        <w:rPr>
          <w:rFonts w:hint="eastAsia" w:ascii="黑体" w:hAnsi="黑体" w:eastAsia="黑体"/>
          <w:sz w:val="24"/>
          <w:szCs w:val="24"/>
        </w:rPr>
        <w:t>3.3.2系统功能</w:t>
      </w:r>
      <w:bookmarkEnd w:id="182"/>
      <w:bookmarkEnd w:id="183"/>
      <w:bookmarkEnd w:id="184"/>
    </w:p>
    <w:p w14:paraId="091ADF8D">
      <w:pPr>
        <w:keepNext w:val="0"/>
        <w:keepLines w:val="0"/>
        <w:pageBreakBefore w:val="0"/>
        <w:widowControl w:val="0"/>
        <w:kinsoku/>
        <w:wordWrap/>
        <w:overflowPunct/>
        <w:topLinePunct w:val="0"/>
        <w:autoSpaceDE/>
        <w:autoSpaceDN/>
        <w:bidi w:val="0"/>
        <w:adjustRightInd/>
        <w:snapToGrid/>
        <w:spacing w:line="400" w:lineRule="exact"/>
        <w:ind w:firstLine="561"/>
        <w:textAlignment w:val="auto"/>
        <w:rPr>
          <w:rFonts w:hint="eastAsia" w:ascii="宋体" w:hAnsi="宋体" w:eastAsia="宋体" w:cs="Times New Roman"/>
          <w:sz w:val="24"/>
          <w:szCs w:val="24"/>
        </w:rPr>
      </w:pPr>
      <w:r>
        <w:rPr>
          <w:rFonts w:hint="eastAsia" w:ascii="宋体" w:hAnsi="宋体" w:eastAsia="宋体" w:cs="Times New Roman"/>
          <w:sz w:val="24"/>
          <w:szCs w:val="24"/>
        </w:rPr>
        <w:t>本次监控主要面对乡镇、村道路及重点部位、治安事件多发地区、人员聚集区域等几类地区进行视频监控覆盖，减少以上几类地区监控盲区。</w:t>
      </w:r>
    </w:p>
    <w:p w14:paraId="7B0B01D6">
      <w:pPr>
        <w:pStyle w:val="5"/>
        <w:keepNext/>
        <w:keepLines/>
        <w:pageBreakBefore w:val="0"/>
        <w:widowControl w:val="0"/>
        <w:kinsoku/>
        <w:wordWrap/>
        <w:overflowPunct/>
        <w:topLinePunct w:val="0"/>
        <w:autoSpaceDE/>
        <w:autoSpaceDN/>
        <w:bidi w:val="0"/>
        <w:adjustRightInd/>
        <w:snapToGrid/>
        <w:spacing w:line="400" w:lineRule="exact"/>
        <w:ind w:firstLine="601"/>
        <w:textAlignment w:val="auto"/>
        <w:rPr>
          <w:rFonts w:hint="eastAsia" w:ascii="黑体" w:hAnsi="黑体" w:eastAsia="黑体"/>
          <w:sz w:val="24"/>
          <w:szCs w:val="24"/>
        </w:rPr>
      </w:pPr>
      <w:bookmarkStart w:id="185" w:name="_Toc13085"/>
      <w:r>
        <w:rPr>
          <w:rFonts w:hint="eastAsia" w:ascii="黑体" w:hAnsi="黑体" w:eastAsia="黑体"/>
          <w:sz w:val="24"/>
          <w:szCs w:val="24"/>
        </w:rPr>
        <w:t>3.3.3村居现场点位部署</w:t>
      </w:r>
      <w:bookmarkEnd w:id="185"/>
    </w:p>
    <w:tbl>
      <w:tblPr>
        <w:tblStyle w:val="13"/>
        <w:tblW w:w="9940" w:type="dxa"/>
        <w:jc w:val="center"/>
        <w:tblLayout w:type="fixed"/>
        <w:tblCellMar>
          <w:top w:w="0" w:type="dxa"/>
          <w:left w:w="108" w:type="dxa"/>
          <w:bottom w:w="0" w:type="dxa"/>
          <w:right w:w="108" w:type="dxa"/>
        </w:tblCellMar>
      </w:tblPr>
      <w:tblGrid>
        <w:gridCol w:w="902"/>
        <w:gridCol w:w="902"/>
        <w:gridCol w:w="902"/>
        <w:gridCol w:w="902"/>
        <w:gridCol w:w="902"/>
        <w:gridCol w:w="902"/>
        <w:gridCol w:w="902"/>
        <w:gridCol w:w="902"/>
        <w:gridCol w:w="902"/>
        <w:gridCol w:w="902"/>
        <w:gridCol w:w="920"/>
      </w:tblGrid>
      <w:tr w14:paraId="278FDA57">
        <w:tblPrEx>
          <w:tblCellMar>
            <w:top w:w="0" w:type="dxa"/>
            <w:left w:w="108" w:type="dxa"/>
            <w:bottom w:w="0" w:type="dxa"/>
            <w:right w:w="108" w:type="dxa"/>
          </w:tblCellMar>
        </w:tblPrEx>
        <w:trPr>
          <w:trHeight w:val="375" w:hRule="atLeast"/>
          <w:jc w:val="center"/>
        </w:trPr>
        <w:tc>
          <w:tcPr>
            <w:tcW w:w="9940"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B6596">
            <w:pPr>
              <w:widowControl/>
              <w:spacing w:line="240" w:lineRule="auto"/>
              <w:ind w:firstLine="964"/>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智慧村居工作量清单</w:t>
            </w:r>
          </w:p>
        </w:tc>
      </w:tr>
      <w:tr w14:paraId="3D8E23C6">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0D62F">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5A4FB">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辖区</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3C2CB">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点位名称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DF32">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经度</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DAB6">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纬度</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0B55D">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500W环保卡口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9678F">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900W环保卡口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25C16">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400W双镜头结构化相机</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C871">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800W双镜头结构化相机</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FDF6D">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400万三镜头全结构化枪球一体机</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680B5">
            <w:pPr>
              <w:widowControl/>
              <w:spacing w:line="240" w:lineRule="auto"/>
              <w:ind w:firstLine="0" w:firstLineChars="0"/>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lang w:bidi="ar"/>
              </w:rPr>
              <w:t>备注</w:t>
            </w:r>
          </w:p>
        </w:tc>
      </w:tr>
      <w:tr w14:paraId="3DF5330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EB03E">
            <w:pPr>
              <w:widowControl/>
              <w:spacing w:line="240" w:lineRule="auto"/>
              <w:ind w:firstLine="0" w:firstLineChars="0"/>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FF04">
            <w:pPr>
              <w:widowControl/>
              <w:spacing w:line="240" w:lineRule="auto"/>
              <w:ind w:firstLine="0" w:firstLineChars="0"/>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801C">
            <w:pPr>
              <w:widowControl/>
              <w:spacing w:line="240" w:lineRule="auto"/>
              <w:ind w:firstLine="0" w:firstLineChars="0"/>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三组41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EAB4">
            <w:pPr>
              <w:widowControl/>
              <w:spacing w:line="240" w:lineRule="auto"/>
              <w:ind w:firstLine="0" w:firstLineChars="0"/>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120.3050995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BC01B">
            <w:pPr>
              <w:widowControl/>
              <w:spacing w:line="240" w:lineRule="auto"/>
              <w:ind w:firstLine="0" w:firstLineChars="0"/>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32.9559969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0671">
            <w:pPr>
              <w:spacing w:line="240" w:lineRule="auto"/>
              <w:ind w:firstLine="440"/>
              <w:jc w:val="center"/>
              <w:rPr>
                <w:rFonts w:ascii="宋体" w:hAnsi="宋体" w:eastAsia="宋体" w:cs="宋体"/>
                <w:color w:val="000000"/>
                <w:sz w:val="21"/>
                <w:szCs w:val="21"/>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77C7">
            <w:pPr>
              <w:spacing w:line="240" w:lineRule="auto"/>
              <w:ind w:firstLine="440"/>
              <w:jc w:val="center"/>
              <w:rPr>
                <w:rFonts w:ascii="宋体" w:hAnsi="宋体" w:eastAsia="宋体" w:cs="宋体"/>
                <w:color w:val="000000"/>
                <w:sz w:val="21"/>
                <w:szCs w:val="21"/>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2A58">
            <w:pPr>
              <w:widowControl/>
              <w:spacing w:line="240" w:lineRule="auto"/>
              <w:ind w:firstLine="0" w:firstLineChars="0"/>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EBC31">
            <w:pPr>
              <w:spacing w:line="240" w:lineRule="auto"/>
              <w:ind w:firstLine="440"/>
              <w:jc w:val="center"/>
              <w:rPr>
                <w:rFonts w:ascii="宋体" w:hAnsi="宋体" w:eastAsia="宋体" w:cs="宋体"/>
                <w:color w:val="000000"/>
                <w:sz w:val="21"/>
                <w:szCs w:val="21"/>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CD34B">
            <w:pPr>
              <w:spacing w:line="240" w:lineRule="auto"/>
              <w:ind w:firstLine="440"/>
              <w:jc w:val="center"/>
              <w:rPr>
                <w:rFonts w:ascii="宋体" w:hAnsi="宋体" w:eastAsia="宋体" w:cs="宋体"/>
                <w:color w:val="000000"/>
                <w:sz w:val="21"/>
                <w:szCs w:val="21"/>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76A93">
            <w:pPr>
              <w:spacing w:line="240" w:lineRule="auto"/>
              <w:ind w:firstLine="440"/>
              <w:jc w:val="center"/>
              <w:rPr>
                <w:rFonts w:ascii="宋体" w:hAnsi="宋体" w:eastAsia="宋体" w:cs="宋体"/>
                <w:color w:val="000000"/>
                <w:sz w:val="21"/>
                <w:szCs w:val="21"/>
              </w:rPr>
            </w:pPr>
          </w:p>
        </w:tc>
      </w:tr>
      <w:tr w14:paraId="38AB4636">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B02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CF4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A7FF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双垛村六组56号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F06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120.3545165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3BA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32.9618663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C42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36A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B90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0BC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270A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9A40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F48052A">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E87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EB9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1A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双垛村7组154号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3CCB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120.349474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8A1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32.97115571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661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6E2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5D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5B6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8994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904C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E167878">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AEA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E2D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234D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双垛村5组79号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6F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120.3597307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3D1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32.96157824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83C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A66B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352E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37B6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30F7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3F3E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2AC5CE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D62F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D06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DB01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西河线三总沟北边</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B01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120.3332949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5CC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32.95711319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3B9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8FF6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1BBE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5127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03AB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40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802810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B2B6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E15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782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双垛村二组84号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901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120.3663504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6F13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32.94571551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77E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3E3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0B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F41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B8F3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4B1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05DE7E7">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342C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6A5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B44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界中村三组22号门口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B84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120.3440023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2A6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32.93662152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E43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5B9F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3DB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D4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49D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8B29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8141C0C">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540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C45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2D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351连接线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E443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120.3390133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8F82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32.95996239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FBAE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FF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11DE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C15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3AB4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166B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4592B40">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A4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C03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38E7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竹成线三岔路口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477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120.4592955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4C0C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32.96117919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355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3EE7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A402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01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6B7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9A91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F30AF24">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D0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C588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EDF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草海线三岔路口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73A7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120.4443249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EE51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32.93545546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C78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A05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81A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00B9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2A14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D576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1DFDC02">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313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B77F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330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西渣六组高架桥西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1DAF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120.4131103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06B5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32.95751642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8C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003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65C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964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CF66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C1F8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42C36B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E5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9D1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7E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西渣五组三十一总河桥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09B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120.4129876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489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32.9488235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E5F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9FB3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D0D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6C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60D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B0F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FFA4BC4">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FA6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2FD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CEB2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西渣五组三岔路口南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9DE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120.4117845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3E7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32.93704777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63BA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3F6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38D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D0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76F6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AA3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351895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532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78A8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F41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西渣五组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16E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120.418346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F48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32.93609584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94E6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345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94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236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D47E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962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7B024CE">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8E3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403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6F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西渣四组村部</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5C4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120.4189569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0B4A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32.94238479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FCE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E926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F07B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481C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AD7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F8A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B71BE46">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5DB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AF84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DD1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通善桥（草堰夹沟）</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834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120.2994774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129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32.95220538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1EE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391E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64AB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1CD0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B45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C8FA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17E6CE0">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777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588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C4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董家桥（草堰村七组38号旁）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395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120.2939927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A63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32.94769446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71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5DE5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6E9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E90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36D0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E1E7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5F0B1F3">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8C9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921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1A6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三组5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8F4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120.3100044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870B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32.95610601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71AA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1B6D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5FB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73C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792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929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71C47B5">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734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EBCC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FB3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二组35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0EC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120.3135034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34B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32.96983955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0F1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B667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C01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95D8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F6B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6DB6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468EE15">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62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F11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111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一组69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4E3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120.3064111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4F7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32.97093318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8642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B4A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7C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FCE5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6D0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391E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7D5451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77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A3DA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DF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一组136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153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120.3105372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242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32.979399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D9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238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843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9F6D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241A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49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B5E25D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947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395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D9E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204国道与戴昭线交叉口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DC8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120.2888966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55E2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32.92549387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860C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0017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0A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3B84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0A8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CCA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48D61FC">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362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9E1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66D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丁溪村三组56号门口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B1D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120.3031512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7E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32.92684684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D75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EDAF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A78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1D6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5586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7562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2DFE17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865D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94F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14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西竖河中北桥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F96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120.297869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60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32.93266172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3D5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DEE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DB6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7AE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A5BC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6E6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A51F02C">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7AD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BC6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770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丁溪村居后面四号小区</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AF5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120.2958182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4DA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32.93534059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6B8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F649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891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CAE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A35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1CC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0D16B65">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10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5D5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986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界中村四组15号门口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9BA9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120.3415181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400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32.93133978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3486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4E9D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CC64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86E9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0A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F22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3F55EF8">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9A87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176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3C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双河小区东北角（双河一组20号门口）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9DD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120.3222736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271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32.95143788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764B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4484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6C1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013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B035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3CF7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E10DBBC">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E26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AC2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30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旭东日用百货门口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732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120.3355507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F354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32.95373767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E1F9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BF1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FCA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CF5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CAF9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9ABD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8D71E5E">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790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2F7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02C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双河村四组112号门口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D9E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120.3424743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318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32.96166724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442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3F50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1D0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87C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01CE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2F0A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C185957">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AE4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592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EA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双河村五组18号门口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B8B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120.3452615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95B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32.94900275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A41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3A76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05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15A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FBCD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4E8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2189C88">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18CA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5C40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B1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南横河西桥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F85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120.3563433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5C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32.94476061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539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23B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9B4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69B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10A8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A44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B09F158">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88D9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611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41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双垛三组6号门口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B29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120.3757907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69E9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32.94047541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3E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CAD9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D53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784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398A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8F1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5427B6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F64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58E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D00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二十总沟桥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6A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120.3814894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B53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32.94676208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686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812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D79D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6A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95E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589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9F4CD75">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AC80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8F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20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双垛村四组20号门口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E94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120.3838173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3F28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32.95286054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870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DCA7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FD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A85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B52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F34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F3297B5">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CBF7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40A4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C4D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新跃河东桥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672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120.3826972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14D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32.95815208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6C8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D6F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1C9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F49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D31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F443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FC4228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C2D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DD3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5E7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双垛村七组4号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5D6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120.3519681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756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32.97646481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4F2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2FE5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C3A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884A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9FD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E5B3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57E8CCB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067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46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E9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双垛村七组20号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08E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120.3545219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B4C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32.97819348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8F5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0F88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7AAB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DFA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7AF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4F81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FCBC6F1">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E7D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069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1FC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双垛村六组201号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EB0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120.3621717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A36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32.97510401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C824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E6A0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BCC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293D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AF4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8DB4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960D15F">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92B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25E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9F9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双垛村四组234号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418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120.3721315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89E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32.96243177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220A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F6C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614A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11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B56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897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B0AEE22">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FD7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42ED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95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界中村六组125号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83E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120.3166538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ABDE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32.93597402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B4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BC1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AC66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AC20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CC41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FE1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AA71F4B">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7C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2989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C6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界中村六组5号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B82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120.3165106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6559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32.92493432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BB62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352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2E4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38F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513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3BEC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A63690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3D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1CC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08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界中村四组15号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AFB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120.3264377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B20A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32.92584638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2DF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3073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264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160F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9AA6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02DB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D8F4781">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6AF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A7F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8A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成文村三组40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2A9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120.4554373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F70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32.92983306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5FDB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E26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46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264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6702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7247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1568CC0">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C45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631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CC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成文村二组54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B3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120.4624581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32E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32.93516932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B6A5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D6E3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CC6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E7F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CAC0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9AB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DE866C0">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91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5B7B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B902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成文村一组29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99B9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120.4735261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89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32.9313164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2272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450D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DF3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16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4179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1439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A5BAAF0">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6CD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93A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DBD0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成文村五组143号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495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120.4726334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A17C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32.95446048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AA7A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D142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6D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763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291A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6CC6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870609D">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8F5A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158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38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联丰古河口与万盈交界</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F164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120.5691147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9C6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32.99230529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2B3B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BEB9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B4C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1D9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FFE6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64D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C9C9AA1">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AC9D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12E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95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联丰村六组农桥旁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6E25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120.6125021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E49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32.97587206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04AD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1D2E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8C6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01EB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FA0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873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0A1D568">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D9A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583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D14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潘丿村一组大桥水厂旁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5666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120.6605244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410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32.91385542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F19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18AA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DED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10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2F86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E2A7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365FAD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ED2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0B3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89EA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邹恒喜门口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84F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120.6707382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52D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32.91958352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080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B14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1EC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98B8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869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7D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82B002C">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316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251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D392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谢永观家旁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F6DE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120.6082535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137D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32.965683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C2D6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03C9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4E15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55D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97B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30EB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DE746A8">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4B28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63B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F06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川南二组西侧与农场交界</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C5C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120.6775188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757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32.98843575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0E7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F45B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DCE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3F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4EE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AB0B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5285988">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383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79D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85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杨应成家门口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130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120.6775188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19D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33.00578438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60C3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3DF5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87D0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B6C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AB7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0F14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1750FFB">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63A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71D6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50FF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瑶厂顾桂红旁 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F3B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120.5716757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5B3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32.99284438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0BC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921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86AA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53BF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AD3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441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DC0508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68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0C0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341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储二养鸡南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E94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120.5948169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A01D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32.98111188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CBAE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F77D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C21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339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3B1B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778A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B19C06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F0A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21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AB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余长友家门口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6E4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120.5673912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9E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32.99084415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1DB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AF59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41DF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B61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02BB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E279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CBC11D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FC3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7A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FB4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联丰村一组与沈灶交界</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0CE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120.572763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04B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32.98611324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503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54E5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33D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B7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337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97B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689E8175">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2D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8F57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908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联丰村四组东十字路口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02B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120.5927741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DD50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32.98898811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68F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736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6E9A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69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2F87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18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2A993D5">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390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9001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5E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联丰五组交沈灶</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89DD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120.5881465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6CA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32.96956397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AE07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35C0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CA2A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6CB0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0491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5ED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5F4336D">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5D4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25DD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E2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顾明芝家门口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AF9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120.5924479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050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32.97312421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DFB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920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C25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97F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6F2B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622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10A2486">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A20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255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663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顾桂芝桥东</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37C8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120.5999847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12D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32.97363866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4F9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11AE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A8AD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93F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D84F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4EF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950161A">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40C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FC3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251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联丰村六组洋丰肥料门市</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BB8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120.6055379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031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32.97927979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1FF1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D8D1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365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058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47E0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7F7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1A4C71D">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C9BE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BF19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7C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谢罗珍家旁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D69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120.6148907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B09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32.9811314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D1A7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B3D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85D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EF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42BD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62F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4258A67">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5D9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5C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90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张桂林家旁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2A3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120.6196204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65C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32.9252622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0BF5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2C8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A39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70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928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AD2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634AD16">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04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34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8F0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中合村河垛河桥旁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A49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120.6080995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DC4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32.9273728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B08B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B63E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63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A9D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6E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BDA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4C81A06">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922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9CB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71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陈兴华家旁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16F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120.6133259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7C9A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32.9436708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B88E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A78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C7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030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0C6C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877C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FB60E4C">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1EF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76A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9D30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蔡春然家旁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37D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120.5956774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C94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32.95811272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EAD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1D17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F33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FB6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5337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73E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B56BE4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AADC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A17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BA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朱维进家旁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042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120.5989692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48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32.94068515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FFEE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715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6023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910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972E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25AE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3FE2354">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8CDF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BA99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274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蔡春明家旁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E8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120.6175662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9A12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32.94929106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7C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824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5BE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E4CF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AFD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4716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5D5B9F0">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7B19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AED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C1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孙峰家门口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BD24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120.6707322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6D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32.9845576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975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761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35DB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4042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D14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9938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C4752A6">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0A4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7BB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7AE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丁四家旁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58C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120.6591574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E85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32.98198833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351A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902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1C0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17FC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747D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2AE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8879EE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DD5D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B43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1F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张玉明厂南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7A1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120.6549499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A98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32.97614684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1AE7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BDE2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32C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F26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76A6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2BF6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E5F3EA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278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0C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A17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洋南村四组226省道旁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902B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120.6418816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FF5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32.97782804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D03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381C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ABA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04CB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0ED2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6700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AD610E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143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87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F3B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陈果旺家旁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A0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120.6478658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A83A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32.97189308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078C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3AFF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C0A3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9E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0D8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2024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20206D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A72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D9C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9DE5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六中沟家庭农场十字路口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E24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120.6678293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609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32.9744701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CED1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0C8B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027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7915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34D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AB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BD0FA0B">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14D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821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C5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六中沟与东塔村交界</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62C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120.6563511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C0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32.97194638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14F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2CB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375C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287A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77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17D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5FFD139A">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C4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CE5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AB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中南桥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DEE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120.6583546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F66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32.92141548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57DB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105F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8F4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097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B227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2E3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928834F">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E44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18D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5E80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常广群旁边</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69D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120.6586564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66F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32.91305745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C695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FBC6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FF04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4A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8BEE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1F8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4B8B754">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E00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7E5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FEA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李进文家门口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73E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120.6627189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66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32.91781299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50A8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841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7980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F206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AAB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02C0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8F41962">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0EB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B4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9D6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226省道潘丿十五中沟</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BB19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120.6582288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6C2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32.92678686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BC77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23B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51F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BFE6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E67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CF59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9FB7371">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A2B0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615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2C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吴云官家门口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686D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120.6680662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7075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32.93398582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565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898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3C9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2AF4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296F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70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06963BE">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84F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17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85C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农场交界南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2BBD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120.693512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95FC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32.95189187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6D8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966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744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E67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CE7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6E8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A3B2EE4">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A3B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F74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43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卢桂祥家旁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F42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120.6961333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462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32.96492349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1E9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DE7C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50A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880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BFAB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4B4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DF2343F">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8C3B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21B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C6CC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江岸村三组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89D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120.6752191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BF6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32.95537097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F7B7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B26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7A6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C781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5B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8EC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70AB7D7">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F7C8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DC6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C8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胡荠江家旁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9DF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120.678836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3CE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32.94613856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B762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AF12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D02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FCE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9C6F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0642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98DDECF">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284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304B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1A1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张家平家旁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3946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120.6959174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77D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32.93655371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B001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FE8E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ACF1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CDD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39F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D98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4142329F">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100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1FCE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6C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陈美云家门口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10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120.6845283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69D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32.92739667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9E4D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CEDD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F5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D5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C39A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512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9CC7E9A">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576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C86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34D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杨进华北十字路口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2C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120.6829198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0AB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33.00564557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6A51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30CD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123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9501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3373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D3CE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C599D7C">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384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7B5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BFB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韩怀甫家旁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F4D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120.6776149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613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32.99772492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A87A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9184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E4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AC8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4DF3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3CB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C03647F">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72D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E69E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2A9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黄甫荣家门口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7414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120.6983676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861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32.99757308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E1B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A5A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DF3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B6D5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82C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E424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617829C">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3C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77FC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2C5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杨东华家南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CF79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120.6958017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EE1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32.9884142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AFA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BCC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5C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7C1B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8B0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4551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F655F1C">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EA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048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DF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袁坤田家旁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44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120.6826946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859D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32.98566817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7167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2947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12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C9A7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AF94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018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3BA28E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071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B00F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841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冯素云家旁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619F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120.6821067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72F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32.93227238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60D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34CD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E58F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59B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D7D0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7F8D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819115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2E5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179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F3E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西大圩电管站</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4FA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120.6057593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2895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32.93697377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1F8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C017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B81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24DD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43D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505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2C8D583">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9B5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EBA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8B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孙文才家旁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F26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120.6263677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792D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32.92561224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0BA0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345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F5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9DF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19EE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D71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14971A1">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297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45D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75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潘南村四组 金国祥家旁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B8A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120.640971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AE00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32.92326161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1EC5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34F2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7D3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97CD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E7CB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DEDA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A67A6EF">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58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75B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94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东灶村二组东路口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6A6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120.762904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0D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32.97381798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624A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14E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672C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31D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C0EF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824B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F33B733">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8CC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EE44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00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东灶村四组村部门口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F7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120.7694082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7AB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32.99259031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860F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548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8E7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C35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92D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1B6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0686B05">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F25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C5AA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86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东灶村四组老9组东路口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DB4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120.7873478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2E7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32.99239288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9DE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E47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956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44D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5228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D29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A70860A">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EE8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E41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56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东灶村四组宣玉章门口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E0A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120.7627637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8E3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32.99264913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BB80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925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9E7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B71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CF83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A3BB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12C1219E">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7B8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80D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2E7E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东灶村新型社区北桥口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D15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120.7749283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425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32.99688378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0149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E9F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73F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8EBF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8C7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AC2F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CC6C358">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950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B20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A35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东灶村五组徐巧云门口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7B7A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120.7491362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FC6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33.00681858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4C9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396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91D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A3F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556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313D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A4CAFB2">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B61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871F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2E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东灶村七组沈如祥门口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758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120.7700626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D40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33.01238384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0319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911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785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8F42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145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3A60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931370E">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8B6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A69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1DD1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罗慧西北角</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036B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120.7073289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95F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32.97399237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D9F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E058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4EE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27C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B18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8352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D636F0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59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925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846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五组新荣商店西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02F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120.7356526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4A9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32.97390026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733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883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754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414F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8FE0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6404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F6C2BFD">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D84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58A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F4C3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川洋村七组陈汝忠后桥头</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A8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120.7312374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CFB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32.99284295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159F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49B1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A8E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51E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00A1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52FF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A83252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BD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37B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1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川洋村二组三组交汇处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9E0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120.6913109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965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32.97412126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0C26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E96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1C7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3F5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104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0331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14BBD77">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99E1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7E9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95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川洋村村部门口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D68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120.724821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ED35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32.98813101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014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1E6C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5D55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2882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D05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6F5D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CC88B15">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DB5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3468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3EC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东灶村二组信号塔旁路口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D53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120.7628239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972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32.98328558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7972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3C8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6F6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F294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6634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70F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B8C990D">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B287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915A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22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东灶村三组老10组东南头</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93D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120.74364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F1E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33.00228862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1E4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1152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86B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A0F6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B5E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1D48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B22E5B9">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1BE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EA74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DB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东灶村五组与228交界</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21B7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120.7616254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4C1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33.00680737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B074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AF3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61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800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53FA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078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FE7AF35">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18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806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BE1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东灶村五组姚德东小店十字路口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FDA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120.7571375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8D2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33.00695323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A62A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CF1E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55BF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67B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EFDD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8B02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5C51B0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B1A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A65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055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川洋三支河北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A1C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120.7112237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377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32.96484291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6A50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EF8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AA4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131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6E0A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867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C648714">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D76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CE4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A53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北宋家墩东十字路口2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82A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120.4938691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DF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32.9345132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A86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E20C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D5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8F1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BA3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DC1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253D6F4">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F8B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367C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21AA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西灶村部东侧十字路口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A8D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120.4957275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1CE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32.9432456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2E0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7B58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9E5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AB30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706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00D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B95054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55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A32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9A9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西灶村一组向南十字路口3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3B40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120.5016352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09C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32.93495325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31C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1B83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E19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9B9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9CA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524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819A145">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0D6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0273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CCD6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西灶宋日生北小丁字路口（六组）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4C79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120.4844961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5F7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32.95015214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3930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439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1C8D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0D4D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9D58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393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C83FF79">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B874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DB5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301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西灶村新灶村东丁字路口2（六组）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0E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120.4889053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FE7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32.95295936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60C5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CE4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8DE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663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44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8F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DCB8F3D">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AEC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9A0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14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西灶村九龙一组丁字路口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9A99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120.4959903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62B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32.95236204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D29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0159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A21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C6FB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489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2D12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0EE64DC">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A5C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DDF7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93B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赵环大桥北X字路口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EBF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120.5043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F2B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32.92880807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1BBB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736D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2B5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30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703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5C4F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2422C39">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73B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6A9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EB8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沈灶朱玉广南侧丁字路口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AC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120.5132713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B329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32.92828977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30EF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F1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F477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BFB0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2C30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196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D0044B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5BC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2FD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805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沈灶赵环收粮站硚口西侧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2087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120.5098576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7908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32.93696985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BADD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D65B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4C48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8ECA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719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AEE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C2820C1">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9730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E7F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82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沈灶马路河桥南桥南侧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F61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120.5101459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B72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32.94222155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641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A19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83B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499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BA18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E1D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3E25DC9">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E09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213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2F3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沈灶小街大桥西侧十字路口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D45A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120.5104634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7F5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32.95123775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D600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81F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FF8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A180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9C3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B74E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A067E0C">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BF2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61C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D6D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顾灶二川河桥北首</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E87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120.5195993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403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32.9588929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D439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F5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EFD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05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410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9BC2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6C715EA">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C0E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A73B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7F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顾灶村一九十中心路路口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6F1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120.5256168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BA8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32.95246918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D97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8F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60F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7F6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E7AE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B09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2549E96">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EDB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AD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150C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顾灶村陈文军桥东十字路口向南丁字路口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734C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120.522822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54F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32.93742791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0E9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38B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A5F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C269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AAB6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DCD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4D1A1A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42F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6F5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D8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顾灶村六组西南丁字路口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252D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120.5280501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F61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32.93410686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96FB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3A4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B00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23FE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BBB9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609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312755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207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CBEF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71F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头富线交殷灶村十字路口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86C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120.5548038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4C3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32.95469753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33A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364E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E6A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3ED5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44C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4E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2A4A212C">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814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376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0C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殷灶村部西侧十字路口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2B2E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120.5639906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947D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32.95542105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71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33F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446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3A9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7EB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AB58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4A876C6">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57F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AF30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6F3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殷灶村三组丁永杰</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BC5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120.5641509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03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32.9509207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70DC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FA8F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E37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4A9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078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F2DE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485D563">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450F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08F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AE4C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殷灶村七川河北方大线入口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0CF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120.5636623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92E9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32.9658848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9FB9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1E8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FAD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402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3C12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E4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833E1A9">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BC2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DFF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D5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殷灶村五组十字路口向南路口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C6B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120.5791531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11A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32.96133465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8295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840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BA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99B9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8E1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5CE2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32E8273">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DD5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79D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AA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殷灶村五组王金用门口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A394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120.5840464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5284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32.96173648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A22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CB8F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CC0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835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201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83E3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7D13D5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45E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D1D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C2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殷灶村一组朱桂英门口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B2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120.5464244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717E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32.94508014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EF5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1DED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C1E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1069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E01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C7C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1A9EC2C">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EE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37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7A1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殷灶线一组姚文近</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71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120.5537896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B2C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32.94605506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3A6E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1A50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05D9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5137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F9B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93E9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246475B">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9B7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898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090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殷灶村一组陆增银</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E55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120.5471579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534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32.95420913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B492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C12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E136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392B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CFA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D71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E825486">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51D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14F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1AE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殷灶村五组王庆桂后</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C50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120.5835564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297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32.96614527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73D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D91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9F5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F1C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55EE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6FD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5A44B2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62E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EB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D4F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顾灶村一组六川村交界</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1AD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120.5304993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997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32.9650114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C9D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72B9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007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6ECA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FFD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A2CF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1125D9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13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A8E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F4D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西灶村部门口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6238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120.4910302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3A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32.94358166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AB6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752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E38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5467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F75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51A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90D490A">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0A68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DC4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530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西灶四组陈亚芳西侧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9AF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120.480988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C33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32.928229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5001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05C6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CE8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B18B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C7D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28D7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A1A359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2B4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3C9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84D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沈灶村部</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68B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120.5187106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D59B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32.9519277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C5E1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56AC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7DF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A31E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EEF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4D8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8BE0E24">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2E9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20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0D6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沈灶同盛医院</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7128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120.5131745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130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32.95073031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DFA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B3B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17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161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A3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C52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B4D35E3">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672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ED5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15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沈灶村川港村交界（闸西）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16C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120.5201268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D2D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32.92957978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76C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A1D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8E2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9738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791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EFB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59E55A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235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6C4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E1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沈灶垃圾中转站</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873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120.5147731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0FF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32.956375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7DA6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8329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A38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05B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ECD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D90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801C305">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A31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77A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B28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顾灶村三组益凯商店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CE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120.5318978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9C2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32.94351306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D718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0F6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14C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20D1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8AD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14E8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2558D6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F19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55B7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B4AA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顾灶村村部门口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3D6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120.5286596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C632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32.95279241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80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71CD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A6E2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FDE0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8656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B5EC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C826B07">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0B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371A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4E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派出所门外</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5404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120.3138596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8C8E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33.06535336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F1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84F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D960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20D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016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5F7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壁装</w:t>
            </w:r>
          </w:p>
        </w:tc>
      </w:tr>
      <w:tr w14:paraId="2655351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D6B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F28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04F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新村路15号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8EA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120.3141077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52F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33.06264687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EC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DD9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BB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AA5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ED6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D26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004F585">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1A2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63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B9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白驹中路南头</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334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120.3170251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C5AC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33.06549414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0DC8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986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CAB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B84D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A63E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D6C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5D45D5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8D3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7DE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D569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宇鹏烟酒</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B9B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120.3135487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5E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33.07132405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D97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E62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22F4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7BA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FDED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BB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C595D38">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4CD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2483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69A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晋城陶瓷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930D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120.3134956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F320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33.07132996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13D2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BCD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E28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E0E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372B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F2A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D58CB33">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76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AB27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62A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泰来洗车</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CF3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120.3163438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8C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33.07298622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E25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50F2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F79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EAB6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6090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1B1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EC0E303">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A16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33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A16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盛世名城南门</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8449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120.315045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2BBB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33.07294686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D960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04A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A942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34A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F88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84E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墙装</w:t>
            </w:r>
          </w:p>
        </w:tc>
      </w:tr>
      <w:tr w14:paraId="0AC9D224">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F035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88F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8A3D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别墅区狮子口桥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864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120.3102184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AB6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33.07381201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3D18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298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2C89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452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0E20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49D8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1158153">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10C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830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39C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狮子口双龙河桥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E71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120.3070127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C05E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33.07941758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0B1B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8ECA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03C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CD8B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61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F9AD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9CFF29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5B4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0FC2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800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狮子口富强路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5A9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120.3037642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884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33.08446188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66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5AB7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F23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E18A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E6E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A77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9929F3D">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452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03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3D3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西排河</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FA0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120.3373572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BCB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33.01574225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E2D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D33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D8D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0F5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80B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5BE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D47E6A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402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F0E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CE71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葛吉权东头</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576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120.3316178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179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33.03499188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6DF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B42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C2B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DDD1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C570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5BE2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4580CFF">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6E34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68B5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FAF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施二水产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089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120.3296553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096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33.04136265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AF92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983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782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57F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A79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8EAF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EB94CA0">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C6B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CA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2BED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新起点门口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2E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120.3125214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6249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33.06150326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652F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3C5B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B36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8C84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B49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F5A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F01FA1F">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E11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9980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B6C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仰光理发店北侧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0D2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120.3120952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C64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33.06544231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FC57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F2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35B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60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BAD0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1B5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0167B6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A4A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5924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463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派出所西侧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D77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120.3136493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8169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33.06525692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AFAF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DDF8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5E7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657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46A2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FC7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E49EF18">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A9D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98A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9667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上农早餐门口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4038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120.3137315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54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33.06612067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0FA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D39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E69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9C40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CAAB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4D4D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8FEBF58">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2E6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1DB5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C7B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强富水果门口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C1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120.3118614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1BE0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33.07170135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DF3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EF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BED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AC3E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38B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470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872F1CA">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71B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8DD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62B0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双勇玩具北侧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F0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120.3105459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560E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33.00919484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5F1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746A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DF00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34BB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4237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13DC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933D74B">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292B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576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925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丰盛加油站北侧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61D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120.3106125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AF8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33.02589872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F7D2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D25C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64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F73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1D72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908F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C6D1790">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475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CFD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6F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新江河桥北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E9A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120.3358123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31B8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33.02172752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8276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82E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BBB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F223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3BBA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362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5249DFA">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49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2209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788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沿堤一号农庄点</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C068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120.3118413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8A7F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33.03794937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248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B0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790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8BA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3FA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6000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24BF0C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4FE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A20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27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韦龙家东头路口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0B6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120.314729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2CE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33.07868237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5346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6AB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09C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F88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39BC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E4E6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3C4E9BB">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869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E29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748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白狮线交东环路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F7BD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120.3118467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BBE3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33.08623164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3E9A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9FB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CC2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A4FF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F139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C6E8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E93277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244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E442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A67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沿堤村一组156号河北侧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10A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120.3101942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756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33.01780659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91E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AE6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EA0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EFC6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CC2E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2AE9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0CEFB26">
        <w:tblPrEx>
          <w:tblCellMar>
            <w:top w:w="0" w:type="dxa"/>
            <w:left w:w="108" w:type="dxa"/>
            <w:bottom w:w="0" w:type="dxa"/>
            <w:right w:w="108" w:type="dxa"/>
          </w:tblCellMar>
        </w:tblPrEx>
        <w:trPr>
          <w:trHeight w:val="146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BDB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834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33B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驾校北侧村庄（沿堤村二组113号）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77E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120.31243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5F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33.03173146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6AC2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86CC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93F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0754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B938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E7B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16B99D6">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493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3FF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2C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二桥南边村庄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059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120.3126396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E4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33.0324294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5BB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D52B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443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C30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2C6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D9BD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60AB01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8679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2B7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C55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狮子口牌坊</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06F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120.3036734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6F84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33.07466326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94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8F7D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C467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812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B977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CF40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DB9EF0C">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EC3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FD1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AA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韦荣广西南头（铁路道口）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3A2C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120.30593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E54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33.08425671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1D2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995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21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714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5821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5BB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F7E83D8">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A49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E71F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2C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沿堤村村部门口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80E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120.3104794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07A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33.02436953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484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A39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C79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EA8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DF4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B42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BE24D54">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EE6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C62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F17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狮子口村村部门口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FF7C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120.2974442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6E3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33.07850422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CEF1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33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BCD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4993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FE6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BCC1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4CE191C">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D816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6C1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7F0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白狮线与国道口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1E6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120.2961342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57F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33.08048147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916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A9B8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1556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EE0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CD3A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BC5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D4F766C">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C92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2FE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7B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国道边秀云商店北侧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A1C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120.2958336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F12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33.08136265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C0E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797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1FD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47D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679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1A1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624B5E1">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EF5A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4AAB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1B0D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东联村五组37号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295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120.2745655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D7A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33.20089676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EB74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8D81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E90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180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404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11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476BBBD">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8C5A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154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E36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江苏省东联六中沟十字路口向南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9D7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120.2763868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1D9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33.19801693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FC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D5EE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9C6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B557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DE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A86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EAC28A4">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C79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3F5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6EC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东联与建成交界三岔路口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90B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120.2805406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44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33.19140305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F8FA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F64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AA3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867A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73E5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3297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100B4B4">
        <w:tblPrEx>
          <w:tblCellMar>
            <w:top w:w="0" w:type="dxa"/>
            <w:left w:w="108" w:type="dxa"/>
            <w:bottom w:w="0" w:type="dxa"/>
            <w:right w:w="108" w:type="dxa"/>
          </w:tblCellMar>
        </w:tblPrEx>
        <w:trPr>
          <w:trHeight w:val="146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73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B6A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29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东联村联众桥东侧十字路路口向北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5DE2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120.2875211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32C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33.20380638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9739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61D0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AF0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BA80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338C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DF8B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CEFCB55">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B13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11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AFCA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东联村东联小桥桥西向北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A28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120.2919762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CB9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33.19628308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9E1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F68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16D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BA8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5FB0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BC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7CE8C53">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68F6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CF8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8AA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东联村智家舍西侧十字路口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7E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120.3018091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A9E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33.20429095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84E7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5F4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CB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CFC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FC41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329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B7C1336">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B09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8B5E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FBAA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圩东大桥西侧向北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A8F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120.3076126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EDD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33.20508597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7D9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8F2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9F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F619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5C90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445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55E98B6">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834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DA2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B55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民主村五组与民主三组十字路口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5F1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120.2777287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1FE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33.13653477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ADA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AF2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36D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519A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1789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79EE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F5B70CA">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50CD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092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298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民主长志批发部向南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08E0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120.2845156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8A5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33.14090579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8E82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1DD6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B9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82CE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853E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DD11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D8C8D7F">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E00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0810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35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三圩线民主村一组向西（三组97号）</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F69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120.2942277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5D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33.14175406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979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FDFC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C78A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AAE3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76A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D73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ED9604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798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B8F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613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胜利六组北线向北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A6D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120.2206028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8A30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33.16205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FE4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2181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E7D5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EAB2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80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E24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C7E8F30">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CF3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8530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8790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胜利中心路向西季家河三岔路口向西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D0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120.2280735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C6A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33.14957686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1E3F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A1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94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A1D0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41B5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C32D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4909C39">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16FB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D4D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628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胜利村二组十字路口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422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120.2393347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B95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33.15320759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477A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8945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6BB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8DC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A868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186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B4DAE5F">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8101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C97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09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胜利村一组与协力六组十字路口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31C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120.2405841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809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33.14490579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0D3A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BFA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C20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038C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581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FC47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4E735C9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B13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CC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05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民主村村部西侧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1E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120.2706198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B1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33.14524236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8570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8C64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A61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344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DA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E4CF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669A8AA">
        <w:tblPrEx>
          <w:tblCellMar>
            <w:top w:w="0" w:type="dxa"/>
            <w:left w:w="108" w:type="dxa"/>
            <w:bottom w:w="0" w:type="dxa"/>
            <w:right w:w="108" w:type="dxa"/>
          </w:tblCellMar>
        </w:tblPrEx>
        <w:trPr>
          <w:trHeight w:val="146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C3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93A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248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民主村五组南侧三岔路口北侧桥西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313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120.271284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ED4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33.13410437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4ADC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BCC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63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51B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8724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23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5ABB6D9">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2EC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C2A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2D3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民主村八组润金线五排河桥西侧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85C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120.2587093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029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33.14805579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46EA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498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44F6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B17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9B26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ED12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92172E4">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70AD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5CF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670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胜利村润民村交界桥西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6021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120.2438752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6C8F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33.15988612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DB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B6CC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1F3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331E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4DA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B7C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59A1CE8">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22C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25B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9C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胜利一组庄从喜路西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E945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120.2477097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43B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33.1378262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B6FE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17AD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AB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7B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6632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6F08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0C553C7">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8B1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D42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ADF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东联五组六中沟桥西侧（史家鸠子）</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676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120.2769498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A6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33.19626818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C09C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7547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4FE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8E42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5D8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CE6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0C445D3">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8259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DDBA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80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东联串场河斗龙港交界处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C89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120.3012163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58E4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33.22137678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B1B2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117E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0FF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D686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FE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9C7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61DEE1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DC0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3A0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D45A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东联村部北第二路口向东</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CD9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120.2806419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685C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33.1978167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66DB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49EA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9FFB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6D5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672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36EA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DCB1C0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C535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866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A4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一组兴龙河桥北（东侧）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953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120.4663731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271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33.44440339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BF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4B9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96F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B5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F534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E0C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FB5BFE6">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E20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42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88D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一组徐长春处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EE48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120.4607131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2EE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33.43900781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18A8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22C5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694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C787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F84E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3489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958B6D4">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C59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514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03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一组周正春处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43C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120.4675111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BF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33.4537524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DC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DD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4E8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A703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5368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5275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5ADE9E4">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817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98E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E96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二组张泽琪处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881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120.4442618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0A7A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33.45107708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17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FC67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5E2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5841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7733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9A04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D8B302F">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1A6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913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F75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五组张玉胜处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E55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120.4380776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2EF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33.4556727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DD0E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F2E0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3145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092F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D2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E14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FEE601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FD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632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2AA4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五组刘爱国处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05BE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120.4442528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8FEF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33.46100611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4619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BC50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FA8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456B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BB25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88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0D65D5F">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E596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E493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BB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五组西朝河南侧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B6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120.4330592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D0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33.45959201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7E1F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C2C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B9D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3F0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065B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C50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B88CC39">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1E7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606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B3E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环乡路东 李开军处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02C3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120.4517774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2BFC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33.46636238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B55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00F0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11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5446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6BBC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9DCB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D09C8D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4ACD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102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38D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三组李开罗桥西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60F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120.4490288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D1B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33.44675126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E2E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BC2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94E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3561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C16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BEAE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6B8CD59">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CBB1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E78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E2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四组刘成书门口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62E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120.4566101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783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33.46230587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D7E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9C88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4E3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454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4B77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2C9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F9D8C7B">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47FB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0748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209F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S226持久村五组入口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CF7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120.4471531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5F5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33.47018162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23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5E0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48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F8EA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6E19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420C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1E2A3E96">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369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AFB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BA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持久村委会</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400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120.4540151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4D6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33.45329317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972A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91F9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CC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038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73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A7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63AB796">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EBE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7D5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E966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二组蔡开岭处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C0B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120.4614432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5C4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33.44818569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03D9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D5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B12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8E3E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D980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062D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F9DB9B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850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C30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CF4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增产村增产线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53A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120.4118856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F008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33.433463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B09A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075D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75ED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E22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8B4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4F6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7A7325A">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2EE9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3CD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E3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杨寿明双益河东</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29F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120.4069535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166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33.43868719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88D6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9B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232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FC0A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9A4F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038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DD50BDE">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F6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E50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2A0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增产一组一排河南丁寿祖门口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A93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120.4134031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EA9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33.44198908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2AD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5B1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89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221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104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566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7630912">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7D7E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EA3F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94F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增产村中心河环乡路久丰交界处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477C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120.4240607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1B59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33.44242285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687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031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498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788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9B0A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1B0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4C64EB6">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0F8E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94B5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05C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增产村四组周树林处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ADF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120.4218909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6F0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33.42280407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E956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DCDF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430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B93E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EB0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BF17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DC863B5">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9F6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758F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171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北岔港与新丰交接界郭征新处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8CE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120.4081844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864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33.41395005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D648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3D54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37C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0E7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583C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12C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C47229F">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C4B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BDF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FF34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增方线三组与新丰镇交界处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9F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120.4076593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27A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33.42996062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71C0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521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855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59E3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BD7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7C7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6168AA00">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56A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991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349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增产村四组严克栋南侧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6F7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120.4213013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D649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33.42918384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EBA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909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DE74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79A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50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678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3D80D5E">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EA3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759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A7F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增产村五组朱国萍西侧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86C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120.4105216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73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33.42215225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B18D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FD47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31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ACD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A09B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9ECC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E0FB525">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E9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D11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A2E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增产村一组高春培东侧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8F4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120.4166861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9ED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33.44449177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9622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8358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5A0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CC99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09F6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3E6A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C270321">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1D0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11A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58B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增产村四组祁金勇东侧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4B4E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120.4280529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6C2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33.43339924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9A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EB6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2D4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D18E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2D2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A752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F8660BF">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0F79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D02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C62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增产村四组丁正良东侧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6B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120.4345237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A50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33.42984369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F17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65B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32D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54E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2FD2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C14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E3F8BC5">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D46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E33E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F2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洋桥村四组梁正明东侧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694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120.4692232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BC4E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33.46455958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B8A1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29C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A57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A8DB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C74E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5C93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695F3F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687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51E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4E7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洋桥村五组李正山西侧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506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120.4618683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37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33.46971976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F07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B875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A803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D40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9616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747C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AEBA62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1A0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262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55B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洋桥村六组陈广龙东侧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4F0A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120.4561634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54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33.47407437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489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DECC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298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7A77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D5E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054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24DB8638">
        <w:tblPrEx>
          <w:tblCellMar>
            <w:top w:w="0" w:type="dxa"/>
            <w:left w:w="108" w:type="dxa"/>
            <w:bottom w:w="0" w:type="dxa"/>
            <w:right w:w="108" w:type="dxa"/>
          </w:tblCellMar>
        </w:tblPrEx>
        <w:trPr>
          <w:trHeight w:val="146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0ED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8F5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463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洋桥村四组黄林才门口西侧陈李线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E1D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120.4625212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7D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33.45833959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E4E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B25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649E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F12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285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84C9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037768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DD17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4A4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16F9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洋桥村一组黄海兵南侧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DA4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120.4823761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44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33.45447504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8C2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1E8A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4B39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84D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2C84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5838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F97BA5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941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D880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3C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洋桥村一组丰富中学南侧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BE1D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120.4760394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D94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33.44858384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925A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B640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2B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BA7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7E22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CDF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F1EA3B0">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2C4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E31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E63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洋桥村一组沈玉兰北侧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FE8C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120.4867073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087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33.45127949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6DB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0AB0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DDC1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240D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D7A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E05A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40B2FA1">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7B0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B4AB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84F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杨桥村三组唐春亚门口村部</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927E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120.4760553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75D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33.45918317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1CE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640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EE2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E07C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5470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0D1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51ADF09">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380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755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26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洋桥村一组翟中校门口东侧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7E1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120.4784837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AC2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33.45211303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F80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5A98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7DA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AD6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32A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80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CFABA04">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A7E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3A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BF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洋桥村三组于福华西侧陈李线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44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120.4697254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137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33.45340964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1082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3B1D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15F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6CB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E21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106B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09060468">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EB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DF7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798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和平村九组蔡忠仁门口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B51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120.4684388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589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33.48442224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669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5BD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0FBA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7548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0AD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FB77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3B1CE2C">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E707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147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AC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和平村一组徐金连屋后</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2B4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120.4808641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239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33.48743388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096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0B7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B19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AB0D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360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1562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6623A2F">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0E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C549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A59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和平村六组丁金富处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F71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120.4971008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BB1B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33.46943901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F466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007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F6D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9C3E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C12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DAC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9EF12B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77C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ECF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56AE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和平村六组与方强农场交界</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9F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120.5009306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FBF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33.47260547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14C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C88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0CC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7C1A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854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F031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9EC4286">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6C69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592A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2D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和平村五组袁正方</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687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120.4821614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C900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33.46594272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98D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CC9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2C3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A15C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BE6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06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007D047">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EB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2FEF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891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和平村一组农场河桥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CA2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120.4781901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705A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33.48931469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3915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576F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961D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E4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D0ED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DCA4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457004C">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682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D04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85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和平村村部入口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2FD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120.4862887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7AD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33.4709968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5F7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7E0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2C6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C58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C7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17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D95A924">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0925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D73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E34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和平村六组赵金阳</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E4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120.5025755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FD9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33.46534769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2E3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97F6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9E64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F1B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CC52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864B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38F5E6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D7F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E4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F29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和平村六组张炳华</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CB4B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120.4951589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482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33.45874334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2B4B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97E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923A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1593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7EAE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A14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2D67E04">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23B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FD49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ED7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五丰村五丰河与北排河交界处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9EF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120.3964089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AE7C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33.39972173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AD0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342F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191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3C3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579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031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3486ACF">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37C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9DB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3B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五丰老卫生室</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28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120.3995222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F73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33.39604093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BD2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E49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516A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922E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A2A9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DA9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EDC1E70">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56B1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2DA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CF0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方五线与四清路交界处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FBDE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120.4061283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E7C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33.40040163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D0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17B7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D260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0DD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F585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C078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DAD1031">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270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95AF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F2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增产河灌溉站20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29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120.4153878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8EF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33.40471758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E997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595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A74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AAC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AD2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93A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638168D">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A55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426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8A3C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团结河</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4322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120.4164521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40D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33.39885894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D8E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841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5B7A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E1C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7CB6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DB7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55DD1C2">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4CEF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EFD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698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四清路东柏青爱商店斜对面</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F91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120.4104481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F5B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33.39488137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B677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3518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6AF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991B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02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F52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E767302">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870D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ADB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96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团结线92-34#杆南侧十字路口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7E0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120.3910568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25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33.38206378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3FD6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A64E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F9F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3D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F36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5C4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4AC3D41">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7E9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32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C68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幸福河与团结线北30m交界处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B3D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120.3824819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84E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33.37693166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E639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82D4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039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B034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769B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2232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B0118A3">
        <w:tblPrEx>
          <w:tblCellMar>
            <w:top w:w="0" w:type="dxa"/>
            <w:left w:w="108" w:type="dxa"/>
            <w:bottom w:w="0" w:type="dxa"/>
            <w:right w:w="108" w:type="dxa"/>
          </w:tblCellMar>
        </w:tblPrEx>
        <w:trPr>
          <w:trHeight w:val="7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F27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74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EE9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幸福河162#杆</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7E4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120.3795036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F98D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33.38304002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57E1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3A46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0427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44E1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BF0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8570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6779277">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91D4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6C2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B3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幸福河东路尽头大桥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E106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120.4186177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6BA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33.30187152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6A3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858C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CFE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18AA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3040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F2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8278F6F">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AD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B21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5D9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三总沟河北丰东公司</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496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120.396533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20C2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33.30480974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3EA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3EF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CE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66B6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D4E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A85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75551D4">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39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93E9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20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一总沟河北齐巨港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3C9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120.4087424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407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33.29997314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F9A1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9F7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0EB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B469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C4B8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CED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3DCE655">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DF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95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9C7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五总沟东段与安龙交界处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770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120.419143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A87E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33.32237197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BF1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D50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9AF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2EFC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9D9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8CD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35BCED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549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79E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B1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南北大通道与七总沟交界处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44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120.3895946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DB6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33.31928257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700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3A93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51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AB8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0084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19D6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8FA0972">
        <w:tblPrEx>
          <w:tblCellMar>
            <w:top w:w="0" w:type="dxa"/>
            <w:left w:w="108" w:type="dxa"/>
            <w:bottom w:w="0" w:type="dxa"/>
            <w:right w:w="108" w:type="dxa"/>
          </w:tblCellMar>
        </w:tblPrEx>
        <w:trPr>
          <w:trHeight w:val="2017"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A3B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4EE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962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齐贤三组南北中心路与十二总河北水泥路交界处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662E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120.3736379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3C8D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33.3399669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E0F2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B2B8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9BDC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D58A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E3FA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029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196D81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D38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04D8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39C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齐贤村部</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391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120.38576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9C5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33.33883338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DEFF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2BCA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7FB3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51A8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0FB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DE6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268B255">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CBF3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2F5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D4B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十二总河北水泥路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AA2B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120.3777569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06F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33.33601153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EB2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EC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A8F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83F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7CD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62C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F0DEF5D">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F1B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FC7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2B0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老204国道东复何东冈华线251-1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DC4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120.3094231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DECB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33.19159136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26E0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BC50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B6A3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CB4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A9A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78A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84D1796">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3DE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57F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F4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小团一组水泥路10kv小团线120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8F7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120.3089944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00D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33.19003556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0A70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500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50E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EB3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5A66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C64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3057F83">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4B1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349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04F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小团一组一总沟桥北侧第一根电线杆</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83F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120.3173041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81D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33.19120799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7CF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33C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DA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E8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8FA5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BB5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3671F3E5">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57D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76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30E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小团四总沟桥北侧电线杆</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4DB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120.3176494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9D0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33.19986856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853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C80E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864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F825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B8E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7B55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08D5E17">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2CBC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72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719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小团三组30号西侧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926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120.3139062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F94B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33.20242957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CC6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66ED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9D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E2E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7F4A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613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591CE00">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8999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29E1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ED6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小团七总沟桥北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CBE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120.3165357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C44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33.21047976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CBF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260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EB5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4630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0155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917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D994584">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55B9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2F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77D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小团七总沟东3米闸北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B834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120.3232731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FF8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33.21401258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BB42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06A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64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6E16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A62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FC8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DEDC6C1">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C7D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263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78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三组119号西侧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7130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120.3085728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A1BB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33.21132939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F60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56FB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3E5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E2E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932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1E4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6E92345">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56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E51B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5D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九总沟桥北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BA2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120.3132958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EE62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33.21837332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F03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A5C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523F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916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ADC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27A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9E2495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044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1FA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D69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四组27号东南侧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878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120.3012706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27A7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33.22871832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FE9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1A06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AE3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F8D5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4BA1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315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DEB4004">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223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F58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F93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四组158号西南侧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713C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120.2932177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3B1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33.22985248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24E0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026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7AC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941E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B79A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60B5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374621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B1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A04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4C3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四组193号西侧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8F8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120.2919919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78B7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33.23279082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33C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BF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147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3D62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43A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269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B71CC84">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4092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9AB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6E7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二组119号北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614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120.3062664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0B9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33.21751474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54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787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4FC5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B63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970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644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F86796C">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C2D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83D2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AAF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宗义兰超市东</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E53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120.3211052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89A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33.2289536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FB31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ED61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432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7DC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8C6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3E6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1B2D7D3">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E5E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4A90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A1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二组22号前</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0C9B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120.3247921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900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33.23182343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EDD0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F704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C3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1CBD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F16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88A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930358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54D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2F7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18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一组26号西侧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2A0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120.3166137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D717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33.24207911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3FFA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EDBD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348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0308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F6A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A501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96545A3">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A836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790D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18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五组高铁494号墩东南侧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6389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120.2955123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28D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33.23603274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6C7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B50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2D1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4D32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CC8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D06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862865F">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8130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C8F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265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水文站</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5441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120.303323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C377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33.24014115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D6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E156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DEF5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363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DD4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5B56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44A44D2">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E69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6E2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779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四组二中沟桥北侧桥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DB0C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120.2997693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BF7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33.23290984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94A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C3AB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95F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8AA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6E8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3DA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4935BA9">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646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4AF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8A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小团中心路与小区北侧水泥路交界处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EE1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120.308538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698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33.22509363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A283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8AEC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CFEE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50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C7D5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3B2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5B7AC94">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C589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EBE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127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三组一号东</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2DE2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120.3108123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9CB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33.22842374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535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EAD8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F63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E4DC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B4D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526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99D0ED0">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11E0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5E3B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54F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小区西南面</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130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120.310175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7012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33.2232992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8C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AF1E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C4C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42A8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F47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CE6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A94F58A">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0DB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C5E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8CA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小区中间大路右侧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795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120.3110373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10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33.2243614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258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7934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56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87C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A32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57A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C51C6A5">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EF5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380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4A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庄西河水闸西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AF87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120.3101403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1B4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33.23804902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B99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267B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06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221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0A1D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56F8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8B1C0C8">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69A7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9C4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D85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六组庄西桥西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AB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120.3071748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640B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33.24171344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8F6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A04E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22EE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4271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5AA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3AC0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8A3694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FC3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289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679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98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六组东边闸口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C59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120.3191365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98E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33.25394855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A412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9907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6D7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B99F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3A7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32DB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702EA47">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7CC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CB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773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七组30号路东</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CB7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120.3161922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C7D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33.25359996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D29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099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380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B4E7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E5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7169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29E3197">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CF91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97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C9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七组57号右后侧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505F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120.310591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52F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33.25030791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01AA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37E1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768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DA13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FD1C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07FC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782E78D">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EA8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2B3F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2EC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小团一组163号路南电线杆</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ADD0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120.3175659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FBA8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33.19459021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7E6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E9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03F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A560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AEE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461E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1D7B10D">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0A6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CF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2F5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Z01县道与小团二线交界处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2F4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120.3100544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CBC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33.19311362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70C5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7E6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994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B5C4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DD37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5A3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01F3F3C">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EE3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16F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F5C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齐巨港桥与三新线交界</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38C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120.3902766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696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33.32985422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CB6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5F2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5829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904C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BFA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AC5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C17341E">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72A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8D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D66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226省道旁</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188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120.408428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457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33.31757796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2F3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A890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FDB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981B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47E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17EE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75B8F96">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343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DDA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1BC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十二总河北水泥路与226省道东侧交界处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6FE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120.3945839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19E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33.3478903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643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A79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0F97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04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8D33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2BB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E879367">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65F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8BD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51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斗沙线东幸福河南排水站水泥路东80米</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08B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120.3935009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60F3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33.35593315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6ACD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64D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CEF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BD3B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541C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D546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859254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D10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C7F3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5DE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226省道东侧长坍村入口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A8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120.3901316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ED4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33.35672003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D49E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207B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5EA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21AB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2E13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C99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1DDDA92">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71A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299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1B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8EE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226省道东与五龙河北水泥路交界处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3EE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120.38974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5259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33.35775985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DD0A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F06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310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B7F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731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FB8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583842F">
        <w:tblPrEx>
          <w:tblCellMar>
            <w:top w:w="0" w:type="dxa"/>
            <w:left w:w="108" w:type="dxa"/>
            <w:bottom w:w="0" w:type="dxa"/>
            <w:right w:w="108" w:type="dxa"/>
          </w:tblCellMar>
        </w:tblPrEx>
        <w:trPr>
          <w:trHeight w:val="2017"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92C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79C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AC2B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226省道东侧与咸忠娟超市南侧水泥路交界处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AE0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120.3870627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1C7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33.36299847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0C8D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199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410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F4D7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99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97B4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FDF092A">
        <w:tblPrEx>
          <w:tblCellMar>
            <w:top w:w="0" w:type="dxa"/>
            <w:left w:w="108" w:type="dxa"/>
            <w:bottom w:w="0" w:type="dxa"/>
            <w:right w:w="108" w:type="dxa"/>
          </w:tblCellMar>
        </w:tblPrEx>
        <w:trPr>
          <w:trHeight w:val="2017"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B00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1E5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FC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226省道西侧与咸忠娟超市南侧水泥路交界处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6F2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120.3867783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8BB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33.36276064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0EBA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9AF2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63B5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DE71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351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327B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969EFE5">
        <w:tblPrEx>
          <w:tblCellMar>
            <w:top w:w="0" w:type="dxa"/>
            <w:left w:w="108" w:type="dxa"/>
            <w:bottom w:w="0" w:type="dxa"/>
            <w:right w:w="108" w:type="dxa"/>
          </w:tblCellMar>
        </w:tblPrEx>
        <w:trPr>
          <w:trHeight w:val="2017"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DED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40D3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BF8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226省道东侧331南侧50米水泥路交界处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859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120.3848735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6D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33.36756454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843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E920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B50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51F8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F0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4D1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027CED3">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651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7B4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10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331省道南侧幸福河西水泥路交界处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A1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120.3860328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18F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33.36812142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D1C0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B700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FA1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836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3904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2FB5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C75D2E7">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C6C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7E7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AE7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幸福河西与331北水泥路入口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D1C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120.3856036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FA6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33.36935824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1D57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2D2C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3E4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890C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50D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FB6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5B460E0">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9B3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0D2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252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长丹村齐贤村交界南直河西头</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D0A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120.3830467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EA1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33.34676057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C7D5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FDC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67B3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2CB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8C25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C86B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9000C72">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F53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08F4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F5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226省道西侧与南直河北侧交界水泥路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7A9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120.3916764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3F7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33.35211215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61A5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47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3D2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269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18E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984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A3646B8">
        <w:tblPrEx>
          <w:tblCellMar>
            <w:top w:w="0" w:type="dxa"/>
            <w:left w:w="108" w:type="dxa"/>
            <w:bottom w:w="0" w:type="dxa"/>
            <w:right w:w="108" w:type="dxa"/>
          </w:tblCellMar>
        </w:tblPrEx>
        <w:trPr>
          <w:trHeight w:val="2017"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A8A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35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E05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斗沙线东侧与五星河南50米交界处水泥路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0D1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120.3888874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2E3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33.36412513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504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470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8E9D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C9D2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BE7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856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FF3142E">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2134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B67D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CE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斗沙线东与方腰线交界处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C21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120.3851101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46D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33.37177835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37E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1AF8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B63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AC29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96E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539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E3B558E">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57A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145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CA1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长坍一组中心路桥十字路口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2F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120.4007772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F42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33.38396114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F8AD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2830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5B4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6F8A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45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3D2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B0C4012">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72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A047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38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五丰河与方腰线交界处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1BA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120.405732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8C20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33.38364828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650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817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022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4D9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C90E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4D82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C064372">
        <w:tblPrEx>
          <w:tblCellMar>
            <w:top w:w="0" w:type="dxa"/>
            <w:left w:w="108" w:type="dxa"/>
            <w:bottom w:w="0" w:type="dxa"/>
            <w:right w:w="108" w:type="dxa"/>
          </w:tblCellMar>
        </w:tblPrEx>
        <w:trPr>
          <w:trHeight w:val="2017"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3EC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885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577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331省道东与五丰河西100米水泥路交界处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AE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120.4069059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641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33.37984321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9AB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3E45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2FB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140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1FD9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75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B98C772">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A39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6C6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935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方长线与五星河北50米交界处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BAB8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120.3979869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91D4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33.37074686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3122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EB9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26E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CB8F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B31D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F79C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3257B0C">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C9B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651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35BD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斗沙线北50m与五丰河交界处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678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120.4159205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1D3C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33.36638998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A08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2C06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406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1956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E1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FBB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76F2E5B">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968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AA7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250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长坍村14号路向北30m与斗沙线交界处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8255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120.4006031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2C5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33.35732606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4634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E83D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E75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B17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448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318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828152A">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B8A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F0A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89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长坍三组排涝站</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40DC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120.3803114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C65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33.37035716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92E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446B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659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2E0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6733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45AA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CA39EA5">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D15B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7CD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EB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长坍村村部内</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F38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120.3972566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5B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33.36187073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BB22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4FB2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57C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54F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0C63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40D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村外路上</w:t>
            </w:r>
          </w:p>
        </w:tc>
      </w:tr>
      <w:tr w14:paraId="2FD64188">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CC1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26C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AE2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五丰村中沟111#杆</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9E2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120.389244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D09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33.39053412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A8F6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A79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DFE1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9A41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8143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3CA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D3C0907">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F585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330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E8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五星河北50m与十六号河沟交界</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D041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120.4057366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0753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33.37525347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975A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1510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8D6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9836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C1AA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B36B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E5CD5F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F3A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2BF0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19C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五丰村委会</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8B9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120.3934034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745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33.40285982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8C40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6D1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9B70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0DB8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253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5517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72BA840">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E7A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A329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CF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四组孙保秀墩东南，东西路南桥西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E6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120.396238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58E6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33.4185006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4FA6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D284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835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01C1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5F2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279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42C0A00">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67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7A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35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引水村一组陈树标门前</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D87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120.3736901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821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33.40850455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5BA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8AE9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F48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6F8B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B4DD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8F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0E3BDC3">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BA5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1D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10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九组申树兵门前</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B38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120.3664835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405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33.40664864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551A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7D48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24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1CA7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E7B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061E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510F40C">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588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90D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7D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圩中村一组张金国东侧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6A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120.3707664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E13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33.38017506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E60A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C556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EE5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D36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72C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97D7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BE980CC">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01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D55C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995C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圩中村六组刘月楼南第二个路口s226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D0E4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120.3687155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0ED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33.38382493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F998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26C9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D241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F0E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27F5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346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799B208">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316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7EE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02C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圩中村一组s226路东陈友生东南侧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4EA7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120.3762431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1F0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33.37986388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C0A9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3660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419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F0CD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0B3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66F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335980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5E2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249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5F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圩中村六组唐建洲门口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62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120.3644838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297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33.38666008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6580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F24E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C9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86F5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CC6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15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17A026F">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D545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BA26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0CD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圩中村一组最西头开发区交界处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5D8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120.3669911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88B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33.3787041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E314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2E1D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517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F6C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65CF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942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1B4CCAF2">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4D8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7D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FE8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圩中村二组夏桂喜西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8CD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120.3768398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CA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33.38847852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331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B96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0EAE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865F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89A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46D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38A874A">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85F6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F24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9CFB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圩中村八组李绍育门前</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1DF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120.3573631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386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33.40330958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2173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0B4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DEC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A2A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9438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309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70ED150">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B6D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4CB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C7B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圩中村八组倪翠霞西侧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E2F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120.3550957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1AB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33.39839025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48E7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5AC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30F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CFC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F0E9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C0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A3279AE">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8C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A56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E0BC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圩中村九组陈广风家西侧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9484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120.3664731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E4E7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33.40966843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AD22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68E6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A2C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FD2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3E88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C50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9B1C903">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546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9CE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8C61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圩中村村部</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498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120.3710201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4AC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33.39343649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0FC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2117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9FD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2CA5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5E94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379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677D3C32">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E1C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33C6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41E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九组陈国清西丁字口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F90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120.3758275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D0C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33.41362816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F548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9BA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D8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8018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3F1E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04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E277DF3">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8B2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1B0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460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增产村九组跨增产河西端北桥</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A62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120.3941838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919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33.42917576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8E40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3A8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702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88FC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1962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281E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AA024CD">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043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D064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3E8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三组王宪东墩西南丁字路口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7A3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120.3916939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B9E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33.42411253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7B82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ADFE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0B99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1183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6BD0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CA7F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8866BF1">
        <w:tblPrEx>
          <w:tblCellMar>
            <w:top w:w="0" w:type="dxa"/>
            <w:left w:w="108" w:type="dxa"/>
            <w:bottom w:w="0" w:type="dxa"/>
            <w:right w:w="108" w:type="dxa"/>
          </w:tblCellMar>
        </w:tblPrEx>
        <w:trPr>
          <w:trHeight w:val="2017"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2A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59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4CE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五组祁海墩西南，四青路西，东西路沟南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57A3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120.3953303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2EC8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33.41294188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D3E0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47C8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755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510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41F3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D548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2B80A96">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A1C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4D5B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3C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六组陈岗墩西北处，五组南庄路沟南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345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120.3999213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6914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33.40762116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CA95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28A2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DA1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30C7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E60F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2BA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D7902B2">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0F48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6CF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BE2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八组张长高门口东西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E008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120.364992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8F7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33.40520228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FF8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D024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397A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13B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50E9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9465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E49CB58">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E38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082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301A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五组申长春门口东西路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A281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120.3682711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DDE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33.39938791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5F7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612A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3794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BE3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1090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C341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E7B72CE">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C4A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A83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AC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三组李泽勤门口十字路口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B1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120.3737961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458E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33.39444466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EF7E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4CEA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829B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7F3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78C0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A7C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0347953">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A5E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9DA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3F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三组刘成明商店东侧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17B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120.3842569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C3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33.39849951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9D2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4CD4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ABD3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3314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3C1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1F7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778137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31C7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BE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7BF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三组刘顺门口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F25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120.3926649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8CF0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33.40172582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F968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69E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E213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847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AB0B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32E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8C75918">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75D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B82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068A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七组李树科西侧 东西路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2E2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120.3554957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5D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33.39465907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5F89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57E3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38B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5B1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49B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C75B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61B4DD9">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DEB2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88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3C25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一组陈友生南侧路口西侧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9AB6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120.3757104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A63B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33.37936054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383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73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8BB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6F9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378C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AC2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8D7E07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CC6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BC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E1B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六组刘月楼东南 南北路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6980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120.3679774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912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33.38411094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70DF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4C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A5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38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5C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96B5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9AFA270">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A4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8DD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8CD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六组 蔡学中门口东西路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7D5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120.3689764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392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33.38420742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FC30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1EC8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87F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3EAF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DE4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8E5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693329F6">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33B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021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93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六组 孙五 屋后桥西侧  南北路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189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120.3674479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76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33.38506972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32A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7E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E6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1E0F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4281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329A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55C646D">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08B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DD7E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81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七组 李维红屋后 东西路</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AB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120.3597511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2B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33.39048787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CD9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B7C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A10E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E955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953B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780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0A7757F9">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F0B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7500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373F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七组陈玉英墩后，东西路南，南北路西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CAE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120.3871612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499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33.40932601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A7AD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00D4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3D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16CE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978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147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9380726">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D9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350</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31E9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FC9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五组周宏林南，南北路东，林带河北</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D6D0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120.4012394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8A57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33.41269059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240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0087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1E6B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ED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310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F11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8CB67FE">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36A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7222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75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四组申金勇墩后，南庄最东端电线杆</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1A2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120.4014828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3591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33.41749224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5DE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ABAE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E0B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8FEC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CB7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45F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2EEA5B3">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4B79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F7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0C5A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三组严加云墩北，南北路东</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866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120.389628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CD9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33.41985663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87E1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7CFB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7A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4BE3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AEF9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EB2B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3EA667C">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9A94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353</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921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33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二组张凤关门口桥南路东侧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178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120.3849844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BC7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33.42108948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109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24A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8B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7B1F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99B2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F50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2F37970">
        <w:tblPrEx>
          <w:tblCellMar>
            <w:top w:w="0" w:type="dxa"/>
            <w:left w:w="108" w:type="dxa"/>
            <w:bottom w:w="0" w:type="dxa"/>
            <w:right w:w="108" w:type="dxa"/>
          </w:tblCellMar>
        </w:tblPrEx>
        <w:trPr>
          <w:trHeight w:val="173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FA85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6C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BE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二组高俊琪墩东南，月康路北，环座路西</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DA9A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120.3864858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1C5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33.41832132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4838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6CC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E44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7B2A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BC1D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2CD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4A5C582">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925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E31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B9D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大团村四组67号门口z01县道入口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DDF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120.2982201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802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33.2247222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A6A2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DB7A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9A65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7B28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15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846C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6E0ACB0">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754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356</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AD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24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大团村二组93号东侧20米路口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A7DD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120.3116739</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236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33.22144338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9B22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B32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AF1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2672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F14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8900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E72112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86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C21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D29D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大团村三组73门口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4E5F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120.3062974</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6F70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33.22485155</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0F13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516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61B7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9B0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37EB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47A4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968B780">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C09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358</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1DC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7B5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z01县道东侧与农庄河北侧交界处</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FC5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120.3029967</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37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33.22166021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69D5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09BF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ED83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0F0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380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ABB1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D1767E1">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0B9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D91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BE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南阳黄海路支路</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1000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120.5966319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E50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33.13059371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2370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777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9826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82F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65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7AB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6EF24A05">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7AA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9D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F5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黄海路与通庆路交叉口东侧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E8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120.5956011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A3C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33.12945776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8F0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3152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5496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E7C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CCE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709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244C2FF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574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71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0ECC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陈南线交祥南公路南侧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F7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120.5380982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01D4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33.11719345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6A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1E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8F7A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35D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DF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610C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D9CC7DD">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E71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394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FE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X305交祥南公路北侧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48D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120.537962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032C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33.11946541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FF5D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FBD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03CD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18C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AB5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519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F4CE0F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330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0DD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C400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祥西三组</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54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120.5352448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CBD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33.11820796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2C34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0EE9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160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97B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9C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2BBE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36C2CAB">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4458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950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EC09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南阳人民法庭西</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0A4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120.5472331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8E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33.1260787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45B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39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A027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66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CAC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22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BDEA993">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76B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A27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176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南阳农贸市场东</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D36C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120.5411571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26F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33.12568519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F92F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86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2A3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A34B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38A4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72FC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DCA4374">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54C8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25C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E945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育红路与竹港路交叉口西</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17E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120.6715572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E1D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33.04258511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6474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236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0FC0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26E7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7B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BD8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20D6B1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BC2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7F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B69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草大线与文教南路交叉口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B4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120.6693265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F5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33.04537302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736A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CB87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8862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3F1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932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307C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125090BA">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276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B0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D1C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X203与上川线交叉口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39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120.7108384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E5B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33.01422234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DA35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16C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E49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B94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2A92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1C99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68F1A43">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54B6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29A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6DC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川东文化中心门口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91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120.7095181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9339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33.01683787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06FE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47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753F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210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DB58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17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42023B2">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0ED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2EA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95A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S226与X307交叉口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2D5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120.6392135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DCE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32.98663599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6BE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78E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8C89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95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AA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1E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329E552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BCDC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212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1A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S226与忠信街交叉口北侧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7C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120.638138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6B4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32.9900824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88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0C1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C54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D3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BE42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292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1E5ABC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2653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C0A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AA4B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幸福路与明理路交叉口南侧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F3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120.6439524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B5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32.9902517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B36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3FF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BB1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6F84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E51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B02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88552AF">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5216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92BB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7EA4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幸福路与X307交叉口北侧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6D0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120.644636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7F4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32.98848098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972C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30E2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A552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DB5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A64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4C6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0B12AB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203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F3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B3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草大线民房门口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A5BA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120.6361821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79E3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32.99878727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52E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20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9B5A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96E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437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9E2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A37EC94">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ACD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546A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大桥派出所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5B5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黄海路与方大线交叉口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B86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120.6354384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E0E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33.00078185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00F2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4E3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3928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260A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2C5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F0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695F445">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04A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4702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66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益民路中心加油站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C045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120.5758781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00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33.0461362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39DD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2891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405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02D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6087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1C6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原杆加装</w:t>
            </w:r>
          </w:p>
        </w:tc>
      </w:tr>
      <w:tr w14:paraId="788FE655">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E60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C367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2510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丰达路与朝阳路西侧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54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120.5803695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49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33.05019456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24D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FF9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3BE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71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43F8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3CFA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F2707A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08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D46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73EE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S226交朝阳路东</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F4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120.5771141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88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33.04860735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C928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3378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0D0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43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54D6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8A3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原杆加装</w:t>
            </w:r>
          </w:p>
        </w:tc>
      </w:tr>
      <w:tr w14:paraId="324509F6">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D15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379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2E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EA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振兴路交纱厂路</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719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120.5708868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F2F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33.05242282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E19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B1C4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FD76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70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614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C63E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2B88B242">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E318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ABF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B50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振兴路交富民路北</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E9A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120.5731098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B7B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33.04880901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D3C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32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D84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2F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92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56E1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E2B708B">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29F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20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万盈派出所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FF2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方大线沈灶水利站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26DF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120.5159472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712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32.95102162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86F9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C01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432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7BDF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E36A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C512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3832DE4">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79D3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53F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C1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沈西线民房</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ED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120.4254344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2F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32.96315664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E23E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C0F2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238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08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379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776C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618639B">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A30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5FEC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841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G204交新北路西</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5B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120.3026336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48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32.95078315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B0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F71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DD20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E9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91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90E8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8510E30">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8164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535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132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新中路交新北路东</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429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120.3000049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8A5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32.95120927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D16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BE1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05E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CFCF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035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27A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4D094442">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8AC2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7DA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4A0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草堰明凤酒楼南</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F998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120.3120407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A4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32.94464998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5B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E9D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48F5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7B0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906F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7F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DC808DA">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05ED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B28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CE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草堰卫生院门口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58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120.3073633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EC2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32.94297183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988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5948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48F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EC4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977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25AC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5E9EFE4">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E701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5F2C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57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兴海批发部北侧路口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4CA7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120.4230604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509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32.96036748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8FC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3CA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04B9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00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6F2D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208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56C1B362">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CC6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F4E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草堰派出所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A1F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新草线书明加油站北侧路口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F53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120.4203433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2583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32.96007041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5C6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180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0F98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15C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24E8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0A00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616DAC2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77B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389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617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35B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新草线康平药店</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C0C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120.3876953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03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33.00981656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296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279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B1B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C66D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E24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350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1CE427C0">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EC4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F20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A16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新草线与三港线交叉口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23C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120.3918344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D8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33.00237817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38DF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0B7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D810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A5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E0ED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A5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2DE53D38">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9C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AB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1D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新草线志斌家具城南侧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41EB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120.3944172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3084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32.99800597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54B3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9E2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B703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18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A8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F381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4E375BF">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19F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4A5E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9F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白驹卫生院东路口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F792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120.3094581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A2B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33.07532505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53C5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08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BCF0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66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1F6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93F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816ABD5">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0E09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81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1D79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爱民路拐弯口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93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120.305819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F8F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33.07397174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441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F46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D68C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B21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4B6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959C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A2E5B46">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338E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AA5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白驹派出所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1C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G204岔口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6F5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120.3115844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BD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33.06612932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026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84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AB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81A7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3A6E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15E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原杆加装</w:t>
            </w:r>
          </w:p>
        </w:tc>
      </w:tr>
      <w:tr w14:paraId="5DE4DEE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33E9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9B5E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14DC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振兴南路与云溪路交叉口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EB6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120.3029747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63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33.14235746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4B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FD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2D4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148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799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BF7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07506C63">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40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84C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71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G343与振兴南路南侧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767C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120.3031333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5F96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33.144777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F1A4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B88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A196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3DA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A8AD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3AA1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24648568">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CCB9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B7F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B29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刘高线工厂门口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E824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120.2573708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CB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33.16763131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C3ED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055C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78F8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2E4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1FD6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4A47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42ACDAEC">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051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977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3CB9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X303与刘高线西侧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CE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120.2599712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D5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33.16948302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F5F3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28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D57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C95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343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153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2CD508A6">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EB1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399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C0DD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CED8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X303与刘高线北侧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6E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120.2600222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B4B5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33.16993574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F4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CB68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E10F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C6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3CE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8E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923236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8A6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E872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刘庄派出所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49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X303北侧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676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120.2583402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B73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33.17170915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A7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42F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D61B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90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3B7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847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1EEA255">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FC3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CCA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港区派出所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E6A0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迪拜港路与南通港路交叉口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A2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120.7216892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FFE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33.23970167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C85E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D1E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370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F9DB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921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280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3B6C873">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E86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FB2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港区派出所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4104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港缘百货超市西</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B244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120.724818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9E6D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33.24008681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DD3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D49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4D3A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EB4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BD35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93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17A9C4A1">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DEC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F3B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港区派出所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C646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厦门港路与威尼斯港路交叉口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EB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120.7327598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8BC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33.25001578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1E4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985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7BA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2315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B7C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D8AE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140EED1C">
        <w:tblPrEx>
          <w:tblCellMar>
            <w:top w:w="0" w:type="dxa"/>
            <w:left w:w="108" w:type="dxa"/>
            <w:bottom w:w="0" w:type="dxa"/>
            <w:right w:w="108" w:type="dxa"/>
          </w:tblCellMar>
        </w:tblPrEx>
        <w:trPr>
          <w:trHeight w:val="14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A65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8AE4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港区派出所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57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日月湖大道与威尼斯港路交叉口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D773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120.7263052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1F6A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33.24992227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531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8C0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BDFA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9F58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296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CC5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15A46757">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BBAC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52B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3E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新陈线中心桥口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BEA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120.46636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5A6F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33.26436993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66C4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EDFB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0AE9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DB5E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BE31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D0FF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7BB8104">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541B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D00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0A29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新陈线交淮海路</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579D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120.4636532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D0A9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33.26416879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D8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7F7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097B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DB18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B84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CA1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00581104">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16B5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4EF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6254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淮海路交健康路</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AEE4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120.4634101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602C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33.26635401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D39A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575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61C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6AD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035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75C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七月份可能修路</w:t>
            </w:r>
          </w:p>
        </w:tc>
      </w:tr>
      <w:tr w14:paraId="64E44EB5">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6A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4AC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A8E2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新赤线中心路南</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4F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120.3647509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B326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33.25634675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012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0B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5ABF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335C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75E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66A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49EF471">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D53D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409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8D60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037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龙祥酒楼</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2D3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120.3633974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BBF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33.25585764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4B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966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F476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FC2D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8E95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33A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2BC0D197">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9D3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3BE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E4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X205卫生室门口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B34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120.4236692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36E3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33.37937333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5DA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4603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7DF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F0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2D1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9D5D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3E3D512">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683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A082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5561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X205中心桥口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099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120.4247511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9B6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33.37792704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619F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F7EA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49B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8F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BE0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083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0F18D06">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2F1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91D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46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方大线与育红路交叉口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42E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120.427101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F1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33.37740963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405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EE0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6E57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644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DD3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80F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0DF106F5">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5CA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6926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F6B5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鑫鑫书屋</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D50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120.4279753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FB2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33.37661325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799E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FD1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217B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0BC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DC3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701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6795718">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0AB8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0E8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37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X302民房门口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FD4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120.476031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CA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33.31722627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0B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BACF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D537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C00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AAE5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5404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18033AAA">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981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B26B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664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新丰百佳丽超市</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1DBE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120.4727211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2BF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33.31704774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84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F5C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5698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98BC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0449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598B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3575D57E">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57AD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EC55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ADF3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万家乐购物广场</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027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120.5092685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7DC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33.41719166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BB24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69E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16B4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13B6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1FC1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D552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05EC2AE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63E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09F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947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振兴路与金国路交叉口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27B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120.5112456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9BC1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33.41880408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8B8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254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BE6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727B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4A3F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760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50864BA0">
        <w:tblPrEx>
          <w:tblCellMar>
            <w:top w:w="0" w:type="dxa"/>
            <w:left w:w="108" w:type="dxa"/>
            <w:bottom w:w="0" w:type="dxa"/>
            <w:right w:w="108" w:type="dxa"/>
          </w:tblCellMar>
        </w:tblPrEx>
        <w:trPr>
          <w:trHeight w:val="74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AB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35C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02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X251交X301北</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CACB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120.5169924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0DA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33.41930327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0CA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C91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BB98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E537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5DA0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A5A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原杆加装</w:t>
            </w:r>
          </w:p>
        </w:tc>
      </w:tr>
      <w:tr w14:paraId="420ACF77">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46C5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419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9FC3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8E8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兴龙路与宏达路交叉口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CE5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120.5183071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74B0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33.42183829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A5E1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DF4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4699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B0A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DAD7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3F3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C6741E9">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FACC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C6A1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17EF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陈李线商贸街</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804B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120.4781902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FDD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33.44676877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169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9FC2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AA0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2A07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E2B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1B59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03CC17A6">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0050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AAF4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EB6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商贸街志刚电器</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C622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120.4793951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3D22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33.44344811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D02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8C2F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6B5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A4C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C68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B3C0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水泥杆抱杆</w:t>
            </w:r>
          </w:p>
        </w:tc>
      </w:tr>
      <w:tr w14:paraId="133C2E6B">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00B9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B27B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54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新一家服饰城</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E891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120.4782795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5C7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33.44448009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C48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92A8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A48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DE6A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9AF37">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B2C5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3095A711">
        <w:tblPrEx>
          <w:tblCellMar>
            <w:top w:w="0" w:type="dxa"/>
            <w:left w:w="108" w:type="dxa"/>
            <w:bottom w:w="0" w:type="dxa"/>
            <w:right w:w="108" w:type="dxa"/>
          </w:tblCellMar>
        </w:tblPrEx>
        <w:trPr>
          <w:trHeight w:val="58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F892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D93D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1D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泰和街东侧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ACC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120.4763804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479B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33.44022055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3A0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EBFC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784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AE42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31D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76B8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71FB70FB">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6D7C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01F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三龙派出所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E121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泰和街好人缘批发超市</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61E4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120.4748583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C84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33.43880599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AA7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1C3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D951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D8BF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45B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C443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5085854">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F6F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D08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开发区</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37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张謇路T字路口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15B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120.4062936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C486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33.16748846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B97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BD7E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D7E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26AA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69B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2E44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253BAB4B">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04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1C0C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开发区</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5995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张謇路长安社区卫生站</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F72C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120.4042198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AF9F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33.16604923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62B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A784C">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B85C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126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9ED0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1FD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5A127622">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1448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87D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小海派出所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A1BA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新江线与新圩线交叉口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7ED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120.4658827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D74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33.07302398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5A8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1167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0A9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576E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D6A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4C26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20E4A44F">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C25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C05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小海派出所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2C47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X205与新江线东</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3385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120.462986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99F1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33.07307582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C3BF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A75B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CD39">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F95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66D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906D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电线杆抱杆</w:t>
            </w:r>
          </w:p>
        </w:tc>
      </w:tr>
      <w:tr w14:paraId="05B8FAA3">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096D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2D3A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小海派出所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39C0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小海中心路民房门口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08EA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120.4777005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B23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33.03031067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5B91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E0C2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7274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24D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85C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2F34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r w14:paraId="67BF1282">
        <w:tblPrEx>
          <w:tblCellMar>
            <w:top w:w="0" w:type="dxa"/>
            <w:left w:w="108" w:type="dxa"/>
            <w:bottom w:w="0" w:type="dxa"/>
            <w:right w:w="108" w:type="dxa"/>
          </w:tblCellMar>
        </w:tblPrEx>
        <w:trPr>
          <w:trHeight w:val="115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AE45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430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C9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小海派出所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A59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兴海路与园业路交叉口东</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8BE9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120.484945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05F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33.03448485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777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478C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F852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BCE0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77B3">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98F8">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原杆加装</w:t>
            </w:r>
          </w:p>
        </w:tc>
      </w:tr>
      <w:tr w14:paraId="6E1DB682">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87F6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431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1B9D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小海派出所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70F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小海中心卫生院</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D09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120.4870065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67F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33.0351281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0823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6424B">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A55B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19F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6DD38">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0D16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原杆加装</w:t>
            </w:r>
          </w:p>
        </w:tc>
      </w:tr>
      <w:tr w14:paraId="40C59CC8">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CB7B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432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B869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西团派出所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2619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西新线与竹枫路东</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354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120.4259339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F2C1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33.10885911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9761A">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1202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C8E2D">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C2F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EFAF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1D31">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原杆加装</w:t>
            </w:r>
          </w:p>
        </w:tc>
      </w:tr>
      <w:tr w14:paraId="66D1DA8C">
        <w:tblPrEx>
          <w:tblCellMar>
            <w:top w:w="0" w:type="dxa"/>
            <w:left w:w="108" w:type="dxa"/>
            <w:bottom w:w="0" w:type="dxa"/>
            <w:right w:w="108" w:type="dxa"/>
          </w:tblCellMar>
        </w:tblPrEx>
        <w:trPr>
          <w:trHeight w:val="870"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9072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433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C7E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西团派出所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332E">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信和路交竹枫路</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C91F0">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120.4293428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718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33.10896165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E1010">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0EB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F10AF">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567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63E42">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4432A">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1FB7DFFA">
        <w:tblPrEx>
          <w:tblCellMar>
            <w:top w:w="0" w:type="dxa"/>
            <w:left w:w="108" w:type="dxa"/>
            <w:bottom w:w="0" w:type="dxa"/>
            <w:right w:w="108" w:type="dxa"/>
          </w:tblCellMar>
        </w:tblPrEx>
        <w:trPr>
          <w:trHeight w:val="923"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511BC">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434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D88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西团派出所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33577">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西团镇社区教育中心</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3A14">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120.4257411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5AD06">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33.10897168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4631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E726">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AB375">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20A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6C45E">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7523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利旧</w:t>
            </w:r>
          </w:p>
        </w:tc>
      </w:tr>
      <w:tr w14:paraId="7E5AB1F2">
        <w:tblPrEx>
          <w:tblCellMar>
            <w:top w:w="0" w:type="dxa"/>
            <w:left w:w="108" w:type="dxa"/>
            <w:bottom w:w="0" w:type="dxa"/>
            <w:right w:w="108" w:type="dxa"/>
          </w:tblCellMar>
        </w:tblPrEx>
        <w:trPr>
          <w:trHeight w:val="1166"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6068D">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435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A413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西团派出所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D2839">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西新线西团加油站南侧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0B5DF">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120.4255473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DE0A3">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33.11354805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4810B">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D056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109D2">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69085">
            <w:pPr>
              <w:widowControl/>
              <w:spacing w:line="240" w:lineRule="auto"/>
              <w:ind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58191">
            <w:pPr>
              <w:widowControl/>
              <w:spacing w:line="240" w:lineRule="auto"/>
              <w:ind w:firstLine="0" w:firstLineChars="0"/>
              <w:jc w:val="center"/>
              <w:textAlignment w:val="center"/>
              <w:rPr>
                <w:rFonts w:ascii="宋体" w:hAnsi="宋体" w:eastAsia="宋体" w:cs="宋体"/>
                <w:color w:val="000000"/>
                <w:kern w:val="0"/>
                <w:sz w:val="21"/>
                <w:szCs w:val="21"/>
                <w:lang w:bidi="ar"/>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42A4">
            <w:pPr>
              <w:widowControl/>
              <w:spacing w:line="240" w:lineRule="auto"/>
              <w:ind w:firstLine="0" w:firstLineChars="0"/>
              <w:jc w:val="center"/>
              <w:textAlignment w:val="center"/>
              <w:rPr>
                <w:rFonts w:ascii="宋体" w:hAnsi="宋体" w:eastAsia="宋体" w:cs="宋体"/>
                <w:color w:val="000000"/>
                <w:kern w:val="0"/>
                <w:sz w:val="21"/>
                <w:szCs w:val="21"/>
                <w:lang w:bidi="ar"/>
              </w:rPr>
            </w:pPr>
          </w:p>
        </w:tc>
      </w:tr>
    </w:tbl>
    <w:p w14:paraId="25D63417">
      <w:pPr>
        <w:ind w:firstLine="0" w:firstLineChars="0"/>
      </w:pPr>
    </w:p>
    <w:p w14:paraId="0F03DCB2">
      <w:pPr>
        <w:pStyle w:val="4"/>
        <w:pageBreakBefore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sz w:val="24"/>
          <w:szCs w:val="24"/>
        </w:rPr>
      </w:pPr>
      <w:bookmarkStart w:id="186" w:name="_Toc8768"/>
      <w:r>
        <w:rPr>
          <w:rFonts w:hint="eastAsia" w:ascii="宋体" w:hAnsi="宋体" w:eastAsia="宋体" w:cs="宋体"/>
          <w:sz w:val="24"/>
          <w:szCs w:val="24"/>
        </w:rPr>
        <w:t>3.4主要设备参数要求</w:t>
      </w:r>
      <w:bookmarkEnd w:id="186"/>
    </w:p>
    <w:p w14:paraId="0150FECD">
      <w:pPr>
        <w:pStyle w:val="5"/>
        <w:keepNext/>
        <w:keepLines/>
        <w:pageBreakBefore w:val="0"/>
        <w:widowControl w:val="0"/>
        <w:numPr>
          <w:ilvl w:val="0"/>
          <w:numId w:val="5"/>
        </w:numPr>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sz w:val="24"/>
          <w:szCs w:val="24"/>
        </w:rPr>
      </w:pPr>
      <w:bookmarkStart w:id="187" w:name="_Toc26546"/>
      <w:r>
        <w:rPr>
          <w:rFonts w:hint="eastAsia" w:ascii="宋体" w:hAnsi="宋体" w:eastAsia="宋体" w:cs="宋体"/>
          <w:sz w:val="24"/>
          <w:szCs w:val="24"/>
        </w:rPr>
        <w:t>智慧村居参数要求</w:t>
      </w:r>
      <w:bookmarkEnd w:id="187"/>
    </w:p>
    <w:p w14:paraId="25D7B05C">
      <w:pPr>
        <w:pStyle w:val="6"/>
        <w:keepNext/>
        <w:keepLines/>
        <w:pageBreakBefore w:val="0"/>
        <w:widowControl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500W环保卡口抓拍单元</w:t>
      </w:r>
    </w:p>
    <w:p w14:paraId="110BD7BD">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包含高清一体化嵌入式摄像机、高清镜头、室外防护罩、相机内置网络信号防雷器、电源适配器等。</w:t>
      </w:r>
    </w:p>
    <w:p w14:paraId="11150949">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抓拍支持输出三张同时刻目标图片，包括可见光路图片（全彩），红外路图片（黑白）和融合图片（全彩），三张图片抓拍时间为同一时刻，抓拍运动目标，三张图片中目标位置相同无位移</w:t>
      </w:r>
    </w:p>
    <w:p w14:paraId="6F8A2BB0">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★最大图像尺寸≥2448×2048像素。</w:t>
      </w:r>
      <w:r>
        <w:rPr>
          <w:rFonts w:hint="eastAsia" w:ascii="宋体" w:hAnsi="宋体" w:eastAsia="宋体" w:cs="宋体"/>
          <w:color w:val="auto"/>
          <w:sz w:val="24"/>
          <w:szCs w:val="24"/>
        </w:rPr>
        <w:t>（</w:t>
      </w:r>
      <w:r>
        <w:rPr>
          <w:rFonts w:hint="eastAsia" w:ascii="宋体" w:hAnsi="宋体" w:cs="宋体"/>
          <w:color w:val="auto"/>
          <w:sz w:val="24"/>
          <w:szCs w:val="24"/>
          <w:lang w:eastAsia="zh-CN"/>
        </w:rPr>
        <w:t>提供公安部权威机构检测报告加盖投标人公章</w:t>
      </w:r>
      <w:r>
        <w:rPr>
          <w:rFonts w:hint="eastAsia" w:ascii="宋体" w:hAnsi="宋体" w:eastAsia="宋体" w:cs="宋体"/>
          <w:color w:val="auto"/>
          <w:sz w:val="24"/>
          <w:szCs w:val="24"/>
        </w:rPr>
        <w:t>）</w:t>
      </w:r>
    </w:p>
    <w:p w14:paraId="639A04AB">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视频压缩支持H.265、H.264、M-JPEG。</w:t>
      </w:r>
    </w:p>
    <w:p w14:paraId="74783639">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支持车辆捕获抓拍功能，在天气晴朗无雾，号牌无遮挡、无污损，白天环境光照度不低于200lx，晚上辅助光照度不高于30lx的条件下测试，白天和晚上的捕获率均≥99%。</w:t>
      </w:r>
    </w:p>
    <w:p w14:paraId="20CB95AD">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支持车牌识别功能（含新能源），在白天环境光照度不低于200lx，晚上辅助光照度不高于30lx的条件下测试，白天和晚上的识别率均≥99%。</w:t>
      </w:r>
    </w:p>
    <w:p w14:paraId="3CDE2243">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开启混合抓拍模式后，设备支持正面/背面行人的抓拍；支持对骑自行车、骑三轮车、骑电动车、骑车带人等非机动车的抓拍；支持对轿车、客车、面包车、货车、卡车、摩托车等机动车的抓拍。</w:t>
      </w:r>
    </w:p>
    <w:p w14:paraId="5E53F7A4">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设备支持人脸区域自动曝光，可根据人脸区域和光照变化自动调节人脸区域曝光参数；可通过IE浏览器设置人脸自动曝光的参考亮度、最短持续时间和人脸过滤时间。</w:t>
      </w:r>
    </w:p>
    <w:p w14:paraId="2A04C44B">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支持对行人和非机动车的人脸进行检测与抠图，高像素状态下，抓拍人脸像素点约为150*150；可对人脸抠图的像素大小、亮度、边框放大倍数进行调节，抠图准确率≥99%。</w:t>
      </w:r>
    </w:p>
    <w:p w14:paraId="4D8E4766">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支持检测并跟踪指定区域内不少于200个目标,目标包括机动车、非机动车以及行人等。</w:t>
      </w:r>
    </w:p>
    <w:p w14:paraId="1831150C">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具有抓拍黄牌车、蓝牌车、绿牌车、渐变绿牌车、黑牌车、白牌车、黄绿双拼牌车和不启用抓拍八个设置选项。可对蓝色、黄色、绿色、渐变绿色、黑色、白色、黄绿双拼色以及其他不同颜色车牌的车辆进行选择抓拍</w:t>
      </w:r>
    </w:p>
    <w:p w14:paraId="01BF116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支持35114 A级加密；</w:t>
      </w:r>
    </w:p>
    <w:p w14:paraId="668FEEAC">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防护等级不低于IP66。</w:t>
      </w:r>
    </w:p>
    <w:p w14:paraId="70074AE1">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工作电压：220VAC±20%；频率：50HZ±2%。</w:t>
      </w:r>
    </w:p>
    <w:p w14:paraId="0BAA9963">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auto"/>
          <w:sz w:val="24"/>
          <w:szCs w:val="24"/>
          <w:highlight w:val="none"/>
        </w:rPr>
      </w:pPr>
      <w:bookmarkStart w:id="188" w:name="_Toc4016"/>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设备所</w:t>
      </w:r>
      <w:r>
        <w:rPr>
          <w:rFonts w:hint="eastAsia" w:ascii="宋体" w:hAnsi="宋体" w:eastAsia="宋体" w:cs="宋体"/>
          <w:color w:val="auto"/>
          <w:sz w:val="24"/>
          <w:szCs w:val="24"/>
          <w:highlight w:val="none"/>
        </w:rPr>
        <w:t>采集的各类数据必须无缝对接各类平台包括【大丰公安视频图象信息应用平台（抓拍数据汇聚至视图库），抓拍数据需同时实现交通违法综合管理应用平台、非机动车违法抓拍平台深度应用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公安部集成指挥平台】。投标人投标时必须提供各类数据无缝对接公安以上各类平台的</w:t>
      </w:r>
      <w:r>
        <w:rPr>
          <w:rFonts w:hint="eastAsia" w:ascii="宋体" w:hAnsi="宋体" w:eastAsia="宋体" w:cs="宋体"/>
          <w:color w:val="auto"/>
          <w:sz w:val="24"/>
          <w:szCs w:val="24"/>
          <w:highlight w:val="none"/>
          <w:lang w:eastAsia="zh-CN"/>
        </w:rPr>
        <w:t>承诺函并加盖投标人公章</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函</w:t>
      </w:r>
      <w:r>
        <w:rPr>
          <w:rFonts w:hint="eastAsia" w:ascii="宋体" w:hAnsi="宋体" w:eastAsia="宋体" w:cs="宋体"/>
          <w:color w:val="auto"/>
          <w:sz w:val="24"/>
          <w:szCs w:val="24"/>
          <w:highlight w:val="none"/>
        </w:rPr>
        <w:t>格式自拟）。</w:t>
      </w:r>
    </w:p>
    <w:p w14:paraId="01EC7D14">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900W环保卡口抓拍单元</w:t>
      </w:r>
      <w:bookmarkEnd w:id="188"/>
    </w:p>
    <w:p w14:paraId="160EFFA8">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包含高清一体化嵌入式摄像机、高清镜头、室外防护罩、相机内置网络信号防雷器、电源适配器等。</w:t>
      </w:r>
    </w:p>
    <w:p w14:paraId="3D8882D5">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图像传感器不小于1英寸*2</w:t>
      </w:r>
    </w:p>
    <w:p w14:paraId="610B8F39">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镜头焦距不小于50mm；</w:t>
      </w:r>
    </w:p>
    <w:p w14:paraId="4CEB78AF">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抓拍支持输出三张同时刻目标图片，包括可见光路图片（全彩），红外路图片（黑白）和融合图片（全彩），三张图片抓拍时间为同一时刻，抓拍运动目标，三张图片中目标位置相同无位移；</w:t>
      </w:r>
    </w:p>
    <w:p w14:paraId="6FE2DF9D">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auto"/>
          <w:sz w:val="24"/>
          <w:szCs w:val="24"/>
        </w:rPr>
      </w:pPr>
      <w:r>
        <w:rPr>
          <w:rFonts w:hint="eastAsia" w:ascii="宋体" w:hAnsi="宋体" w:eastAsia="宋体" w:cs="宋体"/>
          <w:sz w:val="24"/>
          <w:szCs w:val="24"/>
        </w:rPr>
        <w:t>★最大图像尺寸≥4096×2160像素；</w:t>
      </w:r>
      <w:r>
        <w:rPr>
          <w:rFonts w:hint="eastAsia" w:ascii="宋体" w:hAnsi="宋体" w:eastAsia="宋体" w:cs="宋体"/>
          <w:color w:val="auto"/>
          <w:sz w:val="24"/>
          <w:szCs w:val="24"/>
        </w:rPr>
        <w:t>（</w:t>
      </w:r>
      <w:r>
        <w:rPr>
          <w:rFonts w:hint="eastAsia" w:ascii="宋体" w:hAnsi="宋体" w:cs="宋体"/>
          <w:color w:val="auto"/>
          <w:sz w:val="24"/>
          <w:szCs w:val="24"/>
          <w:lang w:eastAsia="zh-CN"/>
        </w:rPr>
        <w:t>提供公安部权威机构检测报告加盖投标人公章</w:t>
      </w:r>
      <w:r>
        <w:rPr>
          <w:rFonts w:hint="eastAsia" w:ascii="宋体" w:hAnsi="宋体" w:eastAsia="宋体" w:cs="宋体"/>
          <w:color w:val="auto"/>
          <w:sz w:val="24"/>
          <w:szCs w:val="24"/>
        </w:rPr>
        <w:t>）</w:t>
      </w:r>
    </w:p>
    <w:p w14:paraId="681D90E8">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视频压缩支持H.265、H.264、M-JPEG。</w:t>
      </w:r>
    </w:p>
    <w:p w14:paraId="3E3DBFD1">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支持机动车、二轮车（摩托车、自行车、电动二轮车）、三轮车和行人分类检测。</w:t>
      </w:r>
    </w:p>
    <w:p w14:paraId="54FF0A05">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支持车前窗挂坠、年检标识、抽烟、驾驶员人脸识别、驾驶室人脸抠图、遮阳板识别等检测功能。</w:t>
      </w:r>
    </w:p>
    <w:p w14:paraId="4D8B297C">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支持检测并跟踪指定区域内不少于200个目标,目标包括机动车、非机动车以及行人等。</w:t>
      </w:r>
    </w:p>
    <w:p w14:paraId="72E99A7D">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支持车辆捕获抓拍功能，在天气晴朗无雾，号牌无遮挡、无污损，白天环境光照度不低于200lx，晚上辅助光照度不高于30lx的条件下测试，白天和晚上的捕获率均≥99%。</w:t>
      </w:r>
    </w:p>
    <w:p w14:paraId="6DBBB375">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支持车牌识别功能（含新能源），在天气晴朗无雾，号牌无遮挡、无污损，白天环境光照度不低于200lx，晚上辅助光照度不高于30lx的条件下测试，白天和晚上的识别准确率均≥99%。</w:t>
      </w:r>
    </w:p>
    <w:p w14:paraId="0ECFEBFF">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支持异常车牌检测功能，可对故意遮挡及污损车牌进行判断和识别。</w:t>
      </w:r>
    </w:p>
    <w:p w14:paraId="10E7A3AF">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支持车辆子品牌识别功能，通过车头可识别</w:t>
      </w:r>
      <w:r>
        <w:rPr>
          <w:rFonts w:hint="eastAsia" w:ascii="宋体" w:hAnsi="宋体" w:cs="宋体"/>
          <w:sz w:val="24"/>
          <w:szCs w:val="24"/>
          <w:lang w:val="en-US" w:eastAsia="zh-CN"/>
        </w:rPr>
        <w:t>不低于</w:t>
      </w:r>
      <w:r>
        <w:rPr>
          <w:rFonts w:hint="eastAsia" w:ascii="宋体" w:hAnsi="宋体" w:eastAsia="宋体" w:cs="宋体"/>
          <w:sz w:val="24"/>
          <w:szCs w:val="24"/>
        </w:rPr>
        <w:t>7100种，通过车尾可识别</w:t>
      </w:r>
      <w:r>
        <w:rPr>
          <w:rFonts w:hint="eastAsia" w:ascii="宋体" w:hAnsi="宋体" w:cs="宋体"/>
          <w:sz w:val="24"/>
          <w:szCs w:val="24"/>
          <w:lang w:val="en-US" w:eastAsia="zh-CN"/>
        </w:rPr>
        <w:t>不低于</w:t>
      </w:r>
      <w:r>
        <w:rPr>
          <w:rFonts w:hint="eastAsia" w:ascii="宋体" w:hAnsi="宋体" w:eastAsia="宋体" w:cs="宋体"/>
          <w:sz w:val="24"/>
          <w:szCs w:val="24"/>
        </w:rPr>
        <w:t>3800种，全天识别准确率不低于99%。</w:t>
      </w:r>
    </w:p>
    <w:p w14:paraId="55624E69">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支持不少于14种车身颜色识别，包括黑、白、灰、红、绿、蓝、黄、粉、紫、棕、青、金、橙、银灰。</w:t>
      </w:r>
    </w:p>
    <w:p w14:paraId="6E00764B">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支持人脸检测、跟踪、抓拍功能；支持在同一视频画面中，可检测、跟踪不小于 110 个运动人体目标，且抓拍不小于80个运动人脸目标。</w:t>
      </w:r>
    </w:p>
    <w:p w14:paraId="42C5971A">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支持对30米处的行人进行人脸抓拍，并可生成分辨率不小于110像素×120像素的人脸图片,图片中人脸两眼瞳距应≥40像素。</w:t>
      </w:r>
    </w:p>
    <w:p w14:paraId="30AADCAB">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支持驾驶人脸部特征信息大于50×50个像素点、夜间环境照度在10lx~30lx范围的情况下，配合LED补光与红外爆闪补光，输出高清人脸抠图。</w:t>
      </w:r>
    </w:p>
    <w:p w14:paraId="3A0450BA">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具有抓拍黄牌车、蓝牌车、绿牌车、渐变绿牌车、黑牌车、白牌车、黄绿双拼牌车和不启用抓拍八个设置选项。可对蓝色、黄色、绿色、渐变绿色、黑色、白色、黄绿双拼色以及其他不同颜色车牌的车辆进行选择抓拍。</w:t>
      </w:r>
    </w:p>
    <w:p w14:paraId="0E0A9881">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支持识别车标类型≥450种；在天气晴朗无雾，车辆无遮挡，白天环境光照度不低于200lx，夜晚辅助光照度不高于30lx的情况下进行测试；白天车标识别准确率≥99%；晚上车标识别准确率≥99%。</w:t>
      </w:r>
    </w:p>
    <w:p w14:paraId="506261C1">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分别对9种车型（大货车、中货车、小货车、客车、小轿车、中客车、危险品运输车、校车、其他车型等）进行不同超速比设置，可设置16个超速比区间。在相同道路上，设备支持根据不同的超速比设置对不同车型进行超速抓拍，并输出不同的超速抓拍结果及违法代码。</w:t>
      </w:r>
    </w:p>
    <w:p w14:paraId="14B6917C">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支持35114 A级加密；</w:t>
      </w:r>
    </w:p>
    <w:p w14:paraId="42DEA090">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外壳防护等级应不低于IP66。</w:t>
      </w:r>
    </w:p>
    <w:p w14:paraId="76D1C4C8">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工作电压：100VAC～240VAC；频率：48Hz～52Hz。</w:t>
      </w:r>
    </w:p>
    <w:p w14:paraId="41E6BF51">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00B0F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设备所</w:t>
      </w:r>
      <w:r>
        <w:rPr>
          <w:rFonts w:hint="eastAsia" w:ascii="宋体" w:hAnsi="宋体" w:eastAsia="宋体" w:cs="宋体"/>
          <w:color w:val="auto"/>
          <w:sz w:val="24"/>
          <w:szCs w:val="24"/>
          <w:highlight w:val="none"/>
        </w:rPr>
        <w:t>采集的各类数据必须无缝对接各类平台包括【大丰公安视频图象信息应用平台（抓拍数据汇聚至视图库），抓拍数据需同时实现交通违法综合管理应用平台、非机动车违法抓拍平台深度应用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公安部集成指挥平台】。投标人投标时必须提供各类数据无缝对接公安以上各类平台的</w:t>
      </w:r>
      <w:r>
        <w:rPr>
          <w:rFonts w:hint="eastAsia" w:ascii="宋体" w:hAnsi="宋体" w:eastAsia="宋体" w:cs="宋体"/>
          <w:color w:val="auto"/>
          <w:sz w:val="24"/>
          <w:szCs w:val="24"/>
          <w:highlight w:val="none"/>
          <w:lang w:eastAsia="zh-CN"/>
        </w:rPr>
        <w:t>承诺函并加盖投标人公章</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函</w:t>
      </w:r>
      <w:r>
        <w:rPr>
          <w:rFonts w:hint="eastAsia" w:ascii="宋体" w:hAnsi="宋体" w:eastAsia="宋体" w:cs="宋体"/>
          <w:color w:val="auto"/>
          <w:sz w:val="24"/>
          <w:szCs w:val="24"/>
          <w:highlight w:val="none"/>
        </w:rPr>
        <w:t>格式自拟）。</w:t>
      </w:r>
    </w:p>
    <w:p w14:paraId="1FD11110">
      <w:pPr>
        <w:pageBreakBefore w:val="0"/>
        <w:kinsoku/>
        <w:wordWrap/>
        <w:overflowPunct/>
        <w:topLinePunct w:val="0"/>
        <w:autoSpaceDE/>
        <w:autoSpaceDN/>
        <w:bidi w:val="0"/>
        <w:adjustRightInd/>
        <w:snapToGrid/>
        <w:spacing w:line="400" w:lineRule="exact"/>
        <w:ind w:left="480" w:firstLine="0" w:firstLineChars="0"/>
        <w:textAlignment w:val="auto"/>
        <w:rPr>
          <w:rFonts w:hint="eastAsia" w:ascii="宋体" w:hAnsi="宋体" w:eastAsia="宋体" w:cs="宋体"/>
          <w:sz w:val="24"/>
          <w:szCs w:val="24"/>
        </w:rPr>
      </w:pPr>
    </w:p>
    <w:p w14:paraId="708E893E">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189" w:name="_Toc6883"/>
      <w:bookmarkStart w:id="190" w:name="_Toc27968"/>
      <w:r>
        <w:rPr>
          <w:rFonts w:hint="eastAsia" w:ascii="宋体" w:hAnsi="宋体" w:eastAsia="宋体" w:cs="宋体"/>
          <w:sz w:val="24"/>
          <w:szCs w:val="24"/>
        </w:rPr>
        <w:t>400W双镜头结构化相机</w:t>
      </w:r>
      <w:bookmarkEnd w:id="189"/>
    </w:p>
    <w:p w14:paraId="5043E200">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★设备内置双镜头，具有2个CMOS图像传感器，靶面尺寸均不小于1/1.8英寸，通道1和通道2的主码流均支持2560×1440@25fps，内置不少于2颗GPU芯片；</w:t>
      </w:r>
      <w:r>
        <w:rPr>
          <w:rFonts w:hint="eastAsia" w:ascii="宋体" w:hAnsi="宋体" w:eastAsia="宋体" w:cs="宋体"/>
          <w:color w:val="auto"/>
          <w:sz w:val="24"/>
          <w:szCs w:val="24"/>
        </w:rPr>
        <w:t>（提供公安部</w:t>
      </w:r>
      <w:r>
        <w:rPr>
          <w:rFonts w:hint="eastAsia" w:ascii="宋体" w:hAnsi="宋体" w:cs="宋体"/>
          <w:color w:val="auto"/>
          <w:sz w:val="24"/>
          <w:szCs w:val="24"/>
          <w:lang w:eastAsia="zh-CN"/>
        </w:rPr>
        <w:t>权威机构</w:t>
      </w:r>
      <w:r>
        <w:rPr>
          <w:rFonts w:hint="eastAsia" w:ascii="宋体" w:hAnsi="宋体" w:eastAsia="宋体" w:cs="宋体"/>
          <w:color w:val="auto"/>
          <w:sz w:val="24"/>
          <w:szCs w:val="24"/>
        </w:rPr>
        <w:t>检测报告并加盖投标人公章）</w:t>
      </w:r>
    </w:p>
    <w:p w14:paraId="6DB69007">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2个镜头均支持电动变倍，通道1及通道2焦距&amp;视场角：8~32 mm；</w:t>
      </w:r>
    </w:p>
    <w:p w14:paraId="52475A44">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▲为保证夜间视频监控及结构化抓拍效果，所投设备需配备6颗混合补光灯。</w:t>
      </w:r>
    </w:p>
    <w:p w14:paraId="5EDA7A3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补光灯开启后，灯光均匀无波纹、圆环状、麻点状、条纹状和不规则亮斑；</w:t>
      </w:r>
    </w:p>
    <w:p w14:paraId="0A81400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手动模式下可独立配置双通道的混合补光灯组的红外和白光补光灯亮度值；</w:t>
      </w:r>
    </w:p>
    <w:p w14:paraId="04D3D12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通道1和通道2均满足最低照度彩色不大于0.0002 lx，黑白不大于0.0001 lx；</w:t>
      </w:r>
    </w:p>
    <w:p w14:paraId="797DC1E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▲设备1个镜头支持PTZ云台旋转功能，且水平调节角度范围</w:t>
      </w:r>
      <w:r>
        <w:rPr>
          <w:rFonts w:hint="eastAsia" w:ascii="宋体" w:hAnsi="宋体" w:cs="宋体"/>
          <w:sz w:val="24"/>
          <w:szCs w:val="24"/>
          <w:lang w:eastAsia="zh-CN"/>
        </w:rPr>
        <w:t>达到</w:t>
      </w:r>
      <w:r>
        <w:rPr>
          <w:rFonts w:hint="eastAsia" w:ascii="宋体" w:hAnsi="宋体" w:eastAsia="宋体" w:cs="宋体"/>
          <w:sz w:val="24"/>
          <w:szCs w:val="24"/>
          <w:highlight w:val="none"/>
        </w:rPr>
        <w:t>：0°～180°，垂直调节角度范围</w:t>
      </w:r>
      <w:r>
        <w:rPr>
          <w:rFonts w:hint="eastAsia" w:ascii="宋体" w:hAnsi="宋体" w:cs="宋体"/>
          <w:sz w:val="24"/>
          <w:szCs w:val="24"/>
          <w:lang w:eastAsia="zh-CN"/>
        </w:rPr>
        <w:t>达到</w:t>
      </w:r>
      <w:r>
        <w:rPr>
          <w:rFonts w:hint="eastAsia" w:ascii="宋体" w:hAnsi="宋体" w:eastAsia="宋体" w:cs="宋体"/>
          <w:sz w:val="24"/>
          <w:szCs w:val="24"/>
          <w:highlight w:val="none"/>
        </w:rPr>
        <w:t>：-5°～30°；</w:t>
      </w:r>
    </w:p>
    <w:p w14:paraId="5CEDD80E">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通道1及通道2均支持全结构化模式，包括抓拍人脸、抓拍人体、抓拍非机动车、抓拍机动车；</w:t>
      </w:r>
    </w:p>
    <w:p w14:paraId="2615A00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通道1及通道2均支持道路监控模式，包含支持车牌识别并抓拍、支持检测正向或逆向行驶的车辆以及行人和非机动车，自动对车辆牌照进行识别，可以抓拍无车牌的车辆图片；</w:t>
      </w:r>
    </w:p>
    <w:p w14:paraId="69DFB967">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通道1及通道2均支持智能分析功能，包括场景变更侦测、进入区域、离开区域、徘徊、区域入侵、人员聚集、视频遮挡、停车侦测、物品移除、物品遗留、越界入侵等功能，平均捕获率不小于99%，平均准确率不小于99%；</w:t>
      </w:r>
    </w:p>
    <w:p w14:paraId="25E489D2">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支持对检测区域内不低于60个移动目标（机动车、非机动车及行人）进行检测、框选跟踪、筛选、抓拍，可将人脸与人体图片、车牌与车辆图片关联显示；</w:t>
      </w:r>
    </w:p>
    <w:p w14:paraId="3F6FAF4B">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设备可识别距离设备不小于80m的人体轮廓；</w:t>
      </w:r>
    </w:p>
    <w:p w14:paraId="40EA5076">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支持人脸、行人、非机动车、机动车属性识别功能，可识别不小于11种行人衣服/裤子颜色、不小于13种车身颜色；</w:t>
      </w:r>
    </w:p>
    <w:p w14:paraId="3F4F38F2">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支持检出面部过曝、面部欠曝、阴阳脸、逆光等不同光照条件下人脸；</w:t>
      </w:r>
    </w:p>
    <w:p w14:paraId="773F2C7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在分辨率1920x1080 @ 25fps，码流设置为1Mbps时，视频图像传输延时不大于60ms；</w:t>
      </w:r>
    </w:p>
    <w:p w14:paraId="31C1F34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设备内置能耗检测模块，可实时检测输入电压和功耗信息，可生成日报表、周报表，并以图表形式展现；</w:t>
      </w:r>
    </w:p>
    <w:p w14:paraId="14694789">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自带机身平衡检测模块，可指示设备安装是否水平；</w:t>
      </w:r>
    </w:p>
    <w:p w14:paraId="2A0610D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同一静止场景相同图像质量下，设备在H.265编码方式时，开启智能编码功能和不开启智能编码相比，码率节约4/5；</w:t>
      </w:r>
    </w:p>
    <w:p w14:paraId="6CAEEF0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支持35114 A级加密；</w:t>
      </w:r>
    </w:p>
    <w:p w14:paraId="64CEB0D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供电方式DC36±20%，支持防反接保护功能；</w:t>
      </w:r>
    </w:p>
    <w:p w14:paraId="205C9F4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设备防护等级不低于IP67。</w:t>
      </w:r>
    </w:p>
    <w:p w14:paraId="267687A9">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00B0F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设备所</w:t>
      </w:r>
      <w:r>
        <w:rPr>
          <w:rFonts w:hint="eastAsia" w:ascii="宋体" w:hAnsi="宋体" w:eastAsia="宋体" w:cs="宋体"/>
          <w:color w:val="auto"/>
          <w:sz w:val="24"/>
          <w:szCs w:val="24"/>
          <w:highlight w:val="none"/>
        </w:rPr>
        <w:t>采集的各类数据必须无缝对接各类平台包括【大丰公安视频图象信息应用平台（抓拍数据汇聚至视图库），抓拍数据需同时实现交通违法综合管理应用平台、非机动车违法抓拍平台深度应用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公安部集成指挥平台】。投标人投标时必须提供各类数据无缝对接公安以上各类平台的</w:t>
      </w:r>
      <w:r>
        <w:rPr>
          <w:rFonts w:hint="eastAsia" w:ascii="宋体" w:hAnsi="宋体" w:eastAsia="宋体" w:cs="宋体"/>
          <w:color w:val="auto"/>
          <w:sz w:val="24"/>
          <w:szCs w:val="24"/>
          <w:highlight w:val="none"/>
          <w:lang w:eastAsia="zh-CN"/>
        </w:rPr>
        <w:t>承诺函并加盖投标人公章</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函</w:t>
      </w:r>
      <w:r>
        <w:rPr>
          <w:rFonts w:hint="eastAsia" w:ascii="宋体" w:hAnsi="宋体" w:eastAsia="宋体" w:cs="宋体"/>
          <w:color w:val="auto"/>
          <w:sz w:val="24"/>
          <w:szCs w:val="24"/>
          <w:highlight w:val="none"/>
        </w:rPr>
        <w:t>格式自拟）。</w:t>
      </w:r>
    </w:p>
    <w:p w14:paraId="6237FD77">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800W双镜头结构化相机</w:t>
      </w:r>
    </w:p>
    <w:p w14:paraId="775A1D36">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★设备内置双镜头，图像传感器靶面尺寸均不小于1/1.2英寸，通道1和通道2的主码流均支持3840×2160@25fps，2个镜头均支持电动变倍、自动/电动聚焦，自动调节光圈功能，内置不少于2颗GPU芯片；</w:t>
      </w:r>
      <w:r>
        <w:rPr>
          <w:rFonts w:hint="eastAsia" w:ascii="宋体" w:hAnsi="宋体" w:eastAsia="宋体" w:cs="宋体"/>
          <w:color w:val="auto"/>
          <w:sz w:val="24"/>
          <w:szCs w:val="24"/>
        </w:rPr>
        <w:t>（提供公安部</w:t>
      </w:r>
      <w:r>
        <w:rPr>
          <w:rFonts w:hint="eastAsia" w:ascii="宋体" w:hAnsi="宋体" w:cs="宋体"/>
          <w:color w:val="auto"/>
          <w:sz w:val="24"/>
          <w:szCs w:val="24"/>
          <w:lang w:eastAsia="zh-CN"/>
        </w:rPr>
        <w:t>权威机构</w:t>
      </w:r>
      <w:r>
        <w:rPr>
          <w:rFonts w:hint="eastAsia" w:ascii="宋体" w:hAnsi="宋体" w:eastAsia="宋体" w:cs="宋体"/>
          <w:color w:val="auto"/>
          <w:sz w:val="24"/>
          <w:szCs w:val="24"/>
        </w:rPr>
        <w:t>检测报告并加盖投标人公章）</w:t>
      </w:r>
    </w:p>
    <w:p w14:paraId="35D1A15E">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通道1及通道焦距&amp;视场角：10~50 mm，水平视场角：36.4°~13.0°，垂直视场角：20.5°~7.4°，对角视场角：41.7°~14.9°；</w:t>
      </w:r>
    </w:p>
    <w:p w14:paraId="7BB907F8">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通道1通道2均具有</w:t>
      </w:r>
      <w:r>
        <w:rPr>
          <w:rFonts w:hint="eastAsia" w:ascii="宋体" w:hAnsi="宋体" w:cs="宋体"/>
          <w:sz w:val="24"/>
          <w:szCs w:val="24"/>
          <w:lang w:val="en-US" w:eastAsia="zh-CN"/>
        </w:rPr>
        <w:t>不少于</w:t>
      </w:r>
      <w:r>
        <w:rPr>
          <w:rFonts w:hint="eastAsia" w:ascii="宋体" w:hAnsi="宋体" w:eastAsia="宋体" w:cs="宋体"/>
          <w:sz w:val="24"/>
          <w:szCs w:val="24"/>
        </w:rPr>
        <w:t>4颗混合补光灯，各含一组近光灯和一组远光灯，支持自动和手动亮度调节模式；</w:t>
      </w:r>
    </w:p>
    <w:p w14:paraId="3E067DC3">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内置鳞镜式补光灯，补光灯开启后，灯光均匀无波纹、圆环状、麻点状、条纹状和不规则亮斑；</w:t>
      </w:r>
    </w:p>
    <w:p w14:paraId="1A69F9AB">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手动模式下可独立配置双通道的混合补光灯组的红外和白光补光灯亮度值；</w:t>
      </w:r>
    </w:p>
    <w:p w14:paraId="09D67E13">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通道1和通道2均满足最低照度彩色不大于0.0002 lx，黑白不大于0.0001 lx；</w:t>
      </w:r>
    </w:p>
    <w:p w14:paraId="168B6109">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设备内置4个电机，双通道均支持PT一体化云台，通道1和通道2的云台应可独立控制，可通过IE浏览器或客户端远程调节PT位置以实现监控场景的切换；</w:t>
      </w:r>
    </w:p>
    <w:p w14:paraId="5998F511">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双镜头PT云台旋转角度均支持水平调节角度：0°～180°，垂直调节角度：-5°～30°；</w:t>
      </w:r>
    </w:p>
    <w:p w14:paraId="3E0C699C">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可通过IE浏览器或客户端分别检查通道1和通道2的PT云台控制功能，自检命令下发后，设备镜头可上、下、左、右完成自检，并反馈自检结果； </w:t>
      </w:r>
    </w:p>
    <w:p w14:paraId="694A1EAF">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支持全结构化模式，包括抓拍人脸、抓拍人体、抓拍非机动车、抓拍机动车；</w:t>
      </w:r>
    </w:p>
    <w:p w14:paraId="44664859">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支持人脸比对模式，包含支持前端人脸比对；支持最多10个人脸库的管理，最多15万张人脸的导入；支持合计人脸库的存储空间最大3 GB，单张人脸不超过300 KB；支持不同人脸库不同时间布防；支持人脸瞳距20像素以上的人脸检测；</w:t>
      </w:r>
    </w:p>
    <w:p w14:paraId="47C3E0F9">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支持道路监控模式，包含支持车牌识别并抓拍、支持检测正向或逆向行驶的车辆以及行人和非机动车，自动对车辆牌照进行识别，可以抓拍无车牌的车辆图片；</w:t>
      </w:r>
    </w:p>
    <w:p w14:paraId="2FECB045">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支持智能分析功能，包括场景变更侦测、进入区域、离开区域、徘徊、区域入侵、人员聚集、视频遮挡、停车侦测、物品移除、物品遗留、越界入侵等功能，平均捕获率不小于99%，平均准确率不小于99%；</w:t>
      </w:r>
    </w:p>
    <w:p w14:paraId="1CCB417B">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支持对检测区域内不低于60个移动目标（机动车、非机动车及行人）进行检测、框选跟踪、筛选、抓拍，可将人脸与人体图片、车牌与车辆图片关联显示；</w:t>
      </w:r>
    </w:p>
    <w:p w14:paraId="5DA66460">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设备可识别距离设备不小于80m的人体轮廓；</w:t>
      </w:r>
    </w:p>
    <w:p w14:paraId="258EAF3C">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支持人脸、行人、非机动车、机动车属性识别功能，可识别不小于11种行人衣服/裤子颜色、不小于13种车身颜色；</w:t>
      </w:r>
    </w:p>
    <w:p w14:paraId="5151E57C">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支持检出面部过曝、面部欠曝、阴阳脸、逆光等不同光照条件下人脸；</w:t>
      </w:r>
    </w:p>
    <w:p w14:paraId="16A8F78F">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在分辨率1920x1080 @ 25fps，码流设置为1Mbps时，视频图像传输延时不大于60ms；</w:t>
      </w:r>
    </w:p>
    <w:p w14:paraId="10B209E2">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设备内置能耗检测模块，可实时检测输入电压和功耗信息，可生成日报表、周报表，并以图表形式展现；</w:t>
      </w:r>
    </w:p>
    <w:p w14:paraId="6F9069FE">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自带机身平衡检测模块，可指示设备安装是否水平；</w:t>
      </w:r>
    </w:p>
    <w:p w14:paraId="75E212D8">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同一静止场景相同图像质量下，设备在H.265编码方式时，开启智能编码功能和不开启智能编码相比，码率节约4/5；</w:t>
      </w:r>
    </w:p>
    <w:p w14:paraId="39F642A2">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支持35114 A级加密；</w:t>
      </w:r>
    </w:p>
    <w:p w14:paraId="251C44B1">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供电方式DC36±20%，支持防反接保护功能；</w:t>
      </w:r>
    </w:p>
    <w:p w14:paraId="529E84AA">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设备防护等级不低于IP67。</w:t>
      </w:r>
    </w:p>
    <w:p w14:paraId="0786220D">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00B0F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设备所</w:t>
      </w:r>
      <w:r>
        <w:rPr>
          <w:rFonts w:hint="eastAsia" w:ascii="宋体" w:hAnsi="宋体" w:eastAsia="宋体" w:cs="宋体"/>
          <w:color w:val="auto"/>
          <w:sz w:val="24"/>
          <w:szCs w:val="24"/>
          <w:highlight w:val="none"/>
        </w:rPr>
        <w:t>采集的各类数据必须无缝对接各类平台包括【大丰公安视频图象信息应用平台（抓拍数据汇聚至视图库），抓拍数据需同时实现交通违法综合管理应用平台、非机动车违法抓拍平台深度应用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公安部集成指挥平台】。投标人投标时必须提供各类数据无缝对接公安以上各类平台的</w:t>
      </w:r>
      <w:r>
        <w:rPr>
          <w:rFonts w:hint="eastAsia" w:ascii="宋体" w:hAnsi="宋体" w:eastAsia="宋体" w:cs="宋体"/>
          <w:color w:val="auto"/>
          <w:sz w:val="24"/>
          <w:szCs w:val="24"/>
          <w:highlight w:val="none"/>
          <w:lang w:eastAsia="zh-CN"/>
        </w:rPr>
        <w:t>承诺函并加盖投标人公章</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函</w:t>
      </w:r>
      <w:r>
        <w:rPr>
          <w:rFonts w:hint="eastAsia" w:ascii="宋体" w:hAnsi="宋体" w:eastAsia="宋体" w:cs="宋体"/>
          <w:color w:val="auto"/>
          <w:sz w:val="24"/>
          <w:szCs w:val="24"/>
          <w:highlight w:val="none"/>
        </w:rPr>
        <w:t>格式自拟）。</w:t>
      </w:r>
    </w:p>
    <w:p w14:paraId="213F0BE4">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400万全结构化摄像机（C级）</w:t>
      </w:r>
    </w:p>
    <w:p w14:paraId="271D66D4">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★具有不小于1/1.8"英寸传感器，内置GPU芯片；</w:t>
      </w:r>
      <w:r>
        <w:rPr>
          <w:rFonts w:hint="eastAsia" w:ascii="宋体" w:hAnsi="宋体" w:eastAsia="宋体" w:cs="宋体"/>
          <w:color w:val="auto"/>
          <w:sz w:val="24"/>
          <w:szCs w:val="24"/>
        </w:rPr>
        <w:t>（提供公安部</w:t>
      </w:r>
      <w:r>
        <w:rPr>
          <w:rFonts w:hint="eastAsia" w:ascii="宋体" w:hAnsi="宋体" w:cs="宋体"/>
          <w:color w:val="auto"/>
          <w:sz w:val="24"/>
          <w:szCs w:val="24"/>
          <w:lang w:eastAsia="zh-CN"/>
        </w:rPr>
        <w:t>权威机构</w:t>
      </w:r>
      <w:r>
        <w:rPr>
          <w:rFonts w:hint="eastAsia" w:ascii="宋体" w:hAnsi="宋体" w:eastAsia="宋体" w:cs="宋体"/>
          <w:color w:val="auto"/>
          <w:sz w:val="24"/>
          <w:szCs w:val="24"/>
        </w:rPr>
        <w:t>检测报告并加盖投标人公章）</w:t>
      </w:r>
    </w:p>
    <w:p w14:paraId="362B807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设备内置电动镜头，可远程调节镜头倍率和聚焦，焦距：8~32mm；</w:t>
      </w:r>
    </w:p>
    <w:p w14:paraId="0E1B5BD0">
      <w:pPr>
        <w:pStyle w:val="7"/>
        <w:rPr>
          <w:rFonts w:hint="eastAsia" w:ascii="宋体" w:hAnsi="宋体" w:eastAsia="宋体" w:cs="宋体"/>
          <w:sz w:val="24"/>
          <w:szCs w:val="24"/>
        </w:rPr>
      </w:pPr>
      <w:r>
        <w:rPr>
          <w:rFonts w:hint="eastAsia" w:ascii="宋体" w:hAnsi="宋体" w:eastAsia="宋体" w:cs="宋体"/>
          <w:sz w:val="24"/>
          <w:szCs w:val="24"/>
        </w:rPr>
        <w:t>设备内</w:t>
      </w:r>
      <w:r>
        <w:rPr>
          <w:rFonts w:hint="eastAsia" w:ascii="宋体" w:hAnsi="宋体" w:eastAsia="宋体" w:cs="宋体"/>
          <w:sz w:val="24"/>
          <w:szCs w:val="24"/>
          <w:lang w:val="en-US" w:eastAsia="zh-CN" w:bidi="ar-SA"/>
        </w:rPr>
        <w:t>置不低于4颗</w:t>
      </w:r>
      <w:r>
        <w:rPr>
          <w:rFonts w:hint="eastAsia" w:ascii="宋体" w:hAnsi="宋体" w:eastAsia="宋体" w:cs="宋体"/>
          <w:sz w:val="24"/>
          <w:szCs w:val="24"/>
        </w:rPr>
        <w:t>混合补光灯，每颗由红外和白光灯组成</w:t>
      </w:r>
    </w:p>
    <w:p w14:paraId="6203452E">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主码流支持2560×1440@25fps，子码流支持704×576@25fps，第三码流支持1920×1080@25fps；</w:t>
      </w:r>
    </w:p>
    <w:p w14:paraId="662156AB">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最低照度彩色不大于0.0002lx，黑白不大于0.0001 lx；</w:t>
      </w:r>
    </w:p>
    <w:p w14:paraId="0166166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内置鳞镜式补光灯，灯杯为半弧形网格鳞片状，灯珠朝向与样机照射方向不同，补光灯开启后正面不可见补光灯灯珠。补光灯开启后灯光均匀无波纹、麻点状、条纹状和不规则亮斑；</w:t>
      </w:r>
    </w:p>
    <w:p w14:paraId="7F4C7BDB">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支持H.264、H.265、MJPEG视频编码格式，且具有High Profile编码能力；</w:t>
      </w:r>
    </w:p>
    <w:p w14:paraId="4180294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同一场景相同图像质量下设备在H.264或H.265编码时，开启智能编码和不开启智能编码相比，码率节约≥9/10；</w:t>
      </w:r>
    </w:p>
    <w:p w14:paraId="46E5CBF1">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在分辨率1920x1080 @ 25fps，码流设置为1Mbps时，视频图像传输延时不大于60ms；</w:t>
      </w:r>
    </w:p>
    <w:p w14:paraId="34C3B3B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周界防范功能，当区域入侵、越界侦测、进入区域、离开区域报警布防开启后，出现行人、非机动车、机动车目标时能触发报警，当检测区域中篮球滚动、小狗移动、树叶晃动及光线明暗变化时不会触发报警；</w:t>
      </w:r>
    </w:p>
    <w:p w14:paraId="7978FE7B">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支持对两眼瞳距不小于40像素的人脸进行检验，支持侧脸过滤功能，可过滤与设备镜头呈上下、左右角度达到预设值的人脸；</w:t>
      </w:r>
    </w:p>
    <w:p w14:paraId="7A0089F6">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★可对检测区域内不低于120个目标（机动车、非机动车及行人）进行检测和抓拍；</w:t>
      </w:r>
      <w:r>
        <w:rPr>
          <w:rFonts w:hint="eastAsia" w:ascii="宋体" w:hAnsi="宋体" w:eastAsia="宋体" w:cs="宋体"/>
          <w:color w:val="auto"/>
          <w:sz w:val="24"/>
          <w:szCs w:val="24"/>
        </w:rPr>
        <w:t>（提供公安部</w:t>
      </w:r>
      <w:r>
        <w:rPr>
          <w:rFonts w:hint="eastAsia" w:ascii="宋体" w:hAnsi="宋体" w:cs="宋体"/>
          <w:color w:val="auto"/>
          <w:sz w:val="24"/>
          <w:szCs w:val="24"/>
          <w:lang w:eastAsia="zh-CN"/>
        </w:rPr>
        <w:t>权威机构</w:t>
      </w:r>
      <w:r>
        <w:rPr>
          <w:rFonts w:hint="eastAsia" w:ascii="宋体" w:hAnsi="宋体" w:eastAsia="宋体" w:cs="宋体"/>
          <w:color w:val="auto"/>
          <w:sz w:val="24"/>
          <w:szCs w:val="24"/>
        </w:rPr>
        <w:t>检测报告并加盖投标人公章）</w:t>
      </w:r>
    </w:p>
    <w:p w14:paraId="337E3C69">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支持人数统计功能，可设置最多8个人数统计区域，区域名称可自定义；可设置人员密度报警、人数异常报警、停留时间异常报警，每个人数统计区域可设置最多3种报警类型；</w:t>
      </w:r>
    </w:p>
    <w:p w14:paraId="01EB2420">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在IE浏览器下，具有设备重启和布防动态报警数据感知与记录功能，布防动态报警数据包括异常掉线、历史布防、实时布防3种类型；可记录报警的开始时间、结束时间、布防类型、报警链路地址、端口、链路续传；</w:t>
      </w:r>
    </w:p>
    <w:p w14:paraId="397895A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支持GB35114</w:t>
      </w:r>
      <w:r>
        <w:rPr>
          <w:rFonts w:hint="eastAsia" w:ascii="宋体" w:hAnsi="宋体" w:cs="宋体"/>
          <w:sz w:val="24"/>
          <w:szCs w:val="24"/>
          <w:lang w:val="en-US" w:eastAsia="zh-CN"/>
        </w:rPr>
        <w:t xml:space="preserve"> </w:t>
      </w:r>
      <w:r>
        <w:rPr>
          <w:rFonts w:hint="eastAsia" w:ascii="宋体" w:hAnsi="宋体" w:eastAsia="宋体" w:cs="宋体"/>
          <w:sz w:val="24"/>
          <w:szCs w:val="24"/>
        </w:rPr>
        <w:t>C级认证，支持SVAC2.0编码；</w:t>
      </w:r>
    </w:p>
    <w:p w14:paraId="1C3B0C01">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设备具有耀光抑制功能，耀光区域≤1%；</w:t>
      </w:r>
    </w:p>
    <w:p w14:paraId="5A6FBB0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内置</w:t>
      </w:r>
      <w:r>
        <w:rPr>
          <w:rFonts w:hint="eastAsia" w:ascii="宋体" w:hAnsi="宋体" w:cs="宋体"/>
          <w:sz w:val="24"/>
          <w:szCs w:val="24"/>
          <w:lang w:val="en-US" w:eastAsia="zh-CN"/>
        </w:rPr>
        <w:t>不少于</w:t>
      </w:r>
      <w:r>
        <w:rPr>
          <w:rFonts w:hint="eastAsia" w:ascii="宋体" w:hAnsi="宋体" w:eastAsia="宋体" w:cs="宋体"/>
          <w:sz w:val="24"/>
          <w:szCs w:val="24"/>
        </w:rPr>
        <w:t>2个麦克风，1个扬声器，支持</w:t>
      </w:r>
      <w:r>
        <w:rPr>
          <w:rFonts w:hint="eastAsia" w:ascii="宋体" w:hAnsi="宋体" w:cs="宋体"/>
          <w:sz w:val="24"/>
          <w:szCs w:val="24"/>
          <w:lang w:val="en-US" w:eastAsia="zh-CN"/>
        </w:rPr>
        <w:t>不少于</w:t>
      </w:r>
      <w:r>
        <w:rPr>
          <w:rFonts w:hint="eastAsia" w:ascii="宋体" w:hAnsi="宋体" w:eastAsia="宋体" w:cs="宋体"/>
          <w:sz w:val="24"/>
          <w:szCs w:val="24"/>
        </w:rPr>
        <w:t>3路报警输入，2路报警输出，2路音频输入，1路音频输出，</w:t>
      </w:r>
      <w:r>
        <w:rPr>
          <w:rFonts w:hint="eastAsia" w:ascii="宋体" w:hAnsi="宋体" w:cs="宋体"/>
          <w:sz w:val="24"/>
          <w:szCs w:val="24"/>
          <w:lang w:val="en-US" w:eastAsia="zh-CN"/>
        </w:rPr>
        <w:t>不少于</w:t>
      </w:r>
      <w:r>
        <w:rPr>
          <w:rFonts w:hint="eastAsia" w:ascii="宋体" w:hAnsi="宋体" w:eastAsia="宋体" w:cs="宋体"/>
          <w:sz w:val="24"/>
          <w:szCs w:val="24"/>
        </w:rPr>
        <w:t>1个SD卡槽，1个RS485接口；</w:t>
      </w:r>
    </w:p>
    <w:p w14:paraId="046751C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支持DC12V或POE供电；</w:t>
      </w:r>
    </w:p>
    <w:p w14:paraId="183093F2">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支持IP67防尘防水。</w:t>
      </w:r>
    </w:p>
    <w:p w14:paraId="2AE25745">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设备所</w:t>
      </w:r>
      <w:r>
        <w:rPr>
          <w:rFonts w:hint="eastAsia" w:ascii="宋体" w:hAnsi="宋体" w:eastAsia="宋体" w:cs="宋体"/>
          <w:color w:val="auto"/>
          <w:sz w:val="24"/>
          <w:szCs w:val="24"/>
          <w:highlight w:val="none"/>
        </w:rPr>
        <w:t>采集的各类数据必须无缝对接各类平台包括【大丰公安视频图象信息应用平台（抓拍数据汇聚至视图库），抓拍数据需同时实现交通违法综合管理应用平台、非机动车违法抓拍平台深度应用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公安部集成指挥平台】。投标人投标时必须提供各类数据无缝对接公安以上各类平台的</w:t>
      </w:r>
      <w:r>
        <w:rPr>
          <w:rFonts w:hint="eastAsia" w:ascii="宋体" w:hAnsi="宋体" w:eastAsia="宋体" w:cs="宋体"/>
          <w:color w:val="auto"/>
          <w:sz w:val="24"/>
          <w:szCs w:val="24"/>
          <w:highlight w:val="none"/>
          <w:lang w:eastAsia="zh-CN"/>
        </w:rPr>
        <w:t>承诺函并加盖投标人公章</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函</w:t>
      </w:r>
      <w:r>
        <w:rPr>
          <w:rFonts w:hint="eastAsia" w:ascii="宋体" w:hAnsi="宋体" w:eastAsia="宋体" w:cs="宋体"/>
          <w:color w:val="auto"/>
          <w:sz w:val="24"/>
          <w:szCs w:val="24"/>
          <w:highlight w:val="none"/>
        </w:rPr>
        <w:t>格式自拟）。</w:t>
      </w:r>
    </w:p>
    <w:p w14:paraId="04DA8C2A">
      <w:pPr>
        <w:pStyle w:val="2"/>
        <w:ind w:left="0" w:leftChars="0" w:firstLine="0" w:firstLineChars="0"/>
        <w:rPr>
          <w:rFonts w:hint="eastAsia"/>
        </w:rPr>
      </w:pPr>
    </w:p>
    <w:p w14:paraId="6BF35BD2">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400万三镜头全结构化枪球一体机</w:t>
      </w:r>
    </w:p>
    <w:p w14:paraId="0F4CCEF1">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★设备内置不少于2个全景通道和1个细节通道，最大分辨率均不小于2560*1440，全景通道1、2靶面尺寸均不小于1/1.8英寸，支持不小于4倍光学变倍，细节通道支持不小于25倍光学变倍；</w:t>
      </w:r>
      <w:r>
        <w:rPr>
          <w:rFonts w:hint="eastAsia" w:ascii="宋体" w:hAnsi="宋体" w:eastAsia="宋体" w:cs="宋体"/>
          <w:color w:val="auto"/>
          <w:sz w:val="24"/>
          <w:szCs w:val="24"/>
        </w:rPr>
        <w:t>（提供公安部</w:t>
      </w:r>
      <w:r>
        <w:rPr>
          <w:rFonts w:hint="eastAsia" w:ascii="宋体" w:hAnsi="宋体" w:cs="宋体"/>
          <w:color w:val="auto"/>
          <w:sz w:val="24"/>
          <w:szCs w:val="24"/>
          <w:lang w:eastAsia="zh-CN"/>
        </w:rPr>
        <w:t>权威机构</w:t>
      </w:r>
      <w:r>
        <w:rPr>
          <w:rFonts w:hint="eastAsia" w:ascii="宋体" w:hAnsi="宋体" w:eastAsia="宋体" w:cs="宋体"/>
          <w:color w:val="auto"/>
          <w:sz w:val="24"/>
          <w:szCs w:val="24"/>
        </w:rPr>
        <w:t>检测报告并加盖投标人公章）</w:t>
      </w:r>
    </w:p>
    <w:p w14:paraId="09BBDD9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支持最低照度可达彩色0.0002lx，黑白0.0001lx；</w:t>
      </w:r>
    </w:p>
    <w:p w14:paraId="00BD1914">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全景通道1、2：支持水平:0°-190°，垂直-5°-30°，细节通道:水平:0°-340°垂直:-10°-90°；</w:t>
      </w:r>
    </w:p>
    <w:p w14:paraId="693958E4">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全景通道1，全景通道2和细节通道可分别进行水平垂直方向调节，全景通道1进行水平，垂直调节时，全景通道2可保持不动，全易通道1和全景通道2进行水平调节时，细节摄像机可保持不动；</w:t>
      </w:r>
    </w:p>
    <w:p w14:paraId="2B5CC28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▲设备两个镜头支持同时对行人、非机动车、机动车进行检测、跟随、抓拍，可支持人脸、车牌、非机动车车牌抠图，可将人脸与人体、车牌与车辆关联显示；</w:t>
      </w:r>
    </w:p>
    <w:p w14:paraId="13241F9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▲设备两个镜头均支持PTZ云台旋转功能，水平调节角度范围均</w:t>
      </w:r>
      <w:r>
        <w:rPr>
          <w:rFonts w:hint="eastAsia" w:ascii="宋体" w:hAnsi="宋体" w:cs="宋体"/>
          <w:sz w:val="24"/>
          <w:szCs w:val="24"/>
          <w:lang w:eastAsia="zh-CN"/>
        </w:rPr>
        <w:t>达到</w:t>
      </w:r>
      <w:r>
        <w:rPr>
          <w:rFonts w:hint="eastAsia" w:ascii="宋体" w:hAnsi="宋体" w:eastAsia="宋体" w:cs="宋体"/>
          <w:sz w:val="24"/>
          <w:szCs w:val="24"/>
        </w:rPr>
        <w:t>：0°～180°，垂直调节角度范围均</w:t>
      </w:r>
      <w:r>
        <w:rPr>
          <w:rFonts w:hint="eastAsia" w:ascii="宋体" w:hAnsi="宋体" w:cs="宋体"/>
          <w:sz w:val="24"/>
          <w:szCs w:val="24"/>
          <w:lang w:eastAsia="zh-CN"/>
        </w:rPr>
        <w:t>达到</w:t>
      </w:r>
      <w:r>
        <w:rPr>
          <w:rFonts w:hint="eastAsia" w:ascii="宋体" w:hAnsi="宋体" w:eastAsia="宋体" w:cs="宋体"/>
          <w:sz w:val="24"/>
          <w:szCs w:val="24"/>
        </w:rPr>
        <w:t>：-5°～30°。</w:t>
      </w:r>
    </w:p>
    <w:p w14:paraId="0E4326B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全景通道1、2及细节通道均支持全结构化、事件检测及普通监控功能；</w:t>
      </w:r>
    </w:p>
    <w:p w14:paraId="0F4D272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全结构化模式下支持三路卡口式混合目标检测，对检测区域内的人、车进行抓拍上传；支持人脸人体车辆同时抓拍，人脸人体关联输出，并实现对人脸、人体、车辆结构化属性特征信息提取；</w:t>
      </w:r>
    </w:p>
    <w:p w14:paraId="0C391C8C">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事件检测支持全景摄像机对设定区域进行布防，当检测到目标时联动细节摄像机对目标进行跟随及报警，实现周界布防，支持跟随抓拍和接管跟随，两者功能互斥；</w:t>
      </w:r>
    </w:p>
    <w:p w14:paraId="4747964E">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内嵌多套枪机视场角参数和畸变参数，枪机在任意角度，任意焦距位置，均可以进行自动标定；</w:t>
      </w:r>
    </w:p>
    <w:p w14:paraId="45E6EE7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设备支持不少于300个预置位，可按照所设置的预置位设置不少于8条巡航路径，具有预置位视频冻结功能；</w:t>
      </w:r>
    </w:p>
    <w:p w14:paraId="0604CD8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支持H.264、H.265、MJPEG视频编码格式，且具有High Profile编码能力；</w:t>
      </w:r>
    </w:p>
    <w:p w14:paraId="21C9610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支持开启白光灯时:2个全景和1个细节通道均可抓拍20m处人脸，开启红外灯时:2个全景和1个细节通道均可识别200m处的人体；</w:t>
      </w:r>
    </w:p>
    <w:p w14:paraId="1DB83A0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设备支持智能配置示例功能，智能配置界面具备每一步的配置示例，示例中包括检测区域和检测线标识，并具备最小瞳距和规则区域的注释；</w:t>
      </w:r>
    </w:p>
    <w:p w14:paraId="765AAA2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支持2个全景通道和1个细节通道分别或同时对行人、非机动车、机动车进行检测、跟随、抓拍，可支持人脸、车牌、非机动车车牌抠图，可将人脸与人体、车牌与车辆关联显示；</w:t>
      </w:r>
    </w:p>
    <w:p w14:paraId="5690B3D0">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设备具有双安装接口，一个为快速旋转安装接口，一个为多孔稳定安装接口；</w:t>
      </w:r>
    </w:p>
    <w:p w14:paraId="22B7DE4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支持联动功能，全景通道下，触发区域入侵、越界、进入区域、离开区域等事件，且开启细节通道的联动抓拍功能时，可联动细节摄像机进行目标跟随；</w:t>
      </w:r>
    </w:p>
    <w:p w14:paraId="44DB299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全景通道1和全景通道2分别支持smart事件和全结构化模式，细节通道支持smart事件、全结构化和普通监控模式。全景通道1、全景通道2和细节通道智能功能可以任意选择并保存生效；</w:t>
      </w:r>
    </w:p>
    <w:p w14:paraId="2862C2A9">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镜头防护玻璃呈倾斜状，可改变射向镜头的光束的反射光方向;在天气晴朗无雾、辅助照明光照度低的条件下，摄像机镜头前方出现机动车或非机动车补光灯、手机补光灯、手电筒补光灯时，可降低反射光斑对视频画面的影响；</w:t>
      </w:r>
      <w:r>
        <w:rPr>
          <w:rFonts w:hint="eastAsia" w:ascii="宋体" w:hAnsi="宋体" w:eastAsia="宋体" w:cs="宋体"/>
          <w:color w:val="auto"/>
          <w:sz w:val="24"/>
          <w:szCs w:val="24"/>
        </w:rPr>
        <w:t>（提供公安部</w:t>
      </w:r>
      <w:r>
        <w:rPr>
          <w:rFonts w:hint="eastAsia" w:ascii="宋体" w:hAnsi="宋体" w:cs="宋体"/>
          <w:color w:val="auto"/>
          <w:sz w:val="24"/>
          <w:szCs w:val="24"/>
          <w:lang w:eastAsia="zh-CN"/>
        </w:rPr>
        <w:t>权威机构</w:t>
      </w:r>
      <w:r>
        <w:rPr>
          <w:rFonts w:hint="eastAsia" w:ascii="宋体" w:hAnsi="宋体" w:eastAsia="宋体" w:cs="宋体"/>
          <w:color w:val="auto"/>
          <w:sz w:val="24"/>
          <w:szCs w:val="24"/>
        </w:rPr>
        <w:t>检测报告并加盖投标人公章）</w:t>
      </w:r>
    </w:p>
    <w:p w14:paraId="3E826D2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支持通过IE浏览器设置闪光灯闪烁时间1~300可设;闪烁频率高中低、常亮可设;亮度0~100可设;可通过区域入侵侦测、越界侦测、进入区域侦测、离开区域侦测等报警事件联动白光灯闪光报警；</w:t>
      </w:r>
    </w:p>
    <w:p w14:paraId="6F1AF51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设备支持不少于7路报警输入，不少于2路报警输出，不少于1路音频输入，不少于1路音频输出，不少于1个SD卡槽，不少于1个RJ45网口，不少于1个485接口；</w:t>
      </w:r>
    </w:p>
    <w:p w14:paraId="64EF0BB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支持GB35114 A级安全加密；</w:t>
      </w:r>
    </w:p>
    <w:p w14:paraId="79DD52A7">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防护：IP67；6000 V防雷、防浪涌、防突波，符合GB/T17626.2/3/4/5/6四级标准。</w:t>
      </w:r>
    </w:p>
    <w:p w14:paraId="1FAD1FB5">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00B0F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设备所</w:t>
      </w:r>
      <w:r>
        <w:rPr>
          <w:rFonts w:hint="eastAsia" w:ascii="宋体" w:hAnsi="宋体" w:eastAsia="宋体" w:cs="宋体"/>
          <w:color w:val="auto"/>
          <w:sz w:val="24"/>
          <w:szCs w:val="24"/>
          <w:highlight w:val="none"/>
        </w:rPr>
        <w:t>采集的各类数据必须无缝对接各类平台包括【大丰公安视频图象信息应用平台（抓拍数据汇聚至视图库），抓拍数据需同时实现交通违法综合管理应用平台、非机动车违法抓拍平台深度应用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公安部集成指挥平台】。投标人投标时必须提供各类数据无缝对接公安以上各类平台的</w:t>
      </w:r>
      <w:r>
        <w:rPr>
          <w:rFonts w:hint="eastAsia" w:ascii="宋体" w:hAnsi="宋体" w:eastAsia="宋体" w:cs="宋体"/>
          <w:color w:val="auto"/>
          <w:sz w:val="24"/>
          <w:szCs w:val="24"/>
          <w:highlight w:val="none"/>
          <w:lang w:eastAsia="zh-CN"/>
        </w:rPr>
        <w:t>承诺函并加盖投标人公章</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函</w:t>
      </w:r>
      <w:r>
        <w:rPr>
          <w:rFonts w:hint="eastAsia" w:ascii="宋体" w:hAnsi="宋体" w:eastAsia="宋体" w:cs="宋体"/>
          <w:color w:val="auto"/>
          <w:sz w:val="24"/>
          <w:szCs w:val="24"/>
          <w:highlight w:val="none"/>
        </w:rPr>
        <w:t>格式自拟）。</w:t>
      </w:r>
    </w:p>
    <w:p w14:paraId="35AE0D50">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 xml:space="preserve"> </w:t>
      </w:r>
      <w:bookmarkStart w:id="191" w:name="_Toc17240"/>
      <w:r>
        <w:rPr>
          <w:rFonts w:hint="eastAsia" w:ascii="宋体" w:hAnsi="宋体" w:eastAsia="宋体" w:cs="宋体"/>
          <w:sz w:val="24"/>
          <w:szCs w:val="24"/>
        </w:rPr>
        <w:t>四合一环保爆闪灯</w:t>
      </w:r>
      <w:bookmarkEnd w:id="191"/>
    </w:p>
    <w:p w14:paraId="53AB1484">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具备</w:t>
      </w:r>
      <w:r>
        <w:rPr>
          <w:rFonts w:hint="eastAsia" w:ascii="宋体" w:hAnsi="宋体" w:cs="宋体"/>
          <w:sz w:val="24"/>
          <w:szCs w:val="24"/>
          <w:lang w:val="en-US" w:eastAsia="zh-CN"/>
        </w:rPr>
        <w:t>不低于</w:t>
      </w:r>
      <w:r>
        <w:rPr>
          <w:rFonts w:hint="eastAsia" w:ascii="宋体" w:hAnsi="宋体" w:eastAsia="宋体" w:cs="宋体"/>
          <w:sz w:val="24"/>
          <w:szCs w:val="24"/>
        </w:rPr>
        <w:t>24颗原装进口高亮度LED芯片，寿命长，稳定性好，发光效率高；</w:t>
      </w:r>
    </w:p>
    <w:p w14:paraId="7F326C77">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应LED格栅，有效减少周边光污染；</w:t>
      </w:r>
    </w:p>
    <w:p w14:paraId="527BDEED">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气体光源回电时间小于67ms，支持超速连拍；</w:t>
      </w:r>
    </w:p>
    <w:p w14:paraId="09238386">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气体补光控制具有峰值抑制功能；</w:t>
      </w:r>
    </w:p>
    <w:p w14:paraId="73120A18">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支持LED灯频闪、白光气体爆闪，红外气体爆闪；</w:t>
      </w:r>
    </w:p>
    <w:p w14:paraId="30477209">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支持相机误触发保护功能，触发信号输入异常时自动保护、且自动恢复；</w:t>
      </w:r>
    </w:p>
    <w:p w14:paraId="2D4B64B4">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★补光需符合（GA/T 1202-2022）要求，一级标准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提供公安部权威机构检测报告并加盖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802CF0D">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为保证卡口抓拍系统运行稳定性，所投多合一环保补光灯设备需与卡口抓拍摄像机品牌保持一致。</w:t>
      </w:r>
    </w:p>
    <w:p w14:paraId="7B61F81C">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工业级交换机8口千M</w:t>
      </w:r>
    </w:p>
    <w:p w14:paraId="123E0E55">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至少具备8个千兆电口, 支持12~55V DC供电；</w:t>
      </w:r>
    </w:p>
    <w:p w14:paraId="04FF3E4B">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抗震抗摔压铸铝合金外壳，耐腐蚀耐氧化永不生锈，防护等级不低于IP40, 具备IP40防护等级认证报告；</w:t>
      </w:r>
    </w:p>
    <w:p w14:paraId="7F8F8CD4">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采用防松动螺丝紧固式端子式电源接头；</w:t>
      </w:r>
    </w:p>
    <w:p w14:paraId="7826498A">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背板带宽不小于24Gbps，适用于需要高流量低延时业务；</w:t>
      </w:r>
    </w:p>
    <w:p w14:paraId="49FDBF52">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运行温度：-40度到75度； </w:t>
      </w:r>
    </w:p>
    <w:p w14:paraId="40C064C3">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192" w:name="_Toc28736"/>
      <w:r>
        <w:rPr>
          <w:rFonts w:hint="eastAsia" w:ascii="宋体" w:hAnsi="宋体" w:eastAsia="宋体" w:cs="宋体"/>
          <w:sz w:val="24"/>
          <w:szCs w:val="24"/>
        </w:rPr>
        <w:t>光纤收发器</w:t>
      </w:r>
      <w:bookmarkEnd w:id="192"/>
    </w:p>
    <w:p w14:paraId="63B6A3AF">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千兆，提供不低于1个1000M自适应电接口和1个FX光接口，有效传输距离大于20KM</w:t>
      </w:r>
    </w:p>
    <w:p w14:paraId="3AB572F5">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193" w:name="_Toc19625"/>
      <w:r>
        <w:rPr>
          <w:rFonts w:hint="eastAsia" w:ascii="宋体" w:hAnsi="宋体" w:eastAsia="宋体" w:cs="宋体"/>
          <w:sz w:val="24"/>
          <w:szCs w:val="24"/>
        </w:rPr>
        <w:t>抱杆机箱</w:t>
      </w:r>
      <w:bookmarkEnd w:id="193"/>
    </w:p>
    <w:p w14:paraId="0E3274BF">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规格尺寸：高450*宽350*深220MM，板材厚度≥1.0MM；柜体采用防晒、隔热顶盖；采取导流槽、胶垫等密封措施，防止雨雪、水和萤虫进入柜体内部。外壳密封性能符合 GB/T 4208 的规定，柜门采用静音轴承合叶铰链。柜体电源接线端子与机柜之间的绝缘电阻在正常状态下不小于 100MΩ，在 20℃相对湿度 5%RH～95%RH 状态下不小于 2MΩ。西安门需要做加强筋固定，保证箱体的防撬、防盗。</w:t>
      </w:r>
    </w:p>
    <w:p w14:paraId="6452DE38">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电子式自动重合闸保护器；额定电流；10-16A可选；漏流动作电流；30mA；漏电不动作电流；15mA漏流动作时间：≤0.1s合闸前具有检测功能。具备过流短路保护、欠压/过压保护、漏电保护、故障记忆、合闸前检测、自动重控制功能。</w:t>
      </w:r>
    </w:p>
    <w:p w14:paraId="2C5DD646">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外壳防护等级符合IP65；工作温度-55°~ +85°设备可正常工作；设备具有盐雾告警功能且通过盐雾检测，盐雾环境：浓度：（5±0.1)%,温度：（35±2）℃；喷雾时间：每隔45min喷雾15min,共96h；盐雾沉降量：1.0ml/h.80cm²-2.0ml/h.80cm²，试验后样板表面无黄斑且不生锈。</w:t>
      </w:r>
    </w:p>
    <w:p w14:paraId="7CEBC79A">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锁体通过智能钥匙供电，无内置电源。</w:t>
      </w:r>
    </w:p>
    <w:p w14:paraId="56D98FB3">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★电子锁同时具有机械和电子双重加密功能，仅当机械和电子同时正确时，方可开锁；</w:t>
      </w:r>
      <w:r>
        <w:rPr>
          <w:rFonts w:hint="eastAsia" w:ascii="宋体" w:hAnsi="宋体" w:eastAsia="宋体" w:cs="宋体"/>
          <w:color w:val="auto"/>
          <w:sz w:val="24"/>
          <w:szCs w:val="24"/>
        </w:rPr>
        <w:t>（需提供公安部</w:t>
      </w:r>
      <w:r>
        <w:rPr>
          <w:rFonts w:hint="eastAsia" w:ascii="宋体" w:hAnsi="宋体" w:cs="宋体"/>
          <w:color w:val="auto"/>
          <w:sz w:val="24"/>
          <w:szCs w:val="24"/>
          <w:lang w:eastAsia="zh-CN"/>
        </w:rPr>
        <w:t>权威机构</w:t>
      </w:r>
      <w:r>
        <w:rPr>
          <w:rFonts w:hint="eastAsia" w:ascii="宋体" w:hAnsi="宋体" w:eastAsia="宋体" w:cs="宋体"/>
          <w:color w:val="auto"/>
          <w:sz w:val="24"/>
          <w:szCs w:val="24"/>
        </w:rPr>
        <w:t>出具的检测报告并加</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 xml:space="preserve">公章） </w:t>
      </w:r>
      <w:r>
        <w:rPr>
          <w:rFonts w:hint="eastAsia" w:ascii="宋体" w:hAnsi="宋体" w:eastAsia="宋体" w:cs="宋体"/>
          <w:sz w:val="24"/>
          <w:szCs w:val="24"/>
        </w:rPr>
        <w:t xml:space="preserve">                                                  </w:t>
      </w:r>
    </w:p>
    <w:p w14:paraId="2D51360D">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平台具备记录开锁人、开锁时间、闭锁时间等信息，一旦出问题可以溯源； </w:t>
      </w:r>
    </w:p>
    <w:p w14:paraId="642FE3FD">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箱体具备交流 220V 电源防雷和网络接口防雷两种防雷功能，标配 1 路交流电源防雷器交流电源防雷：Uc:385VAC 、In:20kA、Imax:40kA、Up: ≤1.7KV；内置1个32A空开，不少于4个五口国标插座，一个温控风扇。 </w:t>
      </w:r>
    </w:p>
    <w:p w14:paraId="07762C81">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结构化组件</w:t>
      </w:r>
    </w:p>
    <w:p w14:paraId="6B7B8050">
      <w:pPr>
        <w:pageBreakBefore w:val="0"/>
        <w:tabs>
          <w:tab w:val="left" w:pos="0"/>
        </w:tabs>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直径不小于60mm，臂厚不小于3mm，做斜撑设计，热镀锌喷塑。长度（0.3米~3米）及安装高度根据现场环境调整，固定件热镀锌喷塑采用不低于40mm宽，厚度不低于2Mm抱杆包箍固定（不允许使用钢扎带或自紧钢箍带固定安装组件），安装接线不许外露，在杆件内穿线接线连接，需符合架设杆件所属部门的相关要求。</w:t>
      </w:r>
    </w:p>
    <w:p w14:paraId="6CD22D8B">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194" w:name="_Toc19507"/>
      <w:r>
        <w:rPr>
          <w:rFonts w:hint="eastAsia" w:ascii="宋体" w:hAnsi="宋体" w:eastAsia="宋体" w:cs="宋体"/>
          <w:sz w:val="24"/>
          <w:szCs w:val="24"/>
        </w:rPr>
        <w:t>4.5米监控立杆（含基础、地笼、浇筑）</w:t>
      </w:r>
      <w:bookmarkEnd w:id="194"/>
    </w:p>
    <w:p w14:paraId="03CF0DDE">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杆件L型，立杆高4.5m，立杆八角直径120-150-4mm厚；横臂60-3mm厚（0-3米），表面热镀锌喷塑，蓝底白杆，基础开挖尺寸不低于0.8m*0.8m*1m，含地笼、开挖、C25基础浇筑。（具体杆件样式需与甲方确认）</w:t>
      </w:r>
    </w:p>
    <w:p w14:paraId="3178D05A">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195" w:name="_Toc19439"/>
      <w:r>
        <w:rPr>
          <w:rFonts w:hint="eastAsia" w:ascii="宋体" w:hAnsi="宋体" w:eastAsia="宋体" w:cs="宋体"/>
          <w:sz w:val="24"/>
          <w:szCs w:val="24"/>
        </w:rPr>
        <w:t>7米挑臂7M杆件（含基础、地笼、浇筑）</w:t>
      </w:r>
      <w:bookmarkEnd w:id="195"/>
    </w:p>
    <w:p w14:paraId="126EA8D6">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立杆八角直径220-280-5mm厚，横臂八角直径90-165-3mm厚，基础法兰直径450-16mm厚，热镀锌后喷塑处理，基础开挖尺寸不低于1.4m*1.4m*1.6m，含地笼、开挖、C25基础浇筑，杆件防腐采用内外热浸镀锌，横梁、立柱、法兰结构件镀锌量不小于600g/㎡，杆件结构按12级台风设计，抗风能力达43m/s；</w:t>
      </w:r>
    </w:p>
    <w:p w14:paraId="076F1B6C">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196" w:name="_Toc23454"/>
      <w:r>
        <w:rPr>
          <w:rFonts w:hint="eastAsia" w:ascii="宋体" w:hAnsi="宋体" w:eastAsia="宋体" w:cs="宋体"/>
          <w:sz w:val="24"/>
          <w:szCs w:val="24"/>
        </w:rPr>
        <w:t>7米挑臂10M杆件（含基础、地笼、浇筑）</w:t>
      </w:r>
      <w:bookmarkEnd w:id="196"/>
    </w:p>
    <w:p w14:paraId="46F8E3F2">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立杆八角直径240-300-6mm厚，横臂八角直径100-220-4mm厚，基础法兰直径500-16mm厚，热镀锌后喷塑处理，基础开挖尺寸不低于1.6m*1.6m*1.8m，含地笼、开挖、C25基础浇筑，杆件防腐采用内外热浸镀锌，横梁、立柱、法兰结构件镀锌量不小于600g/㎡，杆件结构按12级台风设计，抗风能力达43m/s；</w:t>
      </w:r>
    </w:p>
    <w:p w14:paraId="7D4C7C30">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197" w:name="_Toc8729"/>
      <w:r>
        <w:rPr>
          <w:rFonts w:hint="eastAsia" w:ascii="宋体" w:hAnsi="宋体" w:eastAsia="宋体" w:cs="宋体"/>
          <w:sz w:val="24"/>
          <w:szCs w:val="24"/>
        </w:rPr>
        <w:t>7米挑臂12M杆件（含基础、地笼、浇筑）</w:t>
      </w:r>
      <w:bookmarkEnd w:id="197"/>
    </w:p>
    <w:p w14:paraId="72A7F9F6">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立杆八角直径270-330-6mm厚，横臂八角直径100-240-5mm厚，基础法兰直径550-18mm厚，热镀锌后喷塑处理，基础开挖尺寸不低于1.8m*1.8m*2.0m，含地笼、开挖、C25基础浇筑，杆件防腐采用内外热浸镀锌，横梁、立柱、法兰结构件镀锌量不小于600g/㎡，杆件结构按12级台风设计，抗风能力达43m/s；</w:t>
      </w:r>
    </w:p>
    <w:p w14:paraId="47A8CA07">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198" w:name="_Toc18307"/>
      <w:r>
        <w:rPr>
          <w:rFonts w:hint="eastAsia" w:ascii="宋体" w:hAnsi="宋体" w:eastAsia="宋体" w:cs="宋体"/>
          <w:sz w:val="24"/>
          <w:szCs w:val="24"/>
        </w:rPr>
        <w:t>7米挑臂14M杆件（含基础、地笼、浇筑）</w:t>
      </w:r>
      <w:bookmarkEnd w:id="198"/>
    </w:p>
    <w:p w14:paraId="548ED37B">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立杆八角直径300-360-8mm厚，横臂八角直径100-190+190-280-4+5mm厚，基础法兰直径600-20mm厚，横臂对接法兰直径340-16mm厚，热镀锌后喷塑处理，基础开挖尺寸不低于1.8m*1.8m*2.0m，含地笼、开挖、C25基础浇筑，</w:t>
      </w:r>
      <w:bookmarkStart w:id="199" w:name="_Hlk117871092"/>
      <w:r>
        <w:rPr>
          <w:rFonts w:hint="eastAsia" w:ascii="宋体" w:hAnsi="宋体" w:eastAsia="宋体" w:cs="宋体"/>
          <w:sz w:val="24"/>
          <w:szCs w:val="24"/>
        </w:rPr>
        <w:t>杆件防腐采用内外热浸镀锌，横梁、立柱、法兰结构件镀锌量不小于600g/㎡，杆件结构按12级台风设计，抗风能力达43m/s；</w:t>
      </w:r>
      <w:bookmarkEnd w:id="199"/>
    </w:p>
    <w:p w14:paraId="51416D86">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200" w:name="_Toc25597"/>
      <w:r>
        <w:rPr>
          <w:rFonts w:hint="eastAsia" w:ascii="宋体" w:hAnsi="宋体" w:eastAsia="宋体" w:cs="宋体"/>
          <w:sz w:val="24"/>
          <w:szCs w:val="24"/>
        </w:rPr>
        <w:t>砖砌手井（含手井圈、盖）</w:t>
      </w:r>
      <w:bookmarkEnd w:id="200"/>
    </w:p>
    <w:p w14:paraId="105DD211">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材料品种:240 mm厚，标准砖砌筑。</w:t>
      </w:r>
    </w:p>
    <w:p w14:paraId="0D209D00">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规格尺寸:500mm*500mm*600mm。</w:t>
      </w:r>
    </w:p>
    <w:p w14:paraId="0DC720E7">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盖板材质、规格:预制钢筋砼盖板。</w:t>
      </w:r>
    </w:p>
    <w:p w14:paraId="54705E91">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基础、垫层：材料品种、厚度:100厚C15砼。</w:t>
      </w:r>
    </w:p>
    <w:p w14:paraId="0C48DE61">
      <w:pPr>
        <w:pStyle w:val="34"/>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井盖上印有“公安专用”标志。</w:t>
      </w:r>
    </w:p>
    <w:bookmarkEnd w:id="190"/>
    <w:p w14:paraId="3FCA7053">
      <w:pPr>
        <w:pStyle w:val="5"/>
        <w:pageBreakBefore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sz w:val="24"/>
          <w:szCs w:val="24"/>
        </w:rPr>
      </w:pPr>
      <w:bookmarkStart w:id="201" w:name="_Toc61"/>
      <w:r>
        <w:rPr>
          <w:rFonts w:hint="eastAsia" w:ascii="宋体" w:hAnsi="宋体" w:eastAsia="宋体" w:cs="宋体"/>
          <w:sz w:val="24"/>
          <w:szCs w:val="24"/>
        </w:rPr>
        <w:t>二、存储扩容参数要求</w:t>
      </w:r>
      <w:bookmarkEnd w:id="201"/>
    </w:p>
    <w:p w14:paraId="112E6ECC">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202" w:name="_Toc177"/>
      <w:r>
        <w:rPr>
          <w:rFonts w:hint="eastAsia" w:ascii="宋体" w:hAnsi="宋体" w:eastAsia="宋体" w:cs="宋体"/>
          <w:sz w:val="24"/>
          <w:szCs w:val="24"/>
        </w:rPr>
        <w:t>网络存储设备（48盘位，满配16T硬盘）</w:t>
      </w:r>
      <w:bookmarkEnd w:id="202"/>
    </w:p>
    <w:p w14:paraId="38B74859">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服务器配置：≥2颗64位多核处理器，≥64GB内存，内存支持扩展到≥256GB，内置2颗SSD图片加速盘，≥2个千兆电口，≥2个万兆光口。</w:t>
      </w:r>
    </w:p>
    <w:p w14:paraId="7232E83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设备自带48块3.5寸16T企业级硬盘。</w:t>
      </w:r>
    </w:p>
    <w:p w14:paraId="1079AC0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具有48块硬盘热插拔插槽；支持硬盘热插拔设备在读写数据时，热插拔设备内的任意块硬盘，设备正常运行不宕机，硬盘不损坏，数据不丢失，业务不中断。</w:t>
      </w:r>
    </w:p>
    <w:p w14:paraId="49E3389B">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支持超融合架构服务模式，利用云原生架构与容器技术，将设备内的计算、网络、存储资源进行虚拟化，对外可同时提供虚拟机、容器、流式存储-视频存储（GB/T 28181、RTSP、Onvif）、流式存储-图片存储（GA/T 1400.4）、NAS文件存储（NFS、CIFS、FTP）、对象存储（S3、OSS）、块存储（iSCSI，FC）、大数据存储（HDFS）、结构化数据存储(REST、原生ElasticSearch http接口)服务。</w:t>
      </w:r>
    </w:p>
    <w:p w14:paraId="0B8C4177">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支持对集群资源池的容量进行实时监控与趋势分析的前检测，对资源池可用的剩余天数和提前覆盖时间进行预测和预警提示；</w:t>
      </w:r>
    </w:p>
    <w:p w14:paraId="63B96FC4">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系统支持数据智能重构，可根据不同场景设定重构优先级及重构策略，其中策略包含：1级：即时读取时重构；2级：自定义点位与时间段重构；3级：用户锁定数据优先重构；4级：存储池安全级别，重构优先级级别依次递减；同时重构系统根据当前负载情况自动调整数据恢复速度，在整个数据恢复过程中，业务不中断。</w:t>
      </w:r>
    </w:p>
    <w:p w14:paraId="15BFD78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p>
    <w:p w14:paraId="5C832FE2">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系统以流直存模式进行录像、图片数据存储。系统中的实时视频流、抓拍图片无需经过任何转发服务器/虚拟机即可实现数据流直存，视频与图片数据直存后可即存即取。</w:t>
      </w:r>
    </w:p>
    <w:p w14:paraId="2FB660B7">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支持查看硬盘体检报告、硬盘深度体检和磁盘档案；支持下载单个硬盘或批量硬盘的报告，支持按时间显示硬盘的坏扇区、温度、振动变化趋势的曲线图； 可对系统中的磁盘进行周期性体检、对有风险的磁盘做深度体检，并给出处理意见，对有损坏风险的磁盘，可使用RAID技术进行数据处理。</w:t>
      </w:r>
    </w:p>
    <w:p w14:paraId="3B65AC06">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支持磁盘故障预测，通过对硬盘SMART信息进行周期性检测，监测会导致硬盘故障的关键指标，通过分析关键指标的变化趋势实现硬盘故障预测。</w:t>
      </w:r>
    </w:p>
    <w:p w14:paraId="4C3A5796">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支持延迟踢盘，防止误拔硬盘导致数据破坏。</w:t>
      </w:r>
    </w:p>
    <w:p w14:paraId="048709D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支持慢盘检测，通过硬盘IO检测机制检测慢IO识别慢盘，并自动隔离慢盘。</w:t>
      </w:r>
    </w:p>
    <w:p w14:paraId="3B1E7E5B">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p>
    <w:p w14:paraId="2FD7A7A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★投标人所投视频云存储服务器设备需与大丰公安原云存储管理系统无缝对接，对接过程中产生的额外费用由投标人自行承担。</w:t>
      </w:r>
      <w:r>
        <w:rPr>
          <w:rFonts w:hint="eastAsia" w:ascii="宋体" w:hAnsi="宋体" w:eastAsia="宋体" w:cs="宋体"/>
          <w:color w:val="auto"/>
          <w:sz w:val="24"/>
          <w:szCs w:val="24"/>
          <w:lang w:eastAsia="zh-CN"/>
        </w:rPr>
        <w:t>投标人出具</w:t>
      </w:r>
      <w:r>
        <w:rPr>
          <w:rFonts w:hint="eastAsia" w:ascii="宋体" w:hAnsi="宋体" w:cs="宋体"/>
          <w:color w:val="auto"/>
          <w:sz w:val="24"/>
          <w:szCs w:val="24"/>
          <w:lang w:eastAsia="zh-CN"/>
        </w:rPr>
        <w:t>加盖投标人公章的</w:t>
      </w:r>
      <w:r>
        <w:rPr>
          <w:rFonts w:hint="eastAsia" w:ascii="宋体" w:hAnsi="宋体" w:eastAsia="宋体" w:cs="宋体"/>
          <w:color w:val="auto"/>
          <w:sz w:val="24"/>
          <w:szCs w:val="24"/>
          <w:lang w:eastAsia="zh-CN"/>
        </w:rPr>
        <w:t>承诺函</w:t>
      </w:r>
      <w:r>
        <w:rPr>
          <w:rFonts w:hint="eastAsia" w:ascii="宋体" w:hAnsi="宋体" w:cs="宋体"/>
          <w:color w:val="auto"/>
          <w:sz w:val="24"/>
          <w:szCs w:val="24"/>
          <w:lang w:eastAsia="zh-CN"/>
        </w:rPr>
        <w:t>。</w:t>
      </w:r>
    </w:p>
    <w:p w14:paraId="06132684">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48口万兆光口交换机</w:t>
      </w:r>
    </w:p>
    <w:p w14:paraId="2B4C735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★交换容量≥4.8Tbps，包转发率≥2000Mpps，整机提供10GE光端口数量≥48个</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配置48个万兆多模模块；</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，40/100GE 光接口</w:t>
      </w:r>
      <w:r>
        <w:rPr>
          <w:rFonts w:hint="eastAsia" w:ascii="宋体" w:hAnsi="宋体" w:eastAsia="宋体" w:cs="宋体"/>
          <w:color w:val="auto"/>
          <w:sz w:val="24"/>
          <w:szCs w:val="24"/>
          <w:highlight w:val="none"/>
        </w:rPr>
        <w:t>≥6个；</w:t>
      </w:r>
      <w:r>
        <w:rPr>
          <w:rFonts w:hint="eastAsia" w:ascii="宋体" w:hAnsi="宋体" w:cs="宋体"/>
          <w:color w:val="auto"/>
          <w:sz w:val="24"/>
          <w:szCs w:val="24"/>
          <w:highlight w:val="none"/>
          <w:lang w:eastAsia="zh-CN"/>
        </w:rPr>
        <w:t>（提供官网产品彩页截图）</w:t>
      </w:r>
    </w:p>
    <w:p w14:paraId="5F901CD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支持电源1+1备份，风扇3+1备份；</w:t>
      </w:r>
    </w:p>
    <w:p w14:paraId="640FBF5E">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★CPU采用国产芯片</w:t>
      </w:r>
      <w:r>
        <w:rPr>
          <w:rFonts w:hint="eastAsia" w:ascii="宋体" w:hAnsi="宋体" w:cs="宋体"/>
          <w:color w:val="auto"/>
          <w:sz w:val="24"/>
          <w:szCs w:val="24"/>
          <w:highlight w:val="none"/>
          <w:lang w:eastAsia="zh-CN"/>
        </w:rPr>
        <w:t>（提供第三方检测机构出具的检测报告）</w:t>
      </w:r>
      <w:r>
        <w:rPr>
          <w:rFonts w:hint="eastAsia" w:ascii="宋体" w:hAnsi="宋体" w:eastAsia="宋体" w:cs="宋体"/>
          <w:color w:val="auto"/>
          <w:sz w:val="24"/>
          <w:szCs w:val="24"/>
          <w:highlight w:val="none"/>
        </w:rPr>
        <w:t>；</w:t>
      </w:r>
    </w:p>
    <w:p w14:paraId="344E2AB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支持Vxlan协议，支持BGP EVPN协议；支持IPv6 VXLAN over IPv4；</w:t>
      </w:r>
    </w:p>
    <w:p w14:paraId="044FE92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支持AI ECN等技术，预判网络拥塞，快速反馈，减少网络丢包引起的重传和吞吐量下降，在时延和吞吐量之间取得最大收益；</w:t>
      </w:r>
    </w:p>
    <w:p w14:paraId="57445A5E">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支持硬件BFD3.3ms检测间隔。</w:t>
      </w:r>
    </w:p>
    <w:p w14:paraId="757F9ED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支持M-LAG或vPC等类似技术（跨框链路聚合，要求配对设备有独立的控制平面，不能用堆叠等多虚一技术实现）；</w:t>
      </w:r>
    </w:p>
    <w:p w14:paraId="3E9753F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支持Telemetry，支持Netstream，支持缓存的微突发检测；</w:t>
      </w:r>
    </w:p>
    <w:p w14:paraId="5C99FD2C">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实配：冗余交流电源，提供4个40G多模300M的MPO模块，1根3M的40G高速电缆；</w:t>
      </w:r>
    </w:p>
    <w:p w14:paraId="55BE8A7B">
      <w:pPr>
        <w:pStyle w:val="5"/>
        <w:pageBreakBefore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sz w:val="24"/>
          <w:szCs w:val="24"/>
        </w:rPr>
      </w:pPr>
      <w:bookmarkStart w:id="203" w:name="_Toc22434"/>
      <w:r>
        <w:rPr>
          <w:rFonts w:hint="eastAsia" w:ascii="宋体" w:hAnsi="宋体" w:eastAsia="宋体" w:cs="宋体"/>
          <w:sz w:val="24"/>
          <w:szCs w:val="24"/>
        </w:rPr>
        <w:t>三、人脸解析参数要求</w:t>
      </w:r>
      <w:bookmarkEnd w:id="203"/>
    </w:p>
    <w:p w14:paraId="1C9AB00C">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人脸解析</w:t>
      </w:r>
    </w:p>
    <w:p w14:paraId="66B16BE7">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1、图片流人脸解析，对图片进行人脸识别、特征提取、属性提取，将解析后的特征及属性通过消息队列推送给时空库及布控库。支持布控特征库创建，如在逃人员布控库等。</w:t>
      </w:r>
    </w:p>
    <w:p w14:paraId="3F1890FA">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支持属性识别类别包括性别（男、女）、帽子款式（无帽子、雷锋帽、其他帽子）、眼镜款式（无眼镜、太阳镜、透明色）、胡型（无胡子、一字胡、山羊胡）、年龄段（老年人、成年人、儿童）、头盔（有、无）、口罩位置（正常佩戴、露出鼻孔、露出嘴巴、未戴口罩）、刘海（有、无）、耳机款式（无耳机、头戴式耳机、其他耳机）等。</w:t>
      </w:r>
    </w:p>
    <w:p w14:paraId="1AD97150">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3、支持对30×30像素～10000×10000像素的人脸图片检测解析。</w:t>
      </w:r>
    </w:p>
    <w:p w14:paraId="3199F935">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4、人脸可检测抓拍角度：支持抓拍的人脸姿态：水平转动角范围：-75˚~+75˚俯仰角范围：-60˚~+60˚倾斜角范围：-60˚~+60˚。</w:t>
      </w:r>
    </w:p>
    <w:p w14:paraId="194135FE">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5、人脸可比对识别角度：支持识别的人脸姿态：水平转动角范围：-75˚~+75˚ 俯仰角范围：-45˚~+45˚ 倾斜角范围：-60˚~+60˚。</w:t>
      </w:r>
    </w:p>
    <w:p w14:paraId="0EFA8181">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6、支持对水平转动角度不超过-75°~+75°、俯仰角不超过-45°~+45°、倾斜角不超过-60°~+60°的体图片进行人脸性别识别。</w:t>
      </w:r>
    </w:p>
    <w:p w14:paraId="178A9397">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7、人脸戴口罩位置（正常佩戴、露出鼻孔、露出嘴巴、未戴口罩）分析准确率≥99%。</w:t>
      </w:r>
    </w:p>
    <w:p w14:paraId="124BAEB0">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8、支持人脸戴墨镜检出率≥99%，识别准确率≥99%。</w:t>
      </w:r>
    </w:p>
    <w:p w14:paraId="6BA7231E">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9、人脸戴眼镜款式（无眼镜、太阳镜、透明色）分析准确率≥99%。</w:t>
      </w:r>
    </w:p>
    <w:p w14:paraId="448E2FF6">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10、支持识别微笑、眉毛遮挡、戴黑框眼镜、戴墨镜、闭眼状态的人脸图片，识别率≥99.9%，公式：识别率=正检/图片总数量×100%。</w:t>
      </w:r>
    </w:p>
    <w:p w14:paraId="4F0A77C2">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11、千万级人脸图片入库成功率&gt;99.99%。</w:t>
      </w:r>
    </w:p>
    <w:p w14:paraId="71F7C2B2">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12、80亿人脸抓拍库规模下，上传人脸图片进行以图搜图轨迹检索，平均响应时间&lt;1s。</w:t>
      </w:r>
    </w:p>
    <w:p w14:paraId="3F388688">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13、支持单GPU卡人脸图片解析（提取人脸特征、属性）速度不低于340张/秒。</w:t>
      </w:r>
    </w:p>
    <w:p w14:paraId="5505E89F">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14、亿级人脸库规模下，以脸搜脸首位命中率不低于 99%;前五位命中率不低于99.5%</w:t>
      </w:r>
      <w:r>
        <w:rPr>
          <w:rFonts w:hint="eastAsia" w:ascii="宋体" w:hAnsi="宋体" w:cs="宋体"/>
          <w:sz w:val="24"/>
          <w:szCs w:val="24"/>
          <w:lang w:eastAsia="zh-CN"/>
        </w:rPr>
        <w:t>；</w:t>
      </w:r>
      <w:r>
        <w:rPr>
          <w:rFonts w:hint="eastAsia" w:ascii="宋体" w:hAnsi="宋体" w:eastAsia="宋体" w:cs="宋体"/>
          <w:sz w:val="24"/>
          <w:szCs w:val="24"/>
        </w:rPr>
        <w:t>前十位命中率不低于99.9%。</w:t>
      </w:r>
    </w:p>
    <w:p w14:paraId="137E78AD">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15、在 100万动态布控库容下，单GPU卡人脸特征布控比对并发处理能力&gt;2500 次/秒。</w:t>
      </w:r>
    </w:p>
    <w:p w14:paraId="4900BA5C">
      <w:pPr>
        <w:pStyle w:val="36"/>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16、支持和市局现有平台实现无缝对接，实现特征检索。</w:t>
      </w:r>
    </w:p>
    <w:p w14:paraId="093666B6">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人脸聚档</w:t>
      </w:r>
    </w:p>
    <w:p w14:paraId="3BD0DD14">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1、建设人脸图片归档，支持将人脸时空库中达到一定相似度的特征（可理解为同一人的特征）建立关联，形成一个未实名的人档数据，未实名的人档数据再可通过后面的档案置信服务形成实名人档。</w:t>
      </w:r>
    </w:p>
    <w:p w14:paraId="065946F4">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2、支持对当前人脸时空特征库所有特征进行聚类分析，将达到相似度阈值的人像数据标注为一个人档，全量聚类根据分析结果形成多个人档数据。</w:t>
      </w:r>
    </w:p>
    <w:p w14:paraId="71315DF4">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3、支持对新增的特征进行聚类，首先与已形成的人档数据比较，达到相似度阀值则归档到已有的人档，否则进入未归档特征，定时再启动聚类分析，形成新的人档。初次聚类为全量聚类分析，后续都采用增量聚类分析。</w:t>
      </w:r>
    </w:p>
    <w:p w14:paraId="595FA4FB">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4、系统在1亿实名档案下，人脸图片实名聚类归档准确率≥99.9%，误聚率≤0.1%，召回率≥99.9%，漏聚率≤0.1%。</w:t>
      </w:r>
    </w:p>
    <w:p w14:paraId="1EC95E36">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5、支持对水平转动角不超过±60°的侧脸图片进行聚类归档；支持对俯仰角不超过±45°的人脸图片进行聚类归档;支持对倾斜角不超过±60°的人脸图片进行聚类归档；支持对光照强度大于10Lux的人脸图片进行聚类归档；支持对戴口罩、戴鸭舌帽、戴墨镜的人脸图片进行聚类归档；支持对同一人的青年人脸图片、中年人脸图片、老年人脸图片进行聚类归档。</w:t>
      </w:r>
    </w:p>
    <w:p w14:paraId="2417DA0F">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6、系统实名身份库不少于1亿特征数据情况下，可实现新增人脸抓拍照片实时聚类归档功能。</w:t>
      </w:r>
    </w:p>
    <w:p w14:paraId="2D356913">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7、系统能够汇聚其他系统的抓拍与档案数据，统计级联汇聚的抓拍、档案与视频源数量，并支持对汇聚的抓拍进行检索、区域碰撞，以及支持对汇聚的档案进行检索分析、查看档案来源的功能。</w:t>
      </w:r>
    </w:p>
    <w:p w14:paraId="51E413D1">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人体解析</w:t>
      </w:r>
    </w:p>
    <w:p w14:paraId="4BBEBC6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建设人体解析，支持接收通过消息队列推送过来的人体图片信息，或接收业务层发送过来的单张图片信息，对图片进行人体识别、特征提取、属性提取，将解析后的特征及属性通过消息队列推送给检索引擎和视图汇聚治理服务。</w:t>
      </w:r>
    </w:p>
    <w:p w14:paraId="23F108A4">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人体属性识别包括性别（男、女）、发型（长发、短发、秃头）、发色（黑、白、黄）、附属物（伞、手套、包）有无、伞颜色（黑、白、灰、红、蓝、黄、绿、紫）、口罩颜色（黑、白、灰、蓝）、帽子款式（无帽子、渔夫帽、无檐帽、鸭舌帽、安全帽、头盔）、帽子颜色（黑、白、灰、红、黄、蓝、绿）、包款式（无包、单肩包、手提包、双肩包）、包颜色（黑、白、灰、红、黄、蓝）、上衣款式（西装、T恤、衬衫、连衣裙、长袖非外套）、上衣长度（长袖、短袖）、上衣颜色（黑、白、灰、红、黄、蓝、绿）、下装颜色（黑、白、灰、红、黄、蓝、绿）、下装长度（长裤、短裤、裙子）、鞋子款式（皮鞋、凉鞋、休闲鞋）、鞋颜色（黑、白、灰、红、黄、蓝、绿）、上衣纹理（纯色、条纹、图案、格子）、下装纹理（纯色、条纹、图案、格子）、眼镜款式（无眼镜、太阳镜、透明色）、年龄（老年人、成年人、儿童）、人体角度（正面、背面、侧面）、工作服款式（普通衣服、商务制服、工人服、厨师服、医护服、消防服、美团外卖服、饿了么外卖服）、人员状态（胸前抱物、玩手机、打电话）、是否抽烟、是否穿反光衣、是否戴口罩等。</w:t>
      </w:r>
    </w:p>
    <w:p w14:paraId="4CF8DAEB">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3、支持对最小图片尺寸&gt;25x 60像素的人体进行检测，人体检出率&gt;99%，人体识别准确率&gt;99%。</w:t>
      </w:r>
    </w:p>
    <w:p w14:paraId="0C6C46A6">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4、支持在人体被遮挡住半边脸的情况下，可正确检测人体检出率≥95%。</w:t>
      </w:r>
    </w:p>
    <w:p w14:paraId="56E3B00A">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5、行人属性，支持帽子款式（无帽子，渔夫帽，无檐帽，鸭舌帽，安全帽，头盔）分析准确率≥95%。</w:t>
      </w:r>
    </w:p>
    <w:p w14:paraId="66467F0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6、行人属性，支持行人携带箱包款式（单肩包、双肩包、手提包、腰包、手拉箱）分析准确率≥90%。</w:t>
      </w:r>
    </w:p>
    <w:p w14:paraId="6454A4B0">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7、行人属性，支持行人属性发型分析准确率≥95%。</w:t>
      </w:r>
    </w:p>
    <w:p w14:paraId="481ADC9F">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8、行人属性，支持行人上衣款式（西装、T恤、衬衫、长袖上身外套、长袖长款大衣、连衣裙、长袖非外套）分析准确率≥95% 。</w:t>
      </w:r>
    </w:p>
    <w:p w14:paraId="370BC959">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9、行人属性，支持行人是否携带物品分析准确率≥95%。</w:t>
      </w:r>
    </w:p>
    <w:p w14:paraId="019C25CC">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10、行人属性，支持行人是否戴口罩分析准确率≥99%。</w:t>
      </w:r>
    </w:p>
    <w:p w14:paraId="0CBA2506">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11、在亿级规模人体抓拍数据中进行以图搜图轨迹检索，检索平均响应时间小于 0.5s。</w:t>
      </w:r>
    </w:p>
    <w:p w14:paraId="03075324">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12、人体图片解析入库（特征提取、特征入库）的速度≥3000张/秒。</w:t>
      </w:r>
    </w:p>
    <w:p w14:paraId="06A44D20">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13、40亿人体抓拍库规模下，上传人体图片进行以图搜图轨迹检索，结果返回平均响应时间不超过3秒。</w:t>
      </w:r>
    </w:p>
    <w:p w14:paraId="358B2055">
      <w:pPr>
        <w:pStyle w:val="5"/>
        <w:pageBreakBefore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sz w:val="24"/>
          <w:szCs w:val="24"/>
        </w:rPr>
      </w:pPr>
      <w:bookmarkStart w:id="204" w:name="_Toc6992"/>
      <w:r>
        <w:rPr>
          <w:rFonts w:hint="eastAsia" w:ascii="宋体" w:hAnsi="宋体" w:eastAsia="宋体" w:cs="宋体"/>
          <w:sz w:val="24"/>
          <w:szCs w:val="24"/>
        </w:rPr>
        <w:t>四、机房服务参数要求</w:t>
      </w:r>
      <w:bookmarkEnd w:id="204"/>
    </w:p>
    <w:p w14:paraId="2F209AA5">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机房租赁</w:t>
      </w:r>
    </w:p>
    <w:p w14:paraId="38F638CB">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包含一台机柜的租赁费、机房动环、设备供电等5年服务</w:t>
      </w:r>
    </w:p>
    <w:p w14:paraId="748A10F9">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机房位置须在盐城市大丰区范围内，机房环境应当满足GB2887-89《计算站场技术条件》、GB50174-93《电子计算机房设计规划》、GB9361-88《计算站场安全要求》、GB6650-86《计算机机房活动地板技术要求》GB50222-95《建筑内部装修设计防火规划》的要求。（1） 以局域网式接入涉密网的业务部门其局域网应通过本部门交换机（涉密网专用）联至涉密网机房。涉密局域网至涉密网机房的联接中，除专门用于涉密网的交换外，不得连接其它任何交换机。（2） 无论是以局域网形式还是以密码终端形式接入涉密网，其出口必须做到唯一，不得在再连接其它任何网络。涉密网内的各类终端不得“一机两用”。</w:t>
      </w:r>
    </w:p>
    <w:p w14:paraId="05C203F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电力供应：双路冗余供电（1路市电+1路不间断电源供电）。</w:t>
      </w:r>
    </w:p>
    <w:p w14:paraId="5E02CBA4">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消防设施：采用火警探测器、烟雾报警器的自动报警，配备专用消防器材。</w:t>
      </w:r>
    </w:p>
    <w:p w14:paraId="5615D470">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动环监控：自动采集机房环境温度、湿度、并能实现联网报警。</w:t>
      </w:r>
    </w:p>
    <w:p w14:paraId="0AFA207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安全保障：有智能监控系统对设备安全、防盗防火及人员出入提供全天候全方位机房监控、录像。</w:t>
      </w:r>
    </w:p>
    <w:p w14:paraId="4CEF801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空调设施：提供恒温、恒湿控制系统。机房采用大功率空调设备，先进的机房专用空气调节系统采用下送风、上回风方式，精确控制机房空间的温度及湿度。</w:t>
      </w:r>
    </w:p>
    <w:p w14:paraId="4BBE3CD7">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600宽机柜</w:t>
      </w:r>
    </w:p>
    <w:p w14:paraId="28F799CC">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尺寸(宽*深*高)600*1200*2000mm,平板网孔门，前门单开，后门双开，不含边板标准配置有：</w:t>
      </w:r>
    </w:p>
    <w:p w14:paraId="5C76301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1、配套螺钉螺母50套；</w:t>
      </w:r>
    </w:p>
    <w:p w14:paraId="6112031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2、垂直理线板2条用于安装PDU；</w:t>
      </w:r>
    </w:p>
    <w:p w14:paraId="47A4D050">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3、含活动轮                                                                                                                             </w:t>
      </w:r>
    </w:p>
    <w:p w14:paraId="2F05BE46">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4、机柜静态承载能力不小于2350kg</w:t>
      </w:r>
    </w:p>
    <w:p w14:paraId="15587B67">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r>
        <w:rPr>
          <w:rFonts w:hint="eastAsia" w:ascii="宋体" w:hAnsi="宋体" w:eastAsia="宋体" w:cs="宋体"/>
          <w:sz w:val="24"/>
          <w:szCs w:val="24"/>
        </w:rPr>
        <w:t>机房精密空调</w:t>
      </w:r>
    </w:p>
    <w:p w14:paraId="1D793892">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1）总冷量要求(kW)≥22KW</w:t>
      </w:r>
    </w:p>
    <w:p w14:paraId="755F2DD6">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2）送风方式：上送风</w:t>
      </w:r>
    </w:p>
    <w:p w14:paraId="671DB04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3）室内机数量：≥1个</w:t>
      </w:r>
    </w:p>
    <w:p w14:paraId="2C467DF9">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4）压缩机系统数量≥1个 </w:t>
      </w:r>
    </w:p>
    <w:p w14:paraId="6F3BC312">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5）风量（m3/h）≥6000m3/h</w:t>
      </w:r>
    </w:p>
    <w:p w14:paraId="235EDFC9">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6）加湿量（kg/h）≥3kg/h</w:t>
      </w:r>
    </w:p>
    <w:p w14:paraId="072336FE">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7）加热量kW≥6KW</w:t>
      </w:r>
    </w:p>
    <w:p w14:paraId="178B7ED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8）室内机尺寸最大值（宽×深×高mm）：800*770*1980</w:t>
      </w:r>
    </w:p>
    <w:p w14:paraId="22DC160C">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9）机房专用空调机组的的电气性能应符合IEC标准</w:t>
      </w:r>
    </w:p>
    <w:p w14:paraId="48CFEF93">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10）输入电压允许波动范围：380V +15%  -15%</w:t>
      </w:r>
    </w:p>
    <w:p w14:paraId="77F79DCF">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11）频率：50HZ  2HZ </w:t>
      </w:r>
    </w:p>
    <w:p w14:paraId="0165B39E">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12）机房专用空调机组的适应环境：温度：室内  -10℃  +30℃  室外  -34℃  +45℃   湿度：≤95%RH</w:t>
      </w:r>
    </w:p>
    <w:p w14:paraId="12110C1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13)机房专用空调应能按要求自动调节室内温度，具有制冷、加热、除湿等功能。</w:t>
      </w:r>
    </w:p>
    <w:p w14:paraId="75A608E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14)温度调节范围：+17℃  +28℃</w:t>
      </w:r>
    </w:p>
    <w:p w14:paraId="58B16EF4">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15)温度调节精度：2℃ （制冷量&lt; 20KW）温度变化率&lt; 5℃/小时 </w:t>
      </w:r>
    </w:p>
    <w:p w14:paraId="36FB7AB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16)温度波动超限应能发出报警信号</w:t>
      </w:r>
    </w:p>
    <w:p w14:paraId="61CC913E">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17)机房专用空调应为节能产品。</w:t>
      </w:r>
    </w:p>
    <w:p w14:paraId="7A287991">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18)机房专用空调运行的平均无故障时间MTBF≥10万小时。</w:t>
      </w:r>
    </w:p>
    <w:p w14:paraId="6C34F837">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19)机房专用空调应具备高能效比，在室内回风条件24℃，50%湿度条件下，全年综合能效比&gt;4.1。</w:t>
      </w:r>
    </w:p>
    <w:p w14:paraId="42031D2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lang w:eastAsia="zh-CN"/>
        </w:rPr>
      </w:pPr>
      <w:r>
        <w:rPr>
          <w:rFonts w:hint="eastAsia" w:ascii="宋体" w:hAnsi="宋体" w:eastAsia="宋体" w:cs="宋体"/>
          <w:sz w:val="24"/>
          <w:szCs w:val="24"/>
        </w:rPr>
        <w:t>20)机房专用空调应具有高效节能性，压缩机选用具有较高的能效比的涡旋压缩机</w:t>
      </w:r>
      <w:r>
        <w:rPr>
          <w:rFonts w:hint="eastAsia" w:ascii="宋体" w:hAnsi="宋体" w:eastAsia="宋体" w:cs="宋体"/>
          <w:sz w:val="24"/>
          <w:szCs w:val="24"/>
          <w:lang w:eastAsia="zh-CN"/>
        </w:rPr>
        <w:t>。</w:t>
      </w:r>
    </w:p>
    <w:p w14:paraId="064E286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21)机房专用空调系统应具有高可靠性，应选用高可靠性的涡旋压缩机、高可靠性机械热力膨胀阀、全金属室内风机等高可靠性部件，满足全年365天，每天24小时不间断运行</w:t>
      </w:r>
    </w:p>
    <w:p w14:paraId="555753F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22)机房专用空调室内机应采用全金属叶片、金属外壳的轴连风机，保证风机连续运转的可靠性。</w:t>
      </w:r>
    </w:p>
    <w:p w14:paraId="565CA410">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23)机房专用空调运行的平均无故障时间MTBF≥10万小时。</w:t>
      </w:r>
    </w:p>
    <w:p w14:paraId="3BFA7E11">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24)机房专用空调应具备安装灵活特点，可靠墙摆放于地面。</w:t>
      </w:r>
    </w:p>
    <w:p w14:paraId="0E19E345">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25)空调应具备来电自启动功能，满足机房无人值守的要求。</w:t>
      </w:r>
    </w:p>
    <w:p w14:paraId="5FA276FD">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26)机房专用空调机组的噪音：</w:t>
      </w:r>
    </w:p>
    <w:p w14:paraId="004E24D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   室内机组：距机组2米处自由空间声压级 60dB(A)</w:t>
      </w:r>
    </w:p>
    <w:p w14:paraId="3291850A">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   室外机组：距机组10米处自由空间声压级 50dB(A)</w:t>
      </w:r>
    </w:p>
    <w:p w14:paraId="58DEA602">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27)空调系统应标准配置采用环保制冷剂R410A。不得采用R22或R407C冷媒。</w:t>
      </w:r>
    </w:p>
    <w:p w14:paraId="2DC7EBD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28)机房专用空调的加热性能：</w:t>
      </w:r>
    </w:p>
    <w:p w14:paraId="202C1E99">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具备电子再热器，加热量不小于6kW。</w:t>
      </w:r>
    </w:p>
    <w:p w14:paraId="5D9C3F70">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29)机房专用空调的加湿性能：应采用远红外加湿器，加湿器可以重复利用及长期使用。</w:t>
      </w:r>
    </w:p>
    <w:p w14:paraId="38121E2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30)投标机组需免费提供空调单机远程监控软件，需能实现远程开关机、状态查看、参数设置、告警查看及设置等功能，可实现告警邮件通知等功能。</w:t>
      </w:r>
    </w:p>
    <w:p w14:paraId="44B69278">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31) ★机组的温湿度传感器检测温度精度应不低于0.3℃，需提</w:t>
      </w:r>
      <w:r>
        <w:rPr>
          <w:rFonts w:hint="eastAsia" w:ascii="宋体" w:hAnsi="宋体" w:eastAsia="宋体" w:cs="宋体"/>
          <w:color w:val="auto"/>
          <w:sz w:val="24"/>
          <w:szCs w:val="24"/>
        </w:rPr>
        <w:t>供</w:t>
      </w:r>
      <w:r>
        <w:rPr>
          <w:rFonts w:hint="eastAsia" w:ascii="宋体" w:hAnsi="宋体" w:eastAsia="宋体" w:cs="宋体"/>
          <w:color w:val="auto"/>
          <w:sz w:val="24"/>
          <w:szCs w:val="24"/>
          <w:lang w:eastAsia="zh-CN"/>
        </w:rPr>
        <w:t>第三方计量检测机构的</w:t>
      </w:r>
      <w:r>
        <w:rPr>
          <w:rFonts w:hint="eastAsia" w:ascii="宋体" w:hAnsi="宋体" w:eastAsia="宋体" w:cs="宋体"/>
          <w:color w:val="auto"/>
          <w:sz w:val="24"/>
          <w:szCs w:val="24"/>
        </w:rPr>
        <w:t>检测报告并加盖</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公章</w:t>
      </w:r>
      <w:r>
        <w:rPr>
          <w:rFonts w:hint="eastAsia" w:ascii="宋体" w:hAnsi="宋体" w:eastAsia="宋体" w:cs="宋体"/>
          <w:sz w:val="24"/>
          <w:szCs w:val="24"/>
        </w:rPr>
        <w:t>。</w:t>
      </w:r>
    </w:p>
    <w:p w14:paraId="6F49DD01">
      <w:pPr>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32)投标产品、设备通过EMC测试。</w:t>
      </w:r>
    </w:p>
    <w:p w14:paraId="5C4491B8">
      <w:pPr>
        <w:pStyle w:val="6"/>
        <w:pageBreakBefore w:val="0"/>
        <w:kinsoku/>
        <w:wordWrap/>
        <w:overflowPunct/>
        <w:topLinePunct w:val="0"/>
        <w:autoSpaceDE/>
        <w:autoSpaceDN/>
        <w:bidi w:val="0"/>
        <w:adjustRightInd/>
        <w:snapToGrid/>
        <w:spacing w:line="400" w:lineRule="exact"/>
        <w:ind w:firstLine="602"/>
        <w:textAlignment w:val="auto"/>
        <w:rPr>
          <w:rFonts w:hint="eastAsia" w:ascii="宋体" w:hAnsi="宋体" w:eastAsia="黑体" w:cs="宋体"/>
          <w:color w:val="auto"/>
          <w:sz w:val="28"/>
          <w:szCs w:val="28"/>
          <w:highlight w:val="none"/>
          <w:lang w:eastAsia="zh-CN"/>
        </w:rPr>
      </w:pPr>
      <w:r>
        <w:rPr>
          <w:rFonts w:hint="eastAsia" w:ascii="宋体" w:hAnsi="宋体" w:eastAsia="宋体" w:cs="宋体"/>
          <w:color w:val="auto"/>
          <w:sz w:val="24"/>
          <w:szCs w:val="24"/>
          <w:highlight w:val="none"/>
          <w:lang w:eastAsia="zh-CN"/>
        </w:rPr>
        <w:t>本次采购项目核心产品为：500W环保卡口抓拍单元、900W环保卡口抓拍单元、400W双镜头结构化相机、800W双镜头结构化相机、400万全结构化摄像机（C级）、400万三镜头全结构化枪球一体机。</w:t>
      </w:r>
    </w:p>
    <w:p w14:paraId="3EA0582B">
      <w:pPr>
        <w:rPr>
          <w:rFonts w:hint="eastAsia" w:ascii="宋体" w:hAnsi="宋体" w:eastAsia="宋体" w:cs="宋体"/>
          <w:color w:val="0000FF"/>
          <w:sz w:val="28"/>
          <w:szCs w:val="28"/>
          <w:highlight w:val="yellow"/>
          <w:lang w:eastAsia="zh-CN"/>
        </w:rPr>
      </w:pPr>
    </w:p>
    <w:p w14:paraId="74014F56">
      <w:pPr>
        <w:ind w:firstLine="480"/>
        <w:sectPr>
          <w:headerReference r:id="rId6" w:type="first"/>
          <w:footerReference r:id="rId9" w:type="first"/>
          <w:headerReference r:id="rId4" w:type="default"/>
          <w:footerReference r:id="rId7" w:type="default"/>
          <w:headerReference r:id="rId5" w:type="even"/>
          <w:footerReference r:id="rId8" w:type="even"/>
          <w:pgSz w:w="11906" w:h="16838"/>
          <w:pgMar w:top="1440" w:right="1700" w:bottom="1440" w:left="1797" w:header="851" w:footer="851" w:gutter="0"/>
          <w:pgNumType w:fmt="decimal"/>
          <w:cols w:space="425" w:num="1"/>
          <w:docGrid w:type="lines" w:linePitch="312" w:charSpace="0"/>
        </w:sectPr>
      </w:pPr>
    </w:p>
    <w:p w14:paraId="46B9D538">
      <w:pPr>
        <w:pStyle w:val="4"/>
        <w:spacing w:line="360" w:lineRule="auto"/>
        <w:ind w:firstLine="0" w:firstLineChars="0"/>
        <w:rPr>
          <w:rFonts w:ascii="黑体" w:hAnsi="黑体" w:eastAsia="黑体"/>
        </w:rPr>
      </w:pPr>
      <w:bookmarkStart w:id="205" w:name="_Toc11233"/>
      <w:bookmarkStart w:id="206" w:name="_Toc11696"/>
      <w:r>
        <w:rPr>
          <w:rFonts w:hint="eastAsia" w:ascii="黑体" w:hAnsi="黑体" w:eastAsia="黑体"/>
        </w:rPr>
        <w:t>3.5</w:t>
      </w:r>
      <w:r>
        <w:rPr>
          <w:rFonts w:ascii="黑体" w:hAnsi="黑体" w:eastAsia="黑体"/>
        </w:rPr>
        <w:t>项目</w:t>
      </w:r>
      <w:r>
        <w:rPr>
          <w:rFonts w:hint="eastAsia" w:ascii="黑体" w:hAnsi="黑体" w:eastAsia="黑体"/>
        </w:rPr>
        <w:t>软</w:t>
      </w:r>
      <w:r>
        <w:rPr>
          <w:rFonts w:ascii="黑体" w:hAnsi="黑体" w:eastAsia="黑体"/>
        </w:rPr>
        <w:t>硬件配置清单</w:t>
      </w:r>
      <w:bookmarkEnd w:id="205"/>
      <w:bookmarkEnd w:id="206"/>
    </w:p>
    <w:p w14:paraId="44732031">
      <w:pPr>
        <w:pStyle w:val="5"/>
        <w:numPr>
          <w:ilvl w:val="0"/>
          <w:numId w:val="6"/>
        </w:numPr>
        <w:spacing w:line="360" w:lineRule="auto"/>
        <w:ind w:firstLine="0" w:firstLineChars="0"/>
      </w:pPr>
      <w:bookmarkStart w:id="207" w:name="_Toc31697"/>
      <w:bookmarkStart w:id="208" w:name="_Toc19582"/>
      <w:r>
        <w:rPr>
          <w:rFonts w:hint="eastAsia"/>
        </w:rPr>
        <w:t>智慧村居前端</w:t>
      </w:r>
      <w:bookmarkEnd w:id="207"/>
      <w:bookmarkEnd w:id="208"/>
    </w:p>
    <w:tbl>
      <w:tblPr>
        <w:tblStyle w:val="13"/>
        <w:tblW w:w="5000" w:type="pct"/>
        <w:tblInd w:w="0" w:type="dxa"/>
        <w:tblLayout w:type="autofit"/>
        <w:tblCellMar>
          <w:top w:w="0" w:type="dxa"/>
          <w:left w:w="108" w:type="dxa"/>
          <w:bottom w:w="0" w:type="dxa"/>
          <w:right w:w="108" w:type="dxa"/>
        </w:tblCellMar>
      </w:tblPr>
      <w:tblGrid>
        <w:gridCol w:w="816"/>
        <w:gridCol w:w="1650"/>
        <w:gridCol w:w="3416"/>
        <w:gridCol w:w="816"/>
        <w:gridCol w:w="1125"/>
        <w:gridCol w:w="802"/>
      </w:tblGrid>
      <w:tr w14:paraId="3696543E">
        <w:tblPrEx>
          <w:tblCellMar>
            <w:top w:w="0" w:type="dxa"/>
            <w:left w:w="108" w:type="dxa"/>
            <w:bottom w:w="0" w:type="dxa"/>
            <w:right w:w="108" w:type="dxa"/>
          </w:tblCellMar>
        </w:tblPrEx>
        <w:trPr>
          <w:trHeight w:val="468" w:hRule="atLeast"/>
        </w:trPr>
        <w:tc>
          <w:tcPr>
            <w:tcW w:w="5000" w:type="pct"/>
            <w:gridSpan w:val="6"/>
            <w:tcBorders>
              <w:top w:val="nil"/>
              <w:left w:val="nil"/>
              <w:bottom w:val="nil"/>
              <w:right w:val="nil"/>
            </w:tcBorders>
            <w:shd w:val="clear" w:color="auto" w:fill="auto"/>
            <w:noWrap/>
            <w:vAlign w:val="center"/>
          </w:tcPr>
          <w:p w14:paraId="2E682548">
            <w:pPr>
              <w:widowControl/>
              <w:ind w:firstLine="640"/>
              <w:jc w:val="center"/>
              <w:textAlignment w:val="center"/>
              <w:rPr>
                <w:rFonts w:hint="eastAsia" w:ascii="微软雅黑" w:hAnsi="微软雅黑" w:eastAsia="微软雅黑" w:cs="微软雅黑"/>
                <w:b/>
                <w:bCs/>
                <w:color w:val="000000"/>
                <w:sz w:val="32"/>
                <w:szCs w:val="32"/>
                <w:lang w:eastAsia="zh-CN"/>
              </w:rPr>
            </w:pPr>
            <w:r>
              <w:rPr>
                <w:rFonts w:hint="eastAsia" w:ascii="微软雅黑" w:hAnsi="微软雅黑" w:eastAsia="微软雅黑" w:cs="微软雅黑"/>
                <w:b/>
                <w:bCs/>
                <w:color w:val="auto"/>
                <w:kern w:val="0"/>
                <w:sz w:val="32"/>
                <w:szCs w:val="32"/>
                <w:highlight w:val="none"/>
                <w:lang w:bidi="ar"/>
              </w:rPr>
              <w:t>智慧村居前端设备</w:t>
            </w:r>
            <w:r>
              <w:rPr>
                <w:rFonts w:hint="eastAsia" w:ascii="微软雅黑" w:hAnsi="微软雅黑" w:eastAsia="微软雅黑" w:cs="微软雅黑"/>
                <w:b/>
                <w:bCs/>
                <w:color w:val="auto"/>
                <w:kern w:val="0"/>
                <w:sz w:val="32"/>
                <w:szCs w:val="32"/>
                <w:highlight w:val="none"/>
                <w:lang w:eastAsia="zh-CN" w:bidi="ar"/>
              </w:rPr>
              <w:t>建设内容清单</w:t>
            </w:r>
          </w:p>
        </w:tc>
      </w:tr>
      <w:tr w14:paraId="28C7368F">
        <w:tblPrEx>
          <w:tblCellMar>
            <w:top w:w="0" w:type="dxa"/>
            <w:left w:w="108" w:type="dxa"/>
            <w:bottom w:w="0" w:type="dxa"/>
            <w:right w:w="108" w:type="dxa"/>
          </w:tblCellMar>
        </w:tblPrEx>
        <w:trPr>
          <w:trHeight w:val="312"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35FA8">
            <w:pPr>
              <w:widowControl/>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序号</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BEA6">
            <w:pPr>
              <w:widowControl/>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产品类别</w:t>
            </w:r>
          </w:p>
        </w:tc>
        <w:tc>
          <w:tcPr>
            <w:tcW w:w="1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33962">
            <w:pPr>
              <w:widowControl/>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标底参数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25AE4">
            <w:pPr>
              <w:widowControl/>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单位</w:t>
            </w:r>
          </w:p>
        </w:tc>
        <w:tc>
          <w:tcPr>
            <w:tcW w:w="6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0A1E1">
            <w:pPr>
              <w:widowControl/>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数量</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13DC">
            <w:pPr>
              <w:widowControl/>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备注</w:t>
            </w:r>
          </w:p>
        </w:tc>
      </w:tr>
      <w:tr w14:paraId="1588D99B">
        <w:tblPrEx>
          <w:tblCellMar>
            <w:top w:w="0" w:type="dxa"/>
            <w:left w:w="108" w:type="dxa"/>
            <w:bottom w:w="0" w:type="dxa"/>
            <w:right w:w="108" w:type="dxa"/>
          </w:tblCellMar>
        </w:tblPrEx>
        <w:trPr>
          <w:trHeight w:val="312"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9DD2">
            <w:pPr>
              <w:widowControl/>
              <w:ind w:firstLine="400"/>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一</w:t>
            </w:r>
          </w:p>
        </w:tc>
        <w:tc>
          <w:tcPr>
            <w:tcW w:w="4062" w:type="pct"/>
            <w:gridSpan w:val="4"/>
            <w:tcBorders>
              <w:top w:val="single" w:color="000000" w:sz="4" w:space="0"/>
              <w:left w:val="single" w:color="000000" w:sz="4" w:space="0"/>
              <w:bottom w:val="single" w:color="000000" w:sz="4" w:space="0"/>
              <w:right w:val="nil"/>
            </w:tcBorders>
            <w:shd w:val="clear" w:color="auto" w:fill="auto"/>
            <w:noWrap/>
            <w:vAlign w:val="center"/>
          </w:tcPr>
          <w:p w14:paraId="71968BCA">
            <w:pPr>
              <w:widowControl/>
              <w:ind w:firstLine="400"/>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主要设备部分</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2204B">
            <w:pPr>
              <w:ind w:firstLine="400"/>
              <w:jc w:val="left"/>
              <w:rPr>
                <w:rFonts w:ascii="微软雅黑" w:hAnsi="微软雅黑" w:eastAsia="微软雅黑" w:cs="微软雅黑"/>
                <w:b/>
                <w:bCs/>
                <w:color w:val="000000"/>
                <w:sz w:val="20"/>
                <w:szCs w:val="20"/>
              </w:rPr>
            </w:pPr>
          </w:p>
        </w:tc>
      </w:tr>
      <w:tr w14:paraId="08663A35">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C3BCC">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A9DFA">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500W环保卡口抓拍单元</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0C464">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E6E0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D77D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62</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46BA3">
            <w:pPr>
              <w:ind w:firstLine="400"/>
              <w:jc w:val="left"/>
              <w:rPr>
                <w:rFonts w:ascii="宋体" w:hAnsi="宋体" w:eastAsia="宋体" w:cs="宋体"/>
                <w:color w:val="000000"/>
                <w:sz w:val="20"/>
                <w:szCs w:val="20"/>
              </w:rPr>
            </w:pPr>
          </w:p>
        </w:tc>
      </w:tr>
      <w:tr w14:paraId="1234E75F">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F096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C6E2">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900W环保卡口抓拍单元</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1D82E">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76F9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E4B19">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36</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EF42C">
            <w:pPr>
              <w:ind w:firstLine="400"/>
              <w:jc w:val="left"/>
              <w:rPr>
                <w:rFonts w:ascii="宋体" w:hAnsi="宋体" w:eastAsia="宋体" w:cs="宋体"/>
                <w:color w:val="000000"/>
                <w:sz w:val="20"/>
                <w:szCs w:val="20"/>
              </w:rPr>
            </w:pPr>
          </w:p>
        </w:tc>
      </w:tr>
      <w:tr w14:paraId="39A5CEC3">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C64D4">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8839E">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400W双镜头结构化相机</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B932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7842E">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DDE4F">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307</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29B54">
            <w:pPr>
              <w:ind w:firstLine="400"/>
              <w:jc w:val="left"/>
              <w:rPr>
                <w:rFonts w:ascii="宋体" w:hAnsi="宋体" w:eastAsia="宋体" w:cs="宋体"/>
                <w:color w:val="000000"/>
                <w:sz w:val="20"/>
                <w:szCs w:val="20"/>
              </w:rPr>
            </w:pPr>
          </w:p>
        </w:tc>
      </w:tr>
      <w:tr w14:paraId="4BC4F04A">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E7CA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1C5A9">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800W双镜头结构化相机</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A550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61B5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1C45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73</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BFFDF">
            <w:pPr>
              <w:ind w:firstLine="400"/>
              <w:jc w:val="left"/>
              <w:rPr>
                <w:rFonts w:ascii="宋体" w:hAnsi="宋体" w:eastAsia="宋体" w:cs="宋体"/>
                <w:color w:val="000000"/>
                <w:sz w:val="20"/>
                <w:szCs w:val="20"/>
              </w:rPr>
            </w:pPr>
          </w:p>
        </w:tc>
      </w:tr>
      <w:tr w14:paraId="5D73F53C">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EA84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139AD">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400万全结构化摄像机（C级）</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4A9B0">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8221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130C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42</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730C0">
            <w:pPr>
              <w:ind w:firstLine="400"/>
              <w:jc w:val="left"/>
              <w:rPr>
                <w:rFonts w:ascii="宋体" w:hAnsi="宋体" w:eastAsia="宋体" w:cs="宋体"/>
                <w:color w:val="000000"/>
                <w:sz w:val="20"/>
                <w:szCs w:val="20"/>
              </w:rPr>
            </w:pPr>
          </w:p>
        </w:tc>
      </w:tr>
      <w:tr w14:paraId="4DB1D2CF">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91EF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6</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A4B2F">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400万三镜头全结构化枪球一体机</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E111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135FC">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6E14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19</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E38D4">
            <w:pPr>
              <w:ind w:firstLine="400"/>
              <w:jc w:val="left"/>
              <w:rPr>
                <w:rFonts w:ascii="宋体" w:hAnsi="宋体" w:eastAsia="宋体" w:cs="宋体"/>
                <w:color w:val="000000"/>
                <w:sz w:val="20"/>
                <w:szCs w:val="20"/>
              </w:rPr>
            </w:pPr>
          </w:p>
        </w:tc>
      </w:tr>
      <w:tr w14:paraId="70D943AF">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CF18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B4778">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四合一环保爆闪灯</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BEEC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CBA4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只</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66D6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138</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4086F">
            <w:pPr>
              <w:ind w:firstLine="400"/>
              <w:jc w:val="left"/>
              <w:rPr>
                <w:rFonts w:ascii="宋体" w:hAnsi="宋体" w:eastAsia="宋体" w:cs="宋体"/>
                <w:color w:val="000000"/>
                <w:sz w:val="20"/>
                <w:szCs w:val="20"/>
              </w:rPr>
            </w:pPr>
          </w:p>
        </w:tc>
      </w:tr>
      <w:tr w14:paraId="0A481D59">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84ED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8</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5DBAF">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工业级交换机8口千M</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B212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12E3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个</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CA5B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438</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7ECA8">
            <w:pPr>
              <w:ind w:firstLine="400"/>
              <w:jc w:val="left"/>
              <w:rPr>
                <w:rFonts w:ascii="宋体" w:hAnsi="宋体" w:eastAsia="宋体" w:cs="宋体"/>
                <w:color w:val="000000"/>
                <w:sz w:val="20"/>
                <w:szCs w:val="20"/>
              </w:rPr>
            </w:pPr>
          </w:p>
        </w:tc>
      </w:tr>
      <w:tr w14:paraId="540E4DF8">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29E0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9</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CDF4A">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光纤收发器（对）</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7A699">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E375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对</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0885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52</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0DB6C">
            <w:pPr>
              <w:ind w:firstLine="400"/>
              <w:jc w:val="left"/>
              <w:rPr>
                <w:rFonts w:ascii="宋体" w:hAnsi="宋体" w:eastAsia="宋体" w:cs="宋体"/>
                <w:color w:val="000000"/>
                <w:sz w:val="20"/>
                <w:szCs w:val="20"/>
              </w:rPr>
            </w:pPr>
          </w:p>
        </w:tc>
      </w:tr>
      <w:tr w14:paraId="19B3FAF1">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957E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404E2">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抱杆机箱</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34ACF">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6A7D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个</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252F4">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433</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E6B90">
            <w:pPr>
              <w:ind w:firstLine="400"/>
              <w:jc w:val="left"/>
              <w:rPr>
                <w:rFonts w:ascii="宋体" w:hAnsi="宋体" w:eastAsia="宋体" w:cs="宋体"/>
                <w:color w:val="000000"/>
                <w:sz w:val="20"/>
                <w:szCs w:val="20"/>
              </w:rPr>
            </w:pPr>
          </w:p>
        </w:tc>
      </w:tr>
      <w:tr w14:paraId="242E1D11">
        <w:tblPrEx>
          <w:tblCellMar>
            <w:top w:w="0" w:type="dxa"/>
            <w:left w:w="108" w:type="dxa"/>
            <w:bottom w:w="0" w:type="dxa"/>
            <w:right w:w="108" w:type="dxa"/>
          </w:tblCellMar>
        </w:tblPrEx>
        <w:trPr>
          <w:trHeight w:val="312"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010F2">
            <w:pPr>
              <w:widowControl/>
              <w:ind w:firstLine="400"/>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二</w:t>
            </w:r>
          </w:p>
        </w:tc>
        <w:tc>
          <w:tcPr>
            <w:tcW w:w="4062" w:type="pct"/>
            <w:gridSpan w:val="4"/>
            <w:tcBorders>
              <w:top w:val="single" w:color="000000" w:sz="4" w:space="0"/>
              <w:left w:val="single" w:color="000000" w:sz="4" w:space="0"/>
              <w:bottom w:val="single" w:color="000000" w:sz="4" w:space="0"/>
              <w:right w:val="nil"/>
            </w:tcBorders>
            <w:shd w:val="clear" w:color="auto" w:fill="auto"/>
            <w:noWrap/>
            <w:vAlign w:val="center"/>
          </w:tcPr>
          <w:p w14:paraId="6584B40F">
            <w:pPr>
              <w:widowControl/>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主要材料部分</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25660">
            <w:pPr>
              <w:ind w:firstLine="400"/>
              <w:jc w:val="left"/>
              <w:rPr>
                <w:rFonts w:ascii="微软雅黑" w:hAnsi="微软雅黑" w:eastAsia="微软雅黑" w:cs="微软雅黑"/>
                <w:b/>
                <w:bCs/>
                <w:color w:val="000000"/>
                <w:sz w:val="20"/>
                <w:szCs w:val="20"/>
              </w:rPr>
            </w:pPr>
          </w:p>
        </w:tc>
      </w:tr>
      <w:tr w14:paraId="22BC8C69">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62CD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11</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17AD3">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结构化一体机安装组件</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DAD7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FFB6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10C8C">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66</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498C2">
            <w:pPr>
              <w:ind w:firstLine="400"/>
              <w:jc w:val="left"/>
              <w:rPr>
                <w:rFonts w:ascii="宋体" w:hAnsi="宋体" w:eastAsia="宋体" w:cs="宋体"/>
                <w:color w:val="000000"/>
                <w:sz w:val="20"/>
                <w:szCs w:val="20"/>
              </w:rPr>
            </w:pPr>
          </w:p>
        </w:tc>
      </w:tr>
      <w:tr w14:paraId="5095849C">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82EAF">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12</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FFFF3">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4.5米监控立杆（含基础、地笼、浇筑）</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E8F5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AB03F">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D06AE">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377</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6DBFB">
            <w:pPr>
              <w:ind w:firstLine="400"/>
              <w:jc w:val="left"/>
              <w:rPr>
                <w:rFonts w:ascii="宋体" w:hAnsi="宋体" w:eastAsia="宋体" w:cs="宋体"/>
                <w:color w:val="000000"/>
                <w:sz w:val="20"/>
                <w:szCs w:val="20"/>
              </w:rPr>
            </w:pPr>
          </w:p>
        </w:tc>
      </w:tr>
      <w:tr w14:paraId="4FA44C94">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2700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13</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918E5">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7米挑臂7M杆件（含基础、地笼、浇筑）</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2D44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261DA">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A6F8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17</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34B5C">
            <w:pPr>
              <w:ind w:firstLine="400"/>
              <w:jc w:val="left"/>
              <w:rPr>
                <w:rFonts w:ascii="宋体" w:hAnsi="宋体" w:eastAsia="宋体" w:cs="宋体"/>
                <w:color w:val="000000"/>
                <w:sz w:val="20"/>
                <w:szCs w:val="20"/>
              </w:rPr>
            </w:pPr>
          </w:p>
        </w:tc>
      </w:tr>
      <w:tr w14:paraId="635E62B5">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3734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14</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D8FB5">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7米挑臂10M杆件（含基础、地笼、浇筑）</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2599F">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A9BE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8626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15</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CED8E">
            <w:pPr>
              <w:ind w:firstLine="400"/>
              <w:jc w:val="left"/>
              <w:rPr>
                <w:rFonts w:ascii="宋体" w:hAnsi="宋体" w:eastAsia="宋体" w:cs="宋体"/>
                <w:color w:val="000000"/>
                <w:sz w:val="20"/>
                <w:szCs w:val="20"/>
              </w:rPr>
            </w:pPr>
          </w:p>
        </w:tc>
      </w:tr>
      <w:tr w14:paraId="59620706">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F82E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15</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1A005">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7米挑臂12M杆件（含基础、地笼、浇筑）</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9976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1908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326B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29701">
            <w:pPr>
              <w:ind w:firstLine="400"/>
              <w:jc w:val="left"/>
              <w:rPr>
                <w:rFonts w:ascii="宋体" w:hAnsi="宋体" w:eastAsia="宋体" w:cs="宋体"/>
                <w:color w:val="000000"/>
                <w:sz w:val="20"/>
                <w:szCs w:val="20"/>
              </w:rPr>
            </w:pPr>
          </w:p>
        </w:tc>
      </w:tr>
      <w:tr w14:paraId="25C66C0B">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63A24">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16</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B553E">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7米挑臂14M杆件（含基础、地笼、浇筑）</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AC01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C030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738A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13</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5E0AD">
            <w:pPr>
              <w:ind w:firstLine="400"/>
              <w:jc w:val="left"/>
              <w:rPr>
                <w:rFonts w:ascii="宋体" w:hAnsi="宋体" w:eastAsia="宋体" w:cs="宋体"/>
                <w:color w:val="000000"/>
                <w:sz w:val="20"/>
                <w:szCs w:val="20"/>
              </w:rPr>
            </w:pPr>
          </w:p>
        </w:tc>
      </w:tr>
      <w:tr w14:paraId="3D28C969">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EAE4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17</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4375D">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接地棒及组件含安装测量</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42E8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杆件、箱体等接地含材料，接地阻值不大于10Ω</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DE28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D9CEF">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424</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1AAAE">
            <w:pPr>
              <w:ind w:firstLine="400"/>
              <w:jc w:val="left"/>
              <w:rPr>
                <w:rFonts w:ascii="宋体" w:hAnsi="宋体" w:eastAsia="宋体" w:cs="宋体"/>
                <w:color w:val="000000"/>
                <w:sz w:val="20"/>
                <w:szCs w:val="20"/>
              </w:rPr>
            </w:pPr>
          </w:p>
        </w:tc>
      </w:tr>
      <w:tr w14:paraId="34F99AE0">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C27C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18</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D027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电源线</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35A4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国标，纯铜，RVV-2*6.0mm²</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23AF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38B0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2650</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29841">
            <w:pPr>
              <w:ind w:firstLine="400"/>
              <w:jc w:val="left"/>
              <w:rPr>
                <w:rFonts w:ascii="宋体" w:hAnsi="宋体" w:eastAsia="宋体" w:cs="宋体"/>
                <w:color w:val="000000"/>
                <w:sz w:val="20"/>
                <w:szCs w:val="20"/>
              </w:rPr>
            </w:pPr>
          </w:p>
        </w:tc>
      </w:tr>
      <w:tr w14:paraId="5AAC2DD9">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8A6F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19</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0FBDF">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电源线</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9FCF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国标，纯铜，RVV-2*4.0mm²</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96A8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C739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15999</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D0366">
            <w:pPr>
              <w:ind w:firstLine="400"/>
              <w:jc w:val="left"/>
              <w:rPr>
                <w:rFonts w:ascii="宋体" w:hAnsi="宋体" w:eastAsia="宋体" w:cs="宋体"/>
                <w:color w:val="000000"/>
                <w:sz w:val="20"/>
                <w:szCs w:val="20"/>
              </w:rPr>
            </w:pPr>
          </w:p>
        </w:tc>
      </w:tr>
      <w:tr w14:paraId="3346C804">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08489">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20</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C4C7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电源线</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0C750">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国标，纯铜，RVV-3*2.5mm²</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5270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1B54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9586</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B92A3">
            <w:pPr>
              <w:ind w:firstLine="400"/>
              <w:jc w:val="left"/>
              <w:rPr>
                <w:rFonts w:ascii="宋体" w:hAnsi="宋体" w:eastAsia="宋体" w:cs="宋体"/>
                <w:color w:val="000000"/>
                <w:sz w:val="20"/>
                <w:szCs w:val="20"/>
              </w:rPr>
            </w:pPr>
          </w:p>
        </w:tc>
      </w:tr>
      <w:tr w14:paraId="1CFA0BE0">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69F8C">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21</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56802">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电源线</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1FA6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国标，纯铜，RVV-3*1.0mm²</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C42F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5091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3860</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0C0C2">
            <w:pPr>
              <w:ind w:firstLine="400"/>
              <w:jc w:val="left"/>
              <w:rPr>
                <w:rFonts w:ascii="宋体" w:hAnsi="宋体" w:eastAsia="宋体" w:cs="宋体"/>
                <w:color w:val="000000"/>
                <w:sz w:val="20"/>
                <w:szCs w:val="20"/>
              </w:rPr>
            </w:pPr>
          </w:p>
        </w:tc>
      </w:tr>
      <w:tr w14:paraId="4F3EE25A">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AD98B">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22</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F42AF">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通讯线</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D1882">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国标，纯铜</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18CE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6470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1380</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24393">
            <w:pPr>
              <w:ind w:firstLine="400"/>
              <w:jc w:val="left"/>
              <w:rPr>
                <w:rFonts w:ascii="宋体" w:hAnsi="宋体" w:eastAsia="宋体" w:cs="宋体"/>
                <w:color w:val="000000"/>
                <w:sz w:val="20"/>
                <w:szCs w:val="20"/>
              </w:rPr>
            </w:pPr>
          </w:p>
        </w:tc>
      </w:tr>
      <w:tr w14:paraId="05E37086">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1617E">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23</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135C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超六类网线</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EA47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国标，室外</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B0B49">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3F0C2">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11325</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6A957">
            <w:pPr>
              <w:ind w:firstLine="400"/>
              <w:jc w:val="left"/>
              <w:rPr>
                <w:rFonts w:ascii="宋体" w:hAnsi="宋体" w:eastAsia="宋体" w:cs="宋体"/>
                <w:color w:val="000000"/>
                <w:sz w:val="20"/>
                <w:szCs w:val="20"/>
              </w:rPr>
            </w:pPr>
          </w:p>
        </w:tc>
      </w:tr>
      <w:tr w14:paraId="13D3A57A">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C41E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24</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279C2">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单模光缆-4芯</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7A9D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4芯单模，含熔纤、配套辅材等</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6BAF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62439">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3615</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66238">
            <w:pPr>
              <w:ind w:firstLine="400"/>
              <w:jc w:val="left"/>
              <w:rPr>
                <w:rFonts w:ascii="宋体" w:hAnsi="宋体" w:eastAsia="宋体" w:cs="宋体"/>
                <w:color w:val="000000"/>
                <w:sz w:val="20"/>
                <w:szCs w:val="20"/>
              </w:rPr>
            </w:pPr>
          </w:p>
        </w:tc>
      </w:tr>
      <w:tr w14:paraId="31B2AF9D">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11B1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25</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DA9B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钢绞线</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40D4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热镀锌钢绞线7*2.0φ6mm（含配件，架空）</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A53B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D2BDE">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2855</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23221">
            <w:pPr>
              <w:ind w:firstLine="400"/>
              <w:jc w:val="left"/>
              <w:rPr>
                <w:rFonts w:ascii="微软雅黑" w:hAnsi="微软雅黑" w:eastAsia="微软雅黑" w:cs="微软雅黑"/>
                <w:b/>
                <w:bCs/>
                <w:color w:val="000000"/>
                <w:sz w:val="20"/>
                <w:szCs w:val="20"/>
              </w:rPr>
            </w:pPr>
          </w:p>
        </w:tc>
      </w:tr>
      <w:tr w14:paraId="47546F15">
        <w:tblPrEx>
          <w:tblCellMar>
            <w:top w:w="0" w:type="dxa"/>
            <w:left w:w="108" w:type="dxa"/>
            <w:bottom w:w="0" w:type="dxa"/>
            <w:right w:w="108" w:type="dxa"/>
          </w:tblCellMar>
        </w:tblPrEx>
        <w:trPr>
          <w:trHeight w:val="312"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3301A">
            <w:pPr>
              <w:widowControl/>
              <w:ind w:firstLine="400"/>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三</w:t>
            </w:r>
          </w:p>
        </w:tc>
        <w:tc>
          <w:tcPr>
            <w:tcW w:w="4062" w:type="pct"/>
            <w:gridSpan w:val="4"/>
            <w:tcBorders>
              <w:top w:val="single" w:color="000000" w:sz="4" w:space="0"/>
              <w:left w:val="single" w:color="000000" w:sz="4" w:space="0"/>
              <w:bottom w:val="single" w:color="000000" w:sz="4" w:space="0"/>
              <w:right w:val="nil"/>
            </w:tcBorders>
            <w:shd w:val="clear" w:color="auto" w:fill="auto"/>
            <w:noWrap/>
            <w:vAlign w:val="center"/>
          </w:tcPr>
          <w:p w14:paraId="0F255B46">
            <w:pPr>
              <w:widowControl/>
              <w:ind w:firstLine="400"/>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基建部分</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1C9BD">
            <w:pPr>
              <w:ind w:firstLine="400"/>
              <w:jc w:val="left"/>
              <w:rPr>
                <w:rFonts w:ascii="微软雅黑" w:hAnsi="微软雅黑" w:eastAsia="微软雅黑" w:cs="微软雅黑"/>
                <w:b/>
                <w:bCs/>
                <w:color w:val="000000"/>
                <w:sz w:val="20"/>
                <w:szCs w:val="20"/>
              </w:rPr>
            </w:pPr>
          </w:p>
        </w:tc>
      </w:tr>
      <w:tr w14:paraId="2E3C612C">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89D7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26</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089D4">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管道沟通2孔Φ50</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D6F1A">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按《公安交通管理外场设备基础施工通用要求》实施</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246E4">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E679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13044</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18A11">
            <w:pPr>
              <w:ind w:firstLine="400"/>
              <w:jc w:val="left"/>
              <w:rPr>
                <w:rFonts w:ascii="宋体" w:hAnsi="宋体" w:eastAsia="宋体" w:cs="宋体"/>
                <w:color w:val="000000"/>
                <w:sz w:val="20"/>
                <w:szCs w:val="20"/>
              </w:rPr>
            </w:pPr>
          </w:p>
        </w:tc>
      </w:tr>
      <w:tr w14:paraId="050FEB08">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C29F4">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27</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FC2FC">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过路顶管2孔Φ50</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AEBB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按《公安交通管理外场设备基础施工通用要求》实施</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2AC7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A4D0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2885</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4A7CD">
            <w:pPr>
              <w:ind w:firstLine="400"/>
              <w:jc w:val="left"/>
              <w:rPr>
                <w:rFonts w:ascii="宋体" w:hAnsi="宋体" w:eastAsia="宋体" w:cs="宋体"/>
                <w:color w:val="000000"/>
                <w:sz w:val="20"/>
                <w:szCs w:val="20"/>
              </w:rPr>
            </w:pPr>
          </w:p>
        </w:tc>
      </w:tr>
      <w:tr w14:paraId="67B83D3B">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66DF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28</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C48E2">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PE管</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175D4">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φ32</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5077E">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C8443">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3070</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99750">
            <w:pPr>
              <w:ind w:firstLine="400"/>
              <w:jc w:val="left"/>
              <w:rPr>
                <w:rFonts w:ascii="宋体" w:hAnsi="宋体" w:eastAsia="宋体" w:cs="宋体"/>
                <w:color w:val="000000"/>
                <w:sz w:val="20"/>
                <w:szCs w:val="20"/>
              </w:rPr>
            </w:pPr>
          </w:p>
        </w:tc>
      </w:tr>
      <w:tr w14:paraId="3675AA80">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BA91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29</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B26CD">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砖砌手井（含手井圈、盖）</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A0F6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详见“主要设备技术参数要求”</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9282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D6654">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902</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56B02">
            <w:pPr>
              <w:ind w:firstLine="400"/>
              <w:jc w:val="left"/>
              <w:rPr>
                <w:rFonts w:ascii="宋体" w:hAnsi="宋体" w:eastAsia="宋体" w:cs="宋体"/>
                <w:color w:val="000000"/>
                <w:sz w:val="20"/>
                <w:szCs w:val="20"/>
              </w:rPr>
            </w:pPr>
          </w:p>
        </w:tc>
      </w:tr>
      <w:tr w14:paraId="159BEF71">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63916">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30</w:t>
            </w:r>
          </w:p>
        </w:tc>
        <w:tc>
          <w:tcPr>
            <w:tcW w:w="9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D1FA1">
            <w:pPr>
              <w:widowControl/>
              <w:jc w:val="left"/>
              <w:textAlignment w:val="center"/>
              <w:rPr>
                <w:rFonts w:hint="eastAsia" w:ascii="宋体" w:hAnsi="宋体" w:eastAsia="宋体" w:cs="宋体"/>
                <w:color w:val="000000"/>
                <w:sz w:val="20"/>
                <w:szCs w:val="20"/>
                <w:highlight w:val="none"/>
                <w:lang w:eastAsia="zh-CN"/>
              </w:rPr>
            </w:pPr>
            <w:r>
              <w:rPr>
                <w:rFonts w:hint="eastAsia" w:ascii="宋体" w:hAnsi="宋体" w:eastAsia="宋体" w:cs="宋体"/>
                <w:color w:val="000000"/>
                <w:kern w:val="0"/>
                <w:sz w:val="20"/>
                <w:szCs w:val="20"/>
                <w:highlight w:val="none"/>
                <w:lang w:bidi="ar"/>
              </w:rPr>
              <w:t>绿化修剪</w:t>
            </w:r>
            <w:r>
              <w:rPr>
                <w:rFonts w:hint="eastAsia" w:ascii="宋体" w:hAnsi="宋体" w:cs="宋体"/>
                <w:color w:val="000000"/>
                <w:kern w:val="0"/>
                <w:sz w:val="20"/>
                <w:szCs w:val="20"/>
                <w:highlight w:val="none"/>
                <w:lang w:eastAsia="zh-CN" w:bidi="ar"/>
              </w:rPr>
              <w:t>及现场恢复</w:t>
            </w:r>
          </w:p>
        </w:tc>
        <w:tc>
          <w:tcPr>
            <w:tcW w:w="1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3D562">
            <w:pPr>
              <w:widowControl/>
              <w:ind w:firstLine="400"/>
              <w:jc w:val="left"/>
              <w:textAlignment w:val="center"/>
              <w:rPr>
                <w:rFonts w:hint="default" w:ascii="宋体" w:hAnsi="宋体" w:eastAsia="宋体" w:cs="宋体"/>
                <w:color w:val="000000"/>
                <w:sz w:val="20"/>
                <w:szCs w:val="20"/>
                <w:highlight w:val="none"/>
                <w:lang w:val="en-US" w:eastAsia="zh-CN"/>
              </w:rPr>
            </w:pPr>
            <w:r>
              <w:rPr>
                <w:rFonts w:hint="eastAsia" w:ascii="宋体" w:hAnsi="宋体" w:cs="宋体"/>
                <w:color w:val="000000"/>
                <w:kern w:val="0"/>
                <w:sz w:val="20"/>
                <w:szCs w:val="20"/>
                <w:highlight w:val="none"/>
                <w:lang w:eastAsia="zh-CN" w:bidi="ar"/>
              </w:rPr>
              <w:t>修剪现有绿化赔付破坏青苗费用及现场恢复原状费用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FA217">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0A834">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EBFDF">
            <w:pPr>
              <w:ind w:firstLine="400"/>
              <w:jc w:val="left"/>
              <w:rPr>
                <w:rFonts w:ascii="宋体" w:hAnsi="宋体" w:eastAsia="宋体" w:cs="宋体"/>
                <w:color w:val="000000"/>
                <w:sz w:val="20"/>
                <w:szCs w:val="20"/>
              </w:rPr>
            </w:pPr>
          </w:p>
        </w:tc>
      </w:tr>
      <w:tr w14:paraId="2E29E35B">
        <w:tblPrEx>
          <w:tblCellMar>
            <w:top w:w="0" w:type="dxa"/>
            <w:left w:w="108" w:type="dxa"/>
            <w:bottom w:w="0" w:type="dxa"/>
            <w:right w:w="108" w:type="dxa"/>
          </w:tblCellMar>
        </w:tblPrEx>
        <w:trPr>
          <w:trHeight w:val="4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9ACDE">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31</w:t>
            </w:r>
          </w:p>
        </w:tc>
        <w:tc>
          <w:tcPr>
            <w:tcW w:w="95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C18C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线缆敷设</w:t>
            </w:r>
          </w:p>
        </w:tc>
        <w:tc>
          <w:tcPr>
            <w:tcW w:w="19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62BE81">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按《公安交通管理外场设备基础施工通用要求》实施</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8BA189">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96ACE">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51270</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5BFA2">
            <w:pPr>
              <w:ind w:firstLine="400"/>
              <w:jc w:val="left"/>
              <w:rPr>
                <w:rFonts w:ascii="宋体" w:hAnsi="宋体" w:eastAsia="宋体" w:cs="宋体"/>
                <w:color w:val="000000"/>
                <w:sz w:val="20"/>
                <w:szCs w:val="20"/>
              </w:rPr>
            </w:pPr>
          </w:p>
        </w:tc>
      </w:tr>
      <w:tr w14:paraId="7830F942">
        <w:tblPrEx>
          <w:tblCellMar>
            <w:top w:w="0" w:type="dxa"/>
            <w:left w:w="108" w:type="dxa"/>
            <w:bottom w:w="0" w:type="dxa"/>
            <w:right w:w="108" w:type="dxa"/>
          </w:tblCellMar>
        </w:tblPrEx>
        <w:trPr>
          <w:trHeight w:val="120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0BC70">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32</w:t>
            </w:r>
          </w:p>
        </w:tc>
        <w:tc>
          <w:tcPr>
            <w:tcW w:w="95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EEBEA5">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供电开户、安装接入施工</w:t>
            </w:r>
          </w:p>
        </w:tc>
        <w:tc>
          <w:tcPr>
            <w:tcW w:w="19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ECD62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含勘查、材料、施工、供电部门验收等所有费用，根据供电部门要求进行实施，以及至监控点所需的顶管、埋管、电杆立杆、架空线缆、线缆敷设等接入施工，电源缆线不低于6平方</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E11CE">
            <w:pPr>
              <w:widowControl/>
              <w:ind w:firstLine="400"/>
              <w:jc w:val="left"/>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eastAsia="zh-CN" w:bidi="ar"/>
              </w:rPr>
              <w:t>路</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B698D">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376</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AFCC2">
            <w:pPr>
              <w:ind w:firstLine="400"/>
              <w:jc w:val="left"/>
              <w:rPr>
                <w:rFonts w:ascii="宋体" w:hAnsi="宋体" w:eastAsia="宋体" w:cs="宋体"/>
                <w:color w:val="000000"/>
                <w:sz w:val="20"/>
                <w:szCs w:val="20"/>
              </w:rPr>
            </w:pPr>
          </w:p>
        </w:tc>
      </w:tr>
      <w:tr w14:paraId="5B8B3931">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3DF09">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33</w:t>
            </w:r>
          </w:p>
        </w:tc>
        <w:tc>
          <w:tcPr>
            <w:tcW w:w="95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2CC506">
            <w:pPr>
              <w:widowControl/>
              <w:ind w:firstLine="400"/>
              <w:jc w:val="left"/>
              <w:textAlignment w:val="center"/>
              <w:rPr>
                <w:rFonts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链路</w:t>
            </w:r>
          </w:p>
        </w:tc>
        <w:tc>
          <w:tcPr>
            <w:tcW w:w="19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1D31E5">
            <w:pPr>
              <w:jc w:val="left"/>
              <w:rPr>
                <w:rFonts w:hint="eastAsia" w:ascii="宋体" w:hAnsi="宋体" w:eastAsia="宋体" w:cs="宋体"/>
                <w:color w:val="000000"/>
                <w:sz w:val="20"/>
                <w:szCs w:val="20"/>
                <w:highlight w:val="none"/>
                <w:lang w:eastAsia="zh-CN"/>
              </w:rPr>
            </w:pPr>
            <w:r>
              <w:rPr>
                <w:rFonts w:hint="eastAsia" w:ascii="宋体" w:hAnsi="宋体" w:cs="宋体"/>
                <w:color w:val="auto"/>
                <w:sz w:val="20"/>
                <w:szCs w:val="20"/>
                <w:highlight w:val="none"/>
                <w:lang w:eastAsia="zh-CN"/>
              </w:rPr>
              <w:t>包含新建链路所需全部费用及租赁运营商通讯链路（包含五年链路使用费且不低于千兆带宽，链路使用费自项目验收合格之日起计算五年）。</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4A4EA">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路</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BBFA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407</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7F511">
            <w:pPr>
              <w:ind w:firstLine="400"/>
              <w:jc w:val="left"/>
              <w:rPr>
                <w:rFonts w:ascii="宋体" w:hAnsi="宋体" w:eastAsia="宋体" w:cs="宋体"/>
                <w:color w:val="000000"/>
                <w:sz w:val="20"/>
                <w:szCs w:val="20"/>
              </w:rPr>
            </w:pPr>
          </w:p>
        </w:tc>
      </w:tr>
      <w:tr w14:paraId="288579C9">
        <w:tblPrEx>
          <w:tblCellMar>
            <w:top w:w="0" w:type="dxa"/>
            <w:left w:w="108" w:type="dxa"/>
            <w:bottom w:w="0" w:type="dxa"/>
            <w:right w:w="108" w:type="dxa"/>
          </w:tblCellMar>
        </w:tblPrEx>
        <w:trPr>
          <w:trHeight w:val="312"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09BCA">
            <w:pPr>
              <w:widowControl/>
              <w:ind w:firstLine="400"/>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四</w:t>
            </w:r>
          </w:p>
        </w:tc>
        <w:tc>
          <w:tcPr>
            <w:tcW w:w="4062" w:type="pct"/>
            <w:gridSpan w:val="4"/>
            <w:tcBorders>
              <w:top w:val="single" w:color="000000" w:sz="4" w:space="0"/>
              <w:left w:val="single" w:color="000000" w:sz="4" w:space="0"/>
              <w:bottom w:val="single" w:color="000000" w:sz="4" w:space="0"/>
              <w:right w:val="nil"/>
            </w:tcBorders>
            <w:shd w:val="clear" w:color="auto" w:fill="auto"/>
            <w:noWrap/>
            <w:vAlign w:val="center"/>
          </w:tcPr>
          <w:p w14:paraId="01842118">
            <w:pPr>
              <w:widowControl/>
              <w:ind w:firstLine="400"/>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其他</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87BE5">
            <w:pPr>
              <w:ind w:firstLine="400"/>
              <w:jc w:val="left"/>
              <w:rPr>
                <w:rFonts w:ascii="宋体" w:hAnsi="宋体" w:eastAsia="宋体" w:cs="宋体"/>
                <w:color w:val="000000"/>
                <w:sz w:val="20"/>
                <w:szCs w:val="20"/>
              </w:rPr>
            </w:pPr>
          </w:p>
        </w:tc>
      </w:tr>
      <w:tr w14:paraId="093746B8">
        <w:tblPrEx>
          <w:tblCellMar>
            <w:top w:w="0" w:type="dxa"/>
            <w:left w:w="108" w:type="dxa"/>
            <w:bottom w:w="0" w:type="dxa"/>
            <w:right w:w="108" w:type="dxa"/>
          </w:tblCellMar>
        </w:tblPrEx>
        <w:trPr>
          <w:trHeight w:val="72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FA970">
            <w:pPr>
              <w:widowControl/>
              <w:ind w:firstLine="400"/>
              <w:jc w:val="left"/>
              <w:textAlignment w:val="center"/>
              <w:rPr>
                <w:rFonts w:hint="eastAsia" w:ascii="宋体" w:hAnsi="宋体" w:eastAsia="宋体" w:cs="宋体"/>
                <w:color w:val="000000"/>
                <w:sz w:val="20"/>
                <w:szCs w:val="20"/>
                <w:lang w:eastAsia="zh-CN"/>
              </w:rPr>
            </w:pPr>
            <w:r>
              <w:rPr>
                <w:rFonts w:hint="eastAsia" w:ascii="宋体" w:hAnsi="宋体" w:eastAsia="宋体" w:cs="宋体"/>
                <w:color w:val="000000"/>
                <w:kern w:val="0"/>
                <w:sz w:val="20"/>
                <w:szCs w:val="20"/>
                <w:lang w:bidi="ar"/>
              </w:rPr>
              <w:t>3</w:t>
            </w:r>
            <w:r>
              <w:rPr>
                <w:rFonts w:hint="eastAsia" w:ascii="宋体" w:hAnsi="宋体" w:cs="宋体"/>
                <w:color w:val="000000"/>
                <w:kern w:val="0"/>
                <w:sz w:val="20"/>
                <w:szCs w:val="20"/>
                <w:lang w:val="en-US" w:eastAsia="zh-CN" w:bidi="ar"/>
              </w:rPr>
              <w:t>5</w:t>
            </w:r>
          </w:p>
        </w:tc>
        <w:tc>
          <w:tcPr>
            <w:tcW w:w="95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DA9822">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拆除、更换相机费用</w:t>
            </w:r>
          </w:p>
        </w:tc>
        <w:tc>
          <w:tcPr>
            <w:tcW w:w="19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251B1F">
            <w:pPr>
              <w:widowControl/>
              <w:ind w:firstLine="0" w:firstLineChars="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拆除31个宗教场所</w:t>
            </w:r>
            <w:r>
              <w:rPr>
                <w:rFonts w:hint="eastAsia" w:ascii="宋体" w:hAnsi="宋体" w:eastAsia="宋体" w:cs="宋体"/>
                <w:kern w:val="0"/>
                <w:sz w:val="20"/>
                <w:szCs w:val="20"/>
                <w:lang w:bidi="ar"/>
              </w:rPr>
              <w:t>及其他重点部位</w:t>
            </w:r>
            <w:r>
              <w:rPr>
                <w:rFonts w:hint="eastAsia" w:ascii="宋体" w:hAnsi="宋体" w:eastAsia="宋体" w:cs="宋体"/>
                <w:color w:val="000000"/>
                <w:kern w:val="0"/>
                <w:sz w:val="20"/>
                <w:szCs w:val="20"/>
                <w:lang w:bidi="ar"/>
              </w:rPr>
              <w:t>共计42台人脸相机并更换为C类相机，将拆除相机安装至公安指定位置</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D2A2B8">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8641A">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74038">
            <w:pPr>
              <w:ind w:firstLine="400"/>
              <w:jc w:val="left"/>
              <w:rPr>
                <w:rFonts w:ascii="宋体" w:hAnsi="宋体" w:eastAsia="宋体" w:cs="宋体"/>
                <w:color w:val="000000"/>
                <w:sz w:val="20"/>
                <w:szCs w:val="20"/>
              </w:rPr>
            </w:pPr>
          </w:p>
        </w:tc>
      </w:tr>
      <w:tr w14:paraId="011618BB">
        <w:tblPrEx>
          <w:tblCellMar>
            <w:top w:w="0" w:type="dxa"/>
            <w:left w:w="108" w:type="dxa"/>
            <w:bottom w:w="0" w:type="dxa"/>
            <w:right w:w="108" w:type="dxa"/>
          </w:tblCellMar>
        </w:tblPrEx>
        <w:trPr>
          <w:trHeight w:val="288"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34E48">
            <w:pPr>
              <w:widowControl/>
              <w:ind w:firstLine="400"/>
              <w:jc w:val="left"/>
              <w:textAlignment w:val="center"/>
              <w:rPr>
                <w:rFonts w:hint="eastAsia" w:ascii="宋体" w:hAnsi="宋体" w:eastAsia="宋体" w:cs="宋体"/>
                <w:color w:val="000000"/>
                <w:sz w:val="20"/>
                <w:szCs w:val="20"/>
                <w:lang w:eastAsia="zh-CN"/>
              </w:rPr>
            </w:pPr>
            <w:r>
              <w:rPr>
                <w:rFonts w:hint="eastAsia" w:ascii="宋体" w:hAnsi="宋体" w:eastAsia="宋体" w:cs="宋体"/>
                <w:color w:val="000000"/>
                <w:kern w:val="0"/>
                <w:sz w:val="20"/>
                <w:szCs w:val="20"/>
                <w:lang w:bidi="ar"/>
              </w:rPr>
              <w:t>3</w:t>
            </w:r>
            <w:r>
              <w:rPr>
                <w:rFonts w:hint="eastAsia" w:ascii="宋体" w:hAnsi="宋体" w:cs="宋体"/>
                <w:color w:val="000000"/>
                <w:kern w:val="0"/>
                <w:sz w:val="20"/>
                <w:szCs w:val="20"/>
                <w:lang w:val="en-US" w:eastAsia="zh-CN" w:bidi="ar"/>
              </w:rPr>
              <w:t>6</w:t>
            </w:r>
          </w:p>
        </w:tc>
        <w:tc>
          <w:tcPr>
            <w:tcW w:w="95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F0320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辅材</w:t>
            </w:r>
          </w:p>
        </w:tc>
        <w:tc>
          <w:tcPr>
            <w:tcW w:w="19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E8FCEA">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水晶头，网络跳线，空开等</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32CFA9">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批</w:t>
            </w:r>
          </w:p>
        </w:tc>
        <w:tc>
          <w:tcPr>
            <w:tcW w:w="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CCD95">
            <w:pPr>
              <w:widowControl/>
              <w:ind w:firstLine="4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C5188">
            <w:pPr>
              <w:ind w:firstLine="440"/>
              <w:jc w:val="left"/>
              <w:rPr>
                <w:rFonts w:ascii="宋体" w:hAnsi="宋体" w:eastAsia="宋体" w:cs="宋体"/>
                <w:color w:val="000000"/>
                <w:sz w:val="22"/>
              </w:rPr>
            </w:pPr>
          </w:p>
        </w:tc>
      </w:tr>
      <w:tr w14:paraId="4521BBA1">
        <w:tblPrEx>
          <w:tblCellMar>
            <w:top w:w="0" w:type="dxa"/>
            <w:left w:w="108" w:type="dxa"/>
            <w:bottom w:w="0" w:type="dxa"/>
            <w:right w:w="108" w:type="dxa"/>
          </w:tblCellMar>
        </w:tblPrEx>
        <w:trPr>
          <w:trHeight w:val="312"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82D62">
            <w:pPr>
              <w:widowControl/>
              <w:ind w:firstLine="400"/>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五</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403C0">
            <w:pPr>
              <w:widowControl/>
              <w:ind w:firstLine="400"/>
              <w:jc w:val="left"/>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调试费</w:t>
            </w:r>
          </w:p>
        </w:tc>
        <w:tc>
          <w:tcPr>
            <w:tcW w:w="1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89C32">
            <w:pPr>
              <w:widowControl/>
              <w:ind w:firstLine="400"/>
              <w:jc w:val="left"/>
              <w:textAlignment w:val="center"/>
              <w:rPr>
                <w:rFonts w:ascii="微软雅黑" w:hAnsi="微软雅黑" w:eastAsia="微软雅黑" w:cs="微软雅黑"/>
                <w:b/>
                <w:bCs/>
                <w:color w:val="000000"/>
                <w:sz w:val="20"/>
                <w:szCs w:val="20"/>
              </w:rPr>
            </w:pPr>
            <w:r>
              <w:rPr>
                <w:rFonts w:hint="eastAsia" w:ascii="宋体" w:hAnsi="宋体" w:eastAsia="宋体" w:cs="宋体"/>
                <w:color w:val="000000"/>
                <w:kern w:val="0"/>
                <w:sz w:val="20"/>
                <w:szCs w:val="20"/>
                <w:lang w:bidi="ar"/>
              </w:rPr>
              <w:t>上述一至四项所有安装调试费用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3347E">
            <w:pPr>
              <w:widowControl/>
              <w:ind w:firstLine="400"/>
              <w:jc w:val="left"/>
              <w:textAlignment w:val="center"/>
              <w:rPr>
                <w:rFonts w:hint="eastAsia" w:ascii="宋体" w:hAnsi="宋体" w:eastAsia="宋体" w:cs="宋体"/>
                <w:color w:val="000000"/>
                <w:kern w:val="0"/>
                <w:sz w:val="20"/>
                <w:szCs w:val="20"/>
                <w:lang w:eastAsia="zh-CN" w:bidi="ar"/>
              </w:rPr>
            </w:pPr>
            <w:r>
              <w:rPr>
                <w:rFonts w:hint="eastAsia" w:ascii="宋体" w:hAnsi="宋体" w:eastAsia="宋体" w:cs="宋体"/>
                <w:color w:val="000000"/>
                <w:kern w:val="0"/>
                <w:sz w:val="20"/>
                <w:szCs w:val="20"/>
                <w:lang w:eastAsia="zh-CN" w:bidi="ar"/>
              </w:rPr>
              <w:t>项</w:t>
            </w:r>
          </w:p>
        </w:tc>
        <w:tc>
          <w:tcPr>
            <w:tcW w:w="6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2DF0B">
            <w:pPr>
              <w:widowControl/>
              <w:ind w:firstLine="400"/>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E7048">
            <w:pPr>
              <w:ind w:firstLine="440"/>
              <w:jc w:val="left"/>
              <w:rPr>
                <w:rFonts w:ascii="宋体" w:hAnsi="宋体" w:eastAsia="宋体" w:cs="宋体"/>
                <w:color w:val="000000"/>
                <w:sz w:val="22"/>
              </w:rPr>
            </w:pPr>
          </w:p>
        </w:tc>
      </w:tr>
    </w:tbl>
    <w:p w14:paraId="75416B30">
      <w:pPr>
        <w:ind w:firstLine="0" w:firstLineChars="0"/>
      </w:pPr>
    </w:p>
    <w:p w14:paraId="26E0ABBB">
      <w:pPr>
        <w:ind w:firstLine="480"/>
      </w:pPr>
    </w:p>
    <w:p w14:paraId="393EE5C8">
      <w:pPr>
        <w:pStyle w:val="5"/>
        <w:numPr>
          <w:ilvl w:val="0"/>
          <w:numId w:val="6"/>
        </w:numPr>
        <w:spacing w:line="360" w:lineRule="auto"/>
        <w:ind w:firstLine="0" w:firstLineChars="0"/>
      </w:pPr>
      <w:bookmarkStart w:id="209" w:name="_Toc2509"/>
      <w:r>
        <w:rPr>
          <w:rFonts w:hint="eastAsia"/>
        </w:rPr>
        <w:t>后端存储服务及其他设施</w:t>
      </w:r>
      <w:bookmarkEnd w:id="209"/>
    </w:p>
    <w:tbl>
      <w:tblPr>
        <w:tblStyle w:val="13"/>
        <w:tblW w:w="5000" w:type="pct"/>
        <w:tblInd w:w="0" w:type="dxa"/>
        <w:tblLayout w:type="fixed"/>
        <w:tblCellMar>
          <w:top w:w="0" w:type="dxa"/>
          <w:left w:w="108" w:type="dxa"/>
          <w:bottom w:w="0" w:type="dxa"/>
          <w:right w:w="108" w:type="dxa"/>
        </w:tblCellMar>
      </w:tblPr>
      <w:tblGrid>
        <w:gridCol w:w="1290"/>
        <w:gridCol w:w="2153"/>
        <w:gridCol w:w="1775"/>
        <w:gridCol w:w="1153"/>
        <w:gridCol w:w="944"/>
        <w:gridCol w:w="1310"/>
      </w:tblGrid>
      <w:tr w14:paraId="07D1B72B">
        <w:trPr>
          <w:trHeight w:val="516" w:hRule="atLeast"/>
        </w:trPr>
        <w:tc>
          <w:tcPr>
            <w:tcW w:w="5000" w:type="pct"/>
            <w:gridSpan w:val="6"/>
            <w:tcBorders>
              <w:top w:val="nil"/>
              <w:left w:val="nil"/>
              <w:bottom w:val="nil"/>
              <w:right w:val="nil"/>
            </w:tcBorders>
            <w:shd w:val="clear" w:color="auto" w:fill="auto"/>
            <w:noWrap/>
            <w:vAlign w:val="bottom"/>
          </w:tcPr>
          <w:p w14:paraId="3E24EF48">
            <w:pPr>
              <w:widowControl/>
              <w:ind w:firstLine="803"/>
              <w:jc w:val="center"/>
              <w:textAlignment w:val="bottom"/>
              <w:rPr>
                <w:rFonts w:ascii="宋体" w:hAnsi="宋体" w:eastAsia="宋体" w:cs="宋体"/>
                <w:b/>
                <w:bCs/>
                <w:color w:val="000000"/>
                <w:sz w:val="40"/>
                <w:szCs w:val="40"/>
              </w:rPr>
            </w:pPr>
            <w:r>
              <w:rPr>
                <w:rFonts w:hint="eastAsia" w:ascii="宋体" w:hAnsi="宋体" w:eastAsia="宋体" w:cs="宋体"/>
                <w:b/>
                <w:bCs/>
                <w:color w:val="000000"/>
                <w:kern w:val="0"/>
                <w:sz w:val="40"/>
                <w:szCs w:val="40"/>
                <w:lang w:bidi="ar"/>
              </w:rPr>
              <w:t>存储扩容</w:t>
            </w:r>
          </w:p>
        </w:tc>
      </w:tr>
      <w:tr w14:paraId="1BCE5C1F">
        <w:tblPrEx>
          <w:tblCellMar>
            <w:top w:w="0" w:type="dxa"/>
            <w:left w:w="108" w:type="dxa"/>
            <w:bottom w:w="0" w:type="dxa"/>
            <w:right w:w="108" w:type="dxa"/>
          </w:tblCellMar>
        </w:tblPrEx>
        <w:trPr>
          <w:trHeight w:val="348" w:hRule="atLeast"/>
        </w:trPr>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D869">
            <w:pPr>
              <w:widowControl/>
              <w:ind w:firstLine="400"/>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序号</w:t>
            </w:r>
          </w:p>
        </w:tc>
        <w:tc>
          <w:tcPr>
            <w:tcW w:w="12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C7118">
            <w:pPr>
              <w:widowControl/>
              <w:ind w:firstLine="400"/>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产品类别</w:t>
            </w:r>
          </w:p>
        </w:tc>
        <w:tc>
          <w:tcPr>
            <w:tcW w:w="10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08C46">
            <w:pPr>
              <w:widowControl/>
              <w:ind w:firstLine="400"/>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参数</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47901">
            <w:pPr>
              <w:widowControl/>
              <w:ind w:firstLine="400"/>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单位</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750CC">
            <w:pPr>
              <w:widowControl/>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数量</w:t>
            </w:r>
          </w:p>
        </w:tc>
        <w:tc>
          <w:tcPr>
            <w:tcW w:w="7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D1C67">
            <w:pPr>
              <w:widowControl/>
              <w:ind w:firstLine="400"/>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备注</w:t>
            </w:r>
          </w:p>
        </w:tc>
      </w:tr>
      <w:tr w14:paraId="757C20C8">
        <w:tblPrEx>
          <w:tblCellMar>
            <w:top w:w="0" w:type="dxa"/>
            <w:left w:w="108" w:type="dxa"/>
            <w:bottom w:w="0" w:type="dxa"/>
            <w:right w:w="108" w:type="dxa"/>
          </w:tblCellMar>
        </w:tblPrEx>
        <w:trPr>
          <w:trHeight w:val="1392" w:hRule="atLeast"/>
        </w:trPr>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38513">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w:t>
            </w:r>
          </w:p>
        </w:tc>
        <w:tc>
          <w:tcPr>
            <w:tcW w:w="1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609C4">
            <w:pPr>
              <w:widowControl/>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网络存储设备（48盘位，满配16T硬盘）</w:t>
            </w:r>
          </w:p>
        </w:tc>
        <w:tc>
          <w:tcPr>
            <w:tcW w:w="1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92AD7">
            <w:pPr>
              <w:widowControl/>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详见“主要设备技术参数要求”</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1890E">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台</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77754">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w:t>
            </w:r>
          </w:p>
        </w:tc>
        <w:tc>
          <w:tcPr>
            <w:tcW w:w="7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51A66">
            <w:pPr>
              <w:widowControl/>
              <w:ind w:firstLine="400"/>
              <w:jc w:val="center"/>
              <w:textAlignment w:val="center"/>
              <w:rPr>
                <w:rFonts w:ascii="宋体" w:hAnsi="宋体" w:eastAsia="宋体" w:cs="宋体"/>
                <w:color w:val="000000"/>
                <w:kern w:val="0"/>
                <w:sz w:val="20"/>
                <w:szCs w:val="20"/>
                <w:lang w:bidi="ar"/>
              </w:rPr>
            </w:pPr>
          </w:p>
        </w:tc>
      </w:tr>
      <w:tr w14:paraId="7DBCF806">
        <w:tblPrEx>
          <w:tblCellMar>
            <w:top w:w="0" w:type="dxa"/>
            <w:left w:w="108" w:type="dxa"/>
            <w:bottom w:w="0" w:type="dxa"/>
            <w:right w:w="108" w:type="dxa"/>
          </w:tblCellMar>
        </w:tblPrEx>
        <w:trPr>
          <w:trHeight w:val="696" w:hRule="atLeast"/>
        </w:trPr>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402EE">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w:t>
            </w:r>
          </w:p>
        </w:tc>
        <w:tc>
          <w:tcPr>
            <w:tcW w:w="12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B6188">
            <w:pPr>
              <w:widowControl/>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汇聚交换机</w:t>
            </w:r>
          </w:p>
        </w:tc>
        <w:tc>
          <w:tcPr>
            <w:tcW w:w="1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F8948">
            <w:pPr>
              <w:widowControl/>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详见“主要设备技术参数要求”</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056F8">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台</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3DC79">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w:t>
            </w:r>
          </w:p>
        </w:tc>
        <w:tc>
          <w:tcPr>
            <w:tcW w:w="75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030B4C">
            <w:pPr>
              <w:widowControl/>
              <w:ind w:firstLine="400"/>
              <w:jc w:val="center"/>
              <w:textAlignment w:val="center"/>
              <w:rPr>
                <w:rFonts w:ascii="宋体" w:hAnsi="宋体" w:eastAsia="宋体" w:cs="宋体"/>
                <w:color w:val="000000"/>
                <w:kern w:val="0"/>
                <w:sz w:val="20"/>
                <w:szCs w:val="20"/>
                <w:lang w:bidi="ar"/>
              </w:rPr>
            </w:pPr>
          </w:p>
        </w:tc>
      </w:tr>
    </w:tbl>
    <w:p w14:paraId="47214CED">
      <w:pPr>
        <w:pStyle w:val="5"/>
        <w:numPr>
          <w:ilvl w:val="0"/>
          <w:numId w:val="6"/>
        </w:numPr>
        <w:spacing w:line="360" w:lineRule="auto"/>
        <w:ind w:firstLine="0" w:firstLineChars="0"/>
      </w:pPr>
      <w:bookmarkStart w:id="210" w:name="_Toc7776"/>
      <w:r>
        <w:rPr>
          <w:rFonts w:hint="eastAsia"/>
        </w:rPr>
        <w:t>人像接入授权</w:t>
      </w:r>
      <w:bookmarkEnd w:id="210"/>
    </w:p>
    <w:tbl>
      <w:tblPr>
        <w:tblStyle w:val="13"/>
        <w:tblW w:w="4753" w:type="pct"/>
        <w:tblInd w:w="0" w:type="dxa"/>
        <w:tblLayout w:type="fixed"/>
        <w:tblCellMar>
          <w:top w:w="0" w:type="dxa"/>
          <w:left w:w="108" w:type="dxa"/>
          <w:bottom w:w="0" w:type="dxa"/>
          <w:right w:w="108" w:type="dxa"/>
        </w:tblCellMar>
      </w:tblPr>
      <w:tblGrid>
        <w:gridCol w:w="1222"/>
        <w:gridCol w:w="1540"/>
        <w:gridCol w:w="2090"/>
        <w:gridCol w:w="866"/>
        <w:gridCol w:w="1225"/>
        <w:gridCol w:w="1257"/>
      </w:tblGrid>
      <w:tr w14:paraId="7769FE3C">
        <w:tblPrEx>
          <w:tblCellMar>
            <w:top w:w="0" w:type="dxa"/>
            <w:left w:w="108" w:type="dxa"/>
            <w:bottom w:w="0" w:type="dxa"/>
            <w:right w:w="108" w:type="dxa"/>
          </w:tblCellMar>
        </w:tblPrEx>
        <w:trPr>
          <w:trHeight w:val="121" w:hRule="atLeast"/>
        </w:trPr>
        <w:tc>
          <w:tcPr>
            <w:tcW w:w="5000" w:type="pct"/>
            <w:gridSpan w:val="6"/>
            <w:tcBorders>
              <w:top w:val="nil"/>
              <w:left w:val="nil"/>
              <w:bottom w:val="nil"/>
              <w:right w:val="nil"/>
            </w:tcBorders>
            <w:shd w:val="clear" w:color="auto" w:fill="auto"/>
            <w:noWrap/>
            <w:vAlign w:val="bottom"/>
          </w:tcPr>
          <w:p w14:paraId="32D0CAFE">
            <w:pPr>
              <w:widowControl/>
              <w:ind w:firstLine="803"/>
              <w:jc w:val="center"/>
              <w:textAlignment w:val="bottom"/>
              <w:rPr>
                <w:rFonts w:ascii="宋体" w:hAnsi="宋体" w:eastAsia="宋体" w:cs="宋体"/>
                <w:b/>
                <w:bCs/>
                <w:color w:val="000000"/>
                <w:sz w:val="40"/>
                <w:szCs w:val="40"/>
              </w:rPr>
            </w:pPr>
            <w:r>
              <w:rPr>
                <w:rFonts w:hint="eastAsia" w:ascii="宋体" w:hAnsi="宋体" w:eastAsia="宋体" w:cs="宋体"/>
                <w:b/>
                <w:bCs/>
                <w:color w:val="000000"/>
                <w:kern w:val="0"/>
                <w:sz w:val="40"/>
                <w:szCs w:val="40"/>
                <w:lang w:bidi="ar"/>
              </w:rPr>
              <w:t>人像接入授权</w:t>
            </w:r>
          </w:p>
        </w:tc>
      </w:tr>
      <w:tr w14:paraId="3BC80E5F">
        <w:tblPrEx>
          <w:tblCellMar>
            <w:top w:w="0" w:type="dxa"/>
            <w:left w:w="108" w:type="dxa"/>
            <w:bottom w:w="0" w:type="dxa"/>
            <w:right w:w="108" w:type="dxa"/>
          </w:tblCellMar>
        </w:tblPrEx>
        <w:trPr>
          <w:trHeight w:val="123" w:hRule="atLeast"/>
        </w:trPr>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9D771">
            <w:pPr>
              <w:widowControl/>
              <w:ind w:firstLine="400"/>
              <w:jc w:val="center"/>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序号</w:t>
            </w:r>
          </w:p>
        </w:tc>
        <w:tc>
          <w:tcPr>
            <w:tcW w:w="9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719A">
            <w:pPr>
              <w:widowControl/>
              <w:ind w:firstLine="400"/>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产品类别</w:t>
            </w:r>
          </w:p>
        </w:tc>
        <w:tc>
          <w:tcPr>
            <w:tcW w:w="1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4D282">
            <w:pPr>
              <w:widowControl/>
              <w:ind w:firstLine="400"/>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参数</w:t>
            </w:r>
          </w:p>
        </w:tc>
        <w:tc>
          <w:tcPr>
            <w:tcW w:w="5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7A795">
            <w:pPr>
              <w:widowControl/>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单位</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6E89A">
            <w:pPr>
              <w:widowControl/>
              <w:ind w:firstLine="400"/>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数量</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FEF4F">
            <w:pPr>
              <w:widowControl/>
              <w:ind w:firstLine="400"/>
              <w:jc w:val="both"/>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备注</w:t>
            </w:r>
          </w:p>
        </w:tc>
      </w:tr>
      <w:tr w14:paraId="7C416C9F">
        <w:tblPrEx>
          <w:tblCellMar>
            <w:top w:w="0" w:type="dxa"/>
            <w:left w:w="108" w:type="dxa"/>
            <w:bottom w:w="0" w:type="dxa"/>
            <w:right w:w="108" w:type="dxa"/>
          </w:tblCellMar>
        </w:tblPrEx>
        <w:trPr>
          <w:trHeight w:val="261" w:hRule="atLeast"/>
        </w:trPr>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0FBAE">
            <w:pPr>
              <w:widowControl/>
              <w:ind w:firstLine="400"/>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w:t>
            </w:r>
          </w:p>
        </w:tc>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3E244">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人脸解析</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34BC5">
            <w:pPr>
              <w:widowControl/>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详见“主要设备技术参数要求”</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9E37F">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路</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81B50">
            <w:pPr>
              <w:widowControl/>
              <w:ind w:firstLine="400"/>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1100</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739BF">
            <w:pPr>
              <w:widowControl/>
              <w:ind w:firstLine="400"/>
              <w:jc w:val="center"/>
              <w:textAlignment w:val="center"/>
              <w:rPr>
                <w:rFonts w:ascii="宋体" w:hAnsi="宋体" w:eastAsia="宋体" w:cs="宋体"/>
                <w:color w:val="000000"/>
                <w:kern w:val="0"/>
                <w:sz w:val="20"/>
                <w:szCs w:val="20"/>
                <w:lang w:bidi="ar"/>
              </w:rPr>
            </w:pPr>
          </w:p>
        </w:tc>
      </w:tr>
      <w:tr w14:paraId="0E71F4A0">
        <w:tblPrEx>
          <w:tblCellMar>
            <w:top w:w="0" w:type="dxa"/>
            <w:left w:w="108" w:type="dxa"/>
            <w:bottom w:w="0" w:type="dxa"/>
            <w:right w:w="108" w:type="dxa"/>
          </w:tblCellMar>
        </w:tblPrEx>
        <w:trPr>
          <w:trHeight w:val="261" w:hRule="atLeast"/>
        </w:trPr>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5032E">
            <w:pPr>
              <w:widowControl/>
              <w:ind w:firstLine="400"/>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w:t>
            </w:r>
          </w:p>
        </w:tc>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BB166">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人脸聚档</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B85FF">
            <w:pPr>
              <w:widowControl/>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详见“主要设备技术参数要求”</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5131C">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路</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6D3B1">
            <w:pPr>
              <w:widowControl/>
              <w:ind w:firstLine="400"/>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1100</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88B5">
            <w:pPr>
              <w:widowControl/>
              <w:ind w:firstLine="400"/>
              <w:jc w:val="center"/>
              <w:textAlignment w:val="center"/>
              <w:rPr>
                <w:rFonts w:ascii="宋体" w:hAnsi="宋体" w:eastAsia="宋体" w:cs="宋体"/>
                <w:color w:val="000000"/>
                <w:kern w:val="0"/>
                <w:sz w:val="20"/>
                <w:szCs w:val="20"/>
                <w:lang w:bidi="ar"/>
              </w:rPr>
            </w:pPr>
          </w:p>
        </w:tc>
      </w:tr>
      <w:tr w14:paraId="56DEAB64">
        <w:tblPrEx>
          <w:tblCellMar>
            <w:top w:w="0" w:type="dxa"/>
            <w:left w:w="108" w:type="dxa"/>
            <w:bottom w:w="0" w:type="dxa"/>
            <w:right w:w="108" w:type="dxa"/>
          </w:tblCellMar>
        </w:tblPrEx>
        <w:trPr>
          <w:trHeight w:val="262" w:hRule="atLeast"/>
        </w:trPr>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1EC84">
            <w:pPr>
              <w:widowControl/>
              <w:ind w:firstLine="400"/>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w:t>
            </w:r>
          </w:p>
        </w:tc>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9DC2D">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人体解析</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6F517">
            <w:pPr>
              <w:widowControl/>
              <w:ind w:firstLine="400"/>
              <w:jc w:val="both"/>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详见“主要设备技术参数要求”</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C1801">
            <w:pPr>
              <w:widowControl/>
              <w:ind w:firstLine="400"/>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路</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81388">
            <w:pPr>
              <w:widowControl/>
              <w:ind w:firstLine="400"/>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1100</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4A9C">
            <w:pPr>
              <w:widowControl/>
              <w:ind w:firstLine="400"/>
              <w:jc w:val="center"/>
              <w:textAlignment w:val="center"/>
              <w:rPr>
                <w:rFonts w:ascii="宋体" w:hAnsi="宋体" w:eastAsia="宋体" w:cs="宋体"/>
                <w:color w:val="000000"/>
                <w:kern w:val="0"/>
                <w:sz w:val="20"/>
                <w:szCs w:val="20"/>
                <w:lang w:bidi="ar"/>
              </w:rPr>
            </w:pPr>
          </w:p>
        </w:tc>
      </w:tr>
    </w:tbl>
    <w:p w14:paraId="22237EF5">
      <w:pPr>
        <w:ind w:firstLine="0" w:firstLineChars="0"/>
        <w:jc w:val="left"/>
      </w:pPr>
    </w:p>
    <w:p w14:paraId="5CEF6778">
      <w:pPr>
        <w:pStyle w:val="5"/>
        <w:numPr>
          <w:ilvl w:val="0"/>
          <w:numId w:val="6"/>
        </w:numPr>
        <w:spacing w:line="360" w:lineRule="auto"/>
        <w:ind w:firstLine="0" w:firstLineChars="0"/>
      </w:pPr>
      <w:bookmarkStart w:id="211" w:name="_Toc15679"/>
      <w:r>
        <w:rPr>
          <w:rFonts w:hint="eastAsia"/>
        </w:rPr>
        <w:t>机房服务</w:t>
      </w:r>
      <w:bookmarkEnd w:id="211"/>
    </w:p>
    <w:tbl>
      <w:tblPr>
        <w:tblStyle w:val="13"/>
        <w:tblW w:w="5008" w:type="pct"/>
        <w:tblInd w:w="0" w:type="dxa"/>
        <w:tblLayout w:type="autofit"/>
        <w:tblCellMar>
          <w:top w:w="0" w:type="dxa"/>
          <w:left w:w="108" w:type="dxa"/>
          <w:bottom w:w="0" w:type="dxa"/>
          <w:right w:w="108" w:type="dxa"/>
        </w:tblCellMar>
      </w:tblPr>
      <w:tblGrid>
        <w:gridCol w:w="779"/>
        <w:gridCol w:w="1343"/>
        <w:gridCol w:w="4173"/>
        <w:gridCol w:w="779"/>
        <w:gridCol w:w="779"/>
        <w:gridCol w:w="786"/>
      </w:tblGrid>
      <w:tr w14:paraId="0F3509F8">
        <w:tblPrEx>
          <w:tblCellMar>
            <w:top w:w="0" w:type="dxa"/>
            <w:left w:w="108" w:type="dxa"/>
            <w:bottom w:w="0" w:type="dxa"/>
            <w:right w:w="108" w:type="dxa"/>
          </w:tblCellMar>
        </w:tblPrEx>
        <w:trPr>
          <w:trHeight w:val="90" w:hRule="atLeast"/>
        </w:trPr>
        <w:tc>
          <w:tcPr>
            <w:tcW w:w="5000" w:type="pct"/>
            <w:gridSpan w:val="6"/>
            <w:tcBorders>
              <w:top w:val="nil"/>
              <w:left w:val="nil"/>
              <w:bottom w:val="single" w:color="auto" w:sz="4" w:space="0"/>
              <w:right w:val="nil"/>
            </w:tcBorders>
            <w:shd w:val="clear" w:color="auto" w:fill="auto"/>
            <w:noWrap/>
            <w:vAlign w:val="bottom"/>
          </w:tcPr>
          <w:p w14:paraId="16FDB27B">
            <w:pPr>
              <w:widowControl/>
              <w:spacing w:line="240" w:lineRule="auto"/>
              <w:ind w:firstLine="0" w:firstLineChars="0"/>
              <w:jc w:val="center"/>
              <w:rPr>
                <w:rFonts w:ascii="宋体" w:hAnsi="宋体" w:eastAsia="宋体" w:cs="宋体"/>
                <w:b/>
                <w:bCs/>
                <w:color w:val="000000"/>
                <w:kern w:val="0"/>
                <w:sz w:val="40"/>
                <w:szCs w:val="40"/>
              </w:rPr>
            </w:pPr>
            <w:r>
              <w:rPr>
                <w:rFonts w:hint="eastAsia" w:ascii="宋体" w:hAnsi="宋体" w:eastAsia="宋体" w:cs="宋体"/>
                <w:b/>
                <w:bCs/>
                <w:color w:val="000000"/>
                <w:kern w:val="0"/>
                <w:sz w:val="40"/>
                <w:szCs w:val="40"/>
              </w:rPr>
              <w:t>机房服务</w:t>
            </w:r>
          </w:p>
        </w:tc>
      </w:tr>
      <w:tr w14:paraId="279D3910">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noWrap/>
            <w:vAlign w:val="center"/>
          </w:tcPr>
          <w:p w14:paraId="7E7644AF">
            <w:pPr>
              <w:widowControl/>
              <w:spacing w:line="240" w:lineRule="auto"/>
              <w:ind w:firstLine="0" w:firstLineChars="0"/>
              <w:jc w:val="center"/>
              <w:rPr>
                <w:rFonts w:ascii="宋体" w:hAnsi="宋体" w:eastAsia="宋体" w:cs="宋体"/>
                <w:b/>
                <w:bCs/>
                <w:kern w:val="0"/>
                <w:sz w:val="28"/>
                <w:szCs w:val="28"/>
              </w:rPr>
            </w:pPr>
            <w:r>
              <w:rPr>
                <w:rFonts w:hint="eastAsia" w:ascii="宋体" w:hAnsi="宋体" w:eastAsia="宋体" w:cs="宋体"/>
                <w:b/>
                <w:bCs/>
                <w:kern w:val="0"/>
                <w:sz w:val="28"/>
                <w:szCs w:val="28"/>
              </w:rPr>
              <w:t>序号</w:t>
            </w:r>
          </w:p>
        </w:tc>
        <w:tc>
          <w:tcPr>
            <w:tcW w:w="777" w:type="pct"/>
            <w:tcBorders>
              <w:top w:val="nil"/>
              <w:left w:val="nil"/>
              <w:bottom w:val="single" w:color="auto" w:sz="4" w:space="0"/>
              <w:right w:val="single" w:color="auto" w:sz="4" w:space="0"/>
            </w:tcBorders>
            <w:shd w:val="clear" w:color="auto" w:fill="auto"/>
            <w:noWrap/>
            <w:vAlign w:val="center"/>
          </w:tcPr>
          <w:p w14:paraId="345583A7">
            <w:pPr>
              <w:widowControl/>
              <w:spacing w:line="240" w:lineRule="auto"/>
              <w:ind w:firstLine="0" w:firstLineChars="0"/>
              <w:jc w:val="center"/>
              <w:rPr>
                <w:rFonts w:ascii="宋体" w:hAnsi="宋体" w:eastAsia="宋体" w:cs="宋体"/>
                <w:b/>
                <w:bCs/>
                <w:kern w:val="0"/>
                <w:sz w:val="28"/>
                <w:szCs w:val="28"/>
              </w:rPr>
            </w:pPr>
            <w:r>
              <w:rPr>
                <w:rFonts w:hint="eastAsia" w:ascii="宋体" w:hAnsi="宋体" w:eastAsia="宋体" w:cs="宋体"/>
                <w:b/>
                <w:bCs/>
                <w:kern w:val="0"/>
                <w:sz w:val="28"/>
                <w:szCs w:val="28"/>
              </w:rPr>
              <w:t>产品类别</w:t>
            </w:r>
          </w:p>
        </w:tc>
        <w:tc>
          <w:tcPr>
            <w:tcW w:w="2415" w:type="pct"/>
            <w:tcBorders>
              <w:top w:val="nil"/>
              <w:left w:val="nil"/>
              <w:bottom w:val="single" w:color="auto" w:sz="4" w:space="0"/>
              <w:right w:val="single" w:color="auto" w:sz="4" w:space="0"/>
            </w:tcBorders>
            <w:shd w:val="clear" w:color="auto" w:fill="auto"/>
            <w:noWrap/>
            <w:vAlign w:val="center"/>
          </w:tcPr>
          <w:p w14:paraId="494F6334">
            <w:pPr>
              <w:widowControl/>
              <w:spacing w:line="240" w:lineRule="auto"/>
              <w:ind w:firstLine="0" w:firstLineChars="0"/>
              <w:jc w:val="center"/>
              <w:rPr>
                <w:rFonts w:ascii="宋体" w:hAnsi="宋体" w:eastAsia="宋体" w:cs="宋体"/>
                <w:b/>
                <w:bCs/>
                <w:kern w:val="0"/>
                <w:sz w:val="28"/>
                <w:szCs w:val="28"/>
              </w:rPr>
            </w:pPr>
            <w:r>
              <w:rPr>
                <w:rFonts w:hint="eastAsia" w:ascii="宋体" w:hAnsi="宋体" w:eastAsia="宋体" w:cs="宋体"/>
                <w:b/>
                <w:bCs/>
                <w:kern w:val="0"/>
                <w:sz w:val="28"/>
                <w:szCs w:val="28"/>
              </w:rPr>
              <w:t>参数</w:t>
            </w:r>
          </w:p>
        </w:tc>
        <w:tc>
          <w:tcPr>
            <w:tcW w:w="451" w:type="pct"/>
            <w:tcBorders>
              <w:top w:val="nil"/>
              <w:left w:val="nil"/>
              <w:bottom w:val="single" w:color="auto" w:sz="4" w:space="0"/>
              <w:right w:val="single" w:color="auto" w:sz="4" w:space="0"/>
            </w:tcBorders>
            <w:shd w:val="clear" w:color="auto" w:fill="auto"/>
            <w:noWrap/>
            <w:vAlign w:val="center"/>
          </w:tcPr>
          <w:p w14:paraId="06858E84">
            <w:pPr>
              <w:widowControl/>
              <w:spacing w:line="240" w:lineRule="auto"/>
              <w:ind w:firstLine="0" w:firstLineChars="0"/>
              <w:jc w:val="center"/>
              <w:rPr>
                <w:rFonts w:ascii="宋体" w:hAnsi="宋体" w:eastAsia="宋体" w:cs="宋体"/>
                <w:b/>
                <w:bCs/>
                <w:kern w:val="0"/>
                <w:sz w:val="28"/>
                <w:szCs w:val="28"/>
              </w:rPr>
            </w:pPr>
            <w:r>
              <w:rPr>
                <w:rFonts w:hint="eastAsia" w:ascii="宋体" w:hAnsi="宋体" w:eastAsia="宋体" w:cs="宋体"/>
                <w:b/>
                <w:bCs/>
                <w:kern w:val="0"/>
                <w:sz w:val="28"/>
                <w:szCs w:val="28"/>
              </w:rPr>
              <w:t>单位</w:t>
            </w:r>
          </w:p>
        </w:tc>
        <w:tc>
          <w:tcPr>
            <w:tcW w:w="451" w:type="pct"/>
            <w:tcBorders>
              <w:top w:val="nil"/>
              <w:left w:val="nil"/>
              <w:bottom w:val="single" w:color="auto" w:sz="4" w:space="0"/>
              <w:right w:val="single" w:color="auto" w:sz="4" w:space="0"/>
            </w:tcBorders>
            <w:shd w:val="clear" w:color="auto" w:fill="auto"/>
            <w:noWrap/>
            <w:vAlign w:val="center"/>
          </w:tcPr>
          <w:p w14:paraId="63E70D78">
            <w:pPr>
              <w:widowControl/>
              <w:spacing w:line="240" w:lineRule="auto"/>
              <w:ind w:firstLine="0" w:firstLineChars="0"/>
              <w:jc w:val="center"/>
              <w:rPr>
                <w:rFonts w:ascii="宋体" w:hAnsi="宋体" w:eastAsia="宋体" w:cs="宋体"/>
                <w:b/>
                <w:bCs/>
                <w:kern w:val="0"/>
                <w:sz w:val="28"/>
                <w:szCs w:val="28"/>
              </w:rPr>
            </w:pPr>
            <w:r>
              <w:rPr>
                <w:rFonts w:hint="eastAsia" w:ascii="宋体" w:hAnsi="宋体" w:eastAsia="宋体" w:cs="宋体"/>
                <w:b/>
                <w:bCs/>
                <w:kern w:val="0"/>
                <w:sz w:val="28"/>
                <w:szCs w:val="28"/>
              </w:rPr>
              <w:t>数量</w:t>
            </w:r>
          </w:p>
        </w:tc>
        <w:tc>
          <w:tcPr>
            <w:tcW w:w="453" w:type="pct"/>
            <w:tcBorders>
              <w:top w:val="nil"/>
              <w:left w:val="nil"/>
              <w:bottom w:val="single" w:color="auto" w:sz="4" w:space="0"/>
              <w:right w:val="single" w:color="auto" w:sz="4" w:space="0"/>
            </w:tcBorders>
            <w:shd w:val="clear" w:color="auto" w:fill="auto"/>
            <w:noWrap/>
            <w:vAlign w:val="center"/>
          </w:tcPr>
          <w:p w14:paraId="56119E77">
            <w:pPr>
              <w:widowControl/>
              <w:spacing w:line="240" w:lineRule="auto"/>
              <w:ind w:firstLine="0" w:firstLineChars="0"/>
              <w:jc w:val="center"/>
              <w:rPr>
                <w:rFonts w:ascii="宋体" w:hAnsi="宋体" w:eastAsia="宋体" w:cs="宋体"/>
                <w:b/>
                <w:bCs/>
                <w:kern w:val="0"/>
                <w:sz w:val="28"/>
                <w:szCs w:val="28"/>
              </w:rPr>
            </w:pPr>
            <w:r>
              <w:rPr>
                <w:rFonts w:hint="eastAsia" w:ascii="宋体" w:hAnsi="宋体" w:eastAsia="宋体" w:cs="宋体"/>
                <w:b/>
                <w:bCs/>
                <w:kern w:val="0"/>
                <w:sz w:val="28"/>
                <w:szCs w:val="28"/>
              </w:rPr>
              <w:t>备注</w:t>
            </w:r>
          </w:p>
        </w:tc>
      </w:tr>
      <w:tr w14:paraId="6872BA72">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352FCBBC">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777" w:type="pct"/>
            <w:tcBorders>
              <w:top w:val="nil"/>
              <w:left w:val="nil"/>
              <w:bottom w:val="single" w:color="auto" w:sz="4" w:space="0"/>
              <w:right w:val="single" w:color="auto" w:sz="4" w:space="0"/>
            </w:tcBorders>
            <w:shd w:val="clear" w:color="auto" w:fill="auto"/>
            <w:vAlign w:val="center"/>
          </w:tcPr>
          <w:p w14:paraId="72D35775">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机房服务</w:t>
            </w:r>
          </w:p>
        </w:tc>
        <w:tc>
          <w:tcPr>
            <w:tcW w:w="2415" w:type="pct"/>
            <w:tcBorders>
              <w:top w:val="nil"/>
              <w:left w:val="nil"/>
              <w:bottom w:val="single" w:color="auto" w:sz="4" w:space="0"/>
              <w:right w:val="single" w:color="auto" w:sz="4" w:space="0"/>
            </w:tcBorders>
            <w:shd w:val="clear" w:color="auto" w:fill="auto"/>
            <w:vAlign w:val="center"/>
          </w:tcPr>
          <w:p w14:paraId="209D7A74">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包含一台42U机柜的租赁费、机房动环、设备供电等5年服务（本机柜5年内使用权归大丰公安所有）</w:t>
            </w:r>
          </w:p>
        </w:tc>
        <w:tc>
          <w:tcPr>
            <w:tcW w:w="451" w:type="pct"/>
            <w:tcBorders>
              <w:top w:val="nil"/>
              <w:left w:val="nil"/>
              <w:bottom w:val="single" w:color="auto" w:sz="4" w:space="0"/>
              <w:right w:val="single" w:color="auto" w:sz="4" w:space="0"/>
            </w:tcBorders>
            <w:shd w:val="clear" w:color="auto" w:fill="auto"/>
            <w:vAlign w:val="center"/>
          </w:tcPr>
          <w:p w14:paraId="6F9FCE40">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台</w:t>
            </w:r>
          </w:p>
        </w:tc>
        <w:tc>
          <w:tcPr>
            <w:tcW w:w="451" w:type="pct"/>
            <w:tcBorders>
              <w:top w:val="nil"/>
              <w:left w:val="nil"/>
              <w:bottom w:val="single" w:color="auto" w:sz="4" w:space="0"/>
              <w:right w:val="single" w:color="auto" w:sz="4" w:space="0"/>
            </w:tcBorders>
            <w:shd w:val="clear" w:color="auto" w:fill="auto"/>
            <w:vAlign w:val="center"/>
          </w:tcPr>
          <w:p w14:paraId="4C713E75">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453" w:type="pct"/>
            <w:tcBorders>
              <w:top w:val="nil"/>
              <w:left w:val="nil"/>
              <w:bottom w:val="single" w:color="auto" w:sz="4" w:space="0"/>
              <w:right w:val="single" w:color="auto" w:sz="4" w:space="0"/>
            </w:tcBorders>
            <w:shd w:val="clear" w:color="auto" w:fill="auto"/>
            <w:noWrap/>
            <w:vAlign w:val="center"/>
          </w:tcPr>
          <w:p w14:paraId="51591DF4">
            <w:pPr>
              <w:widowControl/>
              <w:spacing w:line="240" w:lineRule="auto"/>
              <w:ind w:firstLine="0" w:firstLineChars="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　</w:t>
            </w:r>
          </w:p>
        </w:tc>
      </w:tr>
      <w:tr w14:paraId="440158E0">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4B8159C3">
            <w:pPr>
              <w:widowControl/>
              <w:spacing w:line="240" w:lineRule="auto"/>
              <w:ind w:firstLine="0" w:firstLineChars="0"/>
              <w:jc w:val="center"/>
              <w:rPr>
                <w:rFonts w:hint="eastAsia" w:ascii="宋体" w:hAnsi="宋体" w:eastAsia="宋体" w:cs="宋体"/>
                <w:kern w:val="0"/>
                <w:sz w:val="20"/>
                <w:szCs w:val="20"/>
                <w:lang w:val="en-US" w:eastAsia="zh-CN"/>
              </w:rPr>
            </w:pPr>
            <w:r>
              <w:rPr>
                <w:rFonts w:hint="eastAsia" w:ascii="宋体" w:hAnsi="宋体" w:cs="宋体"/>
                <w:kern w:val="0"/>
                <w:sz w:val="20"/>
                <w:szCs w:val="20"/>
                <w:lang w:val="en-US" w:eastAsia="zh-CN"/>
              </w:rPr>
              <w:t>2</w:t>
            </w:r>
          </w:p>
        </w:tc>
        <w:tc>
          <w:tcPr>
            <w:tcW w:w="777" w:type="pct"/>
            <w:tcBorders>
              <w:top w:val="nil"/>
              <w:left w:val="nil"/>
              <w:bottom w:val="single" w:color="auto" w:sz="4" w:space="0"/>
              <w:right w:val="single" w:color="auto" w:sz="4" w:space="0"/>
            </w:tcBorders>
            <w:shd w:val="clear" w:color="auto" w:fill="auto"/>
            <w:vAlign w:val="center"/>
          </w:tcPr>
          <w:p w14:paraId="2E573B76">
            <w:pPr>
              <w:widowControl/>
              <w:spacing w:line="240" w:lineRule="auto"/>
              <w:ind w:firstLine="0" w:firstLineChars="0"/>
              <w:jc w:val="left"/>
              <w:rPr>
                <w:rFonts w:hint="eastAsia" w:ascii="宋体" w:hAnsi="宋体" w:eastAsia="宋体" w:cs="宋体"/>
                <w:kern w:val="0"/>
                <w:sz w:val="20"/>
                <w:szCs w:val="20"/>
                <w:lang w:eastAsia="zh-CN"/>
              </w:rPr>
            </w:pPr>
            <w:r>
              <w:rPr>
                <w:rFonts w:hint="eastAsia" w:ascii="宋体" w:hAnsi="宋体" w:cs="宋体"/>
                <w:kern w:val="0"/>
                <w:sz w:val="20"/>
                <w:szCs w:val="20"/>
                <w:lang w:eastAsia="zh-CN"/>
              </w:rPr>
              <w:t>精密空调维护</w:t>
            </w:r>
          </w:p>
        </w:tc>
        <w:tc>
          <w:tcPr>
            <w:tcW w:w="2415" w:type="pct"/>
            <w:tcBorders>
              <w:top w:val="nil"/>
              <w:left w:val="nil"/>
              <w:bottom w:val="single" w:color="auto" w:sz="4" w:space="0"/>
              <w:right w:val="single" w:color="auto" w:sz="4" w:space="0"/>
            </w:tcBorders>
            <w:shd w:val="clear" w:color="auto" w:fill="auto"/>
            <w:vAlign w:val="center"/>
          </w:tcPr>
          <w:p w14:paraId="70456C97">
            <w:pPr>
              <w:widowControl/>
              <w:spacing w:line="240" w:lineRule="auto"/>
              <w:ind w:firstLine="0" w:firstLineChars="0"/>
              <w:jc w:val="left"/>
              <w:rPr>
                <w:rFonts w:hint="default" w:ascii="宋体" w:hAnsi="宋体" w:eastAsia="宋体" w:cs="宋体"/>
                <w:kern w:val="0"/>
                <w:sz w:val="20"/>
                <w:szCs w:val="20"/>
                <w:lang w:val="en-US" w:eastAsia="zh-CN"/>
              </w:rPr>
            </w:pPr>
            <w:r>
              <w:rPr>
                <w:rFonts w:hint="eastAsia" w:ascii="宋体" w:hAnsi="宋体" w:cs="宋体"/>
                <w:kern w:val="0"/>
                <w:sz w:val="20"/>
                <w:szCs w:val="20"/>
                <w:lang w:eastAsia="zh-CN"/>
              </w:rPr>
              <w:t>包含大丰区公安机房</w:t>
            </w:r>
            <w:r>
              <w:rPr>
                <w:rFonts w:hint="eastAsia" w:ascii="宋体" w:hAnsi="宋体" w:cs="宋体"/>
                <w:kern w:val="0"/>
                <w:sz w:val="20"/>
                <w:szCs w:val="20"/>
                <w:lang w:val="en-US" w:eastAsia="zh-CN"/>
              </w:rPr>
              <w:t>2台精密空调故障处理（加湿器、主板与显示屏通讯故障），以及5台精密空调滤网更换服务。</w:t>
            </w:r>
          </w:p>
        </w:tc>
        <w:tc>
          <w:tcPr>
            <w:tcW w:w="451" w:type="pct"/>
            <w:tcBorders>
              <w:top w:val="nil"/>
              <w:left w:val="nil"/>
              <w:bottom w:val="single" w:color="auto" w:sz="4" w:space="0"/>
              <w:right w:val="single" w:color="auto" w:sz="4" w:space="0"/>
            </w:tcBorders>
            <w:shd w:val="clear" w:color="auto" w:fill="auto"/>
            <w:vAlign w:val="center"/>
          </w:tcPr>
          <w:p w14:paraId="7F64C359">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cs="宋体"/>
                <w:kern w:val="0"/>
                <w:sz w:val="20"/>
                <w:szCs w:val="20"/>
                <w:lang w:eastAsia="zh-CN"/>
              </w:rPr>
              <w:t>项</w:t>
            </w:r>
          </w:p>
        </w:tc>
        <w:tc>
          <w:tcPr>
            <w:tcW w:w="451" w:type="pct"/>
            <w:tcBorders>
              <w:top w:val="nil"/>
              <w:left w:val="nil"/>
              <w:bottom w:val="single" w:color="auto" w:sz="4" w:space="0"/>
              <w:right w:val="single" w:color="auto" w:sz="4" w:space="0"/>
            </w:tcBorders>
            <w:shd w:val="clear" w:color="auto" w:fill="auto"/>
            <w:vAlign w:val="center"/>
          </w:tcPr>
          <w:p w14:paraId="0A13D811">
            <w:pPr>
              <w:widowControl/>
              <w:spacing w:line="240" w:lineRule="auto"/>
              <w:ind w:firstLine="0" w:firstLineChars="0"/>
              <w:jc w:val="center"/>
              <w:rPr>
                <w:rFonts w:hint="eastAsia" w:ascii="宋体" w:hAnsi="宋体" w:eastAsia="宋体" w:cs="宋体"/>
                <w:kern w:val="0"/>
                <w:sz w:val="20"/>
                <w:szCs w:val="20"/>
                <w:lang w:val="en-US" w:eastAsia="zh-CN"/>
              </w:rPr>
            </w:pPr>
            <w:r>
              <w:rPr>
                <w:rFonts w:hint="eastAsia" w:ascii="宋体" w:hAnsi="宋体" w:cs="宋体"/>
                <w:kern w:val="0"/>
                <w:sz w:val="20"/>
                <w:szCs w:val="20"/>
                <w:lang w:val="en-US" w:eastAsia="zh-CN"/>
              </w:rPr>
              <w:t>1</w:t>
            </w:r>
          </w:p>
        </w:tc>
        <w:tc>
          <w:tcPr>
            <w:tcW w:w="453" w:type="pct"/>
            <w:tcBorders>
              <w:top w:val="nil"/>
              <w:left w:val="nil"/>
              <w:bottom w:val="single" w:color="auto" w:sz="4" w:space="0"/>
              <w:right w:val="single" w:color="auto" w:sz="4" w:space="0"/>
            </w:tcBorders>
            <w:shd w:val="clear" w:color="auto" w:fill="auto"/>
            <w:noWrap/>
            <w:vAlign w:val="center"/>
          </w:tcPr>
          <w:p w14:paraId="2C70AC43">
            <w:pPr>
              <w:widowControl/>
              <w:spacing w:line="240" w:lineRule="auto"/>
              <w:ind w:firstLine="0" w:firstLineChars="0"/>
              <w:jc w:val="left"/>
              <w:rPr>
                <w:rFonts w:hint="eastAsia" w:ascii="宋体" w:hAnsi="宋体" w:eastAsia="宋体" w:cs="宋体"/>
                <w:color w:val="000000"/>
                <w:kern w:val="0"/>
                <w:sz w:val="28"/>
                <w:szCs w:val="28"/>
              </w:rPr>
            </w:pPr>
          </w:p>
        </w:tc>
      </w:tr>
      <w:tr w14:paraId="2CB916D7">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779E287A">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cs="宋体"/>
                <w:kern w:val="0"/>
                <w:sz w:val="20"/>
                <w:szCs w:val="20"/>
                <w:lang w:val="en-US" w:eastAsia="zh-CN"/>
              </w:rPr>
              <w:t>3</w:t>
            </w:r>
          </w:p>
        </w:tc>
        <w:tc>
          <w:tcPr>
            <w:tcW w:w="777" w:type="pct"/>
            <w:tcBorders>
              <w:top w:val="nil"/>
              <w:left w:val="nil"/>
              <w:bottom w:val="single" w:color="auto" w:sz="4" w:space="0"/>
              <w:right w:val="single" w:color="auto" w:sz="4" w:space="0"/>
            </w:tcBorders>
            <w:shd w:val="clear" w:color="auto" w:fill="auto"/>
            <w:vAlign w:val="center"/>
          </w:tcPr>
          <w:p w14:paraId="0B8657EC">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600宽机柜</w:t>
            </w:r>
          </w:p>
        </w:tc>
        <w:tc>
          <w:tcPr>
            <w:tcW w:w="2415" w:type="pct"/>
            <w:tcBorders>
              <w:top w:val="nil"/>
              <w:left w:val="nil"/>
              <w:bottom w:val="single" w:color="auto" w:sz="4" w:space="0"/>
              <w:right w:val="single" w:color="auto" w:sz="4" w:space="0"/>
            </w:tcBorders>
            <w:shd w:val="clear" w:color="auto" w:fill="auto"/>
            <w:vAlign w:val="center"/>
          </w:tcPr>
          <w:p w14:paraId="1803397A">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详见“主要设备技术参数要求”</w:t>
            </w:r>
          </w:p>
        </w:tc>
        <w:tc>
          <w:tcPr>
            <w:tcW w:w="451" w:type="pct"/>
            <w:tcBorders>
              <w:top w:val="nil"/>
              <w:left w:val="nil"/>
              <w:bottom w:val="single" w:color="auto" w:sz="4" w:space="0"/>
              <w:right w:val="single" w:color="auto" w:sz="4" w:space="0"/>
            </w:tcBorders>
            <w:shd w:val="clear" w:color="auto" w:fill="auto"/>
            <w:vAlign w:val="center"/>
          </w:tcPr>
          <w:p w14:paraId="3BF77C99">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台</w:t>
            </w:r>
          </w:p>
        </w:tc>
        <w:tc>
          <w:tcPr>
            <w:tcW w:w="451" w:type="pct"/>
            <w:tcBorders>
              <w:top w:val="nil"/>
              <w:left w:val="nil"/>
              <w:bottom w:val="single" w:color="auto" w:sz="4" w:space="0"/>
              <w:right w:val="single" w:color="auto" w:sz="4" w:space="0"/>
            </w:tcBorders>
            <w:shd w:val="clear" w:color="auto" w:fill="auto"/>
            <w:vAlign w:val="center"/>
          </w:tcPr>
          <w:p w14:paraId="3B7BC4EA">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7</w:t>
            </w:r>
          </w:p>
        </w:tc>
        <w:tc>
          <w:tcPr>
            <w:tcW w:w="453" w:type="pct"/>
            <w:tcBorders>
              <w:top w:val="nil"/>
              <w:left w:val="nil"/>
              <w:bottom w:val="single" w:color="auto" w:sz="4" w:space="0"/>
              <w:right w:val="single" w:color="auto" w:sz="4" w:space="0"/>
            </w:tcBorders>
            <w:shd w:val="clear" w:color="auto" w:fill="auto"/>
            <w:vAlign w:val="center"/>
          </w:tcPr>
          <w:p w14:paraId="7746E5AF">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40AA36AD">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21F65623">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cs="宋体"/>
                <w:kern w:val="0"/>
                <w:sz w:val="20"/>
                <w:szCs w:val="20"/>
                <w:lang w:val="en-US" w:eastAsia="zh-CN"/>
              </w:rPr>
              <w:t>4</w:t>
            </w:r>
          </w:p>
        </w:tc>
        <w:tc>
          <w:tcPr>
            <w:tcW w:w="777" w:type="pct"/>
            <w:tcBorders>
              <w:top w:val="nil"/>
              <w:left w:val="nil"/>
              <w:bottom w:val="single" w:color="auto" w:sz="4" w:space="0"/>
              <w:right w:val="single" w:color="auto" w:sz="4" w:space="0"/>
            </w:tcBorders>
            <w:shd w:val="clear" w:color="auto" w:fill="auto"/>
            <w:vAlign w:val="center"/>
          </w:tcPr>
          <w:p w14:paraId="1FA1C18A">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侧板</w:t>
            </w:r>
          </w:p>
        </w:tc>
        <w:tc>
          <w:tcPr>
            <w:tcW w:w="2415" w:type="pct"/>
            <w:tcBorders>
              <w:top w:val="nil"/>
              <w:left w:val="nil"/>
              <w:bottom w:val="single" w:color="auto" w:sz="4" w:space="0"/>
              <w:right w:val="single" w:color="auto" w:sz="4" w:space="0"/>
            </w:tcBorders>
            <w:shd w:val="clear" w:color="auto" w:fill="auto"/>
            <w:vAlign w:val="center"/>
          </w:tcPr>
          <w:p w14:paraId="4B3AA6B3">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机柜侧面封板，含上下两块</w:t>
            </w:r>
          </w:p>
        </w:tc>
        <w:tc>
          <w:tcPr>
            <w:tcW w:w="451" w:type="pct"/>
            <w:tcBorders>
              <w:top w:val="nil"/>
              <w:left w:val="nil"/>
              <w:bottom w:val="single" w:color="auto" w:sz="4" w:space="0"/>
              <w:right w:val="single" w:color="auto" w:sz="4" w:space="0"/>
            </w:tcBorders>
            <w:shd w:val="clear" w:color="auto" w:fill="auto"/>
            <w:vAlign w:val="center"/>
          </w:tcPr>
          <w:p w14:paraId="43132CDC">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侧</w:t>
            </w:r>
          </w:p>
        </w:tc>
        <w:tc>
          <w:tcPr>
            <w:tcW w:w="451" w:type="pct"/>
            <w:tcBorders>
              <w:top w:val="nil"/>
              <w:left w:val="nil"/>
              <w:bottom w:val="single" w:color="auto" w:sz="4" w:space="0"/>
              <w:right w:val="single" w:color="auto" w:sz="4" w:space="0"/>
            </w:tcBorders>
            <w:shd w:val="clear" w:color="auto" w:fill="auto"/>
            <w:vAlign w:val="center"/>
          </w:tcPr>
          <w:p w14:paraId="0A1296D7">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2</w:t>
            </w:r>
          </w:p>
        </w:tc>
        <w:tc>
          <w:tcPr>
            <w:tcW w:w="453" w:type="pct"/>
            <w:tcBorders>
              <w:top w:val="nil"/>
              <w:left w:val="nil"/>
              <w:bottom w:val="single" w:color="auto" w:sz="4" w:space="0"/>
              <w:right w:val="single" w:color="auto" w:sz="4" w:space="0"/>
            </w:tcBorders>
            <w:shd w:val="clear" w:color="auto" w:fill="auto"/>
            <w:vAlign w:val="center"/>
          </w:tcPr>
          <w:p w14:paraId="3CEA3290">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7CEA0498">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048F2DD5">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cs="宋体"/>
                <w:kern w:val="0"/>
                <w:sz w:val="20"/>
                <w:szCs w:val="20"/>
                <w:lang w:val="en-US" w:eastAsia="zh-CN"/>
              </w:rPr>
              <w:t>5</w:t>
            </w:r>
          </w:p>
        </w:tc>
        <w:tc>
          <w:tcPr>
            <w:tcW w:w="777" w:type="pct"/>
            <w:tcBorders>
              <w:top w:val="nil"/>
              <w:left w:val="nil"/>
              <w:bottom w:val="single" w:color="auto" w:sz="4" w:space="0"/>
              <w:right w:val="single" w:color="auto" w:sz="4" w:space="0"/>
            </w:tcBorders>
            <w:shd w:val="clear" w:color="auto" w:fill="auto"/>
            <w:vAlign w:val="center"/>
          </w:tcPr>
          <w:p w14:paraId="27C97EE1">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1U封板</w:t>
            </w:r>
          </w:p>
        </w:tc>
        <w:tc>
          <w:tcPr>
            <w:tcW w:w="2415" w:type="pct"/>
            <w:tcBorders>
              <w:top w:val="nil"/>
              <w:left w:val="nil"/>
              <w:bottom w:val="single" w:color="auto" w:sz="4" w:space="0"/>
              <w:right w:val="single" w:color="auto" w:sz="4" w:space="0"/>
            </w:tcBorders>
            <w:shd w:val="clear" w:color="auto" w:fill="auto"/>
            <w:vAlign w:val="center"/>
          </w:tcPr>
          <w:p w14:paraId="78B3BC16">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1U封板，用于机柜冷热风道隔离，免工具、快拆设计</w:t>
            </w:r>
          </w:p>
        </w:tc>
        <w:tc>
          <w:tcPr>
            <w:tcW w:w="451" w:type="pct"/>
            <w:tcBorders>
              <w:top w:val="nil"/>
              <w:left w:val="nil"/>
              <w:bottom w:val="single" w:color="auto" w:sz="4" w:space="0"/>
              <w:right w:val="single" w:color="auto" w:sz="4" w:space="0"/>
            </w:tcBorders>
            <w:shd w:val="clear" w:color="auto" w:fill="auto"/>
            <w:vAlign w:val="center"/>
          </w:tcPr>
          <w:p w14:paraId="1D73DFCC">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个</w:t>
            </w:r>
          </w:p>
        </w:tc>
        <w:tc>
          <w:tcPr>
            <w:tcW w:w="451" w:type="pct"/>
            <w:tcBorders>
              <w:top w:val="nil"/>
              <w:left w:val="nil"/>
              <w:bottom w:val="single" w:color="auto" w:sz="4" w:space="0"/>
              <w:right w:val="single" w:color="auto" w:sz="4" w:space="0"/>
            </w:tcBorders>
            <w:shd w:val="clear" w:color="auto" w:fill="auto"/>
            <w:vAlign w:val="center"/>
          </w:tcPr>
          <w:p w14:paraId="775E23ED">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70</w:t>
            </w:r>
          </w:p>
        </w:tc>
        <w:tc>
          <w:tcPr>
            <w:tcW w:w="453" w:type="pct"/>
            <w:tcBorders>
              <w:top w:val="nil"/>
              <w:left w:val="nil"/>
              <w:bottom w:val="single" w:color="auto" w:sz="4" w:space="0"/>
              <w:right w:val="single" w:color="auto" w:sz="4" w:space="0"/>
            </w:tcBorders>
            <w:shd w:val="clear" w:color="auto" w:fill="auto"/>
            <w:vAlign w:val="center"/>
          </w:tcPr>
          <w:p w14:paraId="4B08E6ED">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190FD3DC">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2C70ADF5">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cs="宋体"/>
                <w:kern w:val="0"/>
                <w:sz w:val="20"/>
                <w:szCs w:val="20"/>
                <w:lang w:val="en-US" w:eastAsia="zh-CN"/>
              </w:rPr>
              <w:t>6</w:t>
            </w:r>
          </w:p>
        </w:tc>
        <w:tc>
          <w:tcPr>
            <w:tcW w:w="777" w:type="pct"/>
            <w:tcBorders>
              <w:top w:val="nil"/>
              <w:left w:val="nil"/>
              <w:bottom w:val="single" w:color="auto" w:sz="4" w:space="0"/>
              <w:right w:val="single" w:color="auto" w:sz="4" w:space="0"/>
            </w:tcBorders>
            <w:shd w:val="clear" w:color="auto" w:fill="auto"/>
            <w:vAlign w:val="center"/>
          </w:tcPr>
          <w:p w14:paraId="31A33B1A">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轻载层板</w:t>
            </w:r>
          </w:p>
        </w:tc>
        <w:tc>
          <w:tcPr>
            <w:tcW w:w="2415" w:type="pct"/>
            <w:tcBorders>
              <w:top w:val="nil"/>
              <w:left w:val="nil"/>
              <w:bottom w:val="single" w:color="auto" w:sz="4" w:space="0"/>
              <w:right w:val="single" w:color="auto" w:sz="4" w:space="0"/>
            </w:tcBorders>
            <w:shd w:val="clear" w:color="auto" w:fill="auto"/>
            <w:vAlign w:val="center"/>
          </w:tcPr>
          <w:p w14:paraId="05E8FEBE">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承载IT设备承重100KG,适用于1200mm深的服务器机柜</w:t>
            </w:r>
          </w:p>
        </w:tc>
        <w:tc>
          <w:tcPr>
            <w:tcW w:w="451" w:type="pct"/>
            <w:tcBorders>
              <w:top w:val="nil"/>
              <w:left w:val="nil"/>
              <w:bottom w:val="single" w:color="auto" w:sz="4" w:space="0"/>
              <w:right w:val="single" w:color="auto" w:sz="4" w:space="0"/>
            </w:tcBorders>
            <w:shd w:val="clear" w:color="auto" w:fill="auto"/>
            <w:vAlign w:val="center"/>
          </w:tcPr>
          <w:p w14:paraId="785FFA83">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个</w:t>
            </w:r>
          </w:p>
        </w:tc>
        <w:tc>
          <w:tcPr>
            <w:tcW w:w="451" w:type="pct"/>
            <w:tcBorders>
              <w:top w:val="nil"/>
              <w:left w:val="nil"/>
              <w:bottom w:val="single" w:color="auto" w:sz="4" w:space="0"/>
              <w:right w:val="single" w:color="auto" w:sz="4" w:space="0"/>
            </w:tcBorders>
            <w:shd w:val="clear" w:color="auto" w:fill="auto"/>
            <w:vAlign w:val="center"/>
          </w:tcPr>
          <w:p w14:paraId="55FBF3F7">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7</w:t>
            </w:r>
          </w:p>
        </w:tc>
        <w:tc>
          <w:tcPr>
            <w:tcW w:w="453" w:type="pct"/>
            <w:tcBorders>
              <w:top w:val="nil"/>
              <w:left w:val="nil"/>
              <w:bottom w:val="single" w:color="auto" w:sz="4" w:space="0"/>
              <w:right w:val="single" w:color="auto" w:sz="4" w:space="0"/>
            </w:tcBorders>
            <w:shd w:val="clear" w:color="auto" w:fill="auto"/>
            <w:vAlign w:val="center"/>
          </w:tcPr>
          <w:p w14:paraId="22F44CC6">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78310640">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7D31CEC1">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cs="宋体"/>
                <w:kern w:val="0"/>
                <w:sz w:val="20"/>
                <w:szCs w:val="20"/>
                <w:lang w:val="en-US" w:eastAsia="zh-CN"/>
              </w:rPr>
              <w:t>7</w:t>
            </w:r>
          </w:p>
        </w:tc>
        <w:tc>
          <w:tcPr>
            <w:tcW w:w="777" w:type="pct"/>
            <w:tcBorders>
              <w:top w:val="nil"/>
              <w:left w:val="nil"/>
              <w:bottom w:val="single" w:color="auto" w:sz="4" w:space="0"/>
              <w:right w:val="single" w:color="auto" w:sz="4" w:space="0"/>
            </w:tcBorders>
            <w:shd w:val="clear" w:color="auto" w:fill="auto"/>
            <w:vAlign w:val="center"/>
          </w:tcPr>
          <w:p w14:paraId="60E51F6D">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L型导轨</w:t>
            </w:r>
          </w:p>
        </w:tc>
        <w:tc>
          <w:tcPr>
            <w:tcW w:w="2415" w:type="pct"/>
            <w:tcBorders>
              <w:top w:val="nil"/>
              <w:left w:val="nil"/>
              <w:bottom w:val="single" w:color="auto" w:sz="4" w:space="0"/>
              <w:right w:val="single" w:color="auto" w:sz="4" w:space="0"/>
            </w:tcBorders>
            <w:shd w:val="clear" w:color="auto" w:fill="auto"/>
            <w:vAlign w:val="center"/>
          </w:tcPr>
          <w:p w14:paraId="097C73B5">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承载没有导轨的设备,承重50KG，适用于1200mm深的服务器机柜</w:t>
            </w:r>
          </w:p>
        </w:tc>
        <w:tc>
          <w:tcPr>
            <w:tcW w:w="451" w:type="pct"/>
            <w:tcBorders>
              <w:top w:val="nil"/>
              <w:left w:val="nil"/>
              <w:bottom w:val="single" w:color="auto" w:sz="4" w:space="0"/>
              <w:right w:val="single" w:color="auto" w:sz="4" w:space="0"/>
            </w:tcBorders>
            <w:shd w:val="clear" w:color="auto" w:fill="auto"/>
            <w:vAlign w:val="center"/>
          </w:tcPr>
          <w:p w14:paraId="0371EEBE">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付</w:t>
            </w:r>
          </w:p>
        </w:tc>
        <w:tc>
          <w:tcPr>
            <w:tcW w:w="451" w:type="pct"/>
            <w:tcBorders>
              <w:top w:val="nil"/>
              <w:left w:val="nil"/>
              <w:bottom w:val="single" w:color="auto" w:sz="4" w:space="0"/>
              <w:right w:val="single" w:color="auto" w:sz="4" w:space="0"/>
            </w:tcBorders>
            <w:shd w:val="clear" w:color="auto" w:fill="auto"/>
            <w:vAlign w:val="center"/>
          </w:tcPr>
          <w:p w14:paraId="560A0855">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7</w:t>
            </w:r>
          </w:p>
        </w:tc>
        <w:tc>
          <w:tcPr>
            <w:tcW w:w="453" w:type="pct"/>
            <w:tcBorders>
              <w:top w:val="nil"/>
              <w:left w:val="nil"/>
              <w:bottom w:val="single" w:color="auto" w:sz="4" w:space="0"/>
              <w:right w:val="single" w:color="auto" w:sz="4" w:space="0"/>
            </w:tcBorders>
            <w:shd w:val="clear" w:color="auto" w:fill="auto"/>
            <w:vAlign w:val="center"/>
          </w:tcPr>
          <w:p w14:paraId="0145E78D">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77D23BD4">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541D4059">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cs="宋体"/>
                <w:kern w:val="0"/>
                <w:sz w:val="20"/>
                <w:szCs w:val="20"/>
                <w:lang w:val="en-US" w:eastAsia="zh-CN"/>
              </w:rPr>
              <w:t>8</w:t>
            </w:r>
          </w:p>
        </w:tc>
        <w:tc>
          <w:tcPr>
            <w:tcW w:w="777" w:type="pct"/>
            <w:tcBorders>
              <w:top w:val="nil"/>
              <w:left w:val="nil"/>
              <w:bottom w:val="single" w:color="auto" w:sz="4" w:space="0"/>
              <w:right w:val="single" w:color="auto" w:sz="4" w:space="0"/>
            </w:tcBorders>
            <w:shd w:val="clear" w:color="auto" w:fill="auto"/>
            <w:vAlign w:val="center"/>
          </w:tcPr>
          <w:p w14:paraId="5CE3E3F9">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12口32A竖装PDU</w:t>
            </w:r>
          </w:p>
        </w:tc>
        <w:tc>
          <w:tcPr>
            <w:tcW w:w="2415" w:type="pct"/>
            <w:tcBorders>
              <w:top w:val="nil"/>
              <w:left w:val="nil"/>
              <w:bottom w:val="single" w:color="auto" w:sz="4" w:space="0"/>
              <w:right w:val="single" w:color="auto" w:sz="4" w:space="0"/>
            </w:tcBorders>
            <w:shd w:val="clear" w:color="auto" w:fill="auto"/>
            <w:vAlign w:val="center"/>
          </w:tcPr>
          <w:p w14:paraId="7CF0711A">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输入32A，输出10位国标10A+2位国标16A、接线盒、指示灯、右侧安装、黑色</w:t>
            </w:r>
          </w:p>
        </w:tc>
        <w:tc>
          <w:tcPr>
            <w:tcW w:w="451" w:type="pct"/>
            <w:tcBorders>
              <w:top w:val="nil"/>
              <w:left w:val="nil"/>
              <w:bottom w:val="single" w:color="auto" w:sz="4" w:space="0"/>
              <w:right w:val="single" w:color="auto" w:sz="4" w:space="0"/>
            </w:tcBorders>
            <w:shd w:val="clear" w:color="auto" w:fill="auto"/>
            <w:vAlign w:val="center"/>
          </w:tcPr>
          <w:p w14:paraId="3D9E94D1">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个</w:t>
            </w:r>
          </w:p>
        </w:tc>
        <w:tc>
          <w:tcPr>
            <w:tcW w:w="451" w:type="pct"/>
            <w:tcBorders>
              <w:top w:val="nil"/>
              <w:left w:val="nil"/>
              <w:bottom w:val="single" w:color="auto" w:sz="4" w:space="0"/>
              <w:right w:val="single" w:color="auto" w:sz="4" w:space="0"/>
            </w:tcBorders>
            <w:shd w:val="clear" w:color="auto" w:fill="auto"/>
            <w:vAlign w:val="center"/>
          </w:tcPr>
          <w:p w14:paraId="384BC9B1">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7</w:t>
            </w:r>
          </w:p>
        </w:tc>
        <w:tc>
          <w:tcPr>
            <w:tcW w:w="453" w:type="pct"/>
            <w:tcBorders>
              <w:top w:val="nil"/>
              <w:left w:val="nil"/>
              <w:bottom w:val="single" w:color="auto" w:sz="4" w:space="0"/>
              <w:right w:val="single" w:color="auto" w:sz="4" w:space="0"/>
            </w:tcBorders>
            <w:shd w:val="clear" w:color="auto" w:fill="auto"/>
            <w:noWrap/>
            <w:vAlign w:val="center"/>
          </w:tcPr>
          <w:p w14:paraId="0862699B">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2541990F">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5E073E60">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cs="宋体"/>
                <w:kern w:val="0"/>
                <w:sz w:val="20"/>
                <w:szCs w:val="20"/>
                <w:lang w:val="en-US" w:eastAsia="zh-CN"/>
              </w:rPr>
              <w:t>9</w:t>
            </w:r>
          </w:p>
        </w:tc>
        <w:tc>
          <w:tcPr>
            <w:tcW w:w="777" w:type="pct"/>
            <w:tcBorders>
              <w:top w:val="nil"/>
              <w:left w:val="nil"/>
              <w:bottom w:val="single" w:color="auto" w:sz="4" w:space="0"/>
              <w:right w:val="single" w:color="auto" w:sz="4" w:space="0"/>
            </w:tcBorders>
            <w:shd w:val="clear" w:color="auto" w:fill="auto"/>
            <w:vAlign w:val="center"/>
          </w:tcPr>
          <w:p w14:paraId="0C60556A">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12口32A竖装PDU</w:t>
            </w:r>
          </w:p>
        </w:tc>
        <w:tc>
          <w:tcPr>
            <w:tcW w:w="2415" w:type="pct"/>
            <w:tcBorders>
              <w:top w:val="nil"/>
              <w:left w:val="nil"/>
              <w:bottom w:val="single" w:color="auto" w:sz="4" w:space="0"/>
              <w:right w:val="single" w:color="auto" w:sz="4" w:space="0"/>
            </w:tcBorders>
            <w:shd w:val="clear" w:color="auto" w:fill="auto"/>
            <w:vAlign w:val="center"/>
          </w:tcPr>
          <w:p w14:paraId="3F4817D6">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输入32A，输出10位国标10A+2位国标16A、接线盒、指示灯、左侧安装、蓝色</w:t>
            </w:r>
          </w:p>
        </w:tc>
        <w:tc>
          <w:tcPr>
            <w:tcW w:w="451" w:type="pct"/>
            <w:tcBorders>
              <w:top w:val="nil"/>
              <w:left w:val="nil"/>
              <w:bottom w:val="single" w:color="auto" w:sz="4" w:space="0"/>
              <w:right w:val="single" w:color="auto" w:sz="4" w:space="0"/>
            </w:tcBorders>
            <w:shd w:val="clear" w:color="auto" w:fill="auto"/>
            <w:vAlign w:val="center"/>
          </w:tcPr>
          <w:p w14:paraId="791CBEED">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个</w:t>
            </w:r>
          </w:p>
        </w:tc>
        <w:tc>
          <w:tcPr>
            <w:tcW w:w="451" w:type="pct"/>
            <w:tcBorders>
              <w:top w:val="nil"/>
              <w:left w:val="nil"/>
              <w:bottom w:val="single" w:color="auto" w:sz="4" w:space="0"/>
              <w:right w:val="single" w:color="auto" w:sz="4" w:space="0"/>
            </w:tcBorders>
            <w:shd w:val="clear" w:color="auto" w:fill="auto"/>
            <w:vAlign w:val="center"/>
          </w:tcPr>
          <w:p w14:paraId="59276E30">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7</w:t>
            </w:r>
          </w:p>
        </w:tc>
        <w:tc>
          <w:tcPr>
            <w:tcW w:w="453" w:type="pct"/>
            <w:tcBorders>
              <w:top w:val="nil"/>
              <w:left w:val="nil"/>
              <w:bottom w:val="single" w:color="auto" w:sz="4" w:space="0"/>
              <w:right w:val="single" w:color="auto" w:sz="4" w:space="0"/>
            </w:tcBorders>
            <w:shd w:val="clear" w:color="auto" w:fill="auto"/>
            <w:noWrap/>
            <w:vAlign w:val="center"/>
          </w:tcPr>
          <w:p w14:paraId="5E405798">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5040E946">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0D51A01A">
            <w:pPr>
              <w:widowControl/>
              <w:spacing w:line="240" w:lineRule="auto"/>
              <w:ind w:firstLine="0" w:firstLineChars="0"/>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10</w:t>
            </w:r>
          </w:p>
        </w:tc>
        <w:tc>
          <w:tcPr>
            <w:tcW w:w="777" w:type="pct"/>
            <w:tcBorders>
              <w:top w:val="nil"/>
              <w:left w:val="nil"/>
              <w:bottom w:val="single" w:color="auto" w:sz="4" w:space="0"/>
              <w:right w:val="single" w:color="auto" w:sz="4" w:space="0"/>
            </w:tcBorders>
            <w:shd w:val="clear" w:color="auto" w:fill="auto"/>
            <w:vAlign w:val="center"/>
          </w:tcPr>
          <w:p w14:paraId="3BDBB1D2">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电力电缆</w:t>
            </w:r>
          </w:p>
        </w:tc>
        <w:tc>
          <w:tcPr>
            <w:tcW w:w="2415" w:type="pct"/>
            <w:tcBorders>
              <w:top w:val="nil"/>
              <w:left w:val="nil"/>
              <w:bottom w:val="single" w:color="auto" w:sz="4" w:space="0"/>
              <w:right w:val="single" w:color="auto" w:sz="4" w:space="0"/>
            </w:tcBorders>
            <w:shd w:val="clear" w:color="auto" w:fill="auto"/>
            <w:vAlign w:val="center"/>
          </w:tcPr>
          <w:p w14:paraId="15A8B72A">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YJV5*16mm²，配电模块主线缆</w:t>
            </w:r>
          </w:p>
        </w:tc>
        <w:tc>
          <w:tcPr>
            <w:tcW w:w="451" w:type="pct"/>
            <w:tcBorders>
              <w:top w:val="nil"/>
              <w:left w:val="nil"/>
              <w:bottom w:val="single" w:color="auto" w:sz="4" w:space="0"/>
              <w:right w:val="single" w:color="auto" w:sz="4" w:space="0"/>
            </w:tcBorders>
            <w:shd w:val="clear" w:color="auto" w:fill="auto"/>
            <w:vAlign w:val="center"/>
          </w:tcPr>
          <w:p w14:paraId="258767FA">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米</w:t>
            </w:r>
          </w:p>
        </w:tc>
        <w:tc>
          <w:tcPr>
            <w:tcW w:w="451" w:type="pct"/>
            <w:tcBorders>
              <w:top w:val="nil"/>
              <w:left w:val="nil"/>
              <w:bottom w:val="single" w:color="auto" w:sz="4" w:space="0"/>
              <w:right w:val="single" w:color="auto" w:sz="4" w:space="0"/>
            </w:tcBorders>
            <w:shd w:val="clear" w:color="auto" w:fill="auto"/>
            <w:vAlign w:val="center"/>
          </w:tcPr>
          <w:p w14:paraId="045B1E6A">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46</w:t>
            </w:r>
          </w:p>
        </w:tc>
        <w:tc>
          <w:tcPr>
            <w:tcW w:w="453" w:type="pct"/>
            <w:tcBorders>
              <w:top w:val="nil"/>
              <w:left w:val="nil"/>
              <w:bottom w:val="single" w:color="auto" w:sz="4" w:space="0"/>
              <w:right w:val="single" w:color="auto" w:sz="4" w:space="0"/>
            </w:tcBorders>
            <w:shd w:val="clear" w:color="auto" w:fill="auto"/>
            <w:noWrap/>
            <w:vAlign w:val="center"/>
          </w:tcPr>
          <w:p w14:paraId="4C252B96">
            <w:pPr>
              <w:widowControl/>
              <w:spacing w:line="240" w:lineRule="auto"/>
              <w:ind w:firstLine="0" w:firstLineChars="0"/>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14:paraId="313F5401">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108B05DB">
            <w:pPr>
              <w:widowControl/>
              <w:spacing w:line="240" w:lineRule="auto"/>
              <w:ind w:firstLine="0" w:firstLineChars="0"/>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11</w:t>
            </w:r>
          </w:p>
        </w:tc>
        <w:tc>
          <w:tcPr>
            <w:tcW w:w="777" w:type="pct"/>
            <w:tcBorders>
              <w:top w:val="nil"/>
              <w:left w:val="nil"/>
              <w:bottom w:val="single" w:color="auto" w:sz="4" w:space="0"/>
              <w:right w:val="single" w:color="auto" w:sz="4" w:space="0"/>
            </w:tcBorders>
            <w:shd w:val="clear" w:color="auto" w:fill="auto"/>
            <w:vAlign w:val="center"/>
          </w:tcPr>
          <w:p w14:paraId="3BF0E77F">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电力电缆</w:t>
            </w:r>
          </w:p>
        </w:tc>
        <w:tc>
          <w:tcPr>
            <w:tcW w:w="2415" w:type="pct"/>
            <w:tcBorders>
              <w:top w:val="nil"/>
              <w:left w:val="nil"/>
              <w:bottom w:val="single" w:color="auto" w:sz="4" w:space="0"/>
              <w:right w:val="single" w:color="auto" w:sz="4" w:space="0"/>
            </w:tcBorders>
            <w:shd w:val="clear" w:color="auto" w:fill="auto"/>
            <w:vAlign w:val="center"/>
          </w:tcPr>
          <w:p w14:paraId="21AD2696">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YJV5*6mm²，空调输入线缆</w:t>
            </w:r>
          </w:p>
        </w:tc>
        <w:tc>
          <w:tcPr>
            <w:tcW w:w="451" w:type="pct"/>
            <w:tcBorders>
              <w:top w:val="nil"/>
              <w:left w:val="nil"/>
              <w:bottom w:val="single" w:color="auto" w:sz="4" w:space="0"/>
              <w:right w:val="single" w:color="auto" w:sz="4" w:space="0"/>
            </w:tcBorders>
            <w:shd w:val="clear" w:color="auto" w:fill="auto"/>
            <w:vAlign w:val="center"/>
          </w:tcPr>
          <w:p w14:paraId="605B264C">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米</w:t>
            </w:r>
          </w:p>
        </w:tc>
        <w:tc>
          <w:tcPr>
            <w:tcW w:w="451" w:type="pct"/>
            <w:tcBorders>
              <w:top w:val="nil"/>
              <w:left w:val="nil"/>
              <w:bottom w:val="single" w:color="auto" w:sz="4" w:space="0"/>
              <w:right w:val="single" w:color="auto" w:sz="4" w:space="0"/>
            </w:tcBorders>
            <w:shd w:val="clear" w:color="auto" w:fill="auto"/>
            <w:vAlign w:val="center"/>
          </w:tcPr>
          <w:p w14:paraId="05E617AB">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10</w:t>
            </w:r>
          </w:p>
        </w:tc>
        <w:tc>
          <w:tcPr>
            <w:tcW w:w="453" w:type="pct"/>
            <w:tcBorders>
              <w:top w:val="nil"/>
              <w:left w:val="nil"/>
              <w:bottom w:val="single" w:color="auto" w:sz="4" w:space="0"/>
              <w:right w:val="single" w:color="auto" w:sz="4" w:space="0"/>
            </w:tcBorders>
            <w:shd w:val="clear" w:color="auto" w:fill="auto"/>
            <w:noWrap/>
            <w:vAlign w:val="center"/>
          </w:tcPr>
          <w:p w14:paraId="05FDEEAE">
            <w:pPr>
              <w:widowControl/>
              <w:spacing w:line="240" w:lineRule="auto"/>
              <w:ind w:firstLine="0" w:firstLineChars="0"/>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14:paraId="67E4CCFA">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058F62BE">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1</w:t>
            </w:r>
            <w:r>
              <w:rPr>
                <w:rFonts w:hint="eastAsia" w:ascii="宋体" w:hAnsi="宋体" w:cs="宋体"/>
                <w:kern w:val="0"/>
                <w:sz w:val="20"/>
                <w:szCs w:val="20"/>
                <w:lang w:val="en-US" w:eastAsia="zh-CN"/>
              </w:rPr>
              <w:t>2</w:t>
            </w:r>
          </w:p>
        </w:tc>
        <w:tc>
          <w:tcPr>
            <w:tcW w:w="777" w:type="pct"/>
            <w:tcBorders>
              <w:top w:val="nil"/>
              <w:left w:val="nil"/>
              <w:bottom w:val="single" w:color="auto" w:sz="4" w:space="0"/>
              <w:right w:val="single" w:color="auto" w:sz="4" w:space="0"/>
            </w:tcBorders>
            <w:shd w:val="clear" w:color="auto" w:fill="auto"/>
            <w:vAlign w:val="center"/>
          </w:tcPr>
          <w:p w14:paraId="745E9E3F">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电力电缆</w:t>
            </w:r>
          </w:p>
        </w:tc>
        <w:tc>
          <w:tcPr>
            <w:tcW w:w="2415" w:type="pct"/>
            <w:tcBorders>
              <w:top w:val="nil"/>
              <w:left w:val="nil"/>
              <w:bottom w:val="single" w:color="auto" w:sz="4" w:space="0"/>
              <w:right w:val="single" w:color="auto" w:sz="4" w:space="0"/>
            </w:tcBorders>
            <w:shd w:val="clear" w:color="auto" w:fill="auto"/>
            <w:vAlign w:val="center"/>
          </w:tcPr>
          <w:p w14:paraId="06D6B1B3">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YJV3*4mm²，机柜PDU电缆</w:t>
            </w:r>
          </w:p>
        </w:tc>
        <w:tc>
          <w:tcPr>
            <w:tcW w:w="451" w:type="pct"/>
            <w:tcBorders>
              <w:top w:val="nil"/>
              <w:left w:val="nil"/>
              <w:bottom w:val="single" w:color="auto" w:sz="4" w:space="0"/>
              <w:right w:val="single" w:color="auto" w:sz="4" w:space="0"/>
            </w:tcBorders>
            <w:shd w:val="clear" w:color="auto" w:fill="auto"/>
            <w:vAlign w:val="center"/>
          </w:tcPr>
          <w:p w14:paraId="51759AA7">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米</w:t>
            </w:r>
          </w:p>
        </w:tc>
        <w:tc>
          <w:tcPr>
            <w:tcW w:w="451" w:type="pct"/>
            <w:tcBorders>
              <w:top w:val="nil"/>
              <w:left w:val="nil"/>
              <w:bottom w:val="single" w:color="auto" w:sz="4" w:space="0"/>
              <w:right w:val="single" w:color="auto" w:sz="4" w:space="0"/>
            </w:tcBorders>
            <w:shd w:val="clear" w:color="auto" w:fill="auto"/>
            <w:vAlign w:val="center"/>
          </w:tcPr>
          <w:p w14:paraId="04052145">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75</w:t>
            </w:r>
          </w:p>
        </w:tc>
        <w:tc>
          <w:tcPr>
            <w:tcW w:w="453" w:type="pct"/>
            <w:tcBorders>
              <w:top w:val="nil"/>
              <w:left w:val="nil"/>
              <w:bottom w:val="single" w:color="auto" w:sz="4" w:space="0"/>
              <w:right w:val="single" w:color="auto" w:sz="4" w:space="0"/>
            </w:tcBorders>
            <w:shd w:val="clear" w:color="auto" w:fill="auto"/>
            <w:noWrap/>
            <w:vAlign w:val="center"/>
          </w:tcPr>
          <w:p w14:paraId="5DAEC896">
            <w:pPr>
              <w:widowControl/>
              <w:spacing w:line="240" w:lineRule="auto"/>
              <w:ind w:firstLine="0" w:firstLineChars="0"/>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14:paraId="5517C4C3">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05771D38">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1</w:t>
            </w:r>
            <w:r>
              <w:rPr>
                <w:rFonts w:hint="eastAsia" w:ascii="宋体" w:hAnsi="宋体" w:cs="宋体"/>
                <w:kern w:val="0"/>
                <w:sz w:val="20"/>
                <w:szCs w:val="20"/>
                <w:lang w:val="en-US" w:eastAsia="zh-CN"/>
              </w:rPr>
              <w:t>3</w:t>
            </w:r>
          </w:p>
        </w:tc>
        <w:tc>
          <w:tcPr>
            <w:tcW w:w="777" w:type="pct"/>
            <w:tcBorders>
              <w:top w:val="nil"/>
              <w:left w:val="nil"/>
              <w:bottom w:val="single" w:color="auto" w:sz="4" w:space="0"/>
              <w:right w:val="single" w:color="auto" w:sz="4" w:space="0"/>
            </w:tcBorders>
            <w:shd w:val="clear" w:color="auto" w:fill="auto"/>
            <w:vAlign w:val="center"/>
          </w:tcPr>
          <w:p w14:paraId="45B2846B">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配电模块</w:t>
            </w:r>
          </w:p>
        </w:tc>
        <w:tc>
          <w:tcPr>
            <w:tcW w:w="2415" w:type="pct"/>
            <w:tcBorders>
              <w:top w:val="nil"/>
              <w:left w:val="nil"/>
              <w:bottom w:val="single" w:color="auto" w:sz="4" w:space="0"/>
              <w:right w:val="single" w:color="auto" w:sz="4" w:space="0"/>
            </w:tcBorders>
            <w:shd w:val="clear" w:color="auto" w:fill="auto"/>
            <w:vAlign w:val="center"/>
          </w:tcPr>
          <w:p w14:paraId="07B6AEF0">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名称：配电模块</w:t>
            </w:r>
          </w:p>
          <w:p w14:paraId="4740A3F9">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1路市电总输入断路器：63A/3P，                                                            1路UPS输入断路器：40A/3P，                                                                 1路UPS维修旁路断路器：100A/2P（带锁），                                                   1路UPS输出断路器：100A/1P，                                     UPS支路输出断路器：16A/1P*8                                               市电支路输出断路器：32A/1P*3（空调）+16A/1P*10（PDU+预留）                                                                                                                                                     防雷开关：32A/4P*1，含C级防雷，含三相智能电量仪，主路监测，具有标准RS485协议；</w:t>
            </w:r>
          </w:p>
        </w:tc>
        <w:tc>
          <w:tcPr>
            <w:tcW w:w="451" w:type="pct"/>
            <w:tcBorders>
              <w:top w:val="nil"/>
              <w:left w:val="nil"/>
              <w:bottom w:val="single" w:color="auto" w:sz="4" w:space="0"/>
              <w:right w:val="single" w:color="auto" w:sz="4" w:space="0"/>
            </w:tcBorders>
            <w:shd w:val="clear" w:color="auto" w:fill="auto"/>
            <w:vAlign w:val="center"/>
          </w:tcPr>
          <w:p w14:paraId="32328469">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个</w:t>
            </w:r>
          </w:p>
        </w:tc>
        <w:tc>
          <w:tcPr>
            <w:tcW w:w="451" w:type="pct"/>
            <w:tcBorders>
              <w:top w:val="nil"/>
              <w:left w:val="nil"/>
              <w:bottom w:val="single" w:color="auto" w:sz="4" w:space="0"/>
              <w:right w:val="single" w:color="auto" w:sz="4" w:space="0"/>
            </w:tcBorders>
            <w:shd w:val="clear" w:color="auto" w:fill="auto"/>
            <w:vAlign w:val="center"/>
          </w:tcPr>
          <w:p w14:paraId="2BD8AF19">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453" w:type="pct"/>
            <w:tcBorders>
              <w:top w:val="nil"/>
              <w:left w:val="nil"/>
              <w:bottom w:val="single" w:color="auto" w:sz="4" w:space="0"/>
              <w:right w:val="single" w:color="auto" w:sz="4" w:space="0"/>
            </w:tcBorders>
            <w:shd w:val="clear" w:color="auto" w:fill="auto"/>
            <w:noWrap/>
            <w:vAlign w:val="center"/>
          </w:tcPr>
          <w:p w14:paraId="2C78D465">
            <w:pPr>
              <w:widowControl/>
              <w:spacing w:line="240" w:lineRule="auto"/>
              <w:ind w:firstLine="0" w:firstLineChars="0"/>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14:paraId="42E6B6AD">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5364706E">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1</w:t>
            </w:r>
            <w:r>
              <w:rPr>
                <w:rFonts w:hint="eastAsia" w:ascii="宋体" w:hAnsi="宋体" w:cs="宋体"/>
                <w:kern w:val="0"/>
                <w:sz w:val="20"/>
                <w:szCs w:val="20"/>
                <w:lang w:val="en-US" w:eastAsia="zh-CN"/>
              </w:rPr>
              <w:t>4</w:t>
            </w:r>
          </w:p>
        </w:tc>
        <w:tc>
          <w:tcPr>
            <w:tcW w:w="777" w:type="pct"/>
            <w:tcBorders>
              <w:top w:val="nil"/>
              <w:left w:val="nil"/>
              <w:bottom w:val="single" w:color="auto" w:sz="4" w:space="0"/>
              <w:right w:val="single" w:color="auto" w:sz="4" w:space="0"/>
            </w:tcBorders>
            <w:shd w:val="clear" w:color="auto" w:fill="auto"/>
            <w:vAlign w:val="center"/>
          </w:tcPr>
          <w:p w14:paraId="5715556C">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辅材</w:t>
            </w:r>
          </w:p>
        </w:tc>
        <w:tc>
          <w:tcPr>
            <w:tcW w:w="2415" w:type="pct"/>
            <w:tcBorders>
              <w:top w:val="nil"/>
              <w:left w:val="nil"/>
              <w:bottom w:val="single" w:color="auto" w:sz="4" w:space="0"/>
              <w:right w:val="single" w:color="auto" w:sz="4" w:space="0"/>
            </w:tcBorders>
            <w:shd w:val="clear" w:color="auto" w:fill="auto"/>
            <w:vAlign w:val="center"/>
          </w:tcPr>
          <w:p w14:paraId="525BE96D">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机柜之间连接钣金件等</w:t>
            </w:r>
          </w:p>
          <w:p w14:paraId="5DB5F19A">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并柜件等辅材</w:t>
            </w:r>
          </w:p>
        </w:tc>
        <w:tc>
          <w:tcPr>
            <w:tcW w:w="451" w:type="pct"/>
            <w:tcBorders>
              <w:top w:val="nil"/>
              <w:left w:val="nil"/>
              <w:bottom w:val="single" w:color="auto" w:sz="4" w:space="0"/>
              <w:right w:val="single" w:color="auto" w:sz="4" w:space="0"/>
            </w:tcBorders>
            <w:shd w:val="clear" w:color="auto" w:fill="auto"/>
            <w:vAlign w:val="center"/>
          </w:tcPr>
          <w:p w14:paraId="10363E95">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套</w:t>
            </w:r>
          </w:p>
        </w:tc>
        <w:tc>
          <w:tcPr>
            <w:tcW w:w="451" w:type="pct"/>
            <w:tcBorders>
              <w:top w:val="nil"/>
              <w:left w:val="nil"/>
              <w:bottom w:val="single" w:color="auto" w:sz="4" w:space="0"/>
              <w:right w:val="single" w:color="auto" w:sz="4" w:space="0"/>
            </w:tcBorders>
            <w:shd w:val="clear" w:color="auto" w:fill="auto"/>
            <w:vAlign w:val="center"/>
          </w:tcPr>
          <w:p w14:paraId="045CCCCB">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453" w:type="pct"/>
            <w:tcBorders>
              <w:top w:val="nil"/>
              <w:left w:val="nil"/>
              <w:bottom w:val="single" w:color="auto" w:sz="4" w:space="0"/>
              <w:right w:val="single" w:color="auto" w:sz="4" w:space="0"/>
            </w:tcBorders>
            <w:shd w:val="clear" w:color="auto" w:fill="auto"/>
            <w:noWrap/>
            <w:vAlign w:val="center"/>
          </w:tcPr>
          <w:p w14:paraId="0F3FA901">
            <w:pPr>
              <w:widowControl/>
              <w:spacing w:line="240" w:lineRule="auto"/>
              <w:ind w:firstLine="0" w:firstLineChars="0"/>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14:paraId="3FF4EC4C">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0D3B315C">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1</w:t>
            </w:r>
            <w:r>
              <w:rPr>
                <w:rFonts w:hint="eastAsia" w:ascii="宋体" w:hAnsi="宋体" w:cs="宋体"/>
                <w:kern w:val="0"/>
                <w:sz w:val="20"/>
                <w:szCs w:val="20"/>
                <w:lang w:val="en-US" w:eastAsia="zh-CN"/>
              </w:rPr>
              <w:t>5</w:t>
            </w:r>
          </w:p>
        </w:tc>
        <w:tc>
          <w:tcPr>
            <w:tcW w:w="777" w:type="pct"/>
            <w:tcBorders>
              <w:top w:val="nil"/>
              <w:left w:val="nil"/>
              <w:bottom w:val="single" w:color="auto" w:sz="4" w:space="0"/>
              <w:right w:val="single" w:color="auto" w:sz="4" w:space="0"/>
            </w:tcBorders>
            <w:shd w:val="clear" w:color="auto" w:fill="auto"/>
            <w:vAlign w:val="center"/>
          </w:tcPr>
          <w:p w14:paraId="006B6589">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网格桥架</w:t>
            </w:r>
          </w:p>
        </w:tc>
        <w:tc>
          <w:tcPr>
            <w:tcW w:w="2415" w:type="pct"/>
            <w:tcBorders>
              <w:top w:val="nil"/>
              <w:left w:val="nil"/>
              <w:bottom w:val="single" w:color="auto" w:sz="4" w:space="0"/>
              <w:right w:val="single" w:color="auto" w:sz="4" w:space="0"/>
            </w:tcBorders>
            <w:shd w:val="clear" w:color="auto" w:fill="auto"/>
            <w:vAlign w:val="center"/>
          </w:tcPr>
          <w:p w14:paraId="041DD2D0">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300*100</w:t>
            </w:r>
          </w:p>
        </w:tc>
        <w:tc>
          <w:tcPr>
            <w:tcW w:w="451" w:type="pct"/>
            <w:tcBorders>
              <w:top w:val="nil"/>
              <w:left w:val="nil"/>
              <w:bottom w:val="single" w:color="auto" w:sz="4" w:space="0"/>
              <w:right w:val="single" w:color="auto" w:sz="4" w:space="0"/>
            </w:tcBorders>
            <w:shd w:val="clear" w:color="auto" w:fill="auto"/>
            <w:vAlign w:val="center"/>
          </w:tcPr>
          <w:p w14:paraId="047A88B8">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米</w:t>
            </w:r>
          </w:p>
        </w:tc>
        <w:tc>
          <w:tcPr>
            <w:tcW w:w="451" w:type="pct"/>
            <w:tcBorders>
              <w:top w:val="nil"/>
              <w:left w:val="nil"/>
              <w:bottom w:val="single" w:color="auto" w:sz="4" w:space="0"/>
              <w:right w:val="single" w:color="auto" w:sz="4" w:space="0"/>
            </w:tcBorders>
            <w:shd w:val="clear" w:color="auto" w:fill="auto"/>
            <w:vAlign w:val="center"/>
          </w:tcPr>
          <w:p w14:paraId="29B4E585">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4</w:t>
            </w:r>
          </w:p>
        </w:tc>
        <w:tc>
          <w:tcPr>
            <w:tcW w:w="453" w:type="pct"/>
            <w:tcBorders>
              <w:top w:val="nil"/>
              <w:left w:val="nil"/>
              <w:bottom w:val="single" w:color="auto" w:sz="4" w:space="0"/>
              <w:right w:val="single" w:color="auto" w:sz="4" w:space="0"/>
            </w:tcBorders>
            <w:shd w:val="clear" w:color="auto" w:fill="auto"/>
            <w:noWrap/>
            <w:vAlign w:val="center"/>
          </w:tcPr>
          <w:p w14:paraId="6449315B">
            <w:pPr>
              <w:widowControl/>
              <w:spacing w:line="240" w:lineRule="auto"/>
              <w:ind w:firstLine="0" w:firstLineChars="0"/>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14:paraId="661DDB9E">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19D7610F">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1</w:t>
            </w:r>
            <w:r>
              <w:rPr>
                <w:rFonts w:hint="eastAsia" w:ascii="宋体" w:hAnsi="宋体" w:cs="宋体"/>
                <w:kern w:val="0"/>
                <w:sz w:val="20"/>
                <w:szCs w:val="20"/>
                <w:lang w:val="en-US" w:eastAsia="zh-CN"/>
              </w:rPr>
              <w:t>6</w:t>
            </w:r>
          </w:p>
        </w:tc>
        <w:tc>
          <w:tcPr>
            <w:tcW w:w="777" w:type="pct"/>
            <w:tcBorders>
              <w:top w:val="nil"/>
              <w:left w:val="nil"/>
              <w:bottom w:val="single" w:color="auto" w:sz="4" w:space="0"/>
              <w:right w:val="single" w:color="auto" w:sz="4" w:space="0"/>
            </w:tcBorders>
            <w:shd w:val="clear" w:color="auto" w:fill="auto"/>
            <w:vAlign w:val="center"/>
          </w:tcPr>
          <w:p w14:paraId="5E515307">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房间精密空调</w:t>
            </w:r>
          </w:p>
        </w:tc>
        <w:tc>
          <w:tcPr>
            <w:tcW w:w="2415" w:type="pct"/>
            <w:tcBorders>
              <w:top w:val="nil"/>
              <w:left w:val="nil"/>
              <w:bottom w:val="single" w:color="auto" w:sz="4" w:space="0"/>
              <w:right w:val="single" w:color="auto" w:sz="4" w:space="0"/>
            </w:tcBorders>
            <w:shd w:val="clear" w:color="auto" w:fill="auto"/>
            <w:vAlign w:val="center"/>
          </w:tcPr>
          <w:p w14:paraId="12998FD6">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详见“主要设备技术参数要求”</w:t>
            </w:r>
          </w:p>
        </w:tc>
        <w:tc>
          <w:tcPr>
            <w:tcW w:w="451" w:type="pct"/>
            <w:tcBorders>
              <w:top w:val="nil"/>
              <w:left w:val="nil"/>
              <w:bottom w:val="single" w:color="auto" w:sz="4" w:space="0"/>
              <w:right w:val="single" w:color="auto" w:sz="4" w:space="0"/>
            </w:tcBorders>
            <w:shd w:val="clear" w:color="auto" w:fill="auto"/>
            <w:vAlign w:val="center"/>
          </w:tcPr>
          <w:p w14:paraId="0C5D5B3D">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台</w:t>
            </w:r>
          </w:p>
        </w:tc>
        <w:tc>
          <w:tcPr>
            <w:tcW w:w="451" w:type="pct"/>
            <w:tcBorders>
              <w:top w:val="nil"/>
              <w:left w:val="nil"/>
              <w:bottom w:val="single" w:color="auto" w:sz="4" w:space="0"/>
              <w:right w:val="single" w:color="auto" w:sz="4" w:space="0"/>
            </w:tcBorders>
            <w:shd w:val="clear" w:color="auto" w:fill="auto"/>
            <w:vAlign w:val="center"/>
          </w:tcPr>
          <w:p w14:paraId="0CCEE92B">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453" w:type="pct"/>
            <w:tcBorders>
              <w:top w:val="nil"/>
              <w:left w:val="nil"/>
              <w:bottom w:val="single" w:color="auto" w:sz="4" w:space="0"/>
              <w:right w:val="single" w:color="auto" w:sz="4" w:space="0"/>
            </w:tcBorders>
            <w:shd w:val="clear" w:color="auto" w:fill="auto"/>
            <w:vAlign w:val="center"/>
          </w:tcPr>
          <w:p w14:paraId="4F99F88B">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77B3FD93">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71105895">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1</w:t>
            </w:r>
            <w:r>
              <w:rPr>
                <w:rFonts w:hint="eastAsia" w:ascii="宋体" w:hAnsi="宋体" w:cs="宋体"/>
                <w:kern w:val="0"/>
                <w:sz w:val="20"/>
                <w:szCs w:val="20"/>
                <w:lang w:val="en-US" w:eastAsia="zh-CN"/>
              </w:rPr>
              <w:t>7</w:t>
            </w:r>
          </w:p>
        </w:tc>
        <w:tc>
          <w:tcPr>
            <w:tcW w:w="777" w:type="pct"/>
            <w:tcBorders>
              <w:top w:val="nil"/>
              <w:left w:val="nil"/>
              <w:bottom w:val="single" w:color="auto" w:sz="4" w:space="0"/>
              <w:right w:val="single" w:color="auto" w:sz="4" w:space="0"/>
            </w:tcBorders>
            <w:shd w:val="clear" w:color="auto" w:fill="auto"/>
            <w:vAlign w:val="center"/>
          </w:tcPr>
          <w:p w14:paraId="4C9E909C">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房间空调冷媒管路</w:t>
            </w:r>
          </w:p>
        </w:tc>
        <w:tc>
          <w:tcPr>
            <w:tcW w:w="2415" w:type="pct"/>
            <w:tcBorders>
              <w:top w:val="nil"/>
              <w:left w:val="nil"/>
              <w:bottom w:val="single" w:color="auto" w:sz="4" w:space="0"/>
              <w:right w:val="single" w:color="auto" w:sz="4" w:space="0"/>
            </w:tcBorders>
            <w:shd w:val="clear" w:color="auto" w:fill="auto"/>
            <w:vAlign w:val="center"/>
          </w:tcPr>
          <w:p w14:paraId="7325AC77">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含空调气管、液管，与主机配套使用，室内外机距离按5米距离计算，包含5米铜管</w:t>
            </w:r>
          </w:p>
        </w:tc>
        <w:tc>
          <w:tcPr>
            <w:tcW w:w="451" w:type="pct"/>
            <w:tcBorders>
              <w:top w:val="nil"/>
              <w:left w:val="nil"/>
              <w:bottom w:val="single" w:color="auto" w:sz="4" w:space="0"/>
              <w:right w:val="single" w:color="auto" w:sz="4" w:space="0"/>
            </w:tcBorders>
            <w:shd w:val="clear" w:color="auto" w:fill="auto"/>
            <w:vAlign w:val="center"/>
          </w:tcPr>
          <w:p w14:paraId="4456F48F">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套</w:t>
            </w:r>
          </w:p>
        </w:tc>
        <w:tc>
          <w:tcPr>
            <w:tcW w:w="451" w:type="pct"/>
            <w:tcBorders>
              <w:top w:val="nil"/>
              <w:left w:val="nil"/>
              <w:bottom w:val="single" w:color="auto" w:sz="4" w:space="0"/>
              <w:right w:val="single" w:color="auto" w:sz="4" w:space="0"/>
            </w:tcBorders>
            <w:shd w:val="clear" w:color="auto" w:fill="auto"/>
            <w:vAlign w:val="center"/>
          </w:tcPr>
          <w:p w14:paraId="7A90830C">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453" w:type="pct"/>
            <w:tcBorders>
              <w:top w:val="nil"/>
              <w:left w:val="nil"/>
              <w:bottom w:val="single" w:color="auto" w:sz="4" w:space="0"/>
              <w:right w:val="single" w:color="auto" w:sz="4" w:space="0"/>
            </w:tcBorders>
            <w:shd w:val="clear" w:color="auto" w:fill="auto"/>
            <w:vAlign w:val="center"/>
          </w:tcPr>
          <w:p w14:paraId="20E2855A">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3A89BAEE">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4D647837">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1</w:t>
            </w:r>
            <w:r>
              <w:rPr>
                <w:rFonts w:hint="eastAsia" w:ascii="宋体" w:hAnsi="宋体" w:cs="宋体"/>
                <w:kern w:val="0"/>
                <w:sz w:val="20"/>
                <w:szCs w:val="20"/>
                <w:lang w:val="en-US" w:eastAsia="zh-CN"/>
              </w:rPr>
              <w:t>8</w:t>
            </w:r>
          </w:p>
        </w:tc>
        <w:tc>
          <w:tcPr>
            <w:tcW w:w="777" w:type="pct"/>
            <w:tcBorders>
              <w:top w:val="nil"/>
              <w:left w:val="nil"/>
              <w:bottom w:val="single" w:color="auto" w:sz="4" w:space="0"/>
              <w:right w:val="single" w:color="auto" w:sz="4" w:space="0"/>
            </w:tcBorders>
            <w:shd w:val="clear" w:color="auto" w:fill="auto"/>
            <w:vAlign w:val="center"/>
          </w:tcPr>
          <w:p w14:paraId="43A51AE7">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制冷剂</w:t>
            </w:r>
          </w:p>
        </w:tc>
        <w:tc>
          <w:tcPr>
            <w:tcW w:w="2415" w:type="pct"/>
            <w:tcBorders>
              <w:top w:val="nil"/>
              <w:left w:val="nil"/>
              <w:bottom w:val="single" w:color="auto" w:sz="4" w:space="0"/>
              <w:right w:val="single" w:color="auto" w:sz="4" w:space="0"/>
            </w:tcBorders>
            <w:shd w:val="clear" w:color="auto" w:fill="auto"/>
            <w:vAlign w:val="center"/>
          </w:tcPr>
          <w:p w14:paraId="00894C86">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R410A新型环保制冷剂，具有稳定，无毒，性能优越等特点</w:t>
            </w:r>
          </w:p>
        </w:tc>
        <w:tc>
          <w:tcPr>
            <w:tcW w:w="451" w:type="pct"/>
            <w:tcBorders>
              <w:top w:val="nil"/>
              <w:left w:val="nil"/>
              <w:bottom w:val="single" w:color="auto" w:sz="4" w:space="0"/>
              <w:right w:val="single" w:color="auto" w:sz="4" w:space="0"/>
            </w:tcBorders>
            <w:shd w:val="clear" w:color="auto" w:fill="auto"/>
            <w:vAlign w:val="center"/>
          </w:tcPr>
          <w:p w14:paraId="32B487D7">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瓶</w:t>
            </w:r>
          </w:p>
        </w:tc>
        <w:tc>
          <w:tcPr>
            <w:tcW w:w="451" w:type="pct"/>
            <w:tcBorders>
              <w:top w:val="nil"/>
              <w:left w:val="nil"/>
              <w:bottom w:val="single" w:color="auto" w:sz="4" w:space="0"/>
              <w:right w:val="single" w:color="auto" w:sz="4" w:space="0"/>
            </w:tcBorders>
            <w:shd w:val="clear" w:color="auto" w:fill="auto"/>
            <w:vAlign w:val="center"/>
          </w:tcPr>
          <w:p w14:paraId="279E9951">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453" w:type="pct"/>
            <w:tcBorders>
              <w:top w:val="nil"/>
              <w:left w:val="nil"/>
              <w:bottom w:val="single" w:color="auto" w:sz="4" w:space="0"/>
              <w:right w:val="single" w:color="auto" w:sz="4" w:space="0"/>
            </w:tcBorders>
            <w:shd w:val="clear" w:color="auto" w:fill="auto"/>
            <w:vAlign w:val="center"/>
          </w:tcPr>
          <w:p w14:paraId="08F83871">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2754CB88">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467B8F00">
            <w:pPr>
              <w:widowControl/>
              <w:spacing w:line="240" w:lineRule="auto"/>
              <w:ind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1</w:t>
            </w:r>
            <w:r>
              <w:rPr>
                <w:rFonts w:hint="eastAsia" w:ascii="宋体" w:hAnsi="宋体" w:cs="宋体"/>
                <w:kern w:val="0"/>
                <w:sz w:val="20"/>
                <w:szCs w:val="20"/>
                <w:lang w:val="en-US" w:eastAsia="zh-CN"/>
              </w:rPr>
              <w:t>9</w:t>
            </w:r>
          </w:p>
        </w:tc>
        <w:tc>
          <w:tcPr>
            <w:tcW w:w="777" w:type="pct"/>
            <w:tcBorders>
              <w:top w:val="nil"/>
              <w:left w:val="nil"/>
              <w:bottom w:val="single" w:color="auto" w:sz="4" w:space="0"/>
              <w:right w:val="single" w:color="auto" w:sz="4" w:space="0"/>
            </w:tcBorders>
            <w:shd w:val="clear" w:color="auto" w:fill="auto"/>
            <w:vAlign w:val="center"/>
          </w:tcPr>
          <w:p w14:paraId="0C54E0EF">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墙地面开孔</w:t>
            </w:r>
          </w:p>
        </w:tc>
        <w:tc>
          <w:tcPr>
            <w:tcW w:w="2415" w:type="pct"/>
            <w:tcBorders>
              <w:top w:val="nil"/>
              <w:left w:val="nil"/>
              <w:bottom w:val="single" w:color="auto" w:sz="4" w:space="0"/>
              <w:right w:val="single" w:color="auto" w:sz="4" w:space="0"/>
            </w:tcBorders>
            <w:shd w:val="clear" w:color="auto" w:fill="auto"/>
            <w:vAlign w:val="center"/>
          </w:tcPr>
          <w:p w14:paraId="32C911E1">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空调各类管路穿墙穿地位置开孔</w:t>
            </w:r>
          </w:p>
        </w:tc>
        <w:tc>
          <w:tcPr>
            <w:tcW w:w="451" w:type="pct"/>
            <w:tcBorders>
              <w:top w:val="nil"/>
              <w:left w:val="nil"/>
              <w:bottom w:val="single" w:color="auto" w:sz="4" w:space="0"/>
              <w:right w:val="single" w:color="auto" w:sz="4" w:space="0"/>
            </w:tcBorders>
            <w:shd w:val="clear" w:color="auto" w:fill="auto"/>
            <w:vAlign w:val="center"/>
          </w:tcPr>
          <w:p w14:paraId="541D80E5">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项</w:t>
            </w:r>
          </w:p>
        </w:tc>
        <w:tc>
          <w:tcPr>
            <w:tcW w:w="451" w:type="pct"/>
            <w:tcBorders>
              <w:top w:val="nil"/>
              <w:left w:val="nil"/>
              <w:bottom w:val="single" w:color="auto" w:sz="4" w:space="0"/>
              <w:right w:val="single" w:color="auto" w:sz="4" w:space="0"/>
            </w:tcBorders>
            <w:shd w:val="clear" w:color="auto" w:fill="auto"/>
            <w:vAlign w:val="center"/>
          </w:tcPr>
          <w:p w14:paraId="2AB68525">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453" w:type="pct"/>
            <w:tcBorders>
              <w:top w:val="nil"/>
              <w:left w:val="nil"/>
              <w:bottom w:val="single" w:color="auto" w:sz="4" w:space="0"/>
              <w:right w:val="single" w:color="auto" w:sz="4" w:space="0"/>
            </w:tcBorders>
            <w:shd w:val="clear" w:color="auto" w:fill="auto"/>
            <w:noWrap/>
            <w:vAlign w:val="center"/>
          </w:tcPr>
          <w:p w14:paraId="57E9B3E3">
            <w:pPr>
              <w:widowControl/>
              <w:spacing w:line="240" w:lineRule="auto"/>
              <w:ind w:firstLine="0" w:firstLineChars="0"/>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14:paraId="565C904A">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7ABE8B6C">
            <w:pPr>
              <w:widowControl/>
              <w:spacing w:line="240" w:lineRule="auto"/>
              <w:ind w:firstLine="0" w:firstLineChars="0"/>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20</w:t>
            </w:r>
          </w:p>
        </w:tc>
        <w:tc>
          <w:tcPr>
            <w:tcW w:w="777" w:type="pct"/>
            <w:tcBorders>
              <w:top w:val="nil"/>
              <w:left w:val="nil"/>
              <w:bottom w:val="single" w:color="auto" w:sz="4" w:space="0"/>
              <w:right w:val="single" w:color="auto" w:sz="4" w:space="0"/>
            </w:tcBorders>
            <w:shd w:val="clear" w:color="auto" w:fill="auto"/>
            <w:vAlign w:val="center"/>
          </w:tcPr>
          <w:p w14:paraId="0542243E">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给排水</w:t>
            </w:r>
          </w:p>
        </w:tc>
        <w:tc>
          <w:tcPr>
            <w:tcW w:w="2415" w:type="pct"/>
            <w:tcBorders>
              <w:top w:val="nil"/>
              <w:left w:val="nil"/>
              <w:bottom w:val="single" w:color="auto" w:sz="4" w:space="0"/>
              <w:right w:val="single" w:color="auto" w:sz="4" w:space="0"/>
            </w:tcBorders>
            <w:shd w:val="clear" w:color="auto" w:fill="auto"/>
            <w:vAlign w:val="center"/>
          </w:tcPr>
          <w:p w14:paraId="5EF242AE">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进水管PPR20#，排水管PPR32#，含管件、套管及辅材</w:t>
            </w:r>
          </w:p>
        </w:tc>
        <w:tc>
          <w:tcPr>
            <w:tcW w:w="451" w:type="pct"/>
            <w:tcBorders>
              <w:top w:val="nil"/>
              <w:left w:val="nil"/>
              <w:bottom w:val="single" w:color="auto" w:sz="4" w:space="0"/>
              <w:right w:val="single" w:color="auto" w:sz="4" w:space="0"/>
            </w:tcBorders>
            <w:shd w:val="clear" w:color="auto" w:fill="auto"/>
            <w:vAlign w:val="center"/>
          </w:tcPr>
          <w:p w14:paraId="345DC28B">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项</w:t>
            </w:r>
          </w:p>
        </w:tc>
        <w:tc>
          <w:tcPr>
            <w:tcW w:w="451" w:type="pct"/>
            <w:tcBorders>
              <w:top w:val="nil"/>
              <w:left w:val="nil"/>
              <w:bottom w:val="single" w:color="auto" w:sz="4" w:space="0"/>
              <w:right w:val="single" w:color="auto" w:sz="4" w:space="0"/>
            </w:tcBorders>
            <w:shd w:val="clear" w:color="auto" w:fill="auto"/>
            <w:vAlign w:val="center"/>
          </w:tcPr>
          <w:p w14:paraId="66DC0272">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2</w:t>
            </w:r>
          </w:p>
        </w:tc>
        <w:tc>
          <w:tcPr>
            <w:tcW w:w="453" w:type="pct"/>
            <w:tcBorders>
              <w:top w:val="nil"/>
              <w:left w:val="nil"/>
              <w:bottom w:val="single" w:color="auto" w:sz="4" w:space="0"/>
              <w:right w:val="single" w:color="auto" w:sz="4" w:space="0"/>
            </w:tcBorders>
            <w:shd w:val="clear" w:color="auto" w:fill="auto"/>
            <w:vAlign w:val="center"/>
          </w:tcPr>
          <w:p w14:paraId="2C49A8B1">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68562176">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6EB88180">
            <w:pPr>
              <w:widowControl/>
              <w:spacing w:line="240" w:lineRule="auto"/>
              <w:ind w:firstLine="0" w:firstLineChars="0"/>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21</w:t>
            </w:r>
          </w:p>
        </w:tc>
        <w:tc>
          <w:tcPr>
            <w:tcW w:w="777" w:type="pct"/>
            <w:tcBorders>
              <w:top w:val="nil"/>
              <w:left w:val="nil"/>
              <w:bottom w:val="single" w:color="auto" w:sz="4" w:space="0"/>
              <w:right w:val="single" w:color="auto" w:sz="4" w:space="0"/>
            </w:tcBorders>
            <w:shd w:val="clear" w:color="auto" w:fill="auto"/>
            <w:vAlign w:val="center"/>
          </w:tcPr>
          <w:p w14:paraId="3DDF26E6">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辅材</w:t>
            </w:r>
          </w:p>
        </w:tc>
        <w:tc>
          <w:tcPr>
            <w:tcW w:w="2415" w:type="pct"/>
            <w:tcBorders>
              <w:top w:val="nil"/>
              <w:left w:val="nil"/>
              <w:bottom w:val="single" w:color="auto" w:sz="4" w:space="0"/>
              <w:right w:val="single" w:color="auto" w:sz="4" w:space="0"/>
            </w:tcBorders>
            <w:shd w:val="clear" w:color="auto" w:fill="auto"/>
            <w:vAlign w:val="center"/>
          </w:tcPr>
          <w:p w14:paraId="623FB295">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空调配套件-精密空调安装附件(保温材料、室内外机电源线、信号线等),辅助材料（氧气、乙炔、氮气、焊条）等</w:t>
            </w:r>
          </w:p>
        </w:tc>
        <w:tc>
          <w:tcPr>
            <w:tcW w:w="451" w:type="pct"/>
            <w:tcBorders>
              <w:top w:val="nil"/>
              <w:left w:val="nil"/>
              <w:bottom w:val="single" w:color="auto" w:sz="4" w:space="0"/>
              <w:right w:val="single" w:color="auto" w:sz="4" w:space="0"/>
            </w:tcBorders>
            <w:shd w:val="clear" w:color="auto" w:fill="auto"/>
            <w:vAlign w:val="center"/>
          </w:tcPr>
          <w:p w14:paraId="122B5C14">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套</w:t>
            </w:r>
          </w:p>
        </w:tc>
        <w:tc>
          <w:tcPr>
            <w:tcW w:w="451" w:type="pct"/>
            <w:tcBorders>
              <w:top w:val="nil"/>
              <w:left w:val="nil"/>
              <w:bottom w:val="single" w:color="auto" w:sz="4" w:space="0"/>
              <w:right w:val="single" w:color="auto" w:sz="4" w:space="0"/>
            </w:tcBorders>
            <w:shd w:val="clear" w:color="auto" w:fill="auto"/>
            <w:vAlign w:val="center"/>
          </w:tcPr>
          <w:p w14:paraId="084200CE">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453" w:type="pct"/>
            <w:tcBorders>
              <w:top w:val="nil"/>
              <w:left w:val="nil"/>
              <w:bottom w:val="single" w:color="auto" w:sz="4" w:space="0"/>
              <w:right w:val="single" w:color="auto" w:sz="4" w:space="0"/>
            </w:tcBorders>
            <w:shd w:val="clear" w:color="auto" w:fill="auto"/>
            <w:vAlign w:val="center"/>
          </w:tcPr>
          <w:p w14:paraId="28A61156">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r w14:paraId="02618713">
        <w:tblPrEx>
          <w:tblCellMar>
            <w:top w:w="0" w:type="dxa"/>
            <w:left w:w="108" w:type="dxa"/>
            <w:bottom w:w="0" w:type="dxa"/>
            <w:right w:w="108" w:type="dxa"/>
          </w:tblCellMar>
        </w:tblPrEx>
        <w:trPr>
          <w:trHeight w:val="90" w:hRule="atLeast"/>
        </w:trPr>
        <w:tc>
          <w:tcPr>
            <w:tcW w:w="451" w:type="pct"/>
            <w:tcBorders>
              <w:top w:val="nil"/>
              <w:left w:val="single" w:color="auto" w:sz="4" w:space="0"/>
              <w:bottom w:val="single" w:color="auto" w:sz="4" w:space="0"/>
              <w:right w:val="single" w:color="auto" w:sz="4" w:space="0"/>
            </w:tcBorders>
            <w:shd w:val="clear" w:color="auto" w:fill="auto"/>
            <w:vAlign w:val="center"/>
          </w:tcPr>
          <w:p w14:paraId="76474D2F">
            <w:pPr>
              <w:widowControl/>
              <w:spacing w:line="240" w:lineRule="auto"/>
              <w:ind w:firstLine="0" w:firstLineChars="0"/>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22</w:t>
            </w:r>
          </w:p>
        </w:tc>
        <w:tc>
          <w:tcPr>
            <w:tcW w:w="777" w:type="pct"/>
            <w:tcBorders>
              <w:top w:val="nil"/>
              <w:left w:val="nil"/>
              <w:bottom w:val="single" w:color="auto" w:sz="4" w:space="0"/>
              <w:right w:val="single" w:color="auto" w:sz="4" w:space="0"/>
            </w:tcBorders>
            <w:shd w:val="clear" w:color="auto" w:fill="auto"/>
            <w:vAlign w:val="center"/>
          </w:tcPr>
          <w:p w14:paraId="2469AA37">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光纤机柜</w:t>
            </w:r>
          </w:p>
        </w:tc>
        <w:tc>
          <w:tcPr>
            <w:tcW w:w="2415" w:type="pct"/>
            <w:tcBorders>
              <w:top w:val="nil"/>
              <w:left w:val="nil"/>
              <w:bottom w:val="single" w:color="auto" w:sz="4" w:space="0"/>
              <w:right w:val="single" w:color="auto" w:sz="4" w:space="0"/>
            </w:tcBorders>
            <w:shd w:val="clear" w:color="auto" w:fill="auto"/>
            <w:vAlign w:val="center"/>
          </w:tcPr>
          <w:p w14:paraId="18418C80">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720芯光纤配线架</w:t>
            </w:r>
          </w:p>
          <w:p w14:paraId="5BCBD5F5">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尺寸：2000*800*400</w:t>
            </w:r>
          </w:p>
          <w:p w14:paraId="3A353045">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材质：通体冷轧钢板</w:t>
            </w:r>
          </w:p>
          <w:p w14:paraId="10076DFD">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款型：双开门</w:t>
            </w:r>
          </w:p>
          <w:p w14:paraId="0540A002">
            <w:pPr>
              <w:widowControl/>
              <w:spacing w:line="240" w:lineRule="auto"/>
              <w:ind w:firstLine="0" w:firstLineChars="0"/>
              <w:jc w:val="left"/>
              <w:rPr>
                <w:rFonts w:ascii="宋体" w:hAnsi="宋体" w:eastAsia="宋体" w:cs="宋体"/>
                <w:kern w:val="0"/>
                <w:sz w:val="20"/>
                <w:szCs w:val="20"/>
              </w:rPr>
            </w:pPr>
            <w:r>
              <w:rPr>
                <w:rFonts w:hint="eastAsia" w:ascii="宋体" w:hAnsi="宋体" w:eastAsia="宋体" w:cs="宋体"/>
                <w:kern w:val="0"/>
                <w:sz w:val="20"/>
                <w:szCs w:val="20"/>
              </w:rPr>
              <w:t>进线类型：上、下进线口</w:t>
            </w:r>
          </w:p>
        </w:tc>
        <w:tc>
          <w:tcPr>
            <w:tcW w:w="451" w:type="pct"/>
            <w:tcBorders>
              <w:top w:val="nil"/>
              <w:left w:val="nil"/>
              <w:bottom w:val="single" w:color="auto" w:sz="4" w:space="0"/>
              <w:right w:val="single" w:color="auto" w:sz="4" w:space="0"/>
            </w:tcBorders>
            <w:shd w:val="clear" w:color="auto" w:fill="auto"/>
            <w:vAlign w:val="center"/>
          </w:tcPr>
          <w:p w14:paraId="55E93424">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台</w:t>
            </w:r>
          </w:p>
        </w:tc>
        <w:tc>
          <w:tcPr>
            <w:tcW w:w="451" w:type="pct"/>
            <w:tcBorders>
              <w:top w:val="nil"/>
              <w:left w:val="nil"/>
              <w:bottom w:val="single" w:color="auto" w:sz="4" w:space="0"/>
              <w:right w:val="single" w:color="auto" w:sz="4" w:space="0"/>
            </w:tcBorders>
            <w:shd w:val="clear" w:color="auto" w:fill="auto"/>
            <w:vAlign w:val="center"/>
          </w:tcPr>
          <w:p w14:paraId="729F72C1">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1</w:t>
            </w:r>
          </w:p>
        </w:tc>
        <w:tc>
          <w:tcPr>
            <w:tcW w:w="453" w:type="pct"/>
            <w:tcBorders>
              <w:top w:val="nil"/>
              <w:left w:val="nil"/>
              <w:bottom w:val="single" w:color="auto" w:sz="4" w:space="0"/>
              <w:right w:val="single" w:color="auto" w:sz="4" w:space="0"/>
            </w:tcBorders>
            <w:shd w:val="clear" w:color="auto" w:fill="auto"/>
            <w:vAlign w:val="center"/>
          </w:tcPr>
          <w:p w14:paraId="71EB2BAF">
            <w:pPr>
              <w:widowControl/>
              <w:spacing w:line="240" w:lineRule="auto"/>
              <w:ind w:firstLine="0" w:firstLineChars="0"/>
              <w:jc w:val="center"/>
              <w:rPr>
                <w:rFonts w:ascii="宋体" w:hAnsi="宋体" w:eastAsia="宋体" w:cs="宋体"/>
                <w:kern w:val="0"/>
                <w:sz w:val="20"/>
                <w:szCs w:val="20"/>
              </w:rPr>
            </w:pPr>
            <w:r>
              <w:rPr>
                <w:rFonts w:hint="eastAsia" w:ascii="宋体" w:hAnsi="宋体" w:eastAsia="宋体" w:cs="宋体"/>
                <w:kern w:val="0"/>
                <w:sz w:val="20"/>
                <w:szCs w:val="20"/>
              </w:rPr>
              <w:t>　</w:t>
            </w:r>
          </w:p>
        </w:tc>
      </w:tr>
    </w:tbl>
    <w:p w14:paraId="409BA87A">
      <w:pPr>
        <w:pStyle w:val="34"/>
        <w:ind w:firstLine="560"/>
        <w:rPr>
          <w:rFonts w:ascii="宋体" w:hAnsi="宋体" w:cs="宋体"/>
          <w:sz w:val="28"/>
          <w:szCs w:val="28"/>
        </w:rPr>
      </w:pPr>
    </w:p>
    <w:p w14:paraId="193F8987">
      <w:pPr>
        <w:pStyle w:val="34"/>
        <w:ind w:firstLine="0" w:firstLineChars="0"/>
        <w:rPr>
          <w:rFonts w:ascii="宋体" w:hAnsi="宋体" w:cs="宋体"/>
          <w:sz w:val="28"/>
          <w:szCs w:val="28"/>
        </w:rPr>
      </w:pPr>
    </w:p>
    <w:p w14:paraId="4B12DEC2">
      <w:pPr>
        <w:ind w:firstLine="480"/>
        <w:sectPr>
          <w:pgSz w:w="11906" w:h="16838"/>
          <w:pgMar w:top="1440" w:right="1700" w:bottom="1440" w:left="1797" w:header="851" w:footer="851" w:gutter="0"/>
          <w:pgNumType w:fmt="decimal"/>
          <w:cols w:space="425" w:num="1"/>
          <w:docGrid w:type="lines" w:linePitch="326" w:charSpace="0"/>
        </w:sectPr>
      </w:pPr>
    </w:p>
    <w:p w14:paraId="7391A094">
      <w:pPr>
        <w:pStyle w:val="5"/>
        <w:numPr>
          <w:ilvl w:val="0"/>
          <w:numId w:val="6"/>
        </w:numPr>
        <w:spacing w:line="360" w:lineRule="auto"/>
        <w:ind w:firstLine="0" w:firstLineChars="0"/>
        <w:rPr>
          <w:rFonts w:ascii="宋体" w:hAnsi="宋体" w:cs="宋体"/>
          <w:sz w:val="28"/>
          <w:szCs w:val="28"/>
        </w:rPr>
      </w:pPr>
      <w:bookmarkStart w:id="212" w:name="_Toc16972"/>
      <w:r>
        <w:rPr>
          <w:rFonts w:hint="eastAsia"/>
        </w:rPr>
        <w:t>软件平台</w:t>
      </w:r>
      <w:bookmarkEnd w:id="212"/>
    </w:p>
    <w:tbl>
      <w:tblPr>
        <w:tblStyle w:val="13"/>
        <w:tblW w:w="5354" w:type="pct"/>
        <w:tblInd w:w="0" w:type="dxa"/>
        <w:tblLayout w:type="fixed"/>
        <w:tblCellMar>
          <w:top w:w="0" w:type="dxa"/>
          <w:left w:w="108" w:type="dxa"/>
          <w:bottom w:w="0" w:type="dxa"/>
          <w:right w:w="108" w:type="dxa"/>
        </w:tblCellMar>
      </w:tblPr>
      <w:tblGrid>
        <w:gridCol w:w="457"/>
        <w:gridCol w:w="423"/>
        <w:gridCol w:w="1160"/>
        <w:gridCol w:w="4461"/>
        <w:gridCol w:w="433"/>
        <w:gridCol w:w="687"/>
        <w:gridCol w:w="423"/>
        <w:gridCol w:w="1192"/>
      </w:tblGrid>
      <w:tr w14:paraId="6E94976D">
        <w:tblPrEx>
          <w:tblCellMar>
            <w:top w:w="0" w:type="dxa"/>
            <w:left w:w="108" w:type="dxa"/>
            <w:bottom w:w="0" w:type="dxa"/>
            <w:right w:w="108" w:type="dxa"/>
          </w:tblCellMar>
        </w:tblPrEx>
        <w:trPr>
          <w:trHeight w:val="165" w:hRule="atLeast"/>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1C05EF3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序号</w:t>
            </w:r>
          </w:p>
        </w:tc>
        <w:tc>
          <w:tcPr>
            <w:tcW w:w="856" w:type="pct"/>
            <w:gridSpan w:val="2"/>
            <w:tcBorders>
              <w:top w:val="single" w:color="auto" w:sz="4" w:space="0"/>
              <w:left w:val="nil"/>
              <w:bottom w:val="single" w:color="auto" w:sz="4" w:space="0"/>
              <w:right w:val="single" w:color="auto" w:sz="4" w:space="0"/>
            </w:tcBorders>
            <w:shd w:val="clear" w:color="auto" w:fill="auto"/>
            <w:vAlign w:val="center"/>
          </w:tcPr>
          <w:p w14:paraId="4B63B12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产品名称</w:t>
            </w:r>
          </w:p>
        </w:tc>
        <w:tc>
          <w:tcPr>
            <w:tcW w:w="2415" w:type="pct"/>
            <w:tcBorders>
              <w:top w:val="single" w:color="auto" w:sz="4" w:space="0"/>
              <w:left w:val="nil"/>
              <w:bottom w:val="single" w:color="auto" w:sz="4" w:space="0"/>
              <w:right w:val="single" w:color="auto" w:sz="4" w:space="0"/>
            </w:tcBorders>
            <w:shd w:val="clear" w:color="auto" w:fill="auto"/>
            <w:noWrap/>
            <w:vAlign w:val="center"/>
          </w:tcPr>
          <w:p w14:paraId="58AEE59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技术规格</w:t>
            </w:r>
          </w:p>
        </w:tc>
        <w:tc>
          <w:tcPr>
            <w:tcW w:w="234" w:type="pct"/>
            <w:tcBorders>
              <w:top w:val="single" w:color="auto" w:sz="4" w:space="0"/>
              <w:left w:val="nil"/>
              <w:bottom w:val="single" w:color="auto" w:sz="4" w:space="0"/>
              <w:right w:val="single" w:color="auto" w:sz="4" w:space="0"/>
            </w:tcBorders>
            <w:shd w:val="clear" w:color="auto" w:fill="auto"/>
            <w:vAlign w:val="center"/>
          </w:tcPr>
          <w:p w14:paraId="49CF1C1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单位</w:t>
            </w:r>
          </w:p>
        </w:tc>
        <w:tc>
          <w:tcPr>
            <w:tcW w:w="371" w:type="pct"/>
            <w:tcBorders>
              <w:top w:val="single" w:color="auto" w:sz="4" w:space="0"/>
              <w:left w:val="nil"/>
              <w:bottom w:val="single" w:color="auto" w:sz="4" w:space="0"/>
              <w:right w:val="single" w:color="auto" w:sz="4" w:space="0"/>
            </w:tcBorders>
            <w:shd w:val="clear" w:color="auto" w:fill="auto"/>
            <w:vAlign w:val="center"/>
          </w:tcPr>
          <w:p w14:paraId="16415E4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数量</w:t>
            </w:r>
          </w:p>
        </w:tc>
        <w:tc>
          <w:tcPr>
            <w:tcW w:w="228" w:type="pct"/>
            <w:tcBorders>
              <w:top w:val="single" w:color="auto" w:sz="4" w:space="0"/>
              <w:left w:val="nil"/>
              <w:bottom w:val="single" w:color="auto" w:sz="4" w:space="0"/>
              <w:right w:val="single" w:color="auto" w:sz="4" w:space="0"/>
            </w:tcBorders>
            <w:shd w:val="clear" w:color="auto" w:fill="auto"/>
            <w:vAlign w:val="center"/>
          </w:tcPr>
          <w:p w14:paraId="7D0A0E5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形态</w:t>
            </w:r>
          </w:p>
        </w:tc>
        <w:tc>
          <w:tcPr>
            <w:tcW w:w="645" w:type="pct"/>
            <w:tcBorders>
              <w:top w:val="single" w:color="auto" w:sz="4" w:space="0"/>
              <w:left w:val="nil"/>
              <w:bottom w:val="single" w:color="auto" w:sz="4" w:space="0"/>
              <w:right w:val="single" w:color="auto" w:sz="4" w:space="0"/>
            </w:tcBorders>
            <w:shd w:val="clear" w:color="auto" w:fill="auto"/>
            <w:vAlign w:val="center"/>
          </w:tcPr>
          <w:p w14:paraId="39C5A2B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备注</w:t>
            </w:r>
          </w:p>
        </w:tc>
      </w:tr>
      <w:tr w14:paraId="16D1CCD5">
        <w:tblPrEx>
          <w:tblCellMar>
            <w:top w:w="0" w:type="dxa"/>
            <w:left w:w="108" w:type="dxa"/>
            <w:bottom w:w="0" w:type="dxa"/>
            <w:right w:w="108" w:type="dxa"/>
          </w:tblCellMar>
        </w:tblPrEx>
        <w:trPr>
          <w:trHeight w:val="90" w:hRule="atLeast"/>
        </w:trPr>
        <w:tc>
          <w:tcPr>
            <w:tcW w:w="5000" w:type="pct"/>
            <w:gridSpan w:val="8"/>
            <w:tcBorders>
              <w:top w:val="single" w:color="auto" w:sz="4" w:space="0"/>
              <w:left w:val="single" w:color="auto" w:sz="4" w:space="0"/>
              <w:bottom w:val="single" w:color="auto" w:sz="4" w:space="0"/>
              <w:right w:val="single" w:color="auto" w:sz="4" w:space="0"/>
            </w:tcBorders>
            <w:shd w:val="clear" w:color="auto" w:fill="auto"/>
            <w:noWrap/>
            <w:vAlign w:val="center"/>
          </w:tcPr>
          <w:p w14:paraId="4C4318D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一、视频监控安全联网/共享平台</w:t>
            </w:r>
          </w:p>
        </w:tc>
      </w:tr>
      <w:tr w14:paraId="3E5E20DF">
        <w:tblPrEx>
          <w:tblCellMar>
            <w:top w:w="0" w:type="dxa"/>
            <w:left w:w="108" w:type="dxa"/>
            <w:bottom w:w="0" w:type="dxa"/>
            <w:right w:w="108" w:type="dxa"/>
          </w:tblCellMar>
        </w:tblPrEx>
        <w:trPr>
          <w:trHeight w:val="90" w:hRule="atLeast"/>
        </w:trPr>
        <w:tc>
          <w:tcPr>
            <w:tcW w:w="4125" w:type="pct"/>
            <w:gridSpan w:val="6"/>
            <w:tcBorders>
              <w:top w:val="single" w:color="auto" w:sz="4" w:space="0"/>
              <w:left w:val="single" w:color="auto" w:sz="4" w:space="0"/>
              <w:bottom w:val="single" w:color="auto" w:sz="4" w:space="0"/>
              <w:right w:val="single" w:color="000000" w:sz="4" w:space="0"/>
            </w:tcBorders>
            <w:shd w:val="clear" w:color="auto" w:fill="auto"/>
            <w:vAlign w:val="center"/>
          </w:tcPr>
          <w:p w14:paraId="1582B75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（1）视频监控共享/联网平台</w:t>
            </w:r>
          </w:p>
        </w:tc>
        <w:tc>
          <w:tcPr>
            <w:tcW w:w="228" w:type="pct"/>
            <w:tcBorders>
              <w:top w:val="nil"/>
              <w:left w:val="nil"/>
              <w:bottom w:val="single" w:color="auto" w:sz="4" w:space="0"/>
              <w:right w:val="single" w:color="auto" w:sz="4" w:space="0"/>
            </w:tcBorders>
            <w:shd w:val="clear" w:color="auto" w:fill="auto"/>
            <w:vAlign w:val="center"/>
          </w:tcPr>
          <w:p w14:paraId="7FE624A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　</w:t>
            </w:r>
          </w:p>
        </w:tc>
        <w:tc>
          <w:tcPr>
            <w:tcW w:w="645" w:type="pct"/>
            <w:tcBorders>
              <w:top w:val="nil"/>
              <w:left w:val="nil"/>
              <w:bottom w:val="single" w:color="auto" w:sz="4" w:space="0"/>
              <w:right w:val="single" w:color="auto" w:sz="4" w:space="0"/>
            </w:tcBorders>
            <w:shd w:val="clear" w:color="auto" w:fill="auto"/>
            <w:vAlign w:val="center"/>
          </w:tcPr>
          <w:p w14:paraId="3B09483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　</w:t>
            </w:r>
          </w:p>
        </w:tc>
      </w:tr>
      <w:tr w14:paraId="5270B5CC">
        <w:tblPrEx>
          <w:tblCellMar>
            <w:top w:w="0" w:type="dxa"/>
            <w:left w:w="108" w:type="dxa"/>
            <w:bottom w:w="0" w:type="dxa"/>
            <w:right w:w="108" w:type="dxa"/>
          </w:tblCellMar>
        </w:tblPrEx>
        <w:trPr>
          <w:trHeight w:val="2723"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272D6C3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856" w:type="pct"/>
            <w:gridSpan w:val="2"/>
            <w:tcBorders>
              <w:top w:val="single" w:color="auto" w:sz="4" w:space="0"/>
              <w:left w:val="nil"/>
              <w:bottom w:val="single" w:color="auto" w:sz="4" w:space="0"/>
              <w:right w:val="single" w:color="000000" w:sz="4" w:space="0"/>
            </w:tcBorders>
            <w:shd w:val="clear" w:color="auto" w:fill="auto"/>
            <w:vAlign w:val="center"/>
          </w:tcPr>
          <w:p w14:paraId="4E07043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设备统一接入</w:t>
            </w:r>
          </w:p>
        </w:tc>
        <w:tc>
          <w:tcPr>
            <w:tcW w:w="2415" w:type="pct"/>
            <w:tcBorders>
              <w:top w:val="nil"/>
              <w:left w:val="nil"/>
              <w:bottom w:val="single" w:color="auto" w:sz="4" w:space="0"/>
              <w:right w:val="single" w:color="auto" w:sz="4" w:space="0"/>
            </w:tcBorders>
            <w:shd w:val="clear" w:color="auto" w:fill="auto"/>
            <w:vAlign w:val="center"/>
          </w:tcPr>
          <w:p w14:paraId="6A37BCF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编码设备管理</w:t>
            </w:r>
          </w:p>
          <w:p w14:paraId="47D672A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（1）支持在选定区域下手动添加编码设备，支持单IP添加、IP段添加、单编号添加及编号段添加等多种方式。</w:t>
            </w:r>
          </w:p>
          <w:p w14:paraId="168EE96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（2）支持列表展示选中区域下的编码设备信息，包括所属区域、设备接入协议、设备编号、设备型号、IP地址及端口号、密码强度、视频通道数、报警通道数、能力集状态、数据接入协议、数据接入协议状态。</w:t>
            </w:r>
          </w:p>
          <w:p w14:paraId="1C7805B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（3）支持依据模板批量导入编码设备，及编码设备数据导出。</w:t>
            </w:r>
          </w:p>
          <w:p w14:paraId="25A7976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（4）支持编辑及同步编码设备信息。</w:t>
            </w:r>
          </w:p>
          <w:p w14:paraId="50D0E07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（5）支持针对编码设备添加标签。</w:t>
            </w:r>
          </w:p>
          <w:p w14:paraId="31F9FE9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（6）支持设备能力集校准编辑，监控点通道能力集继承设备能力集。</w:t>
            </w:r>
          </w:p>
          <w:p w14:paraId="3E0E5BC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（7）支持根据名称或IP模糊搜索编码设备，支持批量删除编码设备。</w:t>
            </w:r>
          </w:p>
          <w:p w14:paraId="7A3363C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（8）提供编码设备的增、删、改接口，支持批量操作。</w:t>
            </w:r>
          </w:p>
          <w:p w14:paraId="5E474B2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（9）支持数据接入协议配置。</w:t>
            </w:r>
          </w:p>
          <w:p w14:paraId="7FD1345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（10）支持厂商和设备接入协议联动。</w:t>
            </w:r>
          </w:p>
          <w:p w14:paraId="751BAB8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监控点管理</w:t>
            </w:r>
          </w:p>
          <w:p w14:paraId="19BE6C1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（1）支持批量添加选中区域及其上级区域的编码设备中的监控点。</w:t>
            </w:r>
          </w:p>
          <w:p w14:paraId="3B04B26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（2）支持通过导入导出经纬度功能，批量修改监控点经纬度信息。</w:t>
            </w:r>
          </w:p>
          <w:p w14:paraId="5A180F1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（3）支持批量更改监控点所属区域及批量删除监控点，支持修改监控点排序，支持根据名称或IP模糊搜索监控点。</w:t>
            </w:r>
          </w:p>
          <w:p w14:paraId="5167921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（4）支持列表展示选中区域下的监控点信息，包括监控点名称、传输协议、所属设备、IP地址、端口及通道号等。</w:t>
            </w:r>
          </w:p>
          <w:p w14:paraId="3145667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（5）支持查看、编辑监控点基本信息、能力集信息、音视频信息及类型信息，支持针对监控点添加标签。</w:t>
            </w:r>
          </w:p>
          <w:p w14:paraId="4606C31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（6）支持手动输入经纬度信息或地图定位方式标注监控点位置。</w:t>
            </w:r>
          </w:p>
          <w:p w14:paraId="0781987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（7）支持级联点位标签设置。</w:t>
            </w:r>
          </w:p>
          <w:p w14:paraId="12CDBA7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（8）支持osd信息叠加配置，支持osd全局配置，包括监控点名称、时间的显示隐藏，以及位置配置。</w:t>
            </w:r>
          </w:p>
        </w:tc>
        <w:tc>
          <w:tcPr>
            <w:tcW w:w="234" w:type="pct"/>
            <w:tcBorders>
              <w:top w:val="nil"/>
              <w:left w:val="nil"/>
              <w:bottom w:val="single" w:color="auto" w:sz="4" w:space="0"/>
              <w:right w:val="single" w:color="auto" w:sz="4" w:space="0"/>
            </w:tcBorders>
            <w:shd w:val="clear" w:color="auto" w:fill="auto"/>
            <w:vAlign w:val="center"/>
          </w:tcPr>
          <w:p w14:paraId="0F6812C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路</w:t>
            </w:r>
          </w:p>
        </w:tc>
        <w:tc>
          <w:tcPr>
            <w:tcW w:w="371" w:type="pct"/>
            <w:tcBorders>
              <w:top w:val="nil"/>
              <w:left w:val="nil"/>
              <w:bottom w:val="single" w:color="auto" w:sz="4" w:space="0"/>
              <w:right w:val="single" w:color="auto" w:sz="4" w:space="0"/>
            </w:tcBorders>
            <w:shd w:val="clear" w:color="auto" w:fill="auto"/>
            <w:vAlign w:val="center"/>
          </w:tcPr>
          <w:p w14:paraId="68A87B4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default" w:ascii="微软雅黑" w:hAnsi="微软雅黑" w:eastAsia="微软雅黑" w:cs="宋体"/>
                <w:color w:val="000000"/>
                <w:kern w:val="0"/>
                <w:sz w:val="18"/>
                <w:szCs w:val="18"/>
                <w:lang w:val="en-US" w:eastAsia="zh-CN"/>
              </w:rPr>
            </w:pPr>
            <w:r>
              <w:rPr>
                <w:rFonts w:hint="eastAsia" w:ascii="微软雅黑" w:hAnsi="微软雅黑" w:eastAsia="微软雅黑" w:cs="宋体"/>
                <w:color w:val="auto"/>
                <w:kern w:val="0"/>
                <w:sz w:val="18"/>
                <w:szCs w:val="18"/>
                <w:lang w:val="en-US" w:eastAsia="zh-CN"/>
              </w:rPr>
              <w:t>10000</w:t>
            </w:r>
          </w:p>
        </w:tc>
        <w:tc>
          <w:tcPr>
            <w:tcW w:w="228" w:type="pct"/>
            <w:tcBorders>
              <w:top w:val="nil"/>
              <w:left w:val="nil"/>
              <w:bottom w:val="single" w:color="auto" w:sz="4" w:space="0"/>
              <w:right w:val="single" w:color="auto" w:sz="4" w:space="0"/>
            </w:tcBorders>
            <w:shd w:val="clear" w:color="auto" w:fill="auto"/>
            <w:vAlign w:val="center"/>
          </w:tcPr>
          <w:p w14:paraId="2B00E67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3728322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E0F7FB2">
        <w:tblPrEx>
          <w:tblCellMar>
            <w:top w:w="0" w:type="dxa"/>
            <w:left w:w="108" w:type="dxa"/>
            <w:bottom w:w="0" w:type="dxa"/>
            <w:right w:w="108" w:type="dxa"/>
          </w:tblCellMar>
        </w:tblPrEx>
        <w:trPr>
          <w:trHeight w:val="1457"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4D8B1F5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w:t>
            </w:r>
          </w:p>
        </w:tc>
        <w:tc>
          <w:tcPr>
            <w:tcW w:w="228" w:type="pct"/>
            <w:vMerge w:val="restart"/>
            <w:tcBorders>
              <w:top w:val="nil"/>
              <w:left w:val="single" w:color="auto" w:sz="4" w:space="0"/>
              <w:bottom w:val="single" w:color="auto" w:sz="4" w:space="0"/>
              <w:right w:val="single" w:color="auto" w:sz="4" w:space="0"/>
            </w:tcBorders>
            <w:shd w:val="clear" w:color="auto" w:fill="auto"/>
            <w:vAlign w:val="center"/>
          </w:tcPr>
          <w:p w14:paraId="5EF1C7B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视频统一联网</w:t>
            </w:r>
          </w:p>
        </w:tc>
        <w:tc>
          <w:tcPr>
            <w:tcW w:w="627" w:type="pct"/>
            <w:tcBorders>
              <w:top w:val="nil"/>
              <w:left w:val="nil"/>
              <w:bottom w:val="single" w:color="auto" w:sz="4" w:space="0"/>
              <w:right w:val="single" w:color="auto" w:sz="4" w:space="0"/>
            </w:tcBorders>
            <w:shd w:val="clear" w:color="auto" w:fill="auto"/>
            <w:vAlign w:val="center"/>
          </w:tcPr>
          <w:p w14:paraId="3C65952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视频联网</w:t>
            </w:r>
          </w:p>
        </w:tc>
        <w:tc>
          <w:tcPr>
            <w:tcW w:w="2415" w:type="pct"/>
            <w:tcBorders>
              <w:top w:val="nil"/>
              <w:left w:val="nil"/>
              <w:bottom w:val="single" w:color="auto" w:sz="4" w:space="0"/>
              <w:right w:val="single" w:color="auto" w:sz="4" w:space="0"/>
            </w:tcBorders>
            <w:shd w:val="clear" w:color="auto" w:fill="auto"/>
            <w:vAlign w:val="center"/>
          </w:tcPr>
          <w:p w14:paraId="7E97F56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（1）GB35114、GB/T28181标准协议级联</w:t>
            </w:r>
          </w:p>
          <w:p w14:paraId="27712E6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支持通过GB 35114、GB/T28181标准协议实现普通视频资源的级联，包含域间注册与心跳、资源同步、实时预览、录像回放与控制、录像下载、设备控制等。</w:t>
            </w:r>
          </w:p>
          <w:p w14:paraId="271335B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（2）GB35114资源联网管理</w:t>
            </w:r>
          </w:p>
          <w:p w14:paraId="691545F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1）支持针对本域或外域的GB35114或GB/T28181资源进行共享。</w:t>
            </w:r>
          </w:p>
          <w:p w14:paraId="6B2C267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2）支持对下级域进行GB35114或GB/T28181资源检索查询。</w:t>
            </w:r>
          </w:p>
          <w:p w14:paraId="29107BF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3）支持对GB35114或GB/T28181标准的联网信令服务、联网媒体服务、多线路网域进行管理。</w:t>
            </w:r>
          </w:p>
          <w:p w14:paraId="0A52BF4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4）支持对本级域与下级域进行GB35114或GB/T28181资源定期同步，并对冗余资源进行清除。</w:t>
            </w:r>
          </w:p>
          <w:p w14:paraId="5182704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5）支持展示本级域与下级域的GB35114或GB/T28181资源状态，以及外域链接状态。</w:t>
            </w:r>
          </w:p>
          <w:p w14:paraId="52CD129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6）支持展示本级域与下级域的GB35114或GB/T28181资源状态，以及共享给上级的资源信息。</w:t>
            </w:r>
          </w:p>
        </w:tc>
        <w:tc>
          <w:tcPr>
            <w:tcW w:w="234" w:type="pct"/>
            <w:tcBorders>
              <w:top w:val="nil"/>
              <w:left w:val="nil"/>
              <w:bottom w:val="single" w:color="auto" w:sz="4" w:space="0"/>
              <w:right w:val="single" w:color="auto" w:sz="4" w:space="0"/>
            </w:tcBorders>
            <w:shd w:val="clear" w:color="auto" w:fill="auto"/>
            <w:vAlign w:val="center"/>
          </w:tcPr>
          <w:p w14:paraId="35F2C9C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0C61126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5BD27D1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06B3C94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74356AEB">
        <w:tblPrEx>
          <w:tblCellMar>
            <w:top w:w="0" w:type="dxa"/>
            <w:left w:w="108" w:type="dxa"/>
            <w:bottom w:w="0" w:type="dxa"/>
            <w:right w:w="108" w:type="dxa"/>
          </w:tblCellMar>
        </w:tblPrEx>
        <w:trPr>
          <w:trHeight w:val="165"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786C711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w:t>
            </w:r>
          </w:p>
        </w:tc>
        <w:tc>
          <w:tcPr>
            <w:tcW w:w="228" w:type="pct"/>
            <w:vMerge w:val="continue"/>
            <w:tcBorders>
              <w:top w:val="nil"/>
              <w:left w:val="single" w:color="auto" w:sz="4" w:space="0"/>
              <w:bottom w:val="single" w:color="auto" w:sz="4" w:space="0"/>
              <w:right w:val="single" w:color="auto" w:sz="4" w:space="0"/>
            </w:tcBorders>
            <w:vAlign w:val="center"/>
          </w:tcPr>
          <w:p w14:paraId="482AC3A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298DFF7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级联点位授权</w:t>
            </w:r>
          </w:p>
        </w:tc>
        <w:tc>
          <w:tcPr>
            <w:tcW w:w="2415" w:type="pct"/>
            <w:tcBorders>
              <w:top w:val="nil"/>
              <w:left w:val="nil"/>
              <w:bottom w:val="single" w:color="auto" w:sz="4" w:space="0"/>
              <w:right w:val="single" w:color="auto" w:sz="4" w:space="0"/>
            </w:tcBorders>
            <w:shd w:val="clear" w:color="auto" w:fill="auto"/>
            <w:vAlign w:val="center"/>
          </w:tcPr>
          <w:p w14:paraId="743708D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级联监控点数量</w:t>
            </w:r>
          </w:p>
        </w:tc>
        <w:tc>
          <w:tcPr>
            <w:tcW w:w="234" w:type="pct"/>
            <w:tcBorders>
              <w:top w:val="nil"/>
              <w:left w:val="nil"/>
              <w:bottom w:val="single" w:color="auto" w:sz="4" w:space="0"/>
              <w:right w:val="single" w:color="auto" w:sz="4" w:space="0"/>
            </w:tcBorders>
            <w:shd w:val="clear" w:color="auto" w:fill="auto"/>
            <w:vAlign w:val="center"/>
          </w:tcPr>
          <w:p w14:paraId="410D855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路</w:t>
            </w:r>
          </w:p>
        </w:tc>
        <w:tc>
          <w:tcPr>
            <w:tcW w:w="371" w:type="pct"/>
            <w:tcBorders>
              <w:top w:val="nil"/>
              <w:left w:val="nil"/>
              <w:bottom w:val="single" w:color="auto" w:sz="4" w:space="0"/>
              <w:right w:val="single" w:color="auto" w:sz="4" w:space="0"/>
            </w:tcBorders>
            <w:shd w:val="clear" w:color="auto" w:fill="auto"/>
            <w:vAlign w:val="center"/>
          </w:tcPr>
          <w:p w14:paraId="58DB944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lang w:val="en-US" w:eastAsia="zh-CN"/>
              </w:rPr>
              <w:t>100</w:t>
            </w:r>
            <w:r>
              <w:rPr>
                <w:rFonts w:hint="eastAsia" w:ascii="微软雅黑" w:hAnsi="微软雅黑" w:eastAsia="微软雅黑" w:cs="宋体"/>
                <w:color w:val="000000"/>
                <w:kern w:val="0"/>
                <w:sz w:val="18"/>
                <w:szCs w:val="18"/>
              </w:rPr>
              <w:t>00</w:t>
            </w:r>
          </w:p>
        </w:tc>
        <w:tc>
          <w:tcPr>
            <w:tcW w:w="228" w:type="pct"/>
            <w:tcBorders>
              <w:top w:val="nil"/>
              <w:left w:val="nil"/>
              <w:bottom w:val="single" w:color="auto" w:sz="4" w:space="0"/>
              <w:right w:val="single" w:color="auto" w:sz="4" w:space="0"/>
            </w:tcBorders>
            <w:shd w:val="clear" w:color="auto" w:fill="auto"/>
            <w:vAlign w:val="center"/>
          </w:tcPr>
          <w:p w14:paraId="4CA7658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41659AA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按级联路数收费</w:t>
            </w:r>
          </w:p>
        </w:tc>
      </w:tr>
      <w:tr w14:paraId="28E16579">
        <w:tblPrEx>
          <w:tblCellMar>
            <w:top w:w="0" w:type="dxa"/>
            <w:left w:w="108" w:type="dxa"/>
            <w:bottom w:w="0" w:type="dxa"/>
            <w:right w:w="108" w:type="dxa"/>
          </w:tblCellMar>
        </w:tblPrEx>
        <w:trPr>
          <w:trHeight w:val="891"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61FD119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w:t>
            </w:r>
          </w:p>
        </w:tc>
        <w:tc>
          <w:tcPr>
            <w:tcW w:w="228" w:type="pct"/>
            <w:vMerge w:val="restart"/>
            <w:tcBorders>
              <w:top w:val="nil"/>
              <w:left w:val="single" w:color="auto" w:sz="4" w:space="0"/>
              <w:bottom w:val="single" w:color="000000" w:sz="4" w:space="0"/>
              <w:right w:val="single" w:color="auto" w:sz="4" w:space="0"/>
            </w:tcBorders>
            <w:shd w:val="clear" w:color="auto" w:fill="auto"/>
            <w:vAlign w:val="center"/>
          </w:tcPr>
          <w:p w14:paraId="5FA1572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资源目录管理</w:t>
            </w:r>
          </w:p>
        </w:tc>
        <w:tc>
          <w:tcPr>
            <w:tcW w:w="627" w:type="pct"/>
            <w:tcBorders>
              <w:top w:val="nil"/>
              <w:left w:val="nil"/>
              <w:bottom w:val="single" w:color="auto" w:sz="4" w:space="0"/>
              <w:right w:val="single" w:color="auto" w:sz="4" w:space="0"/>
            </w:tcBorders>
            <w:shd w:val="clear" w:color="auto" w:fill="auto"/>
            <w:vAlign w:val="center"/>
          </w:tcPr>
          <w:p w14:paraId="1A641E4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基础目录管理</w:t>
            </w:r>
          </w:p>
        </w:tc>
        <w:tc>
          <w:tcPr>
            <w:tcW w:w="2415" w:type="pct"/>
            <w:tcBorders>
              <w:top w:val="nil"/>
              <w:left w:val="nil"/>
              <w:bottom w:val="single" w:color="auto" w:sz="4" w:space="0"/>
              <w:right w:val="single" w:color="auto" w:sz="4" w:space="0"/>
            </w:tcBorders>
            <w:shd w:val="clear" w:color="auto" w:fill="auto"/>
            <w:vAlign w:val="center"/>
          </w:tcPr>
          <w:p w14:paraId="0CA533D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（1）基础目录以GB 35114标准或GB/T 28181标准为基础，进行省、市、区、街道划分，并附以国标的编号，并且不可更改。</w:t>
            </w:r>
          </w:p>
          <w:p w14:paraId="574E845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（2）支持在相应目录下进行GB 35114标准或GB/T 28181标准的监控点的导入、导出操作。</w:t>
            </w:r>
          </w:p>
          <w:p w14:paraId="305FF19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（3）持在资源组织目录中对本级直连的GB35114设备进行等级配置</w:t>
            </w:r>
          </w:p>
          <w:p w14:paraId="58783D3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（4）支持按照统一编码规则查看GB 35114标准或GB/T 28181标准设备信息</w:t>
            </w:r>
          </w:p>
        </w:tc>
        <w:tc>
          <w:tcPr>
            <w:tcW w:w="234" w:type="pct"/>
            <w:tcBorders>
              <w:top w:val="nil"/>
              <w:left w:val="nil"/>
              <w:bottom w:val="single" w:color="auto" w:sz="4" w:space="0"/>
              <w:right w:val="single" w:color="auto" w:sz="4" w:space="0"/>
            </w:tcBorders>
            <w:shd w:val="clear" w:color="auto" w:fill="auto"/>
            <w:vAlign w:val="center"/>
          </w:tcPr>
          <w:p w14:paraId="603FEC8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32EDD6E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62F1347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06B1011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FB611B3">
        <w:tblPrEx>
          <w:tblCellMar>
            <w:top w:w="0" w:type="dxa"/>
            <w:left w:w="108" w:type="dxa"/>
            <w:bottom w:w="0" w:type="dxa"/>
            <w:right w:w="108" w:type="dxa"/>
          </w:tblCellMar>
        </w:tblPrEx>
        <w:trPr>
          <w:trHeight w:val="488"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23A15AE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w:t>
            </w:r>
          </w:p>
        </w:tc>
        <w:tc>
          <w:tcPr>
            <w:tcW w:w="228" w:type="pct"/>
            <w:vMerge w:val="continue"/>
            <w:tcBorders>
              <w:top w:val="nil"/>
              <w:left w:val="single" w:color="auto" w:sz="4" w:space="0"/>
              <w:bottom w:val="single" w:color="000000" w:sz="4" w:space="0"/>
              <w:right w:val="single" w:color="auto" w:sz="4" w:space="0"/>
            </w:tcBorders>
            <w:vAlign w:val="center"/>
          </w:tcPr>
          <w:p w14:paraId="42D7837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24A5E2D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业务目录管理</w:t>
            </w:r>
          </w:p>
        </w:tc>
        <w:tc>
          <w:tcPr>
            <w:tcW w:w="2415" w:type="pct"/>
            <w:tcBorders>
              <w:top w:val="nil"/>
              <w:left w:val="nil"/>
              <w:bottom w:val="single" w:color="auto" w:sz="4" w:space="0"/>
              <w:right w:val="single" w:color="auto" w:sz="4" w:space="0"/>
            </w:tcBorders>
            <w:shd w:val="clear" w:color="auto" w:fill="auto"/>
            <w:vAlign w:val="center"/>
          </w:tcPr>
          <w:p w14:paraId="386E2FB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（1）业务目录可根据GB 35114标准或GB/T 28181标准用户需求，自定义进行更改和编辑。</w:t>
            </w:r>
          </w:p>
          <w:p w14:paraId="628867F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（2）支持在业务目录上添加GB 35114标准或GB/T 28181标准的监控点、卡口等关联业务树区域，支持对添加的设备进行删除、移动位置和排序操作。</w:t>
            </w:r>
          </w:p>
        </w:tc>
        <w:tc>
          <w:tcPr>
            <w:tcW w:w="234" w:type="pct"/>
            <w:tcBorders>
              <w:top w:val="nil"/>
              <w:left w:val="nil"/>
              <w:bottom w:val="single" w:color="auto" w:sz="4" w:space="0"/>
              <w:right w:val="single" w:color="auto" w:sz="4" w:space="0"/>
            </w:tcBorders>
            <w:shd w:val="clear" w:color="auto" w:fill="auto"/>
            <w:vAlign w:val="center"/>
          </w:tcPr>
          <w:p w14:paraId="4283B9A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5C34E23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7A4CFF1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20037F1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E832E98">
        <w:tblPrEx>
          <w:tblCellMar>
            <w:top w:w="0" w:type="dxa"/>
            <w:left w:w="108" w:type="dxa"/>
            <w:bottom w:w="0" w:type="dxa"/>
            <w:right w:w="108" w:type="dxa"/>
          </w:tblCellMar>
        </w:tblPrEx>
        <w:trPr>
          <w:trHeight w:val="568"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026A43A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6</w:t>
            </w:r>
          </w:p>
        </w:tc>
        <w:tc>
          <w:tcPr>
            <w:tcW w:w="228" w:type="pct"/>
            <w:vMerge w:val="continue"/>
            <w:tcBorders>
              <w:top w:val="nil"/>
              <w:left w:val="single" w:color="auto" w:sz="4" w:space="0"/>
              <w:bottom w:val="single" w:color="000000" w:sz="4" w:space="0"/>
              <w:right w:val="single" w:color="auto" w:sz="4" w:space="0"/>
            </w:tcBorders>
            <w:vAlign w:val="center"/>
          </w:tcPr>
          <w:p w14:paraId="2C2AC41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7751599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用户信息管理</w:t>
            </w:r>
          </w:p>
        </w:tc>
        <w:tc>
          <w:tcPr>
            <w:tcW w:w="2415" w:type="pct"/>
            <w:tcBorders>
              <w:top w:val="nil"/>
              <w:left w:val="nil"/>
              <w:bottom w:val="single" w:color="auto" w:sz="4" w:space="0"/>
              <w:right w:val="single" w:color="auto" w:sz="4" w:space="0"/>
            </w:tcBorders>
            <w:shd w:val="clear" w:color="auto" w:fill="auto"/>
            <w:vAlign w:val="center"/>
          </w:tcPr>
          <w:p w14:paraId="3CB0193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（1）支持GB35114标准的用户身份管理，实现用户基本信息、属性信息、用户ID对应的身份证号和用户证书的身份证号一致性</w:t>
            </w:r>
          </w:p>
          <w:p w14:paraId="42D0788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（2）支持为不同GB35114标准的用户分配不同的菜单权限和应用资源权限，实现GB35114标准的用户授权管理</w:t>
            </w:r>
          </w:p>
        </w:tc>
        <w:tc>
          <w:tcPr>
            <w:tcW w:w="234" w:type="pct"/>
            <w:tcBorders>
              <w:top w:val="nil"/>
              <w:left w:val="nil"/>
              <w:bottom w:val="single" w:color="auto" w:sz="4" w:space="0"/>
              <w:right w:val="single" w:color="auto" w:sz="4" w:space="0"/>
            </w:tcBorders>
            <w:shd w:val="clear" w:color="auto" w:fill="auto"/>
            <w:vAlign w:val="center"/>
          </w:tcPr>
          <w:p w14:paraId="44B3C74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2708F4D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3688E6E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76A573D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C4D1DAD">
        <w:tblPrEx>
          <w:tblCellMar>
            <w:top w:w="0" w:type="dxa"/>
            <w:left w:w="108" w:type="dxa"/>
            <w:bottom w:w="0" w:type="dxa"/>
            <w:right w:w="108" w:type="dxa"/>
          </w:tblCellMar>
        </w:tblPrEx>
        <w:trPr>
          <w:trHeight w:val="1457"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20E0138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7</w:t>
            </w:r>
          </w:p>
        </w:tc>
        <w:tc>
          <w:tcPr>
            <w:tcW w:w="228" w:type="pct"/>
            <w:vMerge w:val="continue"/>
            <w:tcBorders>
              <w:top w:val="nil"/>
              <w:left w:val="single" w:color="auto" w:sz="4" w:space="0"/>
              <w:bottom w:val="single" w:color="000000" w:sz="4" w:space="0"/>
              <w:right w:val="single" w:color="auto" w:sz="4" w:space="0"/>
            </w:tcBorders>
            <w:vAlign w:val="center"/>
          </w:tcPr>
          <w:p w14:paraId="400EAE7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2E69971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设备信息管理</w:t>
            </w:r>
          </w:p>
        </w:tc>
        <w:tc>
          <w:tcPr>
            <w:tcW w:w="2415" w:type="pct"/>
            <w:tcBorders>
              <w:top w:val="nil"/>
              <w:left w:val="nil"/>
              <w:bottom w:val="single" w:color="auto" w:sz="4" w:space="0"/>
              <w:right w:val="single" w:color="auto" w:sz="4" w:space="0"/>
            </w:tcBorders>
            <w:shd w:val="clear" w:color="000000" w:fill="FFFFFF"/>
            <w:vAlign w:val="center"/>
          </w:tcPr>
          <w:p w14:paraId="6BDD82D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（1）支持用户依据模板在基础目录中批量导入GB35114标准的编码设备、编辑及同步编码设备信息。</w:t>
            </w:r>
          </w:p>
          <w:p w14:paraId="58BE880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（2）支持在选定区域下手动添加GB35114标准的编码设备，包括单、单编号添加及编号段添加等多种方式。</w:t>
            </w:r>
          </w:p>
          <w:p w14:paraId="060AC2F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（3）支持针对GB35114标准的编码设备添加标签。</w:t>
            </w:r>
          </w:p>
          <w:p w14:paraId="681C0DE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（4）支持自动获取GB35114标准的编码设备的视频通道</w:t>
            </w:r>
          </w:p>
          <w:p w14:paraId="3ADDD53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（5）支持用户批量添加所选区域及其上级区域的GB35114标准的编码设备中的监控点</w:t>
            </w:r>
          </w:p>
          <w:p w14:paraId="3F061CA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（6）支持以列表形式展示GB35114标准的编码设备监控点详情信息。</w:t>
            </w:r>
          </w:p>
          <w:p w14:paraId="4BD6CFF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（7）支持查看、编辑GB35114标准的监控点基本信息、音视频信息及类型信息</w:t>
            </w:r>
          </w:p>
          <w:p w14:paraId="07C88B3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（8）支持针对GB35114标准监控点添加标签。</w:t>
            </w:r>
          </w:p>
          <w:p w14:paraId="513D601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（9）支持对GB35114设备的能力集校准能力集，解决现场设备能力集获取不准确的问题</w:t>
            </w:r>
          </w:p>
        </w:tc>
        <w:tc>
          <w:tcPr>
            <w:tcW w:w="234" w:type="pct"/>
            <w:tcBorders>
              <w:top w:val="nil"/>
              <w:left w:val="nil"/>
              <w:bottom w:val="single" w:color="auto" w:sz="4" w:space="0"/>
              <w:right w:val="single" w:color="auto" w:sz="4" w:space="0"/>
            </w:tcBorders>
            <w:shd w:val="clear" w:color="auto" w:fill="auto"/>
            <w:vAlign w:val="center"/>
          </w:tcPr>
          <w:p w14:paraId="3B7DC52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245EC78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2596692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45A1CFE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B0A3E40">
        <w:tblPrEx>
          <w:tblCellMar>
            <w:top w:w="0" w:type="dxa"/>
            <w:left w:w="108" w:type="dxa"/>
            <w:bottom w:w="0" w:type="dxa"/>
            <w:right w:w="108" w:type="dxa"/>
          </w:tblCellMar>
        </w:tblPrEx>
        <w:trPr>
          <w:trHeight w:val="2451"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0001BC4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8</w:t>
            </w:r>
          </w:p>
        </w:tc>
        <w:tc>
          <w:tcPr>
            <w:tcW w:w="228" w:type="pct"/>
            <w:vMerge w:val="restart"/>
            <w:tcBorders>
              <w:top w:val="nil"/>
              <w:left w:val="single" w:color="auto" w:sz="4" w:space="0"/>
              <w:bottom w:val="nil"/>
              <w:right w:val="single" w:color="auto" w:sz="4" w:space="0"/>
            </w:tcBorders>
            <w:shd w:val="clear" w:color="auto" w:fill="auto"/>
            <w:vAlign w:val="center"/>
          </w:tcPr>
          <w:p w14:paraId="1E9C322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视频调阅服务</w:t>
            </w:r>
          </w:p>
        </w:tc>
        <w:tc>
          <w:tcPr>
            <w:tcW w:w="627" w:type="pct"/>
            <w:tcBorders>
              <w:top w:val="nil"/>
              <w:left w:val="nil"/>
              <w:bottom w:val="single" w:color="auto" w:sz="4" w:space="0"/>
              <w:right w:val="single" w:color="auto" w:sz="4" w:space="0"/>
            </w:tcBorders>
            <w:shd w:val="clear" w:color="auto" w:fill="auto"/>
            <w:vAlign w:val="center"/>
          </w:tcPr>
          <w:p w14:paraId="05C605D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视频巡逻</w:t>
            </w:r>
          </w:p>
        </w:tc>
        <w:tc>
          <w:tcPr>
            <w:tcW w:w="2415" w:type="pct"/>
            <w:tcBorders>
              <w:top w:val="nil"/>
              <w:left w:val="nil"/>
              <w:bottom w:val="single" w:color="auto" w:sz="4" w:space="0"/>
              <w:right w:val="single" w:color="auto" w:sz="4" w:space="0"/>
            </w:tcBorders>
            <w:shd w:val="clear" w:color="000000" w:fill="FFFFFF"/>
            <w:vAlign w:val="center"/>
          </w:tcPr>
          <w:p w14:paraId="3CEE1BE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（1）支持以资源树形式展示点位资源。</w:t>
            </w:r>
          </w:p>
          <w:p w14:paraId="61776FB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预览点位实时视频。支持查看点位属性详情，包括：监控点名称、类型、IP、经纬度、设备编码、监控点状态。支持搜索当前点位的周边的点位，支持通过框选、圆选、多边形选、线选、点选等绘制区域进行查询。</w:t>
            </w:r>
          </w:p>
          <w:p w14:paraId="52CD273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（3）支持根据关键字及拼音字母进行点位模糊搜索，支持将搜索到的点位定位到资源树。</w:t>
            </w:r>
          </w:p>
          <w:p w14:paraId="4E3F5CF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（4）支持查看我的收藏。</w:t>
            </w:r>
          </w:p>
          <w:p w14:paraId="4FCC44F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（5）支持创建新的收藏夹分组，并支持编辑、修改排序以及删除个人收藏夹分组，支持收藏夹刷新。</w:t>
            </w:r>
          </w:p>
          <w:p w14:paraId="5AD7BDB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（6）支持对收藏夹内点位进行详情查看、预览及回放。</w:t>
            </w:r>
          </w:p>
          <w:p w14:paraId="6487DB7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（7）支持将创建的收藏夹分组分享给其他用户。</w:t>
            </w:r>
          </w:p>
          <w:p w14:paraId="33771FD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（8）支持根据关键字及拼音字母对收藏夹内点位进行模糊搜索，支持将搜索到的点位定位到资源树。</w:t>
            </w:r>
          </w:p>
          <w:p w14:paraId="3763CD8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（9）支持创建、编辑、删除分组或预案。</w:t>
            </w:r>
          </w:p>
          <w:p w14:paraId="06A466C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（10）支持配置轮巡间隔、是否自动执行预案以及执行时间、所属预案分组。支持按资源树添加点位。支持配置资源点位码流类型（自适应码流、主码流、子码流）、预置点、顺序。</w:t>
            </w:r>
          </w:p>
          <w:p w14:paraId="2A53E26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（11）支持按时间顺序显示近期查看过的点位，支持对近期查看过的点位视频快速进行播放，支持清空历史列表。</w:t>
            </w:r>
          </w:p>
          <w:p w14:paraId="60A10B6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（12）支持对预览的GB/T28181设备、SDK设备的视频进行截图、录像、画面放大、云台控制、视频增强、声音控制、对讲控制、即时回放。</w:t>
            </w:r>
          </w:p>
          <w:p w14:paraId="07F579A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（13）支持对GB/T28181设备、SDK设备的云台控制焦距调节、光圈调节、灯光控制、雨刷、重置。支持预置点、巡航、轨迹三种模式选择。</w:t>
            </w:r>
          </w:p>
          <w:p w14:paraId="4DC5C9B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（14）支持GB/T28181设备、SDK设备、GB35114设备画面按照1画面、4画面、6画面、8画面、9画面等进行分割。</w:t>
            </w:r>
          </w:p>
          <w:p w14:paraId="05D809D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（15）若视频监控安全共享平台满足GB35114C级标准，则支持35114C级SVAC2.0码流的视频预览、回放的功能等基础视频功能</w:t>
            </w:r>
          </w:p>
          <w:p w14:paraId="09B9B96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（16）若视频监控安全共享平台满足GB35114C级标准则支持提供视频安全前端设备采集的视频数据完整性验证功能；</w:t>
            </w:r>
          </w:p>
          <w:p w14:paraId="1E48EDD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（17）若视频监控安全共享平台满足GB35114C级标准则支持实时svac2.0码流下载功能。</w:t>
            </w:r>
          </w:p>
        </w:tc>
        <w:tc>
          <w:tcPr>
            <w:tcW w:w="234" w:type="pct"/>
            <w:tcBorders>
              <w:top w:val="nil"/>
              <w:left w:val="nil"/>
              <w:bottom w:val="single" w:color="auto" w:sz="4" w:space="0"/>
              <w:right w:val="single" w:color="auto" w:sz="4" w:space="0"/>
            </w:tcBorders>
            <w:shd w:val="clear" w:color="auto" w:fill="auto"/>
            <w:vAlign w:val="center"/>
          </w:tcPr>
          <w:p w14:paraId="066D080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2D1F830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7B6F749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4AC8025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D2AB8C5">
        <w:tblPrEx>
          <w:tblCellMar>
            <w:top w:w="0" w:type="dxa"/>
            <w:left w:w="108" w:type="dxa"/>
            <w:bottom w:w="0" w:type="dxa"/>
            <w:right w:w="108" w:type="dxa"/>
          </w:tblCellMar>
        </w:tblPrEx>
        <w:trPr>
          <w:trHeight w:val="887"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1BA7A4A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9</w:t>
            </w:r>
          </w:p>
        </w:tc>
        <w:tc>
          <w:tcPr>
            <w:tcW w:w="228" w:type="pct"/>
            <w:vMerge w:val="continue"/>
            <w:tcBorders>
              <w:top w:val="nil"/>
              <w:left w:val="single" w:color="auto" w:sz="4" w:space="0"/>
              <w:bottom w:val="nil"/>
              <w:right w:val="single" w:color="auto" w:sz="4" w:space="0"/>
            </w:tcBorders>
            <w:vAlign w:val="center"/>
          </w:tcPr>
          <w:p w14:paraId="1AE51A9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1B58F6B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视频上墙</w:t>
            </w:r>
          </w:p>
        </w:tc>
        <w:tc>
          <w:tcPr>
            <w:tcW w:w="2415" w:type="pct"/>
            <w:tcBorders>
              <w:top w:val="nil"/>
              <w:left w:val="nil"/>
              <w:bottom w:val="single" w:color="auto" w:sz="4" w:space="0"/>
              <w:right w:val="single" w:color="auto" w:sz="4" w:space="0"/>
            </w:tcBorders>
            <w:shd w:val="clear" w:color="000000" w:fill="FFFFFF"/>
            <w:vAlign w:val="center"/>
          </w:tcPr>
          <w:p w14:paraId="4BB5649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（1）支持电视墙场景管理，实现场景窗口配置、场景切换计划配置以及轮巡计划的管理。</w:t>
            </w:r>
          </w:p>
          <w:p w14:paraId="48C7F08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（2）支持上墙控制，实现场景一键上墙、场景切换、电视墙切换、监控点上下墙、轮巡控制操作。</w:t>
            </w:r>
          </w:p>
          <w:p w14:paraId="7434744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（3）支持将需要上墙的符合GB35114标准的监控点位拖动至电视墙窗口并显示上墙点位的预览画面；支持对预览画面进行云台控制；支持关闭本地预览。</w:t>
            </w:r>
          </w:p>
          <w:p w14:paraId="64CAB17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（4）支持在电视墙上轮巡播放符合GB35114标准的监控点实时视频</w:t>
            </w:r>
          </w:p>
          <w:p w14:paraId="53208CD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（5）提供对安全前端设备的视频上墙功能，支持将安全前端设备实时视频流及历史录像视频流调度上墙和显示控制。</w:t>
            </w:r>
          </w:p>
        </w:tc>
        <w:tc>
          <w:tcPr>
            <w:tcW w:w="234" w:type="pct"/>
            <w:tcBorders>
              <w:top w:val="nil"/>
              <w:left w:val="nil"/>
              <w:bottom w:val="single" w:color="auto" w:sz="4" w:space="0"/>
              <w:right w:val="single" w:color="auto" w:sz="4" w:space="0"/>
            </w:tcBorders>
            <w:shd w:val="clear" w:color="auto" w:fill="auto"/>
            <w:vAlign w:val="center"/>
          </w:tcPr>
          <w:p w14:paraId="1226265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0517EE5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0C10BF7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70167DD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C9AFEA1">
        <w:tblPrEx>
          <w:tblCellMar>
            <w:top w:w="0" w:type="dxa"/>
            <w:left w:w="108" w:type="dxa"/>
            <w:bottom w:w="0" w:type="dxa"/>
            <w:right w:w="108" w:type="dxa"/>
          </w:tblCellMar>
        </w:tblPrEx>
        <w:trPr>
          <w:trHeight w:val="2179"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13D00C5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10</w:t>
            </w:r>
          </w:p>
        </w:tc>
        <w:tc>
          <w:tcPr>
            <w:tcW w:w="228" w:type="pct"/>
            <w:vMerge w:val="continue"/>
            <w:tcBorders>
              <w:top w:val="nil"/>
              <w:left w:val="single" w:color="auto" w:sz="4" w:space="0"/>
              <w:bottom w:val="nil"/>
              <w:right w:val="single" w:color="auto" w:sz="4" w:space="0"/>
            </w:tcBorders>
            <w:vAlign w:val="center"/>
          </w:tcPr>
          <w:p w14:paraId="10C4EA0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0112834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录像回放</w:t>
            </w:r>
          </w:p>
        </w:tc>
        <w:tc>
          <w:tcPr>
            <w:tcW w:w="2415" w:type="pct"/>
            <w:tcBorders>
              <w:top w:val="nil"/>
              <w:left w:val="nil"/>
              <w:bottom w:val="single" w:color="auto" w:sz="4" w:space="0"/>
              <w:right w:val="single" w:color="auto" w:sz="4" w:space="0"/>
            </w:tcBorders>
            <w:shd w:val="clear" w:color="000000" w:fill="FFFFFF"/>
          </w:tcPr>
          <w:p w14:paraId="5736F30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（1）支持以资源树形式展示资源。</w:t>
            </w:r>
          </w:p>
          <w:p w14:paraId="6A4D69E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支持查看点位录像。支持查看点位属性详情，包括监控点名称、设备类型、IP、经纬度、设备编码、监控点状态。支持搜索当前点位的周边的点位，支持通过框选、圆选、多边形选、线选等绘制区域进行查询。</w:t>
            </w:r>
          </w:p>
          <w:p w14:paraId="7D3338D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（3）支持根据关键字进行点位模糊搜索。</w:t>
            </w:r>
          </w:p>
          <w:p w14:paraId="7BF62E7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（4）支持按时间顺序显示近期查看过的视频，支持对近期查看过的回放视频进行播放或续播，支持清空历史列表。</w:t>
            </w:r>
          </w:p>
          <w:p w14:paraId="7795C77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（5）支持画面抓图、录像剪辑、电子放大、分段回放、向前定位、视频增强、收藏等功能。</w:t>
            </w:r>
          </w:p>
          <w:p w14:paraId="0A59A7B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（6）支持对GB/T28181、SDK、GB35114等协议接入的点位进行多录像同步播放、异步播放。</w:t>
            </w:r>
          </w:p>
          <w:p w14:paraId="2F34154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（7）支持筛选GB/T28181、SDK、GB35114等协议接入的点位进行录像类型，包括移动录像、报警录像、计划录像、手动录像。</w:t>
            </w:r>
          </w:p>
          <w:p w14:paraId="32C1C02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（8）支持对GB/T28181、SDK、GB35114等协议接入的点位录像进行框选、下载等操作。</w:t>
            </w:r>
          </w:p>
          <w:p w14:paraId="77C8DFA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（9）支持打开设备智能信息，实时分析画面中的人脸等要素。</w:t>
            </w:r>
          </w:p>
          <w:p w14:paraId="66F9053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（10）支持单画面及多画面播放控制，支持GB/T28181设备、SDK设备、GB35114A级（h.264/h.265码流）设备录像画面倒放，逐帧倒放、逐帧前进。</w:t>
            </w:r>
          </w:p>
          <w:p w14:paraId="24D7946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（11）支持GB/T28181设备、SDK设备、GB35114A级设备多屏播放，支持切换画面为1、4、9、16分屏，支持画面以4:3或16:9展示，支持全屏播放。</w:t>
            </w:r>
          </w:p>
          <w:p w14:paraId="491EF4B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（12）GB35114设备录像计划配置：支持GB35114 设备录像计划配置；</w:t>
            </w:r>
          </w:p>
          <w:p w14:paraId="7E0D52E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（13）GB35114设备录像存储：支持GB35114设备原始码流录像存储；若视频监控安全共享平台满足GB35114C级标准，则支持保留B级设备码流签名信息，C级设备码流签名+加密信息；</w:t>
            </w:r>
          </w:p>
          <w:p w14:paraId="79AE0F3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（14）GB35114设备录像点播及下载：支持GB35114设备码流录像点播，支持GB35114 设备码流录像文件下载。</w:t>
            </w:r>
          </w:p>
        </w:tc>
        <w:tc>
          <w:tcPr>
            <w:tcW w:w="234" w:type="pct"/>
            <w:tcBorders>
              <w:top w:val="nil"/>
              <w:left w:val="nil"/>
              <w:bottom w:val="single" w:color="auto" w:sz="4" w:space="0"/>
              <w:right w:val="single" w:color="auto" w:sz="4" w:space="0"/>
            </w:tcBorders>
            <w:shd w:val="clear" w:color="auto" w:fill="auto"/>
            <w:vAlign w:val="center"/>
          </w:tcPr>
          <w:p w14:paraId="0BD1468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29B3069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5918BF3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02F676D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AF1B090">
        <w:trPr>
          <w:trHeight w:val="730"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0024938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11</w:t>
            </w:r>
          </w:p>
        </w:tc>
        <w:tc>
          <w:tcPr>
            <w:tcW w:w="228" w:type="pct"/>
            <w:vMerge w:val="continue"/>
            <w:tcBorders>
              <w:top w:val="nil"/>
              <w:left w:val="single" w:color="auto" w:sz="4" w:space="0"/>
              <w:bottom w:val="nil"/>
              <w:right w:val="single" w:color="auto" w:sz="4" w:space="0"/>
            </w:tcBorders>
            <w:vAlign w:val="center"/>
          </w:tcPr>
          <w:p w14:paraId="300139B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32BBF88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视频调阅安全</w:t>
            </w:r>
          </w:p>
        </w:tc>
        <w:tc>
          <w:tcPr>
            <w:tcW w:w="2415" w:type="pct"/>
            <w:tcBorders>
              <w:top w:val="nil"/>
              <w:left w:val="nil"/>
              <w:bottom w:val="single" w:color="auto" w:sz="4" w:space="0"/>
              <w:right w:val="single" w:color="auto" w:sz="4" w:space="0"/>
            </w:tcBorders>
            <w:shd w:val="clear" w:color="000000" w:fill="FFFFFF"/>
            <w:vAlign w:val="center"/>
          </w:tcPr>
          <w:p w14:paraId="1DE0557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（1）若视频监控安全共享平台满足GB35114C级标准，则支持提供标准SVAC播放库，并向客户端提供安全码流解码播放能力；</w:t>
            </w:r>
          </w:p>
          <w:p w14:paraId="2974BCA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（2）若视频监控安全共享平台满足GB35114C级标准，则支持接入具备SVAC2.0解密能力的解码器，并实现SVAC2.0码流解码上墙；</w:t>
            </w:r>
          </w:p>
          <w:p w14:paraId="75F70CD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（3）若视频监控安全共享平台满足GB35114C级标准，则支持为视频客户端、解码器、视频级联平台等视频调阅应用提供SVAC码流转分发能力</w:t>
            </w:r>
          </w:p>
        </w:tc>
        <w:tc>
          <w:tcPr>
            <w:tcW w:w="234" w:type="pct"/>
            <w:tcBorders>
              <w:top w:val="nil"/>
              <w:left w:val="nil"/>
              <w:bottom w:val="single" w:color="auto" w:sz="4" w:space="0"/>
              <w:right w:val="single" w:color="auto" w:sz="4" w:space="0"/>
            </w:tcBorders>
            <w:shd w:val="clear" w:color="auto" w:fill="auto"/>
            <w:vAlign w:val="center"/>
          </w:tcPr>
          <w:p w14:paraId="3414DCF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1BC6189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32D47F6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5373B7D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31EB724">
        <w:tblPrEx>
          <w:tblCellMar>
            <w:top w:w="0" w:type="dxa"/>
            <w:left w:w="108" w:type="dxa"/>
            <w:bottom w:w="0" w:type="dxa"/>
            <w:right w:w="108" w:type="dxa"/>
          </w:tblCellMar>
        </w:tblPrEx>
        <w:trPr>
          <w:trHeight w:val="730"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2F2B275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12</w:t>
            </w:r>
          </w:p>
        </w:tc>
        <w:tc>
          <w:tcPr>
            <w:tcW w:w="228" w:type="pct"/>
            <w:vMerge w:val="continue"/>
            <w:tcBorders>
              <w:top w:val="nil"/>
              <w:left w:val="single" w:color="auto" w:sz="4" w:space="0"/>
              <w:bottom w:val="nil"/>
              <w:right w:val="single" w:color="auto" w:sz="4" w:space="0"/>
            </w:tcBorders>
            <w:vAlign w:val="center"/>
          </w:tcPr>
          <w:p w14:paraId="3F98C85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251E472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加密视频下载导出</w:t>
            </w:r>
          </w:p>
        </w:tc>
        <w:tc>
          <w:tcPr>
            <w:tcW w:w="2415" w:type="pct"/>
            <w:tcBorders>
              <w:top w:val="nil"/>
              <w:left w:val="nil"/>
              <w:bottom w:val="single" w:color="auto" w:sz="4" w:space="0"/>
              <w:right w:val="single" w:color="auto" w:sz="4" w:space="0"/>
            </w:tcBorders>
            <w:shd w:val="clear" w:color="auto" w:fill="auto"/>
          </w:tcPr>
          <w:p w14:paraId="07CA79D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（1）若视频监控安全共享平台满足GB35114C级标准，则支持分别进行密钥不变和密钥变换的历史和实时加密视频下载，支持本域和跨域场景。</w:t>
            </w:r>
          </w:p>
          <w:p w14:paraId="5AE4BCD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若视频监控安全共享平台满足GB35114C级标准，则支持通过安全存储介质（如安全USBKey）导出加密视频，导出时支持更换视频密钥加密密钥，并对导出视频进行播放次数、时间等播放权限的授权，相关播放权限写入到存储介质的安全芯片中。</w:t>
            </w:r>
          </w:p>
        </w:tc>
        <w:tc>
          <w:tcPr>
            <w:tcW w:w="234" w:type="pct"/>
            <w:tcBorders>
              <w:top w:val="nil"/>
              <w:left w:val="nil"/>
              <w:bottom w:val="single" w:color="auto" w:sz="4" w:space="0"/>
              <w:right w:val="single" w:color="auto" w:sz="4" w:space="0"/>
            </w:tcBorders>
            <w:shd w:val="clear" w:color="auto" w:fill="auto"/>
            <w:vAlign w:val="center"/>
          </w:tcPr>
          <w:p w14:paraId="4E0A1B7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6B8C3A9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5F3814D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7916B11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一套支持50台电脑授权</w:t>
            </w:r>
          </w:p>
        </w:tc>
      </w:tr>
      <w:tr w14:paraId="16A5C180">
        <w:tblPrEx>
          <w:tblCellMar>
            <w:top w:w="0" w:type="dxa"/>
            <w:left w:w="108" w:type="dxa"/>
            <w:bottom w:w="0" w:type="dxa"/>
            <w:right w:w="108" w:type="dxa"/>
          </w:tblCellMar>
        </w:tblPrEx>
        <w:trPr>
          <w:trHeight w:val="246"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2EE4CC2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13</w:t>
            </w:r>
          </w:p>
        </w:tc>
        <w:tc>
          <w:tcPr>
            <w:tcW w:w="228" w:type="pct"/>
            <w:vMerge w:val="continue"/>
            <w:tcBorders>
              <w:top w:val="nil"/>
              <w:left w:val="single" w:color="auto" w:sz="4" w:space="0"/>
              <w:bottom w:val="nil"/>
              <w:right w:val="single" w:color="auto" w:sz="4" w:space="0"/>
            </w:tcBorders>
            <w:vAlign w:val="center"/>
          </w:tcPr>
          <w:p w14:paraId="03C18BE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35C66EC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离线加密视频播放</w:t>
            </w:r>
          </w:p>
        </w:tc>
        <w:tc>
          <w:tcPr>
            <w:tcW w:w="2415" w:type="pct"/>
            <w:tcBorders>
              <w:top w:val="nil"/>
              <w:left w:val="nil"/>
              <w:bottom w:val="single" w:color="auto" w:sz="4" w:space="0"/>
              <w:right w:val="single" w:color="auto" w:sz="4" w:space="0"/>
            </w:tcBorders>
            <w:shd w:val="clear" w:color="auto" w:fill="auto"/>
            <w:vAlign w:val="center"/>
          </w:tcPr>
          <w:p w14:paraId="180EAA9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若视频监控安全共享平台满足GB35114C级标准，则支持将通过安全存储介质（如安全USBKey）导出的离线加密视频文件进行预览播放</w:t>
            </w:r>
          </w:p>
        </w:tc>
        <w:tc>
          <w:tcPr>
            <w:tcW w:w="234" w:type="pct"/>
            <w:tcBorders>
              <w:top w:val="nil"/>
              <w:left w:val="nil"/>
              <w:bottom w:val="single" w:color="auto" w:sz="4" w:space="0"/>
              <w:right w:val="single" w:color="auto" w:sz="4" w:space="0"/>
            </w:tcBorders>
            <w:shd w:val="clear" w:color="auto" w:fill="auto"/>
            <w:vAlign w:val="center"/>
          </w:tcPr>
          <w:p w14:paraId="1A78C19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6FC4A56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0952D32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73A3F50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27DE7F0">
        <w:tblPrEx>
          <w:tblCellMar>
            <w:top w:w="0" w:type="dxa"/>
            <w:left w:w="108" w:type="dxa"/>
            <w:bottom w:w="0" w:type="dxa"/>
            <w:right w:w="108" w:type="dxa"/>
          </w:tblCellMar>
        </w:tblPrEx>
        <w:trPr>
          <w:trHeight w:val="683"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3E56BAE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14</w:t>
            </w:r>
          </w:p>
        </w:tc>
        <w:tc>
          <w:tcPr>
            <w:tcW w:w="228"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E357FE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电子地图</w:t>
            </w:r>
          </w:p>
        </w:tc>
        <w:tc>
          <w:tcPr>
            <w:tcW w:w="627" w:type="pct"/>
            <w:tcBorders>
              <w:top w:val="nil"/>
              <w:left w:val="nil"/>
              <w:bottom w:val="single" w:color="auto" w:sz="4" w:space="0"/>
              <w:right w:val="single" w:color="auto" w:sz="4" w:space="0"/>
            </w:tcBorders>
            <w:shd w:val="clear" w:color="auto" w:fill="auto"/>
            <w:vAlign w:val="center"/>
          </w:tcPr>
          <w:p w14:paraId="1630465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地图功能</w:t>
            </w:r>
          </w:p>
        </w:tc>
        <w:tc>
          <w:tcPr>
            <w:tcW w:w="2415" w:type="pct"/>
            <w:tcBorders>
              <w:top w:val="nil"/>
              <w:left w:val="nil"/>
              <w:bottom w:val="single" w:color="auto" w:sz="4" w:space="0"/>
              <w:right w:val="single" w:color="auto" w:sz="4" w:space="0"/>
            </w:tcBorders>
            <w:shd w:val="clear" w:color="auto" w:fill="auto"/>
            <w:vAlign w:val="center"/>
          </w:tcPr>
          <w:p w14:paraId="4BAD068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（1）支持对地图进行移动、缩放、重置等基本操作。</w:t>
            </w:r>
          </w:p>
          <w:p w14:paraId="0094B1F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（2）支持通过框选、圆形选、点选、多边形选、线选绘制区域，快速查询地图上绘制区域范围内的资源。支持多次绘制取交集、并集、差集，支持绘制结束后展示设备和场所。</w:t>
            </w:r>
          </w:p>
          <w:p w14:paraId="3BEDAC2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（3）支持在地图上显示或隐藏设备。</w:t>
            </w:r>
          </w:p>
          <w:p w14:paraId="3BE49CA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（4）支持对地图上某段路段进行距离测量或对某区域进行面积测量。</w:t>
            </w:r>
          </w:p>
          <w:p w14:paraId="36690F3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（5）支持地图的全屏显示。</w:t>
            </w:r>
          </w:p>
        </w:tc>
        <w:tc>
          <w:tcPr>
            <w:tcW w:w="234" w:type="pct"/>
            <w:tcBorders>
              <w:top w:val="nil"/>
              <w:left w:val="nil"/>
              <w:bottom w:val="single" w:color="auto" w:sz="4" w:space="0"/>
              <w:right w:val="single" w:color="auto" w:sz="4" w:space="0"/>
            </w:tcBorders>
            <w:shd w:val="clear" w:color="auto" w:fill="auto"/>
            <w:vAlign w:val="center"/>
          </w:tcPr>
          <w:p w14:paraId="29002DE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121030D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7B71116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760DB6D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40E761D">
        <w:tblPrEx>
          <w:tblCellMar>
            <w:top w:w="0" w:type="dxa"/>
            <w:left w:w="108" w:type="dxa"/>
            <w:bottom w:w="0" w:type="dxa"/>
            <w:right w:w="108" w:type="dxa"/>
          </w:tblCellMar>
        </w:tblPrEx>
        <w:trPr>
          <w:trHeight w:val="488"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3ECA9B9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15</w:t>
            </w:r>
          </w:p>
        </w:tc>
        <w:tc>
          <w:tcPr>
            <w:tcW w:w="228" w:type="pct"/>
            <w:vMerge w:val="continue"/>
            <w:tcBorders>
              <w:top w:val="single" w:color="auto" w:sz="4" w:space="0"/>
              <w:left w:val="single" w:color="auto" w:sz="4" w:space="0"/>
              <w:bottom w:val="single" w:color="000000" w:sz="4" w:space="0"/>
              <w:right w:val="single" w:color="auto" w:sz="4" w:space="0"/>
            </w:tcBorders>
            <w:vAlign w:val="center"/>
          </w:tcPr>
          <w:p w14:paraId="457EF17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39C103B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资源查询</w:t>
            </w:r>
          </w:p>
        </w:tc>
        <w:tc>
          <w:tcPr>
            <w:tcW w:w="2415" w:type="pct"/>
            <w:tcBorders>
              <w:top w:val="nil"/>
              <w:left w:val="nil"/>
              <w:bottom w:val="single" w:color="auto" w:sz="4" w:space="0"/>
              <w:right w:val="single" w:color="auto" w:sz="4" w:space="0"/>
            </w:tcBorders>
            <w:shd w:val="clear" w:color="auto" w:fill="auto"/>
            <w:vAlign w:val="center"/>
          </w:tcPr>
          <w:p w14:paraId="6A7F443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（1）支持以点位形式展示设备与场所。支持通过资源目录、关键字、标签、区域绘制查询资源。</w:t>
            </w:r>
          </w:p>
          <w:p w14:paraId="7ADB939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（2）支持在地图上展示有经纬度信息的所有点位资源。支持通过聚合方式来展示不同地图级别下的设备资源，支持展示所选中设备的基本信息，包含：所属组织、监控点类型、资源编号、经纬度等。</w:t>
            </w:r>
          </w:p>
        </w:tc>
        <w:tc>
          <w:tcPr>
            <w:tcW w:w="234" w:type="pct"/>
            <w:tcBorders>
              <w:top w:val="nil"/>
              <w:left w:val="nil"/>
              <w:bottom w:val="single" w:color="auto" w:sz="4" w:space="0"/>
              <w:right w:val="single" w:color="auto" w:sz="4" w:space="0"/>
            </w:tcBorders>
            <w:shd w:val="clear" w:color="auto" w:fill="auto"/>
            <w:vAlign w:val="center"/>
          </w:tcPr>
          <w:p w14:paraId="2D46CF7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09315AF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3243C11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42301C8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1781E2C3">
        <w:tblPrEx>
          <w:tblCellMar>
            <w:top w:w="0" w:type="dxa"/>
            <w:left w:w="108" w:type="dxa"/>
            <w:bottom w:w="0" w:type="dxa"/>
            <w:right w:w="108" w:type="dxa"/>
          </w:tblCellMar>
        </w:tblPrEx>
        <w:trPr>
          <w:trHeight w:val="488"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717C93B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16</w:t>
            </w:r>
          </w:p>
        </w:tc>
        <w:tc>
          <w:tcPr>
            <w:tcW w:w="228" w:type="pct"/>
            <w:vMerge w:val="continue"/>
            <w:tcBorders>
              <w:top w:val="single" w:color="auto" w:sz="4" w:space="0"/>
              <w:left w:val="single" w:color="auto" w:sz="4" w:space="0"/>
              <w:bottom w:val="single" w:color="000000" w:sz="4" w:space="0"/>
              <w:right w:val="single" w:color="auto" w:sz="4" w:space="0"/>
            </w:tcBorders>
            <w:vAlign w:val="center"/>
          </w:tcPr>
          <w:p w14:paraId="67B0CB0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6615EAC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工具箱</w:t>
            </w:r>
          </w:p>
        </w:tc>
        <w:tc>
          <w:tcPr>
            <w:tcW w:w="2415" w:type="pct"/>
            <w:tcBorders>
              <w:top w:val="nil"/>
              <w:left w:val="nil"/>
              <w:bottom w:val="single" w:color="auto" w:sz="4" w:space="0"/>
              <w:right w:val="single" w:color="auto" w:sz="4" w:space="0"/>
            </w:tcBorders>
            <w:shd w:val="clear" w:color="auto" w:fill="auto"/>
            <w:vAlign w:val="center"/>
          </w:tcPr>
          <w:p w14:paraId="074899F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（1）网格规划</w:t>
            </w:r>
          </w:p>
          <w:p w14:paraId="0B957A5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支持绘制多边形、缓冲区网格，支持设置缓冲区网格线宽。支持添加、删除、上传、编辑网格分组。</w:t>
            </w:r>
          </w:p>
          <w:p w14:paraId="253A70E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（2）视域联动</w:t>
            </w:r>
          </w:p>
          <w:p w14:paraId="2871703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支持批量调整前端相机可视域，控制可视域相机同时朝向某一个位置，全方位锁定目标的位置。</w:t>
            </w:r>
          </w:p>
        </w:tc>
        <w:tc>
          <w:tcPr>
            <w:tcW w:w="234" w:type="pct"/>
            <w:tcBorders>
              <w:top w:val="nil"/>
              <w:left w:val="nil"/>
              <w:bottom w:val="single" w:color="auto" w:sz="4" w:space="0"/>
              <w:right w:val="single" w:color="auto" w:sz="4" w:space="0"/>
            </w:tcBorders>
            <w:shd w:val="clear" w:color="auto" w:fill="auto"/>
            <w:vAlign w:val="center"/>
          </w:tcPr>
          <w:p w14:paraId="01EB98A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1ECFD22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0BA0F6D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5071484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F2F2B12">
        <w:tblPrEx>
          <w:tblCellMar>
            <w:top w:w="0" w:type="dxa"/>
            <w:left w:w="108" w:type="dxa"/>
            <w:bottom w:w="0" w:type="dxa"/>
            <w:right w:w="108" w:type="dxa"/>
          </w:tblCellMar>
        </w:tblPrEx>
        <w:trPr>
          <w:trHeight w:val="207" w:hRule="atLeast"/>
        </w:trPr>
        <w:tc>
          <w:tcPr>
            <w:tcW w:w="247" w:type="pct"/>
            <w:tcBorders>
              <w:top w:val="nil"/>
              <w:left w:val="single" w:color="auto" w:sz="4" w:space="0"/>
              <w:bottom w:val="single" w:color="auto" w:sz="4" w:space="0"/>
              <w:right w:val="single" w:color="auto" w:sz="4" w:space="0"/>
            </w:tcBorders>
            <w:shd w:val="clear" w:color="auto" w:fill="auto"/>
            <w:vAlign w:val="center"/>
          </w:tcPr>
          <w:p w14:paraId="7AF9CA8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17</w:t>
            </w:r>
          </w:p>
        </w:tc>
        <w:tc>
          <w:tcPr>
            <w:tcW w:w="228" w:type="pct"/>
            <w:vMerge w:val="continue"/>
            <w:tcBorders>
              <w:top w:val="single" w:color="auto" w:sz="4" w:space="0"/>
              <w:left w:val="single" w:color="auto" w:sz="4" w:space="0"/>
              <w:bottom w:val="single" w:color="000000" w:sz="4" w:space="0"/>
              <w:right w:val="single" w:color="auto" w:sz="4" w:space="0"/>
            </w:tcBorders>
            <w:vAlign w:val="center"/>
          </w:tcPr>
          <w:p w14:paraId="71E3978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p>
        </w:tc>
        <w:tc>
          <w:tcPr>
            <w:tcW w:w="627" w:type="pct"/>
            <w:tcBorders>
              <w:top w:val="nil"/>
              <w:left w:val="nil"/>
              <w:bottom w:val="nil"/>
              <w:right w:val="single" w:color="auto" w:sz="4" w:space="0"/>
            </w:tcBorders>
            <w:shd w:val="clear" w:color="auto" w:fill="auto"/>
            <w:vAlign w:val="center"/>
          </w:tcPr>
          <w:p w14:paraId="12C5E4C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35114C级资源预览回放</w:t>
            </w:r>
          </w:p>
        </w:tc>
        <w:tc>
          <w:tcPr>
            <w:tcW w:w="2415" w:type="pct"/>
            <w:tcBorders>
              <w:top w:val="nil"/>
              <w:left w:val="nil"/>
              <w:bottom w:val="nil"/>
              <w:right w:val="single" w:color="auto" w:sz="4" w:space="0"/>
            </w:tcBorders>
            <w:shd w:val="clear" w:color="auto" w:fill="auto"/>
            <w:vAlign w:val="center"/>
          </w:tcPr>
          <w:p w14:paraId="3941115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若视频监控安全共享平台满足GB35114C级标准，则支持在电子地图中播放GB35114C级点位的视频</w:t>
            </w:r>
          </w:p>
        </w:tc>
        <w:tc>
          <w:tcPr>
            <w:tcW w:w="234" w:type="pct"/>
            <w:tcBorders>
              <w:top w:val="nil"/>
              <w:left w:val="nil"/>
              <w:bottom w:val="nil"/>
              <w:right w:val="single" w:color="auto" w:sz="4" w:space="0"/>
            </w:tcBorders>
            <w:shd w:val="clear" w:color="auto" w:fill="auto"/>
            <w:vAlign w:val="center"/>
          </w:tcPr>
          <w:p w14:paraId="7D43A62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nil"/>
              <w:right w:val="single" w:color="auto" w:sz="4" w:space="0"/>
            </w:tcBorders>
            <w:shd w:val="clear" w:color="auto" w:fill="auto"/>
            <w:vAlign w:val="center"/>
          </w:tcPr>
          <w:p w14:paraId="781EBB5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19F3D6B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nil"/>
              <w:right w:val="single" w:color="auto" w:sz="4" w:space="0"/>
            </w:tcBorders>
            <w:shd w:val="clear" w:color="auto" w:fill="auto"/>
            <w:vAlign w:val="center"/>
          </w:tcPr>
          <w:p w14:paraId="362C4D3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52CD274">
        <w:tblPrEx>
          <w:tblCellMar>
            <w:top w:w="0" w:type="dxa"/>
            <w:left w:w="108" w:type="dxa"/>
            <w:bottom w:w="0" w:type="dxa"/>
            <w:right w:w="108" w:type="dxa"/>
          </w:tblCellMar>
        </w:tblPrEx>
        <w:trPr>
          <w:trHeight w:val="90" w:hRule="atLeast"/>
        </w:trPr>
        <w:tc>
          <w:tcPr>
            <w:tcW w:w="4125" w:type="pct"/>
            <w:gridSpan w:val="6"/>
            <w:tcBorders>
              <w:top w:val="single" w:color="auto" w:sz="4" w:space="0"/>
              <w:left w:val="single" w:color="auto" w:sz="4" w:space="0"/>
              <w:bottom w:val="single" w:color="auto" w:sz="4" w:space="0"/>
              <w:right w:val="single" w:color="auto" w:sz="4" w:space="0"/>
            </w:tcBorders>
            <w:shd w:val="clear" w:color="auto" w:fill="auto"/>
            <w:vAlign w:val="center"/>
          </w:tcPr>
          <w:p w14:paraId="4F8E852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小计</w:t>
            </w:r>
          </w:p>
        </w:tc>
        <w:tc>
          <w:tcPr>
            <w:tcW w:w="228" w:type="pct"/>
            <w:tcBorders>
              <w:top w:val="nil"/>
              <w:left w:val="nil"/>
              <w:bottom w:val="single" w:color="auto" w:sz="4" w:space="0"/>
              <w:right w:val="single" w:color="auto" w:sz="4" w:space="0"/>
            </w:tcBorders>
            <w:shd w:val="clear" w:color="auto" w:fill="auto"/>
            <w:vAlign w:val="center"/>
          </w:tcPr>
          <w:p w14:paraId="6AD6CD6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645" w:type="pct"/>
            <w:tcBorders>
              <w:top w:val="single" w:color="auto" w:sz="4" w:space="0"/>
              <w:left w:val="nil"/>
              <w:bottom w:val="single" w:color="auto" w:sz="4" w:space="0"/>
              <w:right w:val="single" w:color="auto" w:sz="4" w:space="0"/>
            </w:tcBorders>
            <w:shd w:val="clear" w:color="auto" w:fill="auto"/>
            <w:vAlign w:val="center"/>
          </w:tcPr>
          <w:p w14:paraId="6EEA6BD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82218D9">
        <w:tblPrEx>
          <w:tblCellMar>
            <w:top w:w="0" w:type="dxa"/>
            <w:left w:w="108" w:type="dxa"/>
            <w:bottom w:w="0" w:type="dxa"/>
            <w:right w:w="108" w:type="dxa"/>
          </w:tblCellMar>
        </w:tblPrEx>
        <w:trPr>
          <w:trHeight w:val="90" w:hRule="atLeast"/>
        </w:trPr>
        <w:tc>
          <w:tcPr>
            <w:tcW w:w="4125" w:type="pct"/>
            <w:gridSpan w:val="6"/>
            <w:tcBorders>
              <w:top w:val="single" w:color="auto" w:sz="4" w:space="0"/>
              <w:left w:val="single" w:color="auto" w:sz="4" w:space="0"/>
              <w:bottom w:val="single" w:color="auto" w:sz="4" w:space="0"/>
              <w:right w:val="single" w:color="000000" w:sz="4" w:space="0"/>
            </w:tcBorders>
            <w:shd w:val="clear" w:color="auto" w:fill="auto"/>
            <w:vAlign w:val="center"/>
          </w:tcPr>
          <w:p w14:paraId="08C91F0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（2） 视频安全密码部件</w:t>
            </w:r>
          </w:p>
        </w:tc>
        <w:tc>
          <w:tcPr>
            <w:tcW w:w="228" w:type="pct"/>
            <w:tcBorders>
              <w:top w:val="nil"/>
              <w:left w:val="nil"/>
              <w:bottom w:val="single" w:color="auto" w:sz="4" w:space="0"/>
              <w:right w:val="single" w:color="auto" w:sz="4" w:space="0"/>
            </w:tcBorders>
            <w:shd w:val="clear" w:color="auto" w:fill="auto"/>
            <w:vAlign w:val="center"/>
          </w:tcPr>
          <w:p w14:paraId="6DA6E70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b/>
                <w:bCs/>
                <w:color w:val="FFFFFF"/>
                <w:kern w:val="0"/>
                <w:sz w:val="18"/>
                <w:szCs w:val="18"/>
              </w:rPr>
            </w:pPr>
            <w:r>
              <w:rPr>
                <w:rFonts w:hint="eastAsia" w:ascii="微软雅黑" w:hAnsi="微软雅黑" w:eastAsia="微软雅黑" w:cs="宋体"/>
                <w:b/>
                <w:bCs/>
                <w:color w:val="FFFFFF"/>
                <w:kern w:val="0"/>
                <w:sz w:val="18"/>
                <w:szCs w:val="18"/>
              </w:rPr>
              <w:t>　</w:t>
            </w:r>
          </w:p>
        </w:tc>
        <w:tc>
          <w:tcPr>
            <w:tcW w:w="645" w:type="pct"/>
            <w:tcBorders>
              <w:top w:val="nil"/>
              <w:left w:val="nil"/>
              <w:bottom w:val="single" w:color="auto" w:sz="4" w:space="0"/>
              <w:right w:val="single" w:color="auto" w:sz="4" w:space="0"/>
            </w:tcBorders>
            <w:shd w:val="clear" w:color="auto" w:fill="auto"/>
            <w:vAlign w:val="center"/>
          </w:tcPr>
          <w:p w14:paraId="0627420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b/>
                <w:bCs/>
                <w:color w:val="FFFFFF"/>
                <w:kern w:val="0"/>
                <w:sz w:val="18"/>
                <w:szCs w:val="18"/>
              </w:rPr>
            </w:pPr>
            <w:r>
              <w:rPr>
                <w:rFonts w:hint="eastAsia" w:ascii="微软雅黑" w:hAnsi="微软雅黑" w:eastAsia="微软雅黑" w:cs="宋体"/>
                <w:b/>
                <w:bCs/>
                <w:color w:val="FFFFFF"/>
                <w:kern w:val="0"/>
                <w:sz w:val="18"/>
                <w:szCs w:val="18"/>
              </w:rPr>
              <w:t>　</w:t>
            </w:r>
          </w:p>
        </w:tc>
      </w:tr>
      <w:tr w14:paraId="2AD0F36E">
        <w:tblPrEx>
          <w:tblCellMar>
            <w:top w:w="0" w:type="dxa"/>
            <w:left w:w="108" w:type="dxa"/>
            <w:bottom w:w="0" w:type="dxa"/>
            <w:right w:w="108" w:type="dxa"/>
          </w:tblCellMar>
        </w:tblPrEx>
        <w:trPr>
          <w:trHeight w:val="811"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7527FCF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vMerge w:val="restart"/>
            <w:tcBorders>
              <w:top w:val="nil"/>
              <w:left w:val="single" w:color="auto" w:sz="4" w:space="0"/>
              <w:bottom w:val="single" w:color="auto" w:sz="4" w:space="0"/>
              <w:right w:val="single" w:color="auto" w:sz="4" w:space="0"/>
            </w:tcBorders>
            <w:shd w:val="clear" w:color="auto" w:fill="auto"/>
            <w:vAlign w:val="center"/>
          </w:tcPr>
          <w:p w14:paraId="7056FAB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设备认证</w:t>
            </w:r>
          </w:p>
        </w:tc>
        <w:tc>
          <w:tcPr>
            <w:tcW w:w="627" w:type="pct"/>
            <w:tcBorders>
              <w:top w:val="nil"/>
              <w:left w:val="nil"/>
              <w:bottom w:val="single" w:color="auto" w:sz="4" w:space="0"/>
              <w:right w:val="single" w:color="auto" w:sz="4" w:space="0"/>
            </w:tcBorders>
            <w:shd w:val="clear" w:color="auto" w:fill="auto"/>
            <w:vAlign w:val="center"/>
          </w:tcPr>
          <w:p w14:paraId="384523F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xml:space="preserve">设备接入安全 </w:t>
            </w:r>
          </w:p>
        </w:tc>
        <w:tc>
          <w:tcPr>
            <w:tcW w:w="2415" w:type="pct"/>
            <w:tcBorders>
              <w:top w:val="nil"/>
              <w:left w:val="nil"/>
              <w:bottom w:val="single" w:color="auto" w:sz="4" w:space="0"/>
              <w:right w:val="single" w:color="auto" w:sz="4" w:space="0"/>
            </w:tcBorders>
            <w:shd w:val="clear" w:color="auto" w:fill="auto"/>
            <w:vAlign w:val="center"/>
          </w:tcPr>
          <w:p w14:paraId="2D0FDC5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（1）支持SM2、SM3、SM4等国密算法</w:t>
            </w:r>
          </w:p>
          <w:p w14:paraId="13DCAEB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（2）支持获取管理相关GB35114 设备证书信息</w:t>
            </w:r>
          </w:p>
          <w:p w14:paraId="65CF2BF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（3）支持GB35114 设备接入</w:t>
            </w:r>
          </w:p>
          <w:p w14:paraId="50C015B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（4）提供符合GB35114标准要求的基于数字证书的前端设备接入认证功能，用于前端设备身份的鉴定</w:t>
            </w:r>
          </w:p>
          <w:p w14:paraId="27B6A85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（5）支持GB35114 设备控制信令交互及设备信息管理</w:t>
            </w:r>
          </w:p>
          <w:p w14:paraId="496A612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（6）提供符合GB35114标准要求的SIP控制信令认证功能，实现与满足GB35114要求的前端设备之间的SIP信令处理认证和SIP路由</w:t>
            </w:r>
          </w:p>
        </w:tc>
        <w:tc>
          <w:tcPr>
            <w:tcW w:w="234" w:type="pct"/>
            <w:tcBorders>
              <w:top w:val="nil"/>
              <w:left w:val="nil"/>
              <w:bottom w:val="single" w:color="auto" w:sz="4" w:space="0"/>
              <w:right w:val="single" w:color="auto" w:sz="4" w:space="0"/>
            </w:tcBorders>
            <w:shd w:val="clear" w:color="auto" w:fill="auto"/>
            <w:vAlign w:val="center"/>
          </w:tcPr>
          <w:p w14:paraId="2DC584F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6DB4698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7C129B2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36B04DB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88292DA">
        <w:tblPrEx>
          <w:tblCellMar>
            <w:top w:w="0" w:type="dxa"/>
            <w:left w:w="108" w:type="dxa"/>
            <w:bottom w:w="0" w:type="dxa"/>
            <w:right w:w="108" w:type="dxa"/>
          </w:tblCellMar>
        </w:tblPrEx>
        <w:trPr>
          <w:trHeight w:val="891"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3DB8643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228" w:type="pct"/>
            <w:vMerge w:val="continue"/>
            <w:tcBorders>
              <w:top w:val="nil"/>
              <w:left w:val="single" w:color="auto" w:sz="4" w:space="0"/>
              <w:bottom w:val="single" w:color="auto" w:sz="4" w:space="0"/>
              <w:right w:val="single" w:color="auto" w:sz="4" w:space="0"/>
            </w:tcBorders>
            <w:vAlign w:val="center"/>
          </w:tcPr>
          <w:p w14:paraId="1CC884E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6C64AEC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系统接入安全</w:t>
            </w:r>
          </w:p>
        </w:tc>
        <w:tc>
          <w:tcPr>
            <w:tcW w:w="2415" w:type="pct"/>
            <w:tcBorders>
              <w:top w:val="nil"/>
              <w:left w:val="nil"/>
              <w:bottom w:val="single" w:color="auto" w:sz="4" w:space="0"/>
              <w:right w:val="single" w:color="auto" w:sz="4" w:space="0"/>
            </w:tcBorders>
            <w:shd w:val="clear" w:color="auto" w:fill="auto"/>
            <w:vAlign w:val="center"/>
          </w:tcPr>
          <w:p w14:paraId="4015CEF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（1）支持SM2、SM3、SM4等国密算法</w:t>
            </w:r>
          </w:p>
          <w:p w14:paraId="4DACD0D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（2）支持导入管理相关GB35114 平台的相关证书（CA证书、签名证书、加密证书）信息</w:t>
            </w:r>
          </w:p>
          <w:p w14:paraId="6410659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（3）支持GB35114 平台接入</w:t>
            </w:r>
          </w:p>
          <w:p w14:paraId="3C17595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（4）提供符合GB35114标准要求的基于数字证书的平台接入认证功能，用于平台身份的鉴定</w:t>
            </w:r>
          </w:p>
          <w:p w14:paraId="4E02A61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（5）支持GB35114 平台控制信令交互及设备信息管理</w:t>
            </w:r>
          </w:p>
          <w:p w14:paraId="6AA2787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（6）提供符合GB35114标准要求的SIP控制信令认证功能，实现与满足GB35114要求的平台之间的SIP信令处理认证和SIP路由</w:t>
            </w:r>
          </w:p>
        </w:tc>
        <w:tc>
          <w:tcPr>
            <w:tcW w:w="234" w:type="pct"/>
            <w:tcBorders>
              <w:top w:val="nil"/>
              <w:left w:val="nil"/>
              <w:bottom w:val="single" w:color="auto" w:sz="4" w:space="0"/>
              <w:right w:val="single" w:color="auto" w:sz="4" w:space="0"/>
            </w:tcBorders>
            <w:shd w:val="clear" w:color="auto" w:fill="auto"/>
            <w:vAlign w:val="center"/>
          </w:tcPr>
          <w:p w14:paraId="55F4FBA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77BAB9A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4EFBEEE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3270A10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E2A5C67">
        <w:tblPrEx>
          <w:tblCellMar>
            <w:top w:w="0" w:type="dxa"/>
            <w:left w:w="108" w:type="dxa"/>
            <w:bottom w:w="0" w:type="dxa"/>
            <w:right w:w="108" w:type="dxa"/>
          </w:tblCellMar>
        </w:tblPrEx>
        <w:trPr>
          <w:trHeight w:val="488"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2CB59EE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w:t>
            </w:r>
          </w:p>
        </w:tc>
        <w:tc>
          <w:tcPr>
            <w:tcW w:w="228" w:type="pct"/>
            <w:vMerge w:val="continue"/>
            <w:tcBorders>
              <w:top w:val="nil"/>
              <w:left w:val="single" w:color="auto" w:sz="4" w:space="0"/>
              <w:bottom w:val="single" w:color="auto" w:sz="4" w:space="0"/>
              <w:right w:val="single" w:color="auto" w:sz="4" w:space="0"/>
            </w:tcBorders>
            <w:vAlign w:val="center"/>
          </w:tcPr>
          <w:p w14:paraId="4862F38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75665CC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资源数据开放</w:t>
            </w:r>
          </w:p>
        </w:tc>
        <w:tc>
          <w:tcPr>
            <w:tcW w:w="2415" w:type="pct"/>
            <w:tcBorders>
              <w:top w:val="nil"/>
              <w:left w:val="nil"/>
              <w:bottom w:val="single" w:color="auto" w:sz="4" w:space="0"/>
              <w:right w:val="single" w:color="auto" w:sz="4" w:space="0"/>
            </w:tcBorders>
            <w:shd w:val="clear" w:color="auto" w:fill="auto"/>
          </w:tcPr>
          <w:p w14:paraId="1A7A6DE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（1）支持将接入的GB35114设备资源数据通过开放接口或标准协议（GB35114或GB28181）对外开放共享</w:t>
            </w:r>
          </w:p>
          <w:p w14:paraId="13AEFA0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（2）支持将接入的非GB35114设备资源数据通过GB35114协议对外开放共享</w:t>
            </w:r>
          </w:p>
        </w:tc>
        <w:tc>
          <w:tcPr>
            <w:tcW w:w="234" w:type="pct"/>
            <w:tcBorders>
              <w:top w:val="nil"/>
              <w:left w:val="nil"/>
              <w:bottom w:val="single" w:color="auto" w:sz="4" w:space="0"/>
              <w:right w:val="single" w:color="auto" w:sz="4" w:space="0"/>
            </w:tcBorders>
            <w:shd w:val="clear" w:color="auto" w:fill="auto"/>
            <w:vAlign w:val="center"/>
          </w:tcPr>
          <w:p w14:paraId="09A47FD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0C41555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7D64950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3B17B30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F9150DC">
        <w:tblPrEx>
          <w:tblCellMar>
            <w:top w:w="0" w:type="dxa"/>
            <w:left w:w="108" w:type="dxa"/>
            <w:bottom w:w="0" w:type="dxa"/>
            <w:right w:w="108" w:type="dxa"/>
          </w:tblCellMar>
        </w:tblPrEx>
        <w:trPr>
          <w:trHeight w:val="488"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1631EBE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w:t>
            </w:r>
          </w:p>
        </w:tc>
        <w:tc>
          <w:tcPr>
            <w:tcW w:w="228" w:type="pct"/>
            <w:vMerge w:val="continue"/>
            <w:tcBorders>
              <w:top w:val="nil"/>
              <w:left w:val="single" w:color="auto" w:sz="4" w:space="0"/>
              <w:bottom w:val="single" w:color="auto" w:sz="4" w:space="0"/>
              <w:right w:val="single" w:color="auto" w:sz="4" w:space="0"/>
            </w:tcBorders>
            <w:vAlign w:val="center"/>
          </w:tcPr>
          <w:p w14:paraId="1463B2B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421540E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码流数据转发</w:t>
            </w:r>
          </w:p>
        </w:tc>
        <w:tc>
          <w:tcPr>
            <w:tcW w:w="2415" w:type="pct"/>
            <w:tcBorders>
              <w:top w:val="nil"/>
              <w:left w:val="nil"/>
              <w:bottom w:val="single" w:color="auto" w:sz="4" w:space="0"/>
              <w:right w:val="single" w:color="auto" w:sz="4" w:space="0"/>
            </w:tcBorders>
            <w:shd w:val="clear" w:color="000000" w:fill="FFFFFF"/>
            <w:vAlign w:val="center"/>
          </w:tcPr>
          <w:p w14:paraId="5B4CB45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1、支持将接入的GB35114A级码流数据通过标准协议（RTSP或GB35114）对外转发</w:t>
            </w:r>
          </w:p>
          <w:p w14:paraId="6459D62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2、若视频监控安全共享平台满足GB35114C级标准，则支持将接入的GB35114C级SVAC2.0加密签名码流数据通过标准协议（RTSP或GB35114）对外转发</w:t>
            </w:r>
          </w:p>
        </w:tc>
        <w:tc>
          <w:tcPr>
            <w:tcW w:w="234" w:type="pct"/>
            <w:tcBorders>
              <w:top w:val="nil"/>
              <w:left w:val="nil"/>
              <w:bottom w:val="single" w:color="auto" w:sz="4" w:space="0"/>
              <w:right w:val="single" w:color="auto" w:sz="4" w:space="0"/>
            </w:tcBorders>
            <w:shd w:val="clear" w:color="auto" w:fill="auto"/>
            <w:vAlign w:val="center"/>
          </w:tcPr>
          <w:p w14:paraId="4AE3BE2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0A9A566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57F660D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42EEB73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CCA322C">
        <w:tblPrEx>
          <w:tblCellMar>
            <w:top w:w="0" w:type="dxa"/>
            <w:left w:w="108" w:type="dxa"/>
            <w:bottom w:w="0" w:type="dxa"/>
            <w:right w:w="108" w:type="dxa"/>
          </w:tblCellMar>
        </w:tblPrEx>
        <w:trPr>
          <w:trHeight w:val="649"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0FEC984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w:t>
            </w:r>
          </w:p>
        </w:tc>
        <w:tc>
          <w:tcPr>
            <w:tcW w:w="228" w:type="pct"/>
            <w:vMerge w:val="restart"/>
            <w:tcBorders>
              <w:top w:val="nil"/>
              <w:left w:val="single" w:color="auto" w:sz="4" w:space="0"/>
              <w:bottom w:val="single" w:color="auto" w:sz="4" w:space="0"/>
              <w:right w:val="single" w:color="auto" w:sz="4" w:space="0"/>
            </w:tcBorders>
            <w:shd w:val="clear" w:color="auto" w:fill="auto"/>
            <w:vAlign w:val="center"/>
          </w:tcPr>
          <w:p w14:paraId="636C24C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客户端认证</w:t>
            </w:r>
          </w:p>
        </w:tc>
        <w:tc>
          <w:tcPr>
            <w:tcW w:w="627" w:type="pct"/>
            <w:tcBorders>
              <w:top w:val="nil"/>
              <w:left w:val="nil"/>
              <w:bottom w:val="single" w:color="auto" w:sz="4" w:space="0"/>
              <w:right w:val="single" w:color="auto" w:sz="4" w:space="0"/>
            </w:tcBorders>
            <w:shd w:val="clear" w:color="auto" w:fill="auto"/>
            <w:noWrap/>
            <w:vAlign w:val="center"/>
          </w:tcPr>
          <w:p w14:paraId="6D39D3C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用户身份认证服务</w:t>
            </w:r>
          </w:p>
        </w:tc>
        <w:tc>
          <w:tcPr>
            <w:tcW w:w="2415" w:type="pct"/>
            <w:tcBorders>
              <w:top w:val="nil"/>
              <w:left w:val="nil"/>
              <w:bottom w:val="single" w:color="auto" w:sz="4" w:space="0"/>
              <w:right w:val="single" w:color="auto" w:sz="4" w:space="0"/>
            </w:tcBorders>
            <w:shd w:val="clear" w:color="000000" w:fill="FFFFFF"/>
            <w:vAlign w:val="center"/>
          </w:tcPr>
          <w:p w14:paraId="5C0E6C1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（1）提供C/S客户端基于SIP协议的双向身份认证模式下的用户身份认证功能</w:t>
            </w:r>
          </w:p>
          <w:p w14:paraId="36EB46D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（2）支持基于GB35114标准协议的数字证书的身份认证服务</w:t>
            </w:r>
          </w:p>
          <w:p w14:paraId="489405D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（3）支持多个用户通过GB35114协议进行登录认证</w:t>
            </w:r>
          </w:p>
          <w:p w14:paraId="2BC66EF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（4）若视频监控安全共享平台满足GB35114C级标准，则支持客户端进行SVAC2.0码流解码时提供身份证书功能</w:t>
            </w:r>
          </w:p>
        </w:tc>
        <w:tc>
          <w:tcPr>
            <w:tcW w:w="234" w:type="pct"/>
            <w:tcBorders>
              <w:top w:val="nil"/>
              <w:left w:val="nil"/>
              <w:bottom w:val="single" w:color="auto" w:sz="4" w:space="0"/>
              <w:right w:val="single" w:color="auto" w:sz="4" w:space="0"/>
            </w:tcBorders>
            <w:shd w:val="clear" w:color="auto" w:fill="auto"/>
            <w:noWrap/>
            <w:vAlign w:val="center"/>
          </w:tcPr>
          <w:p w14:paraId="37A3071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4BBE977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146F1F6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63DEBEB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C695472">
        <w:tblPrEx>
          <w:tblCellMar>
            <w:top w:w="0" w:type="dxa"/>
            <w:left w:w="108" w:type="dxa"/>
            <w:bottom w:w="0" w:type="dxa"/>
            <w:right w:w="108" w:type="dxa"/>
          </w:tblCellMar>
        </w:tblPrEx>
        <w:trPr>
          <w:trHeight w:val="411"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40CB294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w:t>
            </w:r>
          </w:p>
        </w:tc>
        <w:tc>
          <w:tcPr>
            <w:tcW w:w="228" w:type="pct"/>
            <w:vMerge w:val="continue"/>
            <w:tcBorders>
              <w:top w:val="nil"/>
              <w:left w:val="single" w:color="auto" w:sz="4" w:space="0"/>
              <w:bottom w:val="single" w:color="auto" w:sz="4" w:space="0"/>
              <w:right w:val="single" w:color="auto" w:sz="4" w:space="0"/>
            </w:tcBorders>
            <w:vAlign w:val="center"/>
          </w:tcPr>
          <w:p w14:paraId="0AB2FD4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p>
        </w:tc>
        <w:tc>
          <w:tcPr>
            <w:tcW w:w="627" w:type="pct"/>
            <w:tcBorders>
              <w:top w:val="nil"/>
              <w:left w:val="nil"/>
              <w:bottom w:val="single" w:color="auto" w:sz="4" w:space="0"/>
              <w:right w:val="single" w:color="auto" w:sz="4" w:space="0"/>
            </w:tcBorders>
            <w:shd w:val="clear" w:color="auto" w:fill="auto"/>
            <w:vAlign w:val="center"/>
          </w:tcPr>
          <w:p w14:paraId="7837EA5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多种登录服务</w:t>
            </w:r>
          </w:p>
        </w:tc>
        <w:tc>
          <w:tcPr>
            <w:tcW w:w="2415" w:type="pct"/>
            <w:tcBorders>
              <w:top w:val="nil"/>
              <w:left w:val="nil"/>
              <w:bottom w:val="single" w:color="auto" w:sz="4" w:space="0"/>
              <w:right w:val="single" w:color="auto" w:sz="4" w:space="0"/>
            </w:tcBorders>
            <w:shd w:val="clear" w:color="000000" w:fill="FFFFFF"/>
            <w:vAlign w:val="center"/>
          </w:tcPr>
          <w:p w14:paraId="178128A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（1）支持Ukey的插拔检测功能</w:t>
            </w:r>
          </w:p>
          <w:p w14:paraId="3534DFA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（2）支持通过PC客户端实现GB35114标准的登录</w:t>
            </w:r>
          </w:p>
          <w:p w14:paraId="4636805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（3）支持通过账户密码或PKI认证登录</w:t>
            </w:r>
          </w:p>
          <w:p w14:paraId="53A436A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（4）支持对账户密码提供安全设置</w:t>
            </w:r>
          </w:p>
          <w:p w14:paraId="351D5FC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（5）支持对账户密码有效期设置</w:t>
            </w:r>
          </w:p>
        </w:tc>
        <w:tc>
          <w:tcPr>
            <w:tcW w:w="234" w:type="pct"/>
            <w:tcBorders>
              <w:top w:val="nil"/>
              <w:left w:val="nil"/>
              <w:bottom w:val="single" w:color="auto" w:sz="4" w:space="0"/>
              <w:right w:val="single" w:color="auto" w:sz="4" w:space="0"/>
            </w:tcBorders>
            <w:shd w:val="clear" w:color="auto" w:fill="auto"/>
            <w:noWrap/>
            <w:vAlign w:val="center"/>
          </w:tcPr>
          <w:p w14:paraId="3116A1E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7E4CA66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790CD55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软件</w:t>
            </w:r>
          </w:p>
        </w:tc>
        <w:tc>
          <w:tcPr>
            <w:tcW w:w="645" w:type="pct"/>
            <w:tcBorders>
              <w:top w:val="nil"/>
              <w:left w:val="nil"/>
              <w:bottom w:val="single" w:color="auto" w:sz="4" w:space="0"/>
              <w:right w:val="single" w:color="auto" w:sz="4" w:space="0"/>
            </w:tcBorders>
            <w:shd w:val="clear" w:color="auto" w:fill="auto"/>
            <w:vAlign w:val="center"/>
          </w:tcPr>
          <w:p w14:paraId="577BC6F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851AFCC">
        <w:tblPrEx>
          <w:tblCellMar>
            <w:top w:w="0" w:type="dxa"/>
            <w:left w:w="108" w:type="dxa"/>
            <w:bottom w:w="0" w:type="dxa"/>
            <w:right w:w="108" w:type="dxa"/>
          </w:tblCellMar>
        </w:tblPrEx>
        <w:trPr>
          <w:trHeight w:val="3539"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2519E5E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7</w:t>
            </w:r>
          </w:p>
        </w:tc>
        <w:tc>
          <w:tcPr>
            <w:tcW w:w="856" w:type="pct"/>
            <w:gridSpan w:val="2"/>
            <w:tcBorders>
              <w:top w:val="single" w:color="auto" w:sz="4" w:space="0"/>
              <w:left w:val="nil"/>
              <w:bottom w:val="nil"/>
              <w:right w:val="single" w:color="000000" w:sz="4" w:space="0"/>
            </w:tcBorders>
            <w:shd w:val="clear" w:color="auto" w:fill="auto"/>
            <w:vAlign w:val="center"/>
          </w:tcPr>
          <w:p w14:paraId="27BC953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视频证书目录&amp;视频密钥管理（国产化）</w:t>
            </w:r>
          </w:p>
        </w:tc>
        <w:tc>
          <w:tcPr>
            <w:tcW w:w="2415" w:type="pct"/>
            <w:tcBorders>
              <w:top w:val="nil"/>
              <w:left w:val="nil"/>
              <w:bottom w:val="single" w:color="auto" w:sz="4" w:space="0"/>
              <w:right w:val="single" w:color="auto" w:sz="4" w:space="0"/>
            </w:tcBorders>
            <w:shd w:val="clear" w:color="auto" w:fill="auto"/>
            <w:vAlign w:val="center"/>
          </w:tcPr>
          <w:p w14:paraId="1657409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视频证书目录</w:t>
            </w:r>
          </w:p>
          <w:p w14:paraId="5597933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（1）基础目录管理</w:t>
            </w:r>
          </w:p>
          <w:p w14:paraId="6DFDB86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1）支持目录查询、更新、复制、认证管理等功能</w:t>
            </w:r>
          </w:p>
          <w:p w14:paraId="621467A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2）支持目录同步，支持配置同步周期</w:t>
            </w:r>
          </w:p>
          <w:p w14:paraId="7A0BFBF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3）支持账号统一管理和权限访问控制管理</w:t>
            </w:r>
          </w:p>
          <w:p w14:paraId="4D1FAE2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4）支持TLS/SSL加密传输</w:t>
            </w:r>
          </w:p>
          <w:p w14:paraId="0F4638E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5）支持可视化的图形界面工具对目录资源的管理</w:t>
            </w:r>
          </w:p>
          <w:p w14:paraId="0C2A3A3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（2）视频证书管理</w:t>
            </w:r>
          </w:p>
          <w:p w14:paraId="02C316D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1）支持对视频监控系统工作对象（设备、用户、平台等）的证书发布</w:t>
            </w:r>
          </w:p>
          <w:p w14:paraId="147E884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2）支持视频证书黑名单发布</w:t>
            </w:r>
          </w:p>
          <w:p w14:paraId="374438D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3）支持视频证书更新发布</w:t>
            </w:r>
          </w:p>
          <w:p w14:paraId="0349484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4）支持视频证书及属性信息绑定管理，提供目录服务业务监控功能</w:t>
            </w:r>
          </w:p>
          <w:p w14:paraId="3387654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（3）性能参数</w:t>
            </w:r>
          </w:p>
          <w:p w14:paraId="06178E7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证书签发数：10000</w:t>
            </w:r>
          </w:p>
          <w:p w14:paraId="06070F5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证书签发速度：≥100次/秒</w:t>
            </w:r>
          </w:p>
          <w:p w14:paraId="0FCD63C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视频密钥管理</w:t>
            </w:r>
          </w:p>
          <w:p w14:paraId="3F6F296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（1）授权名单管控</w:t>
            </w:r>
          </w:p>
          <w:p w14:paraId="0E955A9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1）支持授权名单对系统全局访问调用权限进行管控</w:t>
            </w:r>
          </w:p>
          <w:p w14:paraId="4084BB5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2）支持授权名单对系统API接口调用权限进行管控</w:t>
            </w:r>
          </w:p>
          <w:p w14:paraId="129A8FB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（2）账户分级授权</w:t>
            </w:r>
          </w:p>
          <w:p w14:paraId="0A876BB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1）支持三级账户分级授权管理</w:t>
            </w:r>
          </w:p>
          <w:p w14:paraId="2D6BB02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2）支持账户管控到数据访问管理</w:t>
            </w:r>
          </w:p>
          <w:p w14:paraId="4FD61F1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3）支持账户管控到操作权限管理"</w:t>
            </w:r>
          </w:p>
          <w:p w14:paraId="7439FD1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（3）身份安全鉴别</w:t>
            </w:r>
          </w:p>
          <w:p w14:paraId="4DD0DB7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支持基于用户名口令+UKey（商密数字证书）的双因子身份认证"</w:t>
            </w:r>
          </w:p>
          <w:p w14:paraId="33790EA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（4）日志审计管理</w:t>
            </w:r>
          </w:p>
          <w:p w14:paraId="3370A91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1）支持安全操作日志记录能力</w:t>
            </w:r>
          </w:p>
          <w:p w14:paraId="12ADEE6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2）支持安全操作日志查询能力</w:t>
            </w:r>
          </w:p>
          <w:p w14:paraId="706EF10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3）支持安全操作日志审计管理能力"</w:t>
            </w:r>
          </w:p>
          <w:p w14:paraId="40DEE52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（5）运行监控管理</w:t>
            </w:r>
          </w:p>
          <w:p w14:paraId="4A9D428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1）支持服务器CPU使用率运行状态的实时监控与平台告警</w:t>
            </w:r>
          </w:p>
          <w:p w14:paraId="6E040A4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2）支持服务器内存使用率运行状态的实时监控与平台告警</w:t>
            </w:r>
          </w:p>
          <w:p w14:paraId="5923A10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3）支持服务器磁盘使用率运行状态的实时监控与平台告警</w:t>
            </w:r>
          </w:p>
          <w:p w14:paraId="7B817D6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4）支持服务器JVM使用率运行状态的实时监控与平台告警</w:t>
            </w:r>
          </w:p>
          <w:p w14:paraId="14A0939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（6）安全备份管理</w:t>
            </w:r>
          </w:p>
          <w:p w14:paraId="627E1B4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支持系统整机备份及恢复管理，可支持双机热备安全管理"</w:t>
            </w:r>
          </w:p>
          <w:p w14:paraId="697236F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（7）视频密钥服务</w:t>
            </w:r>
          </w:p>
          <w:p w14:paraId="7E58619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1）支持对视频监控系统相关工作密钥（包括VEK、VKEK、VEM、VETK等）提供多级密钥管理机制</w:t>
            </w:r>
          </w:p>
          <w:p w14:paraId="599148A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2）支持SM1，SM2，SM3，SM4等算法，相关密码算法基于硬件密码模块实现，具备国家商用密码认证证书</w:t>
            </w:r>
          </w:p>
          <w:p w14:paraId="293DE65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3）支持密钥安全生成能力，基于硬件密码模块生成视频相关密钥，通过国密局随机数安全检测</w:t>
            </w:r>
          </w:p>
          <w:p w14:paraId="3A0065B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4）支持密钥安全存储能力，密钥存储于硬件密码模块中，在使用和传输过程全程加密处理，确保其在工作过程中的安全性</w:t>
            </w:r>
          </w:p>
          <w:p w14:paraId="0479487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5）支持密钥安全更新能力，相关密钥支持周期性动态更新，相关更新周期支持动态配置，并限制最长更新周期范围</w:t>
            </w:r>
          </w:p>
          <w:p w14:paraId="7BC28BD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6）支持密钥批量查询能力，可基于参数查询历史密钥，单个或者批量返回条件内密钥列表</w:t>
            </w:r>
          </w:p>
          <w:p w14:paraId="4873CF0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（8）性能参数</w:t>
            </w:r>
          </w:p>
          <w:p w14:paraId="4AA26C1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VKEK生成速度：≥200次/秒</w:t>
            </w:r>
          </w:p>
          <w:p w14:paraId="65EA638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VKEK查询速度：≥200次/秒</w:t>
            </w:r>
          </w:p>
          <w:p w14:paraId="32ECAA7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硬件参数</w:t>
            </w:r>
          </w:p>
          <w:p w14:paraId="10277AF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CPU：HG3250 32核 2.8GHz</w:t>
            </w:r>
          </w:p>
          <w:p w14:paraId="26743C4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内存：32G DDR4</w:t>
            </w:r>
          </w:p>
          <w:p w14:paraId="1806628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硬盘容量：可用空间1.0TB</w:t>
            </w:r>
          </w:p>
          <w:p w14:paraId="110ABCD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网络接口：2个千兆电口</w:t>
            </w:r>
          </w:p>
          <w:p w14:paraId="6FD164A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可扩展模块：4个PCIE扩展槽</w:t>
            </w:r>
          </w:p>
          <w:p w14:paraId="52135D8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加密卡：1张通用国密密码卡</w:t>
            </w:r>
          </w:p>
          <w:p w14:paraId="7A8A9A1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电源：AC/DC双输入，550W，冗余电源</w:t>
            </w:r>
          </w:p>
          <w:p w14:paraId="3FF8300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p>
        </w:tc>
        <w:tc>
          <w:tcPr>
            <w:tcW w:w="234" w:type="pct"/>
            <w:tcBorders>
              <w:top w:val="nil"/>
              <w:left w:val="nil"/>
              <w:bottom w:val="single" w:color="auto" w:sz="4" w:space="0"/>
              <w:right w:val="single" w:color="auto" w:sz="4" w:space="0"/>
            </w:tcBorders>
            <w:shd w:val="clear" w:color="auto" w:fill="auto"/>
            <w:noWrap/>
            <w:vAlign w:val="center"/>
          </w:tcPr>
          <w:p w14:paraId="11C6BF6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台</w:t>
            </w:r>
          </w:p>
        </w:tc>
        <w:tc>
          <w:tcPr>
            <w:tcW w:w="371" w:type="pct"/>
            <w:tcBorders>
              <w:top w:val="nil"/>
              <w:left w:val="nil"/>
              <w:bottom w:val="single" w:color="auto" w:sz="4" w:space="0"/>
              <w:right w:val="single" w:color="auto" w:sz="4" w:space="0"/>
            </w:tcBorders>
            <w:shd w:val="clear" w:color="auto" w:fill="auto"/>
            <w:vAlign w:val="center"/>
          </w:tcPr>
          <w:p w14:paraId="76C149E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37AF314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软硬一体机</w:t>
            </w:r>
          </w:p>
        </w:tc>
        <w:tc>
          <w:tcPr>
            <w:tcW w:w="645" w:type="pct"/>
            <w:tcBorders>
              <w:top w:val="nil"/>
              <w:left w:val="nil"/>
              <w:bottom w:val="single" w:color="auto" w:sz="4" w:space="0"/>
              <w:right w:val="single" w:color="auto" w:sz="4" w:space="0"/>
            </w:tcBorders>
            <w:shd w:val="clear" w:color="auto" w:fill="auto"/>
            <w:vAlign w:val="center"/>
          </w:tcPr>
          <w:p w14:paraId="538A536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签发证书数量：10000</w:t>
            </w:r>
          </w:p>
          <w:p w14:paraId="647A113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安全对象证书签发速度：≥100次/秒</w:t>
            </w:r>
          </w:p>
          <w:p w14:paraId="01CB3D7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VKEK密钥生成速度：≥200次/秒</w:t>
            </w:r>
          </w:p>
          <w:p w14:paraId="65DF00E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VKEK密钥查询速度：≥200次/秒</w:t>
            </w:r>
          </w:p>
          <w:p w14:paraId="560055B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网络接口：2个千兆电口</w:t>
            </w:r>
          </w:p>
        </w:tc>
      </w:tr>
      <w:tr w14:paraId="06ADE28A">
        <w:tblPrEx>
          <w:tblCellMar>
            <w:top w:w="0" w:type="dxa"/>
            <w:left w:w="108" w:type="dxa"/>
            <w:bottom w:w="0" w:type="dxa"/>
            <w:right w:w="108" w:type="dxa"/>
          </w:tblCellMar>
        </w:tblPrEx>
        <w:trPr>
          <w:trHeight w:val="343"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7A68D9F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w:t>
            </w:r>
          </w:p>
        </w:tc>
        <w:tc>
          <w:tcPr>
            <w:tcW w:w="856" w:type="pct"/>
            <w:gridSpan w:val="2"/>
            <w:tcBorders>
              <w:top w:val="single" w:color="auto" w:sz="4" w:space="0"/>
              <w:left w:val="nil"/>
              <w:bottom w:val="single" w:color="auto" w:sz="4" w:space="0"/>
              <w:right w:val="single" w:color="000000" w:sz="4" w:space="0"/>
            </w:tcBorders>
            <w:shd w:val="clear" w:color="auto" w:fill="auto"/>
            <w:vAlign w:val="center"/>
          </w:tcPr>
          <w:p w14:paraId="5D8FE41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高级服务器操作系统V10</w:t>
            </w:r>
          </w:p>
        </w:tc>
        <w:tc>
          <w:tcPr>
            <w:tcW w:w="2415" w:type="pct"/>
            <w:tcBorders>
              <w:top w:val="nil"/>
              <w:left w:val="nil"/>
              <w:bottom w:val="single" w:color="auto" w:sz="4" w:space="0"/>
              <w:right w:val="single" w:color="auto" w:sz="4" w:space="0"/>
            </w:tcBorders>
            <w:shd w:val="clear" w:color="000000" w:fill="FFFFFF"/>
            <w:vAlign w:val="center"/>
          </w:tcPr>
          <w:p w14:paraId="2A5929A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Kylin OS V10 Server 3Y HG</w:t>
            </w:r>
          </w:p>
          <w:p w14:paraId="15FAC60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 xml:space="preserve">高级服务器操作系统V10 </w:t>
            </w:r>
          </w:p>
        </w:tc>
        <w:tc>
          <w:tcPr>
            <w:tcW w:w="234" w:type="pct"/>
            <w:tcBorders>
              <w:top w:val="nil"/>
              <w:left w:val="nil"/>
              <w:bottom w:val="single" w:color="auto" w:sz="4" w:space="0"/>
              <w:right w:val="single" w:color="auto" w:sz="4" w:space="0"/>
            </w:tcBorders>
            <w:shd w:val="clear" w:color="auto" w:fill="auto"/>
            <w:vAlign w:val="center"/>
          </w:tcPr>
          <w:p w14:paraId="5A1A511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套</w:t>
            </w:r>
          </w:p>
        </w:tc>
        <w:tc>
          <w:tcPr>
            <w:tcW w:w="371" w:type="pct"/>
            <w:tcBorders>
              <w:top w:val="nil"/>
              <w:left w:val="nil"/>
              <w:bottom w:val="single" w:color="auto" w:sz="4" w:space="0"/>
              <w:right w:val="single" w:color="auto" w:sz="4" w:space="0"/>
            </w:tcBorders>
            <w:shd w:val="clear" w:color="auto" w:fill="auto"/>
            <w:vAlign w:val="center"/>
          </w:tcPr>
          <w:p w14:paraId="770C304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5EEFD10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操作系统</w:t>
            </w:r>
          </w:p>
        </w:tc>
        <w:tc>
          <w:tcPr>
            <w:tcW w:w="645" w:type="pct"/>
            <w:tcBorders>
              <w:top w:val="nil"/>
              <w:left w:val="nil"/>
              <w:bottom w:val="single" w:color="auto" w:sz="4" w:space="0"/>
              <w:right w:val="single" w:color="auto" w:sz="4" w:space="0"/>
            </w:tcBorders>
            <w:shd w:val="clear" w:color="auto" w:fill="auto"/>
            <w:vAlign w:val="center"/>
          </w:tcPr>
          <w:p w14:paraId="1305241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与国产化的视频证书目录设备配套使用</w:t>
            </w:r>
          </w:p>
        </w:tc>
      </w:tr>
      <w:tr w14:paraId="1CD9A2F4">
        <w:tblPrEx>
          <w:tblCellMar>
            <w:top w:w="0" w:type="dxa"/>
            <w:left w:w="108" w:type="dxa"/>
            <w:bottom w:w="0" w:type="dxa"/>
            <w:right w:w="108" w:type="dxa"/>
          </w:tblCellMar>
        </w:tblPrEx>
        <w:trPr>
          <w:trHeight w:val="1021"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7B57406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9</w:t>
            </w:r>
          </w:p>
        </w:tc>
        <w:tc>
          <w:tcPr>
            <w:tcW w:w="856" w:type="pct"/>
            <w:gridSpan w:val="2"/>
            <w:tcBorders>
              <w:top w:val="single" w:color="auto" w:sz="4" w:space="0"/>
              <w:left w:val="nil"/>
              <w:bottom w:val="single" w:color="auto" w:sz="4" w:space="0"/>
              <w:right w:val="single" w:color="000000" w:sz="4" w:space="0"/>
            </w:tcBorders>
            <w:shd w:val="clear" w:color="auto" w:fill="auto"/>
            <w:vAlign w:val="center"/>
          </w:tcPr>
          <w:p w14:paraId="6DE6D04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视频可信鉴定（国产化）</w:t>
            </w:r>
          </w:p>
        </w:tc>
        <w:tc>
          <w:tcPr>
            <w:tcW w:w="2415" w:type="pct"/>
            <w:tcBorders>
              <w:top w:val="nil"/>
              <w:left w:val="nil"/>
              <w:bottom w:val="single" w:color="auto" w:sz="4" w:space="0"/>
              <w:right w:val="single" w:color="auto" w:sz="4" w:space="0"/>
            </w:tcBorders>
            <w:shd w:val="clear" w:color="000000" w:fill="FFFFFF"/>
            <w:vAlign w:val="center"/>
          </w:tcPr>
          <w:p w14:paraId="45B6509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（1）安全合规管理</w:t>
            </w:r>
          </w:p>
          <w:p w14:paraId="2D86C6E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1）支持稳定的设备并发调用、高速万兆数据加解密签名验签服务</w:t>
            </w:r>
          </w:p>
          <w:p w14:paraId="254899D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2）符合GM/T 0028安全二级要求，可为系统提供安全的数据加解密服务</w:t>
            </w:r>
          </w:p>
          <w:p w14:paraId="05915E3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3）符合国家标准接口规范，支持适配各类标准设备，且支持灵活扩展，可为多业务系统提供服务</w:t>
            </w:r>
          </w:p>
          <w:p w14:paraId="4E79328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4）支持通信报文高效压缩，提高传输效率，实现高并发、大吞吐、低时延场景下的稳定运行</w:t>
            </w:r>
          </w:p>
          <w:p w14:paraId="1E5068B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5）支持双机热备及集群部署</w:t>
            </w:r>
          </w:p>
          <w:p w14:paraId="026380D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（2）可信鉴定</w:t>
            </w:r>
          </w:p>
          <w:p w14:paraId="4FF06EB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1）若视频监控安全共享平台满足GB35114C级标准，则支持基于数字签名视频数据完整性和不可否认性校验</w:t>
            </w:r>
          </w:p>
          <w:p w14:paraId="2469AD4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2）若视频监控安全共享平台满足GB35114C级标准，则支持基于消息鉴别码的视频数据完整性校验</w:t>
            </w:r>
          </w:p>
          <w:p w14:paraId="1492F85D">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3）若视频监控安全共享平台满足GB35114C级标准，则支持前端视频码流验签功能，校验单帧或者一段视频数据是否非法篡改</w:t>
            </w:r>
          </w:p>
          <w:p w14:paraId="2D11192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4）若视频监控安全共享平台满足GB35114C级标准，则支持多样的数据传入方式，可直接传入数据或传入数据存储的路径</w:t>
            </w:r>
          </w:p>
          <w:p w14:paraId="19E9679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5）若视频监控安全共享平台满足GB35114C级标准，则支持视频可信鉴定的同时支持视频码流的加解密处理</w:t>
            </w:r>
          </w:p>
          <w:p w14:paraId="6C817B7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p>
          <w:p w14:paraId="3A82938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（3）性能参数</w:t>
            </w:r>
          </w:p>
          <w:p w14:paraId="5D233C3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SM1: 80Mbps</w:t>
            </w:r>
          </w:p>
          <w:p w14:paraId="24275FE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SM2签名: 3400次/秒</w:t>
            </w:r>
          </w:p>
          <w:p w14:paraId="1380D45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SM2验签: 1500次/秒</w:t>
            </w:r>
          </w:p>
          <w:p w14:paraId="4C18209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SM3: 900 Mbps</w:t>
            </w:r>
          </w:p>
          <w:p w14:paraId="5E044CA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SM4: 900 Mbps</w:t>
            </w:r>
          </w:p>
          <w:p w14:paraId="5BC8DFF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单台支持 20000个直连GB35114前端/用户/平台交互信令的加解密</w:t>
            </w:r>
          </w:p>
          <w:p w14:paraId="4389015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支持集群部署</w:t>
            </w:r>
          </w:p>
          <w:p w14:paraId="61242AB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（4）硬件参数</w:t>
            </w:r>
          </w:p>
          <w:p w14:paraId="434ED18B">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CPU：HG3250</w:t>
            </w:r>
          </w:p>
          <w:p w14:paraId="75FC02D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内存：32G DDR4</w:t>
            </w:r>
          </w:p>
          <w:p w14:paraId="2CB4FC8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网络接口：2个千兆电口，支持 10 /100/1000Mbps自适应</w:t>
            </w:r>
          </w:p>
          <w:p w14:paraId="585427C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加密卡：通用国密密码卡</w:t>
            </w:r>
          </w:p>
          <w:p w14:paraId="02E69DC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电源：冗余电源</w:t>
            </w:r>
          </w:p>
        </w:tc>
        <w:tc>
          <w:tcPr>
            <w:tcW w:w="234" w:type="pct"/>
            <w:tcBorders>
              <w:top w:val="nil"/>
              <w:left w:val="nil"/>
              <w:bottom w:val="single" w:color="auto" w:sz="4" w:space="0"/>
              <w:right w:val="single" w:color="auto" w:sz="4" w:space="0"/>
            </w:tcBorders>
            <w:shd w:val="clear" w:color="auto" w:fill="auto"/>
            <w:noWrap/>
            <w:vAlign w:val="center"/>
          </w:tcPr>
          <w:p w14:paraId="033137C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台</w:t>
            </w:r>
          </w:p>
        </w:tc>
        <w:tc>
          <w:tcPr>
            <w:tcW w:w="371" w:type="pct"/>
            <w:tcBorders>
              <w:top w:val="nil"/>
              <w:left w:val="nil"/>
              <w:bottom w:val="single" w:color="auto" w:sz="4" w:space="0"/>
              <w:right w:val="single" w:color="auto" w:sz="4" w:space="0"/>
            </w:tcBorders>
            <w:shd w:val="clear" w:color="auto" w:fill="auto"/>
            <w:vAlign w:val="center"/>
          </w:tcPr>
          <w:p w14:paraId="76F094E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783CC8B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软硬一体机</w:t>
            </w:r>
          </w:p>
        </w:tc>
        <w:tc>
          <w:tcPr>
            <w:tcW w:w="645" w:type="pct"/>
            <w:tcBorders>
              <w:top w:val="nil"/>
              <w:left w:val="nil"/>
              <w:bottom w:val="single" w:color="auto" w:sz="4" w:space="0"/>
              <w:right w:val="single" w:color="auto" w:sz="4" w:space="0"/>
            </w:tcBorders>
            <w:shd w:val="clear" w:color="auto" w:fill="auto"/>
            <w:vAlign w:val="center"/>
          </w:tcPr>
          <w:p w14:paraId="5334CB7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（1）GB35114方案必选，为本级平台的前端设备、平台、客户端之间信令和码流交互实现签名验签服务</w:t>
            </w:r>
          </w:p>
          <w:p w14:paraId="3061D8D5">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（2）GB35114项目且有国产化需求时必配</w:t>
            </w:r>
          </w:p>
          <w:p w14:paraId="62DF830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（2）单台支持 20000个直连GB35114前端/用户/平台交互信令的加解密</w:t>
            </w:r>
          </w:p>
          <w:p w14:paraId="339DE4F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（3）支持集群部署</w:t>
            </w:r>
          </w:p>
        </w:tc>
      </w:tr>
      <w:tr w14:paraId="6FEC5BA0">
        <w:tblPrEx>
          <w:tblCellMar>
            <w:top w:w="0" w:type="dxa"/>
            <w:left w:w="108" w:type="dxa"/>
            <w:bottom w:w="0" w:type="dxa"/>
            <w:right w:w="108" w:type="dxa"/>
          </w:tblCellMar>
        </w:tblPrEx>
        <w:trPr>
          <w:trHeight w:val="2295"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5CC0362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w:t>
            </w:r>
          </w:p>
        </w:tc>
        <w:tc>
          <w:tcPr>
            <w:tcW w:w="856" w:type="pct"/>
            <w:gridSpan w:val="2"/>
            <w:tcBorders>
              <w:top w:val="single" w:color="auto" w:sz="4" w:space="0"/>
              <w:left w:val="nil"/>
              <w:bottom w:val="single" w:color="auto" w:sz="4" w:space="0"/>
              <w:right w:val="single" w:color="000000" w:sz="4" w:space="0"/>
            </w:tcBorders>
            <w:shd w:val="clear" w:color="auto" w:fill="auto"/>
            <w:vAlign w:val="center"/>
          </w:tcPr>
          <w:p w14:paraId="684A5D8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视频加解密</w:t>
            </w:r>
          </w:p>
        </w:tc>
        <w:tc>
          <w:tcPr>
            <w:tcW w:w="2415" w:type="pct"/>
            <w:tcBorders>
              <w:top w:val="nil"/>
              <w:left w:val="nil"/>
              <w:bottom w:val="single" w:color="auto" w:sz="4" w:space="0"/>
              <w:right w:val="single" w:color="auto" w:sz="4" w:space="0"/>
            </w:tcBorders>
            <w:shd w:val="clear" w:color="auto" w:fill="auto"/>
            <w:vAlign w:val="center"/>
          </w:tcPr>
          <w:p w14:paraId="58F66A88">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功能参数</w:t>
            </w:r>
          </w:p>
          <w:p w14:paraId="40754AE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1）支持SM2、SM3、SM4等国密算法</w:t>
            </w:r>
          </w:p>
          <w:p w14:paraId="44BDDF4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2）支持将指定的GB35114 C级设备SVAC2.0实时加密流进行解密转换为明文SVAC2.0码流，并进行转分发；</w:t>
            </w:r>
          </w:p>
          <w:p w14:paraId="180A0CA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3）支持将指定的GB35114 C级设备SVAC2.0历史加密流进行解密转换为明文SVAC2.0码流，并进行转发；</w:t>
            </w:r>
          </w:p>
          <w:p w14:paraId="17E1AD6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4）千兆网卡，支持150路4M SVAC2.0加密码流解密。</w:t>
            </w:r>
          </w:p>
        </w:tc>
        <w:tc>
          <w:tcPr>
            <w:tcW w:w="234" w:type="pct"/>
            <w:tcBorders>
              <w:top w:val="nil"/>
              <w:left w:val="nil"/>
              <w:bottom w:val="single" w:color="auto" w:sz="4" w:space="0"/>
              <w:right w:val="single" w:color="auto" w:sz="4" w:space="0"/>
            </w:tcBorders>
            <w:shd w:val="clear" w:color="auto" w:fill="auto"/>
            <w:noWrap/>
            <w:vAlign w:val="center"/>
          </w:tcPr>
          <w:p w14:paraId="19FF88F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台</w:t>
            </w:r>
          </w:p>
        </w:tc>
        <w:tc>
          <w:tcPr>
            <w:tcW w:w="371" w:type="pct"/>
            <w:tcBorders>
              <w:top w:val="nil"/>
              <w:left w:val="nil"/>
              <w:bottom w:val="single" w:color="auto" w:sz="4" w:space="0"/>
              <w:right w:val="single" w:color="auto" w:sz="4" w:space="0"/>
            </w:tcBorders>
            <w:shd w:val="clear" w:color="auto" w:fill="auto"/>
            <w:vAlign w:val="center"/>
          </w:tcPr>
          <w:p w14:paraId="7CDA589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228" w:type="pct"/>
            <w:tcBorders>
              <w:top w:val="nil"/>
              <w:left w:val="nil"/>
              <w:bottom w:val="single" w:color="auto" w:sz="4" w:space="0"/>
              <w:right w:val="single" w:color="auto" w:sz="4" w:space="0"/>
            </w:tcBorders>
            <w:shd w:val="clear" w:color="auto" w:fill="auto"/>
            <w:vAlign w:val="center"/>
          </w:tcPr>
          <w:p w14:paraId="1CBB401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软硬一体机</w:t>
            </w:r>
          </w:p>
        </w:tc>
        <w:tc>
          <w:tcPr>
            <w:tcW w:w="645" w:type="pct"/>
            <w:tcBorders>
              <w:top w:val="nil"/>
              <w:left w:val="nil"/>
              <w:bottom w:val="single" w:color="auto" w:sz="4" w:space="0"/>
              <w:right w:val="single" w:color="auto" w:sz="4" w:space="0"/>
            </w:tcBorders>
            <w:shd w:val="clear" w:color="auto" w:fill="auto"/>
          </w:tcPr>
          <w:p w14:paraId="1EA1C3F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（1）GB35114C级方案必选，为本级平台实现SVAC2.0加密码流解密能力。</w:t>
            </w:r>
          </w:p>
          <w:p w14:paraId="53E3C15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（2）按照解密并发配置台数</w:t>
            </w:r>
          </w:p>
          <w:p w14:paraId="61BC219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（3）支持200路4M SVAC加密码流解密</w:t>
            </w:r>
          </w:p>
          <w:p w14:paraId="7F13EBD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（4）硬件资源要求：16核、64G内存、200GB STAT盘、千兆网口。因安全要求必须是硬件，也可以与转码服务器共用一台硬件</w:t>
            </w:r>
          </w:p>
          <w:p w14:paraId="5C4D07F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（5）至少配置一台，支持集群</w:t>
            </w:r>
          </w:p>
        </w:tc>
      </w:tr>
      <w:tr w14:paraId="58E45CC0">
        <w:tblPrEx>
          <w:tblCellMar>
            <w:top w:w="0" w:type="dxa"/>
            <w:left w:w="108" w:type="dxa"/>
            <w:bottom w:w="0" w:type="dxa"/>
            <w:right w:w="108" w:type="dxa"/>
          </w:tblCellMar>
        </w:tblPrEx>
        <w:trPr>
          <w:trHeight w:val="90" w:hRule="atLeast"/>
        </w:trPr>
        <w:tc>
          <w:tcPr>
            <w:tcW w:w="4125" w:type="pct"/>
            <w:gridSpan w:val="6"/>
            <w:tcBorders>
              <w:top w:val="single" w:color="auto" w:sz="4" w:space="0"/>
              <w:left w:val="single" w:color="auto" w:sz="4" w:space="0"/>
              <w:bottom w:val="single" w:color="auto" w:sz="4" w:space="0"/>
              <w:right w:val="single" w:color="auto" w:sz="4" w:space="0"/>
            </w:tcBorders>
            <w:shd w:val="clear" w:color="auto" w:fill="auto"/>
            <w:vAlign w:val="center"/>
          </w:tcPr>
          <w:p w14:paraId="5EE282C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小计</w:t>
            </w:r>
          </w:p>
        </w:tc>
        <w:tc>
          <w:tcPr>
            <w:tcW w:w="228" w:type="pct"/>
            <w:tcBorders>
              <w:top w:val="nil"/>
              <w:left w:val="nil"/>
              <w:bottom w:val="single" w:color="auto" w:sz="4" w:space="0"/>
              <w:right w:val="single" w:color="auto" w:sz="4" w:space="0"/>
            </w:tcBorders>
            <w:shd w:val="clear" w:color="auto" w:fill="auto"/>
            <w:vAlign w:val="center"/>
          </w:tcPr>
          <w:p w14:paraId="68C54F6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645" w:type="pct"/>
            <w:tcBorders>
              <w:top w:val="nil"/>
              <w:left w:val="nil"/>
              <w:bottom w:val="single" w:color="auto" w:sz="4" w:space="0"/>
              <w:right w:val="single" w:color="auto" w:sz="4" w:space="0"/>
            </w:tcBorders>
            <w:shd w:val="clear" w:color="auto" w:fill="auto"/>
            <w:vAlign w:val="center"/>
          </w:tcPr>
          <w:p w14:paraId="77D1B3C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219A78D">
        <w:tblPrEx>
          <w:tblCellMar>
            <w:top w:w="0" w:type="dxa"/>
            <w:left w:w="108" w:type="dxa"/>
            <w:bottom w:w="0" w:type="dxa"/>
            <w:right w:w="108" w:type="dxa"/>
          </w:tblCellMar>
        </w:tblPrEx>
        <w:trPr>
          <w:trHeight w:val="90" w:hRule="atLeast"/>
        </w:trPr>
        <w:tc>
          <w:tcPr>
            <w:tcW w:w="5000" w:type="pct"/>
            <w:gridSpan w:val="8"/>
            <w:tcBorders>
              <w:top w:val="single" w:color="auto" w:sz="4" w:space="0"/>
              <w:left w:val="single" w:color="auto" w:sz="4" w:space="0"/>
              <w:bottom w:val="single" w:color="auto" w:sz="4" w:space="0"/>
              <w:right w:val="single" w:color="auto" w:sz="4" w:space="0"/>
            </w:tcBorders>
            <w:shd w:val="clear" w:color="auto" w:fill="auto"/>
            <w:noWrap/>
            <w:vAlign w:val="center"/>
          </w:tcPr>
          <w:p w14:paraId="19007FB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二、视频调阅客户端</w:t>
            </w:r>
          </w:p>
        </w:tc>
      </w:tr>
      <w:tr w14:paraId="75CEFD47">
        <w:tblPrEx>
          <w:tblCellMar>
            <w:top w:w="0" w:type="dxa"/>
            <w:left w:w="108" w:type="dxa"/>
            <w:bottom w:w="0" w:type="dxa"/>
            <w:right w:w="108" w:type="dxa"/>
          </w:tblCellMar>
        </w:tblPrEx>
        <w:trPr>
          <w:trHeight w:val="1431" w:hRule="atLeast"/>
        </w:trPr>
        <w:tc>
          <w:tcPr>
            <w:tcW w:w="247" w:type="pct"/>
            <w:tcBorders>
              <w:top w:val="nil"/>
              <w:left w:val="single" w:color="auto" w:sz="4" w:space="0"/>
              <w:bottom w:val="single" w:color="auto" w:sz="4" w:space="0"/>
              <w:right w:val="single" w:color="auto" w:sz="4" w:space="0"/>
            </w:tcBorders>
            <w:shd w:val="clear" w:color="auto" w:fill="auto"/>
            <w:noWrap/>
            <w:vAlign w:val="center"/>
          </w:tcPr>
          <w:p w14:paraId="64F0ABC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856" w:type="pct"/>
            <w:gridSpan w:val="2"/>
            <w:tcBorders>
              <w:top w:val="single" w:color="auto" w:sz="4" w:space="0"/>
              <w:left w:val="nil"/>
              <w:bottom w:val="single" w:color="auto" w:sz="4" w:space="0"/>
              <w:right w:val="single" w:color="auto" w:sz="4" w:space="0"/>
            </w:tcBorders>
            <w:shd w:val="clear" w:color="auto" w:fill="auto"/>
            <w:vAlign w:val="center"/>
          </w:tcPr>
          <w:p w14:paraId="6A7CDC5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智能密码钥匙</w:t>
            </w:r>
          </w:p>
        </w:tc>
        <w:tc>
          <w:tcPr>
            <w:tcW w:w="2415" w:type="pct"/>
            <w:tcBorders>
              <w:top w:val="nil"/>
              <w:left w:val="nil"/>
              <w:bottom w:val="single" w:color="auto" w:sz="4" w:space="0"/>
              <w:right w:val="single" w:color="auto" w:sz="4" w:space="0"/>
            </w:tcBorders>
            <w:shd w:val="clear" w:color="auto" w:fill="auto"/>
            <w:vAlign w:val="center"/>
          </w:tcPr>
          <w:p w14:paraId="5C1CF61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w:t>
            </w:r>
            <w:r>
              <w:rPr>
                <w:rFonts w:hint="eastAsia" w:ascii="微软雅黑" w:hAnsi="微软雅黑" w:eastAsia="微软雅黑" w:cs="宋体"/>
                <w:color w:val="000000"/>
                <w:kern w:val="0"/>
                <w:sz w:val="18"/>
                <w:szCs w:val="18"/>
                <w:lang w:val="en-US" w:eastAsia="zh-CN"/>
              </w:rPr>
              <w:t>1</w:t>
            </w:r>
            <w:r>
              <w:rPr>
                <w:rFonts w:hint="eastAsia" w:ascii="微软雅黑" w:hAnsi="微软雅黑" w:eastAsia="微软雅黑" w:cs="宋体"/>
                <w:color w:val="000000"/>
                <w:kern w:val="0"/>
                <w:sz w:val="18"/>
                <w:szCs w:val="18"/>
              </w:rPr>
              <w:t>】硬件参数</w:t>
            </w:r>
          </w:p>
          <w:p w14:paraId="348B7BC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32位CPU</w:t>
            </w:r>
          </w:p>
          <w:p w14:paraId="3285926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548KB NorFlash Memory</w:t>
            </w:r>
          </w:p>
          <w:p w14:paraId="5421B96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40KB 系统内存</w:t>
            </w:r>
          </w:p>
          <w:p w14:paraId="41BC7D2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USB接口</w:t>
            </w:r>
          </w:p>
          <w:p w14:paraId="4387326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壳体为铝合金材质，帽盖、尾塞为ABS材质</w:t>
            </w:r>
          </w:p>
          <w:p w14:paraId="7C47611F">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w:t>
            </w:r>
            <w:r>
              <w:rPr>
                <w:rFonts w:hint="eastAsia" w:ascii="微软雅黑" w:hAnsi="微软雅黑" w:eastAsia="微软雅黑" w:cs="宋体"/>
                <w:color w:val="000000"/>
                <w:kern w:val="0"/>
                <w:sz w:val="18"/>
                <w:szCs w:val="18"/>
                <w:lang w:val="en-US" w:eastAsia="zh-CN"/>
              </w:rPr>
              <w:t>2</w:t>
            </w:r>
            <w:r>
              <w:rPr>
                <w:rFonts w:hint="eastAsia" w:ascii="微软雅黑" w:hAnsi="微软雅黑" w:eastAsia="微软雅黑" w:cs="宋体"/>
                <w:color w:val="000000"/>
                <w:kern w:val="0"/>
                <w:sz w:val="18"/>
                <w:szCs w:val="18"/>
              </w:rPr>
              <w:t>】功能参数</w:t>
            </w:r>
          </w:p>
          <w:p w14:paraId="635613D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（1）运行环境支持：支持Windows、Linux、Android、嵌入式Linux操作系统</w:t>
            </w:r>
          </w:p>
          <w:p w14:paraId="5E6DF756">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（2）具有数字证书存储和保护功能</w:t>
            </w:r>
          </w:p>
          <w:p w14:paraId="7EDCA8D2">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（3）具有密钥存储和保护功能</w:t>
            </w:r>
          </w:p>
          <w:p w14:paraId="76E298C0">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（4）具有符合SM2算法的电子签名、签名验证等功能</w:t>
            </w:r>
          </w:p>
          <w:p w14:paraId="03F6574E">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（5）具备包括取响应指令、获取设备信息、取随机数等内容，其中取响应指令用于获取响应数据，获取设备信息指令用于获取设备信息，取随机数指令用于取随机数。</w:t>
            </w:r>
          </w:p>
          <w:p w14:paraId="3B3F3AA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（6）文件管理：文件管理包括选择文件/目录、创建文件/目录、删除文件/目录、更新密钥、读二进制文件、更新二进制文件、读记录文件、更新/追加记录文件等内容，用于管理USB KEY中的文件。</w:t>
            </w:r>
          </w:p>
          <w:p w14:paraId="0FDCEC23">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（7）权限管理：权限管理包括内部认证、外部任职、校验PIN、修改PIN、解锁PIN、重装PIN、应用锁定、应用解锁、设备锁定、密钥分散等功能，通过权限管理来更好的管理设备使用情况 。</w:t>
            </w:r>
          </w:p>
          <w:p w14:paraId="01F1FC8A">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（8）对称算法：对称算法功能包括明文导入会话密钥、对称加解密运算等内容，支持SM1、SM4、AES、DES、3DES等算法的运算。</w:t>
            </w:r>
          </w:p>
          <w:p w14:paraId="5E519EE4">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（9）哈希算法：包括哈希运算的内容，支持SHA1/SHA256/SM3等算法</w:t>
            </w:r>
          </w:p>
          <w:p w14:paraId="4CA728D9">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非对称算法：包括RSA生成公私钥对、RSA加密/验签、RSA解密/签名、导入RSA公钥、导入RSA私钥、SM2生成公私钥对、SM2加密/验签、SM2解密/签名、导入SM2公钥、导入SM2私钥、产生数字信封、打开数字信封、导出RSA/SM2公钥、导出RSA/SM2私钥、导入RSA公私钥对扩展等功能。</w:t>
            </w:r>
          </w:p>
        </w:tc>
        <w:tc>
          <w:tcPr>
            <w:tcW w:w="234" w:type="pct"/>
            <w:tcBorders>
              <w:top w:val="nil"/>
              <w:left w:val="nil"/>
              <w:bottom w:val="single" w:color="auto" w:sz="4" w:space="0"/>
              <w:right w:val="single" w:color="auto" w:sz="4" w:space="0"/>
            </w:tcBorders>
            <w:shd w:val="clear" w:color="auto" w:fill="auto"/>
            <w:vAlign w:val="center"/>
          </w:tcPr>
          <w:p w14:paraId="6A4BE9E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个</w:t>
            </w:r>
          </w:p>
        </w:tc>
        <w:tc>
          <w:tcPr>
            <w:tcW w:w="371" w:type="pct"/>
            <w:tcBorders>
              <w:top w:val="nil"/>
              <w:left w:val="nil"/>
              <w:bottom w:val="single" w:color="auto" w:sz="4" w:space="0"/>
              <w:right w:val="single" w:color="auto" w:sz="4" w:space="0"/>
            </w:tcBorders>
            <w:shd w:val="clear" w:color="auto" w:fill="auto"/>
            <w:vAlign w:val="center"/>
          </w:tcPr>
          <w:p w14:paraId="53E4F53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50</w:t>
            </w:r>
          </w:p>
        </w:tc>
        <w:tc>
          <w:tcPr>
            <w:tcW w:w="228" w:type="pct"/>
            <w:tcBorders>
              <w:top w:val="nil"/>
              <w:left w:val="nil"/>
              <w:bottom w:val="single" w:color="auto" w:sz="4" w:space="0"/>
              <w:right w:val="single" w:color="auto" w:sz="4" w:space="0"/>
            </w:tcBorders>
            <w:shd w:val="clear" w:color="auto" w:fill="auto"/>
            <w:vAlign w:val="center"/>
          </w:tcPr>
          <w:p w14:paraId="6F2EDA5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硬件</w:t>
            </w:r>
          </w:p>
        </w:tc>
        <w:tc>
          <w:tcPr>
            <w:tcW w:w="645" w:type="pct"/>
            <w:tcBorders>
              <w:top w:val="nil"/>
              <w:left w:val="nil"/>
              <w:bottom w:val="single" w:color="auto" w:sz="4" w:space="0"/>
              <w:right w:val="single" w:color="auto" w:sz="4" w:space="0"/>
            </w:tcBorders>
            <w:shd w:val="clear" w:color="auto" w:fill="auto"/>
            <w:vAlign w:val="center"/>
          </w:tcPr>
          <w:p w14:paraId="01AE94A7">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按需配置</w:t>
            </w:r>
          </w:p>
          <w:p w14:paraId="234B25F1">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必选，根据现场用户数配置，1个用户1个。为避免丢失，建议配置用户数+10个。</w:t>
            </w:r>
          </w:p>
        </w:tc>
      </w:tr>
      <w:tr w14:paraId="5EF3694A">
        <w:tblPrEx>
          <w:tblCellMar>
            <w:top w:w="0" w:type="dxa"/>
            <w:left w:w="108" w:type="dxa"/>
            <w:bottom w:w="0" w:type="dxa"/>
            <w:right w:w="108" w:type="dxa"/>
          </w:tblCellMar>
        </w:tblPrEx>
        <w:trPr>
          <w:trHeight w:val="90" w:hRule="atLeast"/>
        </w:trPr>
        <w:tc>
          <w:tcPr>
            <w:tcW w:w="4125" w:type="pct"/>
            <w:gridSpan w:val="6"/>
            <w:tcBorders>
              <w:top w:val="single" w:color="auto" w:sz="4" w:space="0"/>
              <w:left w:val="single" w:color="auto" w:sz="4" w:space="0"/>
              <w:bottom w:val="single" w:color="auto" w:sz="4" w:space="0"/>
              <w:right w:val="single" w:color="auto" w:sz="4" w:space="0"/>
            </w:tcBorders>
            <w:shd w:val="clear" w:color="auto" w:fill="auto"/>
            <w:vAlign w:val="center"/>
          </w:tcPr>
          <w:p w14:paraId="52EBD34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kern w:val="0"/>
                <w:sz w:val="18"/>
                <w:szCs w:val="18"/>
              </w:rPr>
            </w:pPr>
            <w:r>
              <w:rPr>
                <w:rFonts w:hint="eastAsia" w:ascii="微软雅黑" w:hAnsi="微软雅黑" w:eastAsia="微软雅黑" w:cs="宋体"/>
                <w:kern w:val="0"/>
                <w:sz w:val="18"/>
                <w:szCs w:val="18"/>
              </w:rPr>
              <w:t>小计</w:t>
            </w:r>
          </w:p>
        </w:tc>
        <w:tc>
          <w:tcPr>
            <w:tcW w:w="228" w:type="pct"/>
            <w:tcBorders>
              <w:top w:val="nil"/>
              <w:left w:val="nil"/>
              <w:bottom w:val="single" w:color="auto" w:sz="4" w:space="0"/>
              <w:right w:val="single" w:color="auto" w:sz="4" w:space="0"/>
            </w:tcBorders>
            <w:shd w:val="clear" w:color="auto" w:fill="auto"/>
            <w:vAlign w:val="center"/>
          </w:tcPr>
          <w:p w14:paraId="520B4F2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645" w:type="pct"/>
            <w:tcBorders>
              <w:top w:val="nil"/>
              <w:left w:val="nil"/>
              <w:bottom w:val="single" w:color="auto" w:sz="4" w:space="0"/>
              <w:right w:val="single" w:color="auto" w:sz="4" w:space="0"/>
            </w:tcBorders>
            <w:shd w:val="clear" w:color="auto" w:fill="auto"/>
            <w:vAlign w:val="center"/>
          </w:tcPr>
          <w:p w14:paraId="5C2BE25C">
            <w:pPr>
              <w:keepNext w:val="0"/>
              <w:keepLines w:val="0"/>
              <w:pageBreakBefore w:val="0"/>
              <w:widowControl/>
              <w:kinsoku/>
              <w:wordWrap/>
              <w:overflowPunct/>
              <w:topLinePunct w:val="0"/>
              <w:autoSpaceDE/>
              <w:autoSpaceDN/>
              <w:bidi w:val="0"/>
              <w:adjustRightInd/>
              <w:snapToGrid/>
              <w:spacing w:line="240" w:lineRule="exact"/>
              <w:ind w:firstLine="0" w:firstLineChars="0"/>
              <w:jc w:val="left"/>
              <w:textAlignment w:val="auto"/>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bl>
    <w:p w14:paraId="3279C287">
      <w:pPr>
        <w:pStyle w:val="34"/>
        <w:ind w:firstLine="560"/>
        <w:rPr>
          <w:rFonts w:ascii="宋体" w:hAnsi="宋体" w:cs="宋体"/>
          <w:sz w:val="28"/>
          <w:szCs w:val="28"/>
        </w:rPr>
        <w:sectPr>
          <w:pgSz w:w="11906" w:h="16838"/>
          <w:pgMar w:top="1440" w:right="1797" w:bottom="1440" w:left="1700" w:header="851" w:footer="851" w:gutter="0"/>
          <w:pgNumType w:fmt="decimal"/>
          <w:cols w:space="425" w:num="1"/>
          <w:docGrid w:type="lines" w:linePitch="326" w:charSpace="0"/>
        </w:sectPr>
      </w:pPr>
    </w:p>
    <w:p w14:paraId="3ADDECD7">
      <w:pPr>
        <w:pStyle w:val="4"/>
        <w:pageBreakBefore w:val="0"/>
        <w:widowControl w:val="0"/>
        <w:kinsoku/>
        <w:wordWrap/>
        <w:overflowPunct/>
        <w:topLinePunct w:val="0"/>
        <w:autoSpaceDE/>
        <w:autoSpaceDN/>
        <w:bidi w:val="0"/>
        <w:adjustRightInd/>
        <w:snapToGrid/>
        <w:spacing w:line="400" w:lineRule="exact"/>
        <w:ind w:firstLine="0" w:firstLineChars="0"/>
        <w:textAlignment w:val="auto"/>
        <w:rPr>
          <w:rFonts w:ascii="黑体" w:hAnsi="黑体" w:eastAsia="黑体"/>
          <w:sz w:val="24"/>
          <w:szCs w:val="24"/>
        </w:rPr>
      </w:pPr>
      <w:bookmarkStart w:id="213" w:name="_Toc26581"/>
      <w:r>
        <w:rPr>
          <w:rFonts w:hint="eastAsia" w:ascii="黑体" w:hAnsi="黑体" w:eastAsia="黑体"/>
          <w:sz w:val="24"/>
          <w:szCs w:val="24"/>
        </w:rPr>
        <w:t>3.6外场设备通信、供电方案</w:t>
      </w:r>
      <w:bookmarkEnd w:id="213"/>
    </w:p>
    <w:p w14:paraId="6E7D39AD">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214" w:name="_Toc110456650"/>
      <w:bookmarkStart w:id="215" w:name="_Toc91064132"/>
      <w:bookmarkStart w:id="216" w:name="_Toc3099"/>
      <w:r>
        <w:rPr>
          <w:rFonts w:hint="eastAsia" w:ascii="黑体" w:hAnsi="黑体" w:eastAsia="黑体"/>
          <w:sz w:val="24"/>
          <w:szCs w:val="24"/>
        </w:rPr>
        <w:t>3.6.1外场设备通信接入方案</w:t>
      </w:r>
      <w:bookmarkEnd w:id="214"/>
      <w:bookmarkEnd w:id="215"/>
      <w:bookmarkEnd w:id="216"/>
    </w:p>
    <w:p w14:paraId="4507166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（1）设备与以太网交换机间距离超过80m，需要增加网络连接器或采用光缆传输。</w:t>
      </w:r>
    </w:p>
    <w:p w14:paraId="6D94C50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（2）采用基于TCP/IP通信协议的支持，在上层按照应用要求建立多通道的直接通信。</w:t>
      </w:r>
    </w:p>
    <w:p w14:paraId="496E622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bookmarkStart w:id="217" w:name="_Toc346744508"/>
      <w:bookmarkStart w:id="218" w:name="_Toc306878075"/>
      <w:r>
        <w:rPr>
          <w:rFonts w:hint="eastAsia" w:ascii="宋体" w:hAnsi="宋体" w:eastAsia="宋体" w:cs="Times New Roman"/>
          <w:sz w:val="24"/>
          <w:szCs w:val="24"/>
        </w:rPr>
        <w:t>（3）本工程前端设备与控制中心网络接入采用原有网络或租赁运营商光缆方式接入控制中心。</w:t>
      </w:r>
    </w:p>
    <w:p w14:paraId="431DE2A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（4）本工程前端设备的接口标准需与</w:t>
      </w:r>
      <w:r>
        <w:rPr>
          <w:rFonts w:hint="eastAsia" w:ascii="宋体" w:hAnsi="宋体" w:cs="Times New Roman"/>
          <w:sz w:val="24"/>
          <w:szCs w:val="24"/>
          <w:lang w:eastAsia="zh-CN"/>
        </w:rPr>
        <w:t>大丰区公安局</w:t>
      </w:r>
      <w:r>
        <w:rPr>
          <w:rFonts w:hint="eastAsia" w:ascii="宋体" w:hAnsi="宋体" w:eastAsia="宋体" w:cs="Times New Roman"/>
          <w:sz w:val="24"/>
          <w:szCs w:val="24"/>
        </w:rPr>
        <w:t>现有平台接口标准保持一致，无缝接入。</w:t>
      </w:r>
    </w:p>
    <w:p w14:paraId="3CE2933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5</w:t>
      </w:r>
      <w:r>
        <w:rPr>
          <w:rFonts w:hint="eastAsia" w:ascii="宋体" w:hAnsi="宋体" w:eastAsia="宋体" w:cs="Times New Roman"/>
          <w:sz w:val="24"/>
          <w:szCs w:val="24"/>
        </w:rPr>
        <w:t>）</w:t>
      </w:r>
      <w:r>
        <w:rPr>
          <w:rFonts w:hint="eastAsia"/>
          <w:sz w:val="24"/>
          <w:szCs w:val="24"/>
        </w:rPr>
        <w:t>保证数据安全稳定传输（包含所有传输设备）</w:t>
      </w:r>
    </w:p>
    <w:p w14:paraId="325D6EFB">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219" w:name="_Toc110456651"/>
      <w:bookmarkStart w:id="220" w:name="_Toc520671483"/>
      <w:bookmarkStart w:id="221" w:name="_Toc520563385"/>
      <w:bookmarkStart w:id="222" w:name="_Toc2009"/>
      <w:bookmarkStart w:id="223" w:name="_Toc91064133"/>
      <w:r>
        <w:rPr>
          <w:rFonts w:hint="eastAsia" w:ascii="黑体" w:hAnsi="黑体" w:eastAsia="黑体"/>
          <w:sz w:val="24"/>
          <w:szCs w:val="24"/>
        </w:rPr>
        <w:t>3.6.2外场设备远程通信光缆</w:t>
      </w:r>
      <w:bookmarkEnd w:id="217"/>
      <w:bookmarkEnd w:id="218"/>
      <w:bookmarkEnd w:id="219"/>
      <w:bookmarkEnd w:id="220"/>
      <w:bookmarkEnd w:id="221"/>
      <w:bookmarkEnd w:id="222"/>
      <w:bookmarkEnd w:id="223"/>
    </w:p>
    <w:p w14:paraId="2C9C27F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本工程通信网络租用运营商光纤链路的方式，保证数据安全稳定传输。</w:t>
      </w:r>
    </w:p>
    <w:p w14:paraId="600B3181">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224" w:name="_Toc91064134"/>
      <w:bookmarkStart w:id="225" w:name="_Toc45198492"/>
      <w:bookmarkStart w:id="226" w:name="_Toc9566"/>
      <w:bookmarkStart w:id="227" w:name="_Toc110456652"/>
      <w:r>
        <w:rPr>
          <w:rFonts w:hint="eastAsia" w:ascii="黑体" w:hAnsi="黑体" w:eastAsia="黑体"/>
          <w:sz w:val="24"/>
          <w:szCs w:val="24"/>
        </w:rPr>
        <w:t>3.6.3外场设备供电方案</w:t>
      </w:r>
      <w:bookmarkEnd w:id="224"/>
      <w:bookmarkEnd w:id="225"/>
      <w:bookmarkEnd w:id="226"/>
      <w:bookmarkEnd w:id="227"/>
    </w:p>
    <w:p w14:paraId="5EC0258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本工程前端设备用电采用就近取电原则，由民用变电箱引出（需向供电部门申请），或与附近工厂、商铺、居民协商借用，安装计量表按期付费，其中取电位置下桩头至本项目前端设备的电缆配线由本工程实施。</w:t>
      </w:r>
    </w:p>
    <w:p w14:paraId="0FB0BF17">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本工程中，交通监控设备的用电负荷为三级负荷。</w:t>
      </w:r>
    </w:p>
    <w:p w14:paraId="0F9566B0">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p>
    <w:p w14:paraId="4FC7CFA4">
      <w:pPr>
        <w:pStyle w:val="4"/>
        <w:pageBreakBefore w:val="0"/>
        <w:widowControl w:val="0"/>
        <w:kinsoku/>
        <w:wordWrap/>
        <w:overflowPunct/>
        <w:topLinePunct w:val="0"/>
        <w:autoSpaceDE/>
        <w:autoSpaceDN/>
        <w:bidi w:val="0"/>
        <w:adjustRightInd/>
        <w:snapToGrid/>
        <w:spacing w:line="400" w:lineRule="exact"/>
        <w:ind w:firstLine="0" w:firstLineChars="0"/>
        <w:textAlignment w:val="auto"/>
        <w:rPr>
          <w:rFonts w:ascii="黑体" w:hAnsi="黑体" w:eastAsia="黑体"/>
          <w:sz w:val="24"/>
          <w:szCs w:val="24"/>
        </w:rPr>
      </w:pPr>
      <w:bookmarkStart w:id="228" w:name="_Toc31550"/>
      <w:r>
        <w:rPr>
          <w:rFonts w:hint="eastAsia" w:ascii="黑体" w:hAnsi="黑体" w:eastAsia="黑体"/>
          <w:sz w:val="24"/>
          <w:szCs w:val="24"/>
        </w:rPr>
        <w:t>3.7基础配套工程</w:t>
      </w:r>
      <w:bookmarkEnd w:id="228"/>
    </w:p>
    <w:p w14:paraId="453BB516">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229" w:name="_Toc423897279"/>
      <w:bookmarkStart w:id="230" w:name="_Toc91064136"/>
      <w:bookmarkStart w:id="231" w:name="_Toc110456654"/>
      <w:bookmarkStart w:id="232" w:name="_Toc449453938"/>
      <w:bookmarkStart w:id="233" w:name="_Toc426148471"/>
      <w:bookmarkStart w:id="234" w:name="_Toc448153452"/>
      <w:bookmarkStart w:id="235" w:name="_Toc45198494"/>
      <w:bookmarkStart w:id="236" w:name="_Toc427834223"/>
      <w:bookmarkStart w:id="237" w:name="_Toc3138"/>
      <w:bookmarkStart w:id="238" w:name="_Toc520563388"/>
      <w:bookmarkStart w:id="239" w:name="_Toc520671486"/>
      <w:r>
        <w:rPr>
          <w:rFonts w:hint="eastAsia" w:ascii="黑体" w:hAnsi="黑体" w:eastAsia="黑体"/>
          <w:sz w:val="24"/>
          <w:szCs w:val="24"/>
        </w:rPr>
        <w:t>3.7.1管道工程设计</w:t>
      </w:r>
      <w:bookmarkEnd w:id="229"/>
      <w:bookmarkEnd w:id="230"/>
      <w:bookmarkEnd w:id="231"/>
      <w:bookmarkEnd w:id="232"/>
      <w:bookmarkEnd w:id="233"/>
      <w:bookmarkEnd w:id="234"/>
      <w:bookmarkEnd w:id="235"/>
      <w:bookmarkEnd w:id="236"/>
      <w:bookmarkEnd w:id="237"/>
      <w:bookmarkEnd w:id="238"/>
      <w:bookmarkEnd w:id="239"/>
    </w:p>
    <w:p w14:paraId="5351CBA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p>
    <w:p w14:paraId="16F15F0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进行施工放样前先校核施工图纸，按施工图纸提供的路线及位置，定出管道线路走向。认真详细做好记录，必要时应附示意图方便资料的整理。</w:t>
      </w:r>
    </w:p>
    <w:p w14:paraId="0335B3E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施工中沥青和水泥混凝路面采取横平竖直开挖，人行道按沿砖缝线开挖，路面恢复后应平整、不积水，并保持施工完后路面的完整。</w:t>
      </w:r>
    </w:p>
    <w:p w14:paraId="1EAB75A8">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r>
        <w:rPr>
          <w:rFonts w:hint="eastAsia" w:ascii="宋体" w:hAnsi="宋体" w:eastAsia="宋体"/>
          <w:b/>
          <w:sz w:val="24"/>
          <w:szCs w:val="24"/>
        </w:rPr>
        <w:t>（</w:t>
      </w:r>
      <w:r>
        <w:rPr>
          <w:rFonts w:ascii="宋体" w:hAnsi="宋体" w:eastAsia="宋体"/>
          <w:b/>
          <w:sz w:val="24"/>
          <w:szCs w:val="24"/>
        </w:rPr>
        <w:t>1</w:t>
      </w:r>
      <w:r>
        <w:rPr>
          <w:rFonts w:hint="eastAsia" w:ascii="宋体" w:hAnsi="宋体" w:eastAsia="宋体"/>
          <w:b/>
          <w:sz w:val="24"/>
          <w:szCs w:val="24"/>
        </w:rPr>
        <w:t>）</w:t>
      </w:r>
      <w:r>
        <w:rPr>
          <w:rFonts w:ascii="宋体" w:hAnsi="宋体" w:eastAsia="宋体"/>
          <w:b/>
          <w:sz w:val="24"/>
          <w:szCs w:val="24"/>
        </w:rPr>
        <w:t>、沥青路面挖掘及恢复施工：</w:t>
      </w:r>
    </w:p>
    <w:p w14:paraId="4B1799F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1）现场打围后，严格按照设计施工图进行测量放线；</w:t>
      </w:r>
    </w:p>
    <w:p w14:paraId="5F3E9CD7">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2）现场复核后按照放线位置进行路面切割，保证切割的直顺度，人工破除路面及基层；</w:t>
      </w:r>
    </w:p>
    <w:p w14:paraId="6276334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3）为避免道路恢复后路面下沉，管道沟槽开挖后形成</w:t>
      </w:r>
      <w:r>
        <w:rPr>
          <w:rFonts w:hint="eastAsia" w:ascii="宋体" w:hAnsi="宋体" w:eastAsia="宋体" w:cs="Times New Roman"/>
          <w:sz w:val="24"/>
          <w:szCs w:val="24"/>
        </w:rPr>
        <w:t>V</w:t>
      </w:r>
      <w:r>
        <w:rPr>
          <w:rFonts w:ascii="宋体" w:hAnsi="宋体" w:eastAsia="宋体" w:cs="Times New Roman"/>
          <w:sz w:val="24"/>
          <w:szCs w:val="24"/>
        </w:rPr>
        <w:t>形沟槽,搭肩宽度为 100 mm。</w:t>
      </w:r>
    </w:p>
    <w:p w14:paraId="49E2AB5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4）沥青路面开挖宽度为</w:t>
      </w:r>
      <w:r>
        <w:rPr>
          <w:rFonts w:hint="eastAsia" w:ascii="宋体" w:hAnsi="宋体" w:eastAsia="宋体" w:cs="Times New Roman"/>
          <w:sz w:val="24"/>
          <w:szCs w:val="24"/>
        </w:rPr>
        <w:t>60</w:t>
      </w:r>
      <w:r>
        <w:rPr>
          <w:rFonts w:ascii="宋体" w:hAnsi="宋体" w:eastAsia="宋体" w:cs="Times New Roman"/>
          <w:sz w:val="24"/>
          <w:szCs w:val="24"/>
        </w:rPr>
        <w:t xml:space="preserve">0mm，沟槽总深度为 </w:t>
      </w:r>
      <w:r>
        <w:rPr>
          <w:rFonts w:hint="eastAsia" w:ascii="宋体" w:hAnsi="宋体" w:eastAsia="宋体" w:cs="Times New Roman"/>
          <w:sz w:val="24"/>
          <w:szCs w:val="24"/>
        </w:rPr>
        <w:t>8</w:t>
      </w:r>
      <w:r>
        <w:rPr>
          <w:rFonts w:ascii="宋体" w:hAnsi="宋体" w:eastAsia="宋体" w:cs="Times New Roman"/>
          <w:sz w:val="24"/>
          <w:szCs w:val="24"/>
        </w:rPr>
        <w:t>00mm。</w:t>
      </w:r>
    </w:p>
    <w:p w14:paraId="5D56BC8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5）沟底土基土质较差时应换尽不良土，沟底土须碾压密实后敷设管道，要求土基回弹模量 Eo≥35Mpa，压实度要求≥95%。</w:t>
      </w:r>
    </w:p>
    <w:p w14:paraId="1BE91BB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6）管道敷设后采用最终强度可达 80～90Mpa 的（快干、早强）C25 混凝土浇灌至离路面100 mm 位置。</w:t>
      </w:r>
    </w:p>
    <w:p w14:paraId="1FAF510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7）C25 混凝土至离路面 100 mm 位置采用热沥青罩面，用压实机具进行夯实。为保证沥青路面恢复质量，沥青路面恢复由指定专业道路管护单位统一安排施工。</w:t>
      </w:r>
    </w:p>
    <w:p w14:paraId="6E9B3785">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r>
        <w:rPr>
          <w:rFonts w:hint="eastAsia" w:ascii="宋体" w:hAnsi="宋体" w:eastAsia="宋体"/>
          <w:b/>
          <w:sz w:val="24"/>
          <w:szCs w:val="24"/>
        </w:rPr>
        <w:t>（</w:t>
      </w:r>
      <w:r>
        <w:rPr>
          <w:rFonts w:ascii="宋体" w:hAnsi="宋体" w:eastAsia="宋体"/>
          <w:b/>
          <w:sz w:val="24"/>
          <w:szCs w:val="24"/>
        </w:rPr>
        <w:t>2</w:t>
      </w:r>
      <w:r>
        <w:rPr>
          <w:rFonts w:hint="eastAsia" w:ascii="宋体" w:hAnsi="宋体" w:eastAsia="宋体"/>
          <w:b/>
          <w:sz w:val="24"/>
          <w:szCs w:val="24"/>
        </w:rPr>
        <w:t>）</w:t>
      </w:r>
      <w:r>
        <w:rPr>
          <w:rFonts w:ascii="宋体" w:hAnsi="宋体" w:eastAsia="宋体"/>
          <w:b/>
          <w:sz w:val="24"/>
          <w:szCs w:val="24"/>
        </w:rPr>
        <w:t>、水泥混凝土路面挖掘及恢复施工：</w:t>
      </w:r>
    </w:p>
    <w:p w14:paraId="328655E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1）现场打围后，严格按照设计施工图进行测量放线；</w:t>
      </w:r>
    </w:p>
    <w:p w14:paraId="6D31D43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2）现场复核后按照放线位置进行路面切割，保证切割的直顺度，人工破除路面及基层；</w:t>
      </w:r>
    </w:p>
    <w:p w14:paraId="5C99C7A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3）为避免道路恢复后路面下沉，管道沟槽开挖后形成</w:t>
      </w:r>
      <w:r>
        <w:rPr>
          <w:rFonts w:hint="eastAsia" w:ascii="宋体" w:hAnsi="宋体" w:eastAsia="宋体" w:cs="Times New Roman"/>
          <w:sz w:val="24"/>
          <w:szCs w:val="24"/>
        </w:rPr>
        <w:t>V</w:t>
      </w:r>
      <w:r>
        <w:rPr>
          <w:rFonts w:ascii="宋体" w:hAnsi="宋体" w:eastAsia="宋体" w:cs="Times New Roman"/>
          <w:sz w:val="24"/>
          <w:szCs w:val="24"/>
        </w:rPr>
        <w:t>形沟槽,搭肩宽度为100 mm。</w:t>
      </w:r>
    </w:p>
    <w:p w14:paraId="7941887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4）为减少对水泥路面的伤害，开挖沟槽应尽量选择伸缩缝作为一边开挖线。</w:t>
      </w:r>
    </w:p>
    <w:p w14:paraId="1DDC046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5）水泥混凝土路面开挖宽度</w:t>
      </w:r>
      <w:r>
        <w:rPr>
          <w:rFonts w:hint="eastAsia" w:ascii="宋体" w:hAnsi="宋体" w:eastAsia="宋体" w:cs="Times New Roman"/>
          <w:sz w:val="24"/>
          <w:szCs w:val="24"/>
        </w:rPr>
        <w:t>600</w:t>
      </w:r>
      <w:r>
        <w:rPr>
          <w:rFonts w:ascii="宋体" w:hAnsi="宋体" w:eastAsia="宋体" w:cs="Times New Roman"/>
          <w:sz w:val="24"/>
          <w:szCs w:val="24"/>
        </w:rPr>
        <w:t>mm，沟槽总深度为</w:t>
      </w:r>
      <w:r>
        <w:rPr>
          <w:rFonts w:hint="eastAsia" w:ascii="宋体" w:hAnsi="宋体" w:eastAsia="宋体" w:cs="Times New Roman"/>
          <w:sz w:val="24"/>
          <w:szCs w:val="24"/>
        </w:rPr>
        <w:t>8</w:t>
      </w:r>
      <w:r>
        <w:rPr>
          <w:rFonts w:ascii="宋体" w:hAnsi="宋体" w:eastAsia="宋体" w:cs="Times New Roman"/>
          <w:sz w:val="24"/>
          <w:szCs w:val="24"/>
        </w:rPr>
        <w:t>00mm。</w:t>
      </w:r>
    </w:p>
    <w:p w14:paraId="50A92A9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6）沟底土基土质较差时应换尽不良土，沟底土须碾压密实后敷设管道，要求土基回弹模量 Eo≥35Mpa，压实度要求≥95%。</w:t>
      </w:r>
    </w:p>
    <w:p w14:paraId="079302D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7）管道敷设后采用最终强度可达80～90Mpa 的（快干、早强）C25 混凝土浇灌至原路面位置。</w:t>
      </w:r>
    </w:p>
    <w:p w14:paraId="1FE27C2E">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r>
        <w:rPr>
          <w:rFonts w:hint="eastAsia" w:ascii="宋体" w:hAnsi="宋体" w:eastAsia="宋体"/>
          <w:b/>
          <w:sz w:val="24"/>
          <w:szCs w:val="24"/>
        </w:rPr>
        <w:t>（</w:t>
      </w:r>
      <w:r>
        <w:rPr>
          <w:rFonts w:ascii="宋体" w:hAnsi="宋体" w:eastAsia="宋体"/>
          <w:b/>
          <w:sz w:val="24"/>
          <w:szCs w:val="24"/>
        </w:rPr>
        <w:t>3</w:t>
      </w:r>
      <w:r>
        <w:rPr>
          <w:rFonts w:hint="eastAsia" w:ascii="宋体" w:hAnsi="宋体" w:eastAsia="宋体"/>
          <w:b/>
          <w:sz w:val="24"/>
          <w:szCs w:val="24"/>
        </w:rPr>
        <w:t>）</w:t>
      </w:r>
      <w:r>
        <w:rPr>
          <w:rFonts w:ascii="宋体" w:hAnsi="宋体" w:eastAsia="宋体"/>
          <w:b/>
          <w:sz w:val="24"/>
          <w:szCs w:val="24"/>
        </w:rPr>
        <w:t>、人行道路面挖掘及恢复施工：</w:t>
      </w:r>
    </w:p>
    <w:p w14:paraId="3A8663D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1）现场打围后，严格按照设计施工图进行测量放线；</w:t>
      </w:r>
    </w:p>
    <w:p w14:paraId="20B95E9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2）现场复核后按照放线位置进行路面切割，保证切割的直顺度，人工破除路面及基层；</w:t>
      </w:r>
    </w:p>
    <w:p w14:paraId="03BE2CD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3）为避免道路恢复后路面下沉，管道沟槽开挖后形成</w:t>
      </w:r>
      <w:r>
        <w:rPr>
          <w:rFonts w:hint="eastAsia" w:ascii="宋体" w:hAnsi="宋体" w:eastAsia="宋体" w:cs="Times New Roman"/>
          <w:sz w:val="24"/>
          <w:szCs w:val="24"/>
        </w:rPr>
        <w:t>V</w:t>
      </w:r>
      <w:r>
        <w:rPr>
          <w:rFonts w:ascii="宋体" w:hAnsi="宋体" w:eastAsia="宋体" w:cs="Times New Roman"/>
          <w:sz w:val="24"/>
          <w:szCs w:val="24"/>
        </w:rPr>
        <w:t>形沟槽。</w:t>
      </w:r>
    </w:p>
    <w:p w14:paraId="472051D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4）人行道路面开挖沟槽应尽量选择花砖缝作为开挖线，应根据花砖宽度调整开挖宽度，</w:t>
      </w:r>
      <w:r>
        <w:rPr>
          <w:rFonts w:hint="eastAsia" w:ascii="宋体" w:hAnsi="宋体" w:eastAsia="宋体" w:cs="Times New Roman"/>
          <w:sz w:val="24"/>
          <w:szCs w:val="24"/>
        </w:rPr>
        <w:t>开挖宽度不低于400mm，</w:t>
      </w:r>
      <w:r>
        <w:rPr>
          <w:rFonts w:ascii="宋体" w:hAnsi="宋体" w:eastAsia="宋体" w:cs="Times New Roman"/>
          <w:sz w:val="24"/>
          <w:szCs w:val="24"/>
        </w:rPr>
        <w:t>沟槽总深度为 600mm。</w:t>
      </w:r>
    </w:p>
    <w:p w14:paraId="2A555A8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5）沟底土基土质较差时应换尽不良土，沟底土须碾压密实后敷设管道，要求土基回弹模量 Eo≥35Mpa，压实度要求≥95%。</w:t>
      </w:r>
    </w:p>
    <w:p w14:paraId="245EE26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6）人行道路恢复选用与原人行道路面相同材料对路面进行恢复，达到与原路面材料颜色花纹协调一致。</w:t>
      </w:r>
    </w:p>
    <w:p w14:paraId="550A017A">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r>
        <w:rPr>
          <w:rFonts w:hint="eastAsia" w:ascii="宋体" w:hAnsi="宋体" w:eastAsia="宋体"/>
          <w:b/>
          <w:sz w:val="24"/>
          <w:szCs w:val="24"/>
        </w:rPr>
        <w:t>(</w:t>
      </w:r>
      <w:r>
        <w:rPr>
          <w:rFonts w:ascii="宋体" w:hAnsi="宋体" w:eastAsia="宋体"/>
          <w:b/>
          <w:sz w:val="24"/>
          <w:szCs w:val="24"/>
        </w:rPr>
        <w:t>4</w:t>
      </w:r>
      <w:r>
        <w:rPr>
          <w:rFonts w:hint="eastAsia" w:ascii="宋体" w:hAnsi="宋体" w:eastAsia="宋体"/>
          <w:b/>
          <w:sz w:val="24"/>
          <w:szCs w:val="24"/>
        </w:rPr>
        <w:t>)</w:t>
      </w:r>
      <w:r>
        <w:rPr>
          <w:rFonts w:ascii="宋体" w:hAnsi="宋体" w:eastAsia="宋体"/>
          <w:b/>
          <w:sz w:val="24"/>
          <w:szCs w:val="24"/>
        </w:rPr>
        <w:t>、绿化带管道开挖及恢复：</w:t>
      </w:r>
    </w:p>
    <w:p w14:paraId="4873052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1)现场打围后，严格按照设计施工图进行测量放线；</w:t>
      </w:r>
    </w:p>
    <w:p w14:paraId="6AF2CAC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2)现场复核后按照放线位置绿化带的开挖，开挖时注意对管道外的绿化的保护；</w:t>
      </w:r>
    </w:p>
    <w:p w14:paraId="7DF02D0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3)绿化带管道开挖宽度为4</w:t>
      </w:r>
      <w:r>
        <w:rPr>
          <w:rFonts w:hint="eastAsia" w:ascii="宋体" w:hAnsi="宋体" w:eastAsia="宋体" w:cs="Times New Roman"/>
          <w:sz w:val="24"/>
          <w:szCs w:val="24"/>
        </w:rPr>
        <w:t>0</w:t>
      </w:r>
      <w:r>
        <w:rPr>
          <w:rFonts w:ascii="宋体" w:hAnsi="宋体" w:eastAsia="宋体" w:cs="Times New Roman"/>
          <w:sz w:val="24"/>
          <w:szCs w:val="24"/>
        </w:rPr>
        <w:t>0mm，沟槽总深度为600mm。</w:t>
      </w:r>
    </w:p>
    <w:p w14:paraId="26C43E2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4）沟底土基土质较差时应换尽不良土，沟底土须碾压密实后敷设管道，要求土基回弹模量 Eo≥35Mpa，压实度要求≥95%。</w:t>
      </w:r>
    </w:p>
    <w:p w14:paraId="64A31A1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5）管道敷设后将其恢复成原绿化带的标准。</w:t>
      </w:r>
    </w:p>
    <w:p w14:paraId="7F51C20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p>
    <w:p w14:paraId="4EFDE7BC">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240" w:name="_Toc426148473"/>
      <w:bookmarkStart w:id="241" w:name="_Toc520563390"/>
      <w:bookmarkStart w:id="242" w:name="_Toc91064137"/>
      <w:bookmarkStart w:id="243" w:name="_Toc448153454"/>
      <w:bookmarkStart w:id="244" w:name="_Toc1914"/>
      <w:bookmarkStart w:id="245" w:name="_Toc520671488"/>
      <w:bookmarkStart w:id="246" w:name="_Toc449453940"/>
      <w:bookmarkStart w:id="247" w:name="_Toc45198496"/>
      <w:bookmarkStart w:id="248" w:name="_Toc427834225"/>
      <w:bookmarkStart w:id="249" w:name="_Toc110456655"/>
      <w:bookmarkStart w:id="250" w:name="_Toc423897281"/>
      <w:r>
        <w:rPr>
          <w:rFonts w:hint="eastAsia" w:ascii="黑体" w:hAnsi="黑体" w:eastAsia="黑体"/>
          <w:sz w:val="24"/>
          <w:szCs w:val="24"/>
        </w:rPr>
        <w:t>3.7.2窨井设计</w:t>
      </w:r>
      <w:bookmarkEnd w:id="240"/>
      <w:bookmarkEnd w:id="241"/>
      <w:bookmarkEnd w:id="242"/>
      <w:bookmarkEnd w:id="243"/>
      <w:bookmarkEnd w:id="244"/>
      <w:bookmarkEnd w:id="245"/>
      <w:bookmarkEnd w:id="246"/>
      <w:bookmarkEnd w:id="247"/>
      <w:bookmarkEnd w:id="248"/>
      <w:bookmarkEnd w:id="249"/>
      <w:bookmarkEnd w:id="250"/>
    </w:p>
    <w:p w14:paraId="10A7CC7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1</w:t>
      </w:r>
      <w:r>
        <w:rPr>
          <w:rFonts w:hint="eastAsia" w:ascii="宋体" w:hAnsi="宋体" w:eastAsia="宋体" w:cs="Times New Roman"/>
          <w:sz w:val="24"/>
          <w:szCs w:val="24"/>
        </w:rPr>
        <w:t>）</w:t>
      </w:r>
      <w:r>
        <w:rPr>
          <w:rFonts w:ascii="宋体" w:hAnsi="宋体" w:eastAsia="宋体" w:cs="Times New Roman"/>
          <w:sz w:val="24"/>
          <w:szCs w:val="24"/>
        </w:rPr>
        <w:t>砌筑前校核基础尺寸及高程，测放出井中及砌筑边线。灰砂砖在建筑前用水湿润，含水量为 10%~15%，砂浆配合比由实验室确定。</w:t>
      </w:r>
    </w:p>
    <w:p w14:paraId="6BBB183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2</w:t>
      </w:r>
      <w:r>
        <w:rPr>
          <w:rFonts w:hint="eastAsia" w:ascii="宋体" w:hAnsi="宋体" w:eastAsia="宋体" w:cs="Times New Roman"/>
          <w:sz w:val="24"/>
          <w:szCs w:val="24"/>
        </w:rPr>
        <w:t>）</w:t>
      </w:r>
      <w:r>
        <w:rPr>
          <w:rFonts w:ascii="宋体" w:hAnsi="宋体" w:eastAsia="宋体" w:cs="Times New Roman"/>
          <w:sz w:val="24"/>
          <w:szCs w:val="24"/>
        </w:rPr>
        <w:t>基础砌筑前，基垫层表面应清扫干净，淋水湿润。</w:t>
      </w:r>
    </w:p>
    <w:p w14:paraId="74A76AB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3</w:t>
      </w:r>
      <w:r>
        <w:rPr>
          <w:rFonts w:hint="eastAsia" w:ascii="宋体" w:hAnsi="宋体" w:eastAsia="宋体" w:cs="Times New Roman"/>
          <w:sz w:val="24"/>
          <w:szCs w:val="24"/>
        </w:rPr>
        <w:t>）</w:t>
      </w:r>
      <w:r>
        <w:rPr>
          <w:rFonts w:ascii="宋体" w:hAnsi="宋体" w:eastAsia="宋体" w:cs="Times New Roman"/>
          <w:sz w:val="24"/>
          <w:szCs w:val="24"/>
        </w:rPr>
        <w:t>砌筑时须挂线施工：先挂线对中点，砌筑时经常以此垂线对中点，用钢尺检查各边尺寸、距离是否符合要求。保证方井砌筑时墙体垂直，井口方正。</w:t>
      </w:r>
    </w:p>
    <w:p w14:paraId="1D28FAC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4</w:t>
      </w:r>
      <w:r>
        <w:rPr>
          <w:rFonts w:hint="eastAsia" w:ascii="宋体" w:hAnsi="宋体" w:eastAsia="宋体" w:cs="Times New Roman"/>
          <w:sz w:val="24"/>
          <w:szCs w:val="24"/>
        </w:rPr>
        <w:t>）</w:t>
      </w:r>
      <w:r>
        <w:rPr>
          <w:rFonts w:ascii="宋体" w:hAnsi="宋体" w:eastAsia="宋体" w:cs="Times New Roman"/>
          <w:sz w:val="24"/>
          <w:szCs w:val="24"/>
        </w:rPr>
        <w:t>砌筑宜采用一铲灰，一块砖，一挤揉的砌法。砌体应分层，上下错缝，内外搭接，砌体的转角处和交接处应同时砌筑，不能同时砌筑的应用梯级槎。</w:t>
      </w:r>
    </w:p>
    <w:p w14:paraId="0D4BDF0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5</w:t>
      </w:r>
      <w:r>
        <w:rPr>
          <w:rFonts w:hint="eastAsia" w:ascii="宋体" w:hAnsi="宋体" w:eastAsia="宋体" w:cs="Times New Roman"/>
          <w:sz w:val="24"/>
          <w:szCs w:val="24"/>
        </w:rPr>
        <w:t>）</w:t>
      </w:r>
      <w:r>
        <w:rPr>
          <w:rFonts w:ascii="宋体" w:hAnsi="宋体" w:eastAsia="宋体" w:cs="Times New Roman"/>
          <w:sz w:val="24"/>
          <w:szCs w:val="24"/>
        </w:rPr>
        <w:t>砌筑圆形检查井时要注意圆度。挂线校核内径，收口段每皮检查，看有无偏移。井下部干管伸入处，特别是管底两侧要用砂浆碎砖捣插密实，使其不渗漏，收口高度事先算出，按每层缩入2cm，即每圈缩入4cm计算。</w:t>
      </w:r>
    </w:p>
    <w:p w14:paraId="763C460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6</w:t>
      </w:r>
      <w:r>
        <w:rPr>
          <w:rFonts w:hint="eastAsia" w:ascii="宋体" w:hAnsi="宋体" w:eastAsia="宋体" w:cs="Times New Roman"/>
          <w:sz w:val="24"/>
          <w:szCs w:val="24"/>
        </w:rPr>
        <w:t>）</w:t>
      </w:r>
      <w:r>
        <w:rPr>
          <w:rFonts w:ascii="宋体" w:hAnsi="宋体" w:eastAsia="宋体" w:cs="Times New Roman"/>
          <w:sz w:val="24"/>
          <w:szCs w:val="24"/>
        </w:rPr>
        <w:t>水泥砂浆必须在4h内用完，不得使用过夜砂浆。</w:t>
      </w:r>
    </w:p>
    <w:p w14:paraId="17EEF4F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7</w:t>
      </w:r>
      <w:r>
        <w:rPr>
          <w:rFonts w:hint="eastAsia" w:ascii="宋体" w:hAnsi="宋体" w:eastAsia="宋体" w:cs="Times New Roman"/>
          <w:sz w:val="24"/>
          <w:szCs w:val="24"/>
        </w:rPr>
        <w:t>）</w:t>
      </w:r>
      <w:r>
        <w:rPr>
          <w:rFonts w:ascii="宋体" w:hAnsi="宋体" w:eastAsia="宋体" w:cs="Times New Roman"/>
          <w:sz w:val="24"/>
          <w:szCs w:val="24"/>
        </w:rPr>
        <w:t>检查井的井环用 1:2 水泥砂浆固定。井环面应与路面标高相同。</w:t>
      </w:r>
    </w:p>
    <w:p w14:paraId="43E5EED7">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251" w:name="_Toc45198497"/>
      <w:bookmarkStart w:id="252" w:name="_Toc520563391"/>
      <w:bookmarkStart w:id="253" w:name="_Toc110456656"/>
      <w:bookmarkStart w:id="254" w:name="_Toc6260"/>
      <w:bookmarkStart w:id="255" w:name="_Toc91064138"/>
      <w:bookmarkStart w:id="256" w:name="_Toc520671489"/>
      <w:bookmarkStart w:id="257" w:name="_Toc426148476"/>
      <w:bookmarkStart w:id="258" w:name="_Toc423897284"/>
      <w:bookmarkStart w:id="259" w:name="_Toc449453943"/>
      <w:bookmarkStart w:id="260" w:name="_Toc448153457"/>
      <w:bookmarkStart w:id="261" w:name="_Toc427834228"/>
      <w:r>
        <w:rPr>
          <w:rFonts w:hint="eastAsia" w:ascii="黑体" w:hAnsi="黑体" w:eastAsia="黑体"/>
          <w:sz w:val="24"/>
          <w:szCs w:val="24"/>
        </w:rPr>
        <w:t>3.7.3线缆敷设工程设计</w:t>
      </w:r>
      <w:bookmarkEnd w:id="251"/>
      <w:bookmarkEnd w:id="252"/>
      <w:bookmarkEnd w:id="253"/>
      <w:bookmarkEnd w:id="254"/>
      <w:bookmarkEnd w:id="255"/>
      <w:bookmarkEnd w:id="256"/>
    </w:p>
    <w:p w14:paraId="2ECE11EA">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bookmarkStart w:id="262" w:name="_Toc520671490"/>
      <w:bookmarkStart w:id="263" w:name="_Toc520563392"/>
      <w:bookmarkStart w:id="264" w:name="_Toc45198498"/>
      <w:r>
        <w:rPr>
          <w:rFonts w:ascii="宋体" w:hAnsi="宋体" w:eastAsia="宋体"/>
          <w:b/>
          <w:sz w:val="24"/>
          <w:szCs w:val="24"/>
        </w:rPr>
        <w:t>供电</w:t>
      </w:r>
      <w:r>
        <w:rPr>
          <w:rFonts w:hint="eastAsia" w:ascii="宋体" w:hAnsi="宋体" w:eastAsia="宋体"/>
          <w:b/>
          <w:sz w:val="24"/>
          <w:szCs w:val="24"/>
        </w:rPr>
        <w:t>线缆敷设</w:t>
      </w:r>
      <w:bookmarkEnd w:id="257"/>
      <w:bookmarkEnd w:id="258"/>
      <w:bookmarkEnd w:id="259"/>
      <w:bookmarkEnd w:id="260"/>
      <w:bookmarkEnd w:id="261"/>
      <w:bookmarkEnd w:id="262"/>
      <w:bookmarkEnd w:id="263"/>
      <w:bookmarkEnd w:id="264"/>
    </w:p>
    <w:p w14:paraId="1996F576">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bookmarkStart w:id="265" w:name="_Toc423897285"/>
      <w:bookmarkStart w:id="266" w:name="_Toc427834229"/>
      <w:bookmarkStart w:id="267" w:name="_Toc426148477"/>
      <w:bookmarkStart w:id="268" w:name="_Toc449453944"/>
      <w:bookmarkStart w:id="269" w:name="_Toc448153458"/>
      <w:bookmarkStart w:id="270" w:name="_Toc520671491"/>
      <w:bookmarkStart w:id="271" w:name="_Toc520563393"/>
      <w:r>
        <w:rPr>
          <w:rFonts w:ascii="宋体" w:hAnsi="宋体" w:eastAsia="宋体"/>
          <w:b/>
          <w:sz w:val="24"/>
          <w:szCs w:val="24"/>
        </w:rPr>
        <w:t>一般要求</w:t>
      </w:r>
      <w:bookmarkEnd w:id="265"/>
      <w:bookmarkEnd w:id="266"/>
      <w:bookmarkEnd w:id="267"/>
      <w:bookmarkEnd w:id="268"/>
      <w:bookmarkEnd w:id="269"/>
      <w:bookmarkEnd w:id="270"/>
      <w:bookmarkEnd w:id="271"/>
    </w:p>
    <w:p w14:paraId="365474D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运到现场的电缆及材料均应核对其型号、规格符合设计要求，并有合格证。</w:t>
      </w:r>
    </w:p>
    <w:p w14:paraId="1F81519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检查电缆及材料外观无损伤和缺陷。</w:t>
      </w:r>
    </w:p>
    <w:p w14:paraId="64401D5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卸货和搬运作业时，均不得使设备或外来物体接触到电缆表面。</w:t>
      </w:r>
    </w:p>
    <w:p w14:paraId="07F03C4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在任何情况下，均不得将电缆盘从所载运的车辆上推到地面上。</w:t>
      </w:r>
    </w:p>
    <w:p w14:paraId="08CBE0C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经切割的电缆两端应立即密封，以避免潮气侵入。</w:t>
      </w:r>
    </w:p>
    <w:p w14:paraId="6822E1F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bookmarkStart w:id="272" w:name="_Toc427834230"/>
      <w:bookmarkStart w:id="273" w:name="_Toc520671492"/>
      <w:bookmarkStart w:id="274" w:name="_Toc520563394"/>
      <w:bookmarkStart w:id="275" w:name="_Toc448153459"/>
      <w:bookmarkStart w:id="276" w:name="_Toc426148478"/>
      <w:bookmarkStart w:id="277" w:name="_Toc449453945"/>
      <w:bookmarkStart w:id="278" w:name="_Toc423897286"/>
      <w:r>
        <w:rPr>
          <w:rFonts w:ascii="宋体" w:hAnsi="宋体" w:eastAsia="宋体" w:cs="Times New Roman"/>
          <w:sz w:val="24"/>
          <w:szCs w:val="24"/>
        </w:rPr>
        <w:t>电缆导管敷设</w:t>
      </w:r>
      <w:bookmarkEnd w:id="272"/>
      <w:bookmarkEnd w:id="273"/>
      <w:bookmarkEnd w:id="274"/>
      <w:bookmarkEnd w:id="275"/>
      <w:bookmarkEnd w:id="276"/>
      <w:bookmarkEnd w:id="277"/>
      <w:bookmarkEnd w:id="278"/>
    </w:p>
    <w:p w14:paraId="6AD7605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管口切割以后，内边缘必须锉平。</w:t>
      </w:r>
    </w:p>
    <w:p w14:paraId="49DEC5DA">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r>
        <w:rPr>
          <w:rFonts w:ascii="宋体" w:hAnsi="宋体" w:eastAsia="宋体"/>
          <w:b/>
          <w:sz w:val="24"/>
          <w:szCs w:val="24"/>
        </w:rPr>
        <w:t>导线管必须冷弯，弯曲半径符合规范要求。</w:t>
      </w:r>
    </w:p>
    <w:p w14:paraId="344D2A2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埋地导管在安装预制前，先按施工图确定好路径，安装好的导管要用非木质件固定并随导管一起埋入地坪，导管埋深符合规范要求。</w:t>
      </w:r>
    </w:p>
    <w:p w14:paraId="60608D0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在地面上敷设的导管要适当地固定在附近的结构或支架上，接线盒的安装要避免雨水进入。</w:t>
      </w:r>
    </w:p>
    <w:p w14:paraId="6CC105B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镀锌管锌层剥落处应涂以防腐漆。</w:t>
      </w:r>
    </w:p>
    <w:p w14:paraId="658CC627">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r>
        <w:rPr>
          <w:rFonts w:ascii="宋体" w:hAnsi="宋体" w:eastAsia="宋体"/>
          <w:b/>
          <w:sz w:val="24"/>
          <w:szCs w:val="24"/>
        </w:rPr>
        <w:t>电缆敷设前准备</w:t>
      </w:r>
    </w:p>
    <w:p w14:paraId="3BF789A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根据电缆到货长度，敷设长度编制电缆分配表，分列各编号电缆的起点、终点、长度及分配盘号。</w:t>
      </w:r>
    </w:p>
    <w:p w14:paraId="5D5AA47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根据现场电缆分布情况和电缆分配表，安排电缆敷设顺序，宜先远后近，先集中后分散。</w:t>
      </w:r>
    </w:p>
    <w:p w14:paraId="477DFE1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电缆敷设前需对每盘电缆进行导通性和绝缘性检查，合格电缆方可敷设，绝缘检查低压电缆用500VM表测试。</w:t>
      </w:r>
    </w:p>
    <w:p w14:paraId="396D07E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电缆型号、规格等应符合设计要求，外观良好，保护层无破损。</w:t>
      </w:r>
    </w:p>
    <w:p w14:paraId="28D3199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电缆槽/托盘安装完，直埋电缆区域无土方开挖，电缆保护管预埋工作已完成，导管中穿好铁丝。</w:t>
      </w:r>
    </w:p>
    <w:p w14:paraId="7E552D1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设计一个合适的表格，记录每个电缆盘每次提取的电缆数量和剩余的电缆数量。</w:t>
      </w:r>
    </w:p>
    <w:p w14:paraId="06509D61">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r>
        <w:rPr>
          <w:rFonts w:ascii="宋体" w:hAnsi="宋体" w:eastAsia="宋体"/>
          <w:b/>
          <w:sz w:val="24"/>
          <w:szCs w:val="24"/>
        </w:rPr>
        <w:t>管内穿线</w:t>
      </w:r>
    </w:p>
    <w:p w14:paraId="0BED5912">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ascii="宋体" w:hAnsi="宋体" w:eastAsia="宋体"/>
          <w:sz w:val="24"/>
          <w:szCs w:val="24"/>
        </w:rPr>
        <w:t>对穿管敷设的绝缘导线，其额定电压不低于 500V。</w:t>
      </w:r>
    </w:p>
    <w:p w14:paraId="475FCB5E">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ascii="宋体" w:hAnsi="宋体" w:eastAsia="宋体"/>
          <w:sz w:val="24"/>
          <w:szCs w:val="24"/>
        </w:rPr>
        <w:t>不同回路、不同电压等级的导线，不穿在同一根管内。</w:t>
      </w:r>
    </w:p>
    <w:p w14:paraId="0ECAD2F3">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ascii="宋体" w:hAnsi="宋体" w:eastAsia="宋体"/>
          <w:sz w:val="24"/>
          <w:szCs w:val="24"/>
        </w:rPr>
        <w:t>同类供电的几个回路可穿入同一根管内，但管内导线总数不多于 8 根。</w:t>
      </w:r>
    </w:p>
    <w:p w14:paraId="1537F22A">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ascii="宋体" w:hAnsi="宋体" w:eastAsia="宋体"/>
          <w:sz w:val="24"/>
          <w:szCs w:val="24"/>
        </w:rPr>
        <w:t>同一交流回路的导线穿于同一钢管内。</w:t>
      </w:r>
    </w:p>
    <w:p w14:paraId="599C6710">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ascii="宋体" w:hAnsi="宋体" w:eastAsia="宋体"/>
          <w:sz w:val="24"/>
          <w:szCs w:val="24"/>
        </w:rPr>
        <w:t>导线在管内无接头和扭结，接头设在接线盒（箱）内。</w:t>
      </w:r>
    </w:p>
    <w:p w14:paraId="5E48DBC8">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ascii="宋体" w:hAnsi="宋体" w:eastAsia="宋体"/>
          <w:sz w:val="24"/>
          <w:szCs w:val="24"/>
        </w:rPr>
        <w:t>管内导线包括绝缘层在内的总截面积不大于管子内空截面积的 40％。</w:t>
      </w:r>
    </w:p>
    <w:p w14:paraId="65C3AC14">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r>
        <w:rPr>
          <w:rFonts w:ascii="宋体" w:hAnsi="宋体" w:eastAsia="宋体"/>
          <w:b/>
          <w:sz w:val="24"/>
          <w:szCs w:val="24"/>
        </w:rPr>
        <w:t>接头连接和终端连接</w:t>
      </w:r>
    </w:p>
    <w:p w14:paraId="30C2AECB">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ascii="宋体" w:hAnsi="宋体" w:eastAsia="宋体"/>
          <w:sz w:val="24"/>
          <w:szCs w:val="24"/>
        </w:rPr>
        <w:t>电力电缆终端头的制作，必须按制造厂提供的详图由熟悉制作工艺的人员进行。</w:t>
      </w:r>
    </w:p>
    <w:p w14:paraId="4858598E">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ascii="宋体" w:hAnsi="宋体" w:eastAsia="宋体"/>
          <w:sz w:val="24"/>
          <w:szCs w:val="24"/>
        </w:rPr>
        <w:t>低压电缆终端头采用绝缘胶带包扎密封。</w:t>
      </w:r>
    </w:p>
    <w:p w14:paraId="6AC47EEF">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ascii="宋体" w:hAnsi="宋体" w:eastAsia="宋体"/>
          <w:sz w:val="24"/>
          <w:szCs w:val="24"/>
        </w:rPr>
        <w:t>电缆在最终连接前，进行导通性和绝缘性测试，中压电缆按 MLD-01-F-60-001 规定做直流耐压试验。</w:t>
      </w:r>
    </w:p>
    <w:p w14:paraId="6823AFB1">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bookmarkStart w:id="279" w:name="_Toc520563395"/>
      <w:bookmarkStart w:id="280" w:name="_Toc423897287"/>
      <w:bookmarkStart w:id="281" w:name="_Toc427834231"/>
      <w:bookmarkStart w:id="282" w:name="_Toc45198499"/>
      <w:bookmarkStart w:id="283" w:name="_Toc449453946"/>
      <w:bookmarkStart w:id="284" w:name="_Toc426148479"/>
      <w:bookmarkStart w:id="285" w:name="_Toc520671493"/>
      <w:bookmarkStart w:id="286" w:name="_Toc448153460"/>
      <w:r>
        <w:rPr>
          <w:rFonts w:ascii="宋体" w:hAnsi="宋体" w:eastAsia="宋体"/>
          <w:b/>
          <w:sz w:val="24"/>
          <w:szCs w:val="24"/>
        </w:rPr>
        <w:t>通信</w:t>
      </w:r>
      <w:r>
        <w:rPr>
          <w:rFonts w:hint="eastAsia" w:ascii="宋体" w:hAnsi="宋体" w:eastAsia="宋体"/>
          <w:b/>
          <w:sz w:val="24"/>
          <w:szCs w:val="24"/>
        </w:rPr>
        <w:t>线缆敷设</w:t>
      </w:r>
      <w:bookmarkEnd w:id="279"/>
      <w:bookmarkEnd w:id="280"/>
      <w:bookmarkEnd w:id="281"/>
      <w:bookmarkEnd w:id="282"/>
      <w:bookmarkEnd w:id="283"/>
      <w:bookmarkEnd w:id="284"/>
      <w:bookmarkEnd w:id="285"/>
      <w:bookmarkEnd w:id="286"/>
    </w:p>
    <w:p w14:paraId="7E09A780">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hint="eastAsia" w:ascii="宋体" w:hAnsi="宋体" w:eastAsia="宋体" w:cs="Times New Roman"/>
          <w:sz w:val="24"/>
          <w:szCs w:val="24"/>
        </w:rPr>
        <w:t>（</w:t>
      </w:r>
      <w:r>
        <w:rPr>
          <w:rFonts w:ascii="宋体" w:hAnsi="宋体" w:eastAsia="宋体"/>
          <w:sz w:val="24"/>
          <w:szCs w:val="24"/>
        </w:rPr>
        <w:t>1）光缆将按实际长度铺设，铺设时不超过光缆厂家规定的牵引张力和弯曲半径的要求。在铺设光缆之前，每个管道要用合适的方法清理。</w:t>
      </w:r>
    </w:p>
    <w:p w14:paraId="2E75F905">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hint="eastAsia" w:ascii="宋体" w:hAnsi="宋体" w:eastAsia="宋体" w:cs="Times New Roman"/>
          <w:sz w:val="24"/>
          <w:szCs w:val="24"/>
        </w:rPr>
        <w:t>（</w:t>
      </w:r>
      <w:r>
        <w:rPr>
          <w:rFonts w:ascii="宋体" w:hAnsi="宋体" w:eastAsia="宋体"/>
          <w:sz w:val="24"/>
          <w:szCs w:val="24"/>
        </w:rPr>
        <w:t>2）光缆在人孔</w:t>
      </w:r>
      <w:r>
        <w:rPr>
          <w:rFonts w:hint="eastAsia" w:ascii="宋体" w:hAnsi="宋体" w:eastAsia="宋体"/>
          <w:sz w:val="24"/>
          <w:szCs w:val="24"/>
        </w:rPr>
        <w:t>井</w:t>
      </w:r>
      <w:r>
        <w:rPr>
          <w:rFonts w:ascii="宋体" w:hAnsi="宋体" w:eastAsia="宋体"/>
          <w:sz w:val="24"/>
          <w:szCs w:val="24"/>
        </w:rPr>
        <w:t>外十分清洁的环境中接续。光缆接续采用熔接法，光缆接头应配有单独的接头护套。</w:t>
      </w:r>
    </w:p>
    <w:p w14:paraId="63D5CE04">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hint="eastAsia" w:ascii="宋体" w:hAnsi="宋体" w:eastAsia="宋体" w:cs="Times New Roman"/>
          <w:sz w:val="24"/>
          <w:szCs w:val="24"/>
        </w:rPr>
        <w:t>（</w:t>
      </w:r>
      <w:r>
        <w:rPr>
          <w:rFonts w:ascii="宋体" w:hAnsi="宋体" w:eastAsia="宋体"/>
          <w:sz w:val="24"/>
          <w:szCs w:val="24"/>
        </w:rPr>
        <w:t>3）备有备用光缆并装在光缆接头盒的托盘上，放在托盘上的光纤不应产生微弯曲损耗。每根光缆在1310nm波长的接头损耗不超过0.ldB。</w:t>
      </w:r>
    </w:p>
    <w:p w14:paraId="147160E9">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hint="eastAsia" w:ascii="宋体" w:hAnsi="宋体" w:eastAsia="宋体" w:cs="Times New Roman"/>
          <w:sz w:val="24"/>
          <w:szCs w:val="24"/>
        </w:rPr>
        <w:t>（</w:t>
      </w:r>
      <w:r>
        <w:rPr>
          <w:rFonts w:ascii="宋体" w:hAnsi="宋体" w:eastAsia="宋体"/>
          <w:sz w:val="24"/>
          <w:szCs w:val="24"/>
        </w:rPr>
        <w:t>4）在所有光缆需要分歧或分配出与单独终端单元相连的光纤接头应使用接头盒保护；接头盒的设计应易于安装。</w:t>
      </w:r>
    </w:p>
    <w:p w14:paraId="448A381D">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hint="eastAsia" w:ascii="宋体" w:hAnsi="宋体" w:eastAsia="宋体" w:cs="Times New Roman"/>
          <w:sz w:val="24"/>
          <w:szCs w:val="24"/>
        </w:rPr>
        <w:t>（</w:t>
      </w:r>
      <w:r>
        <w:rPr>
          <w:rFonts w:ascii="宋体" w:hAnsi="宋体" w:eastAsia="宋体"/>
          <w:sz w:val="24"/>
          <w:szCs w:val="24"/>
        </w:rPr>
        <w:t>5）接头盒应为光缆接头提供一个密闭的、防潮的环境。接头盒应能重新进入，以便维修和满足其它工作要求。</w:t>
      </w:r>
    </w:p>
    <w:p w14:paraId="5C1AFF02">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hint="eastAsia" w:ascii="宋体" w:hAnsi="宋体" w:eastAsia="宋体" w:cs="Times New Roman"/>
          <w:sz w:val="24"/>
          <w:szCs w:val="24"/>
        </w:rPr>
        <w:t>（</w:t>
      </w:r>
      <w:r>
        <w:rPr>
          <w:rFonts w:ascii="宋体" w:hAnsi="宋体" w:eastAsia="宋体"/>
          <w:sz w:val="24"/>
          <w:szCs w:val="24"/>
        </w:rPr>
        <w:t>6）接头牢固地安装在每个人孔中。接头应安装在尽可能高处，以免浸水。</w:t>
      </w:r>
    </w:p>
    <w:p w14:paraId="488C6F55">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hint="eastAsia" w:ascii="宋体" w:hAnsi="宋体" w:eastAsia="宋体" w:cs="Times New Roman"/>
          <w:sz w:val="24"/>
          <w:szCs w:val="24"/>
        </w:rPr>
        <w:t>（</w:t>
      </w:r>
      <w:r>
        <w:rPr>
          <w:rFonts w:ascii="宋体" w:hAnsi="宋体" w:eastAsia="宋体"/>
          <w:sz w:val="24"/>
          <w:szCs w:val="24"/>
        </w:rPr>
        <w:t>7）每根光缆端接在光缆终端和接线板上，光缆应在每个站端接。接线板的容量足以端接所有室外光纤。进局光缆有标志，以区别其它电缆。</w:t>
      </w:r>
    </w:p>
    <w:p w14:paraId="28668E16">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sz w:val="24"/>
          <w:szCs w:val="24"/>
        </w:rPr>
      </w:pPr>
      <w:r>
        <w:rPr>
          <w:rFonts w:hint="eastAsia" w:ascii="宋体" w:hAnsi="宋体" w:eastAsia="宋体" w:cs="Times New Roman"/>
          <w:sz w:val="24"/>
          <w:szCs w:val="24"/>
        </w:rPr>
        <w:t>（</w:t>
      </w:r>
      <w:r>
        <w:rPr>
          <w:rFonts w:hint="eastAsia" w:ascii="宋体" w:hAnsi="宋体" w:eastAsia="宋体"/>
          <w:sz w:val="24"/>
          <w:szCs w:val="24"/>
        </w:rPr>
        <w:t>8</w:t>
      </w:r>
      <w:r>
        <w:rPr>
          <w:rFonts w:ascii="宋体" w:hAnsi="宋体" w:eastAsia="宋体"/>
          <w:sz w:val="24"/>
          <w:szCs w:val="24"/>
        </w:rPr>
        <w:t>）设备侧的光缆长度应作适当预留，一股为10~20m，可存在光端机室或进线室。进局光缆的弯曲半径不应太小，以免产生微弯曲损耗。</w:t>
      </w:r>
    </w:p>
    <w:p w14:paraId="2CA44AA4">
      <w:pPr>
        <w:pageBreakBefore w:val="0"/>
        <w:widowControl w:val="0"/>
        <w:kinsoku/>
        <w:wordWrap/>
        <w:overflowPunct/>
        <w:topLinePunct w:val="0"/>
        <w:autoSpaceDE/>
        <w:autoSpaceDN/>
        <w:bidi w:val="0"/>
        <w:adjustRightInd/>
        <w:snapToGrid/>
        <w:spacing w:line="400" w:lineRule="exact"/>
        <w:ind w:firstLine="562"/>
        <w:textAlignment w:val="auto"/>
        <w:rPr>
          <w:rFonts w:ascii="宋体" w:hAnsi="宋体" w:eastAsia="宋体"/>
          <w:b/>
          <w:sz w:val="24"/>
          <w:szCs w:val="24"/>
        </w:rPr>
      </w:pPr>
      <w:r>
        <w:rPr>
          <w:rFonts w:ascii="宋体" w:hAnsi="宋体" w:eastAsia="宋体"/>
          <w:b/>
          <w:sz w:val="24"/>
          <w:szCs w:val="24"/>
        </w:rPr>
        <w:t>光缆接续及测试</w:t>
      </w:r>
    </w:p>
    <w:p w14:paraId="713156C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（1）通信光缆接续工艺流程</w:t>
      </w:r>
    </w:p>
    <w:p w14:paraId="5129301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1）在接续过程中通过 OTDR 监测，以确保光纤持续质量。</w:t>
      </w:r>
    </w:p>
    <w:p w14:paraId="3D8EF9F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2）中继段测试采用 OTDR 和介入法两种方法测试。</w:t>
      </w:r>
    </w:p>
    <w:p w14:paraId="12376CD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（2）操作要求</w:t>
      </w:r>
    </w:p>
    <w:p w14:paraId="75683EB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1）清理场地、塔置防尘帐篷，准备好工具、材料；</w:t>
      </w:r>
    </w:p>
    <w:p w14:paraId="467D810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2）切断光缆缆芯，但不得用钢锯，必须用电缆剪刀；</w:t>
      </w:r>
    </w:p>
    <w:p w14:paraId="7647D14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3）光缆余留及切割尺寸，弯曲半径等应符合规定；光纤接续操作时，操作人员应穿作业服、戴作业帽、工作手套；</w:t>
      </w:r>
    </w:p>
    <w:p w14:paraId="59CA2AA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4）将待接续光纤被覆层擦干净，以免弄脏加强保护热熔管和熔接机后面。接续过程中应特别注意清洁，尤其是环境条件及操作人员的双手；</w:t>
      </w:r>
    </w:p>
    <w:p w14:paraId="5A87DD2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5）用剥除器剥除光纤被覆，用丙酮将裸光纤擦净，用光纤切割器切出端面，端面不合格时需重新切割；</w:t>
      </w:r>
    </w:p>
    <w:p w14:paraId="61E5FA7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6）监视光纤熔接测定值及仔细观察接续图像有无缺陷情况，如不合格则重新制备光纤端面，再次接续，直到合格为止；</w:t>
      </w:r>
    </w:p>
    <w:p w14:paraId="5364AB2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7）接续好的光线从容阶级取出时，注意动作要慢，移动加强保护热熔管位置应适中，收缩后两端应包住光纤的被覆层不小于10mm；</w:t>
      </w:r>
    </w:p>
    <w:p w14:paraId="318215C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8）光纤收容时注意弯曲半径应不小于40mm；</w:t>
      </w:r>
    </w:p>
    <w:p w14:paraId="2ECDE91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9）接头盒内壁、密封条、槽等应用酒精擦拭干净，组装时应严格按操作规程进行。</w:t>
      </w:r>
    </w:p>
    <w:p w14:paraId="368DAE94">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287" w:name="_Toc520563396"/>
      <w:bookmarkStart w:id="288" w:name="_Toc110456657"/>
      <w:bookmarkStart w:id="289" w:name="_Toc91064139"/>
      <w:bookmarkStart w:id="290" w:name="_Toc427834232"/>
      <w:bookmarkStart w:id="291" w:name="_Toc423897288"/>
      <w:bookmarkStart w:id="292" w:name="_Toc45198500"/>
      <w:bookmarkStart w:id="293" w:name="_Toc520671494"/>
      <w:bookmarkStart w:id="294" w:name="_Toc426148480"/>
      <w:bookmarkStart w:id="295" w:name="_Toc448153461"/>
      <w:bookmarkStart w:id="296" w:name="_Toc449453947"/>
      <w:bookmarkStart w:id="297" w:name="_Toc30032"/>
      <w:r>
        <w:rPr>
          <w:rFonts w:hint="eastAsia" w:ascii="黑体" w:hAnsi="黑体" w:eastAsia="黑体"/>
          <w:sz w:val="24"/>
          <w:szCs w:val="24"/>
        </w:rPr>
        <w:t>3.7.4杆件设计</w:t>
      </w:r>
      <w:bookmarkEnd w:id="287"/>
      <w:bookmarkEnd w:id="288"/>
      <w:bookmarkEnd w:id="289"/>
      <w:bookmarkEnd w:id="290"/>
      <w:bookmarkEnd w:id="291"/>
      <w:bookmarkEnd w:id="292"/>
      <w:bookmarkEnd w:id="293"/>
      <w:bookmarkEnd w:id="294"/>
      <w:bookmarkEnd w:id="295"/>
      <w:bookmarkEnd w:id="296"/>
      <w:bookmarkEnd w:id="297"/>
    </w:p>
    <w:p w14:paraId="1BCCE9B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独立立杆式样应充分考虑美观及与周边环境的协调，立杆横臂长度根据安装点位所要实现的功能而定，须符合道路或场所的整体视觉效果，具体式样及颜色须经采购方确认。</w:t>
      </w:r>
    </w:p>
    <w:p w14:paraId="1626ACF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立杆净高度不低于</w:t>
      </w:r>
      <w:r>
        <w:rPr>
          <w:rFonts w:hint="eastAsia" w:ascii="宋体" w:hAnsi="宋体" w:eastAsia="宋体" w:cs="Times New Roman"/>
          <w:sz w:val="24"/>
          <w:szCs w:val="24"/>
        </w:rPr>
        <w:t>道路净高要求</w:t>
      </w:r>
      <w:r>
        <w:rPr>
          <w:rFonts w:ascii="宋体" w:hAnsi="宋体" w:eastAsia="宋体" w:cs="Times New Roman"/>
          <w:sz w:val="24"/>
          <w:szCs w:val="24"/>
        </w:rPr>
        <w:t>，立杆横臂根据实际需要确定,立杆应满足如下条件：</w:t>
      </w:r>
    </w:p>
    <w:p w14:paraId="3DD6A1E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底座：采用不低于A3型的钢板。</w:t>
      </w:r>
    </w:p>
    <w:p w14:paraId="0CB2D16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立杆采用</w:t>
      </w:r>
      <w:r>
        <w:rPr>
          <w:rFonts w:hint="eastAsia" w:ascii="宋体" w:hAnsi="宋体" w:eastAsia="宋体" w:cs="Times New Roman"/>
          <w:sz w:val="24"/>
          <w:szCs w:val="24"/>
        </w:rPr>
        <w:t>Q235钢材</w:t>
      </w:r>
      <w:r>
        <w:rPr>
          <w:rFonts w:ascii="宋体" w:hAnsi="宋体" w:eastAsia="宋体" w:cs="Times New Roman"/>
          <w:sz w:val="24"/>
          <w:szCs w:val="24"/>
        </w:rPr>
        <w:t>，镀层厚度≥60μm，达到双重</w:t>
      </w:r>
      <w:r>
        <w:rPr>
          <w:rFonts w:hint="eastAsia" w:ascii="宋体" w:hAnsi="宋体" w:eastAsia="宋体" w:cs="Times New Roman"/>
          <w:sz w:val="24"/>
          <w:szCs w:val="24"/>
        </w:rPr>
        <w:t>防锈、</w:t>
      </w:r>
      <w:r>
        <w:rPr>
          <w:rFonts w:ascii="宋体" w:hAnsi="宋体" w:eastAsia="宋体" w:cs="Times New Roman"/>
          <w:sz w:val="24"/>
          <w:szCs w:val="24"/>
        </w:rPr>
        <w:t>防腐的目的。</w:t>
      </w:r>
    </w:p>
    <w:p w14:paraId="3CD38BB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立杆施工时，需同步完成接地的安装。</w:t>
      </w:r>
    </w:p>
    <w:p w14:paraId="71EE23A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立杆要求抗风等级达到12级。</w:t>
      </w:r>
    </w:p>
    <w:p w14:paraId="0B1F010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基础地笼要求：</w:t>
      </w:r>
    </w:p>
    <w:p w14:paraId="476B9B6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1</w:t>
      </w:r>
      <w:r>
        <w:rPr>
          <w:rFonts w:hint="eastAsia" w:ascii="宋体" w:hAnsi="宋体" w:eastAsia="宋体" w:cs="Times New Roman"/>
          <w:sz w:val="24"/>
          <w:szCs w:val="24"/>
        </w:rPr>
        <w:t>）</w:t>
      </w:r>
      <w:r>
        <w:rPr>
          <w:rFonts w:ascii="宋体" w:hAnsi="宋体" w:eastAsia="宋体" w:cs="Times New Roman"/>
          <w:sz w:val="24"/>
          <w:szCs w:val="24"/>
        </w:rPr>
        <w:t>.M</w:t>
      </w:r>
      <w:r>
        <w:rPr>
          <w:rFonts w:hint="eastAsia" w:ascii="宋体" w:hAnsi="宋体" w:eastAsia="宋体" w:cs="Times New Roman"/>
          <w:sz w:val="24"/>
          <w:szCs w:val="24"/>
        </w:rPr>
        <w:t>18、</w:t>
      </w:r>
      <w:r>
        <w:rPr>
          <w:rFonts w:ascii="宋体" w:hAnsi="宋体" w:eastAsia="宋体" w:cs="Times New Roman"/>
          <w:sz w:val="24"/>
          <w:szCs w:val="24"/>
        </w:rPr>
        <w:t>M</w:t>
      </w:r>
      <w:r>
        <w:rPr>
          <w:rFonts w:hint="eastAsia" w:ascii="宋体" w:hAnsi="宋体" w:eastAsia="宋体" w:cs="Times New Roman"/>
          <w:sz w:val="24"/>
          <w:szCs w:val="24"/>
        </w:rPr>
        <w:t>20、</w:t>
      </w:r>
      <w:r>
        <w:rPr>
          <w:rFonts w:ascii="宋体" w:hAnsi="宋体" w:eastAsia="宋体" w:cs="Times New Roman"/>
          <w:sz w:val="24"/>
          <w:szCs w:val="24"/>
        </w:rPr>
        <w:t>M</w:t>
      </w:r>
      <w:r>
        <w:rPr>
          <w:rFonts w:hint="eastAsia" w:ascii="宋体" w:hAnsi="宋体" w:eastAsia="宋体" w:cs="Times New Roman"/>
          <w:sz w:val="24"/>
          <w:szCs w:val="24"/>
        </w:rPr>
        <w:t>22、</w:t>
      </w:r>
      <w:r>
        <w:rPr>
          <w:rFonts w:ascii="宋体" w:hAnsi="宋体" w:eastAsia="宋体" w:cs="Times New Roman"/>
          <w:sz w:val="24"/>
          <w:szCs w:val="24"/>
        </w:rPr>
        <w:t>M</w:t>
      </w:r>
      <w:r>
        <w:rPr>
          <w:rFonts w:hint="eastAsia" w:ascii="宋体" w:hAnsi="宋体" w:eastAsia="宋体" w:cs="Times New Roman"/>
          <w:sz w:val="24"/>
          <w:szCs w:val="24"/>
        </w:rPr>
        <w:t>24、</w:t>
      </w:r>
      <w:r>
        <w:rPr>
          <w:rFonts w:ascii="宋体" w:hAnsi="宋体" w:eastAsia="宋体" w:cs="Times New Roman"/>
          <w:sz w:val="24"/>
          <w:szCs w:val="24"/>
        </w:rPr>
        <w:t>M</w:t>
      </w:r>
      <w:r>
        <w:rPr>
          <w:rFonts w:hint="eastAsia" w:ascii="宋体" w:hAnsi="宋体" w:eastAsia="宋体" w:cs="Times New Roman"/>
          <w:sz w:val="24"/>
          <w:szCs w:val="24"/>
        </w:rPr>
        <w:t>26、</w:t>
      </w:r>
      <w:r>
        <w:rPr>
          <w:rFonts w:ascii="宋体" w:hAnsi="宋体" w:eastAsia="宋体" w:cs="Times New Roman"/>
          <w:sz w:val="24"/>
          <w:szCs w:val="24"/>
        </w:rPr>
        <w:t>M</w:t>
      </w:r>
      <w:r>
        <w:rPr>
          <w:rFonts w:hint="eastAsia" w:ascii="宋体" w:hAnsi="宋体" w:eastAsia="宋体" w:cs="Times New Roman"/>
          <w:sz w:val="24"/>
          <w:szCs w:val="24"/>
        </w:rPr>
        <w:t>28、</w:t>
      </w:r>
      <w:r>
        <w:rPr>
          <w:rFonts w:ascii="宋体" w:hAnsi="宋体" w:eastAsia="宋体" w:cs="Times New Roman"/>
          <w:sz w:val="24"/>
          <w:szCs w:val="24"/>
        </w:rPr>
        <w:t>M</w:t>
      </w:r>
      <w:r>
        <w:rPr>
          <w:rFonts w:hint="eastAsia" w:ascii="宋体" w:hAnsi="宋体" w:eastAsia="宋体" w:cs="Times New Roman"/>
          <w:sz w:val="24"/>
          <w:szCs w:val="24"/>
        </w:rPr>
        <w:t>30</w:t>
      </w:r>
      <w:r>
        <w:rPr>
          <w:rFonts w:ascii="宋体" w:hAnsi="宋体" w:eastAsia="宋体" w:cs="Times New Roman"/>
          <w:sz w:val="24"/>
          <w:szCs w:val="24"/>
        </w:rPr>
        <w:t>螺纹钢。钢筋采用HRB400；基础混凝土为C25。</w:t>
      </w:r>
    </w:p>
    <w:p w14:paraId="158C1FC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2</w:t>
      </w:r>
      <w:r>
        <w:rPr>
          <w:rFonts w:hint="eastAsia" w:ascii="宋体" w:hAnsi="宋体" w:eastAsia="宋体" w:cs="Times New Roman"/>
          <w:sz w:val="24"/>
          <w:szCs w:val="24"/>
        </w:rPr>
        <w:t>）</w:t>
      </w:r>
      <w:r>
        <w:rPr>
          <w:rFonts w:ascii="宋体" w:hAnsi="宋体" w:eastAsia="宋体" w:cs="Times New Roman"/>
          <w:sz w:val="24"/>
          <w:szCs w:val="24"/>
        </w:rPr>
        <w:t>钢构件连接板材质应为Q235B，其力学性能和化学成分应符合《碳素结构钢》（GB/T700-</w:t>
      </w:r>
      <w:r>
        <w:rPr>
          <w:rFonts w:hint="eastAsia" w:ascii="宋体" w:hAnsi="宋体" w:eastAsia="宋体" w:cs="Times New Roman"/>
          <w:sz w:val="24"/>
          <w:szCs w:val="24"/>
        </w:rPr>
        <w:t>2006</w:t>
      </w:r>
      <w:r>
        <w:rPr>
          <w:rFonts w:ascii="宋体" w:hAnsi="宋体" w:eastAsia="宋体" w:cs="Times New Roman"/>
          <w:sz w:val="24"/>
          <w:szCs w:val="24"/>
        </w:rPr>
        <w:t>）的规定。</w:t>
      </w:r>
    </w:p>
    <w:p w14:paraId="05FA39D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3</w:t>
      </w:r>
      <w:r>
        <w:rPr>
          <w:rFonts w:hint="eastAsia" w:ascii="宋体" w:hAnsi="宋体" w:eastAsia="宋体" w:cs="Times New Roman"/>
          <w:sz w:val="24"/>
          <w:szCs w:val="24"/>
        </w:rPr>
        <w:t>）</w:t>
      </w:r>
      <w:r>
        <w:rPr>
          <w:rFonts w:ascii="宋体" w:hAnsi="宋体" w:eastAsia="宋体" w:cs="Times New Roman"/>
          <w:sz w:val="24"/>
          <w:szCs w:val="24"/>
        </w:rPr>
        <w:t>地基承载力特征值不小于120kPa。基础设计时取地基承载力fak=120kPa。基础应坐落于好土层上。若好土层位置较深，则应采取粘土换填，换填至设计标高，换填深度为0.6m，压实系数为0.97。</w:t>
      </w:r>
    </w:p>
    <w:p w14:paraId="7491DD4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4</w:t>
      </w:r>
      <w:r>
        <w:rPr>
          <w:rFonts w:hint="eastAsia" w:ascii="宋体" w:hAnsi="宋体" w:eastAsia="宋体" w:cs="Times New Roman"/>
          <w:sz w:val="24"/>
          <w:szCs w:val="24"/>
        </w:rPr>
        <w:t>）</w:t>
      </w:r>
      <w:r>
        <w:rPr>
          <w:rFonts w:ascii="宋体" w:hAnsi="宋体" w:eastAsia="宋体" w:cs="Times New Roman"/>
          <w:sz w:val="24"/>
          <w:szCs w:val="24"/>
        </w:rPr>
        <w:t>地脚螺栓外露部分及螺母和垫块宜事先进行热浸镀锌处理，镀锌量为350g/m 。</w:t>
      </w:r>
    </w:p>
    <w:p w14:paraId="00D857B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5</w:t>
      </w:r>
      <w:r>
        <w:rPr>
          <w:rFonts w:hint="eastAsia" w:ascii="宋体" w:hAnsi="宋体" w:eastAsia="宋体" w:cs="Times New Roman"/>
          <w:sz w:val="24"/>
          <w:szCs w:val="24"/>
        </w:rPr>
        <w:t>）</w:t>
      </w:r>
      <w:r>
        <w:rPr>
          <w:rFonts w:ascii="宋体" w:hAnsi="宋体" w:eastAsia="宋体" w:cs="Times New Roman"/>
          <w:sz w:val="24"/>
          <w:szCs w:val="24"/>
        </w:rPr>
        <w:t>钢结构的安装应按照《GB50205-200</w:t>
      </w:r>
      <w:r>
        <w:rPr>
          <w:rFonts w:hint="eastAsia" w:ascii="宋体" w:hAnsi="宋体" w:eastAsia="宋体" w:cs="Times New Roman"/>
          <w:sz w:val="24"/>
          <w:szCs w:val="24"/>
        </w:rPr>
        <w:t>1</w:t>
      </w:r>
      <w:r>
        <w:rPr>
          <w:rFonts w:ascii="宋体" w:hAnsi="宋体" w:eastAsia="宋体" w:cs="Times New Roman"/>
          <w:sz w:val="24"/>
          <w:szCs w:val="24"/>
        </w:rPr>
        <w:t>》、《JG144-20</w:t>
      </w:r>
      <w:r>
        <w:rPr>
          <w:rFonts w:hint="eastAsia" w:ascii="宋体" w:hAnsi="宋体" w:eastAsia="宋体" w:cs="Times New Roman"/>
          <w:sz w:val="24"/>
          <w:szCs w:val="24"/>
        </w:rPr>
        <w:t>16</w:t>
      </w:r>
      <w:r>
        <w:rPr>
          <w:rFonts w:ascii="宋体" w:hAnsi="宋体" w:eastAsia="宋体" w:cs="Times New Roman"/>
          <w:sz w:val="24"/>
          <w:szCs w:val="24"/>
        </w:rPr>
        <w:t>》进行。</w:t>
      </w:r>
    </w:p>
    <w:p w14:paraId="4A71975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6</w:t>
      </w:r>
      <w:r>
        <w:rPr>
          <w:rFonts w:hint="eastAsia" w:ascii="宋体" w:hAnsi="宋体" w:eastAsia="宋体" w:cs="Times New Roman"/>
          <w:sz w:val="24"/>
          <w:szCs w:val="24"/>
        </w:rPr>
        <w:t>）</w:t>
      </w:r>
      <w:r>
        <w:rPr>
          <w:rFonts w:ascii="宋体" w:hAnsi="宋体" w:eastAsia="宋体" w:cs="Times New Roman"/>
          <w:sz w:val="24"/>
          <w:szCs w:val="24"/>
        </w:rPr>
        <w:t>基础范围内的上部及周边的回填土应用粘土分层压实回填，压实系数为0.94。</w:t>
      </w:r>
    </w:p>
    <w:p w14:paraId="2D2334BA">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298" w:name="_Toc423897289"/>
      <w:bookmarkStart w:id="299" w:name="_Toc520671495"/>
      <w:bookmarkStart w:id="300" w:name="_Toc45198501"/>
      <w:bookmarkStart w:id="301" w:name="_Toc427834233"/>
      <w:bookmarkStart w:id="302" w:name="_Toc10321"/>
      <w:bookmarkStart w:id="303" w:name="_Toc426148481"/>
      <w:bookmarkStart w:id="304" w:name="_Toc520563397"/>
      <w:bookmarkStart w:id="305" w:name="_Toc449453948"/>
      <w:bookmarkStart w:id="306" w:name="_Toc110456658"/>
      <w:bookmarkStart w:id="307" w:name="_Toc91064140"/>
      <w:bookmarkStart w:id="308" w:name="_Toc448153462"/>
      <w:r>
        <w:rPr>
          <w:rFonts w:hint="eastAsia" w:ascii="黑体" w:hAnsi="黑体" w:eastAsia="黑体"/>
          <w:sz w:val="24"/>
          <w:szCs w:val="24"/>
        </w:rPr>
        <w:t>3.7.5箱体设计</w:t>
      </w:r>
      <w:bookmarkEnd w:id="298"/>
      <w:bookmarkEnd w:id="299"/>
      <w:bookmarkEnd w:id="300"/>
      <w:bookmarkEnd w:id="301"/>
      <w:bookmarkEnd w:id="302"/>
      <w:bookmarkEnd w:id="303"/>
      <w:bookmarkEnd w:id="304"/>
      <w:bookmarkEnd w:id="305"/>
      <w:bookmarkEnd w:id="306"/>
      <w:bookmarkEnd w:id="307"/>
      <w:bookmarkEnd w:id="308"/>
    </w:p>
    <w:p w14:paraId="5DCABF6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bookmarkStart w:id="309" w:name="_Toc427834234"/>
      <w:bookmarkStart w:id="310" w:name="_Toc423897290"/>
      <w:bookmarkStart w:id="311" w:name="_Toc448153463"/>
      <w:bookmarkStart w:id="312" w:name="_Toc449453949"/>
      <w:bookmarkStart w:id="313" w:name="_Toc426148482"/>
      <w:r>
        <w:rPr>
          <w:rFonts w:hint="eastAsia" w:ascii="宋体" w:hAnsi="宋体" w:eastAsia="宋体" w:cs="Times New Roman"/>
          <w:sz w:val="24"/>
          <w:szCs w:val="24"/>
        </w:rPr>
        <w:t>（1）机箱内强、弱电应分层隔开，内部各种线缆应固定可靠。</w:t>
      </w:r>
    </w:p>
    <w:p w14:paraId="31301A7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p>
    <w:p w14:paraId="303DAB4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（3）地面安装的落地箱柜基础应高出地面(200mm)，以免积水。</w:t>
      </w:r>
    </w:p>
    <w:p w14:paraId="5E7044D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（4）进入箱柜内的各类保护管应高出基础底面(100mm)。</w:t>
      </w:r>
    </w:p>
    <w:p w14:paraId="12C1E97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（5）配电箱与设备箱分开设置，尺寸高度与路口信号箱保持一致。</w:t>
      </w:r>
    </w:p>
    <w:p w14:paraId="47AEF2F3">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14" w:name="_Toc1986"/>
      <w:bookmarkStart w:id="315" w:name="_Toc110456659"/>
      <w:bookmarkStart w:id="316" w:name="_Toc520563398"/>
      <w:bookmarkStart w:id="317" w:name="_Toc91064141"/>
      <w:bookmarkStart w:id="318" w:name="_Toc45198502"/>
      <w:bookmarkStart w:id="319" w:name="_Toc520671496"/>
      <w:r>
        <w:rPr>
          <w:rFonts w:hint="eastAsia" w:ascii="黑体" w:hAnsi="黑体" w:eastAsia="黑体"/>
          <w:sz w:val="24"/>
          <w:szCs w:val="24"/>
        </w:rPr>
        <w:t>3.7.6杆件防雷接地</w:t>
      </w:r>
      <w:bookmarkEnd w:id="309"/>
      <w:bookmarkEnd w:id="310"/>
      <w:bookmarkEnd w:id="311"/>
      <w:bookmarkEnd w:id="312"/>
      <w:bookmarkEnd w:id="313"/>
      <w:bookmarkEnd w:id="314"/>
      <w:bookmarkEnd w:id="315"/>
      <w:bookmarkEnd w:id="316"/>
      <w:bookmarkEnd w:id="317"/>
      <w:bookmarkEnd w:id="318"/>
      <w:bookmarkEnd w:id="319"/>
    </w:p>
    <w:p w14:paraId="19B0710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设备有要求时应进行工作接地、所有配套的外露金属设施构件都应按照IEC 的有关规定进行综合接地处理，接地电阻必须小于设备规定的工作接地和安全接地电阻，综合接地电阻≤4Ω。</w:t>
      </w:r>
    </w:p>
    <w:p w14:paraId="2983C9F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所有接地极的接地电阻将进行测量；经测量达不到要求时，将在接地极回填土中加入无腐蚀性长效降阻剂；当仍达不到要求时，将经过业主同意，采用更换接地装置的措施。</w:t>
      </w:r>
    </w:p>
    <w:p w14:paraId="2330FA19">
      <w:pPr>
        <w:pageBreakBefore w:val="0"/>
        <w:widowControl w:val="0"/>
        <w:kinsoku/>
        <w:wordWrap/>
        <w:overflowPunct/>
        <w:topLinePunct w:val="0"/>
        <w:autoSpaceDE/>
        <w:autoSpaceDN/>
        <w:bidi w:val="0"/>
        <w:adjustRightInd/>
        <w:snapToGrid/>
        <w:spacing w:line="400" w:lineRule="exact"/>
        <w:ind w:firstLine="170" w:firstLineChars="71"/>
        <w:textAlignment w:val="auto"/>
        <w:rPr>
          <w:rFonts w:ascii="宋体" w:hAnsi="宋体" w:eastAsia="宋体"/>
          <w:sz w:val="24"/>
          <w:szCs w:val="24"/>
        </w:rPr>
      </w:pPr>
    </w:p>
    <w:p w14:paraId="3AEFAF3F">
      <w:pPr>
        <w:pStyle w:val="3"/>
        <w:pageBreakBefore w:val="0"/>
        <w:widowControl w:val="0"/>
        <w:tabs>
          <w:tab w:val="left" w:pos="3165"/>
          <w:tab w:val="center" w:pos="4594"/>
        </w:tabs>
        <w:kinsoku/>
        <w:wordWrap/>
        <w:overflowPunct/>
        <w:topLinePunct w:val="0"/>
        <w:autoSpaceDE/>
        <w:autoSpaceDN/>
        <w:bidi w:val="0"/>
        <w:adjustRightInd/>
        <w:snapToGrid/>
        <w:spacing w:line="400" w:lineRule="exact"/>
        <w:ind w:firstLine="883"/>
        <w:jc w:val="center"/>
        <w:textAlignment w:val="auto"/>
        <w:rPr>
          <w:rFonts w:ascii="黑体" w:hAnsi="黑体" w:eastAsia="黑体"/>
          <w:sz w:val="24"/>
          <w:szCs w:val="24"/>
        </w:rPr>
      </w:pPr>
      <w:bookmarkStart w:id="320" w:name="_Toc110456672"/>
      <w:bookmarkStart w:id="321" w:name="_Toc65184882"/>
      <w:bookmarkStart w:id="322" w:name="_Toc91064154"/>
      <w:bookmarkStart w:id="323" w:name="_Toc15549410"/>
      <w:bookmarkStart w:id="324" w:name="_Toc16512"/>
      <w:r>
        <w:rPr>
          <w:rFonts w:hint="eastAsia" w:ascii="黑体" w:hAnsi="黑体" w:eastAsia="黑体"/>
          <w:sz w:val="24"/>
          <w:szCs w:val="24"/>
        </w:rPr>
        <w:t>四、项目组织机构和人员</w:t>
      </w:r>
      <w:bookmarkEnd w:id="320"/>
      <w:bookmarkEnd w:id="321"/>
      <w:bookmarkEnd w:id="322"/>
      <w:bookmarkEnd w:id="323"/>
      <w:bookmarkEnd w:id="324"/>
    </w:p>
    <w:p w14:paraId="67CBFA26">
      <w:pPr>
        <w:pStyle w:val="4"/>
        <w:pageBreakBefore w:val="0"/>
        <w:widowControl w:val="0"/>
        <w:kinsoku/>
        <w:wordWrap/>
        <w:overflowPunct/>
        <w:topLinePunct w:val="0"/>
        <w:autoSpaceDE/>
        <w:autoSpaceDN/>
        <w:bidi w:val="0"/>
        <w:adjustRightInd/>
        <w:snapToGrid/>
        <w:spacing w:line="400" w:lineRule="exact"/>
        <w:ind w:firstLine="643"/>
        <w:textAlignment w:val="auto"/>
        <w:rPr>
          <w:rFonts w:ascii="黑体" w:hAnsi="黑体" w:eastAsia="黑体"/>
          <w:sz w:val="24"/>
          <w:szCs w:val="24"/>
        </w:rPr>
      </w:pPr>
      <w:bookmarkStart w:id="325" w:name="_Toc513710743"/>
      <w:bookmarkStart w:id="326" w:name="_Toc91064155"/>
      <w:bookmarkStart w:id="327" w:name="_Toc15549411"/>
      <w:bookmarkStart w:id="328" w:name="_Toc110456673"/>
      <w:bookmarkStart w:id="329" w:name="_Toc529546876"/>
      <w:bookmarkStart w:id="330" w:name="_Toc4039"/>
      <w:bookmarkStart w:id="331" w:name="_Toc516046663"/>
      <w:bookmarkStart w:id="332" w:name="_Toc65184883"/>
      <w:r>
        <w:rPr>
          <w:rFonts w:hint="eastAsia" w:ascii="黑体" w:hAnsi="黑体" w:eastAsia="黑体"/>
          <w:sz w:val="24"/>
          <w:szCs w:val="24"/>
        </w:rPr>
        <w:t>4.1领导和管理机构</w:t>
      </w:r>
      <w:bookmarkEnd w:id="325"/>
      <w:bookmarkEnd w:id="326"/>
      <w:bookmarkEnd w:id="327"/>
      <w:bookmarkEnd w:id="328"/>
      <w:bookmarkEnd w:id="329"/>
      <w:bookmarkEnd w:id="330"/>
      <w:bookmarkEnd w:id="331"/>
      <w:bookmarkEnd w:id="332"/>
    </w:p>
    <w:p w14:paraId="6C8451E0">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本项目成立专门项目领导小组，加强项目建设的统筹协调、指导督导，推动解决项目建设工作中的存在的重大问题。</w:t>
      </w:r>
    </w:p>
    <w:p w14:paraId="5562D58C">
      <w:pPr>
        <w:pStyle w:val="4"/>
        <w:pageBreakBefore w:val="0"/>
        <w:widowControl w:val="0"/>
        <w:kinsoku/>
        <w:wordWrap/>
        <w:overflowPunct/>
        <w:topLinePunct w:val="0"/>
        <w:autoSpaceDE/>
        <w:autoSpaceDN/>
        <w:bidi w:val="0"/>
        <w:adjustRightInd/>
        <w:snapToGrid/>
        <w:spacing w:line="400" w:lineRule="exact"/>
        <w:ind w:firstLine="643"/>
        <w:textAlignment w:val="auto"/>
        <w:rPr>
          <w:rFonts w:ascii="黑体" w:hAnsi="黑体" w:eastAsia="黑体"/>
          <w:sz w:val="24"/>
          <w:szCs w:val="24"/>
        </w:rPr>
      </w:pPr>
      <w:bookmarkStart w:id="333" w:name="_Toc110456674"/>
      <w:bookmarkStart w:id="334" w:name="_Toc91064156"/>
      <w:bookmarkStart w:id="335" w:name="_Toc15549412"/>
      <w:bookmarkStart w:id="336" w:name="_Toc65184884"/>
      <w:bookmarkStart w:id="337" w:name="_Toc513710744"/>
      <w:bookmarkStart w:id="338" w:name="_Toc529546877"/>
      <w:bookmarkStart w:id="339" w:name="_Toc31072"/>
      <w:bookmarkStart w:id="340" w:name="_Toc516046664"/>
      <w:r>
        <w:rPr>
          <w:rFonts w:hint="eastAsia" w:ascii="黑体" w:hAnsi="黑体" w:eastAsia="黑体"/>
          <w:sz w:val="24"/>
          <w:szCs w:val="24"/>
        </w:rPr>
        <w:t>4.2项目实施机构</w:t>
      </w:r>
      <w:bookmarkEnd w:id="333"/>
      <w:bookmarkEnd w:id="334"/>
      <w:bookmarkEnd w:id="335"/>
      <w:bookmarkEnd w:id="336"/>
      <w:bookmarkEnd w:id="337"/>
      <w:bookmarkEnd w:id="338"/>
      <w:bookmarkEnd w:id="339"/>
      <w:bookmarkEnd w:id="340"/>
    </w:p>
    <w:p w14:paraId="0BB3197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项目实施机构主要由业主单位的各相关部门、承建单位和监理单位共同组成。项目实施机构职责：具体负责本项目的实施过程中的协调、安装、调试、试运行、验收等工作，保证项目按时高质量地交付使用。</w:t>
      </w:r>
    </w:p>
    <w:p w14:paraId="5CA88B01">
      <w:pPr>
        <w:pStyle w:val="4"/>
        <w:pageBreakBefore w:val="0"/>
        <w:widowControl w:val="0"/>
        <w:kinsoku/>
        <w:wordWrap/>
        <w:overflowPunct/>
        <w:topLinePunct w:val="0"/>
        <w:autoSpaceDE/>
        <w:autoSpaceDN/>
        <w:bidi w:val="0"/>
        <w:adjustRightInd/>
        <w:snapToGrid/>
        <w:spacing w:line="400" w:lineRule="exact"/>
        <w:ind w:firstLine="643"/>
        <w:textAlignment w:val="auto"/>
        <w:rPr>
          <w:rFonts w:ascii="黑体" w:hAnsi="黑体" w:eastAsia="黑体"/>
          <w:sz w:val="24"/>
          <w:szCs w:val="24"/>
        </w:rPr>
      </w:pPr>
      <w:bookmarkStart w:id="341" w:name="_Toc15549419"/>
      <w:bookmarkStart w:id="342" w:name="_Toc91064157"/>
      <w:bookmarkStart w:id="343" w:name="_Toc65184885"/>
      <w:bookmarkStart w:id="344" w:name="_Toc110456675"/>
      <w:bookmarkStart w:id="345" w:name="_Toc10872"/>
      <w:r>
        <w:rPr>
          <w:rFonts w:hint="eastAsia" w:ascii="黑体" w:hAnsi="黑体" w:eastAsia="黑体"/>
          <w:sz w:val="24"/>
          <w:szCs w:val="24"/>
        </w:rPr>
        <w:t>4.3人员培训需求和计划</w:t>
      </w:r>
      <w:bookmarkEnd w:id="341"/>
      <w:bookmarkEnd w:id="342"/>
      <w:bookmarkEnd w:id="343"/>
      <w:bookmarkEnd w:id="344"/>
      <w:bookmarkEnd w:id="345"/>
    </w:p>
    <w:p w14:paraId="23141F6C">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为保证项目建设质量，更好地满足系统应用的需要，特制定以下培训方案：</w:t>
      </w:r>
    </w:p>
    <w:p w14:paraId="3CC4669C">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（1）培训计划</w:t>
      </w:r>
    </w:p>
    <w:p w14:paraId="01008733">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系统管理员培训：掌握系统日常维护各种技术，熟练掌握对网络管理和维护、硬件管理和维护、应用系统的管理和维护以及安全管理等。</w:t>
      </w:r>
    </w:p>
    <w:p w14:paraId="2285165C">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技术人员培训：通过各种的培训方式，使项目系统技术人员掌握视频系统、网络系统等技术，具备一定的维护能力，在系统实施过程中能够参与项目管理和系统搭建，在系统维护过程中能够自行维护。</w:t>
      </w:r>
    </w:p>
    <w:p w14:paraId="24A251C4">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系统操作员培训：能够熟练使用系统各类前台操作模块、快速调用相关业务处理模块并规范输入各种信息。</w:t>
      </w:r>
    </w:p>
    <w:p w14:paraId="792ED37C">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（2）培训主要内容</w:t>
      </w:r>
    </w:p>
    <w:p w14:paraId="6E0A2643">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培训主要内容有：前端点位勘察、系统应用、软硬件的运行与维护、网络和安全管理等。</w:t>
      </w:r>
    </w:p>
    <w:p w14:paraId="614D9B05">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（3）培训主要方式</w:t>
      </w:r>
    </w:p>
    <w:p w14:paraId="4C2F2F0D">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室内培训：对专业运维人员分批集中进行培训，承建单位免费提供培训教材及师资。</w:t>
      </w:r>
    </w:p>
    <w:p w14:paraId="5FA81144">
      <w:pPr>
        <w:pageBreakBefore w:val="0"/>
        <w:widowControl w:val="0"/>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现场培训：对指定人员独立进行设备的安装、操作、测试、运营、维护等等进行培训，承建单位免费提供培训教材及师资。</w:t>
      </w:r>
    </w:p>
    <w:p w14:paraId="78DBE287">
      <w:pPr>
        <w:pStyle w:val="3"/>
        <w:pageBreakBefore w:val="0"/>
        <w:widowControl w:val="0"/>
        <w:tabs>
          <w:tab w:val="left" w:pos="3165"/>
          <w:tab w:val="center" w:pos="4594"/>
        </w:tabs>
        <w:kinsoku/>
        <w:wordWrap/>
        <w:overflowPunct/>
        <w:topLinePunct w:val="0"/>
        <w:autoSpaceDE/>
        <w:autoSpaceDN/>
        <w:bidi w:val="0"/>
        <w:adjustRightInd/>
        <w:snapToGrid/>
        <w:spacing w:line="400" w:lineRule="exact"/>
        <w:ind w:firstLine="883"/>
        <w:jc w:val="center"/>
        <w:textAlignment w:val="auto"/>
        <w:rPr>
          <w:rFonts w:ascii="黑体" w:hAnsi="黑体" w:eastAsia="黑体"/>
          <w:sz w:val="24"/>
          <w:szCs w:val="24"/>
        </w:rPr>
      </w:pPr>
      <w:bookmarkStart w:id="346" w:name="_Toc105623167"/>
      <w:bookmarkStart w:id="347" w:name="_Toc31265"/>
      <w:r>
        <w:rPr>
          <w:rFonts w:hint="eastAsia" w:ascii="黑体" w:hAnsi="黑体" w:eastAsia="黑体"/>
          <w:sz w:val="24"/>
          <w:szCs w:val="24"/>
        </w:rPr>
        <w:t>六、 环保、消防、职业安全卫生和节能措施</w:t>
      </w:r>
      <w:bookmarkEnd w:id="346"/>
      <w:bookmarkEnd w:id="347"/>
    </w:p>
    <w:p w14:paraId="31A957C6">
      <w:pPr>
        <w:pStyle w:val="4"/>
        <w:pageBreakBefore w:val="0"/>
        <w:widowControl w:val="0"/>
        <w:kinsoku/>
        <w:wordWrap/>
        <w:overflowPunct/>
        <w:topLinePunct w:val="0"/>
        <w:autoSpaceDE/>
        <w:autoSpaceDN/>
        <w:bidi w:val="0"/>
        <w:adjustRightInd/>
        <w:snapToGrid/>
        <w:spacing w:line="400" w:lineRule="exact"/>
        <w:ind w:firstLine="643"/>
        <w:textAlignment w:val="auto"/>
        <w:rPr>
          <w:rFonts w:ascii="黑体" w:hAnsi="黑体" w:eastAsia="黑体"/>
          <w:sz w:val="24"/>
          <w:szCs w:val="24"/>
        </w:rPr>
      </w:pPr>
      <w:bookmarkStart w:id="348" w:name="_Toc22820"/>
      <w:bookmarkStart w:id="349" w:name="_Toc103952707"/>
      <w:bookmarkStart w:id="350" w:name="_Toc103953578"/>
      <w:bookmarkStart w:id="351" w:name="_Toc105623168"/>
      <w:r>
        <w:rPr>
          <w:rFonts w:hint="eastAsia" w:ascii="黑体" w:hAnsi="黑体" w:eastAsia="黑体"/>
          <w:sz w:val="24"/>
          <w:szCs w:val="24"/>
        </w:rPr>
        <w:t>6.1 环境保护</w:t>
      </w:r>
      <w:bookmarkEnd w:id="348"/>
      <w:bookmarkEnd w:id="349"/>
      <w:bookmarkEnd w:id="350"/>
      <w:bookmarkEnd w:id="351"/>
      <w:r>
        <w:rPr>
          <w:rFonts w:hint="eastAsia" w:ascii="黑体" w:hAnsi="黑体" w:eastAsia="黑体"/>
          <w:sz w:val="24"/>
          <w:szCs w:val="24"/>
        </w:rPr>
        <w:t xml:space="preserve"> </w:t>
      </w:r>
    </w:p>
    <w:p w14:paraId="63A3654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工程严格遵循</w:t>
      </w:r>
      <w:r>
        <w:rPr>
          <w:rFonts w:ascii="宋体" w:hAnsi="宋体" w:eastAsia="宋体" w:cs="Times New Roman"/>
          <w:sz w:val="24"/>
          <w:szCs w:val="24"/>
        </w:rPr>
        <w:t>“三同时制度”，</w:t>
      </w:r>
      <w:r>
        <w:rPr>
          <w:rFonts w:hint="eastAsia" w:ascii="宋体" w:hAnsi="宋体" w:eastAsia="宋体" w:cs="Times New Roman"/>
          <w:sz w:val="24"/>
          <w:szCs w:val="24"/>
        </w:rPr>
        <w:t>将</w:t>
      </w:r>
      <w:r>
        <w:rPr>
          <w:rFonts w:ascii="宋体" w:hAnsi="宋体" w:eastAsia="宋体" w:cs="Times New Roman"/>
          <w:sz w:val="24"/>
          <w:szCs w:val="24"/>
        </w:rPr>
        <w:t>环境保护工作纳入建设计划</w:t>
      </w:r>
      <w:r>
        <w:rPr>
          <w:rFonts w:hint="eastAsia" w:ascii="宋体" w:hAnsi="宋体" w:eastAsia="宋体" w:cs="Times New Roman"/>
          <w:sz w:val="24"/>
          <w:szCs w:val="24"/>
        </w:rPr>
        <w:t>，并</w:t>
      </w:r>
      <w:r>
        <w:rPr>
          <w:rFonts w:ascii="宋体" w:hAnsi="宋体" w:eastAsia="宋体" w:cs="Times New Roman"/>
          <w:sz w:val="24"/>
          <w:szCs w:val="24"/>
        </w:rPr>
        <w:t>与主体工程同时设计、同时施工、同时投产使用</w:t>
      </w:r>
      <w:r>
        <w:rPr>
          <w:rFonts w:hint="eastAsia" w:ascii="宋体" w:hAnsi="宋体" w:eastAsia="宋体" w:cs="Times New Roman"/>
          <w:sz w:val="24"/>
          <w:szCs w:val="24"/>
        </w:rPr>
        <w:t>。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p>
    <w:p w14:paraId="628EB735">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52" w:name="_Toc26373"/>
      <w:bookmarkStart w:id="353" w:name="_Toc105623169"/>
      <w:bookmarkStart w:id="354" w:name="_Toc103953579"/>
      <w:r>
        <w:rPr>
          <w:rFonts w:hint="eastAsia" w:ascii="黑体" w:hAnsi="黑体" w:eastAsia="黑体"/>
          <w:sz w:val="24"/>
          <w:szCs w:val="24"/>
        </w:rPr>
        <w:t>6.1.1 光污染控制</w:t>
      </w:r>
      <w:bookmarkEnd w:id="352"/>
      <w:bookmarkEnd w:id="353"/>
      <w:bookmarkEnd w:id="354"/>
    </w:p>
    <w:p w14:paraId="718A87C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1、尽量避免或减少施工过程中的光污染。夜间室外照明灯加设灯罩，透光方向集中在施工范围。</w:t>
      </w:r>
    </w:p>
    <w:p w14:paraId="1EB220C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2、电焊作业采取遮挡措施，避免电焊弧光外泄。</w:t>
      </w:r>
    </w:p>
    <w:p w14:paraId="706596A7">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55" w:name="_Toc32466"/>
      <w:bookmarkStart w:id="356" w:name="_Toc103953580"/>
      <w:bookmarkStart w:id="357" w:name="_Toc105623170"/>
      <w:r>
        <w:rPr>
          <w:rFonts w:hint="eastAsia" w:ascii="黑体" w:hAnsi="黑体" w:eastAsia="黑体"/>
          <w:sz w:val="24"/>
          <w:szCs w:val="24"/>
        </w:rPr>
        <w:t>6.1.2 废水、废气污染控制</w:t>
      </w:r>
      <w:bookmarkEnd w:id="355"/>
      <w:bookmarkEnd w:id="356"/>
      <w:bookmarkEnd w:id="357"/>
    </w:p>
    <w:p w14:paraId="2CEA34E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本项目为信息系统工程，项目建设将依托现有基础设施，不涉及新增的土建项目，系统建成运行后不会产生工业废水、废气等污染物。</w:t>
      </w:r>
    </w:p>
    <w:p w14:paraId="5EA4488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项目用水环节主要是系统维护人员生活污水。生活污水由现有污水收集管网收集后，进入市政污水处理管网。</w:t>
      </w:r>
    </w:p>
    <w:p w14:paraId="1B0643A5">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58" w:name="_Toc27789"/>
      <w:bookmarkStart w:id="359" w:name="_Toc103953581"/>
      <w:bookmarkStart w:id="360" w:name="_Toc105623171"/>
      <w:r>
        <w:rPr>
          <w:rFonts w:hint="eastAsia" w:ascii="黑体" w:hAnsi="黑体" w:eastAsia="黑体"/>
          <w:sz w:val="24"/>
          <w:szCs w:val="24"/>
        </w:rPr>
        <w:t>6.1.3 噪声控制</w:t>
      </w:r>
      <w:bookmarkEnd w:id="358"/>
      <w:bookmarkEnd w:id="359"/>
      <w:bookmarkEnd w:id="360"/>
    </w:p>
    <w:p w14:paraId="2ABDF77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1、信息化建设项目在城市市区范围内向周围生活环境排放的建筑施工噪声，应当符合GB 12523《建筑施工场界环境噪声排放标准》的规定，并符合当地环保部门的相关要求。</w:t>
      </w:r>
    </w:p>
    <w:p w14:paraId="1EB2296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2、在城市范围内的机房，向周围生活环境排放噪声的，应符合GB 12348《工业企业厂界环境噪声排放标准》的相关要求。</w:t>
      </w:r>
    </w:p>
    <w:p w14:paraId="01FDA93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3、根据《通信工程建设环境保护技术暂行规定》规定：必须保持防治环境噪声污染的设施正常使用，拆除或闲置环境噪声污染防治设施应报环境保护行政主管部门批准。</w:t>
      </w:r>
    </w:p>
    <w:p w14:paraId="4B653D8F">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61" w:name="_Toc105623172"/>
      <w:bookmarkStart w:id="362" w:name="_Toc103953582"/>
      <w:bookmarkStart w:id="363" w:name="_Toc22440"/>
      <w:r>
        <w:rPr>
          <w:rFonts w:hint="eastAsia" w:ascii="黑体" w:hAnsi="黑体" w:eastAsia="黑体"/>
          <w:sz w:val="24"/>
          <w:szCs w:val="24"/>
        </w:rPr>
        <w:t>6.1.4 电磁辐射</w:t>
      </w:r>
      <w:bookmarkEnd w:id="361"/>
      <w:bookmarkEnd w:id="362"/>
      <w:bookmarkEnd w:id="363"/>
    </w:p>
    <w:p w14:paraId="416BF4D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本期工程产生电磁辐射主要为网络设备、服务器和计算机等设备，带来的电磁辐射。本期使用设备电磁辐射能够满足GB 8702-2014《电磁环境控制限值》的相关要求，不产生电磁辐射危害。</w:t>
      </w:r>
    </w:p>
    <w:p w14:paraId="2E1CF55E">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64" w:name="_Toc15971"/>
      <w:bookmarkStart w:id="365" w:name="_Toc105623173"/>
      <w:bookmarkStart w:id="366" w:name="_Toc103953583"/>
      <w:r>
        <w:rPr>
          <w:rFonts w:hint="eastAsia" w:ascii="黑体" w:hAnsi="黑体" w:eastAsia="黑体"/>
          <w:sz w:val="24"/>
          <w:szCs w:val="24"/>
        </w:rPr>
        <w:t>6.1.5 固体废弃物回收和处置</w:t>
      </w:r>
      <w:bookmarkEnd w:id="364"/>
      <w:bookmarkEnd w:id="365"/>
      <w:bookmarkEnd w:id="366"/>
    </w:p>
    <w:p w14:paraId="79DE5D5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1、工程建设单位和施工单位应采取措施，防止或减少固体废物对环境的污染，施工单位应及时清运施工工程中产生的固体废弃物，并按照环境卫生行政主管部门的规定进行利用或处置。</w:t>
      </w:r>
    </w:p>
    <w:p w14:paraId="23950E5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2、严禁向江河、湖波、运河、渠道、水库及最高水位线以下的滩地和岸坡倾倒、堆放固体废弃物。</w:t>
      </w:r>
    </w:p>
    <w:p w14:paraId="6EE8B55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3、废旧电池、废矿物油、含汞废日光灯等毒性大、不宜用通用方式进行管理和处置的特殊危险废物，应与生活垃圾分类收集、妥善贮存、安全处置。</w:t>
      </w:r>
    </w:p>
    <w:p w14:paraId="7D0A1AF3">
      <w:pPr>
        <w:pStyle w:val="4"/>
        <w:pageBreakBefore w:val="0"/>
        <w:widowControl w:val="0"/>
        <w:kinsoku/>
        <w:wordWrap/>
        <w:overflowPunct/>
        <w:topLinePunct w:val="0"/>
        <w:autoSpaceDE/>
        <w:autoSpaceDN/>
        <w:bidi w:val="0"/>
        <w:adjustRightInd/>
        <w:snapToGrid/>
        <w:spacing w:line="400" w:lineRule="exact"/>
        <w:ind w:firstLine="643"/>
        <w:textAlignment w:val="auto"/>
        <w:rPr>
          <w:rFonts w:ascii="黑体" w:hAnsi="黑体" w:eastAsia="黑体"/>
          <w:sz w:val="24"/>
          <w:szCs w:val="24"/>
        </w:rPr>
      </w:pPr>
      <w:bookmarkStart w:id="367" w:name="_Toc103952708"/>
      <w:bookmarkStart w:id="368" w:name="_Toc103953584"/>
      <w:bookmarkStart w:id="369" w:name="_Toc834"/>
      <w:bookmarkStart w:id="370" w:name="_Toc105623174"/>
      <w:r>
        <w:rPr>
          <w:rFonts w:hint="eastAsia" w:ascii="黑体" w:hAnsi="黑体" w:eastAsia="黑体"/>
          <w:sz w:val="24"/>
          <w:szCs w:val="24"/>
        </w:rPr>
        <w:t>6.2 绿色节能</w:t>
      </w:r>
      <w:bookmarkEnd w:id="367"/>
      <w:bookmarkEnd w:id="368"/>
      <w:bookmarkEnd w:id="369"/>
      <w:bookmarkEnd w:id="370"/>
    </w:p>
    <w:p w14:paraId="6B643DD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p>
    <w:p w14:paraId="33E13BD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bookmarkStart w:id="371" w:name="_Toc41924965"/>
      <w:r>
        <w:rPr>
          <w:rFonts w:hint="eastAsia" w:ascii="宋体" w:hAnsi="宋体" w:eastAsia="宋体" w:cs="Times New Roman"/>
          <w:sz w:val="24"/>
          <w:szCs w:val="24"/>
        </w:rPr>
        <w:t>本期设计</w:t>
      </w:r>
      <w:bookmarkEnd w:id="371"/>
      <w:r>
        <w:rPr>
          <w:rFonts w:hint="eastAsia" w:ascii="宋体" w:hAnsi="宋体" w:eastAsia="宋体" w:cs="Times New Roman"/>
          <w:sz w:val="24"/>
          <w:szCs w:val="24"/>
        </w:rPr>
        <w:t>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p>
    <w:p w14:paraId="17C050DF">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72" w:name="_Toc103953585"/>
      <w:bookmarkStart w:id="373" w:name="_Toc13794"/>
      <w:bookmarkStart w:id="374" w:name="_Toc105623175"/>
      <w:r>
        <w:rPr>
          <w:rFonts w:hint="eastAsia" w:ascii="黑体" w:hAnsi="黑体" w:eastAsia="黑体"/>
          <w:sz w:val="24"/>
          <w:szCs w:val="24"/>
        </w:rPr>
        <w:t>6.2.1 设备选择及选型要求</w:t>
      </w:r>
      <w:bookmarkEnd w:id="372"/>
      <w:bookmarkEnd w:id="373"/>
      <w:bookmarkEnd w:id="374"/>
    </w:p>
    <w:p w14:paraId="56A03F5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设备选择应遵循节能、节材、节地、环保的原则。主设备选型时应符合以下绿色节能要求：</w:t>
      </w:r>
    </w:p>
    <w:p w14:paraId="3AD990E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1、在满足技术和服务指标的前提下，宜优先选用高度集成化、低功耗、高能效比、具有智能节电功能的设备。</w:t>
      </w:r>
    </w:p>
    <w:p w14:paraId="4C19139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2、在满足设备正常运行、维护要求的基础上，优先选用自然散热产品，减少风扇的使用。</w:t>
      </w:r>
    </w:p>
    <w:p w14:paraId="43E475F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3、在满足运输安全的前提下，优先选择包装材料轻、绿色环保包装材料，避免过度包装。</w:t>
      </w:r>
    </w:p>
    <w:p w14:paraId="6FDB211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4、在保证网络安全的前提下，适时引入新技术，优化网络设计，简化网络结构，提高网络利用率，避免设备闲置。</w:t>
      </w:r>
    </w:p>
    <w:p w14:paraId="19D5DF58">
      <w:pPr>
        <w:pStyle w:val="4"/>
        <w:pageBreakBefore w:val="0"/>
        <w:widowControl w:val="0"/>
        <w:kinsoku/>
        <w:wordWrap/>
        <w:overflowPunct/>
        <w:topLinePunct w:val="0"/>
        <w:autoSpaceDE/>
        <w:autoSpaceDN/>
        <w:bidi w:val="0"/>
        <w:adjustRightInd/>
        <w:snapToGrid/>
        <w:spacing w:line="400" w:lineRule="exact"/>
        <w:ind w:firstLine="643"/>
        <w:textAlignment w:val="auto"/>
        <w:rPr>
          <w:rFonts w:ascii="黑体" w:hAnsi="黑体" w:eastAsia="黑体"/>
          <w:sz w:val="24"/>
          <w:szCs w:val="24"/>
        </w:rPr>
      </w:pPr>
      <w:bookmarkStart w:id="375" w:name="_Toc103952709"/>
      <w:bookmarkStart w:id="376" w:name="_Toc5365"/>
      <w:bookmarkStart w:id="377" w:name="_Toc105623176"/>
      <w:bookmarkStart w:id="378" w:name="_Toc103953586"/>
      <w:r>
        <w:rPr>
          <w:rFonts w:hint="eastAsia" w:ascii="黑体" w:hAnsi="黑体" w:eastAsia="黑体"/>
          <w:sz w:val="24"/>
          <w:szCs w:val="24"/>
        </w:rPr>
        <w:t>6.3 职业安全卫生</w:t>
      </w:r>
      <w:bookmarkEnd w:id="375"/>
      <w:bookmarkEnd w:id="376"/>
      <w:bookmarkEnd w:id="377"/>
      <w:bookmarkEnd w:id="378"/>
    </w:p>
    <w:p w14:paraId="3188786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p>
    <w:p w14:paraId="5E7B9CAE">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79" w:name="_Toc105623177"/>
      <w:bookmarkStart w:id="380" w:name="_Toc25300"/>
      <w:bookmarkStart w:id="381" w:name="_Toc103953587"/>
      <w:r>
        <w:rPr>
          <w:rFonts w:hint="eastAsia" w:ascii="黑体" w:hAnsi="黑体" w:eastAsia="黑体"/>
          <w:sz w:val="24"/>
          <w:szCs w:val="24"/>
        </w:rPr>
        <w:t>6.3.1 职业安全卫生主要影响因素</w:t>
      </w:r>
      <w:bookmarkEnd w:id="379"/>
      <w:bookmarkEnd w:id="380"/>
      <w:bookmarkEnd w:id="381"/>
    </w:p>
    <w:p w14:paraId="43CC7FA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bookmarkStart w:id="382" w:name="_Toc41924976"/>
      <w:r>
        <w:rPr>
          <w:rFonts w:hint="eastAsia" w:ascii="宋体" w:hAnsi="宋体" w:eastAsia="宋体" w:cs="Times New Roman"/>
          <w:sz w:val="24"/>
          <w:szCs w:val="24"/>
        </w:rPr>
        <w:t>本项目主要涉及信息化机房施工作业和信息化系统运营，涉及主要的职业卫生安全因素如下：</w:t>
      </w:r>
    </w:p>
    <w:p w14:paraId="3AA2999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1、机房环境布置、洁净度、新风量等不符合要求产生对人员、设备相关危害；</w:t>
      </w:r>
    </w:p>
    <w:p w14:paraId="4EF0947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2、工程施工安全，包括用电安全、高处作业安全、交通安全、器材搬运安全等</w:t>
      </w:r>
    </w:p>
    <w:p w14:paraId="6E433A8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3、信息化设备产生的电磁波辐射，对人员和环境的影响</w:t>
      </w:r>
    </w:p>
    <w:p w14:paraId="62EFB5C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4、工程施工产生噪声影响、设备运行过程产生的噪声影响</w:t>
      </w:r>
    </w:p>
    <w:p w14:paraId="044F434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5、系统运行过程静电干扰产生的危害</w:t>
      </w:r>
    </w:p>
    <w:bookmarkEnd w:id="382"/>
    <w:p w14:paraId="30AA3B1B">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83" w:name="_Toc103953588"/>
      <w:bookmarkStart w:id="384" w:name="_Toc105623178"/>
      <w:bookmarkStart w:id="385" w:name="_Toc2083"/>
      <w:r>
        <w:rPr>
          <w:rFonts w:hint="eastAsia" w:ascii="黑体" w:hAnsi="黑体" w:eastAsia="黑体"/>
          <w:sz w:val="24"/>
          <w:szCs w:val="24"/>
        </w:rPr>
        <w:t>6.3.2 噪声控制</w:t>
      </w:r>
      <w:bookmarkEnd w:id="383"/>
      <w:bookmarkEnd w:id="384"/>
      <w:bookmarkEnd w:id="385"/>
    </w:p>
    <w:p w14:paraId="50E1ED4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1、设备运行所产生的噪声应符合相关产品标准的规定；高噪声设备宜配备隔声设施</w:t>
      </w:r>
    </w:p>
    <w:p w14:paraId="3DE471C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2、所有设备停机时，机房内的噪声应小于60</w:t>
      </w:r>
      <w:r>
        <w:rPr>
          <w:rFonts w:ascii="宋体" w:hAnsi="宋体" w:eastAsia="宋体" w:cs="Times New Roman"/>
          <w:sz w:val="24"/>
          <w:szCs w:val="24"/>
        </w:rPr>
        <w:t xml:space="preserve"> </w:t>
      </w:r>
      <w:r>
        <w:rPr>
          <w:rFonts w:hint="eastAsia" w:ascii="宋体" w:hAnsi="宋体" w:eastAsia="宋体" w:cs="Times New Roman"/>
          <w:sz w:val="24"/>
          <w:szCs w:val="24"/>
        </w:rPr>
        <w:t>d</w:t>
      </w:r>
      <w:r>
        <w:rPr>
          <w:rFonts w:ascii="宋体" w:hAnsi="宋体" w:eastAsia="宋体" w:cs="Times New Roman"/>
          <w:sz w:val="24"/>
          <w:szCs w:val="24"/>
        </w:rPr>
        <w:t>B</w:t>
      </w:r>
      <w:r>
        <w:rPr>
          <w:rFonts w:hint="eastAsia" w:ascii="宋体" w:hAnsi="宋体" w:eastAsia="宋体" w:cs="Times New Roman"/>
          <w:sz w:val="24"/>
          <w:szCs w:val="24"/>
        </w:rPr>
        <w:t>（A）。</w:t>
      </w:r>
    </w:p>
    <w:p w14:paraId="0A38DDC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3、所有对外的噪声应满足GB</w:t>
      </w:r>
      <w:r>
        <w:rPr>
          <w:rFonts w:ascii="宋体" w:hAnsi="宋体" w:eastAsia="宋体" w:cs="Times New Roman"/>
          <w:sz w:val="24"/>
          <w:szCs w:val="24"/>
        </w:rPr>
        <w:t xml:space="preserve"> </w:t>
      </w:r>
      <w:r>
        <w:rPr>
          <w:rFonts w:hint="eastAsia" w:ascii="宋体" w:hAnsi="宋体" w:eastAsia="宋体" w:cs="Times New Roman"/>
          <w:sz w:val="24"/>
          <w:szCs w:val="24"/>
        </w:rPr>
        <w:t>3096的规定值要求。</w:t>
      </w:r>
    </w:p>
    <w:p w14:paraId="7B0A236D">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86" w:name="_Toc105623179"/>
      <w:bookmarkStart w:id="387" w:name="_Toc103953589"/>
      <w:bookmarkStart w:id="388" w:name="_Toc15070"/>
      <w:r>
        <w:rPr>
          <w:rFonts w:hint="eastAsia" w:ascii="黑体" w:hAnsi="黑体" w:eastAsia="黑体"/>
          <w:sz w:val="24"/>
          <w:szCs w:val="24"/>
        </w:rPr>
        <w:t>6.3.3 电辐射</w:t>
      </w:r>
      <w:bookmarkEnd w:id="386"/>
      <w:bookmarkEnd w:id="387"/>
      <w:bookmarkEnd w:id="388"/>
    </w:p>
    <w:p w14:paraId="78FBD1F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本期新建或扩容设备符合国家质量标准，设备运行产生的辐射符合国家行业标准要求，对人体和环境不产生危害影响</w:t>
      </w:r>
    </w:p>
    <w:p w14:paraId="30EA1041">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89" w:name="_Toc105623180"/>
      <w:bookmarkStart w:id="390" w:name="_Toc103953590"/>
      <w:bookmarkStart w:id="391" w:name="_Toc3172"/>
      <w:r>
        <w:rPr>
          <w:rFonts w:hint="eastAsia" w:ascii="黑体" w:hAnsi="黑体" w:eastAsia="黑体"/>
          <w:sz w:val="24"/>
          <w:szCs w:val="24"/>
        </w:rPr>
        <w:t>6.3.4 安全生产</w:t>
      </w:r>
      <w:bookmarkEnd w:id="389"/>
      <w:bookmarkEnd w:id="390"/>
      <w:bookmarkEnd w:id="391"/>
    </w:p>
    <w:p w14:paraId="250AFF61">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6.3.4.1 </w:t>
      </w:r>
      <w:r>
        <w:rPr>
          <w:rFonts w:hint="eastAsia"/>
          <w:sz w:val="24"/>
          <w:szCs w:val="24"/>
        </w:rPr>
        <w:t>工程安全管理组织</w:t>
      </w:r>
    </w:p>
    <w:p w14:paraId="5B4D08B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通信建设施工企业在施工生产中，以下几方面必须符合国家法律、法规相关规定</w:t>
      </w:r>
      <w:r>
        <w:rPr>
          <w:rFonts w:hint="eastAsia" w:ascii="宋体" w:hAnsi="宋体" w:eastAsia="宋体" w:cs="Times New Roman"/>
          <w:sz w:val="24"/>
          <w:szCs w:val="24"/>
        </w:rPr>
        <w:t>：</w:t>
      </w:r>
    </w:p>
    <w:p w14:paraId="57B5DBC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施工企业资质及安全生产许可证情况；</w:t>
      </w:r>
    </w:p>
    <w:p w14:paraId="17CEDA8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施工单位安全生产管理机构设置情况；</w:t>
      </w:r>
    </w:p>
    <w:p w14:paraId="095FF9E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施工单位的主要负责人、项目负责人、专职安全生产管理人员、特种作业人员任职或上岗条件；</w:t>
      </w:r>
    </w:p>
    <w:p w14:paraId="474B46D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施工单位主要负责人、项目负责人、专职安全生产管理人员的职责；</w:t>
      </w:r>
    </w:p>
    <w:p w14:paraId="5B37BFC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施工人员的权利和义务。</w:t>
      </w:r>
    </w:p>
    <w:p w14:paraId="5F8A3BF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工程安全管理组织</w:t>
      </w:r>
    </w:p>
    <w:p w14:paraId="276A6D2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建设单位要根据相关法律、法规规定，设置安全生产管理机构或者配备专职（或兼职）安全生产管理人员。</w:t>
      </w:r>
    </w:p>
    <w:p w14:paraId="5B28673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新建、改建、扩建工程项目的安全生产设施必须要与主体工程同时设计、同时施工、同时投产使用。</w:t>
      </w:r>
    </w:p>
    <w:p w14:paraId="55C91F2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工程监理要严格按安全生产专篇要求实施安全监督和管理。</w:t>
      </w:r>
    </w:p>
    <w:p w14:paraId="76E3758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工程施工要严格按安全生产专篇要求，对施工人员要进行安全教育和培训，落实安全防护措施和安全经费。</w:t>
      </w:r>
    </w:p>
    <w:p w14:paraId="1D97FB8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单位在施工前应对施工作业现场的作业环境进行勘查，并制定相应的安全生产和文明施工的防范措施，加强施工现场安全管理和检查。</w:t>
      </w:r>
    </w:p>
    <w:p w14:paraId="195AD75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施工单位必须严禁使用未取得有关部门颁发的《特种作业人员岗位操作证》的人员从事特种作业，禁止使用未经上岗培训的人员上岗作业。</w:t>
      </w:r>
    </w:p>
    <w:p w14:paraId="4B4856C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施工单位必须保证施工现场安全措施费用和施工人员的安全生产用品的落实。</w:t>
      </w:r>
    </w:p>
    <w:p w14:paraId="39E548B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建设项目竣工投产前，其安全设施必须经安全部门验收合格。</w:t>
      </w:r>
    </w:p>
    <w:p w14:paraId="3351E39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p>
    <w:p w14:paraId="3DC6B067">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企业主要负责人、工程项目负责人和专职安全员应对建设工程项目的安全施工负责。当发生安全事故时，应及时、如实地报告。</w:t>
      </w:r>
    </w:p>
    <w:p w14:paraId="2082FE2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工程项目施工必须实行安全技术逐级交底制度，纵向延伸到全体作业人员。</w:t>
      </w:r>
    </w:p>
    <w:p w14:paraId="234AA57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p>
    <w:p w14:paraId="333F584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发生任何事故，必须及时逐级上报。报告的内容应包括事故发生的单位、时间、地点、简要事故经过、伤亡人数、财产损失情况和已采取的应急措施等。报告人应适时作出书面记录。</w:t>
      </w:r>
    </w:p>
    <w:p w14:paraId="0F812F2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项目负责人接到事故报告后，应迅速采取有效措施，积极组织救护、抢险，减少人员伤亡和财产损失，防止事故继续扩大，并立即报告安全生产主管部门或上级应急指挥中心。</w:t>
      </w:r>
    </w:p>
    <w:p w14:paraId="1659ED9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设备安装前须检查：机房荷载、消防、抗震、接地的证明。</w:t>
      </w:r>
    </w:p>
    <w:p w14:paraId="3F06628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当施工作业可能对毗邻设备、管线等造成损害时，监理工程师应要求承包单位采取防护措施。</w:t>
      </w:r>
    </w:p>
    <w:p w14:paraId="2CDEDC2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监理工程师应要求承包单位在施工现场设置符合规定的安全警示标志，暂停施工时应做好现场防护，对施工时产生的噪音、粉尘、废物、振动及照明等对人和环境可能造成危害和污染时，要采取环境保护措施。</w:t>
      </w:r>
    </w:p>
    <w:p w14:paraId="21CF167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在运行中的通信设备机架内或设备旁进行安装作业时，监理工程师应督促承包单位提前制定好带电作业的安全防护措施，在安装施工过程中，监理人员、维护人员必须旁站监督，防止安全事故的发生。</w:t>
      </w:r>
    </w:p>
    <w:p w14:paraId="27F50D1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工程项目施工必须实行安全技术交底制度，接受交底的人员必须覆盖全体作业人员。</w:t>
      </w:r>
    </w:p>
    <w:p w14:paraId="08E752A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p>
    <w:p w14:paraId="13DF4BC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p>
    <w:p w14:paraId="4875A8AD">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6.3.4.2 </w:t>
      </w:r>
      <w:r>
        <w:rPr>
          <w:rFonts w:hint="eastAsia"/>
          <w:sz w:val="24"/>
          <w:szCs w:val="24"/>
        </w:rPr>
        <w:t>施工现场安全</w:t>
      </w:r>
    </w:p>
    <w:p w14:paraId="10DCB50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在城镇交人员密集处施工时必须设置有关部门规定的警示标志，必要时派专人警戒看守。</w:t>
      </w:r>
    </w:p>
    <w:p w14:paraId="203CB87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施工现场的安全警示标志和防护设施应随工作地点的变动而转移，作业完毕应及时撤除、清理干净。</w:t>
      </w:r>
    </w:p>
    <w:p w14:paraId="01E2941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施工人员应阻止非工作人员进人施工作业区，接近或触碰正在施工运行中的各种机具与设施。</w:t>
      </w:r>
    </w:p>
    <w:p w14:paraId="151E3D4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在城镇和居民区内施工有噪音扰民时，应采取防止或减轻噪音扰民的措施，并在相关部门规定时间内施工。需要在夜间或在禁止时间内施工的，应报请有关单位和部门批准。</w:t>
      </w:r>
    </w:p>
    <w:p w14:paraId="227A62B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从事高处作业的施工人员，必须正确使用安全带、安全帽。</w:t>
      </w:r>
    </w:p>
    <w:p w14:paraId="7EDF9CB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从事高处作业的人员应定期进行健康检查，如发现身体不适合高处作业时，不得从事这一工作。</w:t>
      </w:r>
    </w:p>
    <w:p w14:paraId="6BAA228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高处作业时，所用工具、材料应放置稳妥，不得扔抛工具或材料。</w:t>
      </w:r>
    </w:p>
    <w:p w14:paraId="0499A04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施工现场有两个以上施工单位施工时，建设单位应明确各方的安全职责，对施工现场实行统一管理。</w:t>
      </w:r>
    </w:p>
    <w:p w14:paraId="069B946D">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6.3.4.3 施工驻地安全</w:t>
      </w:r>
    </w:p>
    <w:p w14:paraId="6E7B0D3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临时搭建的员工办公室等设施必须安全、牢固、符合消防安全规定，严禁使用易燃材料搭建临时设施。临时设施严禁靠近电力设施，与高压架空电线的水平距离必须符合相关规定。</w:t>
      </w:r>
    </w:p>
    <w:p w14:paraId="47F9971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ascii="宋体" w:hAnsi="宋体" w:eastAsia="宋体" w:cs="Times New Roman"/>
          <w:sz w:val="24"/>
          <w:szCs w:val="24"/>
        </w:rPr>
        <w:t>施工驻地应按规定配备消防设施，设置安全通道。</w:t>
      </w:r>
    </w:p>
    <w:p w14:paraId="79DA1706">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6.3.4.4 </w:t>
      </w:r>
      <w:r>
        <w:rPr>
          <w:rFonts w:hint="eastAsia"/>
          <w:sz w:val="24"/>
          <w:szCs w:val="24"/>
        </w:rPr>
        <w:t>施工现场用电安全要求</w:t>
      </w:r>
    </w:p>
    <w:p w14:paraId="2C098A7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电工作业应由二人以上配合进行，并由持证人员操作，并按规定穿绝缘鞋，带绝缘手套，使用绝缘工具。在带电的设备、头柜、分支柜中操作时，不得佩戴金属饰物，并采取有效措施防止螺丝钉、垫片、金属屑等金属材料掉落。</w:t>
      </w:r>
    </w:p>
    <w:p w14:paraId="35C55DD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操作电器装置应熟悉其性能和使用方法，不得任意开动电源装置，严禁在电源装置上放置物件，施工人员需在施工授权范围内操作，不得超出范围进行操作。</w:t>
      </w:r>
    </w:p>
    <w:p w14:paraId="3E810A47">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在低压作业中，人体及其所携带工具与带电体的距离不应小于</w:t>
      </w:r>
      <w:r>
        <w:rPr>
          <w:rFonts w:ascii="宋体" w:hAnsi="宋体" w:eastAsia="宋体" w:cs="Times New Roman"/>
          <w:sz w:val="24"/>
          <w:szCs w:val="24"/>
        </w:rPr>
        <w:t>0.1m。</w:t>
      </w:r>
    </w:p>
    <w:p w14:paraId="6544BEA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施工现场用电线路应采用绝缘护套导线。</w:t>
      </w:r>
    </w:p>
    <w:p w14:paraId="4E68D5B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检修各类配电箱、开关箱、电气设备和电力工具时，必须切断电源。在总配线箱或者分配线箱一侧悬挂“检修设备请勿合闸”警示标牌，必要时设专人看管。</w:t>
      </w:r>
    </w:p>
    <w:p w14:paraId="0E256A7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用电设备的总功率不得超过供电负荷。</w:t>
      </w:r>
    </w:p>
    <w:p w14:paraId="30952D6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设备加电测试</w:t>
      </w:r>
    </w:p>
    <w:p w14:paraId="33686EE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1、设备在加电前应进行检查以下内容</w:t>
      </w:r>
      <w:r>
        <w:rPr>
          <w:rFonts w:ascii="宋体" w:hAnsi="宋体" w:eastAsia="宋体" w:cs="Times New Roman"/>
          <w:sz w:val="24"/>
          <w:szCs w:val="24"/>
        </w:rPr>
        <w:t>:设备内不得有金属碎屑，电源正负极不得接反和短路，设备保护地线应引接良好，各级电源熔断器和空气开关规格应符合设计和设备的技术要求。</w:t>
      </w:r>
    </w:p>
    <w:p w14:paraId="3D9351E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2、设备加电时，操作人员必须穿戴绝缘鞋、绝缘手套，使用绝缘工具，并应由</w:t>
      </w:r>
      <w:r>
        <w:rPr>
          <w:rFonts w:ascii="宋体" w:hAnsi="宋体" w:eastAsia="宋体" w:cs="Times New Roman"/>
          <w:sz w:val="24"/>
          <w:szCs w:val="24"/>
        </w:rPr>
        <w:t>2人互相配合，沿电流方向逐级加电，逐级测量并留存测试记录。</w:t>
      </w:r>
    </w:p>
    <w:p w14:paraId="644D563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3、插拔板卡、模块时应配戴接地良好的防静电手环。</w:t>
      </w:r>
    </w:p>
    <w:p w14:paraId="7F53E67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4、插拔电源熔断器应使用专用工具，不得用其他工具代替。</w:t>
      </w:r>
    </w:p>
    <w:p w14:paraId="6DAE66E1">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6.3.4.5 </w:t>
      </w:r>
      <w:r>
        <w:rPr>
          <w:rFonts w:hint="eastAsia"/>
          <w:sz w:val="24"/>
          <w:szCs w:val="24"/>
        </w:rPr>
        <w:t>施工交通安全</w:t>
      </w:r>
    </w:p>
    <w:p w14:paraId="3390492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p>
    <w:p w14:paraId="55A24B6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车辆行驶时，乘坐人员应注意沿途的电线、树枝及其他障碍物，不得将肢体露于车厢外。车辆停稳后方可上下车。</w:t>
      </w:r>
    </w:p>
    <w:p w14:paraId="5CDD417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若需租用车辆，应与车主签订租车协议，明确双方安全责任和义务。</w:t>
      </w:r>
    </w:p>
    <w:p w14:paraId="54EB357B">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6.3.4.6 </w:t>
      </w:r>
      <w:r>
        <w:rPr>
          <w:rFonts w:hint="eastAsia"/>
          <w:sz w:val="24"/>
          <w:szCs w:val="24"/>
        </w:rPr>
        <w:t>器材搬运要求</w:t>
      </w:r>
    </w:p>
    <w:p w14:paraId="15DFB5A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1、一般规定</w:t>
      </w:r>
    </w:p>
    <w:p w14:paraId="39992C4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（1）搬运通信设备、线缆等器材时，使用的杠、绳、链、撬棍、滚筒、滑车、挂钩、绞车（盘）、跳板等搬运工具应有足够的强度。不得使用有破损、腐蚀、腐朽现象的搬运工具。</w:t>
      </w:r>
    </w:p>
    <w:p w14:paraId="6674501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（2）人工挑、抬、扛工作应采取适当的人身安全措施。</w:t>
      </w:r>
    </w:p>
    <w:p w14:paraId="4E26289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2、大型设备搬运</w:t>
      </w:r>
    </w:p>
    <w:p w14:paraId="191C882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装卸大型设备宜采用吊车或叉车。搬运设备时应注意包装箱上的标志，不得倒置。</w:t>
      </w:r>
    </w:p>
    <w:p w14:paraId="0907964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人工搬运时，应有专人指挥，多人合作，步调一致；每人负重男工不得超过40kg，女工不得超过20kg；不得让患有不适于搬运工作疾病者参与搬运工作。</w:t>
      </w:r>
    </w:p>
    <w:p w14:paraId="090D461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人工搬运设备上下楼梯时，应按照身高、体力妥善安排位置，负重均匀；急拐弯处要慢行，前后的人应相互照应。</w:t>
      </w:r>
    </w:p>
    <w:p w14:paraId="134DEB1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使用电梯搬运设备上下楼时，宜使用货梯，电梯的大小和承重应满足搬运要求。</w:t>
      </w:r>
    </w:p>
    <w:p w14:paraId="7A54AF4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手搬、肩扛没有包装的设备时，应搬、扛设备的牢固部位，不得抓碰布线、盒盖、零部件等不牢固、不能承重的部位。在搬运过程中不得直接将机柜在地面上拖拉、推动。</w:t>
      </w:r>
    </w:p>
    <w:p w14:paraId="0E7F609B">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6.3.4.7 </w:t>
      </w:r>
      <w:r>
        <w:rPr>
          <w:rFonts w:hint="eastAsia"/>
          <w:sz w:val="24"/>
          <w:szCs w:val="24"/>
        </w:rPr>
        <w:t>室内设备安装</w:t>
      </w:r>
    </w:p>
    <w:p w14:paraId="414993E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设备开箱时应注意包装箱上的标志，不得倒置。开箱时应使用专用工具，不得猛力敲打包装箱。开箱后应及时清理箱板、铁皮、泡沫等杂物。雨雪、潮湿天气不得在室外开箱。</w:t>
      </w:r>
    </w:p>
    <w:p w14:paraId="3A4A025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在机房内搬移设备时，不得损坏地板和其他设备。</w:t>
      </w:r>
    </w:p>
    <w:p w14:paraId="26FB45D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3、在已有运行设备的机房内作业时，应划定施工作业区域，作业人员不得随意触碰已有运行设备，不得随意触碰消防设施。</w:t>
      </w:r>
    </w:p>
    <w:p w14:paraId="281152B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4、严禁擅自关断运行设备的电源开关。使用机房原有电源插座时应核实电源容量。</w:t>
      </w:r>
    </w:p>
    <w:p w14:paraId="09B7BA9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5、铁架、槽道、机架、人字梯上不得放置工具和器材。不得脚踩铁架、机架、电缆走道、端子板等设备。</w:t>
      </w:r>
    </w:p>
    <w:p w14:paraId="71253AF7">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6、在运行设备顶部操作时，应对运行设备采取防护措施，避免工具、螺丝等金属物品落入机柜内。</w:t>
      </w:r>
    </w:p>
    <w:p w14:paraId="5E5D8EF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7、机架安装时，应用膨胀螺栓对地加固。在需要抗震加固的地区，应按设计要求，对机架采取抗震加固措施，机架防雷接地需严格按照机房及设计要求。在已运行的设备旁安装机架时应防止碰撞原有设备。</w:t>
      </w:r>
    </w:p>
    <w:p w14:paraId="06BA8CC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8、交直流供电设备安装</w:t>
      </w:r>
    </w:p>
    <w:p w14:paraId="1019F49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（1）设备的防雷和保护接地线应安装牢固，接地电阻值应符合要求。</w:t>
      </w:r>
    </w:p>
    <w:p w14:paraId="608845A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（2）设备安装完毕后，应进行清洁，彻底清除在安装时落入机内的杂物。</w:t>
      </w:r>
    </w:p>
    <w:p w14:paraId="06D662D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（3）交流配电屏的中性线应与机架绝缘。不得采用中性线做交流保护地线。</w:t>
      </w:r>
    </w:p>
    <w:p w14:paraId="20D4525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（4）供电前，需要检查设备内线缆、元器件等连接是否正确、牢固，确认正确后方可供电；交、直流配电屏和其他供电设备前后的地面应铺放绝缘橡胶垫。</w:t>
      </w:r>
    </w:p>
    <w:p w14:paraId="21C51BD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（5）电源熔断器及空气开关容量应符合设计要求，插拔电源熔断器应使用专用工具，不得用其他工具代替。</w:t>
      </w:r>
    </w:p>
    <w:p w14:paraId="3DD9C45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（6）设备供电时，操作人员应穿绝缘鞋，带绝缘手套，并应有两人互相配合，采取逐级加电的方法进行。如发现异常，应立即切断电源开关，检查原因。</w:t>
      </w:r>
    </w:p>
    <w:p w14:paraId="6E219C24">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6.3.4.8 </w:t>
      </w:r>
      <w:r>
        <w:rPr>
          <w:rFonts w:hint="eastAsia"/>
          <w:sz w:val="24"/>
          <w:szCs w:val="24"/>
        </w:rPr>
        <w:t>电缆布放安全要求</w:t>
      </w:r>
    </w:p>
    <w:p w14:paraId="05ABF56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1、布放线缆时应做好标识，其中电源线端头应作绝缘处理。</w:t>
      </w:r>
    </w:p>
    <w:p w14:paraId="20D9867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2、电源线的布放：</w:t>
      </w:r>
    </w:p>
    <w:p w14:paraId="6BE1CE1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（1）在地槽内布放电源线时，必须注意防潮。</w:t>
      </w:r>
    </w:p>
    <w:p w14:paraId="31AE3B3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（2）布放电源线时，无论是明敷或暗敷，必须是整条线料，中间严禁有接头。</w:t>
      </w:r>
    </w:p>
    <w:p w14:paraId="6E9CA03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截面在10mm2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p>
    <w:p w14:paraId="65FA649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（4）电源线穿越墙洞或楼层时，应预留“S”弯。洞口两端应按要求用阻燃材料的盖板堵封洞口。施工尚未结束时，应用临时阻燃材料堵封洞口。</w:t>
      </w:r>
    </w:p>
    <w:p w14:paraId="4FCF103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（5）交流线、直流线、信号线应分开布放，不得绑扎在一起，如走在同一路由时，间距必须符合工程验收规范要求。非同一级电力电缆不得穿放在同一管孔内。</w:t>
      </w:r>
    </w:p>
    <w:p w14:paraId="4CEF5FD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（6）设备电源的正负极性严禁接反。</w:t>
      </w:r>
    </w:p>
    <w:p w14:paraId="6F3DD30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（7）电源线、信号线必须是整条线料，外皮完整，中间严禁有接头和急弯处。</w:t>
      </w:r>
    </w:p>
    <w:p w14:paraId="58E3B1D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（8）直流电源线、交流电源线、信号线必须分开布放，应避免在同一线束内。其中直流电源线正极外皮颜色应为红色，负极外皮颜色应为兰色。</w:t>
      </w:r>
    </w:p>
    <w:p w14:paraId="4D755449">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6.3.4.9 铁件加工和安装</w:t>
      </w:r>
    </w:p>
    <w:p w14:paraId="2C3444E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加工铁件应在指定的区域操作。不得在已安装设备的机房内切割铁件。</w:t>
      </w:r>
    </w:p>
    <w:p w14:paraId="1EE36E6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锯、锉铁件时，加工的铁件应在台虎钳或电锯平台上夹紧。在台虎钳上夹持固定槽钢、角钢、钢管时，应用木块在钳口处垫实、夹牢，不得松动，锯、锉点距钳口的距离不应过远，防止铁件振动损害机具。</w:t>
      </w:r>
    </w:p>
    <w:p w14:paraId="2563ADF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锯铁件时，锯条或砂轮与铁件的夹角要小，不宜超过10°，锯条松紧适度。锯槽钢、角钢时，不宜从顶角开始，宜从边角开始。当铁件快要锯断时，要降低手锯或电锯的速度，并有人扶住铁件的另一端，防止卡锯或铁件余料飞出。</w:t>
      </w:r>
    </w:p>
    <w:p w14:paraId="608A144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对铁件钻孔时，应用力均匀，铁件应夹紧，固定牢靠，不得左右摆动；如发生卡住钻头现象，应立即停机处理。</w:t>
      </w:r>
    </w:p>
    <w:p w14:paraId="01589A7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管件攻丝、套丝时，管件在台虎钳上应固定牢固。如两人操作时，动作应协调。攻、套丝时，应注意加注机油，及时清理铁屑，防止飞溅。</w:t>
      </w:r>
    </w:p>
    <w:p w14:paraId="5CE78E67">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6、</w:t>
      </w:r>
      <w:r>
        <w:rPr>
          <w:rFonts w:ascii="宋体" w:hAnsi="宋体" w:eastAsia="宋体" w:cs="Times New Roman"/>
          <w:sz w:val="24"/>
          <w:szCs w:val="24"/>
        </w:rPr>
        <w:t>铁件作弯时，应在台虎钳或作弯工具上夹紧。用锤敲击时，应防止振伤手臂。管件需加热作弯时，喷灯烘烤管件间距适当，操作人员不得面对管口。</w:t>
      </w:r>
    </w:p>
    <w:p w14:paraId="59C8FCB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铁件去锈和喷刷漆时，作业人员应戴口罩、手套。喷刷后的余漆、废液应集中回收，统一处理，不得随意丢放。</w:t>
      </w:r>
    </w:p>
    <w:p w14:paraId="6117C31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8、</w:t>
      </w:r>
      <w:r>
        <w:rPr>
          <w:rFonts w:ascii="宋体" w:hAnsi="宋体" w:eastAsia="宋体" w:cs="Times New Roman"/>
          <w:sz w:val="24"/>
          <w:szCs w:val="24"/>
        </w:rPr>
        <w:t>铁件安装工作中，不得抛掷铁件及工具。传递较长的铁件时，应注意周围人员、设备的安全。手扶铁件固定时，应固定牢靠后才能松手。</w:t>
      </w:r>
    </w:p>
    <w:p w14:paraId="31129CD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9、</w:t>
      </w:r>
      <w:r>
        <w:rPr>
          <w:rFonts w:ascii="宋体" w:hAnsi="宋体" w:eastAsia="宋体" w:cs="Times New Roman"/>
          <w:sz w:val="24"/>
          <w:szCs w:val="24"/>
        </w:rPr>
        <w:t>走线架、吊挂、通风管道等应安装接地线，与机房接地排连接可靠。</w:t>
      </w:r>
    </w:p>
    <w:p w14:paraId="3E2A05E6">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6.3.4.10 </w:t>
      </w:r>
      <w:r>
        <w:rPr>
          <w:rFonts w:hint="eastAsia"/>
          <w:sz w:val="24"/>
          <w:szCs w:val="24"/>
        </w:rPr>
        <w:t>高处作业时安全施工要求</w:t>
      </w:r>
    </w:p>
    <w:p w14:paraId="6060813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高处作业是一项危险性较大的作业项目，容易发生人员、物体坠落等事故。高处作业的安全防护要求如下:</w:t>
      </w:r>
    </w:p>
    <w:p w14:paraId="338B890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高处作业人员应当持证上岗。安全员必须严格按照安全控制措施和操作规程进行现场监督、检查。</w:t>
      </w:r>
    </w:p>
    <w:p w14:paraId="53C62E7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作业人员应佩戴安全帽、安全带，穿工作服、工作鞋，并认真检查各种劳保用具是否安全可靠。高处作业人员情绪不稳定、不能保证精神集中地进行高处作业时不得上岗。高空作业前不准饮酒，前一天不准过量饮酒。</w:t>
      </w:r>
    </w:p>
    <w:p w14:paraId="5685B0BF">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p>
    <w:p w14:paraId="777E194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高处作业须确保踩踏物牢靠。作业人员应身体健康，并做好自我安全防护工作。操作过程中应防止坠落物伤害他人。</w:t>
      </w:r>
    </w:p>
    <w:p w14:paraId="086B8230">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6.3.4.11 </w:t>
      </w:r>
      <w:r>
        <w:rPr>
          <w:rFonts w:hint="eastAsia"/>
          <w:sz w:val="24"/>
          <w:szCs w:val="24"/>
        </w:rPr>
        <w:t>梯子、高登使用要求</w:t>
      </w:r>
    </w:p>
    <w:p w14:paraId="29F72BC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选用的梯子应能满足承重要求，长度应适当，方便操作。</w:t>
      </w:r>
    </w:p>
    <w:p w14:paraId="4F1FC6C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带电作业或在运行的设备附近作业时，应选择绝缘梯子。</w:t>
      </w:r>
    </w:p>
    <w:p w14:paraId="1189BAD7">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使用梯子前应检查梯子是否完好。梯子配件应齐全，各部位连接应牢固，梯梁与踏板无歪斜、折断、松驰、破裂、腐朽、扭曲、变形等缺陷；</w:t>
      </w:r>
    </w:p>
    <w:p w14:paraId="253CF4D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折叠梯、伸缩梯应活动自如；伸缩梯的绳索应无破损和断股现象；金属梯踏板应做防滑处理，梯脚应装防滑绝缘橡胶垫。</w:t>
      </w:r>
    </w:p>
    <w:p w14:paraId="7BC9B22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移动超过5米长的梯子，应用2个人抬，且不要在移动的梯子上摆放任何工具或东西。</w:t>
      </w:r>
    </w:p>
    <w:p w14:paraId="1DEEEC6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有架空线缆或其它障碍物的地方，不得举梯移动。</w:t>
      </w:r>
    </w:p>
    <w:p w14:paraId="64A4979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梯子应安置平稳可靠。放置基础及所搭靠的支撑物要稳固，并能承受梯上最大负荷；地面应平整、无杂物、不湿滑。</w:t>
      </w:r>
    </w:p>
    <w:p w14:paraId="419ACFB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梯子放置的斜度要适当，梯子上端的接触点与下端支撑点间水平距离宜等于接触点和支撑点间距离的1/4至1/3。</w:t>
      </w:r>
    </w:p>
    <w:p w14:paraId="5EDF3F10">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上下梯子时，应面向梯子，保持三点接触原则，且不得手持器物，不得携带笨重工具和材料。</w:t>
      </w:r>
    </w:p>
    <w:p w14:paraId="4055A7E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p>
    <w:p w14:paraId="292D8EF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使用高凳前应检查高凳是否牢固平稳，凳脚、踏板材质应结实。上、下高凳时不得携带笨重材料和工具，一个人不得脚踩两只高凳作业。</w:t>
      </w:r>
    </w:p>
    <w:p w14:paraId="6E99BDB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高凳上放置工具和器材时，人离开时应随手取下。搬移高凳时，应先检查、清理高凳上的工具和器材</w:t>
      </w:r>
    </w:p>
    <w:p w14:paraId="59395036">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6.3.4.12 </w:t>
      </w:r>
      <w:r>
        <w:rPr>
          <w:rFonts w:hint="eastAsia"/>
          <w:sz w:val="24"/>
          <w:szCs w:val="24"/>
        </w:rPr>
        <w:t>人员密集场所施工要求</w:t>
      </w:r>
    </w:p>
    <w:p w14:paraId="0F61378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在人员密集场所施工时，需在施工地点设置围挡，并设置专门人员在现场维持秩序，疏导人流。群众围观时应及时劝其离去。不得与群众发生冲突。</w:t>
      </w:r>
    </w:p>
    <w:p w14:paraId="685737C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施工现场噪声白天应控制在60dB以下，夜间应控制在45dB以下。</w:t>
      </w:r>
    </w:p>
    <w:p w14:paraId="0361240C">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施工结束后，应车去围挡，并清扫现场，不得遗留施工垃圾、废料。</w:t>
      </w:r>
    </w:p>
    <w:p w14:paraId="07351D80">
      <w:pPr>
        <w:pStyle w:val="6"/>
        <w:pageBreakBefore w:val="0"/>
        <w:widowControl w:val="0"/>
        <w:kinsoku/>
        <w:wordWrap/>
        <w:overflowPunct/>
        <w:topLinePunct w:val="0"/>
        <w:autoSpaceDE/>
        <w:autoSpaceDN/>
        <w:bidi w:val="0"/>
        <w:adjustRightInd/>
        <w:snapToGrid/>
        <w:spacing w:line="400" w:lineRule="exact"/>
        <w:ind w:firstLine="560"/>
        <w:textAlignment w:val="auto"/>
        <w:rPr>
          <w:sz w:val="24"/>
          <w:szCs w:val="24"/>
        </w:rPr>
      </w:pPr>
      <w:r>
        <w:rPr>
          <w:sz w:val="24"/>
          <w:szCs w:val="24"/>
        </w:rPr>
        <w:t xml:space="preserve">6.3.4.13 </w:t>
      </w:r>
      <w:r>
        <w:rPr>
          <w:rFonts w:hint="eastAsia"/>
          <w:sz w:val="24"/>
          <w:szCs w:val="24"/>
        </w:rPr>
        <w:t>电动工具使用安全</w:t>
      </w:r>
    </w:p>
    <w:p w14:paraId="5F16C73B">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作业前需检查</w:t>
      </w:r>
    </w:p>
    <w:p w14:paraId="4451753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外壳、手柄不出现裂缝、破损；</w:t>
      </w:r>
    </w:p>
    <w:p w14:paraId="2699E07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电缆软线及插头等完好无损，开关动作正常，保护接零连接正确、牢固可靠；</w:t>
      </w:r>
    </w:p>
    <w:p w14:paraId="12DB48D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各部防护罩齐全牢固，电气保护装置可靠。</w:t>
      </w:r>
      <w:r>
        <w:rPr>
          <w:rFonts w:ascii="宋体" w:hAnsi="宋体" w:eastAsia="宋体" w:cs="Times New Roman"/>
          <w:sz w:val="24"/>
          <w:szCs w:val="24"/>
        </w:rPr>
        <w:t> </w:t>
      </w:r>
    </w:p>
    <w:p w14:paraId="70115BF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机具启动后</w:t>
      </w:r>
    </w:p>
    <w:p w14:paraId="06A0989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应空载运转，应检查并确认机具联动灵活无阻。作业时，加力应平稳，不得用力过猛。</w:t>
      </w:r>
      <w:r>
        <w:rPr>
          <w:rFonts w:ascii="宋体" w:hAnsi="宋体" w:eastAsia="宋体" w:cs="Times New Roman"/>
          <w:sz w:val="24"/>
          <w:szCs w:val="24"/>
        </w:rPr>
        <w:t> </w:t>
      </w:r>
    </w:p>
    <w:p w14:paraId="1C1DB28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作业时应掌握电钻或电锤手柄，打孔时先将钻头抵在工作表面，然后开动，用力适度，避免晃动；转速若急剧下降，应减少用力，防止电机过载，严禁用木杠加压。</w:t>
      </w:r>
    </w:p>
    <w:p w14:paraId="049817D7">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p>
    <w:p w14:paraId="10447129">
      <w:pPr>
        <w:pStyle w:val="4"/>
        <w:pageBreakBefore w:val="0"/>
        <w:widowControl w:val="0"/>
        <w:kinsoku/>
        <w:wordWrap/>
        <w:overflowPunct/>
        <w:topLinePunct w:val="0"/>
        <w:autoSpaceDE/>
        <w:autoSpaceDN/>
        <w:bidi w:val="0"/>
        <w:adjustRightInd/>
        <w:snapToGrid/>
        <w:spacing w:line="400" w:lineRule="exact"/>
        <w:ind w:firstLine="643"/>
        <w:textAlignment w:val="auto"/>
        <w:rPr>
          <w:rFonts w:ascii="黑体" w:hAnsi="黑体" w:eastAsia="黑体"/>
          <w:sz w:val="24"/>
          <w:szCs w:val="24"/>
        </w:rPr>
      </w:pPr>
      <w:bookmarkStart w:id="392" w:name="_Toc105623181"/>
      <w:bookmarkStart w:id="393" w:name="_Toc103953591"/>
      <w:bookmarkStart w:id="394" w:name="_Toc9632"/>
      <w:bookmarkStart w:id="395" w:name="_Toc103952710"/>
      <w:r>
        <w:rPr>
          <w:rFonts w:hint="eastAsia" w:ascii="黑体" w:hAnsi="黑体" w:eastAsia="黑体"/>
          <w:sz w:val="24"/>
          <w:szCs w:val="24"/>
        </w:rPr>
        <w:t>6.4 消防</w:t>
      </w:r>
      <w:bookmarkEnd w:id="392"/>
      <w:bookmarkEnd w:id="393"/>
      <w:bookmarkEnd w:id="394"/>
      <w:bookmarkEnd w:id="395"/>
    </w:p>
    <w:p w14:paraId="1A7A3E6C">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96" w:name="_Toc105623182"/>
      <w:bookmarkStart w:id="397" w:name="_Toc4019"/>
      <w:bookmarkStart w:id="398" w:name="_Toc103953592"/>
      <w:r>
        <w:rPr>
          <w:rFonts w:hint="eastAsia" w:ascii="黑体" w:hAnsi="黑体" w:eastAsia="黑体"/>
          <w:sz w:val="24"/>
          <w:szCs w:val="24"/>
        </w:rPr>
        <w:t>6.4.1 一般要求</w:t>
      </w:r>
      <w:bookmarkEnd w:id="396"/>
      <w:bookmarkEnd w:id="397"/>
      <w:bookmarkEnd w:id="398"/>
    </w:p>
    <w:p w14:paraId="7CBFB83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在项目建设中，将遵循“预防为主，消防结合”的方针，严格贯彻执行国家《建筑设计防火规划》。本期消防采取以下措施：</w:t>
      </w:r>
    </w:p>
    <w:p w14:paraId="049288C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1、严格按照国家规定，选购符合国家规定标准或使用许可的设备（如空调、不间断供电电源等）。</w:t>
      </w:r>
    </w:p>
    <w:p w14:paraId="2652F9C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2、建筑物按防火规定，设置防火门、疏散通道、消防电梯、安全出入口、火灾自动报警系统等，建筑物内部装修选用不燃性和难燃性材料。</w:t>
      </w:r>
    </w:p>
    <w:p w14:paraId="337F988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3、机房内宜设置火灾自动报警系统和气体灭火系统。</w:t>
      </w:r>
    </w:p>
    <w:p w14:paraId="2AFFA55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4、建筑的机房内均应配置手提式灭火器或移动式灭火器。</w:t>
      </w:r>
    </w:p>
    <w:p w14:paraId="3883C05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5、机房及楼道应配置手提式或移动式灭火器、防毒面具。消防通道有疏散指示，通道内不得堆放杂物和易燃物品，不得封堵消防疏散通道，以利发生火灾时安全疏散人员。</w:t>
      </w:r>
    </w:p>
    <w:p w14:paraId="36689842">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6、建筑物内外，严格按照国家消防规定设置消防设施、通道和各种指示标志。</w:t>
      </w:r>
    </w:p>
    <w:p w14:paraId="3FB6AFB0">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399" w:name="_Toc105623183"/>
      <w:bookmarkStart w:id="400" w:name="_Toc21144"/>
      <w:bookmarkStart w:id="401" w:name="_Toc103953593"/>
      <w:r>
        <w:rPr>
          <w:rFonts w:hint="eastAsia" w:ascii="黑体" w:hAnsi="黑体" w:eastAsia="黑体"/>
          <w:sz w:val="24"/>
          <w:szCs w:val="24"/>
        </w:rPr>
        <w:t>6.4.2 防火封堵要求</w:t>
      </w:r>
      <w:bookmarkEnd w:id="399"/>
      <w:bookmarkEnd w:id="400"/>
      <w:bookmarkEnd w:id="401"/>
    </w:p>
    <w:p w14:paraId="4A38584D">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1、光缆穿越楼板、墙体的孔洞敷设后，必须采用防火封堵材料将孔洞封堵严密。</w:t>
      </w:r>
    </w:p>
    <w:p w14:paraId="3A5B3A0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p>
    <w:p w14:paraId="2AA454C4">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p>
    <w:p w14:paraId="4CA5410D">
      <w:pPr>
        <w:pStyle w:val="5"/>
        <w:pageBreakBefore w:val="0"/>
        <w:widowControl w:val="0"/>
        <w:kinsoku/>
        <w:wordWrap/>
        <w:overflowPunct/>
        <w:topLinePunct w:val="0"/>
        <w:autoSpaceDE/>
        <w:autoSpaceDN/>
        <w:bidi w:val="0"/>
        <w:adjustRightInd/>
        <w:snapToGrid/>
        <w:spacing w:line="400" w:lineRule="exact"/>
        <w:ind w:firstLine="602"/>
        <w:textAlignment w:val="auto"/>
        <w:rPr>
          <w:rFonts w:ascii="黑体" w:hAnsi="黑体" w:eastAsia="黑体"/>
          <w:sz w:val="24"/>
          <w:szCs w:val="24"/>
        </w:rPr>
      </w:pPr>
      <w:bookmarkStart w:id="402" w:name="_Toc103953594"/>
      <w:bookmarkStart w:id="403" w:name="_Toc105623184"/>
      <w:bookmarkStart w:id="404" w:name="_Toc24381"/>
      <w:r>
        <w:rPr>
          <w:rFonts w:hint="eastAsia" w:ascii="黑体" w:hAnsi="黑体" w:eastAsia="黑体"/>
          <w:sz w:val="24"/>
          <w:szCs w:val="24"/>
        </w:rPr>
        <w:t>6.4.3 施工现场防火要求</w:t>
      </w:r>
      <w:bookmarkEnd w:id="402"/>
      <w:bookmarkEnd w:id="403"/>
      <w:bookmarkEnd w:id="404"/>
    </w:p>
    <w:p w14:paraId="5D552D4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1、施工单位应当在施工现场建立消防安全责任制度，并确定消防安全责任人，制定用火、用电、使用易燃易爆材料等各项消防安全管理制度和操作规程。</w:t>
      </w:r>
    </w:p>
    <w:p w14:paraId="3E3AC759">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2、施工现场应配备必要的消防器材。消防器材设置地点应合理，便于取用，使用方法应明示。</w:t>
      </w:r>
    </w:p>
    <w:p w14:paraId="2F8A3CC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3、施工现场配备的消防器材应完好无损且在有效期内。</w:t>
      </w:r>
    </w:p>
    <w:p w14:paraId="59EA44FA">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4、人员首次进人施工现场，应首先了解消防设施、器材的设置点，不得随意挪动。作业人员进入新的岗位或者新的施工现场前或在采用新技术、新工艺、新设备、新材料时，应当对作业人员进行相应安全生产教育培训。</w:t>
      </w:r>
    </w:p>
    <w:p w14:paraId="06E14B28">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5、不得堵塞消防通道、遮挡消防设施。机房施工、扩容、维修等设备包装材料以及电报纸、打印纸等易燃物品，要随用随清随运，不得堆放在机房内和走廊通道上。</w:t>
      </w:r>
    </w:p>
    <w:p w14:paraId="7BFEDDB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6、</w:t>
      </w:r>
      <w:r>
        <w:rPr>
          <w:rFonts w:ascii="宋体" w:hAnsi="宋体" w:eastAsia="宋体" w:cs="Times New Roman"/>
          <w:sz w:val="24"/>
          <w:szCs w:val="24"/>
        </w:rPr>
        <w:t>电气设备着火时，应首先切断电源，必须使用干粉灭火器，严禁使用水和泡沫灭火器。</w:t>
      </w:r>
    </w:p>
    <w:p w14:paraId="6902ADF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7、在封闭和特殊要求的施工场所严禁吸烟。</w:t>
      </w:r>
    </w:p>
    <w:p w14:paraId="1A5115B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ascii="宋体" w:hAnsi="宋体" w:eastAsia="宋体" w:cs="Times New Roman"/>
          <w:sz w:val="24"/>
          <w:szCs w:val="24"/>
        </w:rPr>
      </w:pPr>
      <w:r>
        <w:rPr>
          <w:rFonts w:hint="eastAsia" w:ascii="宋体" w:hAnsi="宋体" w:eastAsia="宋体" w:cs="Times New Roman"/>
          <w:sz w:val="24"/>
          <w:szCs w:val="24"/>
        </w:rPr>
        <w:t>8、机房内施工不得使用明火。需要使用明火时应经相关单位部门批准，落实安全防火措施，并在指定的地点、时间内作业。每天施工结束后必须认真清理现场，消除火种。</w:t>
      </w:r>
    </w:p>
    <w:p w14:paraId="572A2BBD">
      <w:pPr>
        <w:pStyle w:val="4"/>
        <w:pageBreakBefore w:val="0"/>
        <w:widowControl w:val="0"/>
        <w:kinsoku/>
        <w:wordWrap/>
        <w:overflowPunct/>
        <w:topLinePunct w:val="0"/>
        <w:autoSpaceDE/>
        <w:autoSpaceDN/>
        <w:bidi w:val="0"/>
        <w:adjustRightInd/>
        <w:snapToGrid/>
        <w:spacing w:line="400" w:lineRule="exact"/>
        <w:ind w:firstLine="643"/>
        <w:textAlignment w:val="auto"/>
        <w:rPr>
          <w:rFonts w:hint="eastAsia" w:ascii="宋体" w:hAnsi="宋体" w:eastAsia="宋体" w:cs="宋体"/>
          <w:sz w:val="24"/>
          <w:szCs w:val="24"/>
        </w:rPr>
      </w:pPr>
      <w:bookmarkStart w:id="405" w:name="_Toc20127"/>
      <w:bookmarkStart w:id="406" w:name="_Toc28481"/>
      <w:bookmarkStart w:id="407" w:name="_Toc27904"/>
      <w:bookmarkStart w:id="408" w:name="_Toc25239"/>
      <w:r>
        <w:rPr>
          <w:rFonts w:hint="eastAsia" w:ascii="宋体" w:hAnsi="宋体" w:eastAsia="宋体" w:cs="宋体"/>
          <w:sz w:val="24"/>
          <w:szCs w:val="24"/>
        </w:rPr>
        <w:t>七、风险及效益分析</w:t>
      </w:r>
      <w:bookmarkEnd w:id="405"/>
      <w:bookmarkEnd w:id="406"/>
      <w:bookmarkEnd w:id="407"/>
      <w:bookmarkEnd w:id="408"/>
    </w:p>
    <w:p w14:paraId="5C67AD0F">
      <w:pPr>
        <w:pStyle w:val="4"/>
        <w:pageBreakBefore w:val="0"/>
        <w:widowControl w:val="0"/>
        <w:kinsoku/>
        <w:wordWrap/>
        <w:overflowPunct/>
        <w:topLinePunct w:val="0"/>
        <w:autoSpaceDE/>
        <w:autoSpaceDN/>
        <w:bidi w:val="0"/>
        <w:adjustRightInd/>
        <w:snapToGrid/>
        <w:spacing w:line="400" w:lineRule="exact"/>
        <w:ind w:firstLine="643"/>
        <w:textAlignment w:val="auto"/>
        <w:rPr>
          <w:rFonts w:hint="eastAsia" w:ascii="宋体" w:hAnsi="宋体" w:eastAsia="宋体" w:cs="宋体"/>
          <w:sz w:val="24"/>
          <w:szCs w:val="24"/>
        </w:rPr>
      </w:pPr>
      <w:bookmarkStart w:id="409" w:name="_Toc25022"/>
      <w:bookmarkStart w:id="410" w:name="_Toc16659"/>
      <w:bookmarkStart w:id="411" w:name="_Toc15246"/>
      <w:bookmarkStart w:id="412" w:name="_Toc6603"/>
      <w:r>
        <w:rPr>
          <w:rFonts w:hint="eastAsia" w:ascii="宋体" w:hAnsi="宋体" w:eastAsia="宋体" w:cs="宋体"/>
          <w:sz w:val="24"/>
          <w:szCs w:val="24"/>
        </w:rPr>
        <w:t>7.1风险分析</w:t>
      </w:r>
      <w:bookmarkEnd w:id="409"/>
      <w:bookmarkEnd w:id="410"/>
      <w:bookmarkEnd w:id="411"/>
      <w:bookmarkEnd w:id="412"/>
    </w:p>
    <w:p w14:paraId="1BF6AA31">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bookmarkStart w:id="413" w:name="_Toc28518"/>
      <w:bookmarkStart w:id="414" w:name="_Toc28950"/>
      <w:bookmarkStart w:id="415" w:name="_Toc8607"/>
      <w:r>
        <w:rPr>
          <w:rFonts w:hint="eastAsia" w:ascii="宋体" w:hAnsi="宋体" w:eastAsia="宋体" w:cs="宋体"/>
          <w:sz w:val="24"/>
          <w:szCs w:val="24"/>
        </w:rPr>
        <w:t>项目主要风险因素识别</w:t>
      </w:r>
      <w:bookmarkEnd w:id="413"/>
      <w:bookmarkEnd w:id="414"/>
      <w:bookmarkEnd w:id="415"/>
      <w:r>
        <w:rPr>
          <w:rFonts w:hint="eastAsia" w:ascii="宋体" w:hAnsi="宋体" w:eastAsia="宋体" w:cs="宋体"/>
          <w:sz w:val="24"/>
          <w:szCs w:val="24"/>
        </w:rPr>
        <w:t xml:space="preserve">：项目风险分析贯穿于项目建设和生产运营的全过程，项目风险因素主要有市场风险、工程风险、资金风险、政策风险、外部协作条件和社会风险等。 </w:t>
      </w:r>
    </w:p>
    <w:p w14:paraId="1A9F6019">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市场风险：主要因素有市场需求量、竞争能力和价格等。本项目市场前景较好，企业具有很强的市场竞争力。 </w:t>
      </w:r>
    </w:p>
    <w:p w14:paraId="4FA16C4B">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工程风险：本项目在筹备和立项阶段已对场区的工程地质条件、水文地质条件进行了详细地勘察，为初步设计、施工图设计和工程建设提供了可靠的依据，可保证工程的顺利实施，避免了工程风险。 </w:t>
      </w:r>
    </w:p>
    <w:p w14:paraId="19D774D1">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资金风险：工程建设所需资金有可靠保证，不会因资金供应不足或中断而导致项目工期拖长或终止的现象发生。 </w:t>
      </w:r>
    </w:p>
    <w:p w14:paraId="1D649CF3">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r>
        <w:rPr>
          <w:rFonts w:hint="eastAsia" w:ascii="宋体" w:hAnsi="宋体" w:eastAsia="宋体" w:cs="宋体"/>
          <w:sz w:val="24"/>
          <w:szCs w:val="24"/>
        </w:rPr>
        <w:t>政策风险：自改革开放以来，我国的政治经济形式一直在稳步发展，近年来又提出了国家支持资源性城市转型和重点产业振兴的重大决策。为本项目的尽快实施提供了便利和保障。</w:t>
      </w:r>
    </w:p>
    <w:p w14:paraId="5AA24C12">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外部协作条件风险：本项目所在地为盐城市大丰区，具有良好的交通运输、供水、供电等主要外部协作配套条件，可保证项目建设和运营的正常进行。 </w:t>
      </w:r>
    </w:p>
    <w:p w14:paraId="5C76E343">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bookmarkStart w:id="416" w:name="_Toc6788"/>
      <w:bookmarkStart w:id="417" w:name="_Toc11808"/>
      <w:bookmarkStart w:id="418" w:name="_Toc8809"/>
      <w:r>
        <w:rPr>
          <w:rFonts w:hint="eastAsia" w:ascii="宋体" w:hAnsi="宋体" w:eastAsia="宋体" w:cs="宋体"/>
          <w:sz w:val="24"/>
          <w:szCs w:val="24"/>
        </w:rPr>
        <w:t>防范和降低风险对策</w:t>
      </w:r>
      <w:bookmarkEnd w:id="416"/>
      <w:bookmarkEnd w:id="417"/>
      <w:bookmarkEnd w:id="418"/>
      <w:r>
        <w:rPr>
          <w:rFonts w:hint="eastAsia" w:ascii="宋体" w:hAnsi="宋体" w:eastAsia="宋体" w:cs="宋体"/>
          <w:sz w:val="24"/>
          <w:szCs w:val="24"/>
        </w:rPr>
        <w:t xml:space="preserve">：任何经济活动都有风险，由于预测的不确定性，项目经营的未来状况会与设想状况发生偏离，因而使投资项目面临潜在的风险，面对风险企业必须采取有效措施降低、规避、分散或防范风险。 </w:t>
      </w:r>
    </w:p>
    <w:p w14:paraId="7AD92002">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降低、规避、分散或防范风险的有效措施：对于可能发生的重大自然灾害，本项目应采取投保的方式进行解决，尽量减少损失；对于可能发生的融资问题如扶助到位不及时问题， 应加大协调力度，尽力争取扶助资金及时足额到位，同确保本项目能按计划如期完成。 </w:t>
      </w:r>
    </w:p>
    <w:p w14:paraId="0E29718C">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风险转移：在购买设备和工程施工中可能存在的风险，可以采取非保险转移的方式，即在签订合同时将部分风险损失转移给合同方承担。 </w:t>
      </w:r>
    </w:p>
    <w:p w14:paraId="72F4EF04">
      <w:pPr>
        <w:pageBreakBefore w:val="0"/>
        <w:widowControl w:val="0"/>
        <w:kinsoku/>
        <w:wordWrap/>
        <w:overflowPunct/>
        <w:topLinePunct w:val="0"/>
        <w:autoSpaceDE/>
        <w:autoSpaceDN/>
        <w:bidi w:val="0"/>
        <w:adjustRightInd/>
        <w:snapToGrid/>
        <w:spacing w:line="400" w:lineRule="exact"/>
        <w:ind w:left="480" w:firstLine="560"/>
        <w:textAlignment w:val="auto"/>
        <w:rPr>
          <w:rFonts w:hint="eastAsia" w:ascii="宋体" w:hAnsi="宋体" w:eastAsia="宋体" w:cs="宋体"/>
          <w:sz w:val="24"/>
          <w:szCs w:val="24"/>
        </w:rPr>
      </w:pPr>
      <w:r>
        <w:rPr>
          <w:rFonts w:hint="eastAsia" w:ascii="宋体" w:hAnsi="宋体" w:eastAsia="宋体" w:cs="宋体"/>
          <w:sz w:val="24"/>
          <w:szCs w:val="24"/>
        </w:rPr>
        <w:t>从我国现阶段经济发展的形势看，上述风险发生的可能性不大， 属一般风险，不影响项目的可行性。</w:t>
      </w:r>
    </w:p>
    <w:p w14:paraId="3646D69A">
      <w:pPr>
        <w:pStyle w:val="4"/>
        <w:pageBreakBefore w:val="0"/>
        <w:widowControl w:val="0"/>
        <w:kinsoku/>
        <w:wordWrap/>
        <w:overflowPunct/>
        <w:topLinePunct w:val="0"/>
        <w:autoSpaceDE/>
        <w:autoSpaceDN/>
        <w:bidi w:val="0"/>
        <w:adjustRightInd/>
        <w:snapToGrid/>
        <w:spacing w:line="400" w:lineRule="exact"/>
        <w:ind w:firstLine="643"/>
        <w:textAlignment w:val="auto"/>
        <w:rPr>
          <w:rFonts w:hint="eastAsia" w:ascii="宋体" w:hAnsi="宋体" w:eastAsia="宋体" w:cs="宋体"/>
          <w:sz w:val="24"/>
          <w:szCs w:val="24"/>
        </w:rPr>
      </w:pPr>
      <w:bookmarkStart w:id="419" w:name="_Toc18185"/>
      <w:r>
        <w:rPr>
          <w:rFonts w:hint="eastAsia" w:ascii="宋体" w:hAnsi="宋体" w:eastAsia="宋体" w:cs="宋体"/>
          <w:sz w:val="24"/>
          <w:szCs w:val="24"/>
        </w:rPr>
        <w:t>7.2效益分析</w:t>
      </w:r>
      <w:bookmarkEnd w:id="419"/>
    </w:p>
    <w:p w14:paraId="1C3936A2">
      <w:pPr>
        <w:pStyle w:val="5"/>
        <w:pageBreakBefore w:val="0"/>
        <w:widowControl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420" w:name="_Toc91064163"/>
      <w:bookmarkStart w:id="421" w:name="_Toc65184891"/>
      <w:bookmarkStart w:id="422" w:name="_Toc25383"/>
      <w:bookmarkStart w:id="423" w:name="_Toc110456681"/>
      <w:r>
        <w:rPr>
          <w:rFonts w:hint="eastAsia" w:ascii="宋体" w:hAnsi="宋体" w:eastAsia="宋体" w:cs="宋体"/>
          <w:sz w:val="24"/>
          <w:szCs w:val="24"/>
        </w:rPr>
        <w:t>7.2.1经济效益分析</w:t>
      </w:r>
      <w:bookmarkEnd w:id="420"/>
      <w:bookmarkEnd w:id="421"/>
      <w:bookmarkEnd w:id="422"/>
      <w:bookmarkEnd w:id="423"/>
    </w:p>
    <w:p w14:paraId="7207CD1E">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本项目的建设，可以提高公安机关打击犯罪、维护社会治安稳定以及城市智能化管理的能力，减少各类案事件导致的经济损失而产生直接的经济效益。避免各类案事件的发生，为各种社会案事件的发现和解决提供先期预警、快速发现、快速解决的机制，缩短事件指挥响应时间，为案事件处置节省了大量人力成本、节省了城市维护运行成本。</w:t>
      </w:r>
    </w:p>
    <w:p w14:paraId="52113A23">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为盐城市大丰区城市管理提供及时、准确、科学的信息，并由此产生巨大的经济效益。包括：</w:t>
      </w:r>
    </w:p>
    <w:p w14:paraId="1A6FADD5">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由于资源整合、信息整合而提高资源的利用率，减少重复建设投资；</w:t>
      </w:r>
    </w:p>
    <w:p w14:paraId="57917516">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由于技术手段的使用、业务流程的优化而减少城市管理成本，缩短事件处置时间，提高人民群众满意，减少社会治安事件带来的损失；</w:t>
      </w:r>
    </w:p>
    <w:p w14:paraId="4E5E5B71">
      <w:pPr>
        <w:pageBreakBefore w:val="0"/>
        <w:widowControl w:val="0"/>
        <w:tabs>
          <w:tab w:val="left" w:pos="0"/>
        </w:tabs>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由于良好城市智能化管理能力的增强、城市生态环境的改善、提高群众出行便利而产生的外资吸引、旅游发展等方面的增值效应。</w:t>
      </w:r>
    </w:p>
    <w:p w14:paraId="21A0BEA4">
      <w:pPr>
        <w:pStyle w:val="5"/>
        <w:pageBreakBefore w:val="0"/>
        <w:widowControl w:val="0"/>
        <w:kinsoku/>
        <w:wordWrap/>
        <w:overflowPunct/>
        <w:topLinePunct w:val="0"/>
        <w:autoSpaceDE/>
        <w:autoSpaceDN/>
        <w:bidi w:val="0"/>
        <w:adjustRightInd/>
        <w:snapToGrid/>
        <w:spacing w:line="400" w:lineRule="exact"/>
        <w:ind w:firstLine="602"/>
        <w:textAlignment w:val="auto"/>
        <w:rPr>
          <w:rFonts w:hint="eastAsia" w:ascii="宋体" w:hAnsi="宋体" w:eastAsia="宋体" w:cs="宋体"/>
          <w:sz w:val="24"/>
          <w:szCs w:val="24"/>
        </w:rPr>
      </w:pPr>
      <w:bookmarkStart w:id="424" w:name="_Toc65184892"/>
      <w:bookmarkStart w:id="425" w:name="_Toc110456682"/>
      <w:bookmarkStart w:id="426" w:name="_Toc91064164"/>
      <w:bookmarkStart w:id="427" w:name="_Toc25613"/>
      <w:r>
        <w:rPr>
          <w:rFonts w:hint="eastAsia" w:ascii="宋体" w:hAnsi="宋体" w:eastAsia="宋体" w:cs="宋体"/>
          <w:sz w:val="24"/>
          <w:szCs w:val="24"/>
        </w:rPr>
        <w:t>7.2.2社会效益分析</w:t>
      </w:r>
      <w:bookmarkEnd w:id="424"/>
      <w:bookmarkEnd w:id="425"/>
      <w:bookmarkEnd w:id="426"/>
      <w:bookmarkEnd w:id="427"/>
    </w:p>
    <w:p w14:paraId="783B30D5">
      <w:pPr>
        <w:pageBreakBefore w:val="0"/>
        <w:widowControl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通过项目的建设可全面提升盐城市大丰区的公共安全管理和综合服务水平，提高针对社会安全事件反应能力，改善治安环境，创造稳定、和谐的社会秩序，巩固重点区域管控，具有重要的社会效益。</w:t>
      </w:r>
    </w:p>
    <w:p w14:paraId="405021CF">
      <w:pPr>
        <w:pStyle w:val="26"/>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yellow"/>
        </w:rPr>
      </w:pPr>
      <w:r>
        <w:rPr>
          <w:rFonts w:hint="eastAsia" w:ascii="宋体" w:hAnsi="宋体" w:eastAsia="宋体" w:cs="宋体"/>
          <w:sz w:val="24"/>
          <w:szCs w:val="24"/>
        </w:rPr>
        <w:t>通过项目的建设，增强了执法机关打击犯罪的能力，提升群众安全指数和管理水平，提高处置治安突发事件的能力。为开展视频信息资源在指挥决策、治安防控、侦查破案、打击犯罪方面的应用奠定了良好的基础。</w:t>
      </w:r>
    </w:p>
    <w:p w14:paraId="7CE9E190">
      <w:pPr>
        <w:pStyle w:val="36"/>
        <w:pageBreakBefore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b/>
          <w:bCs/>
          <w:color w:val="auto"/>
          <w:sz w:val="24"/>
          <w:szCs w:val="24"/>
          <w:highlight w:val="yellow"/>
          <w:lang w:eastAsia="zh-CN"/>
        </w:rPr>
      </w:pPr>
      <w:r>
        <w:rPr>
          <w:rFonts w:hint="eastAsia" w:ascii="宋体" w:hAnsi="宋体" w:eastAsia="宋体" w:cs="宋体"/>
          <w:b/>
          <w:bCs/>
          <w:color w:val="auto"/>
          <w:sz w:val="24"/>
          <w:szCs w:val="24"/>
          <w:highlight w:val="none"/>
        </w:rPr>
        <w:t>注：1、</w:t>
      </w:r>
      <w:r>
        <w:rPr>
          <w:rFonts w:hint="eastAsia" w:ascii="宋体" w:hAnsi="宋体" w:cs="宋体"/>
          <w:b/>
          <w:bCs/>
          <w:color w:val="auto"/>
          <w:sz w:val="24"/>
          <w:szCs w:val="24"/>
          <w:highlight w:val="none"/>
          <w:lang w:eastAsia="zh-CN"/>
        </w:rPr>
        <w:t>本项目所采购的</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采集的各类数据必须无缝对接各类平台包括【大丰公安视频图象信息应用平台（抓拍数据汇聚至视图库），抓拍数据需同时实现交通违法综合管理应用平台、非机动车违法抓拍平台深度应用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公安部集成指挥平台】。投标人投标时必须提供各类数据无缝对接公安以上各类平台的</w:t>
      </w:r>
      <w:r>
        <w:rPr>
          <w:rFonts w:hint="eastAsia" w:ascii="宋体" w:hAnsi="宋体" w:eastAsia="宋体" w:cs="宋体"/>
          <w:color w:val="auto"/>
          <w:sz w:val="24"/>
          <w:szCs w:val="24"/>
          <w:highlight w:val="none"/>
          <w:lang w:eastAsia="zh-CN"/>
        </w:rPr>
        <w:t>承诺函并加盖投标人公章</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函</w:t>
      </w:r>
      <w:r>
        <w:rPr>
          <w:rFonts w:hint="eastAsia" w:ascii="宋体" w:hAnsi="宋体" w:eastAsia="宋体" w:cs="宋体"/>
          <w:color w:val="auto"/>
          <w:sz w:val="24"/>
          <w:szCs w:val="24"/>
          <w:highlight w:val="none"/>
        </w:rPr>
        <w:t>格式自拟）。</w:t>
      </w:r>
      <w:r>
        <w:rPr>
          <w:rFonts w:hint="eastAsia" w:hAnsi="宋体" w:cs="宋体"/>
          <w:b/>
          <w:bCs/>
          <w:color w:val="auto"/>
          <w:sz w:val="24"/>
          <w:szCs w:val="24"/>
          <w:highlight w:val="none"/>
          <w:lang w:eastAsia="zh-CN"/>
        </w:rPr>
        <w:t>本项目</w:t>
      </w:r>
      <w:r>
        <w:rPr>
          <w:rFonts w:hint="eastAsia" w:ascii="宋体" w:hAnsi="宋体" w:eastAsia="宋体" w:cs="宋体"/>
          <w:b/>
          <w:bCs/>
          <w:color w:val="auto"/>
          <w:sz w:val="24"/>
          <w:szCs w:val="24"/>
          <w:highlight w:val="none"/>
        </w:rPr>
        <w:t>中标后中标人</w:t>
      </w:r>
      <w:r>
        <w:rPr>
          <w:rFonts w:hint="eastAsia" w:hAnsi="宋体" w:cs="宋体"/>
          <w:b/>
          <w:bCs/>
          <w:color w:val="auto"/>
          <w:sz w:val="24"/>
          <w:szCs w:val="24"/>
          <w:highlight w:val="none"/>
          <w:lang w:eastAsia="zh-CN"/>
        </w:rPr>
        <w:t>自接到采购人通知后</w:t>
      </w:r>
      <w:r>
        <w:rPr>
          <w:rFonts w:hint="eastAsia" w:hAnsi="宋体" w:cs="宋体"/>
          <w:b/>
          <w:bCs/>
          <w:color w:val="auto"/>
          <w:sz w:val="24"/>
          <w:szCs w:val="24"/>
          <w:highlight w:val="none"/>
          <w:lang w:val="en-US" w:eastAsia="zh-CN"/>
        </w:rPr>
        <w:t>2日内到采购人指定地点</w:t>
      </w:r>
      <w:r>
        <w:rPr>
          <w:rFonts w:hint="eastAsia" w:ascii="宋体" w:hAnsi="宋体" w:eastAsia="宋体" w:cs="宋体"/>
          <w:b/>
          <w:bCs/>
          <w:color w:val="auto"/>
          <w:sz w:val="24"/>
          <w:szCs w:val="24"/>
          <w:highlight w:val="none"/>
        </w:rPr>
        <w:t>对以上平台对接进行现场演示，如无法完成平台对接或无法保证数据传输的完整性和稳定性则甲方有权拒签合同</w:t>
      </w:r>
      <w:r>
        <w:rPr>
          <w:rFonts w:hint="eastAsia" w:hAnsi="宋体" w:cs="宋体"/>
          <w:b/>
          <w:bCs/>
          <w:color w:val="auto"/>
          <w:sz w:val="24"/>
          <w:szCs w:val="24"/>
          <w:highlight w:val="none"/>
          <w:lang w:eastAsia="zh-CN"/>
        </w:rPr>
        <w:t>。投标人所投材料视为虚假响应，甲方有权另行选择合格的中标人。</w:t>
      </w:r>
    </w:p>
    <w:p w14:paraId="30BB5A99">
      <w:pPr>
        <w:pStyle w:val="26"/>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2、投标人投标前应充分了解招标的实际需求，投标前可到公安后端对各类现有平台进行勘察测试，充分理解设计意图，保证接入各类数据可以对接各类平台的使用功能和深度应用。</w:t>
      </w:r>
    </w:p>
    <w:p w14:paraId="5D2D190F">
      <w:pPr>
        <w:pStyle w:val="26"/>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3、投标人需协调对接各类平台和推送各类数据，所产生的任何费用均由投标人自行承担（包括对接所需的所有软硬件）。</w:t>
      </w:r>
    </w:p>
    <w:p w14:paraId="5A86740E">
      <w:pPr>
        <w:pStyle w:val="26"/>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5、本项目所有传输设备接口均需达到千兆或以上等级如交换机、光纤收发器等，光纤传输带宽均须达到千兆或以上并且保证画面稳定，无卡顿、无跳帧、无延时等。</w:t>
      </w:r>
    </w:p>
    <w:p w14:paraId="5A5630D0">
      <w:pPr>
        <w:pStyle w:val="26"/>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6、以上内容中标后应在指定工期内完成，如若完不成则视为虚假响应，甲方有权终止合同并追究相应法律责任。</w:t>
      </w:r>
    </w:p>
    <w:p w14:paraId="00E2BDDD">
      <w:pPr>
        <w:pStyle w:val="26"/>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yellow"/>
        </w:rPr>
      </w:pPr>
      <w:r>
        <w:rPr>
          <w:rFonts w:hint="eastAsia" w:ascii="宋体" w:hAnsi="宋体" w:eastAsia="宋体" w:cs="宋体"/>
          <w:b/>
          <w:bCs/>
          <w:sz w:val="24"/>
          <w:szCs w:val="24"/>
          <w:highlight w:val="none"/>
        </w:rPr>
        <w:t>7、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p>
    <w:p w14:paraId="080955EF">
      <w:pPr>
        <w:pStyle w:val="26"/>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8、本项目所有采购设备及服务中标后甲方有权核实投标产品或服务是否符合招标要求，如发现有虚假</w:t>
      </w:r>
      <w:r>
        <w:rPr>
          <w:rFonts w:hint="eastAsia" w:hAnsi="宋体" w:cs="宋体"/>
          <w:b/>
          <w:bCs/>
          <w:sz w:val="24"/>
          <w:szCs w:val="24"/>
          <w:highlight w:val="none"/>
          <w:lang w:val="en-US" w:eastAsia="zh-CN"/>
        </w:rPr>
        <w:t>响应</w:t>
      </w:r>
      <w:r>
        <w:rPr>
          <w:rFonts w:hint="eastAsia" w:ascii="宋体" w:hAnsi="宋体" w:eastAsia="宋体" w:cs="宋体"/>
          <w:b/>
          <w:bCs/>
          <w:sz w:val="24"/>
          <w:szCs w:val="24"/>
          <w:highlight w:val="none"/>
        </w:rPr>
        <w:t>现象，甲方有权拒签合同。</w:t>
      </w:r>
      <w:r>
        <w:rPr>
          <w:rFonts w:hint="eastAsia" w:ascii="宋体" w:hAnsi="宋体" w:eastAsia="宋体" w:cs="宋体"/>
          <w:b/>
          <w:bCs/>
          <w:sz w:val="24"/>
          <w:szCs w:val="24"/>
          <w:highlight w:val="none"/>
          <w:lang w:eastAsia="zh-CN"/>
        </w:rPr>
        <w:t>核实所产生的费用由投标人考虑至报价中，甲方不再另行支付。</w:t>
      </w:r>
    </w:p>
    <w:p w14:paraId="173C7D52">
      <w:pPr>
        <w:pStyle w:val="26"/>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9、在质保期内，中标方应确保每月（以每月的23日统计数据为准，注：23日为节假日的，延后到下一个工作日）的监控在线率达95%及以上（如投标人承诺高于95%，以投标人承诺为准）。</w:t>
      </w:r>
    </w:p>
    <w:p w14:paraId="3E8B9060">
      <w:pPr>
        <w:pStyle w:val="26"/>
        <w:spacing w:line="380" w:lineRule="exact"/>
        <w:rPr>
          <w:rFonts w:ascii="等线 Light" w:hAnsi="等线 Light" w:eastAsia="等线 Light"/>
          <w:b/>
          <w:bCs/>
        </w:rPr>
      </w:pPr>
    </w:p>
    <w:p w14:paraId="0079C134">
      <w:pPr>
        <w:rPr>
          <w:rFonts w:hint="eastAsia" w:ascii="宋体" w:hAnsi="宋体" w:eastAsia="宋体" w:cs="宋体"/>
          <w:bCs/>
          <w:sz w:val="44"/>
        </w:rPr>
      </w:pPr>
      <w:r>
        <w:rPr>
          <w:rFonts w:hint="eastAsia" w:ascii="宋体" w:hAnsi="宋体" w:eastAsia="宋体" w:cs="宋体"/>
          <w:bCs/>
          <w:sz w:val="44"/>
        </w:rPr>
        <w:br w:type="page"/>
      </w:r>
    </w:p>
    <w:p w14:paraId="75C31C5D">
      <w:pPr>
        <w:pStyle w:val="20"/>
        <w:rPr>
          <w:rFonts w:hint="eastAsia" w:ascii="宋体" w:hAnsi="宋体" w:eastAsia="宋体" w:cs="宋体"/>
          <w:bCs/>
          <w:sz w:val="44"/>
        </w:rPr>
      </w:pPr>
      <w:r>
        <w:rPr>
          <w:rFonts w:hint="eastAsia" w:ascii="宋体" w:hAnsi="宋体" w:eastAsia="宋体" w:cs="宋体"/>
          <w:bCs/>
          <w:sz w:val="44"/>
        </w:rPr>
        <w:t xml:space="preserve">第五章  </w:t>
      </w:r>
      <w:r>
        <w:rPr>
          <w:rFonts w:hint="eastAsia" w:ascii="宋体" w:hAnsi="宋体" w:eastAsia="宋体" w:cs="宋体"/>
          <w:b/>
          <w:bCs/>
          <w:sz w:val="44"/>
        </w:rPr>
        <w:t>定标原则与评标标准</w:t>
      </w:r>
    </w:p>
    <w:p w14:paraId="44F634F8">
      <w:pPr>
        <w:rPr>
          <w:rFonts w:hint="eastAsia" w:ascii="宋体" w:hAnsi="宋体" w:cs="宋体"/>
        </w:rPr>
      </w:pPr>
    </w:p>
    <w:p w14:paraId="17B6585E">
      <w:pPr>
        <w:spacing w:line="360" w:lineRule="auto"/>
        <w:rPr>
          <w:rFonts w:hint="eastAsia" w:ascii="宋体" w:hAnsi="宋体" w:cs="宋体"/>
          <w:b/>
          <w:bCs/>
          <w:sz w:val="24"/>
          <w:szCs w:val="24"/>
        </w:rPr>
      </w:pPr>
      <w:r>
        <w:rPr>
          <w:rFonts w:hint="eastAsia" w:ascii="宋体" w:hAnsi="宋体" w:cs="宋体"/>
          <w:b/>
          <w:bCs/>
          <w:sz w:val="24"/>
          <w:szCs w:val="24"/>
        </w:rPr>
        <w:t>一、定标原则</w:t>
      </w:r>
    </w:p>
    <w:p w14:paraId="6D08567C">
      <w:pPr>
        <w:spacing w:line="500" w:lineRule="exact"/>
        <w:ind w:firstLine="480"/>
        <w:rPr>
          <w:rFonts w:hint="eastAsia" w:ascii="宋体" w:hAnsi="宋体" w:cs="宋体"/>
          <w:sz w:val="24"/>
          <w:szCs w:val="24"/>
        </w:rPr>
      </w:pPr>
      <w:r>
        <w:rPr>
          <w:rFonts w:hint="eastAsia" w:ascii="宋体" w:hAnsi="宋体" w:cs="宋体"/>
          <w:bCs/>
          <w:sz w:val="24"/>
          <w:szCs w:val="24"/>
        </w:rPr>
        <w:t>本项目采用</w:t>
      </w:r>
      <w:r>
        <w:rPr>
          <w:rFonts w:hint="eastAsia" w:ascii="宋体" w:hAnsi="宋体" w:cs="宋体"/>
          <w:bCs/>
          <w:sz w:val="24"/>
          <w:szCs w:val="24"/>
          <w:u w:val="single"/>
        </w:rPr>
        <w:t xml:space="preserve"> 综合评分 </w:t>
      </w:r>
      <w:r>
        <w:rPr>
          <w:rFonts w:hint="eastAsia" w:ascii="宋体" w:hAnsi="宋体" w:cs="宋体"/>
          <w:bCs/>
          <w:sz w:val="24"/>
          <w:szCs w:val="24"/>
        </w:rPr>
        <w:t>法。</w:t>
      </w:r>
      <w:r>
        <w:rPr>
          <w:rFonts w:hint="eastAsia" w:ascii="宋体" w:hAnsi="宋体" w:cs="宋体"/>
          <w:sz w:val="24"/>
          <w:szCs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58164B7A">
      <w:pPr>
        <w:pStyle w:val="28"/>
        <w:spacing w:before="0" w:after="0"/>
        <w:ind w:firstLine="479"/>
        <w:rPr>
          <w:rFonts w:hint="eastAsia" w:ascii="宋体" w:hAnsi="宋体" w:cs="宋体"/>
          <w:b/>
        </w:rPr>
      </w:pPr>
      <w:r>
        <w:rPr>
          <w:rFonts w:hint="eastAsia" w:ascii="宋体" w:hAnsi="宋体" w:cs="宋体"/>
          <w:b/>
        </w:rPr>
        <w:t>政府采购政策功能落实</w:t>
      </w:r>
    </w:p>
    <w:p w14:paraId="03A7F82B">
      <w:pPr>
        <w:spacing w:line="360" w:lineRule="auto"/>
        <w:ind w:firstLine="480"/>
        <w:rPr>
          <w:rFonts w:hint="eastAsia" w:ascii="宋体" w:hAnsi="宋体" w:cs="宋体"/>
          <w:bCs/>
          <w:sz w:val="24"/>
          <w:szCs w:val="24"/>
        </w:rPr>
      </w:pPr>
      <w:r>
        <w:rPr>
          <w:rFonts w:hint="eastAsia" w:ascii="宋体" w:hAnsi="宋体" w:cs="宋体"/>
          <w:bCs/>
          <w:sz w:val="24"/>
          <w:szCs w:val="24"/>
        </w:rPr>
        <w:t>1、小微型企业价格扣除</w:t>
      </w:r>
    </w:p>
    <w:p w14:paraId="056BE5A6">
      <w:pPr>
        <w:spacing w:line="360" w:lineRule="auto"/>
        <w:ind w:firstLine="480"/>
        <w:rPr>
          <w:rFonts w:hint="eastAsia" w:ascii="宋体" w:hAnsi="宋体" w:cs="宋体"/>
          <w:bCs/>
          <w:sz w:val="24"/>
          <w:szCs w:val="24"/>
        </w:rPr>
      </w:pPr>
      <w:r>
        <w:rPr>
          <w:rFonts w:hint="eastAsia" w:ascii="宋体" w:hAnsi="宋体" w:cs="宋体"/>
          <w:bCs/>
          <w:sz w:val="24"/>
          <w:szCs w:val="24"/>
        </w:rPr>
        <w:t>（1）本项目对小型和微型企业产品给予20%的扣除价格，用扣除后的价格参与评审。</w:t>
      </w:r>
    </w:p>
    <w:p w14:paraId="693CDBC0">
      <w:pPr>
        <w:spacing w:line="360" w:lineRule="auto"/>
        <w:ind w:firstLine="480"/>
        <w:rPr>
          <w:rFonts w:hint="eastAsia" w:ascii="宋体" w:hAnsi="宋体" w:cs="宋体"/>
          <w:bCs/>
          <w:sz w:val="24"/>
          <w:szCs w:val="24"/>
        </w:rPr>
      </w:pPr>
      <w:r>
        <w:rPr>
          <w:rFonts w:hint="eastAsia" w:ascii="宋体" w:hAnsi="宋体" w:cs="宋体"/>
          <w:bCs/>
          <w:sz w:val="24"/>
          <w:szCs w:val="24"/>
        </w:rPr>
        <w:t>（2）供应商需按照采购文件的要求提供相应的《企业声明函》。</w:t>
      </w:r>
    </w:p>
    <w:p w14:paraId="4EE35871">
      <w:pPr>
        <w:spacing w:line="360" w:lineRule="auto"/>
        <w:ind w:firstLine="480"/>
        <w:rPr>
          <w:rFonts w:hint="eastAsia" w:ascii="宋体" w:hAnsi="宋体" w:cs="宋体"/>
          <w:sz w:val="24"/>
          <w:szCs w:val="24"/>
        </w:rPr>
      </w:pPr>
      <w:r>
        <w:rPr>
          <w:rFonts w:hint="eastAsia" w:ascii="宋体" w:hAnsi="宋体" w:cs="宋体"/>
          <w:bCs/>
          <w:sz w:val="24"/>
          <w:szCs w:val="24"/>
        </w:rPr>
        <w:t>（3）企业标准请参照《关于印发中小企业划型标准规定的通知》（工信部联企</w:t>
      </w:r>
      <w:r>
        <w:rPr>
          <w:rFonts w:hint="eastAsia" w:ascii="宋体" w:hAnsi="宋体" w:cs="宋体"/>
          <w:sz w:val="24"/>
          <w:szCs w:val="24"/>
        </w:rPr>
        <w:t>业[2011]300号）文件规定自行填写。</w:t>
      </w:r>
    </w:p>
    <w:p w14:paraId="50EC419A">
      <w:pPr>
        <w:spacing w:line="360" w:lineRule="auto"/>
        <w:ind w:firstLine="480"/>
        <w:rPr>
          <w:rFonts w:hint="eastAsia" w:ascii="宋体" w:hAnsi="宋体" w:cs="宋体"/>
          <w:sz w:val="24"/>
          <w:szCs w:val="24"/>
        </w:rPr>
      </w:pPr>
      <w:r>
        <w:rPr>
          <w:rFonts w:hint="eastAsia" w:ascii="宋体" w:hAnsi="宋体" w:cs="宋体"/>
          <w:sz w:val="24"/>
          <w:szCs w:val="24"/>
        </w:rPr>
        <w:t>（4）在货物采购项目中，供应商提供的货物既有中小企业制造货物，也有大型企业制造货物的，不享受本办法规定的中小企业扶持政策。</w:t>
      </w:r>
    </w:p>
    <w:p w14:paraId="5BE5A795">
      <w:pPr>
        <w:spacing w:line="360" w:lineRule="auto"/>
        <w:ind w:firstLine="480"/>
        <w:rPr>
          <w:rFonts w:hint="eastAsia" w:ascii="宋体" w:hAnsi="宋体" w:cs="宋体"/>
          <w:bCs/>
          <w:sz w:val="24"/>
          <w:szCs w:val="24"/>
        </w:rPr>
      </w:pPr>
      <w:r>
        <w:rPr>
          <w:rFonts w:hint="eastAsia" w:ascii="宋体" w:hAnsi="宋体" w:cs="宋体"/>
          <w:bCs/>
          <w:sz w:val="24"/>
          <w:szCs w:val="24"/>
        </w:rPr>
        <w:t>2、残疾人福利单位价格扣除</w:t>
      </w:r>
    </w:p>
    <w:p w14:paraId="251A5B80">
      <w:pPr>
        <w:spacing w:line="360" w:lineRule="auto"/>
        <w:ind w:firstLine="480"/>
        <w:rPr>
          <w:rFonts w:hint="eastAsia" w:ascii="宋体" w:hAnsi="宋体" w:cs="宋体"/>
          <w:bCs/>
          <w:sz w:val="24"/>
          <w:szCs w:val="24"/>
        </w:rPr>
      </w:pPr>
      <w:r>
        <w:rPr>
          <w:rFonts w:hint="eastAsia" w:ascii="宋体" w:hAnsi="宋体" w:cs="宋体"/>
          <w:bCs/>
          <w:sz w:val="24"/>
          <w:szCs w:val="24"/>
        </w:rPr>
        <w:t>（1）本项目对残疾人福利性单位视同小型、微型企业，给予20%的价格扣除，用扣除后的价格参与评审。</w:t>
      </w:r>
    </w:p>
    <w:p w14:paraId="59ED6029">
      <w:pPr>
        <w:spacing w:line="360" w:lineRule="auto"/>
        <w:ind w:firstLine="480"/>
        <w:rPr>
          <w:rFonts w:hint="eastAsia" w:ascii="宋体" w:hAnsi="宋体" w:cs="宋体"/>
          <w:bCs/>
          <w:sz w:val="24"/>
          <w:szCs w:val="24"/>
        </w:rPr>
      </w:pPr>
      <w:r>
        <w:rPr>
          <w:rFonts w:hint="eastAsia" w:ascii="宋体" w:hAnsi="宋体" w:cs="宋体"/>
          <w:bCs/>
          <w:sz w:val="24"/>
          <w:szCs w:val="24"/>
        </w:rPr>
        <w:t>（2）残疾人福利单位需按照采购文件的要求提供《残疾人福利性单位声明函》。</w:t>
      </w:r>
    </w:p>
    <w:p w14:paraId="38923C86">
      <w:pPr>
        <w:spacing w:line="360" w:lineRule="auto"/>
        <w:ind w:firstLine="480"/>
        <w:rPr>
          <w:rFonts w:hint="eastAsia" w:ascii="宋体" w:hAnsi="宋体" w:cs="宋体"/>
          <w:bCs/>
          <w:sz w:val="24"/>
          <w:szCs w:val="24"/>
        </w:rPr>
      </w:pPr>
      <w:r>
        <w:rPr>
          <w:rFonts w:hint="eastAsia" w:ascii="宋体" w:hAnsi="宋体" w:cs="宋体"/>
          <w:bCs/>
          <w:sz w:val="24"/>
          <w:szCs w:val="24"/>
        </w:rPr>
        <w:t>（3）残疾人福利单位标准请参照《关于促进残疾人就业政府采购政策的通知》（财库〔2017〕141号）。</w:t>
      </w:r>
    </w:p>
    <w:p w14:paraId="72010232">
      <w:pPr>
        <w:spacing w:line="360" w:lineRule="auto"/>
        <w:ind w:firstLine="480"/>
        <w:rPr>
          <w:rFonts w:hint="eastAsia" w:ascii="宋体" w:hAnsi="宋体" w:cs="宋体"/>
          <w:bCs/>
          <w:sz w:val="24"/>
          <w:szCs w:val="24"/>
        </w:rPr>
      </w:pPr>
      <w:r>
        <w:rPr>
          <w:rFonts w:hint="eastAsia" w:ascii="宋体" w:hAnsi="宋体" w:cs="宋体"/>
          <w:bCs/>
          <w:sz w:val="24"/>
          <w:szCs w:val="24"/>
        </w:rPr>
        <w:t>3、监狱和戒毒企业价格扣除</w:t>
      </w:r>
    </w:p>
    <w:p w14:paraId="5DAA4817">
      <w:pPr>
        <w:spacing w:line="360" w:lineRule="auto"/>
        <w:ind w:firstLine="480"/>
        <w:rPr>
          <w:rFonts w:hint="eastAsia" w:ascii="宋体" w:hAnsi="宋体" w:cs="宋体"/>
          <w:bCs/>
          <w:sz w:val="24"/>
          <w:szCs w:val="24"/>
        </w:rPr>
      </w:pPr>
      <w:r>
        <w:rPr>
          <w:rFonts w:hint="eastAsia" w:ascii="宋体" w:hAnsi="宋体" w:cs="宋体"/>
          <w:bCs/>
          <w:sz w:val="24"/>
          <w:szCs w:val="24"/>
        </w:rPr>
        <w:t>（1）本项目对监狱和戒毒企业（简称监狱企业）视同小型、微型企业，给予20%的价格扣除，用扣除后的价格参与评审。</w:t>
      </w:r>
    </w:p>
    <w:p w14:paraId="425AFFBD">
      <w:pPr>
        <w:spacing w:line="360" w:lineRule="auto"/>
        <w:ind w:firstLine="480"/>
        <w:rPr>
          <w:rFonts w:hint="eastAsia" w:ascii="宋体" w:hAnsi="宋体" w:cs="宋体"/>
          <w:bCs/>
          <w:sz w:val="24"/>
          <w:szCs w:val="24"/>
        </w:rPr>
      </w:pPr>
      <w:r>
        <w:rPr>
          <w:rFonts w:hint="eastAsia" w:ascii="宋体" w:hAnsi="宋体" w:cs="宋体"/>
          <w:bCs/>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1513504E">
      <w:pPr>
        <w:spacing w:line="360" w:lineRule="auto"/>
        <w:ind w:firstLine="480"/>
        <w:rPr>
          <w:rFonts w:hint="eastAsia" w:ascii="宋体" w:hAnsi="宋体" w:cs="宋体"/>
          <w:bCs/>
          <w:sz w:val="24"/>
          <w:szCs w:val="24"/>
        </w:rPr>
      </w:pPr>
      <w:r>
        <w:rPr>
          <w:rFonts w:hint="eastAsia" w:ascii="宋体" w:hAnsi="宋体" w:cs="宋体"/>
          <w:bCs/>
          <w:sz w:val="24"/>
          <w:szCs w:val="24"/>
        </w:rPr>
        <w:t>（3）监狱企业标准请参照《关于政府采购实现监狱企业发展有关问题的通知》（财库[2014]68号）。</w:t>
      </w:r>
    </w:p>
    <w:p w14:paraId="59DF7C14">
      <w:pPr>
        <w:spacing w:line="360" w:lineRule="auto"/>
        <w:ind w:firstLine="480"/>
        <w:rPr>
          <w:rFonts w:hint="eastAsia" w:ascii="宋体" w:hAnsi="宋体" w:cs="宋体"/>
          <w:bCs/>
          <w:sz w:val="24"/>
          <w:szCs w:val="24"/>
        </w:rPr>
      </w:pPr>
      <w:r>
        <w:rPr>
          <w:rFonts w:hint="eastAsia" w:ascii="宋体" w:hAnsi="宋体" w:cs="宋体"/>
          <w:bCs/>
          <w:sz w:val="24"/>
          <w:szCs w:val="24"/>
        </w:rPr>
        <w:t>4、残疾人福利单位、监狱企业属于小型、微型企业的，不重复享受政策。</w:t>
      </w:r>
    </w:p>
    <w:p w14:paraId="12A07344">
      <w:pPr>
        <w:spacing w:line="360" w:lineRule="auto"/>
        <w:ind w:firstLine="480"/>
        <w:rPr>
          <w:rFonts w:hint="eastAsia" w:ascii="宋体" w:hAnsi="宋体" w:cs="宋体"/>
          <w:bCs/>
          <w:sz w:val="24"/>
          <w:szCs w:val="24"/>
        </w:rPr>
      </w:pPr>
      <w:r>
        <w:rPr>
          <w:rFonts w:hint="eastAsia" w:ascii="宋体" w:hAnsi="宋体" w:cs="宋体"/>
          <w:bCs/>
          <w:sz w:val="24"/>
          <w:szCs w:val="24"/>
        </w:rPr>
        <w:t>5、严格执行政府采购关于实现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val="0"/>
          <w:sz w:val="24"/>
          <w:szCs w:val="24"/>
        </w:rPr>
        <w:t>如属政府强制采购产品未提供认证证书的或认证证书提供不全的将视为未实质性响应采购要求</w:t>
      </w:r>
      <w:r>
        <w:rPr>
          <w:rFonts w:hint="eastAsia" w:ascii="宋体" w:hAnsi="宋体" w:cs="宋体"/>
          <w:bCs/>
          <w:sz w:val="24"/>
          <w:szCs w:val="24"/>
        </w:rPr>
        <w:t>。其他条件相同情况下，应当优先采购节能产品、环境标志产品。</w:t>
      </w:r>
    </w:p>
    <w:p w14:paraId="0553C465">
      <w:pPr>
        <w:spacing w:line="360" w:lineRule="auto"/>
        <w:ind w:firstLine="480"/>
        <w:rPr>
          <w:rFonts w:hint="eastAsia" w:ascii="宋体" w:hAnsi="宋体" w:cs="宋体"/>
          <w:bCs/>
          <w:sz w:val="24"/>
          <w:szCs w:val="24"/>
        </w:rPr>
      </w:pPr>
      <w:r>
        <w:rPr>
          <w:rFonts w:hint="eastAsia" w:ascii="宋体" w:hAnsi="宋体" w:cs="宋体"/>
          <w:bCs/>
          <w:sz w:val="24"/>
          <w:szCs w:val="24"/>
        </w:rPr>
        <w:t>6、接受联合体供应商的情况：</w:t>
      </w:r>
    </w:p>
    <w:p w14:paraId="7F180CFC">
      <w:pPr>
        <w:spacing w:line="360" w:lineRule="auto"/>
        <w:ind w:firstLine="480"/>
        <w:rPr>
          <w:rFonts w:hint="eastAsia" w:ascii="宋体" w:hAnsi="宋体" w:cs="宋体"/>
          <w:bCs/>
          <w:sz w:val="24"/>
          <w:szCs w:val="24"/>
        </w:rPr>
      </w:pPr>
      <w:r>
        <w:rPr>
          <w:rFonts w:ascii="宋体" w:hAnsi="宋体" w:cs="宋体"/>
          <w:bCs/>
          <w:sz w:val="24"/>
          <w:szCs w:val="24"/>
        </w:rPr>
        <w:t>6.1</w:t>
      </w:r>
      <w:r>
        <w:rPr>
          <w:rFonts w:hint="eastAsia" w:ascii="宋体" w:hAnsi="宋体" w:cs="宋体"/>
          <w:bCs/>
          <w:sz w:val="24"/>
          <w:szCs w:val="24"/>
        </w:rPr>
        <w:t>大中型企业和其他自然人、法人或者其他组织并与小型、微型企业组成联合体共同参加政府采购活动。联合协议中约定，小型、微型企业的协议合同金额占到联合体协议合同总金额30%以上的，给予联合体6%的价格扣除，用扣除后的价格参与评审。</w:t>
      </w:r>
    </w:p>
    <w:p w14:paraId="28F663D1">
      <w:pPr>
        <w:spacing w:line="360" w:lineRule="auto"/>
        <w:ind w:firstLine="480"/>
        <w:rPr>
          <w:rFonts w:hint="eastAsia" w:ascii="宋体" w:hAnsi="宋体" w:cs="宋体"/>
          <w:bCs/>
          <w:sz w:val="24"/>
          <w:szCs w:val="24"/>
        </w:rPr>
      </w:pPr>
      <w:r>
        <w:rPr>
          <w:rFonts w:ascii="宋体" w:hAnsi="宋体" w:cs="宋体"/>
          <w:bCs/>
          <w:sz w:val="24"/>
          <w:szCs w:val="24"/>
        </w:rPr>
        <w:t>6.2</w:t>
      </w:r>
      <w:r>
        <w:rPr>
          <w:rFonts w:hint="eastAsia" w:ascii="宋体" w:hAnsi="宋体" w:cs="宋体"/>
          <w:bCs/>
          <w:sz w:val="24"/>
          <w:szCs w:val="24"/>
        </w:rPr>
        <w:t>联合体各方均为小型、微型企业的，联合体视同为小型、微型企业并享受20%价格扣除，用扣除后的价格参与评审。</w:t>
      </w:r>
    </w:p>
    <w:p w14:paraId="29AC5FC4">
      <w:pPr>
        <w:spacing w:line="360" w:lineRule="auto"/>
        <w:ind w:firstLine="480"/>
        <w:rPr>
          <w:rFonts w:ascii="宋体" w:hAnsi="宋体" w:cs="宋体"/>
          <w:bCs/>
          <w:sz w:val="24"/>
          <w:szCs w:val="24"/>
        </w:rPr>
      </w:pPr>
      <w:r>
        <w:rPr>
          <w:rFonts w:ascii="宋体" w:hAnsi="宋体" w:cs="宋体"/>
          <w:bCs/>
          <w:sz w:val="24"/>
          <w:szCs w:val="24"/>
        </w:rPr>
        <w:t>6.3</w:t>
      </w:r>
      <w:r>
        <w:rPr>
          <w:rFonts w:hint="eastAsia" w:ascii="宋体" w:hAnsi="宋体" w:cs="宋体"/>
          <w:bCs/>
          <w:sz w:val="24"/>
          <w:szCs w:val="24"/>
        </w:rPr>
        <w:t>供应商如为联合体的，请按照采购文件的要求提供相应的《联合体协议》。</w:t>
      </w:r>
    </w:p>
    <w:p w14:paraId="5E078A3F">
      <w:pPr>
        <w:spacing w:line="360" w:lineRule="auto"/>
        <w:ind w:firstLine="480"/>
        <w:rPr>
          <w:rFonts w:ascii="宋体" w:hAnsi="宋体" w:cs="宋体"/>
          <w:bCs/>
          <w:sz w:val="24"/>
          <w:szCs w:val="24"/>
        </w:rPr>
      </w:pPr>
      <w:r>
        <w:rPr>
          <w:rFonts w:ascii="宋体" w:hAnsi="宋体" w:cs="宋体"/>
          <w:bCs/>
          <w:sz w:val="24"/>
          <w:szCs w:val="24"/>
        </w:rPr>
        <w:t>7</w:t>
      </w:r>
      <w:r>
        <w:rPr>
          <w:rFonts w:hint="eastAsia" w:ascii="宋体" w:hAnsi="宋体" w:cs="宋体"/>
          <w:bCs/>
          <w:sz w:val="24"/>
          <w:szCs w:val="24"/>
        </w:rPr>
        <w:t>、供应商对于投标产品的包装应按照“财办库〔2020〕123号《关于印发《商品包装政府采购需求标准（试行）》、《快递包装政府采购需求标准（试行）》的通知》”执行。</w:t>
      </w:r>
    </w:p>
    <w:p w14:paraId="017CD47E">
      <w:pPr>
        <w:spacing w:line="360" w:lineRule="auto"/>
        <w:ind w:firstLine="480"/>
        <w:rPr>
          <w:rFonts w:hint="eastAsia" w:ascii="宋体" w:hAnsi="宋体" w:cs="宋体"/>
          <w:bCs/>
          <w:sz w:val="24"/>
          <w:szCs w:val="24"/>
        </w:rPr>
      </w:pPr>
      <w:r>
        <w:rPr>
          <w:rFonts w:ascii="宋体" w:hAnsi="宋体" w:cs="宋体"/>
          <w:bCs/>
          <w:sz w:val="24"/>
          <w:szCs w:val="24"/>
        </w:rPr>
        <w:t>8</w:t>
      </w:r>
      <w:r>
        <w:rPr>
          <w:rFonts w:hint="eastAsia" w:ascii="宋体" w:hAnsi="宋体" w:cs="宋体"/>
          <w:bCs/>
          <w:sz w:val="24"/>
          <w:szCs w:val="24"/>
        </w:rPr>
        <w:t>、本文件中若涉及到数据中心采购，应按照《&lt;绿色数据中心政府采购需求标准（试行）&gt;的通知》（财库〔2023〕7号）执行。</w:t>
      </w:r>
    </w:p>
    <w:p w14:paraId="29194298">
      <w:pPr>
        <w:spacing w:line="360" w:lineRule="auto"/>
        <w:rPr>
          <w:rFonts w:hint="eastAsia" w:ascii="宋体" w:hAnsi="宋体" w:cs="宋体"/>
          <w:b/>
          <w:bCs/>
          <w:sz w:val="24"/>
          <w:szCs w:val="24"/>
        </w:rPr>
      </w:pPr>
      <w:r>
        <w:rPr>
          <w:rFonts w:hint="eastAsia" w:ascii="宋体" w:hAnsi="宋体" w:cs="宋体"/>
          <w:b/>
          <w:bCs/>
          <w:sz w:val="24"/>
          <w:szCs w:val="24"/>
        </w:rPr>
        <w:t>二、评标标准</w:t>
      </w:r>
    </w:p>
    <w:p w14:paraId="76B8433E">
      <w:pPr>
        <w:snapToGrid w:val="0"/>
        <w:spacing w:line="520" w:lineRule="exact"/>
        <w:ind w:firstLine="480" w:firstLineChars="200"/>
        <w:rPr>
          <w:rFonts w:ascii="宋体" w:hAnsi="宋体" w:cs="Courier New"/>
          <w:bCs/>
          <w:sz w:val="24"/>
          <w:szCs w:val="24"/>
        </w:rPr>
      </w:pPr>
      <w:r>
        <w:rPr>
          <w:rFonts w:hint="eastAsia" w:ascii="宋体" w:hAnsi="宋体" w:cs="Courier New"/>
          <w:bCs/>
          <w:sz w:val="24"/>
          <w:szCs w:val="24"/>
        </w:rPr>
        <w:t>本项目评分总分值为100分。</w:t>
      </w:r>
    </w:p>
    <w:tbl>
      <w:tblPr>
        <w:tblStyle w:val="13"/>
        <w:tblW w:w="963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1828"/>
        <w:gridCol w:w="6996"/>
      </w:tblGrid>
      <w:tr w14:paraId="2EB9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blHeader/>
        </w:trPr>
        <w:tc>
          <w:tcPr>
            <w:tcW w:w="809" w:type="dxa"/>
            <w:tcBorders>
              <w:top w:val="single" w:color="auto" w:sz="4" w:space="0"/>
              <w:left w:val="single" w:color="auto" w:sz="4" w:space="0"/>
              <w:bottom w:val="single" w:color="auto" w:sz="4" w:space="0"/>
              <w:right w:val="single" w:color="auto" w:sz="4" w:space="0"/>
            </w:tcBorders>
            <w:noWrap w:val="0"/>
            <w:vAlign w:val="center"/>
          </w:tcPr>
          <w:p w14:paraId="303B5B46">
            <w:pPr>
              <w:jc w:val="center"/>
              <w:rPr>
                <w:rFonts w:ascii="宋体" w:hAnsi="宋体"/>
                <w:b/>
                <w:sz w:val="24"/>
                <w:szCs w:val="24"/>
              </w:rPr>
            </w:pPr>
            <w:r>
              <w:rPr>
                <w:rFonts w:hint="eastAsia" w:ascii="宋体" w:hAnsi="宋体"/>
                <w:b/>
                <w:sz w:val="24"/>
                <w:szCs w:val="24"/>
              </w:rPr>
              <w:t>序号</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227D7087">
            <w:pPr>
              <w:jc w:val="center"/>
              <w:rPr>
                <w:rFonts w:ascii="宋体" w:hAnsi="宋体"/>
                <w:b/>
                <w:sz w:val="24"/>
                <w:szCs w:val="24"/>
              </w:rPr>
            </w:pPr>
            <w:r>
              <w:rPr>
                <w:rFonts w:hint="eastAsia" w:ascii="宋体" w:hAnsi="宋体"/>
                <w:b/>
                <w:sz w:val="24"/>
                <w:szCs w:val="24"/>
              </w:rPr>
              <w:t>评审项目</w:t>
            </w:r>
          </w:p>
        </w:tc>
        <w:tc>
          <w:tcPr>
            <w:tcW w:w="6996" w:type="dxa"/>
            <w:tcBorders>
              <w:top w:val="single" w:color="auto" w:sz="4" w:space="0"/>
              <w:left w:val="single" w:color="auto" w:sz="4" w:space="0"/>
              <w:bottom w:val="single" w:color="auto" w:sz="4" w:space="0"/>
              <w:right w:val="single" w:color="auto" w:sz="4" w:space="0"/>
            </w:tcBorders>
            <w:noWrap w:val="0"/>
            <w:vAlign w:val="center"/>
          </w:tcPr>
          <w:p w14:paraId="7EF9EF7B">
            <w:pPr>
              <w:jc w:val="center"/>
              <w:rPr>
                <w:rFonts w:ascii="宋体" w:hAnsi="宋体"/>
                <w:b/>
                <w:sz w:val="24"/>
                <w:szCs w:val="24"/>
              </w:rPr>
            </w:pPr>
            <w:r>
              <w:rPr>
                <w:rFonts w:hint="eastAsia" w:ascii="宋体" w:hAnsi="宋体"/>
                <w:b/>
                <w:sz w:val="24"/>
                <w:szCs w:val="24"/>
              </w:rPr>
              <w:t>评分标准</w:t>
            </w:r>
          </w:p>
        </w:tc>
      </w:tr>
      <w:tr w14:paraId="4A2A2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09" w:type="dxa"/>
            <w:tcBorders>
              <w:top w:val="single" w:color="auto" w:sz="4" w:space="0"/>
              <w:left w:val="single" w:color="auto" w:sz="4" w:space="0"/>
              <w:bottom w:val="single" w:color="auto" w:sz="4" w:space="0"/>
              <w:right w:val="single" w:color="auto" w:sz="4" w:space="0"/>
            </w:tcBorders>
            <w:noWrap w:val="0"/>
            <w:vAlign w:val="center"/>
          </w:tcPr>
          <w:p w14:paraId="11029E6A">
            <w:pPr>
              <w:widowControl/>
              <w:snapToGrid w:val="0"/>
              <w:spacing w:line="360" w:lineRule="auto"/>
              <w:jc w:val="center"/>
              <w:rPr>
                <w:rFonts w:ascii="宋体" w:hAnsi="宋体" w:cs="宋体"/>
                <w:sz w:val="24"/>
                <w:szCs w:val="24"/>
              </w:rPr>
            </w:pPr>
            <w:r>
              <w:rPr>
                <w:rFonts w:hint="eastAsia" w:ascii="宋体" w:hAnsi="宋体" w:cs="宋体"/>
                <w:sz w:val="24"/>
                <w:szCs w:val="24"/>
              </w:rPr>
              <w:t>一</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652CC6B1">
            <w:pPr>
              <w:widowControl/>
              <w:snapToGrid w:val="0"/>
              <w:spacing w:line="360" w:lineRule="auto"/>
              <w:jc w:val="center"/>
              <w:rPr>
                <w:rFonts w:ascii="宋体" w:hAnsi="宋体" w:cs="宋体"/>
                <w:sz w:val="24"/>
                <w:szCs w:val="24"/>
              </w:rPr>
            </w:pPr>
            <w:r>
              <w:rPr>
                <w:rFonts w:hint="eastAsia" w:ascii="宋体" w:hAnsi="宋体" w:cs="宋体"/>
                <w:sz w:val="24"/>
                <w:szCs w:val="24"/>
              </w:rPr>
              <w:t>投标报价</w:t>
            </w:r>
          </w:p>
          <w:p w14:paraId="5443C542">
            <w:pPr>
              <w:widowControl/>
              <w:snapToGrid w:val="0"/>
              <w:spacing w:line="360" w:lineRule="auto"/>
              <w:jc w:val="center"/>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3</w:t>
            </w:r>
            <w:r>
              <w:rPr>
                <w:rFonts w:ascii="宋体" w:hAnsi="宋体" w:cs="宋体"/>
                <w:sz w:val="24"/>
                <w:szCs w:val="24"/>
              </w:rPr>
              <w:t>0</w:t>
            </w:r>
            <w:r>
              <w:rPr>
                <w:rFonts w:hint="eastAsia" w:ascii="宋体" w:hAnsi="宋体" w:cs="宋体"/>
                <w:sz w:val="24"/>
                <w:szCs w:val="24"/>
              </w:rPr>
              <w:t>分）</w:t>
            </w:r>
          </w:p>
        </w:tc>
        <w:tc>
          <w:tcPr>
            <w:tcW w:w="6996" w:type="dxa"/>
            <w:tcBorders>
              <w:top w:val="single" w:color="auto" w:sz="4" w:space="0"/>
              <w:left w:val="single" w:color="auto" w:sz="4" w:space="0"/>
              <w:bottom w:val="single" w:color="auto" w:sz="4" w:space="0"/>
              <w:right w:val="single" w:color="auto" w:sz="4" w:space="0"/>
            </w:tcBorders>
            <w:noWrap w:val="0"/>
            <w:vAlign w:val="center"/>
          </w:tcPr>
          <w:p w14:paraId="4F9DF21B">
            <w:pPr>
              <w:widowControl/>
              <w:snapToGrid w:val="0"/>
              <w:spacing w:line="460" w:lineRule="exact"/>
              <w:jc w:val="left"/>
              <w:rPr>
                <w:rFonts w:ascii="宋体" w:hAnsi="宋体" w:cs="宋体"/>
                <w:sz w:val="24"/>
                <w:szCs w:val="24"/>
              </w:rPr>
            </w:pPr>
            <w:r>
              <w:rPr>
                <w:rFonts w:hint="eastAsia" w:ascii="宋体" w:hAnsi="宋体" w:cs="宋体"/>
                <w:sz w:val="24"/>
                <w:szCs w:val="24"/>
              </w:rPr>
              <w:t>价格分采用低价优先法计算，即满足招标文件要求且投标价格最低的投标报价为评标基准价，报价得分按照下列公式计算：投标报价得分=（评标基准价/投标报价）×</w:t>
            </w:r>
            <w:r>
              <w:rPr>
                <w:rFonts w:hint="eastAsia" w:ascii="宋体" w:hAnsi="宋体" w:cs="宋体"/>
                <w:sz w:val="24"/>
                <w:szCs w:val="24"/>
                <w:lang w:val="en-US" w:eastAsia="zh-CN"/>
              </w:rPr>
              <w:t>3</w:t>
            </w:r>
            <w:r>
              <w:rPr>
                <w:rFonts w:ascii="宋体" w:hAnsi="宋体" w:cs="宋体"/>
                <w:sz w:val="24"/>
                <w:szCs w:val="24"/>
              </w:rPr>
              <w:t>0</w:t>
            </w:r>
            <w:r>
              <w:rPr>
                <w:rFonts w:hint="eastAsia" w:ascii="宋体" w:hAnsi="宋体" w:cs="宋体"/>
                <w:sz w:val="24"/>
                <w:szCs w:val="24"/>
              </w:rPr>
              <w:t>，结果保留两位小数。（有效投标报价为未被评标委员会判定为无效标的投标文件）。</w:t>
            </w:r>
          </w:p>
        </w:tc>
      </w:tr>
      <w:tr w14:paraId="194F7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09" w:type="dxa"/>
            <w:vMerge w:val="restart"/>
            <w:tcBorders>
              <w:top w:val="single" w:color="auto" w:sz="4" w:space="0"/>
              <w:left w:val="single" w:color="auto" w:sz="4" w:space="0"/>
              <w:right w:val="single" w:color="auto" w:sz="4" w:space="0"/>
            </w:tcBorders>
            <w:noWrap w:val="0"/>
            <w:vAlign w:val="center"/>
          </w:tcPr>
          <w:p w14:paraId="6C488739">
            <w:pPr>
              <w:widowControl/>
              <w:snapToGrid w:val="0"/>
              <w:spacing w:line="360" w:lineRule="auto"/>
              <w:jc w:val="center"/>
              <w:rPr>
                <w:rFonts w:ascii="宋体" w:hAnsi="宋体" w:cs="宋体"/>
                <w:sz w:val="24"/>
                <w:szCs w:val="24"/>
              </w:rPr>
            </w:pPr>
            <w:r>
              <w:rPr>
                <w:rFonts w:hint="eastAsia" w:ascii="宋体" w:hAnsi="宋体" w:cs="宋体"/>
                <w:sz w:val="24"/>
                <w:szCs w:val="24"/>
              </w:rPr>
              <w:t>二</w:t>
            </w:r>
          </w:p>
        </w:tc>
        <w:tc>
          <w:tcPr>
            <w:tcW w:w="1828" w:type="dxa"/>
            <w:vMerge w:val="restart"/>
            <w:tcBorders>
              <w:top w:val="single" w:color="auto" w:sz="4" w:space="0"/>
              <w:left w:val="single" w:color="auto" w:sz="4" w:space="0"/>
              <w:right w:val="single" w:color="auto" w:sz="4" w:space="0"/>
            </w:tcBorders>
            <w:noWrap w:val="0"/>
            <w:vAlign w:val="center"/>
          </w:tcPr>
          <w:p w14:paraId="1D2F8270">
            <w:pPr>
              <w:widowControl/>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技术</w:t>
            </w:r>
            <w:r>
              <w:rPr>
                <w:rFonts w:hint="eastAsia" w:ascii="宋体" w:hAnsi="宋体" w:cs="宋体"/>
                <w:sz w:val="24"/>
                <w:szCs w:val="24"/>
                <w:lang w:eastAsia="zh-CN"/>
              </w:rPr>
              <w:t>响应</w:t>
            </w:r>
          </w:p>
          <w:p w14:paraId="1EA06999">
            <w:pPr>
              <w:widowControl/>
              <w:snapToGrid w:val="0"/>
              <w:spacing w:line="360" w:lineRule="auto"/>
              <w:jc w:val="center"/>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41</w:t>
            </w:r>
            <w:r>
              <w:rPr>
                <w:rFonts w:hint="eastAsia" w:ascii="宋体" w:hAnsi="宋体" w:cs="宋体"/>
                <w:sz w:val="24"/>
                <w:szCs w:val="24"/>
              </w:rPr>
              <w:t>分）</w:t>
            </w:r>
          </w:p>
        </w:tc>
        <w:tc>
          <w:tcPr>
            <w:tcW w:w="6996" w:type="dxa"/>
            <w:tcBorders>
              <w:top w:val="single" w:color="auto" w:sz="4" w:space="0"/>
              <w:left w:val="single" w:color="auto" w:sz="4" w:space="0"/>
              <w:bottom w:val="single" w:color="auto" w:sz="4" w:space="0"/>
              <w:right w:val="single" w:color="auto" w:sz="4" w:space="0"/>
            </w:tcBorders>
            <w:noWrap w:val="0"/>
            <w:vAlign w:val="center"/>
          </w:tcPr>
          <w:p w14:paraId="2E8146C5">
            <w:pPr>
              <w:widowControl/>
              <w:snapToGrid w:val="0"/>
              <w:spacing w:line="460" w:lineRule="exact"/>
              <w:jc w:val="left"/>
              <w:rPr>
                <w:rFonts w:hint="eastAsia" w:ascii="宋体" w:hAnsi="宋体" w:cs="宋体"/>
                <w:sz w:val="24"/>
                <w:szCs w:val="24"/>
              </w:rPr>
            </w:pPr>
            <w:r>
              <w:rPr>
                <w:rFonts w:hint="eastAsia" w:ascii="宋体" w:hAnsi="宋体" w:cs="宋体"/>
                <w:sz w:val="24"/>
                <w:szCs w:val="24"/>
                <w:lang w:eastAsia="zh-CN"/>
              </w:rPr>
              <w:t>硬件</w:t>
            </w:r>
            <w:r>
              <w:rPr>
                <w:rFonts w:hint="eastAsia" w:ascii="宋体" w:hAnsi="宋体" w:cs="宋体"/>
                <w:sz w:val="24"/>
                <w:szCs w:val="24"/>
              </w:rPr>
              <w:t>技术参数部分；</w:t>
            </w:r>
          </w:p>
          <w:p w14:paraId="7A1A6661">
            <w:pPr>
              <w:widowControl/>
              <w:numPr>
                <w:ilvl w:val="0"/>
                <w:numId w:val="0"/>
              </w:numPr>
              <w:snapToGrid w:val="0"/>
              <w:spacing w:line="460" w:lineRule="exact"/>
              <w:jc w:val="left"/>
              <w:rPr>
                <w:rFonts w:hint="eastAsia" w:ascii="宋体" w:hAnsi="宋体" w:cs="宋体"/>
                <w:sz w:val="24"/>
                <w:szCs w:val="24"/>
                <w:lang w:eastAsia="zh-CN"/>
              </w:rPr>
            </w:pPr>
            <w:r>
              <w:rPr>
                <w:rFonts w:hint="eastAsia" w:ascii="宋体" w:hAnsi="宋体" w:cs="宋体"/>
                <w:sz w:val="24"/>
                <w:szCs w:val="24"/>
                <w:lang w:val="en-US" w:eastAsia="zh-CN"/>
              </w:rPr>
              <w:t>1、</w:t>
            </w:r>
            <w:r>
              <w:rPr>
                <w:rFonts w:hint="eastAsia" w:ascii="宋体" w:hAnsi="宋体" w:cs="宋体"/>
                <w:sz w:val="24"/>
                <w:szCs w:val="24"/>
              </w:rPr>
              <w:t>加★项参数有一项不满足扣</w:t>
            </w:r>
            <w:r>
              <w:rPr>
                <w:rFonts w:hint="eastAsia" w:ascii="宋体" w:hAnsi="宋体" w:cs="宋体"/>
                <w:sz w:val="24"/>
                <w:szCs w:val="24"/>
                <w:lang w:val="en-US" w:eastAsia="zh-CN"/>
              </w:rPr>
              <w:t>1.3</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rPr>
              <w:t>完全满足招标</w:t>
            </w:r>
            <w:r>
              <w:rPr>
                <w:rFonts w:hint="eastAsia" w:ascii="宋体" w:hAnsi="宋体" w:cs="宋体"/>
                <w:sz w:val="24"/>
                <w:szCs w:val="24"/>
                <w:lang w:eastAsia="zh-CN"/>
              </w:rPr>
              <w:t>技术</w:t>
            </w:r>
            <w:r>
              <w:rPr>
                <w:rFonts w:hint="eastAsia" w:ascii="宋体" w:hAnsi="宋体" w:cs="宋体"/>
                <w:sz w:val="24"/>
                <w:szCs w:val="24"/>
              </w:rPr>
              <w:t>参数要求得</w:t>
            </w:r>
            <w:r>
              <w:rPr>
                <w:rFonts w:hint="eastAsia" w:ascii="宋体" w:hAnsi="宋体" w:cs="宋体"/>
                <w:sz w:val="24"/>
                <w:szCs w:val="24"/>
                <w:lang w:val="en-US" w:eastAsia="zh-CN"/>
              </w:rPr>
              <w:t>24.7</w:t>
            </w:r>
            <w:r>
              <w:rPr>
                <w:rFonts w:hint="eastAsia" w:ascii="宋体" w:hAnsi="宋体" w:cs="宋体"/>
                <w:sz w:val="24"/>
                <w:szCs w:val="24"/>
              </w:rPr>
              <w:t>分</w:t>
            </w:r>
            <w:r>
              <w:rPr>
                <w:rFonts w:hint="eastAsia" w:ascii="宋体" w:hAnsi="宋体" w:cs="宋体"/>
                <w:sz w:val="24"/>
                <w:szCs w:val="24"/>
                <w:lang w:eastAsia="zh-CN"/>
              </w:rPr>
              <w:t>。</w:t>
            </w:r>
          </w:p>
          <w:p w14:paraId="40698D6B">
            <w:pPr>
              <w:widowControl/>
              <w:numPr>
                <w:ilvl w:val="0"/>
                <w:numId w:val="0"/>
              </w:numPr>
              <w:snapToGrid w:val="0"/>
              <w:spacing w:line="460" w:lineRule="exact"/>
              <w:jc w:val="left"/>
              <w:rPr>
                <w:rFonts w:hint="eastAsia"/>
                <w:lang w:eastAsia="zh-CN"/>
              </w:rPr>
            </w:pPr>
            <w:r>
              <w:rPr>
                <w:rFonts w:hint="eastAsia" w:ascii="宋体" w:hAnsi="宋体" w:cs="宋体"/>
                <w:sz w:val="24"/>
                <w:szCs w:val="24"/>
                <w:lang w:val="en-US" w:eastAsia="zh-CN"/>
              </w:rPr>
              <w:t>2、</w:t>
            </w:r>
            <w:r>
              <w:rPr>
                <w:rFonts w:hint="eastAsia" w:ascii="宋体" w:hAnsi="宋体" w:cs="宋体"/>
                <w:sz w:val="24"/>
                <w:szCs w:val="24"/>
              </w:rPr>
              <w:t>加▲项参数</w:t>
            </w:r>
            <w:r>
              <w:rPr>
                <w:rFonts w:hint="eastAsia" w:ascii="宋体" w:hAnsi="宋体" w:cs="宋体"/>
                <w:sz w:val="24"/>
                <w:szCs w:val="24"/>
                <w:lang w:eastAsia="zh-CN"/>
              </w:rPr>
              <w:t>每</w:t>
            </w:r>
            <w:r>
              <w:rPr>
                <w:rFonts w:hint="eastAsia" w:ascii="宋体" w:hAnsi="宋体" w:cs="宋体"/>
                <w:sz w:val="24"/>
                <w:szCs w:val="24"/>
              </w:rPr>
              <w:t>有一项</w:t>
            </w:r>
            <w:r>
              <w:rPr>
                <w:rFonts w:hint="eastAsia" w:ascii="宋体" w:hAnsi="宋体" w:cs="宋体"/>
                <w:sz w:val="24"/>
                <w:szCs w:val="24"/>
                <w:lang w:val="en-US" w:eastAsia="zh-CN"/>
              </w:rPr>
              <w:t>明显优于招标技术参数的，得2分，最高得8分。需提供公安部</w:t>
            </w:r>
            <w:r>
              <w:rPr>
                <w:rFonts w:hint="eastAsia" w:ascii="宋体" w:hAnsi="宋体" w:cs="宋体"/>
                <w:sz w:val="24"/>
                <w:szCs w:val="24"/>
                <w:highlight w:val="none"/>
                <w:lang w:val="en-US" w:eastAsia="zh-CN"/>
              </w:rPr>
              <w:t>权威机构</w:t>
            </w:r>
            <w:r>
              <w:rPr>
                <w:rFonts w:hint="eastAsia" w:ascii="宋体" w:hAnsi="宋体" w:cs="宋体"/>
                <w:sz w:val="24"/>
                <w:szCs w:val="24"/>
                <w:lang w:val="en-US" w:eastAsia="zh-CN"/>
              </w:rPr>
              <w:t>检验报告扫描件并上传至投标文件。</w:t>
            </w:r>
          </w:p>
          <w:p w14:paraId="40078658">
            <w:pPr>
              <w:widowControl/>
              <w:numPr>
                <w:ilvl w:val="0"/>
                <w:numId w:val="0"/>
              </w:numPr>
              <w:snapToGrid w:val="0"/>
              <w:spacing w:line="460" w:lineRule="exact"/>
              <w:jc w:val="left"/>
              <w:rPr>
                <w:rFonts w:hint="eastAsia" w:ascii="宋体" w:hAnsi="宋体" w:cs="宋体"/>
                <w:sz w:val="24"/>
                <w:szCs w:val="24"/>
                <w:lang w:eastAsia="zh-CN"/>
              </w:rPr>
            </w:pPr>
            <w:r>
              <w:rPr>
                <w:rFonts w:hint="eastAsia" w:ascii="宋体" w:hAnsi="宋体" w:cs="宋体"/>
                <w:sz w:val="24"/>
                <w:szCs w:val="24"/>
                <w:lang w:val="en-US" w:eastAsia="zh-CN"/>
              </w:rPr>
              <w:t>3、</w:t>
            </w:r>
            <w:r>
              <w:rPr>
                <w:rFonts w:hint="eastAsia" w:ascii="宋体" w:hAnsi="宋体" w:cs="宋体"/>
                <w:sz w:val="24"/>
                <w:szCs w:val="24"/>
              </w:rPr>
              <w:t>其它参数</w:t>
            </w:r>
            <w:r>
              <w:rPr>
                <w:rFonts w:hint="eastAsia" w:ascii="宋体" w:hAnsi="宋体" w:cs="宋体"/>
                <w:sz w:val="24"/>
                <w:szCs w:val="24"/>
                <w:lang w:eastAsia="zh-CN"/>
              </w:rPr>
              <w:t>（</w:t>
            </w:r>
            <w:r>
              <w:rPr>
                <w:rFonts w:hint="eastAsia" w:ascii="宋体" w:hAnsi="宋体" w:cs="宋体"/>
                <w:sz w:val="24"/>
                <w:szCs w:val="24"/>
                <w:lang w:val="en-US" w:eastAsia="zh-CN"/>
              </w:rPr>
              <w:t>不包含</w:t>
            </w:r>
            <w:r>
              <w:rPr>
                <w:rFonts w:hint="eastAsia" w:ascii="宋体" w:hAnsi="宋体" w:cs="宋体"/>
                <w:sz w:val="24"/>
                <w:szCs w:val="24"/>
              </w:rPr>
              <w:t>★▲</w:t>
            </w:r>
            <w:r>
              <w:rPr>
                <w:rFonts w:hint="eastAsia" w:ascii="宋体" w:hAnsi="宋体" w:cs="宋体"/>
                <w:sz w:val="24"/>
                <w:szCs w:val="24"/>
                <w:lang w:eastAsia="zh-CN"/>
              </w:rPr>
              <w:t>）</w:t>
            </w:r>
            <w:r>
              <w:rPr>
                <w:rFonts w:hint="eastAsia" w:ascii="宋体" w:hAnsi="宋体" w:cs="宋体"/>
                <w:sz w:val="24"/>
                <w:szCs w:val="24"/>
                <w:lang w:val="en-US" w:eastAsia="zh-CN"/>
              </w:rPr>
              <w:t>负偏离（1-5）项得4.3分，负偏离（6-10）项得3.3分，负偏离（11-15）项得2.3分，负偏离（16-20）项得1.3分，负偏离21项及以上的不得分</w:t>
            </w:r>
            <w:r>
              <w:rPr>
                <w:rFonts w:hint="eastAsia" w:ascii="宋体" w:hAnsi="宋体" w:cs="宋体"/>
                <w:sz w:val="24"/>
                <w:szCs w:val="24"/>
              </w:rPr>
              <w:t>，完全满足招标</w:t>
            </w:r>
            <w:r>
              <w:rPr>
                <w:rFonts w:hint="eastAsia" w:ascii="宋体" w:hAnsi="宋体" w:cs="宋体"/>
                <w:sz w:val="24"/>
                <w:szCs w:val="24"/>
                <w:lang w:eastAsia="zh-CN"/>
              </w:rPr>
              <w:t>技术</w:t>
            </w:r>
            <w:r>
              <w:rPr>
                <w:rFonts w:hint="eastAsia" w:ascii="宋体" w:hAnsi="宋体" w:cs="宋体"/>
                <w:sz w:val="24"/>
                <w:szCs w:val="24"/>
              </w:rPr>
              <w:t>参数要求得</w:t>
            </w:r>
            <w:r>
              <w:rPr>
                <w:rFonts w:hint="eastAsia" w:ascii="宋体" w:hAnsi="宋体" w:cs="宋体"/>
                <w:sz w:val="24"/>
                <w:szCs w:val="24"/>
                <w:lang w:val="en-US" w:eastAsia="zh-CN"/>
              </w:rPr>
              <w:t>5.3</w:t>
            </w:r>
            <w:r>
              <w:rPr>
                <w:rFonts w:hint="eastAsia" w:ascii="宋体" w:hAnsi="宋体" w:cs="宋体"/>
                <w:sz w:val="24"/>
                <w:szCs w:val="24"/>
              </w:rPr>
              <w:t>分</w:t>
            </w:r>
            <w:r>
              <w:rPr>
                <w:rFonts w:hint="eastAsia" w:ascii="宋体" w:hAnsi="宋体" w:cs="宋体"/>
                <w:sz w:val="24"/>
                <w:szCs w:val="24"/>
                <w:lang w:eastAsia="zh-CN"/>
              </w:rPr>
              <w:t>。</w:t>
            </w:r>
          </w:p>
          <w:p w14:paraId="2FB92370">
            <w:pPr>
              <w:widowControl/>
              <w:numPr>
                <w:ilvl w:val="0"/>
                <w:numId w:val="0"/>
              </w:numPr>
              <w:snapToGrid w:val="0"/>
              <w:spacing w:line="460" w:lineRule="exact"/>
              <w:ind w:firstLine="480" w:firstLineChars="200"/>
              <w:jc w:val="left"/>
              <w:rPr>
                <w:sz w:val="24"/>
                <w:szCs w:val="24"/>
              </w:rPr>
            </w:pPr>
            <w:r>
              <w:rPr>
                <w:rFonts w:hint="eastAsia" w:ascii="宋体" w:hAnsi="宋体" w:cs="宋体"/>
                <w:sz w:val="24"/>
                <w:szCs w:val="24"/>
              </w:rPr>
              <w:t>技术参数不得虚假响应，如经查实，将予以取消中标资格，并提交财政监管部门处理，有可能面临着被列入失信名单的法律风险。</w:t>
            </w:r>
          </w:p>
        </w:tc>
      </w:tr>
      <w:tr w14:paraId="3C55B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09" w:type="dxa"/>
            <w:vMerge w:val="continue"/>
            <w:tcBorders>
              <w:left w:val="single" w:color="auto" w:sz="4" w:space="0"/>
              <w:bottom w:val="single" w:color="auto" w:sz="4" w:space="0"/>
              <w:right w:val="single" w:color="auto" w:sz="4" w:space="0"/>
            </w:tcBorders>
            <w:noWrap w:val="0"/>
            <w:vAlign w:val="center"/>
          </w:tcPr>
          <w:p w14:paraId="5CAE7642">
            <w:pPr>
              <w:widowControl/>
              <w:snapToGrid w:val="0"/>
              <w:spacing w:line="360" w:lineRule="auto"/>
              <w:jc w:val="center"/>
              <w:rPr>
                <w:rFonts w:hint="eastAsia" w:ascii="宋体" w:hAnsi="宋体" w:cs="宋体"/>
                <w:sz w:val="24"/>
                <w:szCs w:val="24"/>
              </w:rPr>
            </w:pPr>
          </w:p>
        </w:tc>
        <w:tc>
          <w:tcPr>
            <w:tcW w:w="1828" w:type="dxa"/>
            <w:vMerge w:val="continue"/>
            <w:tcBorders>
              <w:left w:val="single" w:color="auto" w:sz="4" w:space="0"/>
              <w:bottom w:val="single" w:color="auto" w:sz="4" w:space="0"/>
              <w:right w:val="single" w:color="auto" w:sz="4" w:space="0"/>
            </w:tcBorders>
            <w:noWrap w:val="0"/>
            <w:vAlign w:val="center"/>
          </w:tcPr>
          <w:p w14:paraId="1D9A71AE">
            <w:pPr>
              <w:widowControl/>
              <w:snapToGrid w:val="0"/>
              <w:spacing w:line="360" w:lineRule="auto"/>
              <w:jc w:val="center"/>
              <w:rPr>
                <w:rFonts w:hint="eastAsia" w:ascii="宋体" w:hAnsi="宋体" w:cs="宋体"/>
                <w:sz w:val="24"/>
                <w:szCs w:val="24"/>
              </w:rPr>
            </w:pPr>
          </w:p>
        </w:tc>
        <w:tc>
          <w:tcPr>
            <w:tcW w:w="6996" w:type="dxa"/>
            <w:tcBorders>
              <w:top w:val="single" w:color="auto" w:sz="4" w:space="0"/>
              <w:left w:val="single" w:color="auto" w:sz="4" w:space="0"/>
              <w:bottom w:val="single" w:color="auto" w:sz="4" w:space="0"/>
              <w:right w:val="single" w:color="auto" w:sz="4" w:space="0"/>
            </w:tcBorders>
            <w:noWrap w:val="0"/>
            <w:vAlign w:val="center"/>
          </w:tcPr>
          <w:p w14:paraId="43C1B1B5">
            <w:pPr>
              <w:pStyle w:val="10"/>
              <w:spacing w:after="0" w:line="480" w:lineRule="exact"/>
              <w:ind w:left="0" w:leftChars="0"/>
              <w:rPr>
                <w:rFonts w:hint="eastAsia"/>
                <w:sz w:val="24"/>
                <w:szCs w:val="24"/>
              </w:rPr>
            </w:pPr>
            <w:r>
              <w:rPr>
                <w:rFonts w:hint="eastAsia"/>
                <w:sz w:val="24"/>
                <w:szCs w:val="24"/>
                <w:lang w:val="en-US" w:eastAsia="zh-CN"/>
              </w:rPr>
              <w:t>软件</w:t>
            </w:r>
            <w:r>
              <w:rPr>
                <w:rFonts w:hint="eastAsia"/>
                <w:sz w:val="24"/>
                <w:szCs w:val="24"/>
                <w:lang w:eastAsia="zh-CN"/>
              </w:rPr>
              <w:t>功能响应，</w:t>
            </w:r>
            <w:r>
              <w:rPr>
                <w:rFonts w:hint="eastAsia"/>
                <w:sz w:val="24"/>
                <w:szCs w:val="24"/>
              </w:rPr>
              <w:t>投标时须提供</w:t>
            </w:r>
            <w:r>
              <w:rPr>
                <w:rFonts w:hint="eastAsia"/>
                <w:sz w:val="24"/>
                <w:szCs w:val="24"/>
                <w:lang w:eastAsia="zh-CN"/>
              </w:rPr>
              <w:t>功能</w:t>
            </w:r>
            <w:r>
              <w:rPr>
                <w:rFonts w:hint="eastAsia"/>
                <w:sz w:val="24"/>
                <w:szCs w:val="24"/>
              </w:rPr>
              <w:t>演示视频</w:t>
            </w:r>
            <w:r>
              <w:rPr>
                <w:rFonts w:hint="eastAsia"/>
                <w:sz w:val="24"/>
                <w:szCs w:val="24"/>
                <w:lang w:eastAsia="zh-CN"/>
              </w:rPr>
              <w:t>（</w:t>
            </w:r>
            <w:r>
              <w:rPr>
                <w:rFonts w:hint="eastAsia"/>
                <w:sz w:val="24"/>
                <w:szCs w:val="24"/>
                <w:lang w:val="en-US" w:eastAsia="zh-CN"/>
              </w:rPr>
              <w:t>3分</w:t>
            </w:r>
            <w:r>
              <w:rPr>
                <w:rFonts w:hint="eastAsia"/>
                <w:sz w:val="24"/>
                <w:szCs w:val="24"/>
                <w:lang w:eastAsia="zh-CN"/>
              </w:rPr>
              <w:t>）</w:t>
            </w:r>
            <w:r>
              <w:rPr>
                <w:rFonts w:hint="eastAsia"/>
                <w:sz w:val="24"/>
                <w:szCs w:val="24"/>
              </w:rPr>
              <w:t>：</w:t>
            </w:r>
          </w:p>
          <w:p w14:paraId="0BD43B17">
            <w:pPr>
              <w:pStyle w:val="10"/>
              <w:spacing w:after="0" w:line="480" w:lineRule="exact"/>
              <w:ind w:left="0" w:leftChars="0"/>
              <w:rPr>
                <w:rFonts w:hint="eastAsia"/>
                <w:sz w:val="24"/>
                <w:szCs w:val="24"/>
              </w:rPr>
            </w:pPr>
            <w:r>
              <w:rPr>
                <w:rFonts w:hint="eastAsia"/>
                <w:sz w:val="24"/>
                <w:szCs w:val="24"/>
              </w:rPr>
              <w:t>投标人在投标截止时间前提交演示</w:t>
            </w:r>
            <w:r>
              <w:rPr>
                <w:rFonts w:hint="eastAsia"/>
                <w:sz w:val="24"/>
                <w:szCs w:val="24"/>
                <w:lang w:val="en-US" w:eastAsia="zh-CN"/>
              </w:rPr>
              <w:t>视频</w:t>
            </w:r>
            <w:r>
              <w:rPr>
                <w:rFonts w:hint="eastAsia" w:ascii="宋体" w:hAnsi="宋体" w:eastAsia="宋体" w:cs="宋体"/>
                <w:kern w:val="2"/>
                <w:sz w:val="24"/>
                <w:szCs w:val="24"/>
                <w:lang w:val="en-US" w:eastAsia="zh-CN" w:bidi="ar-SA"/>
              </w:rPr>
              <w:t>，</w:t>
            </w:r>
            <w:r>
              <w:rPr>
                <w:rFonts w:hint="eastAsia"/>
                <w:sz w:val="24"/>
                <w:szCs w:val="24"/>
              </w:rPr>
              <w:t>评标时播放，评标委员会根据演示项进行打分，演示只接受由真实运行环境及实际操作演示所制作成的演示播放视频，PPT、DEMO、系统静态截图、宣传视频等均视为无效演示。演示时间不超过10分钟，演示应全面细致、齐全，评标委员会按以下3个演示项进行评审，具体演示内容及要求如下：</w:t>
            </w:r>
          </w:p>
          <w:p w14:paraId="53E816A9">
            <w:pPr>
              <w:pStyle w:val="10"/>
              <w:spacing w:after="0" w:line="480" w:lineRule="exact"/>
              <w:ind w:left="0" w:leftChars="0"/>
              <w:rPr>
                <w:rFonts w:hint="default" w:eastAsia="宋体"/>
                <w:sz w:val="24"/>
                <w:szCs w:val="24"/>
                <w:lang w:val="en-US" w:eastAsia="zh-CN"/>
              </w:rPr>
            </w:pPr>
            <w:r>
              <w:rPr>
                <w:rFonts w:hint="eastAsia"/>
                <w:sz w:val="24"/>
                <w:szCs w:val="24"/>
              </w:rPr>
              <w:t>1、软件需满足实时添加35114 C级标准，实时播放，录像回放</w:t>
            </w:r>
            <w:r>
              <w:rPr>
                <w:rFonts w:hint="eastAsia"/>
                <w:sz w:val="24"/>
                <w:szCs w:val="24"/>
                <w:lang w:eastAsia="zh-CN"/>
              </w:rPr>
              <w:t>及</w:t>
            </w:r>
            <w:r>
              <w:rPr>
                <w:rFonts w:hint="eastAsia"/>
                <w:sz w:val="24"/>
                <w:szCs w:val="24"/>
              </w:rPr>
              <w:t>数据推送上级省市平台</w:t>
            </w:r>
            <w:r>
              <w:rPr>
                <w:rFonts w:hint="eastAsia"/>
                <w:sz w:val="24"/>
                <w:szCs w:val="24"/>
                <w:highlight w:val="none"/>
              </w:rPr>
              <w:t>无问题</w:t>
            </w:r>
            <w:r>
              <w:rPr>
                <w:rFonts w:hint="eastAsia"/>
                <w:sz w:val="24"/>
                <w:szCs w:val="24"/>
              </w:rPr>
              <w:t>，需展示C级设备协议添加，录像实时画面</w:t>
            </w:r>
            <w:r>
              <w:rPr>
                <w:rFonts w:hint="eastAsia"/>
                <w:sz w:val="24"/>
                <w:szCs w:val="24"/>
                <w:lang w:eastAsia="zh-CN"/>
              </w:rPr>
              <w:t>、</w:t>
            </w:r>
            <w:r>
              <w:rPr>
                <w:rFonts w:hint="eastAsia"/>
                <w:sz w:val="24"/>
                <w:szCs w:val="24"/>
              </w:rPr>
              <w:t>回放以及数据推送成功界面</w:t>
            </w:r>
            <w:r>
              <w:rPr>
                <w:rFonts w:hint="eastAsia"/>
                <w:sz w:val="24"/>
                <w:szCs w:val="24"/>
                <w:lang w:eastAsia="zh-CN"/>
              </w:rPr>
              <w:t>；功能完整、数据推送流畅、画面传输稳定性高的得</w:t>
            </w:r>
            <w:r>
              <w:rPr>
                <w:rFonts w:hint="eastAsia"/>
                <w:sz w:val="24"/>
                <w:szCs w:val="24"/>
                <w:lang w:val="en-US" w:eastAsia="zh-CN"/>
              </w:rPr>
              <w:t>1分；功能完整、数据推送稳定、画面传输较稳定的得0.8分</w:t>
            </w:r>
            <w:r>
              <w:rPr>
                <w:rFonts w:hint="eastAsia"/>
                <w:sz w:val="24"/>
                <w:szCs w:val="24"/>
              </w:rPr>
              <w:t>；</w:t>
            </w:r>
            <w:r>
              <w:rPr>
                <w:rFonts w:hint="eastAsia"/>
                <w:sz w:val="24"/>
                <w:szCs w:val="24"/>
                <w:lang w:eastAsia="zh-CN"/>
              </w:rPr>
              <w:t>功能完整、数据推送能力一般，画面传输稳定性一般的得基本分</w:t>
            </w:r>
            <w:r>
              <w:rPr>
                <w:rFonts w:hint="eastAsia"/>
                <w:sz w:val="24"/>
                <w:szCs w:val="24"/>
                <w:lang w:val="en-US" w:eastAsia="zh-CN"/>
              </w:rPr>
              <w:t>0.5分，差的不得分。</w:t>
            </w:r>
          </w:p>
          <w:p w14:paraId="22FCDDDD">
            <w:pPr>
              <w:pStyle w:val="10"/>
              <w:spacing w:after="0" w:line="480" w:lineRule="exact"/>
              <w:ind w:left="0" w:leftChars="0"/>
              <w:rPr>
                <w:rFonts w:hint="eastAsia"/>
                <w:sz w:val="24"/>
                <w:szCs w:val="24"/>
              </w:rPr>
            </w:pPr>
            <w:r>
              <w:rPr>
                <w:rFonts w:hint="eastAsia"/>
                <w:sz w:val="24"/>
                <w:szCs w:val="24"/>
              </w:rPr>
              <w:t>2、软件展示视频证书目录&amp;视频密钥管理（国产化），需展示签发证书信息</w:t>
            </w:r>
            <w:r>
              <w:rPr>
                <w:rFonts w:hint="eastAsia"/>
                <w:sz w:val="24"/>
                <w:szCs w:val="24"/>
                <w:lang w:eastAsia="zh-CN"/>
              </w:rPr>
              <w:t>。</w:t>
            </w:r>
            <w:r>
              <w:rPr>
                <w:rFonts w:hint="eastAsia" w:ascii="宋体" w:hAnsi="宋体" w:eastAsia="宋体" w:cs="宋体"/>
                <w:color w:val="auto"/>
                <w:kern w:val="2"/>
                <w:sz w:val="24"/>
                <w:szCs w:val="24"/>
                <w:highlight w:val="none"/>
                <w:lang w:val="en-US" w:eastAsia="zh-CN" w:bidi="ar-SA"/>
              </w:rPr>
              <w:t>密钥管理功能完整、签发证书信息完整的得1分；密钥管理功能基本具备、签发证书信息较完整的得0.8分；功能不能实现或证书信息缺失严重或无法实现功能的不得分。</w:t>
            </w:r>
          </w:p>
          <w:p w14:paraId="72C3F8DF">
            <w:pPr>
              <w:pStyle w:val="10"/>
              <w:spacing w:after="0" w:line="480" w:lineRule="exact"/>
              <w:ind w:left="0" w:leftChars="0"/>
              <w:rPr>
                <w:rFonts w:hint="eastAsia"/>
                <w:sz w:val="24"/>
                <w:szCs w:val="24"/>
              </w:rPr>
            </w:pPr>
            <w:r>
              <w:rPr>
                <w:rFonts w:hint="eastAsia"/>
                <w:sz w:val="24"/>
                <w:szCs w:val="24"/>
              </w:rPr>
              <w:t>3、需完整展示软件功能平台，至少包括视频联网，资源目录管理，视频调阅服务电子地图。</w:t>
            </w:r>
            <w:r>
              <w:rPr>
                <w:rFonts w:hint="eastAsia"/>
                <w:sz w:val="24"/>
                <w:szCs w:val="24"/>
                <w:lang w:eastAsia="zh-CN"/>
              </w:rPr>
              <w:t>功能完整、数据流畅的得</w:t>
            </w:r>
            <w:r>
              <w:rPr>
                <w:rFonts w:hint="eastAsia"/>
                <w:sz w:val="24"/>
                <w:szCs w:val="24"/>
                <w:lang w:val="en-US" w:eastAsia="zh-CN"/>
              </w:rPr>
              <w:t>1分；功能完整、数据稳定的得0.8分</w:t>
            </w:r>
            <w:r>
              <w:rPr>
                <w:rFonts w:hint="eastAsia"/>
                <w:sz w:val="24"/>
                <w:szCs w:val="24"/>
              </w:rPr>
              <w:t>；</w:t>
            </w:r>
            <w:r>
              <w:rPr>
                <w:rFonts w:hint="eastAsia"/>
                <w:sz w:val="24"/>
                <w:szCs w:val="24"/>
                <w:lang w:eastAsia="zh-CN"/>
              </w:rPr>
              <w:t>功能完整、数据调用能力一般的得基本分</w:t>
            </w:r>
            <w:r>
              <w:rPr>
                <w:rFonts w:hint="eastAsia"/>
                <w:sz w:val="24"/>
                <w:szCs w:val="24"/>
                <w:lang w:val="en-US" w:eastAsia="zh-CN"/>
              </w:rPr>
              <w:t>0.5分，差的不得分。</w:t>
            </w:r>
          </w:p>
          <w:p w14:paraId="18A426B2">
            <w:pPr>
              <w:pStyle w:val="10"/>
              <w:spacing w:after="0" w:line="480" w:lineRule="exact"/>
              <w:ind w:left="0" w:leftChars="0"/>
              <w:rPr>
                <w:rFonts w:hint="eastAsia"/>
                <w:sz w:val="24"/>
                <w:szCs w:val="24"/>
                <w:lang w:eastAsia="zh-CN"/>
              </w:rPr>
            </w:pPr>
            <w:r>
              <w:rPr>
                <w:rFonts w:hint="eastAsia"/>
                <w:sz w:val="24"/>
                <w:szCs w:val="24"/>
                <w:lang w:eastAsia="zh-CN"/>
              </w:rPr>
              <w:t>未提交演示</w:t>
            </w:r>
            <w:r>
              <w:rPr>
                <w:rFonts w:hint="eastAsia"/>
                <w:sz w:val="24"/>
                <w:szCs w:val="24"/>
                <w:lang w:val="en-US" w:eastAsia="zh-CN"/>
              </w:rPr>
              <w:t>视频或演示视频无内容或演示视频无法读取或演示视频内容完全无法演示的本项不得分，如仅有部分内容可以演示的按对应评分项评审，单项演示内容不完整的对应单项不得分。</w:t>
            </w:r>
          </w:p>
          <w:p w14:paraId="4FA813D3">
            <w:pPr>
              <w:pStyle w:val="10"/>
              <w:spacing w:after="0" w:line="480" w:lineRule="exact"/>
              <w:ind w:left="0" w:leftChars="0"/>
              <w:rPr>
                <w:rFonts w:hint="eastAsia"/>
                <w:sz w:val="24"/>
                <w:szCs w:val="24"/>
              </w:rPr>
            </w:pPr>
            <w:r>
              <w:rPr>
                <w:rFonts w:hint="eastAsia"/>
                <w:sz w:val="24"/>
                <w:szCs w:val="24"/>
              </w:rPr>
              <w:t>注：上述1-3个演示评审项，经评审严重不符合演示要求的，相应评审项不得分。</w:t>
            </w:r>
          </w:p>
        </w:tc>
      </w:tr>
      <w:tr w14:paraId="1F52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809" w:type="dxa"/>
            <w:tcBorders>
              <w:top w:val="single" w:color="auto" w:sz="4" w:space="0"/>
              <w:left w:val="single" w:color="auto" w:sz="4" w:space="0"/>
              <w:bottom w:val="single" w:color="auto" w:sz="4" w:space="0"/>
              <w:right w:val="single" w:color="auto" w:sz="4" w:space="0"/>
            </w:tcBorders>
            <w:noWrap w:val="0"/>
            <w:vAlign w:val="center"/>
          </w:tcPr>
          <w:p w14:paraId="70B437C3">
            <w:pPr>
              <w:widowControl/>
              <w:snapToGrid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三</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755B1C5B">
            <w:pPr>
              <w:widowControl/>
              <w:snapToGrid w:val="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企业综合能力（</w:t>
            </w:r>
            <w:r>
              <w:rPr>
                <w:rFonts w:hint="eastAsia" w:ascii="宋体" w:hAnsi="宋体" w:cs="宋体"/>
                <w:sz w:val="24"/>
                <w:szCs w:val="24"/>
                <w:lang w:val="en-US" w:eastAsia="zh-CN"/>
              </w:rPr>
              <w:t>6分</w:t>
            </w:r>
            <w:r>
              <w:rPr>
                <w:rFonts w:hint="eastAsia" w:ascii="宋体" w:hAnsi="宋体" w:cs="宋体"/>
                <w:sz w:val="24"/>
                <w:szCs w:val="24"/>
                <w:lang w:eastAsia="zh-CN"/>
              </w:rPr>
              <w:t>）</w:t>
            </w:r>
          </w:p>
        </w:tc>
        <w:tc>
          <w:tcPr>
            <w:tcW w:w="6996" w:type="dxa"/>
            <w:tcBorders>
              <w:top w:val="single" w:color="auto" w:sz="4" w:space="0"/>
              <w:left w:val="single" w:color="auto" w:sz="4" w:space="0"/>
              <w:bottom w:val="single" w:color="auto" w:sz="4" w:space="0"/>
              <w:right w:val="single" w:color="auto" w:sz="4" w:space="0"/>
            </w:tcBorders>
            <w:noWrap w:val="0"/>
            <w:vAlign w:val="center"/>
          </w:tcPr>
          <w:p w14:paraId="3616336C">
            <w:pPr>
              <w:pStyle w:val="42"/>
              <w:spacing w:line="46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1、投标人具有ISO20000信息技术服务管理体系认证证书、ISO2</w:t>
            </w:r>
            <w:r>
              <w:rPr>
                <w:rFonts w:hint="eastAsia" w:ascii="宋体" w:hAnsi="宋体" w:eastAsia="宋体" w:cs="宋体"/>
                <w:kern w:val="2"/>
                <w:sz w:val="24"/>
                <w:szCs w:val="24"/>
                <w:lang w:val="en-US" w:eastAsia="zh-CN"/>
              </w:rPr>
              <w:t>7001</w:t>
            </w:r>
            <w:r>
              <w:rPr>
                <w:rFonts w:hint="eastAsia" w:ascii="宋体" w:hAnsi="宋体" w:eastAsia="宋体" w:cs="宋体"/>
                <w:kern w:val="2"/>
                <w:sz w:val="24"/>
                <w:szCs w:val="24"/>
                <w:lang w:eastAsia="zh-CN"/>
              </w:rPr>
              <w:t>信息</w:t>
            </w:r>
            <w:r>
              <w:rPr>
                <w:rFonts w:hint="eastAsia" w:ascii="宋体" w:hAnsi="宋体" w:eastAsia="宋体" w:cs="宋体"/>
                <w:kern w:val="2"/>
                <w:sz w:val="24"/>
                <w:szCs w:val="24"/>
                <w:lang w:val="en-US" w:eastAsia="zh-CN"/>
              </w:rPr>
              <w:t>安全</w:t>
            </w:r>
            <w:r>
              <w:rPr>
                <w:rFonts w:hint="eastAsia" w:ascii="宋体" w:hAnsi="宋体" w:eastAsia="宋体" w:cs="宋体"/>
                <w:kern w:val="2"/>
                <w:sz w:val="24"/>
                <w:szCs w:val="24"/>
                <w:lang w:eastAsia="zh-CN"/>
              </w:rPr>
              <w:t>管理体系认证，</w:t>
            </w:r>
            <w:r>
              <w:rPr>
                <w:rFonts w:hint="eastAsia" w:ascii="宋体" w:hAnsi="宋体" w:eastAsia="宋体" w:cs="宋体"/>
                <w:kern w:val="2"/>
                <w:sz w:val="24"/>
                <w:szCs w:val="24"/>
                <w:lang w:val="en-US" w:eastAsia="zh-CN"/>
              </w:rPr>
              <w:t>每提供1个得1分</w:t>
            </w:r>
            <w:r>
              <w:rPr>
                <w:rFonts w:hint="eastAsia" w:ascii="宋体" w:hAnsi="宋体" w:eastAsia="宋体" w:cs="宋体"/>
                <w:kern w:val="2"/>
                <w:sz w:val="24"/>
                <w:szCs w:val="24"/>
                <w:lang w:eastAsia="zh-CN"/>
              </w:rPr>
              <w:t>，未提供不得分，本项最高得2分，</w:t>
            </w:r>
            <w:r>
              <w:rPr>
                <w:rFonts w:hint="eastAsia" w:ascii="宋体" w:hAnsi="宋体" w:eastAsia="宋体" w:cs="宋体"/>
                <w:kern w:val="2"/>
                <w:sz w:val="24"/>
                <w:szCs w:val="24"/>
                <w:lang w:val="en-US" w:eastAsia="zh-CN"/>
              </w:rPr>
              <w:t>提供的证书必须在有效期范围内，且在全国认证认可信息服务平台查询状态必须是合格状态</w:t>
            </w:r>
            <w:r>
              <w:rPr>
                <w:rFonts w:hint="eastAsia" w:ascii="宋体" w:hAnsi="宋体" w:eastAsia="宋体" w:cs="宋体"/>
                <w:kern w:val="2"/>
                <w:sz w:val="24"/>
                <w:szCs w:val="24"/>
                <w:lang w:eastAsia="zh-CN"/>
              </w:rPr>
              <w:t>。</w:t>
            </w:r>
          </w:p>
          <w:p w14:paraId="050A7848">
            <w:pPr>
              <w:pStyle w:val="42"/>
              <w:spacing w:line="46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2、投标人具有信息化工程与技术服务能力评价证书，达到CNIETS-E、CNIETS-1得</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lang w:eastAsia="zh-CN"/>
              </w:rPr>
              <w:t>分，</w:t>
            </w:r>
            <w:r>
              <w:rPr>
                <w:rFonts w:hint="eastAsia" w:ascii="宋体" w:hAnsi="宋体" w:eastAsia="宋体" w:cs="宋体"/>
                <w:kern w:val="2"/>
                <w:sz w:val="24"/>
                <w:szCs w:val="24"/>
                <w:lang w:val="en-US" w:eastAsia="zh-CN"/>
              </w:rPr>
              <w:t>达到</w:t>
            </w:r>
            <w:r>
              <w:rPr>
                <w:rFonts w:hint="eastAsia" w:ascii="宋体" w:hAnsi="宋体" w:eastAsia="宋体" w:cs="宋体"/>
                <w:kern w:val="2"/>
                <w:sz w:val="24"/>
                <w:szCs w:val="24"/>
                <w:lang w:eastAsia="zh-CN"/>
              </w:rPr>
              <w:t>CNIETS-2得3分、CNIETS-3得2分，CNIETS-4得1分，未提供不得分，本项最高得</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lang w:eastAsia="zh-CN"/>
              </w:rPr>
              <w:t>分；</w:t>
            </w:r>
          </w:p>
          <w:p w14:paraId="58AA19E7">
            <w:pPr>
              <w:pStyle w:val="42"/>
              <w:spacing w:line="46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注：须提供证书原件扫描件加盖投标单位公章，</w:t>
            </w:r>
            <w:r>
              <w:rPr>
                <w:rFonts w:hint="eastAsia" w:ascii="宋体" w:hAnsi="宋体" w:eastAsia="宋体" w:cs="宋体"/>
                <w:kern w:val="2"/>
                <w:sz w:val="24"/>
                <w:szCs w:val="24"/>
                <w:lang w:val="en-US" w:eastAsia="zh-CN"/>
              </w:rPr>
              <w:t>且证书必须在有效期范围内</w:t>
            </w:r>
            <w:r>
              <w:rPr>
                <w:rFonts w:hint="eastAsia" w:ascii="宋体" w:hAnsi="宋体" w:eastAsia="宋体" w:cs="宋体"/>
                <w:kern w:val="2"/>
                <w:sz w:val="24"/>
                <w:szCs w:val="24"/>
                <w:lang w:eastAsia="zh-CN"/>
              </w:rPr>
              <w:t>。</w:t>
            </w:r>
          </w:p>
        </w:tc>
      </w:tr>
      <w:tr w14:paraId="1DF1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809" w:type="dxa"/>
            <w:tcBorders>
              <w:top w:val="single" w:color="auto" w:sz="4" w:space="0"/>
              <w:left w:val="single" w:color="auto" w:sz="4" w:space="0"/>
              <w:bottom w:val="single" w:color="auto" w:sz="4" w:space="0"/>
              <w:right w:val="single" w:color="auto" w:sz="4" w:space="0"/>
            </w:tcBorders>
            <w:noWrap w:val="0"/>
            <w:vAlign w:val="center"/>
          </w:tcPr>
          <w:p w14:paraId="7771498D">
            <w:pPr>
              <w:widowControl/>
              <w:snapToGrid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四</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658FAD91">
            <w:pPr>
              <w:widowControl/>
              <w:snapToGrid w:val="0"/>
              <w:spacing w:line="360" w:lineRule="auto"/>
              <w:rPr>
                <w:rFonts w:hint="eastAsia" w:ascii="宋体" w:hAnsi="宋体" w:eastAsia="宋体" w:cs="宋体"/>
                <w:sz w:val="24"/>
                <w:szCs w:val="24"/>
                <w:lang w:eastAsia="zh-CN"/>
              </w:rPr>
            </w:pPr>
            <w:r>
              <w:rPr>
                <w:rFonts w:hint="eastAsia" w:ascii="宋体" w:hAnsi="宋体" w:cs="宋体"/>
                <w:sz w:val="24"/>
                <w:szCs w:val="24"/>
              </w:rPr>
              <w:t>履约能力</w:t>
            </w:r>
            <w:r>
              <w:rPr>
                <w:rFonts w:hint="eastAsia" w:ascii="宋体" w:hAnsi="宋体" w:cs="宋体"/>
                <w:sz w:val="24"/>
                <w:szCs w:val="24"/>
                <w:lang w:eastAsia="zh-CN"/>
              </w:rPr>
              <w:t>（</w:t>
            </w:r>
            <w:r>
              <w:rPr>
                <w:rFonts w:hint="eastAsia" w:ascii="宋体" w:hAnsi="宋体" w:cs="宋体"/>
                <w:sz w:val="24"/>
                <w:szCs w:val="24"/>
                <w:lang w:val="en-US" w:eastAsia="zh-CN"/>
              </w:rPr>
              <w:t>6分</w:t>
            </w:r>
            <w:r>
              <w:rPr>
                <w:rFonts w:hint="eastAsia" w:ascii="宋体" w:hAnsi="宋体" w:cs="宋体"/>
                <w:sz w:val="24"/>
                <w:szCs w:val="24"/>
                <w:lang w:eastAsia="zh-CN"/>
              </w:rPr>
              <w:t>）</w:t>
            </w:r>
          </w:p>
        </w:tc>
        <w:tc>
          <w:tcPr>
            <w:tcW w:w="6996" w:type="dxa"/>
            <w:tcBorders>
              <w:top w:val="single" w:color="auto" w:sz="4" w:space="0"/>
              <w:left w:val="single" w:color="auto" w:sz="4" w:space="0"/>
              <w:bottom w:val="single" w:color="auto" w:sz="4" w:space="0"/>
              <w:right w:val="single" w:color="auto" w:sz="4" w:space="0"/>
            </w:tcBorders>
            <w:noWrap w:val="0"/>
            <w:vAlign w:val="center"/>
          </w:tcPr>
          <w:p w14:paraId="0D961AB1">
            <w:pPr>
              <w:pStyle w:val="42"/>
              <w:spacing w:line="46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1、拟投入本项目项目负责人：具有信息系统项目管理师证书、注册信息安全管理人员（CISP）证书、IT服务项目经理证书的，每</w:t>
            </w:r>
            <w:r>
              <w:rPr>
                <w:rFonts w:hint="eastAsia" w:ascii="宋体" w:hAnsi="宋体" w:eastAsia="宋体" w:cs="宋体"/>
                <w:kern w:val="2"/>
                <w:sz w:val="24"/>
                <w:szCs w:val="24"/>
                <w:lang w:val="en-US" w:eastAsia="zh-CN"/>
              </w:rPr>
              <w:t>提供</w:t>
            </w:r>
            <w:r>
              <w:rPr>
                <w:rFonts w:hint="eastAsia" w:ascii="宋体" w:hAnsi="宋体" w:eastAsia="宋体" w:cs="宋体"/>
                <w:kern w:val="2"/>
                <w:sz w:val="24"/>
                <w:szCs w:val="24"/>
                <w:lang w:eastAsia="zh-CN"/>
              </w:rPr>
              <w:t>一项得1分，最高得3分。</w:t>
            </w:r>
          </w:p>
          <w:p w14:paraId="6A3E8817">
            <w:pPr>
              <w:pStyle w:val="42"/>
              <w:spacing w:line="46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2、拟投入本项目的团队成员（不含项目负责人）具有高级网络规划设计师证书、信息技术应用创新服务工程师（ITSS）证书、信息安全保障人员（CISAW）证书的，每提供一个人员证书，得1分，本项最高得3分；同一人员、同专业证书不重复计分。</w:t>
            </w:r>
          </w:p>
          <w:p w14:paraId="19FBB685">
            <w:pPr>
              <w:pStyle w:val="42"/>
              <w:spacing w:line="46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注：投标时以上人员需提供人员证书</w:t>
            </w:r>
            <w:r>
              <w:rPr>
                <w:rFonts w:hint="eastAsia" w:ascii="宋体" w:hAnsi="宋体" w:eastAsia="宋体" w:cs="宋体"/>
                <w:kern w:val="2"/>
                <w:sz w:val="24"/>
                <w:szCs w:val="24"/>
                <w:lang w:val="en-US" w:eastAsia="zh-CN"/>
              </w:rPr>
              <w:t>原件</w:t>
            </w:r>
            <w:r>
              <w:rPr>
                <w:rFonts w:hint="eastAsia" w:ascii="宋体" w:hAnsi="宋体" w:eastAsia="宋体" w:cs="宋体"/>
                <w:kern w:val="2"/>
                <w:sz w:val="24"/>
                <w:szCs w:val="24"/>
                <w:lang w:eastAsia="zh-CN"/>
              </w:rPr>
              <w:t>扫描件及投标人与以上人员签订的劳动合同原件扫描件，未按要求提供证明材料的不得分。</w:t>
            </w:r>
          </w:p>
        </w:tc>
      </w:tr>
      <w:tr w14:paraId="51E0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9" w:type="dxa"/>
            <w:tcBorders>
              <w:top w:val="single" w:color="auto" w:sz="4" w:space="0"/>
              <w:left w:val="single" w:color="auto" w:sz="4" w:space="0"/>
              <w:bottom w:val="single" w:color="auto" w:sz="4" w:space="0"/>
              <w:right w:val="single" w:color="auto" w:sz="4" w:space="0"/>
            </w:tcBorders>
            <w:noWrap w:val="0"/>
            <w:vAlign w:val="center"/>
          </w:tcPr>
          <w:p w14:paraId="7036869B">
            <w:pPr>
              <w:widowControl/>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五</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7E77EB1E">
            <w:pPr>
              <w:widowControl/>
              <w:snapToGrid w:val="0"/>
              <w:spacing w:line="360" w:lineRule="auto"/>
              <w:rPr>
                <w:rFonts w:ascii="宋体" w:hAnsi="宋体" w:cs="宋体"/>
                <w:sz w:val="24"/>
                <w:szCs w:val="24"/>
              </w:rPr>
            </w:pPr>
            <w:r>
              <w:rPr>
                <w:rFonts w:hint="eastAsia" w:ascii="宋体" w:hAnsi="宋体" w:cs="宋体"/>
                <w:sz w:val="24"/>
                <w:szCs w:val="24"/>
              </w:rPr>
              <w:t>施工组织方案（</w:t>
            </w:r>
            <w:r>
              <w:rPr>
                <w:rFonts w:hint="eastAsia" w:ascii="宋体" w:hAnsi="宋体" w:cs="宋体"/>
                <w:sz w:val="24"/>
                <w:szCs w:val="24"/>
                <w:lang w:val="en-US" w:eastAsia="zh-CN"/>
              </w:rPr>
              <w:t>6</w:t>
            </w:r>
            <w:r>
              <w:rPr>
                <w:rFonts w:hint="eastAsia" w:ascii="宋体" w:hAnsi="宋体" w:cs="宋体"/>
                <w:sz w:val="24"/>
                <w:szCs w:val="24"/>
              </w:rPr>
              <w:t>分）</w:t>
            </w:r>
          </w:p>
        </w:tc>
        <w:tc>
          <w:tcPr>
            <w:tcW w:w="6996" w:type="dxa"/>
            <w:tcBorders>
              <w:top w:val="single" w:color="auto" w:sz="4" w:space="0"/>
              <w:left w:val="single" w:color="auto" w:sz="4" w:space="0"/>
              <w:bottom w:val="single" w:color="auto" w:sz="4" w:space="0"/>
              <w:right w:val="single" w:color="auto" w:sz="4" w:space="0"/>
            </w:tcBorders>
            <w:noWrap w:val="0"/>
            <w:vAlign w:val="center"/>
          </w:tcPr>
          <w:p w14:paraId="04A4BED2">
            <w:pPr>
              <w:pStyle w:val="42"/>
              <w:spacing w:line="460" w:lineRule="exact"/>
              <w:rPr>
                <w:rFonts w:ascii="宋体" w:hAnsi="宋体" w:eastAsia="宋体" w:cs="宋体"/>
                <w:kern w:val="2"/>
                <w:sz w:val="24"/>
                <w:szCs w:val="24"/>
                <w:lang w:eastAsia="zh-CN"/>
              </w:rPr>
            </w:pPr>
            <w:r>
              <w:rPr>
                <w:rFonts w:hint="eastAsia" w:ascii="宋体" w:hAnsi="宋体" w:eastAsia="宋体" w:cs="宋体"/>
                <w:kern w:val="2"/>
                <w:sz w:val="24"/>
                <w:szCs w:val="24"/>
                <w:lang w:eastAsia="zh-CN"/>
              </w:rPr>
              <w:t>根据项目工期、质量要求，投标人根据实际情况制定合理的施工组织方案，方案须包括但不限于如下内容：</w:t>
            </w:r>
          </w:p>
          <w:p w14:paraId="39B65873">
            <w:pPr>
              <w:pStyle w:val="42"/>
              <w:spacing w:line="460" w:lineRule="exact"/>
              <w:rPr>
                <w:rFonts w:ascii="宋体" w:hAnsi="宋体" w:eastAsia="宋体" w:cs="宋体"/>
                <w:kern w:val="2"/>
                <w:sz w:val="24"/>
                <w:szCs w:val="24"/>
                <w:lang w:eastAsia="zh-CN"/>
              </w:rPr>
            </w:pPr>
            <w:r>
              <w:rPr>
                <w:rFonts w:hint="eastAsia" w:ascii="宋体" w:hAnsi="宋体" w:eastAsia="宋体" w:cs="宋体"/>
                <w:kern w:val="2"/>
                <w:sz w:val="24"/>
                <w:szCs w:val="24"/>
                <w:lang w:eastAsia="zh-CN"/>
              </w:rPr>
              <w:t>1、人员安排；人员安排合理、分工明确满足采购需求、针对本项目服务人员安排合理化建议大于等于</w:t>
            </w:r>
            <w:r>
              <w:rPr>
                <w:rFonts w:hint="eastAsia" w:ascii="宋体" w:hAnsi="宋体" w:eastAsia="宋体" w:cs="宋体"/>
                <w:kern w:val="2"/>
                <w:sz w:val="24"/>
                <w:szCs w:val="24"/>
                <w:lang w:val="en-US" w:eastAsia="zh-CN"/>
              </w:rPr>
              <w:t>5条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分；人员安排合理、分工明确满足采购需求、针对本项目服务人员安排合理化建议</w:t>
            </w:r>
            <w:r>
              <w:rPr>
                <w:rFonts w:hint="eastAsia" w:ascii="宋体" w:hAnsi="宋体" w:eastAsia="宋体" w:cs="宋体"/>
                <w:kern w:val="2"/>
                <w:sz w:val="24"/>
                <w:szCs w:val="24"/>
                <w:lang w:val="en-US" w:eastAsia="zh-CN"/>
              </w:rPr>
              <w:t>3-4条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lang w:eastAsia="zh-CN"/>
              </w:rPr>
              <w:t>分</w:t>
            </w:r>
            <w:r>
              <w:rPr>
                <w:rFonts w:hint="eastAsia" w:ascii="宋体" w:hAnsi="宋体" w:eastAsia="宋体" w:cs="宋体"/>
                <w:kern w:val="2"/>
                <w:sz w:val="24"/>
                <w:szCs w:val="24"/>
                <w:lang w:val="en-US" w:eastAsia="zh-CN"/>
              </w:rPr>
              <w:t>；</w:t>
            </w:r>
            <w:r>
              <w:rPr>
                <w:rFonts w:hint="eastAsia" w:ascii="宋体" w:hAnsi="宋体" w:eastAsia="宋体" w:cs="宋体"/>
                <w:kern w:val="2"/>
                <w:sz w:val="24"/>
                <w:szCs w:val="24"/>
                <w:lang w:eastAsia="zh-CN"/>
              </w:rPr>
              <w:t>人员安排合理、分工明确满足采购需求、针对本项目服务人员安排合理化建议</w:t>
            </w:r>
            <w:r>
              <w:rPr>
                <w:rFonts w:hint="eastAsia" w:ascii="宋体" w:hAnsi="宋体" w:eastAsia="宋体" w:cs="宋体"/>
                <w:kern w:val="2"/>
                <w:sz w:val="24"/>
                <w:szCs w:val="24"/>
                <w:lang w:val="en-US" w:eastAsia="zh-CN"/>
              </w:rPr>
              <w:t>1-2条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0.5</w:t>
            </w:r>
            <w:r>
              <w:rPr>
                <w:rFonts w:hint="eastAsia" w:ascii="宋体" w:hAnsi="宋体" w:eastAsia="宋体" w:cs="宋体"/>
                <w:kern w:val="2"/>
                <w:sz w:val="24"/>
                <w:szCs w:val="24"/>
                <w:lang w:eastAsia="zh-CN"/>
              </w:rPr>
              <w:t>分；方案内容有明显重大缺陷的或未提供本项内容的不得分。（0-</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w:t>
            </w:r>
          </w:p>
          <w:p w14:paraId="521495BB">
            <w:pPr>
              <w:pStyle w:val="42"/>
              <w:spacing w:line="460" w:lineRule="exact"/>
              <w:rPr>
                <w:rFonts w:ascii="宋体" w:hAnsi="宋体" w:eastAsia="宋体" w:cs="宋体"/>
                <w:kern w:val="2"/>
                <w:sz w:val="24"/>
                <w:szCs w:val="24"/>
                <w:lang w:eastAsia="zh-CN"/>
              </w:rPr>
            </w:pPr>
            <w:r>
              <w:rPr>
                <w:rFonts w:hint="eastAsia" w:ascii="宋体" w:hAnsi="宋体" w:eastAsia="宋体" w:cs="宋体"/>
                <w:kern w:val="2"/>
                <w:sz w:val="24"/>
                <w:szCs w:val="24"/>
                <w:lang w:eastAsia="zh-CN"/>
              </w:rPr>
              <w:t>2、施工进度安排：进度计划方案完全满足工期要求、内容完整、进度保证措施不少于</w:t>
            </w:r>
            <w:r>
              <w:rPr>
                <w:rFonts w:hint="eastAsia" w:ascii="宋体" w:hAnsi="宋体" w:eastAsia="宋体" w:cs="宋体"/>
                <w:kern w:val="2"/>
                <w:sz w:val="24"/>
                <w:szCs w:val="24"/>
                <w:lang w:val="en-US" w:eastAsia="zh-CN"/>
              </w:rPr>
              <w:t>5条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分；进度计划方案完全满足工期要求、内容完整、进度保证措施</w:t>
            </w:r>
            <w:r>
              <w:rPr>
                <w:rFonts w:hint="eastAsia" w:ascii="宋体" w:hAnsi="宋体" w:eastAsia="宋体" w:cs="宋体"/>
                <w:kern w:val="2"/>
                <w:sz w:val="24"/>
                <w:szCs w:val="24"/>
                <w:lang w:val="en-US" w:eastAsia="zh-CN"/>
              </w:rPr>
              <w:t>3-4条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lang w:eastAsia="zh-CN"/>
              </w:rPr>
              <w:t>分；进度计划方案完全满足工期要求、内容完整、进度保证措施</w:t>
            </w:r>
            <w:r>
              <w:rPr>
                <w:rFonts w:hint="eastAsia" w:ascii="宋体" w:hAnsi="宋体" w:eastAsia="宋体" w:cs="宋体"/>
                <w:kern w:val="2"/>
                <w:sz w:val="24"/>
                <w:szCs w:val="24"/>
                <w:lang w:val="en-US" w:eastAsia="zh-CN"/>
              </w:rPr>
              <w:t>1-2条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0.5</w:t>
            </w:r>
            <w:r>
              <w:rPr>
                <w:rFonts w:hint="eastAsia" w:ascii="宋体" w:hAnsi="宋体" w:eastAsia="宋体" w:cs="宋体"/>
                <w:kern w:val="2"/>
                <w:sz w:val="24"/>
                <w:szCs w:val="24"/>
                <w:lang w:eastAsia="zh-CN"/>
              </w:rPr>
              <w:t>分；方案内容有明显重大缺陷的或未提供本项内容的不得分。（0-</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w:t>
            </w:r>
          </w:p>
          <w:p w14:paraId="2D33E52C">
            <w:pPr>
              <w:pStyle w:val="42"/>
              <w:spacing w:line="460" w:lineRule="exact"/>
              <w:rPr>
                <w:rFonts w:ascii="宋体" w:hAnsi="宋体" w:eastAsia="宋体" w:cs="宋体"/>
                <w:kern w:val="2"/>
                <w:sz w:val="24"/>
                <w:szCs w:val="24"/>
                <w:lang w:eastAsia="zh-CN"/>
              </w:rPr>
            </w:pPr>
            <w:r>
              <w:rPr>
                <w:rFonts w:hint="eastAsia" w:ascii="宋体" w:hAnsi="宋体" w:eastAsia="宋体" w:cs="宋体"/>
                <w:kern w:val="2"/>
                <w:sz w:val="24"/>
                <w:szCs w:val="24"/>
                <w:lang w:eastAsia="zh-CN"/>
              </w:rPr>
              <w:t>3、施工安全保证措施：安全保证方案内容完整、安全保证措施不少于</w:t>
            </w:r>
            <w:r>
              <w:rPr>
                <w:rFonts w:hint="eastAsia" w:ascii="宋体" w:hAnsi="宋体" w:eastAsia="宋体" w:cs="宋体"/>
                <w:kern w:val="2"/>
                <w:sz w:val="24"/>
                <w:szCs w:val="24"/>
                <w:lang w:val="en-US" w:eastAsia="zh-CN"/>
              </w:rPr>
              <w:t>5条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分；安全保证方案内容完整、安全保证措施</w:t>
            </w:r>
            <w:r>
              <w:rPr>
                <w:rFonts w:hint="eastAsia" w:ascii="宋体" w:hAnsi="宋体" w:eastAsia="宋体" w:cs="宋体"/>
                <w:kern w:val="2"/>
                <w:sz w:val="24"/>
                <w:szCs w:val="24"/>
                <w:lang w:val="en-US" w:eastAsia="zh-CN"/>
              </w:rPr>
              <w:t>3-4条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lang w:eastAsia="zh-CN"/>
              </w:rPr>
              <w:t>分</w:t>
            </w:r>
            <w:r>
              <w:rPr>
                <w:rFonts w:hint="eastAsia" w:ascii="宋体" w:hAnsi="宋体" w:eastAsia="宋体" w:cs="宋体"/>
                <w:kern w:val="2"/>
                <w:sz w:val="24"/>
                <w:szCs w:val="24"/>
                <w:lang w:val="en-US" w:eastAsia="zh-CN"/>
              </w:rPr>
              <w:t>，</w:t>
            </w:r>
            <w:r>
              <w:rPr>
                <w:rFonts w:hint="eastAsia" w:ascii="宋体" w:hAnsi="宋体" w:eastAsia="宋体" w:cs="宋体"/>
                <w:kern w:val="2"/>
                <w:sz w:val="24"/>
                <w:szCs w:val="24"/>
                <w:lang w:eastAsia="zh-CN"/>
              </w:rPr>
              <w:t>安全保证方案内容完整、安全保证措施</w:t>
            </w:r>
            <w:r>
              <w:rPr>
                <w:rFonts w:hint="eastAsia" w:ascii="宋体" w:hAnsi="宋体" w:eastAsia="宋体" w:cs="宋体"/>
                <w:kern w:val="2"/>
                <w:sz w:val="24"/>
                <w:szCs w:val="24"/>
                <w:lang w:val="en-US" w:eastAsia="zh-CN"/>
              </w:rPr>
              <w:t>1-2条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0.5</w:t>
            </w:r>
            <w:r>
              <w:rPr>
                <w:rFonts w:hint="eastAsia" w:ascii="宋体" w:hAnsi="宋体" w:eastAsia="宋体" w:cs="宋体"/>
                <w:kern w:val="2"/>
                <w:sz w:val="24"/>
                <w:szCs w:val="24"/>
                <w:lang w:eastAsia="zh-CN"/>
              </w:rPr>
              <w:t>分，方案内容有明显重大缺陷的或未提供本项内容的不得分。（0-</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w:t>
            </w:r>
          </w:p>
          <w:p w14:paraId="66FADA56">
            <w:pPr>
              <w:pStyle w:val="42"/>
              <w:spacing w:line="46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4、施工质量保证措施：质量保证方案内容完整、质量保证措施不少于</w:t>
            </w:r>
            <w:r>
              <w:rPr>
                <w:rFonts w:hint="eastAsia" w:ascii="宋体" w:hAnsi="宋体" w:eastAsia="宋体" w:cs="宋体"/>
                <w:kern w:val="2"/>
                <w:sz w:val="24"/>
                <w:szCs w:val="24"/>
                <w:lang w:val="en-US" w:eastAsia="zh-CN"/>
              </w:rPr>
              <w:t>5条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分；质量保证方案内容完整、质量保证措施</w:t>
            </w:r>
            <w:r>
              <w:rPr>
                <w:rFonts w:hint="eastAsia" w:ascii="宋体" w:hAnsi="宋体" w:eastAsia="宋体" w:cs="宋体"/>
                <w:kern w:val="2"/>
                <w:sz w:val="24"/>
                <w:szCs w:val="24"/>
                <w:lang w:val="en-US" w:eastAsia="zh-CN"/>
              </w:rPr>
              <w:t>3-4条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lang w:eastAsia="zh-CN"/>
              </w:rPr>
              <w:t>分；质量保证方案内容完整、质量保证措施</w:t>
            </w:r>
            <w:r>
              <w:rPr>
                <w:rFonts w:hint="eastAsia" w:ascii="宋体" w:hAnsi="宋体" w:eastAsia="宋体" w:cs="宋体"/>
                <w:kern w:val="2"/>
                <w:sz w:val="24"/>
                <w:szCs w:val="24"/>
                <w:lang w:val="en-US" w:eastAsia="zh-CN"/>
              </w:rPr>
              <w:t>1-2条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0.5</w:t>
            </w:r>
            <w:r>
              <w:rPr>
                <w:rFonts w:hint="eastAsia" w:ascii="宋体" w:hAnsi="宋体" w:eastAsia="宋体" w:cs="宋体"/>
                <w:kern w:val="2"/>
                <w:sz w:val="24"/>
                <w:szCs w:val="24"/>
                <w:lang w:eastAsia="zh-CN"/>
              </w:rPr>
              <w:t>分</w:t>
            </w:r>
            <w:r>
              <w:rPr>
                <w:rFonts w:hint="eastAsia" w:ascii="宋体" w:hAnsi="宋体" w:eastAsia="宋体" w:cs="宋体"/>
                <w:kern w:val="2"/>
                <w:sz w:val="24"/>
                <w:szCs w:val="24"/>
                <w:lang w:val="en-US" w:eastAsia="zh-CN"/>
              </w:rPr>
              <w:t>，</w:t>
            </w:r>
            <w:r>
              <w:rPr>
                <w:rFonts w:hint="eastAsia" w:ascii="宋体" w:hAnsi="宋体" w:eastAsia="宋体" w:cs="宋体"/>
                <w:kern w:val="2"/>
                <w:sz w:val="24"/>
                <w:szCs w:val="24"/>
                <w:lang w:eastAsia="zh-CN"/>
              </w:rPr>
              <w:t>方案内容有明显重大缺陷的或未提供本项内容的不得分。（0-</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w:t>
            </w:r>
          </w:p>
          <w:p w14:paraId="54B06F6B">
            <w:pPr>
              <w:pStyle w:val="42"/>
              <w:spacing w:line="460" w:lineRule="exact"/>
              <w:rPr>
                <w:rFonts w:ascii="宋体" w:hAnsi="宋体" w:eastAsia="宋体" w:cs="宋体"/>
                <w:kern w:val="2"/>
                <w:sz w:val="24"/>
                <w:szCs w:val="24"/>
                <w:lang w:eastAsia="zh-CN"/>
              </w:rPr>
            </w:pPr>
            <w:r>
              <w:rPr>
                <w:rFonts w:hint="eastAsia" w:ascii="宋体" w:hAnsi="宋体" w:eastAsia="宋体" w:cs="宋体"/>
                <w:kern w:val="2"/>
                <w:sz w:val="24"/>
                <w:szCs w:val="24"/>
                <w:lang w:eastAsia="zh-CN"/>
              </w:rPr>
              <w:t>评委根据方案内容进行评分，未提供或表述内容与本项目无关、套用其它方案、凭空编造、逻辑漏洞、科学原理错误以及不可能实现的夸大情形等不得分。</w:t>
            </w:r>
          </w:p>
        </w:tc>
      </w:tr>
      <w:tr w14:paraId="5175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09" w:type="dxa"/>
            <w:tcBorders>
              <w:top w:val="single" w:color="auto" w:sz="4" w:space="0"/>
              <w:left w:val="single" w:color="auto" w:sz="4" w:space="0"/>
              <w:bottom w:val="single" w:color="auto" w:sz="4" w:space="0"/>
              <w:right w:val="single" w:color="auto" w:sz="4" w:space="0"/>
            </w:tcBorders>
            <w:noWrap w:val="0"/>
            <w:vAlign w:val="center"/>
          </w:tcPr>
          <w:p w14:paraId="558964E7">
            <w:pPr>
              <w:widowControl/>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六</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110606DA">
            <w:pPr>
              <w:widowControl/>
              <w:snapToGrid w:val="0"/>
              <w:spacing w:line="360" w:lineRule="auto"/>
              <w:rPr>
                <w:rFonts w:ascii="宋体" w:hAnsi="宋体" w:cs="宋体"/>
                <w:sz w:val="24"/>
                <w:szCs w:val="24"/>
              </w:rPr>
            </w:pPr>
            <w:r>
              <w:rPr>
                <w:rFonts w:hint="eastAsia" w:ascii="宋体" w:hAnsi="宋体" w:cs="宋体"/>
                <w:sz w:val="24"/>
                <w:szCs w:val="24"/>
              </w:rPr>
              <w:t>售后服务方案（</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tc>
        <w:tc>
          <w:tcPr>
            <w:tcW w:w="6996" w:type="dxa"/>
            <w:tcBorders>
              <w:top w:val="single" w:color="auto" w:sz="4" w:space="0"/>
              <w:left w:val="single" w:color="auto" w:sz="4" w:space="0"/>
              <w:bottom w:val="single" w:color="auto" w:sz="4" w:space="0"/>
              <w:right w:val="single" w:color="auto" w:sz="4" w:space="0"/>
            </w:tcBorders>
            <w:noWrap w:val="0"/>
            <w:vAlign w:val="center"/>
          </w:tcPr>
          <w:p w14:paraId="5F8549C7">
            <w:pPr>
              <w:pStyle w:val="42"/>
              <w:spacing w:line="460" w:lineRule="exact"/>
              <w:rPr>
                <w:rFonts w:ascii="宋体" w:hAnsi="宋体" w:eastAsia="宋体" w:cs="宋体"/>
                <w:kern w:val="2"/>
                <w:sz w:val="24"/>
                <w:szCs w:val="24"/>
                <w:lang w:eastAsia="zh-CN"/>
              </w:rPr>
            </w:pPr>
            <w:r>
              <w:rPr>
                <w:rFonts w:hint="eastAsia" w:ascii="宋体" w:hAnsi="宋体" w:eastAsia="宋体" w:cs="宋体"/>
                <w:kern w:val="2"/>
                <w:sz w:val="24"/>
                <w:szCs w:val="24"/>
                <w:lang w:eastAsia="zh-CN"/>
              </w:rPr>
              <w:t>对投标人提供的售后技术服务方案进行打分，方案须包含但不限于以下内容：</w:t>
            </w:r>
          </w:p>
          <w:p w14:paraId="4678F301">
            <w:pPr>
              <w:pStyle w:val="42"/>
              <w:numPr>
                <w:ilvl w:val="0"/>
                <w:numId w:val="0"/>
              </w:numPr>
              <w:spacing w:line="460" w:lineRule="exac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lang w:val="en-US" w:eastAsia="zh-CN" w:bidi="ar-SA"/>
              </w:rPr>
              <w:t>1、</w:t>
            </w:r>
            <w:r>
              <w:rPr>
                <w:rFonts w:ascii="宋体" w:hAnsi="宋体" w:eastAsia="宋体" w:cs="宋体"/>
                <w:kern w:val="2"/>
                <w:sz w:val="24"/>
                <w:szCs w:val="24"/>
                <w:lang w:eastAsia="zh-CN"/>
              </w:rPr>
              <w:t>具体可行的售</w:t>
            </w:r>
            <w:r>
              <w:rPr>
                <w:rFonts w:ascii="宋体" w:hAnsi="宋体" w:eastAsia="宋体" w:cs="宋体"/>
                <w:color w:val="auto"/>
                <w:kern w:val="2"/>
                <w:sz w:val="24"/>
                <w:szCs w:val="24"/>
                <w:highlight w:val="none"/>
                <w:lang w:eastAsia="zh-CN"/>
              </w:rPr>
              <w:t>后服务体系；</w:t>
            </w:r>
            <w:r>
              <w:rPr>
                <w:rFonts w:hint="eastAsia" w:ascii="宋体" w:hAnsi="宋体" w:eastAsia="宋体" w:cs="宋体"/>
                <w:color w:val="auto"/>
                <w:kern w:val="2"/>
                <w:sz w:val="24"/>
                <w:szCs w:val="24"/>
                <w:highlight w:val="none"/>
                <w:lang w:eastAsia="zh-CN"/>
              </w:rPr>
              <w:t>（0</w:t>
            </w:r>
            <w:r>
              <w:rPr>
                <w:rFonts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1.5</w:t>
            </w:r>
            <w:r>
              <w:rPr>
                <w:rFonts w:hint="eastAsia" w:ascii="宋体" w:hAnsi="宋体" w:eastAsia="宋体" w:cs="宋体"/>
                <w:color w:val="auto"/>
                <w:kern w:val="2"/>
                <w:sz w:val="24"/>
                <w:szCs w:val="24"/>
                <w:highlight w:val="none"/>
                <w:lang w:eastAsia="zh-CN"/>
              </w:rPr>
              <w:t>分）</w:t>
            </w:r>
          </w:p>
          <w:p w14:paraId="606E835E">
            <w:pPr>
              <w:pStyle w:val="42"/>
              <w:spacing w:line="460" w:lineRule="exact"/>
              <w:rPr>
                <w:rFonts w:hint="default" w:ascii="宋体" w:hAnsi="宋体" w:eastAsia="宋体" w:cs="宋体"/>
                <w:kern w:val="2"/>
                <w:sz w:val="24"/>
                <w:szCs w:val="24"/>
                <w:lang w:val="en-US" w:eastAsia="zh-CN"/>
              </w:rPr>
            </w:pPr>
            <w:r>
              <w:rPr>
                <w:rFonts w:hint="eastAsia" w:ascii="宋体" w:hAnsi="宋体" w:eastAsia="宋体" w:cs="宋体"/>
                <w:color w:val="auto"/>
                <w:kern w:val="2"/>
                <w:sz w:val="24"/>
                <w:szCs w:val="24"/>
                <w:highlight w:val="none"/>
                <w:lang w:eastAsia="zh-CN"/>
              </w:rPr>
              <w:t>服务承诺、售后服务内容、质保期内（含</w:t>
            </w:r>
            <w:r>
              <w:rPr>
                <w:rFonts w:hint="eastAsia" w:ascii="宋体" w:hAnsi="宋体" w:eastAsia="宋体" w:cs="宋体"/>
                <w:color w:val="auto"/>
                <w:kern w:val="2"/>
                <w:sz w:val="24"/>
                <w:szCs w:val="24"/>
                <w:highlight w:val="none"/>
                <w:lang w:val="en-US" w:eastAsia="zh-CN"/>
              </w:rPr>
              <w:t>设备发生故障后，按照不同故障类型所采取的处置方案</w:t>
            </w:r>
            <w:r>
              <w:rPr>
                <w:rFonts w:hint="eastAsia" w:ascii="宋体" w:hAnsi="宋体" w:eastAsia="宋体" w:cs="宋体"/>
                <w:color w:val="auto"/>
                <w:kern w:val="2"/>
                <w:sz w:val="24"/>
                <w:szCs w:val="24"/>
                <w:highlight w:val="none"/>
                <w:lang w:eastAsia="zh-CN"/>
              </w:rPr>
              <w:t>）的售后服务方案、售后服务响应时间、备品备件全部满</w:t>
            </w:r>
            <w:r>
              <w:rPr>
                <w:rFonts w:hint="eastAsia" w:ascii="宋体" w:hAnsi="宋体" w:eastAsia="宋体" w:cs="宋体"/>
                <w:color w:val="auto"/>
                <w:kern w:val="2"/>
                <w:sz w:val="24"/>
                <w:szCs w:val="24"/>
                <w:highlight w:val="none"/>
                <w:lang w:val="en-US" w:eastAsia="zh-CN"/>
              </w:rPr>
              <w:t>足</w:t>
            </w:r>
            <w:r>
              <w:rPr>
                <w:rFonts w:hint="eastAsia" w:ascii="宋体" w:hAnsi="宋体" w:eastAsia="宋体" w:cs="宋体"/>
                <w:color w:val="auto"/>
                <w:kern w:val="2"/>
                <w:sz w:val="24"/>
                <w:szCs w:val="24"/>
                <w:highlight w:val="none"/>
                <w:lang w:eastAsia="zh-CN"/>
              </w:rPr>
              <w:t>采购需求的得</w:t>
            </w:r>
            <w:r>
              <w:rPr>
                <w:rFonts w:hint="eastAsia" w:ascii="宋体" w:hAnsi="宋体" w:eastAsia="宋体" w:cs="宋体"/>
                <w:color w:val="auto"/>
                <w:kern w:val="2"/>
                <w:sz w:val="24"/>
                <w:szCs w:val="24"/>
                <w:highlight w:val="none"/>
                <w:lang w:val="en-US" w:eastAsia="zh-CN"/>
              </w:rPr>
              <w:t>1.5</w:t>
            </w:r>
            <w:r>
              <w:rPr>
                <w:rFonts w:hint="eastAsia" w:ascii="宋体" w:hAnsi="宋体" w:eastAsia="宋体" w:cs="宋体"/>
                <w:color w:val="auto"/>
                <w:kern w:val="2"/>
                <w:sz w:val="24"/>
                <w:szCs w:val="24"/>
                <w:highlight w:val="none"/>
                <w:lang w:eastAsia="zh-CN"/>
              </w:rPr>
              <w:t>分；服务承诺、售后服务内容、质保期内（含</w:t>
            </w:r>
            <w:r>
              <w:rPr>
                <w:rFonts w:hint="eastAsia" w:ascii="宋体" w:hAnsi="宋体" w:eastAsia="宋体" w:cs="宋体"/>
                <w:color w:val="auto"/>
                <w:kern w:val="2"/>
                <w:sz w:val="24"/>
                <w:szCs w:val="24"/>
                <w:highlight w:val="none"/>
                <w:lang w:val="en-US" w:eastAsia="zh-CN"/>
              </w:rPr>
              <w:t>设备发生故障后，按照不同故障类型所采取的处置方案</w:t>
            </w:r>
            <w:r>
              <w:rPr>
                <w:rFonts w:hint="eastAsia" w:ascii="宋体" w:hAnsi="宋体" w:eastAsia="宋体" w:cs="宋体"/>
                <w:color w:val="auto"/>
                <w:kern w:val="2"/>
                <w:sz w:val="24"/>
                <w:szCs w:val="24"/>
                <w:highlight w:val="none"/>
                <w:lang w:eastAsia="zh-CN"/>
              </w:rPr>
              <w:t>）的售后服务方案、售后服务响应时间满足采购需求，备品备件响应度略低的得</w:t>
            </w:r>
            <w:r>
              <w:rPr>
                <w:rFonts w:hint="eastAsia" w:ascii="宋体" w:hAnsi="宋体" w:eastAsia="宋体" w:cs="宋体"/>
                <w:color w:val="auto"/>
                <w:kern w:val="2"/>
                <w:sz w:val="24"/>
                <w:szCs w:val="24"/>
                <w:highlight w:val="none"/>
                <w:lang w:val="en-US" w:eastAsia="zh-CN"/>
              </w:rPr>
              <w:t>1分；</w:t>
            </w:r>
            <w:r>
              <w:rPr>
                <w:rFonts w:hint="eastAsia" w:ascii="宋体" w:hAnsi="宋体" w:eastAsia="宋体" w:cs="宋体"/>
                <w:kern w:val="2"/>
                <w:sz w:val="24"/>
                <w:szCs w:val="24"/>
                <w:lang w:eastAsia="zh-CN"/>
              </w:rPr>
              <w:t>方案内容有明显重大缺陷</w:t>
            </w:r>
            <w:r>
              <w:rPr>
                <w:rFonts w:hint="eastAsia" w:ascii="宋体" w:hAnsi="宋体" w:eastAsia="宋体" w:cs="宋体"/>
                <w:color w:val="auto"/>
                <w:kern w:val="2"/>
                <w:sz w:val="24"/>
                <w:szCs w:val="24"/>
                <w:highlight w:val="none"/>
                <w:lang w:val="en-US" w:eastAsia="zh-CN"/>
              </w:rPr>
              <w:t>的或未提供的不得分</w:t>
            </w:r>
            <w:r>
              <w:rPr>
                <w:rFonts w:hint="eastAsia" w:ascii="宋体" w:hAnsi="宋体" w:eastAsia="宋体" w:cs="宋体"/>
                <w:kern w:val="2"/>
                <w:sz w:val="24"/>
                <w:szCs w:val="24"/>
                <w:lang w:val="en-US" w:eastAsia="zh-CN"/>
              </w:rPr>
              <w:t>。</w:t>
            </w:r>
          </w:p>
          <w:p w14:paraId="510974B2">
            <w:pPr>
              <w:pStyle w:val="42"/>
              <w:spacing w:line="460" w:lineRule="exact"/>
              <w:rPr>
                <w:rFonts w:ascii="宋体" w:hAnsi="宋体" w:eastAsia="宋体" w:cs="宋体"/>
                <w:kern w:val="2"/>
                <w:sz w:val="24"/>
                <w:szCs w:val="24"/>
                <w:lang w:eastAsia="zh-CN"/>
              </w:rPr>
            </w:pPr>
            <w:r>
              <w:rPr>
                <w:rFonts w:ascii="宋体" w:hAnsi="宋体" w:eastAsia="宋体" w:cs="宋体"/>
                <w:kern w:val="2"/>
                <w:sz w:val="24"/>
                <w:szCs w:val="24"/>
                <w:lang w:eastAsia="zh-CN"/>
              </w:rPr>
              <w:t>2</w:t>
            </w:r>
            <w:r>
              <w:rPr>
                <w:rFonts w:hint="eastAsia" w:ascii="宋体" w:hAnsi="宋体" w:eastAsia="宋体" w:cs="宋体"/>
                <w:kern w:val="2"/>
                <w:sz w:val="24"/>
                <w:szCs w:val="24"/>
                <w:lang w:eastAsia="zh-CN"/>
              </w:rPr>
              <w:t>、</w:t>
            </w:r>
            <w:r>
              <w:rPr>
                <w:rFonts w:ascii="宋体" w:hAnsi="宋体" w:eastAsia="宋体" w:cs="宋体"/>
                <w:kern w:val="2"/>
                <w:sz w:val="24"/>
                <w:szCs w:val="24"/>
                <w:lang w:eastAsia="zh-CN"/>
              </w:rPr>
              <w:t>出现问题</w:t>
            </w:r>
            <w:r>
              <w:rPr>
                <w:rFonts w:hint="eastAsia" w:ascii="宋体" w:hAnsi="宋体" w:eastAsia="宋体" w:cs="宋体"/>
                <w:kern w:val="2"/>
                <w:sz w:val="24"/>
                <w:szCs w:val="24"/>
                <w:lang w:eastAsia="zh-CN"/>
              </w:rPr>
              <w:t>应急</w:t>
            </w:r>
            <w:r>
              <w:rPr>
                <w:rFonts w:ascii="宋体" w:hAnsi="宋体" w:eastAsia="宋体" w:cs="宋体"/>
                <w:kern w:val="2"/>
                <w:sz w:val="24"/>
                <w:szCs w:val="24"/>
                <w:lang w:eastAsia="zh-CN"/>
              </w:rPr>
              <w:t>方案；</w:t>
            </w:r>
            <w:r>
              <w:rPr>
                <w:rFonts w:hint="eastAsia" w:ascii="宋体" w:hAnsi="宋体" w:eastAsia="宋体" w:cs="宋体"/>
                <w:kern w:val="2"/>
                <w:sz w:val="24"/>
                <w:szCs w:val="24"/>
                <w:lang w:eastAsia="zh-CN"/>
              </w:rPr>
              <w:t>应急响应整体架构完整、响应时间合理、人员设备应急响应能力充足应急方案中具有针对本项目的合理化建议大于等于</w:t>
            </w:r>
            <w:r>
              <w:rPr>
                <w:rFonts w:hint="eastAsia" w:ascii="宋体" w:hAnsi="宋体" w:eastAsia="宋体" w:cs="宋体"/>
                <w:kern w:val="2"/>
                <w:sz w:val="24"/>
                <w:szCs w:val="24"/>
                <w:lang w:val="en-US" w:eastAsia="zh-CN"/>
              </w:rPr>
              <w:t>5条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分；急响应整体架构完整、响应时间合理、人员设备应急响应能力充足应急方案中具有针对本项目的合理化建议</w:t>
            </w:r>
            <w:r>
              <w:rPr>
                <w:rFonts w:hint="eastAsia" w:ascii="宋体" w:hAnsi="宋体" w:eastAsia="宋体" w:cs="宋体"/>
                <w:kern w:val="2"/>
                <w:sz w:val="24"/>
                <w:szCs w:val="24"/>
                <w:lang w:val="en-US" w:eastAsia="zh-CN"/>
              </w:rPr>
              <w:t>3-4条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lang w:eastAsia="zh-CN"/>
              </w:rPr>
              <w:t>分；急响应整体架构完整、响应时间合理、人员设备应急响应能力充足应急方案中具有针对本项目的合理化建议大于等于</w:t>
            </w:r>
            <w:r>
              <w:rPr>
                <w:rFonts w:hint="eastAsia" w:ascii="宋体" w:hAnsi="宋体" w:eastAsia="宋体" w:cs="宋体"/>
                <w:kern w:val="2"/>
                <w:sz w:val="24"/>
                <w:szCs w:val="24"/>
                <w:lang w:val="en-US" w:eastAsia="zh-CN"/>
              </w:rPr>
              <w:t>1-2条</w:t>
            </w:r>
            <w:r>
              <w:rPr>
                <w:rFonts w:hint="eastAsia" w:ascii="宋体" w:hAnsi="宋体" w:eastAsia="宋体" w:cs="宋体"/>
                <w:kern w:val="2"/>
                <w:sz w:val="24"/>
                <w:szCs w:val="24"/>
                <w:lang w:eastAsia="zh-CN"/>
              </w:rPr>
              <w:t>的得</w:t>
            </w:r>
            <w:r>
              <w:rPr>
                <w:rFonts w:hint="eastAsia" w:ascii="宋体" w:hAnsi="宋体" w:eastAsia="宋体" w:cs="宋体"/>
                <w:kern w:val="2"/>
                <w:sz w:val="24"/>
                <w:szCs w:val="24"/>
                <w:lang w:val="en-US" w:eastAsia="zh-CN"/>
              </w:rPr>
              <w:t>0.5</w:t>
            </w:r>
            <w:r>
              <w:rPr>
                <w:rFonts w:hint="eastAsia" w:ascii="宋体" w:hAnsi="宋体" w:eastAsia="宋体" w:cs="宋体"/>
                <w:kern w:val="2"/>
                <w:sz w:val="24"/>
                <w:szCs w:val="24"/>
                <w:lang w:eastAsia="zh-CN"/>
              </w:rPr>
              <w:t>分</w:t>
            </w:r>
            <w:r>
              <w:rPr>
                <w:rFonts w:hint="eastAsia" w:ascii="宋体" w:hAnsi="宋体" w:eastAsia="宋体" w:cs="宋体"/>
                <w:kern w:val="2"/>
                <w:sz w:val="24"/>
                <w:szCs w:val="24"/>
                <w:lang w:val="en-US" w:eastAsia="zh-CN"/>
              </w:rPr>
              <w:t>；</w:t>
            </w:r>
            <w:r>
              <w:rPr>
                <w:rFonts w:hint="eastAsia" w:ascii="宋体" w:hAnsi="宋体" w:eastAsia="宋体" w:cs="宋体"/>
                <w:kern w:val="2"/>
                <w:sz w:val="24"/>
                <w:szCs w:val="24"/>
                <w:lang w:eastAsia="zh-CN"/>
              </w:rPr>
              <w:t>方案内容有明显重大缺陷的</w:t>
            </w:r>
            <w:r>
              <w:rPr>
                <w:rFonts w:hint="eastAsia" w:ascii="宋体" w:hAnsi="宋体" w:eastAsia="宋体" w:cs="宋体"/>
                <w:kern w:val="2"/>
                <w:sz w:val="24"/>
                <w:szCs w:val="24"/>
                <w:lang w:val="en-US" w:eastAsia="zh-CN"/>
              </w:rPr>
              <w:t>或未提供的不得分。</w:t>
            </w:r>
            <w:r>
              <w:rPr>
                <w:rFonts w:hint="eastAsia" w:ascii="宋体" w:hAnsi="宋体" w:eastAsia="宋体" w:cs="宋体"/>
                <w:kern w:val="2"/>
                <w:sz w:val="24"/>
                <w:szCs w:val="24"/>
                <w:lang w:eastAsia="zh-CN"/>
              </w:rPr>
              <w:t>（0</w:t>
            </w:r>
            <w:r>
              <w:rPr>
                <w:rFonts w:ascii="宋体" w:hAnsi="宋体" w:eastAsia="宋体" w:cs="宋体"/>
                <w:kern w:val="2"/>
                <w:sz w:val="24"/>
                <w:szCs w:val="24"/>
                <w:lang w:eastAsia="zh-CN"/>
              </w:rPr>
              <w:t>-</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lang w:eastAsia="zh-CN"/>
              </w:rPr>
              <w:t>分）</w:t>
            </w:r>
          </w:p>
          <w:p w14:paraId="0C34F227">
            <w:pPr>
              <w:pStyle w:val="42"/>
              <w:spacing w:line="460" w:lineRule="exact"/>
              <w:rPr>
                <w:rFonts w:hint="default" w:ascii="宋体" w:hAnsi="宋体" w:eastAsia="宋体" w:cs="宋体"/>
                <w:color w:val="auto"/>
                <w:kern w:val="2"/>
                <w:sz w:val="24"/>
                <w:szCs w:val="24"/>
                <w:highlight w:val="none"/>
                <w:lang w:val="en-US" w:eastAsia="zh-CN"/>
              </w:rPr>
            </w:pPr>
            <w:r>
              <w:rPr>
                <w:rFonts w:ascii="宋体" w:hAnsi="宋体" w:eastAsia="宋体" w:cs="宋体"/>
                <w:kern w:val="2"/>
                <w:sz w:val="24"/>
                <w:szCs w:val="24"/>
                <w:lang w:eastAsia="zh-CN"/>
              </w:rPr>
              <w:t>3</w:t>
            </w:r>
            <w:r>
              <w:rPr>
                <w:rFonts w:hint="eastAsia" w:ascii="宋体" w:hAnsi="宋体" w:eastAsia="宋体" w:cs="宋体"/>
                <w:kern w:val="2"/>
                <w:sz w:val="24"/>
                <w:szCs w:val="24"/>
                <w:lang w:eastAsia="zh-CN"/>
              </w:rPr>
              <w:t>、</w:t>
            </w:r>
            <w:r>
              <w:rPr>
                <w:rFonts w:ascii="宋体" w:hAnsi="宋体" w:eastAsia="宋体" w:cs="宋体"/>
                <w:kern w:val="2"/>
                <w:sz w:val="24"/>
                <w:szCs w:val="24"/>
                <w:lang w:eastAsia="zh-CN"/>
              </w:rPr>
              <w:t>售后技术服务团队专业人员配备。</w:t>
            </w:r>
            <w:r>
              <w:rPr>
                <w:rFonts w:hint="eastAsia" w:ascii="宋体" w:hAnsi="宋体" w:eastAsia="宋体" w:cs="宋体"/>
                <w:kern w:val="2"/>
                <w:sz w:val="24"/>
                <w:szCs w:val="24"/>
                <w:lang w:eastAsia="zh-CN"/>
              </w:rPr>
              <w:t>投标人承诺</w:t>
            </w:r>
            <w:r>
              <w:rPr>
                <w:rFonts w:hint="eastAsia" w:ascii="宋体" w:hAnsi="宋体" w:eastAsia="宋体" w:cs="宋体"/>
                <w:kern w:val="2"/>
                <w:sz w:val="24"/>
                <w:szCs w:val="24"/>
                <w:lang w:val="en-US" w:eastAsia="zh-CN"/>
              </w:rPr>
              <w:t>在</w:t>
            </w:r>
            <w:r>
              <w:rPr>
                <w:rFonts w:hint="eastAsia" w:ascii="宋体" w:hAnsi="宋体" w:eastAsia="宋体" w:cs="宋体"/>
                <w:kern w:val="2"/>
                <w:sz w:val="24"/>
                <w:szCs w:val="24"/>
                <w:lang w:eastAsia="zh-CN"/>
              </w:rPr>
              <w:t>质保</w:t>
            </w:r>
            <w:r>
              <w:rPr>
                <w:rFonts w:hint="eastAsia" w:ascii="宋体" w:hAnsi="宋体" w:eastAsia="宋体" w:cs="宋体"/>
                <w:kern w:val="2"/>
                <w:sz w:val="24"/>
                <w:szCs w:val="24"/>
                <w:lang w:val="en-US" w:eastAsia="zh-CN"/>
              </w:rPr>
              <w:t>期间至少提供1名专业驻场运维人员（具有1年以上运维工作经历，</w:t>
            </w:r>
            <w:r>
              <w:rPr>
                <w:rFonts w:hint="eastAsia" w:ascii="宋体" w:hAnsi="宋体" w:eastAsia="宋体" w:cs="宋体"/>
                <w:color w:val="auto"/>
                <w:kern w:val="2"/>
                <w:sz w:val="24"/>
                <w:szCs w:val="24"/>
                <w:lang w:val="en-US" w:eastAsia="zh-CN"/>
              </w:rPr>
              <w:t>提供运维服务所在单位出具的证明原件扫描上传）</w:t>
            </w:r>
            <w:r>
              <w:rPr>
                <w:rFonts w:hint="eastAsia" w:ascii="宋体" w:hAnsi="宋体" w:eastAsia="宋体" w:cs="宋体"/>
                <w:kern w:val="2"/>
                <w:sz w:val="24"/>
                <w:szCs w:val="24"/>
                <w:lang w:val="en-US" w:eastAsia="zh-CN"/>
              </w:rPr>
              <w:t>，1支4人以上的外场维修团队，全权配合招标方负责项目采购设</w:t>
            </w:r>
            <w:r>
              <w:rPr>
                <w:rFonts w:hint="eastAsia" w:ascii="宋体" w:hAnsi="宋体" w:eastAsia="宋体" w:cs="宋体"/>
                <w:color w:val="auto"/>
                <w:kern w:val="2"/>
                <w:sz w:val="24"/>
                <w:szCs w:val="24"/>
                <w:lang w:val="en-US" w:eastAsia="zh-CN"/>
              </w:rPr>
              <w:t>备的日常故障巡检和维护</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并承诺日常监控在线率98%以</w:t>
            </w:r>
            <w:r>
              <w:rPr>
                <w:rFonts w:hint="eastAsia" w:ascii="宋体" w:hAnsi="宋体" w:eastAsia="宋体" w:cs="宋体"/>
                <w:color w:val="auto"/>
                <w:kern w:val="2"/>
                <w:sz w:val="24"/>
                <w:szCs w:val="24"/>
                <w:highlight w:val="none"/>
                <w:lang w:val="en-US" w:eastAsia="zh-CN"/>
              </w:rPr>
              <w:t>上，提供上述</w:t>
            </w:r>
            <w:r>
              <w:rPr>
                <w:rFonts w:hint="eastAsia" w:ascii="宋体" w:hAnsi="宋体" w:eastAsia="宋体" w:cs="宋体"/>
                <w:color w:val="auto"/>
                <w:kern w:val="2"/>
                <w:sz w:val="24"/>
                <w:szCs w:val="24"/>
                <w:highlight w:val="none"/>
                <w:lang w:eastAsia="zh-CN"/>
              </w:rPr>
              <w:t>承诺</w:t>
            </w:r>
            <w:r>
              <w:rPr>
                <w:rFonts w:hint="eastAsia" w:ascii="宋体" w:hAnsi="宋体" w:eastAsia="宋体" w:cs="宋体"/>
                <w:color w:val="auto"/>
                <w:kern w:val="2"/>
                <w:sz w:val="24"/>
                <w:szCs w:val="24"/>
                <w:highlight w:val="none"/>
                <w:lang w:val="en-US" w:eastAsia="zh-CN"/>
              </w:rPr>
              <w:t>的得3分</w:t>
            </w:r>
            <w:r>
              <w:rPr>
                <w:rFonts w:hint="eastAsia" w:ascii="宋体" w:hAnsi="宋体" w:eastAsia="宋体" w:cs="宋体"/>
                <w:color w:val="auto"/>
                <w:kern w:val="2"/>
                <w:sz w:val="24"/>
                <w:szCs w:val="24"/>
                <w:highlight w:val="none"/>
                <w:lang w:eastAsia="zh-CN"/>
              </w:rPr>
              <w:t>，不承诺的不得分。投标时需提供承诺函及售后服务人员名单加盖投标单位公章。</w:t>
            </w:r>
          </w:p>
          <w:p w14:paraId="19A039DF">
            <w:pPr>
              <w:pStyle w:val="42"/>
              <w:spacing w:line="460" w:lineRule="exact"/>
              <w:rPr>
                <w:rFonts w:ascii="宋体" w:hAnsi="宋体" w:eastAsia="宋体" w:cs="宋体"/>
                <w:kern w:val="2"/>
                <w:sz w:val="24"/>
                <w:szCs w:val="24"/>
                <w:lang w:eastAsia="zh-CN"/>
              </w:rPr>
            </w:pPr>
            <w:r>
              <w:rPr>
                <w:rFonts w:hint="eastAsia" w:ascii="宋体" w:hAnsi="宋体" w:eastAsia="宋体" w:cs="宋体"/>
                <w:color w:val="auto"/>
                <w:kern w:val="2"/>
                <w:sz w:val="24"/>
                <w:szCs w:val="24"/>
                <w:highlight w:val="none"/>
                <w:lang w:eastAsia="zh-CN"/>
              </w:rPr>
              <w:t>评委根据方案内容进</w:t>
            </w:r>
            <w:r>
              <w:rPr>
                <w:rFonts w:hint="eastAsia" w:ascii="宋体" w:hAnsi="宋体" w:eastAsia="宋体" w:cs="宋体"/>
                <w:kern w:val="2"/>
                <w:sz w:val="24"/>
                <w:szCs w:val="24"/>
                <w:highlight w:val="none"/>
                <w:lang w:eastAsia="zh-CN"/>
              </w:rPr>
              <w:t>行</w:t>
            </w:r>
            <w:r>
              <w:rPr>
                <w:rFonts w:hint="eastAsia" w:ascii="宋体" w:hAnsi="宋体" w:eastAsia="宋体" w:cs="宋体"/>
                <w:kern w:val="2"/>
                <w:sz w:val="24"/>
                <w:szCs w:val="24"/>
                <w:lang w:eastAsia="zh-CN"/>
              </w:rPr>
              <w:t>评分，未提供或表述内容与本项目无关、套用其它方案、凭空编造、逻辑漏洞、科学原理错误以及不可能实现的夸大情形等不得分。</w:t>
            </w:r>
          </w:p>
        </w:tc>
      </w:tr>
      <w:tr w14:paraId="0A126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09" w:type="dxa"/>
            <w:tcBorders>
              <w:left w:val="single" w:color="auto" w:sz="4" w:space="0"/>
              <w:bottom w:val="single" w:color="auto" w:sz="4" w:space="0"/>
              <w:right w:val="single" w:color="auto" w:sz="4" w:space="0"/>
            </w:tcBorders>
            <w:noWrap w:val="0"/>
            <w:vAlign w:val="center"/>
          </w:tcPr>
          <w:p w14:paraId="7D2774AA">
            <w:pPr>
              <w:widowControl/>
              <w:snapToGrid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七</w:t>
            </w:r>
          </w:p>
        </w:tc>
        <w:tc>
          <w:tcPr>
            <w:tcW w:w="1828" w:type="dxa"/>
            <w:tcBorders>
              <w:left w:val="single" w:color="auto" w:sz="4" w:space="0"/>
              <w:bottom w:val="single" w:color="auto" w:sz="4" w:space="0"/>
              <w:right w:val="single" w:color="auto" w:sz="4" w:space="0"/>
            </w:tcBorders>
            <w:noWrap w:val="0"/>
            <w:vAlign w:val="center"/>
          </w:tcPr>
          <w:p w14:paraId="6F36E1DC">
            <w:pPr>
              <w:spacing w:line="46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类似业绩（5分）</w:t>
            </w:r>
          </w:p>
        </w:tc>
        <w:tc>
          <w:tcPr>
            <w:tcW w:w="6996" w:type="dxa"/>
            <w:tcBorders>
              <w:top w:val="single" w:color="auto" w:sz="4" w:space="0"/>
              <w:left w:val="single" w:color="auto" w:sz="4" w:space="0"/>
              <w:bottom w:val="single" w:color="auto" w:sz="4" w:space="0"/>
              <w:right w:val="single" w:color="auto" w:sz="4" w:space="0"/>
            </w:tcBorders>
            <w:noWrap w:val="0"/>
            <w:vAlign w:val="center"/>
          </w:tcPr>
          <w:p w14:paraId="21C07F1C">
            <w:pPr>
              <w:spacing w:line="460" w:lineRule="exact"/>
              <w:rPr>
                <w:rFonts w:hint="eastAsia" w:ascii="宋体" w:hAnsi="宋体" w:eastAsia="宋体" w:cs="宋体"/>
                <w:sz w:val="24"/>
                <w:szCs w:val="24"/>
                <w:lang w:eastAsia="zh-CN"/>
              </w:rPr>
            </w:pPr>
            <w:r>
              <w:rPr>
                <w:rFonts w:hint="eastAsia" w:ascii="宋体" w:hAnsi="宋体" w:cs="宋体"/>
                <w:sz w:val="24"/>
                <w:szCs w:val="24"/>
              </w:rPr>
              <w:t>投标人提供20</w:t>
            </w:r>
            <w:r>
              <w:rPr>
                <w:rFonts w:hint="eastAsia" w:ascii="宋体" w:hAnsi="宋体" w:cs="宋体"/>
                <w:sz w:val="24"/>
                <w:szCs w:val="24"/>
                <w:lang w:val="en-US" w:eastAsia="zh-CN"/>
              </w:rPr>
              <w:t>21</w:t>
            </w:r>
            <w:r>
              <w:rPr>
                <w:rFonts w:hint="eastAsia" w:ascii="宋体" w:hAnsi="宋体" w:cs="宋体"/>
                <w:sz w:val="24"/>
                <w:szCs w:val="24"/>
              </w:rPr>
              <w:t>年1月1日以来</w:t>
            </w:r>
            <w:r>
              <w:rPr>
                <w:rFonts w:hint="eastAsia" w:ascii="宋体" w:hAnsi="宋体" w:cs="宋体"/>
                <w:sz w:val="24"/>
                <w:szCs w:val="24"/>
                <w:lang w:val="en-US" w:eastAsia="zh-CN"/>
              </w:rPr>
              <w:t>公共安全监控类</w:t>
            </w:r>
            <w:r>
              <w:rPr>
                <w:rFonts w:hint="eastAsia" w:ascii="宋体" w:hAnsi="宋体" w:cs="宋体"/>
                <w:sz w:val="24"/>
                <w:szCs w:val="24"/>
              </w:rPr>
              <w:t>项目业绩</w:t>
            </w:r>
            <w:r>
              <w:rPr>
                <w:rFonts w:hint="eastAsia" w:ascii="宋体" w:hAnsi="宋体" w:cs="宋体"/>
                <w:sz w:val="24"/>
                <w:szCs w:val="24"/>
                <w:lang w:val="en-US" w:eastAsia="zh-CN"/>
              </w:rPr>
              <w:t>合同</w:t>
            </w:r>
            <w:r>
              <w:rPr>
                <w:rFonts w:hint="eastAsia" w:ascii="宋体" w:hAnsi="宋体" w:cs="宋体"/>
                <w:sz w:val="24"/>
                <w:szCs w:val="24"/>
              </w:rPr>
              <w:t>（以合同签订日期</w:t>
            </w:r>
            <w:r>
              <w:rPr>
                <w:rFonts w:hint="eastAsia" w:ascii="宋体" w:hAnsi="宋体" w:cs="宋体"/>
                <w:sz w:val="24"/>
                <w:szCs w:val="24"/>
                <w:lang w:val="en-US" w:eastAsia="zh-CN"/>
              </w:rPr>
              <w:t>为准</w:t>
            </w:r>
            <w:r>
              <w:rPr>
                <w:rFonts w:hint="eastAsia" w:ascii="宋体" w:hAnsi="宋体" w:cs="宋体"/>
                <w:sz w:val="24"/>
                <w:szCs w:val="24"/>
              </w:rPr>
              <w:t>）</w:t>
            </w:r>
            <w:r>
              <w:rPr>
                <w:rFonts w:hint="eastAsia" w:ascii="宋体" w:hAnsi="宋体" w:cs="宋体"/>
                <w:sz w:val="24"/>
                <w:szCs w:val="24"/>
                <w:lang w:eastAsia="zh-CN"/>
              </w:rPr>
              <w:t>，</w:t>
            </w:r>
            <w:r>
              <w:rPr>
                <w:rFonts w:hint="eastAsia" w:ascii="宋体" w:hAnsi="宋体" w:cs="宋体"/>
                <w:sz w:val="24"/>
                <w:szCs w:val="24"/>
                <w:lang w:val="en-US" w:eastAsia="zh-CN"/>
              </w:rPr>
              <w:t>每提供1个得0.5分，最高得5分，</w:t>
            </w:r>
            <w:r>
              <w:rPr>
                <w:rFonts w:hint="eastAsia" w:ascii="宋体" w:hAnsi="宋体" w:cs="宋体"/>
                <w:sz w:val="24"/>
                <w:szCs w:val="24"/>
              </w:rPr>
              <w:t>未提供的不得分。</w:t>
            </w:r>
            <w:r>
              <w:rPr>
                <w:rFonts w:hint="eastAsia" w:ascii="宋体" w:hAnsi="宋体" w:cs="宋体"/>
                <w:sz w:val="24"/>
                <w:szCs w:val="24"/>
                <w:lang w:eastAsia="zh-CN"/>
              </w:rPr>
              <w:t>业绩材料</w:t>
            </w:r>
            <w:r>
              <w:rPr>
                <w:rFonts w:hint="eastAsia" w:ascii="宋体" w:hAnsi="宋体" w:cs="宋体"/>
                <w:sz w:val="24"/>
                <w:szCs w:val="24"/>
                <w:lang w:val="en-US" w:eastAsia="zh-CN"/>
              </w:rPr>
              <w:t>须</w:t>
            </w:r>
            <w:r>
              <w:rPr>
                <w:rFonts w:hint="eastAsia" w:ascii="宋体" w:hAnsi="宋体" w:cs="宋体"/>
                <w:sz w:val="24"/>
                <w:szCs w:val="24"/>
              </w:rPr>
              <w:t>提供</w:t>
            </w:r>
            <w:r>
              <w:rPr>
                <w:rFonts w:hint="eastAsia" w:ascii="宋体" w:hAnsi="宋体" w:cs="宋体"/>
                <w:sz w:val="24"/>
                <w:szCs w:val="24"/>
                <w:lang w:val="en-US" w:eastAsia="zh-CN"/>
              </w:rPr>
              <w:t>项目合同</w:t>
            </w:r>
            <w:r>
              <w:rPr>
                <w:rFonts w:hint="eastAsia" w:ascii="宋体" w:hAnsi="宋体" w:cs="宋体"/>
                <w:sz w:val="24"/>
                <w:szCs w:val="24"/>
                <w:lang w:eastAsia="zh-CN"/>
              </w:rPr>
              <w:t>彩色扫描件上传至投标文件</w:t>
            </w:r>
            <w:r>
              <w:rPr>
                <w:rFonts w:hint="eastAsia" w:ascii="宋体" w:hAnsi="宋体" w:cs="宋体"/>
                <w:sz w:val="24"/>
                <w:szCs w:val="24"/>
              </w:rPr>
              <w:t>。</w:t>
            </w:r>
          </w:p>
        </w:tc>
      </w:tr>
    </w:tbl>
    <w:p w14:paraId="2854E63C">
      <w:pPr>
        <w:pStyle w:val="16"/>
        <w:ind w:firstLine="0"/>
        <w:rPr>
          <w:rFonts w:cs="宋体"/>
        </w:rPr>
      </w:pPr>
    </w:p>
    <w:p w14:paraId="592D51BF">
      <w:pPr>
        <w:pStyle w:val="16"/>
        <w:rPr>
          <w:rFonts w:hint="eastAsia" w:cs="宋体"/>
        </w:rPr>
      </w:pPr>
      <w:r>
        <w:rPr>
          <w:rFonts w:hint="eastAsia" w:cs="宋体"/>
        </w:rPr>
        <w:t xml:space="preserve">注： </w:t>
      </w:r>
      <w:r>
        <w:rPr>
          <w:rFonts w:hint="eastAsia" w:cs="宋体"/>
          <w:b/>
          <w:bCs/>
          <w:sz w:val="24"/>
          <w:szCs w:val="24"/>
        </w:rPr>
        <w:t>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p>
    <w:p w14:paraId="5C4B076E">
      <w:pPr>
        <w:pStyle w:val="20"/>
        <w:rPr>
          <w:rFonts w:hint="eastAsia" w:ascii="宋体" w:hAnsi="宋体" w:eastAsia="宋体" w:cs="宋体"/>
          <w:bCs/>
          <w:sz w:val="44"/>
        </w:rPr>
      </w:pPr>
      <w:r>
        <w:rPr>
          <w:rFonts w:hint="eastAsia" w:ascii="宋体" w:hAnsi="宋体" w:eastAsia="宋体" w:cs="宋体"/>
          <w:bCs/>
          <w:sz w:val="44"/>
        </w:rPr>
        <w:br w:type="page" w:clear="all"/>
      </w:r>
      <w:r>
        <w:rPr>
          <w:rFonts w:hint="eastAsia" w:ascii="宋体" w:hAnsi="宋体" w:eastAsia="宋体" w:cs="宋体"/>
          <w:bCs/>
          <w:sz w:val="44"/>
        </w:rPr>
        <w:t>第六章  投标</w:t>
      </w:r>
      <w:bookmarkEnd w:id="148"/>
      <w:bookmarkEnd w:id="149"/>
      <w:bookmarkEnd w:id="152"/>
      <w:r>
        <w:rPr>
          <w:rFonts w:hint="eastAsia" w:ascii="宋体" w:hAnsi="宋体" w:eastAsia="宋体" w:cs="宋体"/>
          <w:bCs/>
          <w:sz w:val="44"/>
        </w:rPr>
        <w:t>文件格式</w:t>
      </w:r>
    </w:p>
    <w:p w14:paraId="12A69575">
      <w:pPr>
        <w:jc w:val="center"/>
        <w:rPr>
          <w:rFonts w:hint="eastAsia" w:ascii="宋体" w:hAnsi="宋体" w:cs="宋体"/>
          <w:b/>
          <w:sz w:val="72"/>
        </w:rPr>
      </w:pPr>
      <w:bookmarkStart w:id="428" w:name="_Hlt26671244"/>
      <w:bookmarkEnd w:id="428"/>
      <w:bookmarkStart w:id="429" w:name="_Hlt26955039"/>
      <w:bookmarkEnd w:id="429"/>
      <w:bookmarkStart w:id="430" w:name="_Toc26554094"/>
      <w:bookmarkStart w:id="431" w:name="_Toc49090576"/>
      <w:bookmarkStart w:id="432" w:name="_Toc120614282"/>
    </w:p>
    <w:p w14:paraId="7C98F8BA">
      <w:pPr>
        <w:jc w:val="center"/>
        <w:rPr>
          <w:rFonts w:hint="eastAsia" w:ascii="宋体" w:hAnsi="宋体" w:cs="宋体"/>
          <w:b/>
          <w:sz w:val="72"/>
        </w:rPr>
      </w:pPr>
      <w:r>
        <w:rPr>
          <w:rFonts w:hint="eastAsia" w:ascii="宋体" w:hAnsi="宋体" w:cs="宋体"/>
          <w:b/>
          <w:sz w:val="72"/>
        </w:rPr>
        <w:t>投  标  文  件</w:t>
      </w:r>
    </w:p>
    <w:p w14:paraId="42011430">
      <w:pPr>
        <w:jc w:val="center"/>
        <w:rPr>
          <w:rFonts w:hint="eastAsia" w:ascii="宋体" w:hAnsi="宋体" w:cs="宋体"/>
          <w:b/>
          <w:sz w:val="72"/>
        </w:rPr>
      </w:pPr>
    </w:p>
    <w:p w14:paraId="4894B636">
      <w:pPr>
        <w:jc w:val="center"/>
        <w:rPr>
          <w:rFonts w:hint="eastAsia" w:ascii="宋体" w:hAnsi="宋体" w:cs="宋体"/>
          <w:b/>
          <w:sz w:val="72"/>
        </w:rPr>
      </w:pPr>
    </w:p>
    <w:p w14:paraId="613A31BB">
      <w:pPr>
        <w:jc w:val="center"/>
        <w:rPr>
          <w:rFonts w:hint="eastAsia" w:ascii="宋体" w:hAnsi="宋体" w:cs="宋体"/>
          <w:b/>
          <w:sz w:val="36"/>
        </w:rPr>
      </w:pPr>
    </w:p>
    <w:p w14:paraId="0D682561">
      <w:pPr>
        <w:jc w:val="center"/>
        <w:rPr>
          <w:rFonts w:hint="eastAsia" w:ascii="宋体" w:hAnsi="宋体" w:cs="宋体"/>
          <w:b/>
          <w:sz w:val="36"/>
        </w:rPr>
      </w:pPr>
    </w:p>
    <w:p w14:paraId="37F9CD34">
      <w:pPr>
        <w:jc w:val="center"/>
        <w:rPr>
          <w:rFonts w:hint="eastAsia" w:ascii="宋体" w:hAnsi="宋体" w:cs="宋体"/>
          <w:b/>
          <w:sz w:val="36"/>
        </w:rPr>
      </w:pPr>
    </w:p>
    <w:p w14:paraId="177D35CE">
      <w:pPr>
        <w:ind w:firstLine="1084"/>
        <w:rPr>
          <w:rFonts w:hint="eastAsia"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1B01BC54">
      <w:pPr>
        <w:ind w:firstLine="1084"/>
        <w:rPr>
          <w:rFonts w:hint="eastAsia" w:ascii="宋体" w:hAnsi="宋体" w:cs="宋体"/>
          <w:b/>
          <w:sz w:val="36"/>
          <w:u w:val="single"/>
        </w:rPr>
      </w:pPr>
      <w:r>
        <w:rPr>
          <w:rFonts w:hint="eastAsia" w:ascii="宋体" w:hAnsi="宋体" w:cs="宋体"/>
          <w:b/>
          <w:sz w:val="36"/>
        </w:rPr>
        <w:t>招 标 编 号：</w:t>
      </w:r>
      <w:r>
        <w:rPr>
          <w:rFonts w:hint="eastAsia" w:ascii="宋体" w:hAnsi="宋体" w:cs="宋体"/>
          <w:b/>
          <w:sz w:val="36"/>
          <w:u w:val="single"/>
        </w:rPr>
        <w:t xml:space="preserve">               </w:t>
      </w:r>
    </w:p>
    <w:p w14:paraId="0F0B0266">
      <w:pPr>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p>
    <w:p w14:paraId="097DAD48">
      <w:pPr>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593F4572">
      <w:pPr>
        <w:spacing w:line="440" w:lineRule="exact"/>
        <w:jc w:val="center"/>
        <w:rPr>
          <w:rFonts w:hint="eastAsia" w:ascii="宋体" w:hAnsi="宋体" w:cs="宋体"/>
          <w:b/>
          <w:bCs/>
          <w:sz w:val="32"/>
          <w:szCs w:val="32"/>
        </w:rPr>
      </w:pPr>
    </w:p>
    <w:p w14:paraId="115B0068">
      <w:pPr>
        <w:spacing w:line="440" w:lineRule="exact"/>
        <w:ind w:firstLine="480"/>
        <w:rPr>
          <w:rFonts w:hint="eastAsia" w:ascii="宋体" w:hAnsi="宋体" w:cs="宋体"/>
          <w:sz w:val="24"/>
        </w:rPr>
      </w:pPr>
    </w:p>
    <w:p w14:paraId="710988F1">
      <w:pPr>
        <w:spacing w:line="440" w:lineRule="exact"/>
        <w:ind w:firstLine="480"/>
        <w:rPr>
          <w:rFonts w:hint="eastAsia" w:ascii="宋体" w:hAnsi="宋体" w:cs="宋体"/>
          <w:sz w:val="24"/>
        </w:rPr>
      </w:pPr>
    </w:p>
    <w:p w14:paraId="10F85A10">
      <w:pPr>
        <w:spacing w:line="440" w:lineRule="exact"/>
        <w:jc w:val="center"/>
        <w:rPr>
          <w:rFonts w:hint="eastAsia" w:ascii="宋体" w:hAnsi="宋体" w:cs="宋体"/>
          <w:b/>
          <w:sz w:val="30"/>
          <w:szCs w:val="30"/>
        </w:rPr>
      </w:pPr>
      <w:r>
        <w:rPr>
          <w:rFonts w:hint="eastAsia" w:ascii="宋体" w:hAnsi="宋体" w:cs="宋体"/>
          <w:sz w:val="24"/>
        </w:rPr>
        <w:br w:type="page" w:clear="all"/>
      </w:r>
      <w:r>
        <w:rPr>
          <w:rFonts w:hint="eastAsia" w:ascii="宋体" w:hAnsi="宋体" w:cs="宋体"/>
          <w:b/>
          <w:sz w:val="30"/>
          <w:szCs w:val="30"/>
        </w:rPr>
        <w:t>评分索引表</w:t>
      </w:r>
    </w:p>
    <w:p w14:paraId="5FCD115F">
      <w:pPr>
        <w:spacing w:line="440" w:lineRule="exact"/>
        <w:jc w:val="center"/>
        <w:rPr>
          <w:rFonts w:hint="eastAsia" w:ascii="宋体" w:hAnsi="宋体" w:cs="宋体"/>
          <w:b/>
          <w:sz w:val="30"/>
          <w:szCs w:val="30"/>
        </w:rPr>
      </w:pPr>
    </w:p>
    <w:tbl>
      <w:tblPr>
        <w:tblStyle w:val="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0"/>
        <w:gridCol w:w="3570"/>
      </w:tblGrid>
      <w:tr w14:paraId="2C45E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5670" w:type="dxa"/>
            <w:noWrap w:val="0"/>
            <w:vAlign w:val="top"/>
          </w:tcPr>
          <w:p w14:paraId="545B85E0">
            <w:pPr>
              <w:pStyle w:val="29"/>
              <w:shd w:val="clear" w:color="auto" w:fill="FFFFFF"/>
              <w:spacing w:line="265" w:lineRule="atLeast"/>
              <w:ind w:left="420"/>
              <w:jc w:val="center"/>
              <w:rPr>
                <w:rFonts w:hint="eastAsia" w:ascii="宋体" w:hAnsi="宋体" w:cs="宋体"/>
                <w:b/>
                <w:bCs/>
                <w:lang w:eastAsia="zh-CN"/>
              </w:rPr>
            </w:pPr>
            <w:r>
              <w:rPr>
                <w:rFonts w:hint="eastAsia" w:ascii="宋体" w:hAnsi="宋体" w:cs="宋体"/>
                <w:b/>
              </w:rPr>
              <w:t>评分项目</w:t>
            </w:r>
          </w:p>
        </w:tc>
        <w:tc>
          <w:tcPr>
            <w:tcW w:w="3570" w:type="dxa"/>
            <w:noWrap w:val="0"/>
            <w:vAlign w:val="top"/>
          </w:tcPr>
          <w:p w14:paraId="05FD3517">
            <w:pPr>
              <w:jc w:val="center"/>
              <w:rPr>
                <w:rFonts w:hint="eastAsia" w:ascii="宋体" w:hAnsi="宋体" w:cs="宋体"/>
                <w:b/>
              </w:rPr>
            </w:pPr>
            <w:r>
              <w:rPr>
                <w:rFonts w:hint="eastAsia" w:ascii="宋体" w:hAnsi="宋体" w:cs="宋体"/>
                <w:b/>
                <w:sz w:val="24"/>
                <w:lang w:bidi="en-US"/>
              </w:rPr>
              <w:t>在投标文件中的页码位置</w:t>
            </w:r>
          </w:p>
        </w:tc>
      </w:tr>
      <w:tr w14:paraId="3F725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5670" w:type="dxa"/>
            <w:noWrap w:val="0"/>
            <w:vAlign w:val="top"/>
          </w:tcPr>
          <w:p w14:paraId="072EF672">
            <w:pPr>
              <w:pStyle w:val="29"/>
              <w:shd w:val="clear" w:color="auto" w:fill="FFFFFF"/>
              <w:spacing w:line="265" w:lineRule="atLeast"/>
              <w:ind w:left="420"/>
              <w:jc w:val="both"/>
              <w:rPr>
                <w:rFonts w:hint="eastAsia" w:ascii="宋体" w:hAnsi="宋体" w:cs="宋体"/>
                <w:b/>
                <w:lang w:eastAsia="zh-CN"/>
              </w:rPr>
            </w:pPr>
          </w:p>
        </w:tc>
        <w:tc>
          <w:tcPr>
            <w:tcW w:w="3570" w:type="dxa"/>
            <w:noWrap w:val="0"/>
            <w:vAlign w:val="top"/>
          </w:tcPr>
          <w:p w14:paraId="1ED1D387">
            <w:pPr>
              <w:rPr>
                <w:rFonts w:hint="eastAsia" w:ascii="宋体" w:hAnsi="宋体" w:cs="宋体"/>
                <w:b/>
                <w:sz w:val="24"/>
                <w:lang w:bidi="en-US"/>
              </w:rPr>
            </w:pPr>
          </w:p>
        </w:tc>
      </w:tr>
      <w:tr w14:paraId="26029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9240" w:type="dxa"/>
            <w:gridSpan w:val="2"/>
            <w:noWrap w:val="0"/>
            <w:vAlign w:val="top"/>
          </w:tcPr>
          <w:p w14:paraId="019923DC">
            <w:pPr>
              <w:pStyle w:val="29"/>
              <w:shd w:val="clear" w:color="auto" w:fill="FFFFFF"/>
              <w:spacing w:line="265" w:lineRule="atLeast"/>
              <w:ind w:left="420"/>
              <w:jc w:val="both"/>
              <w:rPr>
                <w:rFonts w:hint="eastAsia" w:ascii="宋体" w:hAnsi="宋体" w:cs="宋体"/>
                <w:lang w:eastAsia="zh-CN"/>
              </w:rPr>
            </w:pPr>
          </w:p>
        </w:tc>
      </w:tr>
      <w:tr w14:paraId="2020F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5670" w:type="dxa"/>
            <w:noWrap w:val="0"/>
            <w:vAlign w:val="top"/>
          </w:tcPr>
          <w:p w14:paraId="36C8A9F0">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1BD20380">
            <w:pPr>
              <w:rPr>
                <w:rFonts w:hint="eastAsia" w:ascii="宋体" w:hAnsi="宋体" w:cs="宋体"/>
              </w:rPr>
            </w:pPr>
          </w:p>
        </w:tc>
      </w:tr>
      <w:tr w14:paraId="60B3A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5670" w:type="dxa"/>
            <w:noWrap w:val="0"/>
            <w:vAlign w:val="top"/>
          </w:tcPr>
          <w:p w14:paraId="12F4B079">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5C3300B8">
            <w:pPr>
              <w:rPr>
                <w:rFonts w:hint="eastAsia" w:ascii="宋体" w:hAnsi="宋体" w:cs="宋体"/>
              </w:rPr>
            </w:pPr>
          </w:p>
        </w:tc>
      </w:tr>
      <w:tr w14:paraId="12D13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5670" w:type="dxa"/>
            <w:noWrap w:val="0"/>
            <w:vAlign w:val="top"/>
          </w:tcPr>
          <w:p w14:paraId="384D8BE9">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6B668953">
            <w:pPr>
              <w:rPr>
                <w:rFonts w:hint="eastAsia" w:ascii="宋体" w:hAnsi="宋体" w:cs="宋体"/>
              </w:rPr>
            </w:pPr>
          </w:p>
        </w:tc>
      </w:tr>
      <w:tr w14:paraId="2F12E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0" w:hRule="atLeast"/>
        </w:trPr>
        <w:tc>
          <w:tcPr>
            <w:tcW w:w="5670" w:type="dxa"/>
            <w:noWrap w:val="0"/>
            <w:vAlign w:val="top"/>
          </w:tcPr>
          <w:p w14:paraId="0104269E">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0325178C">
            <w:pPr>
              <w:rPr>
                <w:rFonts w:hint="eastAsia" w:ascii="宋体" w:hAnsi="宋体" w:cs="宋体"/>
              </w:rPr>
            </w:pPr>
          </w:p>
        </w:tc>
      </w:tr>
      <w:tr w14:paraId="23AE6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5670" w:type="dxa"/>
            <w:noWrap w:val="0"/>
            <w:vAlign w:val="top"/>
          </w:tcPr>
          <w:p w14:paraId="0A960152">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19410FA3">
            <w:pPr>
              <w:rPr>
                <w:rFonts w:hint="eastAsia" w:ascii="宋体" w:hAnsi="宋体" w:cs="宋体"/>
              </w:rPr>
            </w:pPr>
          </w:p>
        </w:tc>
      </w:tr>
      <w:tr w14:paraId="79285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9240" w:type="dxa"/>
            <w:gridSpan w:val="2"/>
            <w:noWrap w:val="0"/>
            <w:vAlign w:val="top"/>
          </w:tcPr>
          <w:p w14:paraId="26FEDCE2">
            <w:pPr>
              <w:pStyle w:val="29"/>
              <w:shd w:val="clear" w:color="auto" w:fill="FFFFFF"/>
              <w:spacing w:line="265" w:lineRule="atLeast"/>
              <w:ind w:left="420"/>
              <w:jc w:val="both"/>
              <w:rPr>
                <w:rFonts w:hint="eastAsia" w:ascii="宋体" w:hAnsi="宋体" w:cs="宋体"/>
                <w:lang w:eastAsia="zh-CN"/>
              </w:rPr>
            </w:pPr>
          </w:p>
        </w:tc>
      </w:tr>
      <w:tr w14:paraId="784DA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5670" w:type="dxa"/>
            <w:noWrap w:val="0"/>
            <w:vAlign w:val="top"/>
          </w:tcPr>
          <w:p w14:paraId="327E1B3D">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70EB7916">
            <w:pPr>
              <w:rPr>
                <w:rFonts w:hint="eastAsia" w:ascii="宋体" w:hAnsi="宋体" w:cs="宋体"/>
              </w:rPr>
            </w:pPr>
          </w:p>
        </w:tc>
      </w:tr>
      <w:tr w14:paraId="0C138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5670" w:type="dxa"/>
            <w:noWrap w:val="0"/>
            <w:vAlign w:val="top"/>
          </w:tcPr>
          <w:p w14:paraId="417FD22A">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75A843D4">
            <w:pPr>
              <w:rPr>
                <w:rFonts w:hint="eastAsia" w:ascii="宋体" w:hAnsi="宋体" w:cs="宋体"/>
              </w:rPr>
            </w:pPr>
          </w:p>
        </w:tc>
      </w:tr>
      <w:tr w14:paraId="32347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5670" w:type="dxa"/>
            <w:noWrap w:val="0"/>
            <w:vAlign w:val="top"/>
          </w:tcPr>
          <w:p w14:paraId="16FE773F">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0A467537">
            <w:pPr>
              <w:rPr>
                <w:rFonts w:hint="eastAsia" w:ascii="宋体" w:hAnsi="宋体" w:cs="宋体"/>
              </w:rPr>
            </w:pPr>
          </w:p>
        </w:tc>
      </w:tr>
      <w:tr w14:paraId="2E99C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5670" w:type="dxa"/>
            <w:noWrap w:val="0"/>
            <w:vAlign w:val="top"/>
          </w:tcPr>
          <w:p w14:paraId="1CC9F7C5">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3748266D">
            <w:pPr>
              <w:rPr>
                <w:rFonts w:hint="eastAsia" w:ascii="宋体" w:hAnsi="宋体" w:cs="宋体"/>
              </w:rPr>
            </w:pPr>
          </w:p>
        </w:tc>
      </w:tr>
      <w:tr w14:paraId="6ED64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5670" w:type="dxa"/>
            <w:noWrap w:val="0"/>
            <w:vAlign w:val="top"/>
          </w:tcPr>
          <w:p w14:paraId="2416A076">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1E517F43">
            <w:pPr>
              <w:rPr>
                <w:rFonts w:hint="eastAsia" w:ascii="宋体" w:hAnsi="宋体" w:cs="宋体"/>
              </w:rPr>
            </w:pPr>
          </w:p>
        </w:tc>
      </w:tr>
      <w:tr w14:paraId="5992D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240" w:type="dxa"/>
            <w:gridSpan w:val="2"/>
            <w:noWrap w:val="0"/>
            <w:vAlign w:val="top"/>
          </w:tcPr>
          <w:p w14:paraId="72251A9C">
            <w:pPr>
              <w:pStyle w:val="29"/>
              <w:shd w:val="clear" w:color="auto" w:fill="FFFFFF"/>
              <w:spacing w:line="265" w:lineRule="atLeast"/>
              <w:ind w:left="420"/>
              <w:jc w:val="both"/>
              <w:rPr>
                <w:rFonts w:hint="eastAsia" w:ascii="宋体" w:hAnsi="宋体" w:cs="宋体"/>
                <w:b/>
                <w:lang w:eastAsia="zh-CN"/>
              </w:rPr>
            </w:pPr>
          </w:p>
        </w:tc>
      </w:tr>
      <w:tr w14:paraId="24FEC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5670" w:type="dxa"/>
            <w:noWrap w:val="0"/>
            <w:vAlign w:val="top"/>
          </w:tcPr>
          <w:p w14:paraId="75A3E034">
            <w:pPr>
              <w:pStyle w:val="29"/>
              <w:shd w:val="clear" w:color="auto" w:fill="FFFFFF"/>
              <w:spacing w:line="265" w:lineRule="atLeast"/>
              <w:ind w:left="420"/>
              <w:rPr>
                <w:rFonts w:hint="eastAsia" w:ascii="宋体" w:hAnsi="宋体" w:cs="宋体"/>
                <w:b/>
                <w:bCs/>
                <w:lang w:eastAsia="zh-CN"/>
              </w:rPr>
            </w:pPr>
          </w:p>
        </w:tc>
        <w:tc>
          <w:tcPr>
            <w:tcW w:w="3570" w:type="dxa"/>
            <w:noWrap w:val="0"/>
            <w:vAlign w:val="top"/>
          </w:tcPr>
          <w:p w14:paraId="02D5197B">
            <w:pPr>
              <w:rPr>
                <w:rFonts w:hint="eastAsia" w:ascii="宋体" w:hAnsi="宋体" w:cs="宋体"/>
              </w:rPr>
            </w:pPr>
          </w:p>
        </w:tc>
      </w:tr>
      <w:tr w14:paraId="3D4AF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5670" w:type="dxa"/>
            <w:noWrap w:val="0"/>
            <w:vAlign w:val="top"/>
          </w:tcPr>
          <w:p w14:paraId="69269BFB">
            <w:pPr>
              <w:pStyle w:val="29"/>
              <w:shd w:val="clear" w:color="auto" w:fill="FFFFFF"/>
              <w:spacing w:line="265" w:lineRule="atLeast"/>
              <w:ind w:left="420"/>
              <w:rPr>
                <w:rFonts w:hint="eastAsia" w:ascii="宋体" w:hAnsi="宋体" w:cs="宋体"/>
                <w:lang w:eastAsia="zh-CN"/>
              </w:rPr>
            </w:pPr>
          </w:p>
        </w:tc>
        <w:tc>
          <w:tcPr>
            <w:tcW w:w="3570" w:type="dxa"/>
            <w:noWrap w:val="0"/>
            <w:vAlign w:val="top"/>
          </w:tcPr>
          <w:p w14:paraId="264E4817">
            <w:pPr>
              <w:rPr>
                <w:rFonts w:hint="eastAsia" w:ascii="宋体" w:hAnsi="宋体" w:cs="宋体"/>
              </w:rPr>
            </w:pPr>
          </w:p>
        </w:tc>
      </w:tr>
      <w:tr w14:paraId="4852D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0" w:hRule="atLeast"/>
        </w:trPr>
        <w:tc>
          <w:tcPr>
            <w:tcW w:w="5670" w:type="dxa"/>
            <w:noWrap w:val="0"/>
            <w:vAlign w:val="top"/>
          </w:tcPr>
          <w:p w14:paraId="50D6CA1A">
            <w:pPr>
              <w:pStyle w:val="29"/>
              <w:shd w:val="clear" w:color="auto" w:fill="FFFFFF"/>
              <w:spacing w:line="265" w:lineRule="atLeast"/>
              <w:ind w:left="420"/>
              <w:rPr>
                <w:rFonts w:hint="eastAsia" w:ascii="宋体" w:hAnsi="宋体" w:cs="宋体"/>
                <w:b/>
                <w:bCs/>
                <w:lang w:eastAsia="zh-CN"/>
              </w:rPr>
            </w:pPr>
          </w:p>
        </w:tc>
        <w:tc>
          <w:tcPr>
            <w:tcW w:w="3570" w:type="dxa"/>
            <w:noWrap w:val="0"/>
            <w:vAlign w:val="top"/>
          </w:tcPr>
          <w:p w14:paraId="63DB30DC">
            <w:pPr>
              <w:rPr>
                <w:rFonts w:hint="eastAsia" w:ascii="宋体" w:hAnsi="宋体" w:cs="宋体"/>
              </w:rPr>
            </w:pPr>
          </w:p>
        </w:tc>
      </w:tr>
      <w:tr w14:paraId="72E1C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trPr>
        <w:tc>
          <w:tcPr>
            <w:tcW w:w="9240" w:type="dxa"/>
            <w:gridSpan w:val="2"/>
            <w:noWrap w:val="0"/>
            <w:vAlign w:val="top"/>
          </w:tcPr>
          <w:p w14:paraId="53A4A49D">
            <w:pPr>
              <w:pStyle w:val="29"/>
              <w:shd w:val="clear" w:color="auto" w:fill="FFFFFF"/>
              <w:spacing w:line="265" w:lineRule="atLeast"/>
              <w:ind w:left="420"/>
              <w:jc w:val="both"/>
              <w:rPr>
                <w:rFonts w:hint="eastAsia" w:ascii="宋体" w:hAnsi="宋体" w:cs="宋体"/>
                <w:b/>
                <w:lang w:eastAsia="zh-CN"/>
              </w:rPr>
            </w:pPr>
          </w:p>
        </w:tc>
      </w:tr>
      <w:tr w14:paraId="6C0DE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5670" w:type="dxa"/>
            <w:noWrap w:val="0"/>
            <w:vAlign w:val="top"/>
          </w:tcPr>
          <w:p w14:paraId="48E64825">
            <w:pPr>
              <w:pStyle w:val="29"/>
              <w:shd w:val="clear" w:color="auto" w:fill="FFFFFF"/>
              <w:spacing w:line="265" w:lineRule="atLeast"/>
              <w:ind w:left="0" w:firstLine="480"/>
              <w:rPr>
                <w:rFonts w:hint="eastAsia" w:ascii="宋体" w:hAnsi="宋体" w:cs="宋体"/>
                <w:szCs w:val="21"/>
                <w:lang w:eastAsia="zh-CN"/>
              </w:rPr>
            </w:pPr>
          </w:p>
        </w:tc>
        <w:tc>
          <w:tcPr>
            <w:tcW w:w="3570" w:type="dxa"/>
            <w:noWrap w:val="0"/>
            <w:vAlign w:val="top"/>
          </w:tcPr>
          <w:p w14:paraId="081F759D">
            <w:pPr>
              <w:rPr>
                <w:rFonts w:hint="eastAsia" w:ascii="宋体" w:hAnsi="宋体" w:cs="宋体"/>
              </w:rPr>
            </w:pPr>
          </w:p>
        </w:tc>
      </w:tr>
      <w:tr w14:paraId="60093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5670" w:type="dxa"/>
            <w:tcBorders>
              <w:bottom w:val="single" w:color="000000" w:sz="4" w:space="0"/>
            </w:tcBorders>
            <w:noWrap w:val="0"/>
            <w:vAlign w:val="top"/>
          </w:tcPr>
          <w:p w14:paraId="08C58378">
            <w:pPr>
              <w:pStyle w:val="29"/>
              <w:shd w:val="clear" w:color="auto" w:fill="FFFFFF"/>
              <w:spacing w:line="265" w:lineRule="atLeast"/>
              <w:ind w:left="0" w:firstLine="480"/>
              <w:rPr>
                <w:rFonts w:hint="eastAsia" w:ascii="宋体" w:hAnsi="宋体" w:cs="宋体"/>
                <w:lang w:eastAsia="zh-CN"/>
              </w:rPr>
            </w:pPr>
          </w:p>
        </w:tc>
        <w:tc>
          <w:tcPr>
            <w:tcW w:w="3570" w:type="dxa"/>
            <w:tcBorders>
              <w:bottom w:val="single" w:color="000000" w:sz="4" w:space="0"/>
            </w:tcBorders>
            <w:noWrap w:val="0"/>
            <w:vAlign w:val="top"/>
          </w:tcPr>
          <w:p w14:paraId="239638C0">
            <w:pPr>
              <w:rPr>
                <w:rFonts w:hint="eastAsia" w:ascii="宋体" w:hAnsi="宋体" w:cs="宋体"/>
              </w:rPr>
            </w:pPr>
          </w:p>
        </w:tc>
      </w:tr>
    </w:tbl>
    <w:p w14:paraId="7DBB3772">
      <w:pPr>
        <w:rPr>
          <w:rFonts w:hint="eastAsia" w:ascii="宋体" w:hAnsi="宋体" w:cs="宋体"/>
        </w:rPr>
      </w:pPr>
    </w:p>
    <w:p w14:paraId="59717AD7">
      <w:pPr>
        <w:ind w:firstLine="1084"/>
        <w:jc w:val="center"/>
        <w:rPr>
          <w:rFonts w:hint="eastAsia" w:ascii="宋体" w:hAnsi="宋体" w:cs="宋体"/>
          <w:b/>
          <w:bCs/>
          <w:sz w:val="32"/>
          <w:szCs w:val="32"/>
        </w:rPr>
      </w:pPr>
      <w:r>
        <w:rPr>
          <w:rFonts w:hint="eastAsia" w:ascii="宋体" w:hAnsi="宋体" w:cs="宋体"/>
          <w:b/>
          <w:sz w:val="36"/>
          <w:u w:val="single"/>
        </w:rPr>
        <w:br w:type="page" w:clear="all"/>
      </w:r>
      <w:r>
        <w:rPr>
          <w:rFonts w:hint="eastAsia" w:ascii="宋体" w:hAnsi="宋体" w:cs="宋体"/>
          <w:b/>
          <w:bCs/>
          <w:sz w:val="32"/>
          <w:szCs w:val="32"/>
        </w:rPr>
        <w:t>投标主要文件目录</w:t>
      </w:r>
    </w:p>
    <w:p w14:paraId="2E4CABA0">
      <w:pPr>
        <w:spacing w:line="440" w:lineRule="exact"/>
        <w:jc w:val="center"/>
        <w:rPr>
          <w:rFonts w:hint="eastAsia" w:ascii="宋体" w:hAnsi="宋体" w:cs="宋体"/>
          <w:b/>
          <w:bCs/>
          <w:sz w:val="32"/>
          <w:szCs w:val="32"/>
        </w:rPr>
      </w:pPr>
    </w:p>
    <w:p w14:paraId="35DBDEC0">
      <w:pPr>
        <w:numPr>
          <w:ilvl w:val="0"/>
          <w:numId w:val="7"/>
        </w:numPr>
        <w:spacing w:line="360" w:lineRule="auto"/>
        <w:rPr>
          <w:rFonts w:hint="eastAsia" w:ascii="宋体" w:hAnsi="宋体" w:cs="宋体"/>
          <w:bCs/>
          <w:sz w:val="24"/>
        </w:rPr>
      </w:pPr>
      <w:r>
        <w:rPr>
          <w:rFonts w:hint="eastAsia" w:ascii="宋体" w:hAnsi="宋体" w:cs="宋体"/>
          <w:bCs/>
          <w:sz w:val="24"/>
        </w:rPr>
        <w:t>资信证明文件</w:t>
      </w:r>
    </w:p>
    <w:p w14:paraId="2EC12C02">
      <w:pPr>
        <w:numPr>
          <w:ilvl w:val="0"/>
          <w:numId w:val="7"/>
        </w:numPr>
        <w:spacing w:line="360" w:lineRule="auto"/>
        <w:rPr>
          <w:rFonts w:hint="eastAsia" w:ascii="宋体" w:hAnsi="宋体" w:cs="宋体"/>
          <w:sz w:val="24"/>
        </w:rPr>
      </w:pPr>
      <w:r>
        <w:rPr>
          <w:rFonts w:hint="eastAsia" w:ascii="宋体" w:hAnsi="宋体" w:cs="宋体"/>
          <w:sz w:val="24"/>
        </w:rPr>
        <w:t>资格性审查响应对照表</w:t>
      </w:r>
    </w:p>
    <w:p w14:paraId="4BF6110A">
      <w:pPr>
        <w:spacing w:line="360" w:lineRule="auto"/>
        <w:ind w:firstLine="480"/>
        <w:rPr>
          <w:rFonts w:hint="eastAsia" w:ascii="宋体" w:hAnsi="宋体" w:cs="宋体"/>
          <w:bCs/>
          <w:sz w:val="24"/>
        </w:rPr>
      </w:pPr>
      <w:r>
        <w:rPr>
          <w:rFonts w:hint="eastAsia" w:ascii="宋体" w:hAnsi="宋体" w:cs="宋体"/>
          <w:sz w:val="24"/>
        </w:rPr>
        <w:t>三、符合性检查响应对照表</w:t>
      </w:r>
    </w:p>
    <w:p w14:paraId="68C0168A">
      <w:pPr>
        <w:spacing w:line="360" w:lineRule="auto"/>
        <w:ind w:firstLine="480"/>
        <w:rPr>
          <w:rFonts w:hint="eastAsia" w:ascii="宋体" w:hAnsi="宋体" w:cs="宋体"/>
          <w:sz w:val="24"/>
        </w:rPr>
      </w:pPr>
      <w:r>
        <w:rPr>
          <w:rFonts w:hint="eastAsia" w:ascii="宋体" w:hAnsi="宋体" w:cs="宋体"/>
          <w:sz w:val="24"/>
        </w:rPr>
        <w:t>四、投标函</w:t>
      </w:r>
    </w:p>
    <w:p w14:paraId="5B41FB22">
      <w:pPr>
        <w:spacing w:line="360" w:lineRule="auto"/>
        <w:ind w:firstLine="480"/>
        <w:rPr>
          <w:rFonts w:hint="eastAsia" w:ascii="宋体" w:hAnsi="宋体" w:cs="宋体"/>
          <w:sz w:val="24"/>
        </w:rPr>
      </w:pPr>
      <w:r>
        <w:rPr>
          <w:rFonts w:hint="eastAsia" w:ascii="宋体" w:hAnsi="宋体" w:cs="宋体"/>
          <w:sz w:val="24"/>
        </w:rPr>
        <w:t>五</w:t>
      </w:r>
      <w:r>
        <w:rPr>
          <w:rFonts w:hint="eastAsia" w:ascii="宋体" w:hAnsi="宋体" w:cs="宋体"/>
          <w:b/>
          <w:bCs/>
          <w:sz w:val="24"/>
        </w:rPr>
        <w:t>、</w:t>
      </w:r>
      <w:r>
        <w:rPr>
          <w:rFonts w:hint="eastAsia" w:ascii="宋体" w:hAnsi="宋体" w:cs="宋体"/>
          <w:sz w:val="24"/>
        </w:rPr>
        <w:t>开标一览表</w:t>
      </w:r>
    </w:p>
    <w:p w14:paraId="3BABDD53">
      <w:pPr>
        <w:spacing w:line="360" w:lineRule="auto"/>
        <w:ind w:firstLine="480"/>
        <w:rPr>
          <w:rFonts w:hint="eastAsia" w:ascii="宋体" w:hAnsi="宋体" w:cs="宋体"/>
          <w:sz w:val="24"/>
        </w:rPr>
      </w:pPr>
      <w:r>
        <w:rPr>
          <w:rFonts w:hint="eastAsia" w:ascii="宋体" w:hAnsi="宋体" w:cs="宋体"/>
          <w:sz w:val="24"/>
        </w:rPr>
        <w:t>六、投标报价分项表</w:t>
      </w:r>
    </w:p>
    <w:p w14:paraId="7FC808B4">
      <w:pPr>
        <w:spacing w:line="360" w:lineRule="auto"/>
        <w:ind w:firstLine="480"/>
        <w:rPr>
          <w:rFonts w:hint="eastAsia" w:ascii="宋体" w:hAnsi="宋体" w:cs="宋体"/>
          <w:sz w:val="24"/>
          <w:szCs w:val="24"/>
        </w:rPr>
      </w:pPr>
      <w:r>
        <w:rPr>
          <w:rFonts w:hint="eastAsia" w:ascii="宋体" w:hAnsi="宋体" w:cs="宋体"/>
          <w:sz w:val="24"/>
          <w:szCs w:val="24"/>
        </w:rPr>
        <w:t>七、技术部分</w:t>
      </w:r>
    </w:p>
    <w:p w14:paraId="4A538786">
      <w:pPr>
        <w:spacing w:line="360" w:lineRule="auto"/>
        <w:ind w:firstLine="480"/>
        <w:rPr>
          <w:rFonts w:hint="eastAsia" w:ascii="宋体" w:hAnsi="宋体" w:cs="宋体"/>
          <w:sz w:val="24"/>
          <w:szCs w:val="24"/>
        </w:rPr>
      </w:pPr>
      <w:r>
        <w:rPr>
          <w:rFonts w:hint="eastAsia" w:ascii="宋体" w:hAnsi="宋体" w:cs="宋体"/>
          <w:sz w:val="24"/>
          <w:szCs w:val="24"/>
        </w:rPr>
        <w:t>八、招标文件中规定要求提供的证明材料和投标人认为需要提供的其他材料</w:t>
      </w:r>
    </w:p>
    <w:p w14:paraId="4AB700A5">
      <w:pPr>
        <w:spacing w:line="360" w:lineRule="auto"/>
        <w:ind w:firstLine="480"/>
        <w:rPr>
          <w:rFonts w:hint="eastAsia" w:ascii="宋体" w:hAnsi="宋体" w:cs="宋体"/>
          <w:sz w:val="24"/>
          <w:szCs w:val="24"/>
        </w:rPr>
      </w:pPr>
      <w:r>
        <w:rPr>
          <w:rFonts w:hint="eastAsia" w:ascii="宋体" w:hAnsi="宋体" w:cs="宋体"/>
          <w:sz w:val="24"/>
          <w:szCs w:val="24"/>
        </w:rPr>
        <w:t>九、盐城市大丰区政府采购供应商承诺书</w:t>
      </w:r>
    </w:p>
    <w:p w14:paraId="564CCD5B">
      <w:pPr>
        <w:spacing w:line="440" w:lineRule="exact"/>
        <w:ind w:firstLine="480"/>
        <w:rPr>
          <w:rFonts w:hint="eastAsia" w:ascii="宋体" w:hAnsi="宋体" w:cs="宋体"/>
          <w:sz w:val="24"/>
        </w:rPr>
      </w:pPr>
    </w:p>
    <w:p w14:paraId="4079C56B">
      <w:pPr>
        <w:spacing w:line="440" w:lineRule="exact"/>
        <w:ind w:firstLine="480"/>
        <w:rPr>
          <w:rFonts w:hint="eastAsia" w:ascii="宋体" w:hAnsi="宋体" w:cs="宋体"/>
          <w:sz w:val="24"/>
        </w:rPr>
      </w:pPr>
    </w:p>
    <w:p w14:paraId="0EF800C6">
      <w:pPr>
        <w:spacing w:line="440" w:lineRule="exact"/>
        <w:ind w:firstLine="480"/>
        <w:rPr>
          <w:rFonts w:hint="eastAsia" w:ascii="宋体" w:hAnsi="宋体" w:cs="宋体"/>
          <w:sz w:val="24"/>
        </w:rPr>
      </w:pPr>
    </w:p>
    <w:p w14:paraId="6DCEC3E4">
      <w:pPr>
        <w:spacing w:line="440" w:lineRule="exact"/>
        <w:ind w:firstLine="480"/>
        <w:rPr>
          <w:rFonts w:hint="eastAsia" w:ascii="宋体" w:hAnsi="宋体" w:cs="宋体"/>
          <w:sz w:val="24"/>
        </w:rPr>
      </w:pPr>
    </w:p>
    <w:p w14:paraId="0712850D">
      <w:pPr>
        <w:spacing w:line="440" w:lineRule="exact"/>
        <w:ind w:firstLine="480"/>
        <w:rPr>
          <w:rFonts w:hint="eastAsia" w:ascii="宋体" w:hAnsi="宋体" w:cs="宋体"/>
          <w:sz w:val="24"/>
        </w:rPr>
      </w:pPr>
    </w:p>
    <w:p w14:paraId="200DEAD5">
      <w:pPr>
        <w:spacing w:line="440" w:lineRule="exact"/>
        <w:ind w:firstLine="480"/>
        <w:rPr>
          <w:rFonts w:hint="eastAsia" w:ascii="宋体" w:hAnsi="宋体" w:cs="宋体"/>
          <w:sz w:val="24"/>
        </w:rPr>
      </w:pPr>
    </w:p>
    <w:p w14:paraId="375369D3">
      <w:pPr>
        <w:spacing w:line="440" w:lineRule="exact"/>
        <w:ind w:firstLine="480"/>
        <w:rPr>
          <w:rFonts w:hint="eastAsia" w:ascii="宋体" w:hAnsi="宋体" w:cs="宋体"/>
          <w:sz w:val="24"/>
        </w:rPr>
      </w:pPr>
    </w:p>
    <w:p w14:paraId="46A39A87">
      <w:pPr>
        <w:spacing w:line="440" w:lineRule="exact"/>
        <w:ind w:firstLine="480"/>
        <w:rPr>
          <w:rFonts w:hint="eastAsia" w:ascii="宋体" w:hAnsi="宋体" w:cs="宋体"/>
          <w:sz w:val="24"/>
        </w:rPr>
      </w:pPr>
    </w:p>
    <w:p w14:paraId="6C498C0F">
      <w:pPr>
        <w:spacing w:line="440" w:lineRule="exact"/>
        <w:ind w:firstLine="480"/>
        <w:rPr>
          <w:rFonts w:hint="eastAsia" w:ascii="宋体" w:hAnsi="宋体" w:cs="宋体"/>
          <w:sz w:val="24"/>
        </w:rPr>
      </w:pPr>
    </w:p>
    <w:p w14:paraId="729F3190">
      <w:pPr>
        <w:spacing w:line="440" w:lineRule="exact"/>
        <w:ind w:firstLine="480"/>
        <w:rPr>
          <w:rFonts w:hint="eastAsia" w:ascii="宋体" w:hAnsi="宋体" w:cs="宋体"/>
          <w:sz w:val="24"/>
        </w:rPr>
      </w:pPr>
    </w:p>
    <w:p w14:paraId="1ACB1C81">
      <w:pPr>
        <w:spacing w:line="440" w:lineRule="exact"/>
        <w:ind w:firstLine="480"/>
        <w:rPr>
          <w:rFonts w:hint="eastAsia" w:ascii="宋体" w:hAnsi="宋体" w:cs="宋体"/>
          <w:sz w:val="24"/>
        </w:rPr>
      </w:pPr>
    </w:p>
    <w:p w14:paraId="5E3CEBBE">
      <w:pPr>
        <w:spacing w:line="440" w:lineRule="exact"/>
        <w:ind w:firstLine="480"/>
        <w:rPr>
          <w:rFonts w:hint="eastAsia" w:ascii="宋体" w:hAnsi="宋体" w:cs="宋体"/>
          <w:sz w:val="24"/>
        </w:rPr>
      </w:pPr>
    </w:p>
    <w:p w14:paraId="361708A0">
      <w:pPr>
        <w:spacing w:line="440" w:lineRule="exact"/>
        <w:ind w:firstLine="480"/>
        <w:rPr>
          <w:rFonts w:hint="eastAsia" w:ascii="宋体" w:hAnsi="宋体" w:cs="宋体"/>
          <w:sz w:val="24"/>
        </w:rPr>
      </w:pPr>
    </w:p>
    <w:p w14:paraId="35BE2388">
      <w:pPr>
        <w:numPr>
          <w:ilvl w:val="0"/>
          <w:numId w:val="8"/>
        </w:numPr>
        <w:spacing w:before="50" w:after="50"/>
        <w:jc w:val="center"/>
        <w:rPr>
          <w:rFonts w:hint="eastAsia" w:ascii="宋体" w:hAnsi="宋体" w:cs="宋体"/>
          <w:b/>
          <w:bCs/>
          <w:sz w:val="32"/>
          <w:szCs w:val="32"/>
        </w:rPr>
      </w:pPr>
      <w:r>
        <w:rPr>
          <w:rFonts w:hint="eastAsia" w:ascii="宋体" w:hAnsi="宋体" w:cs="宋体"/>
          <w:sz w:val="24"/>
        </w:rPr>
        <w:br w:type="page" w:clear="all"/>
      </w:r>
      <w:r>
        <w:rPr>
          <w:rFonts w:hint="eastAsia" w:ascii="宋体" w:hAnsi="宋体" w:cs="宋体"/>
          <w:b/>
          <w:bCs/>
          <w:sz w:val="32"/>
          <w:szCs w:val="32"/>
        </w:rPr>
        <w:t>资信证明文件要求</w:t>
      </w:r>
    </w:p>
    <w:p w14:paraId="23327EED">
      <w:pPr>
        <w:pStyle w:val="29"/>
        <w:ind w:left="0"/>
        <w:rPr>
          <w:rFonts w:hint="eastAsia" w:ascii="宋体" w:hAnsi="宋体" w:cs="宋体"/>
        </w:rPr>
      </w:pPr>
    </w:p>
    <w:p w14:paraId="5CABDEEE">
      <w:pPr>
        <w:spacing w:before="50" w:after="50"/>
        <w:rPr>
          <w:rFonts w:hint="eastAsia" w:ascii="宋体" w:hAnsi="宋体" w:cs="宋体"/>
          <w:sz w:val="24"/>
          <w:szCs w:val="20"/>
        </w:rPr>
      </w:pPr>
      <w:r>
        <w:rPr>
          <w:rFonts w:hint="eastAsia" w:ascii="宋体" w:hAnsi="宋体" w:cs="宋体"/>
          <w:sz w:val="44"/>
        </w:rPr>
        <w:t xml:space="preserve"> </w:t>
      </w:r>
      <w:r>
        <w:rPr>
          <w:rFonts w:hint="eastAsia" w:ascii="宋体" w:hAnsi="宋体" w:cs="宋体"/>
          <w:b/>
          <w:bCs/>
          <w:sz w:val="24"/>
        </w:rPr>
        <w:t>1、实质性资格证明文件目录</w:t>
      </w:r>
    </w:p>
    <w:p w14:paraId="34AA5073">
      <w:pPr>
        <w:pStyle w:val="19"/>
        <w:spacing w:line="360" w:lineRule="auto"/>
        <w:rPr>
          <w:rFonts w:hint="eastAsia" w:ascii="宋体" w:hAnsi="宋体" w:cs="宋体"/>
          <w:sz w:val="24"/>
          <w:szCs w:val="24"/>
        </w:rPr>
      </w:pPr>
      <w:r>
        <w:rPr>
          <w:rFonts w:hint="eastAsia" w:ascii="宋体" w:hAnsi="宋体" w:cs="宋体"/>
          <w:sz w:val="24"/>
          <w:szCs w:val="24"/>
        </w:rPr>
        <w:t>文件1  法人或者其他组织的营业执照等证明文件，自然人的身份证明</w:t>
      </w:r>
    </w:p>
    <w:p w14:paraId="238A669B">
      <w:pPr>
        <w:pStyle w:val="19"/>
        <w:spacing w:line="360" w:lineRule="auto"/>
        <w:rPr>
          <w:rFonts w:hint="eastAsia" w:ascii="宋体" w:hAnsi="宋体" w:cs="宋体"/>
          <w:sz w:val="24"/>
          <w:szCs w:val="24"/>
        </w:rPr>
      </w:pPr>
      <w:r>
        <w:rPr>
          <w:rFonts w:hint="eastAsia" w:ascii="宋体" w:hAnsi="宋体" w:cs="宋体"/>
          <w:sz w:val="24"/>
          <w:szCs w:val="24"/>
        </w:rPr>
        <w:t>文件2  上一年度财务状况</w:t>
      </w:r>
      <w:r>
        <w:rPr>
          <w:rFonts w:hint="eastAsia" w:ascii="宋体" w:hAnsi="宋体" w:cs="宋体"/>
          <w:sz w:val="24"/>
          <w:szCs w:val="24"/>
          <w:lang w:eastAsia="zh-CN"/>
        </w:rPr>
        <w:t>报告</w:t>
      </w:r>
      <w:r>
        <w:rPr>
          <w:rFonts w:hint="eastAsia" w:ascii="宋体" w:hAnsi="宋体" w:cs="宋体"/>
          <w:sz w:val="24"/>
          <w:szCs w:val="24"/>
        </w:rPr>
        <w:t>（成立不满一年不需提供）</w:t>
      </w:r>
    </w:p>
    <w:p w14:paraId="045289E6">
      <w:pPr>
        <w:pStyle w:val="19"/>
        <w:spacing w:line="360" w:lineRule="auto"/>
        <w:rPr>
          <w:rFonts w:hint="eastAsia" w:ascii="宋体" w:hAnsi="宋体" w:cs="宋体"/>
          <w:sz w:val="24"/>
          <w:szCs w:val="24"/>
        </w:rPr>
      </w:pPr>
      <w:r>
        <w:rPr>
          <w:rFonts w:hint="eastAsia" w:ascii="宋体" w:hAnsi="宋体" w:cs="宋体"/>
          <w:sz w:val="24"/>
          <w:szCs w:val="24"/>
        </w:rPr>
        <w:t>文件3  依法缴纳税收和社会保障资金的相关材料</w:t>
      </w:r>
    </w:p>
    <w:p w14:paraId="48D9DAAB">
      <w:pPr>
        <w:pStyle w:val="19"/>
        <w:spacing w:line="360" w:lineRule="auto"/>
        <w:rPr>
          <w:rFonts w:hint="eastAsia" w:ascii="宋体" w:hAnsi="宋体" w:cs="宋体"/>
          <w:sz w:val="24"/>
          <w:szCs w:val="24"/>
        </w:rPr>
      </w:pPr>
      <w:r>
        <w:rPr>
          <w:rFonts w:hint="eastAsia" w:ascii="宋体" w:hAnsi="宋体" w:cs="宋体"/>
          <w:sz w:val="24"/>
          <w:szCs w:val="24"/>
        </w:rPr>
        <w:t>文件4  具备履行合同所必需的设备和专业技术能力证明材料</w:t>
      </w:r>
    </w:p>
    <w:p w14:paraId="63C08FFB">
      <w:pPr>
        <w:pStyle w:val="19"/>
        <w:spacing w:line="360" w:lineRule="auto"/>
        <w:rPr>
          <w:rFonts w:hint="eastAsia" w:ascii="宋体" w:hAnsi="宋体" w:cs="宋体"/>
          <w:sz w:val="24"/>
          <w:szCs w:val="24"/>
        </w:rPr>
      </w:pPr>
      <w:r>
        <w:rPr>
          <w:rFonts w:hint="eastAsia" w:ascii="宋体" w:hAnsi="宋体" w:cs="宋体"/>
          <w:sz w:val="24"/>
          <w:szCs w:val="24"/>
        </w:rPr>
        <w:t>文件5  参加政府采购活动前 3 年内在经营活动中没有重大违法记录的书面声明</w:t>
      </w:r>
    </w:p>
    <w:p w14:paraId="6790AAE3">
      <w:pPr>
        <w:pStyle w:val="19"/>
        <w:spacing w:line="360" w:lineRule="auto"/>
        <w:rPr>
          <w:rFonts w:hint="eastAsia" w:ascii="宋体" w:hAnsi="宋体" w:cs="宋体"/>
          <w:sz w:val="24"/>
          <w:szCs w:val="24"/>
        </w:rPr>
      </w:pPr>
      <w:r>
        <w:rPr>
          <w:rFonts w:hint="eastAsia" w:ascii="宋体" w:hAnsi="宋体" w:cs="宋体"/>
          <w:sz w:val="24"/>
          <w:szCs w:val="24"/>
        </w:rPr>
        <w:t>文件6  法人授权书</w:t>
      </w:r>
    </w:p>
    <w:p w14:paraId="0BCD04AA">
      <w:pPr>
        <w:pStyle w:val="19"/>
        <w:spacing w:line="360" w:lineRule="auto"/>
        <w:rPr>
          <w:rFonts w:hint="eastAsia" w:ascii="宋体" w:hAnsi="宋体" w:cs="宋体"/>
          <w:sz w:val="24"/>
          <w:szCs w:val="24"/>
        </w:rPr>
      </w:pPr>
      <w:r>
        <w:rPr>
          <w:rFonts w:hint="eastAsia" w:ascii="宋体" w:hAnsi="宋体" w:cs="宋体"/>
          <w:sz w:val="24"/>
          <w:szCs w:val="24"/>
        </w:rPr>
        <w:t>文件7  招标文件中规定要求提供的证明材料和投标人认为需要提供的其他材料</w:t>
      </w:r>
    </w:p>
    <w:p w14:paraId="24B9BE23">
      <w:pPr>
        <w:spacing w:before="50" w:after="145"/>
        <w:jc w:val="left"/>
        <w:rPr>
          <w:rFonts w:hint="eastAsia" w:ascii="宋体" w:hAnsi="宋体" w:cs="宋体"/>
          <w:b/>
          <w:i/>
          <w:sz w:val="24"/>
          <w:u w:val="single"/>
        </w:rPr>
      </w:pPr>
    </w:p>
    <w:p w14:paraId="11036672">
      <w:pPr>
        <w:spacing w:before="50" w:after="50"/>
        <w:ind w:firstLine="482"/>
        <w:rPr>
          <w:rFonts w:hint="eastAsia" w:ascii="宋体" w:hAnsi="宋体" w:cs="宋体"/>
          <w:sz w:val="24"/>
          <w:szCs w:val="20"/>
        </w:rPr>
      </w:pPr>
      <w:r>
        <w:rPr>
          <w:rFonts w:hint="eastAsia" w:ascii="宋体" w:hAnsi="宋体" w:cs="宋体"/>
          <w:b/>
          <w:bCs/>
          <w:sz w:val="24"/>
        </w:rPr>
        <w:t>2、非实质性资信证明文件目录</w:t>
      </w:r>
    </w:p>
    <w:p w14:paraId="037E6A96">
      <w:pPr>
        <w:pStyle w:val="19"/>
        <w:spacing w:line="360" w:lineRule="auto"/>
        <w:rPr>
          <w:rFonts w:hint="eastAsia" w:ascii="宋体" w:hAnsi="宋体" w:cs="宋体"/>
          <w:sz w:val="24"/>
          <w:szCs w:val="24"/>
        </w:rPr>
      </w:pPr>
      <w:r>
        <w:rPr>
          <w:rFonts w:hint="eastAsia" w:ascii="宋体" w:hAnsi="宋体" w:cs="宋体"/>
          <w:sz w:val="24"/>
          <w:szCs w:val="24"/>
        </w:rPr>
        <w:t>格式1  《企业申明函》</w:t>
      </w:r>
    </w:p>
    <w:p w14:paraId="27A3FEE5">
      <w:pPr>
        <w:pStyle w:val="19"/>
        <w:spacing w:line="0" w:lineRule="atLeast"/>
        <w:rPr>
          <w:rFonts w:hint="eastAsia" w:ascii="宋体" w:hAnsi="宋体" w:cs="宋体"/>
          <w:sz w:val="24"/>
          <w:szCs w:val="24"/>
        </w:rPr>
      </w:pPr>
    </w:p>
    <w:p w14:paraId="38B1FC12">
      <w:pPr>
        <w:pStyle w:val="19"/>
        <w:spacing w:line="0" w:lineRule="atLeast"/>
        <w:rPr>
          <w:rFonts w:hint="eastAsia" w:ascii="宋体" w:hAnsi="宋体" w:eastAsia="宋体" w:cs="宋体"/>
          <w:color w:val="0000FF"/>
          <w:sz w:val="24"/>
          <w:szCs w:val="24"/>
          <w:lang w:val="en-US" w:eastAsia="zh-CN"/>
        </w:rPr>
      </w:pPr>
    </w:p>
    <w:p w14:paraId="2EF039DB">
      <w:pPr>
        <w:pStyle w:val="19"/>
        <w:spacing w:line="0" w:lineRule="atLeast"/>
        <w:rPr>
          <w:rFonts w:hint="eastAsia" w:ascii="宋体" w:hAnsi="宋体" w:cs="宋体"/>
          <w:sz w:val="24"/>
          <w:szCs w:val="24"/>
        </w:rPr>
      </w:pPr>
    </w:p>
    <w:p w14:paraId="231A5EDD">
      <w:pPr>
        <w:pStyle w:val="19"/>
        <w:spacing w:line="0" w:lineRule="atLeast"/>
        <w:rPr>
          <w:rFonts w:hint="eastAsia" w:ascii="宋体" w:hAnsi="宋体" w:cs="宋体"/>
          <w:sz w:val="24"/>
          <w:szCs w:val="24"/>
        </w:rPr>
      </w:pPr>
    </w:p>
    <w:p w14:paraId="52D40FF2">
      <w:pPr>
        <w:pStyle w:val="19"/>
        <w:spacing w:line="0" w:lineRule="atLeast"/>
        <w:rPr>
          <w:rFonts w:hint="eastAsia" w:ascii="宋体" w:hAnsi="宋体" w:cs="宋体"/>
          <w:sz w:val="24"/>
          <w:szCs w:val="24"/>
        </w:rPr>
      </w:pPr>
    </w:p>
    <w:p w14:paraId="0A3D31C5">
      <w:pPr>
        <w:pStyle w:val="19"/>
        <w:spacing w:line="0" w:lineRule="atLeast"/>
        <w:rPr>
          <w:rFonts w:hint="eastAsia" w:ascii="宋体" w:hAnsi="宋体" w:cs="宋体"/>
          <w:sz w:val="24"/>
          <w:szCs w:val="24"/>
        </w:rPr>
      </w:pPr>
    </w:p>
    <w:p w14:paraId="3BDDBB61">
      <w:pPr>
        <w:pStyle w:val="19"/>
        <w:spacing w:line="0" w:lineRule="atLeast"/>
        <w:rPr>
          <w:rFonts w:hint="eastAsia" w:ascii="宋体" w:hAnsi="宋体" w:cs="宋体"/>
          <w:sz w:val="24"/>
          <w:szCs w:val="24"/>
        </w:rPr>
      </w:pPr>
    </w:p>
    <w:p w14:paraId="1FE5D9D0">
      <w:pPr>
        <w:pStyle w:val="19"/>
        <w:spacing w:line="0" w:lineRule="atLeast"/>
        <w:rPr>
          <w:rFonts w:hint="eastAsia" w:ascii="宋体" w:hAnsi="宋体" w:cs="宋体"/>
          <w:sz w:val="24"/>
          <w:szCs w:val="24"/>
        </w:rPr>
      </w:pPr>
    </w:p>
    <w:p w14:paraId="19ABDCB5">
      <w:pPr>
        <w:pStyle w:val="19"/>
        <w:spacing w:line="0" w:lineRule="atLeast"/>
        <w:rPr>
          <w:rFonts w:hint="eastAsia" w:ascii="宋体" w:hAnsi="宋体" w:cs="宋体"/>
          <w:sz w:val="24"/>
          <w:szCs w:val="24"/>
        </w:rPr>
      </w:pPr>
    </w:p>
    <w:p w14:paraId="3D66B0E6">
      <w:pPr>
        <w:pStyle w:val="19"/>
        <w:spacing w:line="0" w:lineRule="atLeast"/>
        <w:rPr>
          <w:rFonts w:hint="eastAsia" w:ascii="宋体" w:hAnsi="宋体" w:cs="宋体"/>
          <w:sz w:val="24"/>
          <w:szCs w:val="24"/>
        </w:rPr>
      </w:pPr>
    </w:p>
    <w:p w14:paraId="6B814BB4">
      <w:pPr>
        <w:pStyle w:val="19"/>
        <w:spacing w:line="0" w:lineRule="atLeast"/>
        <w:rPr>
          <w:rFonts w:hint="eastAsia" w:ascii="宋体" w:hAnsi="宋体" w:cs="宋体"/>
          <w:sz w:val="24"/>
          <w:szCs w:val="24"/>
        </w:rPr>
      </w:pPr>
    </w:p>
    <w:p w14:paraId="31D92C17">
      <w:pPr>
        <w:pStyle w:val="19"/>
        <w:spacing w:line="0" w:lineRule="atLeast"/>
        <w:rPr>
          <w:rFonts w:hint="eastAsia" w:ascii="宋体" w:hAnsi="宋体" w:cs="宋体"/>
          <w:sz w:val="24"/>
          <w:szCs w:val="24"/>
        </w:rPr>
      </w:pPr>
    </w:p>
    <w:p w14:paraId="792BE251">
      <w:pPr>
        <w:pStyle w:val="19"/>
        <w:spacing w:line="0" w:lineRule="atLeast"/>
        <w:rPr>
          <w:rFonts w:hint="eastAsia" w:ascii="宋体" w:hAnsi="宋体" w:cs="宋体"/>
          <w:sz w:val="24"/>
          <w:szCs w:val="24"/>
        </w:rPr>
      </w:pPr>
    </w:p>
    <w:p w14:paraId="72141B52">
      <w:pPr>
        <w:pStyle w:val="19"/>
        <w:spacing w:line="0" w:lineRule="atLeast"/>
        <w:rPr>
          <w:rFonts w:hint="eastAsia" w:ascii="宋体" w:hAnsi="宋体" w:cs="宋体"/>
          <w:sz w:val="24"/>
          <w:szCs w:val="24"/>
        </w:rPr>
      </w:pPr>
    </w:p>
    <w:p w14:paraId="17098A27">
      <w:pPr>
        <w:pStyle w:val="19"/>
        <w:spacing w:line="0" w:lineRule="atLeast"/>
        <w:rPr>
          <w:rFonts w:hint="eastAsia" w:ascii="宋体" w:hAnsi="宋体" w:cs="宋体"/>
          <w:sz w:val="24"/>
          <w:szCs w:val="24"/>
        </w:rPr>
      </w:pPr>
    </w:p>
    <w:p w14:paraId="134521F2">
      <w:pPr>
        <w:pStyle w:val="19"/>
        <w:spacing w:line="0" w:lineRule="atLeast"/>
        <w:rPr>
          <w:rFonts w:hint="eastAsia" w:ascii="宋体" w:hAnsi="宋体" w:cs="宋体"/>
          <w:sz w:val="24"/>
          <w:szCs w:val="24"/>
        </w:rPr>
      </w:pPr>
    </w:p>
    <w:p w14:paraId="3F53E381">
      <w:pPr>
        <w:pStyle w:val="19"/>
        <w:spacing w:line="0" w:lineRule="atLeast"/>
        <w:rPr>
          <w:rFonts w:hint="eastAsia" w:ascii="宋体" w:hAnsi="宋体" w:cs="宋体"/>
          <w:sz w:val="24"/>
          <w:szCs w:val="24"/>
        </w:rPr>
      </w:pPr>
    </w:p>
    <w:p w14:paraId="63C69661">
      <w:pPr>
        <w:pStyle w:val="19"/>
        <w:spacing w:line="0" w:lineRule="atLeast"/>
        <w:rPr>
          <w:rFonts w:hint="eastAsia" w:ascii="宋体" w:hAnsi="宋体" w:cs="宋体"/>
          <w:sz w:val="24"/>
          <w:szCs w:val="24"/>
        </w:rPr>
      </w:pPr>
    </w:p>
    <w:p w14:paraId="23469060">
      <w:pPr>
        <w:pStyle w:val="19"/>
        <w:spacing w:line="0" w:lineRule="atLeast"/>
        <w:rPr>
          <w:rFonts w:hint="eastAsia" w:ascii="宋体" w:hAnsi="宋体" w:cs="宋体"/>
          <w:sz w:val="24"/>
          <w:szCs w:val="24"/>
        </w:rPr>
      </w:pPr>
    </w:p>
    <w:p w14:paraId="634C6EDF">
      <w:pPr>
        <w:pStyle w:val="19"/>
        <w:spacing w:line="0" w:lineRule="atLeast"/>
        <w:rPr>
          <w:rFonts w:hint="eastAsia" w:ascii="宋体" w:hAnsi="宋体" w:cs="宋体"/>
          <w:sz w:val="24"/>
          <w:szCs w:val="24"/>
        </w:rPr>
      </w:pPr>
    </w:p>
    <w:p w14:paraId="494CA4CD">
      <w:pPr>
        <w:pStyle w:val="19"/>
        <w:spacing w:line="0" w:lineRule="atLeast"/>
        <w:rPr>
          <w:rFonts w:hint="eastAsia" w:ascii="宋体" w:hAnsi="宋体" w:cs="宋体"/>
          <w:sz w:val="24"/>
          <w:szCs w:val="24"/>
        </w:rPr>
      </w:pPr>
    </w:p>
    <w:p w14:paraId="55E40F10">
      <w:pPr>
        <w:pStyle w:val="19"/>
        <w:spacing w:line="0" w:lineRule="atLeast"/>
        <w:ind w:firstLine="0"/>
        <w:rPr>
          <w:rFonts w:hint="eastAsia" w:ascii="宋体" w:hAnsi="宋体" w:cs="宋体"/>
          <w:sz w:val="24"/>
          <w:szCs w:val="24"/>
        </w:rPr>
      </w:pPr>
    </w:p>
    <w:p w14:paraId="00005880">
      <w:pPr>
        <w:pStyle w:val="23"/>
        <w:jc w:val="center"/>
        <w:rPr>
          <w:rFonts w:hint="eastAsia" w:ascii="宋体" w:hAnsi="宋体" w:cs="宋体"/>
          <w:b w:val="0"/>
          <w:bCs w:val="0"/>
          <w:sz w:val="30"/>
          <w:szCs w:val="30"/>
        </w:rPr>
      </w:pPr>
      <w:r>
        <w:rPr>
          <w:rFonts w:hint="eastAsia" w:ascii="宋体" w:hAnsi="宋体" w:cs="宋体"/>
          <w:sz w:val="24"/>
          <w:szCs w:val="24"/>
        </w:rPr>
        <w:t>具备履行合同所必需的设备和专业技术能力的书面声明</w:t>
      </w:r>
    </w:p>
    <w:p w14:paraId="75FCE927">
      <w:pPr>
        <w:spacing w:line="460" w:lineRule="exact"/>
        <w:ind w:firstLine="492"/>
        <w:rPr>
          <w:rFonts w:hint="eastAsia" w:ascii="宋体" w:hAnsi="宋体" w:cs="宋体"/>
          <w:bCs/>
          <w:sz w:val="24"/>
        </w:rPr>
      </w:pPr>
      <w:r>
        <w:rPr>
          <w:rFonts w:hint="eastAsia" w:ascii="宋体" w:hAnsi="宋体" w:cs="宋体"/>
          <w:bCs/>
          <w:sz w:val="24"/>
        </w:rPr>
        <w:t>我公司郑重声明：我公司具备履行本项采购合同所必需的设备和专业技术能力，为履行本项采购合同我公司具备如下主要设备和主要专业技术能力：</w:t>
      </w:r>
    </w:p>
    <w:p w14:paraId="120DEFEC">
      <w:pPr>
        <w:spacing w:line="460" w:lineRule="exact"/>
        <w:ind w:firstLine="492"/>
        <w:rPr>
          <w:rFonts w:hint="eastAsia" w:ascii="宋体" w:hAnsi="宋体" w:cs="宋体"/>
          <w:bCs/>
          <w:sz w:val="24"/>
        </w:rPr>
      </w:pPr>
      <w:r>
        <w:rPr>
          <w:rFonts w:hint="eastAsia" w:ascii="宋体" w:hAnsi="宋体" w:cs="宋体"/>
          <w:bCs/>
          <w:sz w:val="24"/>
        </w:rPr>
        <w:t>主要设备有：</w:t>
      </w:r>
      <w:r>
        <w:rPr>
          <w:rFonts w:hint="eastAsia" w:ascii="宋体" w:hAnsi="宋体" w:cs="宋体"/>
          <w:bCs/>
          <w:sz w:val="24"/>
          <w:u w:val="single"/>
        </w:rPr>
        <w:t xml:space="preserve">           </w:t>
      </w:r>
      <w:r>
        <w:rPr>
          <w:rFonts w:hint="eastAsia" w:ascii="宋体" w:hAnsi="宋体" w:cs="宋体"/>
          <w:bCs/>
          <w:sz w:val="24"/>
        </w:rPr>
        <w:t>。</w:t>
      </w:r>
    </w:p>
    <w:p w14:paraId="612F4A8F">
      <w:pPr>
        <w:spacing w:line="460" w:lineRule="exact"/>
        <w:ind w:firstLine="492"/>
        <w:rPr>
          <w:rFonts w:hint="eastAsia" w:ascii="宋体" w:hAnsi="宋体" w:cs="宋体"/>
          <w:bCs/>
          <w:sz w:val="24"/>
        </w:rPr>
      </w:pPr>
      <w:r>
        <w:rPr>
          <w:rFonts w:hint="eastAsia" w:ascii="宋体" w:hAnsi="宋体" w:cs="宋体"/>
          <w:bCs/>
          <w:sz w:val="24"/>
        </w:rPr>
        <w:t>主要专业技术能力有：</w:t>
      </w:r>
      <w:r>
        <w:rPr>
          <w:rFonts w:hint="eastAsia" w:ascii="宋体" w:hAnsi="宋体" w:cs="宋体"/>
          <w:bCs/>
          <w:sz w:val="24"/>
          <w:u w:val="single"/>
        </w:rPr>
        <w:t xml:space="preserve">             </w:t>
      </w:r>
      <w:r>
        <w:rPr>
          <w:rFonts w:hint="eastAsia" w:ascii="宋体" w:hAnsi="宋体" w:cs="宋体"/>
          <w:bCs/>
          <w:sz w:val="24"/>
        </w:rPr>
        <w:t>。</w:t>
      </w:r>
    </w:p>
    <w:p w14:paraId="7FC855F8">
      <w:pPr>
        <w:spacing w:line="460" w:lineRule="exact"/>
        <w:ind w:firstLine="492"/>
        <w:rPr>
          <w:rFonts w:hint="eastAsia" w:ascii="宋体" w:hAnsi="宋体" w:cs="宋体"/>
          <w:bCs/>
          <w:sz w:val="24"/>
        </w:rPr>
      </w:pPr>
    </w:p>
    <w:p w14:paraId="2A35DD30">
      <w:pPr>
        <w:spacing w:line="460" w:lineRule="exact"/>
        <w:ind w:firstLine="492"/>
        <w:rPr>
          <w:rFonts w:hint="eastAsia" w:ascii="宋体" w:hAnsi="宋体" w:cs="宋体"/>
          <w:bCs/>
          <w:sz w:val="24"/>
        </w:rPr>
      </w:pPr>
    </w:p>
    <w:p w14:paraId="1FB3E933">
      <w:pPr>
        <w:spacing w:line="460" w:lineRule="exact"/>
        <w:ind w:firstLine="492"/>
        <w:rPr>
          <w:rFonts w:hint="eastAsia" w:ascii="宋体" w:hAnsi="宋体" w:cs="宋体"/>
          <w:bCs/>
          <w:sz w:val="24"/>
        </w:rPr>
      </w:pPr>
    </w:p>
    <w:p w14:paraId="2415FBF9">
      <w:pPr>
        <w:spacing w:line="460" w:lineRule="exact"/>
        <w:rPr>
          <w:rFonts w:hint="eastAsia" w:ascii="宋体" w:hAnsi="宋体" w:cs="宋体"/>
          <w:bCs/>
          <w:sz w:val="24"/>
        </w:rPr>
      </w:pPr>
      <w:r>
        <w:rPr>
          <w:rFonts w:hint="eastAsia" w:ascii="宋体" w:hAnsi="宋体" w:cs="宋体"/>
          <w:bCs/>
          <w:sz w:val="24"/>
        </w:rPr>
        <w:t xml:space="preserve">                                      供应商名称（公章）：</w:t>
      </w:r>
    </w:p>
    <w:p w14:paraId="0136FA76">
      <w:pPr>
        <w:spacing w:line="460" w:lineRule="exact"/>
        <w:rPr>
          <w:rFonts w:hint="eastAsia" w:ascii="宋体" w:hAnsi="宋体" w:cs="宋体"/>
          <w:bCs/>
          <w:sz w:val="24"/>
        </w:rPr>
      </w:pPr>
      <w:r>
        <w:rPr>
          <w:rFonts w:hint="eastAsia" w:ascii="宋体" w:hAnsi="宋体" w:cs="宋体"/>
          <w:bCs/>
          <w:sz w:val="24"/>
        </w:rPr>
        <w:t xml:space="preserve">                                     </w:t>
      </w:r>
    </w:p>
    <w:p w14:paraId="198B884E">
      <w:pPr>
        <w:spacing w:line="46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______</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2650B267">
      <w:pPr>
        <w:spacing w:line="460" w:lineRule="exact"/>
        <w:rPr>
          <w:rFonts w:hint="eastAsia" w:ascii="宋体" w:hAnsi="宋体" w:cs="宋体"/>
          <w:bCs/>
          <w:sz w:val="24"/>
        </w:rPr>
      </w:pPr>
      <w:r>
        <w:rPr>
          <w:rFonts w:hint="eastAsia" w:ascii="宋体" w:hAnsi="宋体" w:cs="宋体"/>
          <w:bCs/>
          <w:sz w:val="24"/>
        </w:rPr>
        <w:t xml:space="preserve">                             </w:t>
      </w:r>
    </w:p>
    <w:p w14:paraId="0E08867C">
      <w:pPr>
        <w:pStyle w:val="23"/>
        <w:jc w:val="center"/>
        <w:rPr>
          <w:rFonts w:hint="eastAsia" w:ascii="宋体" w:hAnsi="宋体" w:cs="宋体"/>
          <w:sz w:val="24"/>
          <w:szCs w:val="24"/>
        </w:rPr>
      </w:pPr>
      <w:r>
        <w:rPr>
          <w:rFonts w:hint="eastAsia" w:ascii="宋体" w:hAnsi="宋体" w:cs="宋体"/>
        </w:rPr>
        <w:br w:type="page" w:clear="all"/>
      </w:r>
      <w:r>
        <w:rPr>
          <w:rFonts w:hint="eastAsia" w:ascii="宋体" w:hAnsi="宋体" w:cs="宋体"/>
          <w:sz w:val="24"/>
          <w:szCs w:val="24"/>
        </w:rPr>
        <w:t>参加政府采购活动前 3 年内在经营活动中没有重大违法记录的书面声明</w:t>
      </w:r>
    </w:p>
    <w:p w14:paraId="2F5394EF">
      <w:pPr>
        <w:spacing w:line="460" w:lineRule="exact"/>
        <w:rPr>
          <w:rFonts w:hint="eastAsia" w:ascii="宋体" w:hAnsi="宋体" w:cs="宋体"/>
          <w:b/>
          <w:bCs/>
          <w:sz w:val="44"/>
          <w:szCs w:val="44"/>
        </w:rPr>
      </w:pPr>
      <w:r>
        <w:rPr>
          <w:rFonts w:hint="eastAsia" w:ascii="宋体" w:hAnsi="宋体" w:cs="宋体"/>
          <w:b/>
          <w:bCs/>
          <w:sz w:val="24"/>
        </w:rPr>
        <w:t xml:space="preserve">                       </w:t>
      </w:r>
      <w:r>
        <w:rPr>
          <w:rFonts w:hint="eastAsia" w:ascii="宋体" w:hAnsi="宋体" w:cs="宋体"/>
          <w:b/>
          <w:bCs/>
          <w:sz w:val="44"/>
          <w:szCs w:val="44"/>
        </w:rPr>
        <w:t xml:space="preserve">   </w:t>
      </w:r>
    </w:p>
    <w:p w14:paraId="7A0E4CE8">
      <w:pPr>
        <w:spacing w:line="460" w:lineRule="exact"/>
        <w:rPr>
          <w:rFonts w:hint="eastAsia" w:ascii="宋体" w:hAnsi="宋体" w:cs="宋体"/>
          <w:b/>
          <w:bCs/>
          <w:sz w:val="44"/>
          <w:szCs w:val="44"/>
        </w:rPr>
      </w:pPr>
      <w:r>
        <w:rPr>
          <w:rFonts w:hint="eastAsia" w:ascii="宋体" w:hAnsi="宋体" w:cs="宋体"/>
          <w:b/>
          <w:bCs/>
          <w:sz w:val="44"/>
          <w:szCs w:val="44"/>
        </w:rPr>
        <w:t xml:space="preserve">                   声  明</w:t>
      </w:r>
    </w:p>
    <w:p w14:paraId="41CB39DC">
      <w:pPr>
        <w:spacing w:line="460" w:lineRule="exact"/>
        <w:rPr>
          <w:rFonts w:hint="eastAsia" w:ascii="宋体" w:hAnsi="宋体" w:cs="宋体"/>
          <w:bCs/>
          <w:sz w:val="24"/>
        </w:rPr>
      </w:pPr>
      <w:r>
        <w:rPr>
          <w:rFonts w:hint="eastAsia" w:ascii="宋体" w:hAnsi="宋体" w:cs="宋体"/>
          <w:b/>
          <w:bCs/>
          <w:sz w:val="24"/>
        </w:rPr>
        <w:t xml:space="preserve">    </w:t>
      </w:r>
      <w:r>
        <w:rPr>
          <w:rFonts w:hint="eastAsia" w:ascii="宋体" w:hAnsi="宋体" w:cs="宋体"/>
          <w:bCs/>
          <w:sz w:val="24"/>
        </w:rPr>
        <w:t>我公司郑重声明：参加本次政府采购活动前 3 年内，我公司在经营活动中没有因违法经营受到刑事处罚或者责令停产停业、吊销许可证或者执照、较大数额罚款等行政处罚。</w:t>
      </w:r>
    </w:p>
    <w:p w14:paraId="61C2E15D">
      <w:pPr>
        <w:spacing w:line="460" w:lineRule="exact"/>
        <w:rPr>
          <w:rFonts w:hint="eastAsia" w:ascii="宋体" w:hAnsi="宋体" w:cs="宋体"/>
          <w:bCs/>
          <w:sz w:val="24"/>
        </w:rPr>
      </w:pPr>
      <w:r>
        <w:rPr>
          <w:rFonts w:hint="eastAsia" w:ascii="宋体" w:hAnsi="宋体" w:cs="宋体"/>
          <w:bCs/>
          <w:sz w:val="24"/>
        </w:rPr>
        <w:t xml:space="preserve">                                      供应商名称（公章）：</w:t>
      </w:r>
    </w:p>
    <w:p w14:paraId="1D128955">
      <w:pPr>
        <w:spacing w:line="460" w:lineRule="exact"/>
        <w:rPr>
          <w:rFonts w:hint="eastAsia"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_______________________</w:t>
      </w:r>
    </w:p>
    <w:p w14:paraId="1FAAACB1">
      <w:pPr>
        <w:spacing w:line="46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______</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1F9B3E46">
      <w:pPr>
        <w:spacing w:line="460" w:lineRule="exact"/>
        <w:rPr>
          <w:rFonts w:hint="eastAsia" w:ascii="宋体" w:hAnsi="宋体" w:cs="宋体"/>
          <w:bCs/>
          <w:sz w:val="24"/>
        </w:rPr>
      </w:pPr>
    </w:p>
    <w:p w14:paraId="37951D0D">
      <w:pPr>
        <w:pStyle w:val="19"/>
        <w:rPr>
          <w:rFonts w:hint="eastAsia" w:ascii="宋体" w:hAnsi="宋体" w:cs="宋体"/>
        </w:rPr>
      </w:pPr>
    </w:p>
    <w:p w14:paraId="3D2822AA">
      <w:pPr>
        <w:pStyle w:val="19"/>
        <w:rPr>
          <w:rFonts w:hint="eastAsia" w:ascii="宋体" w:hAnsi="宋体" w:cs="宋体"/>
        </w:rPr>
      </w:pPr>
    </w:p>
    <w:p w14:paraId="7CBFD813">
      <w:pPr>
        <w:pStyle w:val="19"/>
        <w:rPr>
          <w:rFonts w:hint="eastAsia" w:ascii="宋体" w:hAnsi="宋体" w:cs="宋体"/>
        </w:rPr>
      </w:pPr>
    </w:p>
    <w:p w14:paraId="4F57FEE2">
      <w:pPr>
        <w:pStyle w:val="19"/>
        <w:rPr>
          <w:rFonts w:hint="eastAsia" w:ascii="宋体" w:hAnsi="宋体" w:cs="宋体"/>
        </w:rPr>
      </w:pPr>
    </w:p>
    <w:p w14:paraId="3E76EC47">
      <w:pPr>
        <w:pStyle w:val="19"/>
        <w:rPr>
          <w:rFonts w:hint="eastAsia" w:ascii="宋体" w:hAnsi="宋体" w:cs="宋体"/>
        </w:rPr>
      </w:pPr>
    </w:p>
    <w:p w14:paraId="7BECBF31">
      <w:pPr>
        <w:pStyle w:val="19"/>
        <w:rPr>
          <w:rFonts w:hint="eastAsia" w:ascii="宋体" w:hAnsi="宋体" w:cs="宋体"/>
        </w:rPr>
      </w:pPr>
    </w:p>
    <w:p w14:paraId="7F2F4F26">
      <w:pPr>
        <w:pStyle w:val="19"/>
        <w:rPr>
          <w:rFonts w:hint="eastAsia" w:ascii="宋体" w:hAnsi="宋体" w:cs="宋体"/>
        </w:rPr>
      </w:pPr>
    </w:p>
    <w:p w14:paraId="039A8B10">
      <w:pPr>
        <w:pStyle w:val="19"/>
        <w:rPr>
          <w:rFonts w:hint="eastAsia" w:ascii="宋体" w:hAnsi="宋体" w:cs="宋体"/>
        </w:rPr>
      </w:pPr>
    </w:p>
    <w:p w14:paraId="781B6C3E">
      <w:pPr>
        <w:pStyle w:val="19"/>
        <w:rPr>
          <w:rFonts w:hint="eastAsia" w:ascii="宋体" w:hAnsi="宋体" w:cs="宋体"/>
        </w:rPr>
      </w:pPr>
    </w:p>
    <w:p w14:paraId="3FFA16F5">
      <w:pPr>
        <w:pStyle w:val="19"/>
        <w:rPr>
          <w:rFonts w:hint="eastAsia" w:ascii="宋体" w:hAnsi="宋体" w:cs="宋体"/>
        </w:rPr>
      </w:pPr>
    </w:p>
    <w:p w14:paraId="155C6470">
      <w:pPr>
        <w:pStyle w:val="19"/>
        <w:rPr>
          <w:rFonts w:hint="eastAsia" w:ascii="宋体" w:hAnsi="宋体" w:cs="宋体"/>
        </w:rPr>
      </w:pPr>
    </w:p>
    <w:p w14:paraId="2B787268">
      <w:pPr>
        <w:pStyle w:val="19"/>
        <w:rPr>
          <w:rFonts w:hint="eastAsia" w:ascii="宋体" w:hAnsi="宋体" w:cs="宋体"/>
        </w:rPr>
      </w:pPr>
    </w:p>
    <w:p w14:paraId="6A873EEF">
      <w:pPr>
        <w:pStyle w:val="19"/>
        <w:rPr>
          <w:rFonts w:hint="eastAsia" w:ascii="宋体" w:hAnsi="宋体" w:cs="宋体"/>
        </w:rPr>
      </w:pPr>
    </w:p>
    <w:p w14:paraId="43E13ABB">
      <w:pPr>
        <w:pStyle w:val="19"/>
        <w:rPr>
          <w:rFonts w:hint="eastAsia" w:ascii="宋体" w:hAnsi="宋体" w:cs="宋体"/>
        </w:rPr>
      </w:pPr>
    </w:p>
    <w:p w14:paraId="27AB6A5D">
      <w:pPr>
        <w:pStyle w:val="19"/>
        <w:rPr>
          <w:rFonts w:hint="eastAsia" w:ascii="宋体" w:hAnsi="宋体" w:cs="宋体"/>
        </w:rPr>
      </w:pPr>
    </w:p>
    <w:p w14:paraId="6631F3AC">
      <w:pPr>
        <w:pStyle w:val="19"/>
        <w:rPr>
          <w:rFonts w:hint="eastAsia" w:ascii="宋体" w:hAnsi="宋体" w:cs="宋体"/>
        </w:rPr>
      </w:pPr>
    </w:p>
    <w:p w14:paraId="1F03ABC8">
      <w:pPr>
        <w:pStyle w:val="19"/>
        <w:rPr>
          <w:rFonts w:hint="eastAsia" w:ascii="宋体" w:hAnsi="宋体" w:cs="宋体"/>
        </w:rPr>
      </w:pPr>
    </w:p>
    <w:p w14:paraId="0CF246C8">
      <w:pPr>
        <w:pStyle w:val="19"/>
        <w:rPr>
          <w:rFonts w:hint="eastAsia" w:ascii="宋体" w:hAnsi="宋体" w:cs="宋体"/>
        </w:rPr>
      </w:pPr>
    </w:p>
    <w:p w14:paraId="61907AFB">
      <w:pPr>
        <w:pStyle w:val="19"/>
        <w:rPr>
          <w:rFonts w:hint="eastAsia" w:ascii="宋体" w:hAnsi="宋体" w:cs="宋体"/>
        </w:rPr>
      </w:pPr>
    </w:p>
    <w:p w14:paraId="4771BF4E">
      <w:pPr>
        <w:pStyle w:val="19"/>
        <w:rPr>
          <w:rFonts w:hint="eastAsia" w:ascii="宋体" w:hAnsi="宋体" w:cs="宋体"/>
        </w:rPr>
      </w:pPr>
    </w:p>
    <w:p w14:paraId="65D275DC">
      <w:pPr>
        <w:pStyle w:val="19"/>
        <w:rPr>
          <w:rFonts w:hint="eastAsia" w:ascii="宋体" w:hAnsi="宋体" w:cs="宋体"/>
        </w:rPr>
      </w:pPr>
    </w:p>
    <w:p w14:paraId="4BCB5E44">
      <w:pPr>
        <w:pStyle w:val="19"/>
        <w:rPr>
          <w:rFonts w:hint="eastAsia" w:ascii="宋体" w:hAnsi="宋体" w:cs="宋体"/>
        </w:rPr>
      </w:pPr>
    </w:p>
    <w:p w14:paraId="4EE15487">
      <w:pPr>
        <w:pStyle w:val="19"/>
        <w:rPr>
          <w:rFonts w:hint="eastAsia" w:ascii="宋体" w:hAnsi="宋体" w:cs="宋体"/>
        </w:rPr>
      </w:pPr>
    </w:p>
    <w:p w14:paraId="05861DCA">
      <w:pPr>
        <w:pStyle w:val="19"/>
        <w:rPr>
          <w:rFonts w:hint="eastAsia" w:ascii="宋体" w:hAnsi="宋体" w:cs="宋体"/>
        </w:rPr>
      </w:pPr>
    </w:p>
    <w:p w14:paraId="73617F2B">
      <w:pPr>
        <w:pStyle w:val="19"/>
        <w:rPr>
          <w:rFonts w:hint="eastAsia" w:ascii="宋体" w:hAnsi="宋体" w:cs="宋体"/>
        </w:rPr>
      </w:pPr>
    </w:p>
    <w:p w14:paraId="6FC5CB83">
      <w:pPr>
        <w:pStyle w:val="19"/>
        <w:rPr>
          <w:rFonts w:hint="eastAsia" w:ascii="宋体" w:hAnsi="宋体" w:cs="宋体"/>
        </w:rPr>
      </w:pPr>
    </w:p>
    <w:p w14:paraId="69BECABA">
      <w:pPr>
        <w:pStyle w:val="19"/>
        <w:rPr>
          <w:rFonts w:hint="eastAsia" w:ascii="宋体" w:hAnsi="宋体" w:cs="宋体"/>
        </w:rPr>
      </w:pPr>
    </w:p>
    <w:p w14:paraId="5F1A4977">
      <w:pPr>
        <w:pStyle w:val="19"/>
        <w:rPr>
          <w:rFonts w:hint="eastAsia" w:ascii="宋体" w:hAnsi="宋体" w:cs="宋体"/>
        </w:rPr>
      </w:pPr>
    </w:p>
    <w:p w14:paraId="45F1233C">
      <w:pPr>
        <w:pStyle w:val="19"/>
        <w:rPr>
          <w:rFonts w:hint="eastAsia" w:ascii="宋体" w:hAnsi="宋体" w:cs="宋体"/>
        </w:rPr>
      </w:pPr>
    </w:p>
    <w:p w14:paraId="133E1562">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p>
    <w:p w14:paraId="0B734C4E">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z w:val="24"/>
          <w:szCs w:val="24"/>
        </w:rPr>
      </w:pPr>
    </w:p>
    <w:p w14:paraId="48CD175C">
      <w:pPr>
        <w:pageBreakBefore w:val="0"/>
        <w:widowControl w:val="0"/>
        <w:kinsoku/>
        <w:wordWrap/>
        <w:overflowPunct/>
        <w:topLinePunct w:val="0"/>
        <w:autoSpaceDE/>
        <w:autoSpaceDN/>
        <w:bidi w:val="0"/>
        <w:adjustRightInd/>
        <w:snapToGrid/>
        <w:spacing w:line="400" w:lineRule="exact"/>
        <w:ind w:firstLine="480"/>
        <w:jc w:val="center"/>
        <w:textAlignment w:val="auto"/>
        <w:rPr>
          <w:rFonts w:hint="eastAsia" w:ascii="宋体" w:hAnsi="宋体" w:eastAsia="宋体" w:cs="宋体"/>
          <w:sz w:val="24"/>
          <w:szCs w:val="24"/>
          <w:lang w:eastAsia="zh-CN"/>
        </w:rPr>
      </w:pPr>
      <w:r>
        <w:rPr>
          <w:rFonts w:hint="eastAsia" w:ascii="宋体" w:hAnsi="宋体" w:cs="宋体"/>
          <w:sz w:val="24"/>
          <w:szCs w:val="24"/>
        </w:rPr>
        <w:t>法人授权书</w:t>
      </w:r>
    </w:p>
    <w:p w14:paraId="5D9F0927">
      <w:pPr>
        <w:pStyle w:val="30"/>
        <w:ind w:firstLine="480"/>
        <w:rPr>
          <w:rFonts w:hint="eastAsia" w:ascii="宋体" w:hAnsi="宋体" w:cs="宋体"/>
          <w:sz w:val="24"/>
          <w:szCs w:val="24"/>
        </w:rPr>
      </w:pPr>
      <w:r>
        <w:rPr>
          <w:rFonts w:hint="eastAsia" w:ascii="宋体" w:hAnsi="宋体" w:cs="宋体"/>
          <w:sz w:val="24"/>
          <w:szCs w:val="24"/>
        </w:rPr>
        <w:t>本授权书声明：____________（供应商名称）授权________________（被授权人的姓名）为我方就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u w:val="none"/>
          <w:lang w:eastAsia="zh-CN"/>
        </w:rPr>
        <w:t>号</w:t>
      </w:r>
      <w:r>
        <w:rPr>
          <w:rFonts w:hint="eastAsia" w:ascii="宋体" w:hAnsi="宋体" w:cs="宋体"/>
          <w:sz w:val="24"/>
          <w:szCs w:val="24"/>
        </w:rPr>
        <w:t>项目采购活动的合法代理人，以本公司名义全权处理一切与该项目采购有关的事务。</w:t>
      </w:r>
    </w:p>
    <w:p w14:paraId="4CDC086B">
      <w:pPr>
        <w:pStyle w:val="30"/>
        <w:ind w:firstLine="480"/>
        <w:rPr>
          <w:rFonts w:hint="eastAsia" w:ascii="宋体" w:hAnsi="宋体" w:cs="宋体"/>
          <w:sz w:val="24"/>
          <w:szCs w:val="24"/>
        </w:rPr>
      </w:pPr>
      <w:r>
        <w:rPr>
          <w:rFonts w:hint="eastAsia" w:ascii="宋体" w:hAnsi="宋体" w:cs="宋体"/>
          <w:sz w:val="24"/>
          <w:szCs w:val="24"/>
        </w:rPr>
        <w:t>本授权书于______年____月____日起生效，特此声明。</w:t>
      </w:r>
    </w:p>
    <w:p w14:paraId="448B48AA">
      <w:pPr>
        <w:pStyle w:val="30"/>
        <w:ind w:firstLine="0"/>
        <w:rPr>
          <w:rFonts w:hint="eastAsia" w:ascii="宋体" w:hAnsi="宋体" w:cs="宋体"/>
          <w:sz w:val="24"/>
          <w:szCs w:val="24"/>
        </w:rPr>
      </w:pPr>
      <w:r>
        <w:rPr>
          <w:rFonts w:hint="eastAsia" w:ascii="宋体" w:hAnsi="宋体" w:cs="宋体"/>
          <w:sz w:val="24"/>
          <w:szCs w:val="24"/>
        </w:rPr>
        <w:t xml:space="preserve">          代理人（被授权人）：_______________________</w:t>
      </w:r>
    </w:p>
    <w:p w14:paraId="5372B1EB">
      <w:pPr>
        <w:pStyle w:val="30"/>
        <w:ind w:firstLine="0"/>
        <w:rPr>
          <w:rFonts w:hint="eastAsia" w:ascii="宋体" w:hAnsi="宋体" w:cs="宋体"/>
          <w:sz w:val="24"/>
          <w:szCs w:val="24"/>
        </w:rPr>
      </w:pPr>
      <w:r>
        <w:rPr>
          <w:rFonts w:hint="eastAsia" w:ascii="宋体" w:hAnsi="宋体" w:cs="宋体"/>
          <w:sz w:val="24"/>
          <w:szCs w:val="24"/>
        </w:rPr>
        <w:t xml:space="preserve">         </w:t>
      </w:r>
    </w:p>
    <w:p w14:paraId="02B2CA52">
      <w:pPr>
        <w:pStyle w:val="30"/>
        <w:ind w:firstLine="0"/>
        <w:rPr>
          <w:rFonts w:hint="eastAsia" w:ascii="宋体" w:hAnsi="宋体" w:cs="宋体"/>
          <w:sz w:val="24"/>
          <w:szCs w:val="24"/>
        </w:rPr>
      </w:pPr>
      <w:r>
        <w:rPr>
          <w:rFonts w:hint="eastAsia" w:ascii="宋体" w:hAnsi="宋体" w:cs="宋体"/>
          <w:sz w:val="24"/>
          <w:szCs w:val="24"/>
        </w:rPr>
        <w:t xml:space="preserve">          单位名称：_____________________________________</w:t>
      </w:r>
    </w:p>
    <w:p w14:paraId="55F620C6">
      <w:pPr>
        <w:pStyle w:val="30"/>
        <w:ind w:firstLine="480"/>
        <w:rPr>
          <w:rFonts w:hint="eastAsia" w:ascii="宋体" w:hAnsi="宋体" w:cs="宋体"/>
          <w:sz w:val="24"/>
          <w:szCs w:val="24"/>
        </w:rPr>
      </w:pPr>
    </w:p>
    <w:p w14:paraId="24D4A2F2">
      <w:pPr>
        <w:pStyle w:val="30"/>
        <w:ind w:firstLine="0"/>
        <w:rPr>
          <w:rFonts w:hint="eastAsia" w:ascii="宋体" w:hAnsi="宋体" w:cs="宋体"/>
          <w:sz w:val="24"/>
          <w:szCs w:val="24"/>
        </w:rPr>
      </w:pPr>
      <w:r>
        <w:rPr>
          <w:rFonts w:hint="eastAsia" w:ascii="宋体" w:hAnsi="宋体" w:cs="宋体"/>
          <w:sz w:val="24"/>
          <w:szCs w:val="24"/>
        </w:rPr>
        <w:t xml:space="preserve">          授权单位盖章：_________________________________</w:t>
      </w:r>
    </w:p>
    <w:p w14:paraId="27BD7C06">
      <w:pPr>
        <w:pStyle w:val="30"/>
        <w:ind w:firstLine="480"/>
        <w:rPr>
          <w:rFonts w:hint="eastAsia" w:ascii="宋体" w:hAnsi="宋体" w:cs="宋体"/>
          <w:sz w:val="24"/>
          <w:szCs w:val="24"/>
        </w:rPr>
      </w:pPr>
      <w:r>
        <w:rPr>
          <w:rFonts w:hint="eastAsia" w:ascii="宋体" w:hAnsi="宋体" w:cs="宋体"/>
          <w:sz w:val="24"/>
          <w:szCs w:val="24"/>
        </w:rPr>
        <w:t xml:space="preserve">      单位名称：_____________________________________</w:t>
      </w:r>
    </w:p>
    <w:p w14:paraId="2E548801">
      <w:pPr>
        <w:pStyle w:val="30"/>
        <w:ind w:firstLine="480"/>
        <w:rPr>
          <w:rFonts w:hint="eastAsia" w:ascii="宋体" w:hAnsi="宋体" w:cs="宋体"/>
          <w:sz w:val="24"/>
          <w:szCs w:val="24"/>
          <w:u w:val="single"/>
        </w:rPr>
      </w:pPr>
      <w:r>
        <w:rPr>
          <w:rFonts w:hint="eastAsia" w:ascii="宋体" w:hAnsi="宋体" w:cs="宋体"/>
          <w:sz w:val="24"/>
          <w:szCs w:val="24"/>
        </w:rPr>
        <w:t xml:space="preserve">      地址：</w:t>
      </w:r>
      <w:r>
        <w:rPr>
          <w:rFonts w:hint="eastAsia" w:ascii="宋体" w:hAnsi="宋体" w:cs="宋体"/>
          <w:sz w:val="24"/>
          <w:szCs w:val="24"/>
          <w:u w:val="single"/>
        </w:rPr>
        <w:t xml:space="preserve">                                         </w:t>
      </w:r>
    </w:p>
    <w:p w14:paraId="6845CFA0">
      <w:pPr>
        <w:pStyle w:val="30"/>
        <w:ind w:firstLine="480"/>
        <w:rPr>
          <w:rFonts w:hint="eastAsia" w:ascii="宋体" w:hAnsi="宋体" w:cs="宋体"/>
          <w:sz w:val="24"/>
          <w:szCs w:val="24"/>
        </w:rPr>
      </w:pPr>
      <w:r>
        <w:rPr>
          <w:rFonts w:hint="eastAsia" w:ascii="宋体" w:hAnsi="宋体" w:cs="宋体"/>
          <w:sz w:val="24"/>
          <w:szCs w:val="24"/>
        </w:rPr>
        <w:t xml:space="preserve">      日期：                    </w:t>
      </w:r>
      <w:bookmarkStart w:id="433" w:name="_Hlt26671380"/>
      <w:bookmarkEnd w:id="433"/>
      <w:bookmarkStart w:id="434" w:name="_Hlt26955070"/>
      <w:bookmarkEnd w:id="434"/>
      <w:bookmarkStart w:id="435" w:name="_格式3__银行出具的资信证明"/>
      <w:bookmarkEnd w:id="435"/>
    </w:p>
    <w:p w14:paraId="7DACAA2C">
      <w:pPr>
        <w:pStyle w:val="19"/>
      </w:pPr>
    </w:p>
    <w:p w14:paraId="2E5DB573">
      <w:pPr>
        <w:pStyle w:val="19"/>
      </w:pPr>
    </w:p>
    <w:p w14:paraId="658FDA04">
      <w:pPr>
        <w:pStyle w:val="19"/>
        <w:ind w:left="0" w:leftChars="0" w:firstLine="0" w:firstLineChars="0"/>
      </w:pPr>
    </w:p>
    <w:p w14:paraId="13160083">
      <w:pPr>
        <w:pStyle w:val="19"/>
      </w:pPr>
    </w:p>
    <w:p w14:paraId="291AB8A8">
      <w:pPr>
        <w:pStyle w:val="19"/>
      </w:pPr>
    </w:p>
    <w:p w14:paraId="231C1D5A">
      <w:pPr>
        <w:pStyle w:val="19"/>
      </w:pPr>
    </w:p>
    <w:p w14:paraId="210BFC44">
      <w:pPr>
        <w:pStyle w:val="19"/>
      </w:pPr>
    </w:p>
    <w:p w14:paraId="5540E9A3">
      <w:pPr>
        <w:pStyle w:val="19"/>
      </w:pPr>
    </w:p>
    <w:p w14:paraId="16B8E3E0">
      <w:pPr>
        <w:pStyle w:val="19"/>
      </w:pPr>
    </w:p>
    <w:p w14:paraId="0AD464AC">
      <w:pPr>
        <w:pStyle w:val="19"/>
      </w:pPr>
    </w:p>
    <w:p w14:paraId="7339CF46">
      <w:pPr>
        <w:pStyle w:val="19"/>
        <w:rPr>
          <w:rFonts w:hint="eastAsia"/>
        </w:rPr>
      </w:pPr>
    </w:p>
    <w:p w14:paraId="5E1B755C">
      <w:pPr>
        <w:pStyle w:val="19"/>
        <w:rPr>
          <w:rFonts w:hint="eastAsia" w:ascii="宋体" w:hAnsi="宋体" w:cs="宋体"/>
        </w:rPr>
      </w:pPr>
    </w:p>
    <w:p w14:paraId="6D3132EE">
      <w:pPr>
        <w:pStyle w:val="19"/>
        <w:rPr>
          <w:rFonts w:hint="eastAsia" w:ascii="宋体" w:hAnsi="宋体" w:cs="宋体"/>
        </w:rPr>
      </w:pPr>
    </w:p>
    <w:p w14:paraId="1E63E4E4">
      <w:pPr>
        <w:pStyle w:val="19"/>
        <w:rPr>
          <w:rFonts w:hint="eastAsia" w:ascii="宋体" w:hAnsi="宋体" w:cs="宋体"/>
        </w:rPr>
      </w:pPr>
    </w:p>
    <w:p w14:paraId="03518B3F">
      <w:pPr>
        <w:pStyle w:val="19"/>
        <w:rPr>
          <w:rFonts w:hint="eastAsia" w:ascii="宋体" w:hAnsi="宋体" w:cs="宋体"/>
        </w:rPr>
      </w:pPr>
    </w:p>
    <w:p w14:paraId="7028CFC2">
      <w:pPr>
        <w:pStyle w:val="19"/>
        <w:rPr>
          <w:rFonts w:ascii="宋体" w:hAnsi="宋体" w:cs="宋体"/>
        </w:rPr>
      </w:pPr>
    </w:p>
    <w:p w14:paraId="59DE8EA5">
      <w:pPr>
        <w:pStyle w:val="19"/>
        <w:rPr>
          <w:rFonts w:ascii="宋体" w:hAnsi="宋体" w:cs="宋体"/>
        </w:rPr>
      </w:pPr>
    </w:p>
    <w:p w14:paraId="10E8376B">
      <w:pPr>
        <w:pStyle w:val="19"/>
        <w:rPr>
          <w:rFonts w:ascii="宋体" w:hAnsi="宋体" w:cs="宋体"/>
        </w:rPr>
      </w:pPr>
    </w:p>
    <w:p w14:paraId="74B2B0FE">
      <w:pPr>
        <w:pStyle w:val="19"/>
        <w:rPr>
          <w:rFonts w:ascii="宋体" w:hAnsi="宋体" w:cs="宋体"/>
        </w:rPr>
      </w:pPr>
    </w:p>
    <w:p w14:paraId="282510D6">
      <w:pPr>
        <w:pStyle w:val="19"/>
        <w:rPr>
          <w:rFonts w:ascii="宋体" w:hAnsi="宋体" w:cs="宋体"/>
        </w:rPr>
      </w:pPr>
    </w:p>
    <w:p w14:paraId="76CFAA6C">
      <w:pPr>
        <w:pStyle w:val="19"/>
        <w:rPr>
          <w:rFonts w:ascii="宋体" w:hAnsi="宋体" w:cs="宋体"/>
        </w:rPr>
      </w:pPr>
    </w:p>
    <w:p w14:paraId="688247AF">
      <w:pPr>
        <w:pStyle w:val="19"/>
        <w:rPr>
          <w:rFonts w:ascii="宋体" w:hAnsi="宋体" w:cs="宋体"/>
        </w:rPr>
      </w:pPr>
    </w:p>
    <w:p w14:paraId="33D7FC7F">
      <w:pPr>
        <w:pStyle w:val="19"/>
        <w:rPr>
          <w:rFonts w:ascii="宋体" w:hAnsi="宋体" w:cs="宋体"/>
        </w:rPr>
      </w:pPr>
    </w:p>
    <w:p w14:paraId="23D3747E">
      <w:pPr>
        <w:pStyle w:val="19"/>
        <w:rPr>
          <w:rFonts w:ascii="宋体" w:hAnsi="宋体" w:cs="宋体"/>
        </w:rPr>
      </w:pPr>
    </w:p>
    <w:p w14:paraId="53C5CEA1">
      <w:pPr>
        <w:pStyle w:val="19"/>
        <w:rPr>
          <w:rFonts w:ascii="宋体" w:hAnsi="宋体" w:cs="宋体"/>
        </w:rPr>
      </w:pPr>
    </w:p>
    <w:p w14:paraId="1DF979E7">
      <w:pPr>
        <w:pStyle w:val="19"/>
        <w:rPr>
          <w:rFonts w:ascii="宋体" w:hAnsi="宋体" w:cs="宋体"/>
        </w:rPr>
      </w:pPr>
    </w:p>
    <w:p w14:paraId="07771C94">
      <w:pPr>
        <w:pStyle w:val="19"/>
        <w:rPr>
          <w:rFonts w:ascii="宋体" w:hAnsi="宋体" w:cs="宋体"/>
        </w:rPr>
      </w:pPr>
    </w:p>
    <w:p w14:paraId="29AAC85F">
      <w:pPr>
        <w:pStyle w:val="19"/>
        <w:rPr>
          <w:rFonts w:ascii="宋体" w:hAnsi="宋体" w:cs="宋体"/>
        </w:rPr>
      </w:pPr>
    </w:p>
    <w:p w14:paraId="7632A28E">
      <w:pPr>
        <w:pStyle w:val="19"/>
        <w:rPr>
          <w:rFonts w:ascii="宋体" w:hAnsi="宋体" w:cs="宋体"/>
        </w:rPr>
      </w:pPr>
    </w:p>
    <w:p w14:paraId="5E6F2669">
      <w:pPr>
        <w:pStyle w:val="19"/>
        <w:rPr>
          <w:rFonts w:ascii="宋体" w:hAnsi="宋体" w:cs="宋体"/>
        </w:rPr>
      </w:pPr>
    </w:p>
    <w:p w14:paraId="7F8F5626">
      <w:pPr>
        <w:pStyle w:val="19"/>
        <w:rPr>
          <w:rFonts w:ascii="宋体" w:hAnsi="宋体" w:cs="宋体"/>
        </w:rPr>
      </w:pPr>
    </w:p>
    <w:p w14:paraId="2AB7450B">
      <w:pPr>
        <w:pStyle w:val="19"/>
        <w:rPr>
          <w:rFonts w:ascii="宋体" w:hAnsi="宋体" w:cs="宋体"/>
        </w:rPr>
      </w:pPr>
    </w:p>
    <w:p w14:paraId="6DDAB4B8">
      <w:pPr>
        <w:pStyle w:val="19"/>
        <w:rPr>
          <w:rFonts w:ascii="宋体" w:hAnsi="宋体" w:cs="宋体"/>
        </w:rPr>
      </w:pPr>
    </w:p>
    <w:p w14:paraId="67634A3D">
      <w:pPr>
        <w:pStyle w:val="19"/>
        <w:rPr>
          <w:rFonts w:ascii="宋体" w:hAnsi="宋体" w:cs="宋体"/>
        </w:rPr>
      </w:pPr>
    </w:p>
    <w:p w14:paraId="13EED5C4">
      <w:pPr>
        <w:pStyle w:val="19"/>
        <w:rPr>
          <w:rFonts w:hint="eastAsia" w:ascii="宋体" w:hAnsi="宋体" w:cs="宋体"/>
        </w:rPr>
      </w:pPr>
    </w:p>
    <w:p w14:paraId="1A8C6EFE">
      <w:pPr>
        <w:pStyle w:val="21"/>
        <w:rPr>
          <w:rFonts w:hint="eastAsia" w:ascii="宋体" w:hAnsi="宋体" w:eastAsia="宋体" w:cs="宋体"/>
          <w:b/>
          <w:bCs/>
          <w:color w:val="000000"/>
        </w:rPr>
      </w:pPr>
    </w:p>
    <w:p w14:paraId="2D00EFCA">
      <w:pPr>
        <w:spacing w:line="560" w:lineRule="exact"/>
        <w:jc w:val="center"/>
        <w:rPr>
          <w:rFonts w:ascii="等线 Light" w:hAnsi="等线 Light" w:eastAsia="等线 Light"/>
          <w:b/>
          <w:bCs/>
          <w:sz w:val="32"/>
          <w:szCs w:val="32"/>
        </w:rPr>
      </w:pPr>
      <w:bookmarkStart w:id="436" w:name="_Hlk130828322"/>
      <w:r>
        <w:rPr>
          <w:rFonts w:hint="eastAsia" w:ascii="等线 Light" w:hAnsi="等线 Light" w:eastAsia="等线 Light"/>
          <w:b/>
          <w:bCs/>
          <w:sz w:val="32"/>
          <w:szCs w:val="32"/>
        </w:rPr>
        <w:t>中小企业声明函（货物）</w:t>
      </w:r>
    </w:p>
    <w:p w14:paraId="396AE995">
      <w:pPr>
        <w:spacing w:line="560" w:lineRule="exact"/>
        <w:jc w:val="center"/>
        <w:rPr>
          <w:rFonts w:ascii="宋体" w:hAnsi="宋体"/>
          <w:b/>
          <w:bCs/>
          <w:sz w:val="32"/>
          <w:szCs w:val="32"/>
        </w:rPr>
      </w:pPr>
    </w:p>
    <w:p w14:paraId="5CEDEA13">
      <w:pPr>
        <w:widowControl/>
        <w:ind w:firstLine="480"/>
        <w:jc w:val="left"/>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i/>
          <w:iCs/>
          <w:sz w:val="24"/>
          <w:szCs w:val="24"/>
          <w:u w:val="single"/>
        </w:rPr>
        <w:t>（单位名称）</w:t>
      </w:r>
      <w:r>
        <w:rPr>
          <w:rFonts w:hint="eastAsia" w:ascii="宋体" w:hAnsi="宋体" w:cs="宋体"/>
          <w:sz w:val="24"/>
          <w:szCs w:val="24"/>
        </w:rPr>
        <w:t>的</w:t>
      </w:r>
      <w:r>
        <w:rPr>
          <w:rFonts w:hint="eastAsia" w:ascii="宋体" w:hAnsi="宋体" w:cs="宋体"/>
          <w:i/>
          <w:iCs/>
          <w:sz w:val="24"/>
          <w:szCs w:val="24"/>
          <w:u w:val="single"/>
        </w:rPr>
        <w:t>（项目名称）</w:t>
      </w:r>
      <w:r>
        <w:rPr>
          <w:rFonts w:hint="eastAsia" w:ascii="宋体" w:hAnsi="宋体" w:cs="宋体"/>
          <w:sz w:val="24"/>
          <w:szCs w:val="24"/>
        </w:rPr>
        <w:t>采购活动，提供的货物全部由符合政策要求的中小企业制造。相关企业（含联合体中的中小企业、签订分包意向协议的中小企业）的具体情况如下：</w:t>
      </w:r>
    </w:p>
    <w:p w14:paraId="70D19956">
      <w:pPr>
        <w:widowControl/>
        <w:ind w:firstLine="480"/>
        <w:jc w:val="left"/>
        <w:rPr>
          <w:rFonts w:ascii="宋体" w:hAnsi="宋体" w:cs="宋体"/>
          <w:sz w:val="24"/>
          <w:szCs w:val="24"/>
        </w:rPr>
      </w:pPr>
      <w:r>
        <w:rPr>
          <w:rFonts w:hint="eastAsia" w:ascii="宋体" w:hAnsi="宋体" w:cs="宋体"/>
          <w:sz w:val="24"/>
          <w:szCs w:val="24"/>
        </w:rPr>
        <w:t>1.</w:t>
      </w:r>
      <w:r>
        <w:rPr>
          <w:rFonts w:hint="eastAsia" w:ascii="宋体" w:hAnsi="宋体" w:cs="宋体"/>
          <w:i/>
          <w:iCs/>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工业</w:t>
      </w:r>
      <w:r>
        <w:rPr>
          <w:rFonts w:hint="eastAsia" w:ascii="宋体" w:hAnsi="宋体" w:cs="宋体"/>
          <w:sz w:val="24"/>
          <w:szCs w:val="24"/>
        </w:rPr>
        <w:t>行业；制造商为</w:t>
      </w:r>
      <w:r>
        <w:rPr>
          <w:rFonts w:hint="eastAsia" w:ascii="宋体" w:hAnsi="宋体" w:cs="宋体"/>
          <w:i/>
          <w:iCs/>
          <w:sz w:val="24"/>
          <w:szCs w:val="24"/>
          <w:u w:val="single"/>
        </w:rPr>
        <w:t>（企业名称）</w:t>
      </w:r>
      <w:r>
        <w:rPr>
          <w:rFonts w:hint="eastAsia" w:ascii="宋体" w:hAnsi="宋体" w:cs="宋体"/>
          <w:sz w:val="24"/>
          <w:szCs w:val="24"/>
        </w:rPr>
        <w:t>，从业人员</w:t>
      </w:r>
      <w:r>
        <w:rPr>
          <w:rFonts w:hint="eastAsia" w:ascii="宋体" w:hAnsi="宋体" w:cs="宋体"/>
          <w:i/>
          <w:iCs/>
          <w:sz w:val="24"/>
          <w:szCs w:val="24"/>
          <w:u w:val="single"/>
        </w:rPr>
        <w:t xml:space="preserve">        </w:t>
      </w:r>
      <w:r>
        <w:rPr>
          <w:rFonts w:hint="eastAsia" w:ascii="宋体" w:hAnsi="宋体" w:cs="宋体"/>
          <w:sz w:val="24"/>
          <w:szCs w:val="24"/>
        </w:rPr>
        <w:t>人，营业收入为</w:t>
      </w:r>
      <w:r>
        <w:rPr>
          <w:rFonts w:hint="eastAsia" w:ascii="宋体" w:hAnsi="宋体" w:cs="宋体"/>
          <w:i/>
          <w:iCs/>
          <w:sz w:val="24"/>
          <w:szCs w:val="24"/>
          <w:u w:val="single"/>
        </w:rPr>
        <w:t xml:space="preserve">        </w:t>
      </w:r>
      <w:r>
        <w:rPr>
          <w:rFonts w:hint="eastAsia" w:ascii="宋体" w:hAnsi="宋体" w:cs="宋体"/>
          <w:sz w:val="24"/>
          <w:szCs w:val="24"/>
        </w:rPr>
        <w:t>万元，资产总额为</w:t>
      </w:r>
      <w:r>
        <w:rPr>
          <w:rFonts w:hint="eastAsia" w:ascii="宋体" w:hAnsi="宋体" w:cs="宋体"/>
          <w:i/>
          <w:iCs/>
          <w:sz w:val="24"/>
          <w:szCs w:val="24"/>
          <w:u w:val="single"/>
        </w:rPr>
        <w:t xml:space="preserve">        </w:t>
      </w:r>
      <w:r>
        <w:rPr>
          <w:rFonts w:hint="eastAsia" w:ascii="宋体" w:hAnsi="宋体" w:cs="宋体"/>
          <w:sz w:val="24"/>
          <w:szCs w:val="24"/>
        </w:rPr>
        <w:t>万元，属于</w:t>
      </w:r>
      <w:r>
        <w:rPr>
          <w:rFonts w:hint="eastAsia" w:ascii="宋体" w:hAnsi="宋体" w:cs="宋体"/>
          <w:i/>
          <w:iCs/>
          <w:sz w:val="24"/>
          <w:szCs w:val="24"/>
          <w:u w:val="single"/>
        </w:rPr>
        <w:t>（中型企业、小型企业、微型企业）</w:t>
      </w:r>
      <w:r>
        <w:rPr>
          <w:rFonts w:hint="eastAsia" w:ascii="宋体" w:hAnsi="宋体" w:cs="宋体"/>
          <w:sz w:val="24"/>
          <w:szCs w:val="24"/>
        </w:rPr>
        <w:t>；</w:t>
      </w:r>
    </w:p>
    <w:p w14:paraId="2D0BC93D">
      <w:pPr>
        <w:widowControl/>
        <w:ind w:firstLine="480"/>
        <w:jc w:val="left"/>
        <w:rPr>
          <w:rFonts w:ascii="宋体" w:hAnsi="宋体" w:cs="宋体"/>
          <w:sz w:val="24"/>
          <w:szCs w:val="24"/>
        </w:rPr>
      </w:pPr>
      <w:r>
        <w:rPr>
          <w:rFonts w:hint="eastAsia" w:ascii="宋体" w:hAnsi="宋体" w:cs="宋体"/>
          <w:sz w:val="24"/>
          <w:szCs w:val="24"/>
        </w:rPr>
        <w:t>……</w:t>
      </w:r>
    </w:p>
    <w:p w14:paraId="641CE598">
      <w:pPr>
        <w:widowControl/>
        <w:ind w:firstLine="480"/>
        <w:jc w:val="left"/>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719340C2">
      <w:pPr>
        <w:widowControl/>
        <w:ind w:firstLine="480"/>
        <w:jc w:val="left"/>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398021A0">
      <w:pPr>
        <w:widowControl/>
        <w:ind w:firstLine="4080"/>
        <w:jc w:val="left"/>
        <w:rPr>
          <w:rFonts w:ascii="宋体" w:hAnsi="宋体" w:cs="宋体"/>
          <w:sz w:val="24"/>
          <w:szCs w:val="24"/>
        </w:rPr>
      </w:pPr>
      <w:r>
        <w:rPr>
          <w:rFonts w:hint="eastAsia" w:ascii="宋体" w:hAnsi="宋体" w:cs="宋体"/>
          <w:sz w:val="24"/>
          <w:szCs w:val="24"/>
        </w:rPr>
        <w:t>企业名称（盖章）：</w:t>
      </w:r>
    </w:p>
    <w:p w14:paraId="75DC11ED">
      <w:pPr>
        <w:widowControl/>
        <w:ind w:firstLine="4080"/>
        <w:jc w:val="left"/>
        <w:rPr>
          <w:rFonts w:ascii="宋体" w:hAnsi="宋体" w:cs="宋体"/>
          <w:sz w:val="24"/>
          <w:szCs w:val="24"/>
        </w:rPr>
      </w:pPr>
      <w:r>
        <w:rPr>
          <w:rFonts w:hint="eastAsia" w:ascii="宋体" w:hAnsi="宋体" w:cs="宋体"/>
          <w:sz w:val="24"/>
          <w:szCs w:val="24"/>
        </w:rPr>
        <w:t>日期：</w:t>
      </w:r>
    </w:p>
    <w:p w14:paraId="5B0663CE">
      <w:pPr>
        <w:spacing w:line="560" w:lineRule="exact"/>
        <w:jc w:val="center"/>
        <w:rPr>
          <w:rFonts w:ascii="宋体" w:hAnsi="宋体"/>
          <w:b/>
          <w:bCs/>
        </w:rPr>
      </w:pPr>
      <w:r>
        <w:rPr>
          <w:rFonts w:hint="eastAsia" w:ascii="宋体" w:hAnsi="宋体"/>
          <w:b/>
          <w:bCs/>
        </w:rPr>
        <w:t>从业人员、营业收入、资产总额填报上一年度数据，无上一年度数据的新成立企业可不填报。</w:t>
      </w:r>
    </w:p>
    <w:bookmarkEnd w:id="436"/>
    <w:p w14:paraId="1E796662">
      <w:pPr>
        <w:spacing w:line="560" w:lineRule="exact"/>
        <w:jc w:val="center"/>
        <w:rPr>
          <w:rFonts w:ascii="宋体" w:hAnsi="宋体"/>
          <w:b/>
          <w:bCs/>
          <w:sz w:val="24"/>
          <w:szCs w:val="24"/>
        </w:rPr>
      </w:pPr>
    </w:p>
    <w:p w14:paraId="1E2766FA">
      <w:pPr>
        <w:widowControl/>
        <w:spacing w:before="100" w:beforeAutospacing="1" w:after="100" w:afterAutospacing="1" w:line="360" w:lineRule="auto"/>
        <w:ind w:firstLine="2730"/>
        <w:jc w:val="left"/>
        <w:rPr>
          <w:rFonts w:hint="eastAsia" w:ascii="宋体" w:hAnsi="宋体" w:cs="宋体"/>
        </w:rPr>
      </w:pPr>
      <w:r>
        <w:rPr>
          <w:rFonts w:hint="eastAsia" w:ascii="宋体" w:hAnsi="宋体" w:cs="宋体"/>
        </w:rPr>
        <w:t xml:space="preserve">    </w:t>
      </w:r>
    </w:p>
    <w:p w14:paraId="1369CD01">
      <w:pPr>
        <w:pStyle w:val="16"/>
        <w:rPr>
          <w:rFonts w:hint="eastAsia"/>
        </w:rPr>
      </w:pPr>
    </w:p>
    <w:p w14:paraId="25D53A64">
      <w:pPr>
        <w:pStyle w:val="19"/>
      </w:pPr>
    </w:p>
    <w:p w14:paraId="76B70B8E">
      <w:pPr>
        <w:pStyle w:val="19"/>
      </w:pPr>
    </w:p>
    <w:p w14:paraId="097FA0AC">
      <w:pPr>
        <w:pStyle w:val="19"/>
      </w:pPr>
    </w:p>
    <w:p w14:paraId="63E872B5">
      <w:pPr>
        <w:pStyle w:val="19"/>
      </w:pPr>
    </w:p>
    <w:p w14:paraId="36B83D60">
      <w:pPr>
        <w:pStyle w:val="19"/>
      </w:pPr>
    </w:p>
    <w:p w14:paraId="469F7F9A">
      <w:pPr>
        <w:pStyle w:val="19"/>
      </w:pPr>
    </w:p>
    <w:p w14:paraId="0E9546B2">
      <w:pPr>
        <w:pStyle w:val="19"/>
      </w:pPr>
    </w:p>
    <w:p w14:paraId="7107A9EC">
      <w:pPr>
        <w:pStyle w:val="19"/>
      </w:pPr>
    </w:p>
    <w:p w14:paraId="60EBF08A">
      <w:pPr>
        <w:pStyle w:val="19"/>
      </w:pPr>
    </w:p>
    <w:p w14:paraId="4D1E9E84">
      <w:pPr>
        <w:pStyle w:val="19"/>
      </w:pPr>
    </w:p>
    <w:p w14:paraId="39CA488D">
      <w:pPr>
        <w:pStyle w:val="19"/>
      </w:pPr>
    </w:p>
    <w:p w14:paraId="3B715F0E">
      <w:pPr>
        <w:pStyle w:val="19"/>
      </w:pPr>
    </w:p>
    <w:p w14:paraId="0634D54C">
      <w:pPr>
        <w:pStyle w:val="19"/>
      </w:pPr>
    </w:p>
    <w:p w14:paraId="61BD2F6D">
      <w:pPr>
        <w:pStyle w:val="19"/>
      </w:pPr>
    </w:p>
    <w:p w14:paraId="46EE6894">
      <w:pPr>
        <w:pStyle w:val="19"/>
      </w:pPr>
    </w:p>
    <w:p w14:paraId="184465DE">
      <w:pPr>
        <w:pStyle w:val="19"/>
      </w:pPr>
    </w:p>
    <w:p w14:paraId="40405080">
      <w:pPr>
        <w:pStyle w:val="19"/>
      </w:pPr>
    </w:p>
    <w:p w14:paraId="0D460969">
      <w:pPr>
        <w:pStyle w:val="19"/>
      </w:pPr>
    </w:p>
    <w:p w14:paraId="59CCC79C">
      <w:pPr>
        <w:pStyle w:val="19"/>
      </w:pPr>
    </w:p>
    <w:p w14:paraId="785A412A">
      <w:pPr>
        <w:pStyle w:val="19"/>
      </w:pPr>
    </w:p>
    <w:p w14:paraId="6F500948">
      <w:pPr>
        <w:pStyle w:val="19"/>
      </w:pPr>
    </w:p>
    <w:p w14:paraId="6AE2145F">
      <w:pPr>
        <w:pStyle w:val="19"/>
        <w:rPr>
          <w:rFonts w:hint="eastAsia"/>
        </w:rPr>
      </w:pPr>
    </w:p>
    <w:p w14:paraId="7774C41B">
      <w:pPr>
        <w:pStyle w:val="19"/>
      </w:pPr>
    </w:p>
    <w:p w14:paraId="5AAAA851">
      <w:pPr>
        <w:pStyle w:val="19"/>
        <w:rPr>
          <w:rFonts w:hint="eastAsia"/>
        </w:rPr>
      </w:pPr>
    </w:p>
    <w:p w14:paraId="2524F195">
      <w:pPr>
        <w:pStyle w:val="19"/>
        <w:rPr>
          <w:rFonts w:hint="eastAsia"/>
        </w:rPr>
      </w:pPr>
    </w:p>
    <w:p w14:paraId="2B75023C">
      <w:pPr>
        <w:spacing w:before="50" w:after="50"/>
        <w:jc w:val="center"/>
        <w:rPr>
          <w:rFonts w:hint="eastAsia" w:ascii="宋体" w:hAnsi="宋体" w:cs="宋体"/>
          <w:sz w:val="32"/>
          <w:szCs w:val="32"/>
        </w:rPr>
      </w:pPr>
      <w:r>
        <w:rPr>
          <w:rFonts w:hint="eastAsia" w:ascii="宋体" w:hAnsi="宋体" w:cs="宋体"/>
          <w:sz w:val="32"/>
          <w:szCs w:val="32"/>
        </w:rPr>
        <w:t>二、资格性审查响应对照表</w:t>
      </w:r>
    </w:p>
    <w:p w14:paraId="718DDFA4">
      <w:pPr>
        <w:ind w:firstLine="309"/>
        <w:rPr>
          <w:rFonts w:hint="eastAsia" w:ascii="宋体" w:hAnsi="宋体" w:cs="宋体"/>
          <w:sz w:val="24"/>
          <w:szCs w:val="24"/>
        </w:rPr>
      </w:pPr>
      <w:r>
        <w:rPr>
          <w:rFonts w:hint="eastAsia" w:ascii="宋体" w:hAnsi="宋体" w:cs="宋体"/>
          <w:sz w:val="24"/>
          <w:szCs w:val="24"/>
        </w:rPr>
        <w:t>投标人全称（加盖公章）：</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tblGrid>
      <w:tr w14:paraId="21B3D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6" w:type="dxa"/>
            <w:noWrap w:val="0"/>
            <w:vAlign w:val="center"/>
          </w:tcPr>
          <w:p w14:paraId="6E27A532">
            <w:pPr>
              <w:spacing w:line="240" w:lineRule="atLeast"/>
              <w:jc w:val="center"/>
              <w:rPr>
                <w:rFonts w:hint="eastAsia" w:ascii="宋体" w:hAnsi="宋体" w:cs="宋体"/>
                <w:b/>
              </w:rPr>
            </w:pPr>
            <w:r>
              <w:rPr>
                <w:rFonts w:hint="eastAsia" w:ascii="宋体" w:hAnsi="宋体" w:cs="宋体"/>
                <w:b/>
              </w:rPr>
              <w:t>序号</w:t>
            </w:r>
          </w:p>
        </w:tc>
        <w:tc>
          <w:tcPr>
            <w:tcW w:w="5447" w:type="dxa"/>
            <w:noWrap w:val="0"/>
            <w:vAlign w:val="center"/>
          </w:tcPr>
          <w:p w14:paraId="7C959671">
            <w:pPr>
              <w:spacing w:line="240" w:lineRule="atLeast"/>
              <w:jc w:val="center"/>
              <w:rPr>
                <w:rFonts w:hint="eastAsia" w:ascii="宋体" w:hAnsi="宋体" w:cs="宋体"/>
                <w:b/>
              </w:rPr>
            </w:pPr>
            <w:r>
              <w:rPr>
                <w:rFonts w:hint="eastAsia" w:ascii="宋体" w:hAnsi="宋体" w:cs="宋体"/>
                <w:b/>
              </w:rPr>
              <w:t>资格性审查响应内容</w:t>
            </w:r>
          </w:p>
        </w:tc>
        <w:tc>
          <w:tcPr>
            <w:tcW w:w="1680" w:type="dxa"/>
            <w:noWrap w:val="0"/>
            <w:vAlign w:val="center"/>
          </w:tcPr>
          <w:p w14:paraId="3FC8BC21">
            <w:pPr>
              <w:spacing w:line="240" w:lineRule="atLeast"/>
              <w:jc w:val="center"/>
              <w:rPr>
                <w:rFonts w:hint="eastAsia" w:ascii="宋体" w:hAnsi="宋体" w:cs="宋体"/>
                <w:b/>
              </w:rPr>
            </w:pPr>
            <w:r>
              <w:rPr>
                <w:rFonts w:hint="eastAsia" w:ascii="宋体" w:hAnsi="宋体" w:cs="宋体"/>
                <w:b/>
              </w:rPr>
              <w:t>是否响应</w:t>
            </w:r>
          </w:p>
          <w:p w14:paraId="039C50AD">
            <w:pPr>
              <w:spacing w:line="240" w:lineRule="atLeast"/>
              <w:jc w:val="center"/>
              <w:rPr>
                <w:rFonts w:hint="eastAsia" w:ascii="宋体" w:hAnsi="宋体" w:cs="宋体"/>
                <w:b/>
              </w:rPr>
            </w:pPr>
            <w:r>
              <w:rPr>
                <w:rFonts w:hint="eastAsia" w:ascii="宋体" w:hAnsi="宋体" w:cs="宋体"/>
                <w:b/>
              </w:rPr>
              <w:t>（填是或者否）</w:t>
            </w:r>
          </w:p>
        </w:tc>
      </w:tr>
      <w:tr w14:paraId="71110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7E8176EC">
            <w:pPr>
              <w:jc w:val="center"/>
              <w:rPr>
                <w:rFonts w:hint="eastAsia" w:ascii="宋体" w:hAnsi="宋体" w:cs="宋体"/>
                <w:b/>
              </w:rPr>
            </w:pPr>
            <w:r>
              <w:rPr>
                <w:rFonts w:hint="eastAsia" w:ascii="宋体" w:hAnsi="宋体" w:cs="宋体"/>
                <w:b/>
              </w:rPr>
              <w:t>1</w:t>
            </w:r>
          </w:p>
        </w:tc>
        <w:tc>
          <w:tcPr>
            <w:tcW w:w="5447" w:type="dxa"/>
            <w:noWrap w:val="0"/>
            <w:vAlign w:val="center"/>
          </w:tcPr>
          <w:p w14:paraId="11A2A825">
            <w:pPr>
              <w:spacing w:line="480" w:lineRule="exact"/>
              <w:jc w:val="center"/>
              <w:rPr>
                <w:rFonts w:hint="eastAsia" w:ascii="宋体" w:hAnsi="宋体" w:cs="宋体"/>
                <w:iCs/>
                <w:sz w:val="24"/>
                <w:szCs w:val="24"/>
              </w:rPr>
            </w:pPr>
          </w:p>
        </w:tc>
        <w:tc>
          <w:tcPr>
            <w:tcW w:w="1680" w:type="dxa"/>
            <w:noWrap w:val="0"/>
            <w:vAlign w:val="center"/>
          </w:tcPr>
          <w:p w14:paraId="609E4BCE">
            <w:pPr>
              <w:rPr>
                <w:rFonts w:hint="eastAsia" w:ascii="宋体" w:hAnsi="宋体" w:cs="宋体"/>
                <w:b/>
              </w:rPr>
            </w:pPr>
          </w:p>
        </w:tc>
      </w:tr>
      <w:tr w14:paraId="0BE8A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7EA632F2">
            <w:pPr>
              <w:jc w:val="center"/>
              <w:rPr>
                <w:rFonts w:hint="eastAsia" w:ascii="宋体" w:hAnsi="宋体" w:cs="宋体"/>
              </w:rPr>
            </w:pPr>
            <w:r>
              <w:rPr>
                <w:rFonts w:hint="eastAsia" w:ascii="宋体" w:hAnsi="宋体" w:cs="宋体"/>
              </w:rPr>
              <w:t>2</w:t>
            </w:r>
          </w:p>
        </w:tc>
        <w:tc>
          <w:tcPr>
            <w:tcW w:w="5447" w:type="dxa"/>
            <w:noWrap w:val="0"/>
            <w:vAlign w:val="center"/>
          </w:tcPr>
          <w:p w14:paraId="1508B105">
            <w:pPr>
              <w:spacing w:line="480" w:lineRule="exact"/>
              <w:jc w:val="center"/>
              <w:rPr>
                <w:rFonts w:hint="eastAsia" w:ascii="宋体" w:hAnsi="宋体" w:cs="宋体"/>
                <w:iCs/>
                <w:sz w:val="24"/>
                <w:szCs w:val="24"/>
              </w:rPr>
            </w:pPr>
          </w:p>
        </w:tc>
        <w:tc>
          <w:tcPr>
            <w:tcW w:w="1680" w:type="dxa"/>
            <w:noWrap w:val="0"/>
            <w:vAlign w:val="center"/>
          </w:tcPr>
          <w:p w14:paraId="519AA954">
            <w:pPr>
              <w:rPr>
                <w:rFonts w:hint="eastAsia" w:ascii="宋体" w:hAnsi="宋体" w:cs="宋体"/>
              </w:rPr>
            </w:pPr>
          </w:p>
        </w:tc>
      </w:tr>
      <w:tr w14:paraId="201C6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649EBE8D">
            <w:pPr>
              <w:jc w:val="center"/>
              <w:rPr>
                <w:rFonts w:hint="eastAsia" w:ascii="宋体" w:hAnsi="宋体" w:cs="宋体"/>
              </w:rPr>
            </w:pPr>
            <w:r>
              <w:rPr>
                <w:rFonts w:hint="eastAsia" w:ascii="宋体" w:hAnsi="宋体" w:cs="宋体"/>
              </w:rPr>
              <w:t>3</w:t>
            </w:r>
          </w:p>
        </w:tc>
        <w:tc>
          <w:tcPr>
            <w:tcW w:w="5447" w:type="dxa"/>
            <w:noWrap w:val="0"/>
            <w:vAlign w:val="center"/>
          </w:tcPr>
          <w:p w14:paraId="189D5113">
            <w:pPr>
              <w:spacing w:line="480" w:lineRule="exact"/>
              <w:jc w:val="center"/>
              <w:rPr>
                <w:rFonts w:hint="eastAsia" w:ascii="宋体" w:hAnsi="宋体" w:cs="宋体"/>
                <w:iCs/>
                <w:sz w:val="24"/>
                <w:szCs w:val="24"/>
              </w:rPr>
            </w:pPr>
          </w:p>
        </w:tc>
        <w:tc>
          <w:tcPr>
            <w:tcW w:w="1680" w:type="dxa"/>
            <w:noWrap w:val="0"/>
            <w:vAlign w:val="center"/>
          </w:tcPr>
          <w:p w14:paraId="7B71B865">
            <w:pPr>
              <w:rPr>
                <w:rFonts w:hint="eastAsia" w:ascii="宋体" w:hAnsi="宋体" w:cs="宋体"/>
              </w:rPr>
            </w:pPr>
          </w:p>
        </w:tc>
      </w:tr>
      <w:tr w14:paraId="28DF5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1660D032">
            <w:pPr>
              <w:jc w:val="center"/>
              <w:rPr>
                <w:rFonts w:hint="eastAsia" w:ascii="宋体" w:hAnsi="宋体" w:cs="宋体"/>
              </w:rPr>
            </w:pPr>
            <w:r>
              <w:rPr>
                <w:rFonts w:hint="eastAsia" w:ascii="宋体" w:hAnsi="宋体" w:cs="宋体"/>
              </w:rPr>
              <w:t>4</w:t>
            </w:r>
          </w:p>
        </w:tc>
        <w:tc>
          <w:tcPr>
            <w:tcW w:w="5447" w:type="dxa"/>
            <w:noWrap w:val="0"/>
            <w:vAlign w:val="center"/>
          </w:tcPr>
          <w:p w14:paraId="23DF6EA9">
            <w:pPr>
              <w:spacing w:line="480" w:lineRule="exact"/>
              <w:jc w:val="center"/>
              <w:rPr>
                <w:rFonts w:hint="eastAsia" w:ascii="宋体" w:hAnsi="宋体" w:cs="宋体"/>
                <w:iCs/>
                <w:sz w:val="24"/>
                <w:szCs w:val="24"/>
              </w:rPr>
            </w:pPr>
          </w:p>
        </w:tc>
        <w:tc>
          <w:tcPr>
            <w:tcW w:w="1680" w:type="dxa"/>
            <w:noWrap w:val="0"/>
            <w:vAlign w:val="center"/>
          </w:tcPr>
          <w:p w14:paraId="37B8DEE0">
            <w:pPr>
              <w:rPr>
                <w:rFonts w:hint="eastAsia" w:ascii="宋体" w:hAnsi="宋体" w:cs="宋体"/>
              </w:rPr>
            </w:pPr>
          </w:p>
        </w:tc>
      </w:tr>
      <w:tr w14:paraId="22E9C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5" w:hRule="atLeast"/>
          <w:jc w:val="center"/>
        </w:trPr>
        <w:tc>
          <w:tcPr>
            <w:tcW w:w="646" w:type="dxa"/>
            <w:noWrap w:val="0"/>
            <w:vAlign w:val="center"/>
          </w:tcPr>
          <w:p w14:paraId="0668A00C">
            <w:pPr>
              <w:jc w:val="center"/>
              <w:rPr>
                <w:rFonts w:hint="eastAsia" w:ascii="宋体" w:hAnsi="宋体" w:cs="宋体"/>
              </w:rPr>
            </w:pPr>
            <w:r>
              <w:rPr>
                <w:rFonts w:hint="eastAsia" w:ascii="宋体" w:hAnsi="宋体" w:cs="宋体"/>
              </w:rPr>
              <w:t>5</w:t>
            </w:r>
          </w:p>
        </w:tc>
        <w:tc>
          <w:tcPr>
            <w:tcW w:w="5447" w:type="dxa"/>
            <w:noWrap w:val="0"/>
            <w:vAlign w:val="center"/>
          </w:tcPr>
          <w:p w14:paraId="2351EF5D">
            <w:pPr>
              <w:spacing w:line="480" w:lineRule="exact"/>
              <w:jc w:val="center"/>
              <w:rPr>
                <w:rFonts w:hint="eastAsia" w:ascii="宋体" w:hAnsi="宋体" w:cs="宋体"/>
                <w:iCs/>
                <w:sz w:val="24"/>
                <w:szCs w:val="24"/>
              </w:rPr>
            </w:pPr>
          </w:p>
        </w:tc>
        <w:tc>
          <w:tcPr>
            <w:tcW w:w="1680" w:type="dxa"/>
            <w:noWrap w:val="0"/>
            <w:vAlign w:val="center"/>
          </w:tcPr>
          <w:p w14:paraId="7B270057">
            <w:pPr>
              <w:rPr>
                <w:rFonts w:hint="eastAsia" w:ascii="宋体" w:hAnsi="宋体" w:cs="宋体"/>
              </w:rPr>
            </w:pPr>
          </w:p>
        </w:tc>
      </w:tr>
      <w:tr w14:paraId="031C5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5153F4B4">
            <w:pPr>
              <w:jc w:val="center"/>
              <w:rPr>
                <w:rFonts w:hint="eastAsia" w:ascii="宋体" w:hAnsi="宋体" w:cs="宋体"/>
              </w:rPr>
            </w:pPr>
            <w:r>
              <w:rPr>
                <w:rFonts w:hint="eastAsia" w:ascii="宋体" w:hAnsi="宋体" w:cs="宋体"/>
              </w:rPr>
              <w:t>6</w:t>
            </w:r>
          </w:p>
        </w:tc>
        <w:tc>
          <w:tcPr>
            <w:tcW w:w="5447" w:type="dxa"/>
            <w:noWrap w:val="0"/>
            <w:vAlign w:val="center"/>
          </w:tcPr>
          <w:p w14:paraId="563AF37C">
            <w:pPr>
              <w:spacing w:line="480" w:lineRule="exact"/>
              <w:jc w:val="center"/>
              <w:rPr>
                <w:rFonts w:hint="eastAsia" w:ascii="宋体" w:hAnsi="宋体" w:cs="宋体"/>
                <w:iCs/>
                <w:sz w:val="24"/>
                <w:szCs w:val="24"/>
              </w:rPr>
            </w:pPr>
          </w:p>
        </w:tc>
        <w:tc>
          <w:tcPr>
            <w:tcW w:w="1680" w:type="dxa"/>
            <w:noWrap w:val="0"/>
            <w:vAlign w:val="center"/>
          </w:tcPr>
          <w:p w14:paraId="273B49D9">
            <w:pPr>
              <w:rPr>
                <w:rFonts w:hint="eastAsia" w:ascii="宋体" w:hAnsi="宋体" w:cs="宋体"/>
              </w:rPr>
            </w:pPr>
          </w:p>
        </w:tc>
      </w:tr>
    </w:tbl>
    <w:p w14:paraId="7546A565">
      <w:pPr>
        <w:spacing w:line="440" w:lineRule="exact"/>
        <w:ind w:firstLine="480"/>
        <w:rPr>
          <w:rFonts w:hint="eastAsia" w:ascii="宋体" w:hAnsi="宋体" w:cs="宋体"/>
          <w:sz w:val="24"/>
        </w:rPr>
      </w:pPr>
    </w:p>
    <w:bookmarkEnd w:id="430"/>
    <w:bookmarkEnd w:id="431"/>
    <w:bookmarkEnd w:id="432"/>
    <w:p w14:paraId="73F41634">
      <w:pPr>
        <w:spacing w:before="50" w:after="50"/>
        <w:rPr>
          <w:rFonts w:hint="eastAsia" w:ascii="宋体" w:hAnsi="宋体" w:cs="宋体"/>
          <w:sz w:val="44"/>
        </w:rPr>
      </w:pPr>
      <w:r>
        <w:rPr>
          <w:rFonts w:hint="eastAsia" w:ascii="宋体" w:hAnsi="宋体" w:cs="宋体"/>
          <w:sz w:val="44"/>
        </w:rPr>
        <w:t xml:space="preserve"> </w:t>
      </w:r>
    </w:p>
    <w:p w14:paraId="2579E900">
      <w:pPr>
        <w:spacing w:before="50" w:after="50"/>
        <w:rPr>
          <w:rFonts w:hint="eastAsia" w:ascii="宋体" w:hAnsi="宋体" w:cs="宋体"/>
          <w:sz w:val="44"/>
        </w:rPr>
      </w:pPr>
    </w:p>
    <w:p w14:paraId="6E6FB8DB">
      <w:pPr>
        <w:spacing w:before="50" w:after="50"/>
        <w:rPr>
          <w:rFonts w:hint="eastAsia" w:ascii="宋体" w:hAnsi="宋体" w:cs="宋体"/>
          <w:sz w:val="44"/>
        </w:rPr>
      </w:pPr>
    </w:p>
    <w:p w14:paraId="48C07F00">
      <w:pPr>
        <w:spacing w:before="50" w:after="50"/>
        <w:rPr>
          <w:rFonts w:hint="eastAsia" w:ascii="宋体" w:hAnsi="宋体" w:cs="宋体"/>
          <w:sz w:val="44"/>
        </w:rPr>
      </w:pPr>
    </w:p>
    <w:p w14:paraId="1477E37B">
      <w:pPr>
        <w:spacing w:before="50" w:after="50"/>
        <w:rPr>
          <w:rFonts w:hint="eastAsia" w:ascii="宋体" w:hAnsi="宋体" w:cs="宋体"/>
          <w:sz w:val="44"/>
        </w:rPr>
      </w:pPr>
    </w:p>
    <w:p w14:paraId="07440816">
      <w:pPr>
        <w:pStyle w:val="21"/>
        <w:rPr>
          <w:rFonts w:hint="eastAsia" w:ascii="宋体" w:hAnsi="宋体" w:eastAsia="宋体" w:cs="宋体"/>
          <w:color w:val="000000"/>
          <w:sz w:val="44"/>
        </w:rPr>
      </w:pPr>
    </w:p>
    <w:p w14:paraId="24AC3385">
      <w:pPr>
        <w:pStyle w:val="21"/>
        <w:rPr>
          <w:rFonts w:hint="eastAsia" w:ascii="宋体" w:hAnsi="宋体" w:eastAsia="宋体" w:cs="宋体"/>
          <w:color w:val="000000"/>
          <w:sz w:val="44"/>
        </w:rPr>
      </w:pPr>
    </w:p>
    <w:p w14:paraId="1F3A28B2">
      <w:pPr>
        <w:pStyle w:val="21"/>
        <w:rPr>
          <w:rFonts w:hint="eastAsia" w:ascii="宋体" w:hAnsi="宋体" w:eastAsia="宋体" w:cs="宋体"/>
          <w:color w:val="000000"/>
          <w:sz w:val="44"/>
        </w:rPr>
      </w:pPr>
    </w:p>
    <w:p w14:paraId="5C5DDF94">
      <w:pPr>
        <w:pStyle w:val="21"/>
        <w:rPr>
          <w:rFonts w:hint="eastAsia" w:ascii="宋体" w:hAnsi="宋体" w:eastAsia="宋体" w:cs="宋体"/>
          <w:color w:val="000000"/>
          <w:sz w:val="44"/>
        </w:rPr>
      </w:pPr>
    </w:p>
    <w:p w14:paraId="0DD1A608">
      <w:pPr>
        <w:pStyle w:val="21"/>
        <w:rPr>
          <w:rFonts w:hint="eastAsia" w:ascii="宋体" w:hAnsi="宋体" w:eastAsia="宋体" w:cs="宋体"/>
          <w:color w:val="000000"/>
          <w:sz w:val="44"/>
        </w:rPr>
      </w:pPr>
    </w:p>
    <w:p w14:paraId="2865083A">
      <w:pPr>
        <w:pStyle w:val="21"/>
        <w:rPr>
          <w:rFonts w:hint="eastAsia" w:ascii="宋体" w:hAnsi="宋体" w:eastAsia="宋体" w:cs="宋体"/>
          <w:color w:val="000000"/>
          <w:sz w:val="44"/>
        </w:rPr>
      </w:pPr>
    </w:p>
    <w:p w14:paraId="03C32008">
      <w:pPr>
        <w:pStyle w:val="21"/>
        <w:rPr>
          <w:rFonts w:hint="eastAsia" w:ascii="宋体" w:hAnsi="宋体" w:eastAsia="宋体" w:cs="宋体"/>
          <w:color w:val="000000"/>
          <w:sz w:val="44"/>
        </w:rPr>
      </w:pPr>
    </w:p>
    <w:p w14:paraId="697A59DF">
      <w:pPr>
        <w:spacing w:before="50" w:after="50"/>
        <w:jc w:val="center"/>
        <w:rPr>
          <w:rFonts w:hint="eastAsia" w:ascii="宋体" w:hAnsi="宋体" w:cs="宋体"/>
          <w:sz w:val="32"/>
          <w:szCs w:val="32"/>
        </w:rPr>
      </w:pPr>
    </w:p>
    <w:p w14:paraId="7534CBF1">
      <w:pPr>
        <w:spacing w:before="50" w:after="50"/>
        <w:jc w:val="center"/>
        <w:rPr>
          <w:rFonts w:hint="eastAsia" w:ascii="宋体" w:hAnsi="宋体" w:cs="宋体"/>
          <w:sz w:val="32"/>
          <w:szCs w:val="32"/>
        </w:rPr>
      </w:pPr>
    </w:p>
    <w:p w14:paraId="3D4CBE61">
      <w:pPr>
        <w:spacing w:before="50" w:after="50"/>
        <w:jc w:val="center"/>
        <w:rPr>
          <w:rFonts w:hint="eastAsia" w:ascii="宋体" w:hAnsi="宋体" w:cs="宋体"/>
          <w:sz w:val="32"/>
          <w:szCs w:val="32"/>
        </w:rPr>
      </w:pPr>
      <w:r>
        <w:rPr>
          <w:rFonts w:hint="eastAsia" w:ascii="宋体" w:hAnsi="宋体" w:cs="宋体"/>
          <w:sz w:val="32"/>
          <w:szCs w:val="32"/>
        </w:rPr>
        <w:t>三、符合性检查响应对照表</w:t>
      </w:r>
    </w:p>
    <w:p w14:paraId="154527E2">
      <w:pPr>
        <w:ind w:firstLine="309"/>
        <w:rPr>
          <w:rFonts w:hint="eastAsia" w:ascii="宋体" w:hAnsi="宋体" w:cs="宋体"/>
          <w:sz w:val="24"/>
          <w:szCs w:val="24"/>
        </w:rPr>
      </w:pPr>
      <w:r>
        <w:rPr>
          <w:rFonts w:hint="eastAsia" w:ascii="宋体" w:hAnsi="宋体" w:cs="宋体"/>
          <w:sz w:val="24"/>
          <w:szCs w:val="24"/>
        </w:rPr>
        <w:t>投标人全称（加盖公章）：</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tblGrid>
      <w:tr w14:paraId="7FDB8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jc w:val="center"/>
        </w:trPr>
        <w:tc>
          <w:tcPr>
            <w:tcW w:w="646" w:type="dxa"/>
            <w:noWrap w:val="0"/>
            <w:vAlign w:val="center"/>
          </w:tcPr>
          <w:p w14:paraId="49D0F8CC">
            <w:pPr>
              <w:spacing w:line="240" w:lineRule="atLeast"/>
              <w:jc w:val="center"/>
              <w:rPr>
                <w:rFonts w:hint="eastAsia" w:ascii="宋体" w:hAnsi="宋体" w:cs="宋体"/>
                <w:b/>
              </w:rPr>
            </w:pPr>
            <w:r>
              <w:rPr>
                <w:rFonts w:hint="eastAsia" w:ascii="宋体" w:hAnsi="宋体" w:cs="宋体"/>
                <w:b/>
              </w:rPr>
              <w:t>序号</w:t>
            </w:r>
          </w:p>
        </w:tc>
        <w:tc>
          <w:tcPr>
            <w:tcW w:w="5447" w:type="dxa"/>
            <w:noWrap w:val="0"/>
            <w:vAlign w:val="center"/>
          </w:tcPr>
          <w:p w14:paraId="655067D6">
            <w:pPr>
              <w:spacing w:line="240" w:lineRule="atLeast"/>
              <w:jc w:val="center"/>
              <w:rPr>
                <w:rFonts w:hint="eastAsia" w:ascii="宋体" w:hAnsi="宋体" w:cs="宋体"/>
                <w:b/>
              </w:rPr>
            </w:pPr>
            <w:r>
              <w:rPr>
                <w:rFonts w:hint="eastAsia" w:ascii="宋体" w:hAnsi="宋体" w:cs="宋体"/>
                <w:b/>
              </w:rPr>
              <w:t>符合性检查响应内容</w:t>
            </w:r>
          </w:p>
        </w:tc>
        <w:tc>
          <w:tcPr>
            <w:tcW w:w="1680" w:type="dxa"/>
            <w:noWrap w:val="0"/>
            <w:vAlign w:val="center"/>
          </w:tcPr>
          <w:p w14:paraId="0F5B4EC2">
            <w:pPr>
              <w:spacing w:line="240" w:lineRule="atLeast"/>
              <w:jc w:val="center"/>
              <w:rPr>
                <w:rFonts w:hint="eastAsia" w:ascii="宋体" w:hAnsi="宋体" w:cs="宋体"/>
                <w:b/>
              </w:rPr>
            </w:pPr>
            <w:r>
              <w:rPr>
                <w:rFonts w:hint="eastAsia" w:ascii="宋体" w:hAnsi="宋体" w:cs="宋体"/>
                <w:b/>
              </w:rPr>
              <w:t>是否响应</w:t>
            </w:r>
          </w:p>
          <w:p w14:paraId="21A86989">
            <w:pPr>
              <w:spacing w:line="240" w:lineRule="atLeast"/>
              <w:jc w:val="center"/>
              <w:rPr>
                <w:rFonts w:hint="eastAsia" w:ascii="宋体" w:hAnsi="宋体" w:cs="宋体"/>
                <w:b/>
              </w:rPr>
            </w:pPr>
            <w:r>
              <w:rPr>
                <w:rFonts w:hint="eastAsia" w:ascii="宋体" w:hAnsi="宋体" w:cs="宋体"/>
                <w:b/>
              </w:rPr>
              <w:t>（填是或者否）</w:t>
            </w:r>
          </w:p>
        </w:tc>
      </w:tr>
      <w:tr w14:paraId="58C8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jc w:val="center"/>
        </w:trPr>
        <w:tc>
          <w:tcPr>
            <w:tcW w:w="646" w:type="dxa"/>
            <w:noWrap w:val="0"/>
            <w:vAlign w:val="center"/>
          </w:tcPr>
          <w:p w14:paraId="1546537C">
            <w:pPr>
              <w:jc w:val="center"/>
              <w:rPr>
                <w:rFonts w:hint="eastAsia" w:ascii="宋体" w:hAnsi="宋体" w:cs="宋体"/>
                <w:b/>
              </w:rPr>
            </w:pPr>
            <w:r>
              <w:rPr>
                <w:rFonts w:hint="eastAsia" w:ascii="宋体" w:hAnsi="宋体" w:cs="宋体"/>
                <w:b/>
              </w:rPr>
              <w:t>1</w:t>
            </w:r>
          </w:p>
        </w:tc>
        <w:tc>
          <w:tcPr>
            <w:tcW w:w="5447" w:type="dxa"/>
            <w:noWrap w:val="0"/>
            <w:vAlign w:val="center"/>
          </w:tcPr>
          <w:p w14:paraId="2A353C2A">
            <w:pPr>
              <w:spacing w:line="480" w:lineRule="exact"/>
              <w:rPr>
                <w:rFonts w:hint="eastAsia" w:ascii="宋体" w:hAnsi="宋体" w:cs="宋体"/>
                <w:iCs/>
                <w:sz w:val="24"/>
                <w:szCs w:val="24"/>
              </w:rPr>
            </w:pPr>
          </w:p>
        </w:tc>
        <w:tc>
          <w:tcPr>
            <w:tcW w:w="1680" w:type="dxa"/>
            <w:noWrap w:val="0"/>
            <w:vAlign w:val="center"/>
          </w:tcPr>
          <w:p w14:paraId="7BC0BE89">
            <w:pPr>
              <w:rPr>
                <w:rFonts w:hint="eastAsia" w:ascii="宋体" w:hAnsi="宋体" w:cs="宋体"/>
                <w:b/>
              </w:rPr>
            </w:pPr>
          </w:p>
        </w:tc>
      </w:tr>
      <w:tr w14:paraId="21526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jc w:val="center"/>
        </w:trPr>
        <w:tc>
          <w:tcPr>
            <w:tcW w:w="646" w:type="dxa"/>
            <w:noWrap w:val="0"/>
            <w:vAlign w:val="center"/>
          </w:tcPr>
          <w:p w14:paraId="062D3459">
            <w:pPr>
              <w:jc w:val="center"/>
              <w:rPr>
                <w:rFonts w:hint="eastAsia" w:ascii="宋体" w:hAnsi="宋体" w:cs="宋体"/>
              </w:rPr>
            </w:pPr>
            <w:r>
              <w:rPr>
                <w:rFonts w:hint="eastAsia" w:ascii="宋体" w:hAnsi="宋体" w:cs="宋体"/>
              </w:rPr>
              <w:t>2</w:t>
            </w:r>
          </w:p>
        </w:tc>
        <w:tc>
          <w:tcPr>
            <w:tcW w:w="5447" w:type="dxa"/>
            <w:noWrap w:val="0"/>
            <w:vAlign w:val="center"/>
          </w:tcPr>
          <w:p w14:paraId="04448A50">
            <w:pPr>
              <w:spacing w:line="480" w:lineRule="exact"/>
              <w:rPr>
                <w:rFonts w:hint="eastAsia" w:ascii="宋体" w:hAnsi="宋体" w:cs="宋体"/>
                <w:iCs/>
                <w:sz w:val="24"/>
                <w:szCs w:val="24"/>
              </w:rPr>
            </w:pPr>
          </w:p>
        </w:tc>
        <w:tc>
          <w:tcPr>
            <w:tcW w:w="1680" w:type="dxa"/>
            <w:noWrap w:val="0"/>
            <w:vAlign w:val="center"/>
          </w:tcPr>
          <w:p w14:paraId="1EA47754">
            <w:pPr>
              <w:rPr>
                <w:rFonts w:hint="eastAsia" w:ascii="宋体" w:hAnsi="宋体" w:cs="宋体"/>
              </w:rPr>
            </w:pPr>
          </w:p>
        </w:tc>
      </w:tr>
      <w:tr w14:paraId="4EE64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jc w:val="center"/>
        </w:trPr>
        <w:tc>
          <w:tcPr>
            <w:tcW w:w="646" w:type="dxa"/>
            <w:noWrap w:val="0"/>
            <w:vAlign w:val="center"/>
          </w:tcPr>
          <w:p w14:paraId="4354FD13">
            <w:pPr>
              <w:jc w:val="center"/>
              <w:rPr>
                <w:rFonts w:hint="eastAsia" w:ascii="宋体" w:hAnsi="宋体" w:cs="宋体"/>
              </w:rPr>
            </w:pPr>
            <w:r>
              <w:rPr>
                <w:rFonts w:hint="eastAsia" w:ascii="宋体" w:hAnsi="宋体" w:cs="宋体"/>
              </w:rPr>
              <w:t>3</w:t>
            </w:r>
          </w:p>
        </w:tc>
        <w:tc>
          <w:tcPr>
            <w:tcW w:w="5447" w:type="dxa"/>
            <w:noWrap w:val="0"/>
            <w:vAlign w:val="center"/>
          </w:tcPr>
          <w:p w14:paraId="5D483F00">
            <w:pPr>
              <w:spacing w:line="480" w:lineRule="exact"/>
              <w:rPr>
                <w:rFonts w:hint="eastAsia" w:ascii="宋体" w:hAnsi="宋体" w:cs="宋体"/>
                <w:iCs/>
                <w:sz w:val="24"/>
                <w:szCs w:val="24"/>
              </w:rPr>
            </w:pPr>
          </w:p>
        </w:tc>
        <w:tc>
          <w:tcPr>
            <w:tcW w:w="1680" w:type="dxa"/>
            <w:noWrap w:val="0"/>
            <w:vAlign w:val="center"/>
          </w:tcPr>
          <w:p w14:paraId="10E38846">
            <w:pPr>
              <w:rPr>
                <w:rFonts w:hint="eastAsia" w:ascii="宋体" w:hAnsi="宋体" w:cs="宋体"/>
              </w:rPr>
            </w:pPr>
          </w:p>
        </w:tc>
      </w:tr>
      <w:tr w14:paraId="2D7EE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jc w:val="center"/>
        </w:trPr>
        <w:tc>
          <w:tcPr>
            <w:tcW w:w="646" w:type="dxa"/>
            <w:noWrap w:val="0"/>
            <w:vAlign w:val="center"/>
          </w:tcPr>
          <w:p w14:paraId="66D3FA18">
            <w:pPr>
              <w:jc w:val="center"/>
              <w:rPr>
                <w:rFonts w:hint="eastAsia" w:ascii="宋体" w:hAnsi="宋体" w:cs="宋体"/>
              </w:rPr>
            </w:pPr>
            <w:r>
              <w:rPr>
                <w:rFonts w:hint="eastAsia" w:ascii="宋体" w:hAnsi="宋体" w:cs="宋体"/>
              </w:rPr>
              <w:t>4</w:t>
            </w:r>
          </w:p>
        </w:tc>
        <w:tc>
          <w:tcPr>
            <w:tcW w:w="5447" w:type="dxa"/>
            <w:noWrap w:val="0"/>
            <w:vAlign w:val="center"/>
          </w:tcPr>
          <w:p w14:paraId="7742B3B6">
            <w:pPr>
              <w:spacing w:line="360" w:lineRule="auto"/>
              <w:rPr>
                <w:rFonts w:hint="eastAsia" w:ascii="宋体" w:hAnsi="宋体" w:cs="宋体"/>
                <w:iCs/>
                <w:sz w:val="24"/>
                <w:szCs w:val="24"/>
              </w:rPr>
            </w:pPr>
          </w:p>
        </w:tc>
        <w:tc>
          <w:tcPr>
            <w:tcW w:w="1680" w:type="dxa"/>
            <w:noWrap w:val="0"/>
            <w:vAlign w:val="center"/>
          </w:tcPr>
          <w:p w14:paraId="4BFD588E">
            <w:pPr>
              <w:rPr>
                <w:rFonts w:hint="eastAsia" w:ascii="宋体" w:hAnsi="宋体" w:cs="宋体"/>
              </w:rPr>
            </w:pPr>
          </w:p>
        </w:tc>
      </w:tr>
      <w:tr w14:paraId="2E236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jc w:val="center"/>
        </w:trPr>
        <w:tc>
          <w:tcPr>
            <w:tcW w:w="646" w:type="dxa"/>
            <w:noWrap w:val="0"/>
            <w:vAlign w:val="center"/>
          </w:tcPr>
          <w:p w14:paraId="02840361">
            <w:pPr>
              <w:jc w:val="center"/>
              <w:rPr>
                <w:rFonts w:hint="eastAsia" w:ascii="宋体" w:hAnsi="宋体" w:cs="宋体"/>
              </w:rPr>
            </w:pPr>
            <w:r>
              <w:rPr>
                <w:rFonts w:hint="eastAsia" w:ascii="宋体" w:hAnsi="宋体" w:cs="宋体"/>
              </w:rPr>
              <w:t>5</w:t>
            </w:r>
          </w:p>
        </w:tc>
        <w:tc>
          <w:tcPr>
            <w:tcW w:w="5447" w:type="dxa"/>
            <w:noWrap w:val="0"/>
            <w:vAlign w:val="center"/>
          </w:tcPr>
          <w:p w14:paraId="1E86E2C6">
            <w:pPr>
              <w:spacing w:line="590" w:lineRule="atLeast"/>
              <w:rPr>
                <w:rFonts w:hint="eastAsia" w:ascii="宋体" w:hAnsi="宋体" w:cs="宋体"/>
                <w:iCs/>
                <w:sz w:val="24"/>
                <w:szCs w:val="24"/>
              </w:rPr>
            </w:pPr>
          </w:p>
        </w:tc>
        <w:tc>
          <w:tcPr>
            <w:tcW w:w="1680" w:type="dxa"/>
            <w:noWrap w:val="0"/>
            <w:vAlign w:val="center"/>
          </w:tcPr>
          <w:p w14:paraId="759537CF">
            <w:pPr>
              <w:rPr>
                <w:rFonts w:hint="eastAsia" w:ascii="宋体" w:hAnsi="宋体" w:cs="宋体"/>
              </w:rPr>
            </w:pPr>
          </w:p>
        </w:tc>
      </w:tr>
      <w:tr w14:paraId="59E98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jc w:val="center"/>
        </w:trPr>
        <w:tc>
          <w:tcPr>
            <w:tcW w:w="646" w:type="dxa"/>
            <w:noWrap w:val="0"/>
            <w:vAlign w:val="center"/>
          </w:tcPr>
          <w:p w14:paraId="23001E62">
            <w:pPr>
              <w:jc w:val="center"/>
              <w:rPr>
                <w:rFonts w:hint="eastAsia" w:ascii="宋体" w:hAnsi="宋体" w:cs="宋体"/>
              </w:rPr>
            </w:pPr>
            <w:r>
              <w:rPr>
                <w:rFonts w:hint="eastAsia" w:ascii="宋体" w:hAnsi="宋体" w:cs="宋体"/>
              </w:rPr>
              <w:t>6</w:t>
            </w:r>
          </w:p>
        </w:tc>
        <w:tc>
          <w:tcPr>
            <w:tcW w:w="5447" w:type="dxa"/>
            <w:noWrap w:val="0"/>
            <w:vAlign w:val="center"/>
          </w:tcPr>
          <w:p w14:paraId="7E0077BC">
            <w:pPr>
              <w:spacing w:line="590" w:lineRule="atLeast"/>
              <w:rPr>
                <w:rFonts w:hint="eastAsia" w:ascii="宋体" w:hAnsi="宋体" w:cs="宋体"/>
                <w:iCs/>
                <w:sz w:val="24"/>
                <w:szCs w:val="24"/>
              </w:rPr>
            </w:pPr>
          </w:p>
        </w:tc>
        <w:tc>
          <w:tcPr>
            <w:tcW w:w="1680" w:type="dxa"/>
            <w:noWrap w:val="0"/>
            <w:vAlign w:val="center"/>
          </w:tcPr>
          <w:p w14:paraId="40FFB014">
            <w:pPr>
              <w:rPr>
                <w:rFonts w:hint="eastAsia" w:ascii="宋体" w:hAnsi="宋体" w:cs="宋体"/>
              </w:rPr>
            </w:pPr>
          </w:p>
        </w:tc>
      </w:tr>
      <w:tr w14:paraId="00060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jc w:val="center"/>
        </w:trPr>
        <w:tc>
          <w:tcPr>
            <w:tcW w:w="646" w:type="dxa"/>
            <w:noWrap w:val="0"/>
            <w:vAlign w:val="center"/>
          </w:tcPr>
          <w:p w14:paraId="098E6F39">
            <w:pPr>
              <w:jc w:val="center"/>
              <w:rPr>
                <w:rFonts w:hint="eastAsia" w:ascii="宋体" w:hAnsi="宋体" w:cs="宋体"/>
              </w:rPr>
            </w:pPr>
            <w:r>
              <w:rPr>
                <w:rFonts w:hint="eastAsia" w:ascii="宋体" w:hAnsi="宋体" w:cs="宋体"/>
              </w:rPr>
              <w:t>7</w:t>
            </w:r>
          </w:p>
        </w:tc>
        <w:tc>
          <w:tcPr>
            <w:tcW w:w="5447" w:type="dxa"/>
            <w:noWrap w:val="0"/>
            <w:vAlign w:val="center"/>
          </w:tcPr>
          <w:p w14:paraId="5464BBA0">
            <w:pPr>
              <w:spacing w:line="590" w:lineRule="atLeast"/>
              <w:rPr>
                <w:rFonts w:hint="eastAsia" w:ascii="宋体" w:hAnsi="宋体" w:cs="宋体"/>
                <w:iCs/>
                <w:sz w:val="24"/>
                <w:szCs w:val="24"/>
              </w:rPr>
            </w:pPr>
            <w:r>
              <w:rPr>
                <w:rFonts w:hint="eastAsia" w:ascii="宋体" w:hAnsi="宋体" w:cs="宋体"/>
                <w:iCs/>
                <w:sz w:val="24"/>
                <w:szCs w:val="24"/>
              </w:rPr>
              <w:t>招标文件中的其他实质性要求</w:t>
            </w:r>
          </w:p>
        </w:tc>
        <w:tc>
          <w:tcPr>
            <w:tcW w:w="1680" w:type="dxa"/>
            <w:noWrap w:val="0"/>
            <w:vAlign w:val="center"/>
          </w:tcPr>
          <w:p w14:paraId="21E07AF8">
            <w:pPr>
              <w:rPr>
                <w:rFonts w:hint="eastAsia" w:ascii="宋体" w:hAnsi="宋体" w:cs="宋体"/>
              </w:rPr>
            </w:pPr>
          </w:p>
        </w:tc>
      </w:tr>
    </w:tbl>
    <w:p w14:paraId="0DF16024">
      <w:pPr>
        <w:spacing w:before="50" w:after="50"/>
        <w:rPr>
          <w:rFonts w:hint="eastAsia" w:ascii="宋体" w:hAnsi="宋体" w:cs="宋体"/>
          <w:sz w:val="44"/>
        </w:rPr>
      </w:pPr>
    </w:p>
    <w:p w14:paraId="14BF3492">
      <w:pPr>
        <w:spacing w:before="50" w:after="50"/>
        <w:rPr>
          <w:rFonts w:hint="eastAsia" w:ascii="宋体" w:hAnsi="宋体" w:cs="宋体"/>
          <w:sz w:val="44"/>
        </w:rPr>
      </w:pPr>
    </w:p>
    <w:p w14:paraId="6CEBFC0B">
      <w:pPr>
        <w:spacing w:before="50" w:after="50"/>
        <w:rPr>
          <w:rFonts w:hint="eastAsia" w:ascii="宋体" w:hAnsi="宋体" w:cs="宋体"/>
          <w:sz w:val="44"/>
        </w:rPr>
      </w:pPr>
    </w:p>
    <w:p w14:paraId="611A2B81">
      <w:pPr>
        <w:pStyle w:val="15"/>
        <w:rPr>
          <w:rFonts w:hint="eastAsia"/>
        </w:rPr>
      </w:pPr>
    </w:p>
    <w:p w14:paraId="0D519281">
      <w:pPr>
        <w:spacing w:before="50" w:after="50"/>
        <w:rPr>
          <w:rFonts w:hint="eastAsia" w:ascii="宋体" w:hAnsi="宋体" w:cs="宋体"/>
          <w:sz w:val="44"/>
        </w:rPr>
      </w:pPr>
    </w:p>
    <w:p w14:paraId="4A80F852">
      <w:pPr>
        <w:spacing w:before="50" w:after="50"/>
        <w:rPr>
          <w:rFonts w:hint="eastAsia" w:ascii="宋体" w:hAnsi="宋体" w:cs="宋体"/>
          <w:sz w:val="32"/>
          <w:szCs w:val="32"/>
        </w:rPr>
      </w:pPr>
      <w:r>
        <w:rPr>
          <w:rFonts w:hint="eastAsia" w:ascii="宋体" w:hAnsi="宋体" w:cs="宋体"/>
          <w:sz w:val="32"/>
          <w:szCs w:val="32"/>
        </w:rPr>
        <w:t xml:space="preserve">           </w:t>
      </w:r>
      <w:bookmarkStart w:id="437" w:name="_Toc120614284"/>
    </w:p>
    <w:p w14:paraId="3B93D728">
      <w:pPr>
        <w:spacing w:before="50" w:after="50"/>
        <w:rPr>
          <w:rFonts w:hint="eastAsia" w:ascii="宋体" w:hAnsi="宋体" w:cs="宋体"/>
          <w:sz w:val="24"/>
          <w:szCs w:val="24"/>
        </w:rPr>
      </w:pPr>
    </w:p>
    <w:p w14:paraId="5832F103">
      <w:pPr>
        <w:spacing w:before="50" w:after="50"/>
        <w:jc w:val="center"/>
        <w:rPr>
          <w:rFonts w:hint="eastAsia" w:ascii="宋体" w:hAnsi="宋体" w:cs="宋体"/>
          <w:sz w:val="32"/>
          <w:szCs w:val="32"/>
        </w:rPr>
      </w:pPr>
    </w:p>
    <w:p w14:paraId="28E014BB">
      <w:pPr>
        <w:spacing w:before="50" w:after="50"/>
        <w:jc w:val="center"/>
        <w:rPr>
          <w:rFonts w:hint="eastAsia" w:ascii="宋体" w:hAnsi="宋体" w:cs="宋体"/>
          <w:sz w:val="32"/>
          <w:szCs w:val="32"/>
        </w:rPr>
      </w:pPr>
    </w:p>
    <w:p w14:paraId="6AD36BF5">
      <w:pPr>
        <w:spacing w:before="50" w:after="50"/>
        <w:jc w:val="center"/>
        <w:rPr>
          <w:rFonts w:hint="eastAsia" w:ascii="宋体" w:hAnsi="宋体" w:cs="宋体"/>
          <w:sz w:val="32"/>
          <w:szCs w:val="32"/>
        </w:rPr>
      </w:pPr>
      <w:r>
        <w:rPr>
          <w:rFonts w:hint="eastAsia" w:ascii="宋体" w:hAnsi="宋体" w:cs="宋体"/>
          <w:sz w:val="32"/>
          <w:szCs w:val="32"/>
        </w:rPr>
        <w:t>四、投标函</w:t>
      </w:r>
    </w:p>
    <w:p w14:paraId="4D3357E6">
      <w:pPr>
        <w:pStyle w:val="28"/>
        <w:spacing w:before="0" w:after="0" w:line="420" w:lineRule="exact"/>
        <w:ind w:firstLine="0"/>
        <w:rPr>
          <w:rFonts w:hint="eastAsia" w:ascii="宋体" w:hAnsi="宋体" w:cs="宋体"/>
          <w:szCs w:val="21"/>
        </w:rPr>
      </w:pPr>
      <w:r>
        <w:rPr>
          <w:rFonts w:hint="eastAsia" w:ascii="宋体" w:hAnsi="宋体" w:cs="宋体"/>
          <w:szCs w:val="21"/>
        </w:rPr>
        <w:t>致：</w:t>
      </w:r>
      <w:r>
        <w:rPr>
          <w:rFonts w:hint="eastAsia" w:ascii="宋体" w:hAnsi="宋体" w:cs="宋体"/>
          <w:szCs w:val="21"/>
          <w:u w:val="single"/>
        </w:rPr>
        <w:t xml:space="preserve">              （采购人）</w:t>
      </w:r>
    </w:p>
    <w:p w14:paraId="2566C0D5">
      <w:pPr>
        <w:pStyle w:val="28"/>
        <w:spacing w:before="0" w:after="0" w:line="420" w:lineRule="exact"/>
        <w:rPr>
          <w:rFonts w:hint="eastAsia" w:ascii="宋体" w:hAnsi="宋体" w:cs="宋体"/>
          <w:szCs w:val="21"/>
        </w:rPr>
      </w:pPr>
      <w:r>
        <w:rPr>
          <w:rFonts w:hint="eastAsia" w:ascii="宋体" w:hAnsi="宋体" w:cs="宋体"/>
          <w:szCs w:val="21"/>
        </w:rPr>
        <w:t>根据贵方的</w:t>
      </w:r>
      <w:r>
        <w:rPr>
          <w:rFonts w:hint="eastAsia" w:ascii="宋体" w:hAnsi="宋体" w:cs="宋体"/>
          <w:b/>
          <w:sz w:val="36"/>
          <w:u w:val="single"/>
        </w:rPr>
        <w:t xml:space="preserve">           </w:t>
      </w:r>
      <w:r>
        <w:rPr>
          <w:rFonts w:hint="eastAsia" w:ascii="宋体" w:hAnsi="宋体" w:cs="宋体"/>
          <w:szCs w:val="21"/>
        </w:rPr>
        <w:t>（项目名称）招标文件，正式授权下述签字人_________________(姓名)代表我方______________（投标人的名称），全权处理本次项目投标的有关事宜。</w:t>
      </w:r>
    </w:p>
    <w:p w14:paraId="461D86D3">
      <w:pPr>
        <w:pStyle w:val="28"/>
        <w:spacing w:before="0" w:after="0" w:line="420" w:lineRule="exact"/>
        <w:rPr>
          <w:rFonts w:hint="eastAsia" w:ascii="宋体" w:hAnsi="宋体" w:cs="宋体"/>
          <w:szCs w:val="21"/>
        </w:rPr>
      </w:pPr>
      <w:r>
        <w:rPr>
          <w:rFonts w:hint="eastAsia" w:ascii="宋体" w:hAnsi="宋体" w:cs="宋体"/>
          <w:szCs w:val="21"/>
        </w:rPr>
        <w:t>据此函，__________签字人兹宣布同意如下：</w:t>
      </w:r>
    </w:p>
    <w:p w14:paraId="37C71DE4">
      <w:pPr>
        <w:pStyle w:val="28"/>
        <w:spacing w:before="0" w:after="0" w:line="420" w:lineRule="exact"/>
        <w:rPr>
          <w:rFonts w:hint="eastAsia" w:ascii="宋体" w:hAnsi="宋体" w:cs="宋体"/>
          <w:szCs w:val="21"/>
        </w:rPr>
      </w:pPr>
      <w:r>
        <w:rPr>
          <w:rFonts w:hint="eastAsia" w:ascii="宋体" w:hAnsi="宋体" w:cs="宋体"/>
          <w:szCs w:val="21"/>
        </w:rPr>
        <w:t>1.按招标文件规定的各项要求，向买方提供所需货物与服务。</w:t>
      </w:r>
    </w:p>
    <w:p w14:paraId="49C18518">
      <w:pPr>
        <w:pStyle w:val="28"/>
        <w:spacing w:before="0" w:after="0" w:line="420" w:lineRule="exact"/>
        <w:rPr>
          <w:rFonts w:hint="eastAsia" w:ascii="宋体" w:hAnsi="宋体" w:cs="宋体"/>
          <w:szCs w:val="21"/>
        </w:rPr>
      </w:pPr>
      <w:r>
        <w:rPr>
          <w:rFonts w:hint="eastAsia" w:ascii="宋体" w:hAnsi="宋体" w:cs="宋体"/>
          <w:szCs w:val="21"/>
        </w:rPr>
        <w:t>2.我们完全理解贵方不一定将合同授予最低报价的投标人。</w:t>
      </w:r>
    </w:p>
    <w:p w14:paraId="68ABD32A">
      <w:pPr>
        <w:pStyle w:val="28"/>
        <w:spacing w:before="0" w:after="0" w:line="420" w:lineRule="exact"/>
        <w:rPr>
          <w:rFonts w:hint="eastAsia" w:ascii="宋体" w:hAnsi="宋体" w:cs="宋体"/>
          <w:szCs w:val="21"/>
        </w:rPr>
      </w:pPr>
      <w:r>
        <w:rPr>
          <w:rFonts w:hint="eastAsia" w:ascii="宋体" w:hAnsi="宋体" w:cs="宋体"/>
          <w:szCs w:val="21"/>
        </w:rPr>
        <w:t>3.我们已详细审核全部招标文件及其有效补充文件，我们知道必须放弃提出含糊不清或误解问题的权利。</w:t>
      </w:r>
    </w:p>
    <w:p w14:paraId="37C4EF97">
      <w:pPr>
        <w:pStyle w:val="28"/>
        <w:spacing w:before="0" w:after="0" w:line="420" w:lineRule="exact"/>
        <w:rPr>
          <w:rFonts w:hint="eastAsia" w:ascii="宋体" w:hAnsi="宋体" w:cs="宋体"/>
          <w:szCs w:val="21"/>
        </w:rPr>
      </w:pPr>
      <w:r>
        <w:rPr>
          <w:rFonts w:hint="eastAsia" w:ascii="宋体" w:hAnsi="宋体" w:cs="宋体"/>
          <w:szCs w:val="21"/>
        </w:rPr>
        <w:t>4.我们同意从规定的开标日期起遵循本投标文件，并在规定的投标有效期期满之前均具有约束力。</w:t>
      </w:r>
    </w:p>
    <w:p w14:paraId="1D537DF0">
      <w:pPr>
        <w:pStyle w:val="28"/>
        <w:spacing w:before="0" w:after="0" w:line="420" w:lineRule="exact"/>
        <w:rPr>
          <w:rFonts w:hint="eastAsia" w:ascii="宋体" w:hAnsi="宋体" w:cs="宋体"/>
          <w:szCs w:val="21"/>
        </w:rPr>
      </w:pPr>
      <w:r>
        <w:rPr>
          <w:rFonts w:hint="eastAsia" w:ascii="宋体" w:hAnsi="宋体" w:cs="宋体"/>
          <w:szCs w:val="21"/>
        </w:rPr>
        <w:t>5.如果在开标后规定的投标有效期内撤回投标或中标后拒绝签订合同，则按照国家相关法律法规受到相应处罚。</w:t>
      </w:r>
    </w:p>
    <w:p w14:paraId="15C7016C">
      <w:pPr>
        <w:pStyle w:val="28"/>
        <w:spacing w:before="0" w:after="0" w:line="420" w:lineRule="exact"/>
        <w:rPr>
          <w:rFonts w:hint="eastAsia" w:ascii="宋体" w:hAnsi="宋体" w:cs="宋体"/>
          <w:szCs w:val="21"/>
        </w:rPr>
      </w:pPr>
      <w:r>
        <w:rPr>
          <w:rFonts w:hint="eastAsia" w:ascii="宋体" w:hAnsi="宋体" w:cs="宋体"/>
          <w:szCs w:val="21"/>
        </w:rPr>
        <w:t>6.同意向贵方提供贵方可能另外要求的与投标有关的任何证据或资料，并保证我方已提供和将要提供的文件是真实的、准确的。</w:t>
      </w:r>
    </w:p>
    <w:p w14:paraId="2BFAC08F">
      <w:pPr>
        <w:pStyle w:val="28"/>
        <w:spacing w:before="0" w:after="0" w:line="420" w:lineRule="exact"/>
        <w:rPr>
          <w:rFonts w:hint="eastAsia" w:ascii="宋体" w:hAnsi="宋体" w:cs="宋体"/>
          <w:szCs w:val="21"/>
        </w:rPr>
      </w:pPr>
      <w:r>
        <w:rPr>
          <w:rFonts w:hint="eastAsia" w:ascii="宋体" w:hAnsi="宋体" w:cs="宋体"/>
          <w:szCs w:val="21"/>
        </w:rPr>
        <w:t>7.一旦我方中标,我方将根据招标文件的规定，严格履行合同的责任和义务,并保证在招标文件规定的时间完成项目，交付买方验收、使用。</w:t>
      </w:r>
    </w:p>
    <w:p w14:paraId="33C84613">
      <w:pPr>
        <w:pStyle w:val="28"/>
        <w:spacing w:before="0" w:after="0" w:line="420" w:lineRule="exact"/>
        <w:ind w:left="425" w:firstLine="0"/>
        <w:rPr>
          <w:rFonts w:hint="eastAsia" w:ascii="宋体" w:hAnsi="宋体" w:cs="宋体"/>
          <w:szCs w:val="21"/>
        </w:rPr>
      </w:pPr>
      <w:r>
        <w:rPr>
          <w:rFonts w:hint="eastAsia" w:ascii="宋体" w:hAnsi="宋体" w:cs="宋体"/>
          <w:szCs w:val="21"/>
        </w:rPr>
        <w:t>8.与本投标有关的正式通讯地址为：</w:t>
      </w:r>
    </w:p>
    <w:p w14:paraId="3A05BAD3">
      <w:pPr>
        <w:pStyle w:val="28"/>
        <w:spacing w:before="0" w:after="0" w:line="420" w:lineRule="exact"/>
        <w:ind w:left="420"/>
        <w:rPr>
          <w:rFonts w:hint="eastAsia" w:ascii="宋体" w:hAnsi="宋体" w:cs="宋体"/>
          <w:szCs w:val="21"/>
        </w:rPr>
      </w:pPr>
      <w:r>
        <w:rPr>
          <w:rFonts w:hint="eastAsia" w:ascii="宋体" w:hAnsi="宋体" w:cs="宋体"/>
          <w:szCs w:val="21"/>
        </w:rPr>
        <w:t>地          址：</w:t>
      </w:r>
    </w:p>
    <w:p w14:paraId="05ECBBBA">
      <w:pPr>
        <w:pStyle w:val="28"/>
        <w:spacing w:before="0" w:after="0" w:line="420" w:lineRule="exact"/>
        <w:ind w:left="420"/>
        <w:rPr>
          <w:rFonts w:hint="eastAsia" w:ascii="宋体" w:hAnsi="宋体" w:cs="宋体"/>
          <w:szCs w:val="21"/>
        </w:rPr>
      </w:pPr>
      <w:r>
        <w:rPr>
          <w:rFonts w:hint="eastAsia" w:ascii="宋体" w:hAnsi="宋体" w:cs="宋体"/>
          <w:szCs w:val="21"/>
        </w:rPr>
        <w:t>邮          编：</w:t>
      </w:r>
    </w:p>
    <w:p w14:paraId="7EF1129A">
      <w:pPr>
        <w:pStyle w:val="28"/>
        <w:spacing w:before="0" w:after="0" w:line="420" w:lineRule="exact"/>
        <w:ind w:left="420"/>
        <w:rPr>
          <w:rFonts w:hint="eastAsia" w:ascii="宋体" w:hAnsi="宋体" w:cs="宋体"/>
          <w:szCs w:val="21"/>
        </w:rPr>
      </w:pPr>
      <w:r>
        <w:rPr>
          <w:rFonts w:hint="eastAsia" w:ascii="宋体" w:hAnsi="宋体" w:cs="宋体"/>
          <w:szCs w:val="21"/>
        </w:rPr>
        <w:t>电          话：</w:t>
      </w:r>
    </w:p>
    <w:p w14:paraId="1346FAE4">
      <w:pPr>
        <w:pStyle w:val="28"/>
        <w:spacing w:before="0" w:after="0" w:line="420" w:lineRule="exact"/>
        <w:ind w:left="420"/>
        <w:rPr>
          <w:rFonts w:hint="eastAsia" w:ascii="宋体" w:hAnsi="宋体" w:cs="宋体"/>
          <w:szCs w:val="21"/>
        </w:rPr>
      </w:pPr>
      <w:r>
        <w:rPr>
          <w:rFonts w:hint="eastAsia" w:ascii="宋体" w:hAnsi="宋体" w:cs="宋体"/>
          <w:szCs w:val="21"/>
        </w:rPr>
        <w:t>传          真：</w:t>
      </w:r>
    </w:p>
    <w:p w14:paraId="50A4C344">
      <w:pPr>
        <w:pStyle w:val="28"/>
        <w:spacing w:before="0" w:after="0" w:line="420" w:lineRule="exact"/>
        <w:ind w:left="420"/>
        <w:rPr>
          <w:rFonts w:hint="eastAsia" w:ascii="宋体" w:hAnsi="宋体" w:cs="宋体"/>
          <w:szCs w:val="21"/>
        </w:rPr>
      </w:pPr>
      <w:r>
        <w:rPr>
          <w:rFonts w:hint="eastAsia" w:ascii="宋体" w:hAnsi="宋体" w:cs="宋体"/>
          <w:szCs w:val="21"/>
        </w:rPr>
        <w:t>投标人开户行：</w:t>
      </w:r>
    </w:p>
    <w:p w14:paraId="00D0A6CA">
      <w:pPr>
        <w:pStyle w:val="28"/>
        <w:spacing w:before="0" w:after="0" w:line="420" w:lineRule="exact"/>
        <w:ind w:left="420"/>
        <w:rPr>
          <w:rFonts w:hint="eastAsia" w:ascii="宋体" w:hAnsi="宋体" w:cs="宋体"/>
          <w:szCs w:val="21"/>
        </w:rPr>
      </w:pPr>
      <w:r>
        <w:rPr>
          <w:rFonts w:hint="eastAsia" w:ascii="宋体" w:hAnsi="宋体" w:cs="宋体"/>
          <w:szCs w:val="21"/>
        </w:rPr>
        <w:t xml:space="preserve">账          户： </w:t>
      </w:r>
    </w:p>
    <w:p w14:paraId="677CAB51">
      <w:pPr>
        <w:pStyle w:val="28"/>
        <w:spacing w:before="0" w:after="0" w:line="420" w:lineRule="exact"/>
        <w:ind w:left="420"/>
        <w:rPr>
          <w:rFonts w:hint="eastAsia" w:ascii="宋体" w:hAnsi="宋体" w:cs="宋体"/>
          <w:szCs w:val="21"/>
        </w:rPr>
      </w:pPr>
      <w:r>
        <w:rPr>
          <w:rFonts w:hint="eastAsia" w:ascii="宋体" w:hAnsi="宋体" w:cs="宋体"/>
          <w:szCs w:val="21"/>
        </w:rPr>
        <w:t>投标人授权代表姓名（签字）：</w:t>
      </w:r>
    </w:p>
    <w:p w14:paraId="50F9E49B">
      <w:pPr>
        <w:pStyle w:val="28"/>
        <w:spacing w:before="0" w:after="0" w:line="420" w:lineRule="exact"/>
        <w:ind w:left="420"/>
        <w:rPr>
          <w:rFonts w:hint="eastAsia" w:ascii="宋体" w:hAnsi="宋体" w:cs="宋体"/>
          <w:szCs w:val="21"/>
        </w:rPr>
      </w:pPr>
      <w:r>
        <w:rPr>
          <w:rFonts w:hint="eastAsia" w:ascii="宋体" w:hAnsi="宋体" w:cs="宋体"/>
          <w:szCs w:val="21"/>
        </w:rPr>
        <w:t xml:space="preserve"> 投标人授权代表电话（手机号码）：</w:t>
      </w:r>
    </w:p>
    <w:p w14:paraId="6FDE7D91">
      <w:pPr>
        <w:pStyle w:val="28"/>
        <w:spacing w:before="0" w:after="0" w:line="420" w:lineRule="exact"/>
        <w:ind w:left="420"/>
        <w:rPr>
          <w:rFonts w:hint="eastAsia" w:ascii="宋体" w:hAnsi="宋体" w:cs="宋体"/>
          <w:szCs w:val="21"/>
        </w:rPr>
      </w:pPr>
      <w:r>
        <w:rPr>
          <w:rFonts w:hint="eastAsia" w:ascii="宋体" w:hAnsi="宋体" w:cs="宋体"/>
          <w:szCs w:val="21"/>
        </w:rPr>
        <w:t xml:space="preserve">投标人名称（公章）： </w:t>
      </w:r>
    </w:p>
    <w:p w14:paraId="3AE71EBF">
      <w:pPr>
        <w:pStyle w:val="28"/>
        <w:spacing w:before="0" w:after="0" w:line="420" w:lineRule="exact"/>
        <w:ind w:left="420"/>
        <w:rPr>
          <w:rFonts w:hint="eastAsia" w:ascii="宋体" w:hAnsi="宋体" w:cs="宋体"/>
          <w:szCs w:val="21"/>
        </w:rPr>
      </w:pPr>
      <w:r>
        <w:rPr>
          <w:rFonts w:hint="eastAsia" w:ascii="宋体" w:hAnsi="宋体" w:cs="宋体"/>
          <w:szCs w:val="21"/>
        </w:rPr>
        <w:t>日           期：________年____月____日</w:t>
      </w:r>
    </w:p>
    <w:p w14:paraId="0BD8D770">
      <w:pPr>
        <w:spacing w:before="50" w:after="145"/>
        <w:jc w:val="left"/>
        <w:rPr>
          <w:rFonts w:hint="eastAsia" w:ascii="宋体" w:hAnsi="宋体" w:cs="宋体"/>
          <w:sz w:val="24"/>
          <w:szCs w:val="20"/>
        </w:rPr>
      </w:pPr>
      <w:r>
        <w:rPr>
          <w:rFonts w:hint="eastAsia" w:ascii="宋体" w:hAnsi="宋体" w:cs="宋体"/>
          <w:sz w:val="44"/>
        </w:rPr>
        <w:t xml:space="preserve">          </w:t>
      </w:r>
    </w:p>
    <w:p w14:paraId="533ACAA9">
      <w:pPr>
        <w:spacing w:before="50" w:after="50"/>
        <w:jc w:val="center"/>
        <w:rPr>
          <w:rFonts w:hint="eastAsia" w:ascii="宋体" w:hAnsi="宋体" w:cs="宋体"/>
          <w:sz w:val="32"/>
          <w:szCs w:val="32"/>
        </w:rPr>
      </w:pPr>
    </w:p>
    <w:p w14:paraId="4457EBBC">
      <w:pPr>
        <w:pStyle w:val="21"/>
        <w:rPr>
          <w:rFonts w:hint="eastAsia" w:ascii="宋体" w:hAnsi="宋体" w:eastAsia="宋体" w:cs="宋体"/>
          <w:color w:val="000000"/>
        </w:rPr>
      </w:pPr>
    </w:p>
    <w:p w14:paraId="774210EE">
      <w:pPr>
        <w:pStyle w:val="21"/>
        <w:rPr>
          <w:rFonts w:hint="eastAsia" w:ascii="宋体" w:hAnsi="宋体" w:eastAsia="宋体" w:cs="宋体"/>
          <w:color w:val="000000"/>
        </w:rPr>
      </w:pPr>
    </w:p>
    <w:p w14:paraId="3E4A6ECC">
      <w:pPr>
        <w:spacing w:before="50" w:after="50"/>
        <w:jc w:val="center"/>
        <w:rPr>
          <w:rFonts w:hint="eastAsia" w:ascii="宋体" w:hAnsi="宋体" w:cs="宋体"/>
          <w:sz w:val="32"/>
          <w:szCs w:val="32"/>
        </w:rPr>
      </w:pPr>
      <w:r>
        <w:rPr>
          <w:rFonts w:hint="eastAsia" w:ascii="宋体" w:hAnsi="宋体" w:cs="宋体"/>
          <w:sz w:val="32"/>
          <w:szCs w:val="32"/>
        </w:rPr>
        <w:t>五、开标一览表</w:t>
      </w:r>
    </w:p>
    <w:p w14:paraId="7AAE933C">
      <w:pPr>
        <w:spacing w:before="50" w:after="50"/>
        <w:jc w:val="center"/>
        <w:rPr>
          <w:rFonts w:hint="eastAsia" w:ascii="宋体" w:hAnsi="宋体" w:cs="宋体"/>
          <w:sz w:val="32"/>
          <w:szCs w:val="32"/>
        </w:rPr>
      </w:pPr>
    </w:p>
    <w:tbl>
      <w:tblPr>
        <w:tblStyle w:val="13"/>
        <w:tblW w:w="10145"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00"/>
        <w:gridCol w:w="7445"/>
      </w:tblGrid>
      <w:tr w14:paraId="2B532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trPr>
        <w:tc>
          <w:tcPr>
            <w:tcW w:w="2700" w:type="dxa"/>
            <w:noWrap w:val="0"/>
            <w:vAlign w:val="center"/>
          </w:tcPr>
          <w:p w14:paraId="6CBE0DC7">
            <w:pPr>
              <w:ind w:firstLine="420"/>
              <w:rPr>
                <w:rFonts w:hint="eastAsia" w:ascii="宋体" w:hAnsi="宋体" w:cs="宋体"/>
                <w:sz w:val="24"/>
                <w:szCs w:val="24"/>
              </w:rPr>
            </w:pPr>
            <w:r>
              <w:rPr>
                <w:rFonts w:hint="eastAsia" w:ascii="宋体" w:hAnsi="宋体" w:cs="宋体"/>
                <w:sz w:val="24"/>
                <w:szCs w:val="24"/>
              </w:rPr>
              <w:t>项 目 编 号</w:t>
            </w:r>
          </w:p>
        </w:tc>
        <w:tc>
          <w:tcPr>
            <w:tcW w:w="7445" w:type="dxa"/>
            <w:noWrap w:val="0"/>
            <w:vAlign w:val="center"/>
          </w:tcPr>
          <w:p w14:paraId="722AC736">
            <w:pPr>
              <w:pStyle w:val="22"/>
              <w:ind w:firstLine="689"/>
              <w:jc w:val="both"/>
              <w:outlineLvl w:val="1"/>
              <w:rPr>
                <w:rFonts w:hint="eastAsia" w:ascii="宋体" w:hAnsi="宋体" w:eastAsia="宋体" w:cs="宋体"/>
                <w:sz w:val="24"/>
                <w:szCs w:val="24"/>
              </w:rPr>
            </w:pPr>
            <w:r>
              <w:rPr>
                <w:rFonts w:hint="eastAsia" w:ascii="宋体" w:hAnsi="宋体" w:eastAsia="宋体" w:cs="宋体"/>
                <w:b w:val="0"/>
                <w:bCs w:val="0"/>
                <w:sz w:val="24"/>
                <w:szCs w:val="24"/>
                <w:lang w:val="en-US" w:eastAsia="zh-CN" w:bidi="ar-SA"/>
              </w:rPr>
              <w:t>JSZC-320904-JZCG-G2024-0042</w:t>
            </w:r>
          </w:p>
        </w:tc>
      </w:tr>
      <w:tr w14:paraId="1021C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trPr>
        <w:tc>
          <w:tcPr>
            <w:tcW w:w="2700" w:type="dxa"/>
            <w:noWrap w:val="0"/>
            <w:vAlign w:val="center"/>
          </w:tcPr>
          <w:p w14:paraId="62656DD2">
            <w:pPr>
              <w:ind w:firstLine="420"/>
              <w:rPr>
                <w:rFonts w:hint="eastAsia" w:ascii="宋体" w:hAnsi="宋体" w:cs="宋体"/>
                <w:sz w:val="24"/>
                <w:szCs w:val="24"/>
              </w:rPr>
            </w:pPr>
            <w:r>
              <w:rPr>
                <w:rFonts w:hint="eastAsia" w:ascii="宋体" w:hAnsi="宋体" w:cs="宋体"/>
                <w:sz w:val="24"/>
                <w:szCs w:val="24"/>
              </w:rPr>
              <w:t>项 目 名 称</w:t>
            </w:r>
          </w:p>
        </w:tc>
        <w:tc>
          <w:tcPr>
            <w:tcW w:w="7445" w:type="dxa"/>
            <w:noWrap w:val="0"/>
            <w:vAlign w:val="center"/>
          </w:tcPr>
          <w:p w14:paraId="09A36162">
            <w:pPr>
              <w:pStyle w:val="22"/>
              <w:jc w:val="both"/>
              <w:outlineLvl w:val="1"/>
              <w:rPr>
                <w:rFonts w:hint="eastAsia" w:ascii="宋体" w:hAnsi="宋体" w:eastAsia="宋体" w:cs="宋体"/>
                <w:sz w:val="24"/>
                <w:szCs w:val="24"/>
              </w:rPr>
            </w:pPr>
          </w:p>
        </w:tc>
      </w:tr>
      <w:tr w14:paraId="21B03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1" w:hRule="atLeast"/>
        </w:trPr>
        <w:tc>
          <w:tcPr>
            <w:tcW w:w="10145" w:type="dxa"/>
            <w:gridSpan w:val="2"/>
            <w:noWrap w:val="0"/>
            <w:vAlign w:val="center"/>
          </w:tcPr>
          <w:p w14:paraId="08C70D73">
            <w:pPr>
              <w:rPr>
                <w:rFonts w:hint="eastAsia" w:ascii="宋体" w:hAnsi="宋体" w:cs="宋体"/>
                <w:sz w:val="24"/>
                <w:szCs w:val="24"/>
              </w:rPr>
            </w:pPr>
            <w:r>
              <w:rPr>
                <w:rFonts w:hint="eastAsia" w:ascii="宋体" w:hAnsi="宋体" w:cs="宋体"/>
                <w:b/>
                <w:bCs/>
                <w:sz w:val="24"/>
                <w:szCs w:val="24"/>
              </w:rPr>
              <w:t>项目投标报价：（大写）</w:t>
            </w:r>
            <w:r>
              <w:rPr>
                <w:rFonts w:hint="eastAsia" w:ascii="宋体" w:hAnsi="宋体" w:cs="宋体"/>
                <w:b/>
                <w:bCs/>
                <w:sz w:val="24"/>
                <w:szCs w:val="24"/>
                <w:u w:val="single"/>
              </w:rPr>
              <w:t xml:space="preserve">                       元</w:t>
            </w:r>
            <w:r>
              <w:rPr>
                <w:rFonts w:hint="eastAsia" w:ascii="宋体" w:hAnsi="宋体" w:cs="宋体"/>
                <w:b/>
                <w:bCs/>
                <w:sz w:val="24"/>
                <w:szCs w:val="24"/>
              </w:rPr>
              <w:t>，小写：</w:t>
            </w:r>
            <w:r>
              <w:rPr>
                <w:rFonts w:hint="eastAsia" w:ascii="宋体" w:hAnsi="宋体" w:cs="宋体"/>
                <w:b/>
                <w:bCs/>
                <w:sz w:val="24"/>
                <w:szCs w:val="24"/>
                <w:u w:val="single"/>
              </w:rPr>
              <w:t xml:space="preserve">                     </w:t>
            </w:r>
            <w:r>
              <w:rPr>
                <w:rFonts w:hint="eastAsia" w:ascii="宋体" w:hAnsi="宋体" w:cs="宋体"/>
                <w:b/>
                <w:bCs/>
                <w:sz w:val="24"/>
                <w:szCs w:val="24"/>
              </w:rPr>
              <w:t>元</w:t>
            </w:r>
          </w:p>
        </w:tc>
      </w:tr>
      <w:tr w14:paraId="2411A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1" w:hRule="atLeast"/>
        </w:trPr>
        <w:tc>
          <w:tcPr>
            <w:tcW w:w="10145" w:type="dxa"/>
            <w:gridSpan w:val="2"/>
            <w:noWrap w:val="0"/>
            <w:vAlign w:val="center"/>
          </w:tcPr>
          <w:p w14:paraId="7D394220">
            <w:pPr>
              <w:rPr>
                <w:rFonts w:hint="eastAsia" w:ascii="宋体" w:hAnsi="宋体" w:cs="宋体"/>
                <w:b/>
                <w:bCs/>
                <w:sz w:val="24"/>
                <w:szCs w:val="24"/>
              </w:rPr>
            </w:pPr>
            <w:r>
              <w:rPr>
                <w:rFonts w:hint="eastAsia" w:ascii="宋体" w:hAnsi="宋体" w:cs="宋体"/>
                <w:b/>
                <w:bCs/>
                <w:szCs w:val="28"/>
              </w:rPr>
              <w:t>是否提供《企业类型声明函》：</w:t>
            </w:r>
            <w:r>
              <w:rPr>
                <w:rFonts w:hint="eastAsia" w:ascii="宋体" w:hAnsi="宋体" w:cs="宋体"/>
                <w:b/>
                <w:bCs/>
                <w:szCs w:val="28"/>
                <w:u w:val="single"/>
              </w:rPr>
              <w:t xml:space="preserve">  是/否   </w:t>
            </w:r>
            <w:r>
              <w:rPr>
                <w:rFonts w:hint="eastAsia" w:ascii="宋体" w:hAnsi="宋体" w:cs="宋体"/>
                <w:b/>
                <w:bCs/>
                <w:szCs w:val="28"/>
              </w:rPr>
              <w:t xml:space="preserve">           见</w:t>
            </w:r>
            <w:r>
              <w:rPr>
                <w:rFonts w:hint="eastAsia" w:ascii="宋体" w:hAnsi="宋体" w:cs="宋体"/>
                <w:b/>
                <w:bCs/>
                <w:szCs w:val="28"/>
                <w:u w:val="single"/>
              </w:rPr>
              <w:t>（          ）</w:t>
            </w:r>
            <w:r>
              <w:rPr>
                <w:rFonts w:hint="eastAsia" w:ascii="宋体" w:hAnsi="宋体" w:cs="宋体"/>
                <w:b/>
                <w:bCs/>
                <w:szCs w:val="28"/>
              </w:rPr>
              <w:t>页</w:t>
            </w:r>
          </w:p>
        </w:tc>
      </w:tr>
      <w:tr w14:paraId="21BD0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10145" w:type="dxa"/>
            <w:gridSpan w:val="2"/>
            <w:noWrap w:val="0"/>
            <w:vAlign w:val="center"/>
          </w:tcPr>
          <w:p w14:paraId="1B43738B">
            <w:pPr>
              <w:rPr>
                <w:rFonts w:hint="eastAsia" w:ascii="宋体" w:hAnsi="宋体" w:cs="宋体"/>
                <w:b/>
                <w:bCs/>
                <w:sz w:val="24"/>
                <w:szCs w:val="24"/>
              </w:rPr>
            </w:pPr>
            <w:r>
              <w:rPr>
                <w:rFonts w:hint="eastAsia" w:ascii="宋体" w:hAnsi="宋体" w:cs="宋体"/>
                <w:b/>
                <w:bCs/>
                <w:sz w:val="24"/>
                <w:szCs w:val="24"/>
              </w:rPr>
              <w:t xml:space="preserve">合同履行期限： </w:t>
            </w:r>
          </w:p>
        </w:tc>
      </w:tr>
      <w:tr w14:paraId="4D166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10145" w:type="dxa"/>
            <w:gridSpan w:val="2"/>
            <w:noWrap w:val="0"/>
            <w:vAlign w:val="center"/>
          </w:tcPr>
          <w:p w14:paraId="466401DC">
            <w:pPr>
              <w:rPr>
                <w:rFonts w:hint="eastAsia" w:ascii="宋体" w:hAnsi="宋体" w:cs="宋体"/>
                <w:b/>
                <w:bCs/>
                <w:sz w:val="24"/>
                <w:szCs w:val="24"/>
              </w:rPr>
            </w:pPr>
            <w:r>
              <w:rPr>
                <w:rFonts w:hint="eastAsia" w:ascii="宋体" w:hAnsi="宋体" w:cs="宋体"/>
                <w:b/>
                <w:bCs/>
                <w:sz w:val="24"/>
                <w:szCs w:val="24"/>
              </w:rPr>
              <w:t>项目负责人：</w:t>
            </w:r>
          </w:p>
        </w:tc>
      </w:tr>
    </w:tbl>
    <w:p w14:paraId="172B122C">
      <w:pPr>
        <w:spacing w:line="180" w:lineRule="atLeast"/>
        <w:rPr>
          <w:rFonts w:hint="eastAsia" w:ascii="宋体" w:hAnsi="宋体" w:cs="宋体"/>
          <w:sz w:val="24"/>
          <w:szCs w:val="24"/>
        </w:rPr>
      </w:pPr>
      <w:r>
        <w:rPr>
          <w:rFonts w:hint="eastAsia" w:ascii="宋体" w:hAnsi="宋体" w:cs="宋体"/>
          <w:sz w:val="24"/>
          <w:szCs w:val="24"/>
        </w:rPr>
        <w:t>填写说明：</w:t>
      </w:r>
    </w:p>
    <w:p w14:paraId="79E7F722">
      <w:pPr>
        <w:spacing w:line="360" w:lineRule="auto"/>
        <w:rPr>
          <w:rFonts w:hint="eastAsia" w:ascii="宋体" w:hAnsi="宋体" w:cs="宋体"/>
          <w:sz w:val="24"/>
          <w:szCs w:val="24"/>
        </w:rPr>
      </w:pPr>
      <w:r>
        <w:rPr>
          <w:rFonts w:hint="eastAsia" w:ascii="宋体" w:hAnsi="宋体" w:cs="宋体"/>
          <w:sz w:val="24"/>
          <w:szCs w:val="24"/>
        </w:rPr>
        <w:t>1.开标一览表不得填报选择性报价，否则将作为无效投标；</w:t>
      </w:r>
    </w:p>
    <w:p w14:paraId="00D9E19C">
      <w:pPr>
        <w:spacing w:line="360" w:lineRule="auto"/>
        <w:rPr>
          <w:rFonts w:hint="eastAsia" w:ascii="宋体" w:hAnsi="宋体" w:cs="宋体"/>
          <w:sz w:val="24"/>
          <w:szCs w:val="24"/>
        </w:rPr>
      </w:pPr>
      <w:r>
        <w:rPr>
          <w:rFonts w:hint="eastAsia" w:ascii="宋体" w:hAnsi="宋体" w:cs="宋体"/>
          <w:sz w:val="24"/>
          <w:szCs w:val="24"/>
        </w:rPr>
        <w:t>2.开标一览表中报价与投标分项明细报价表中不符时时，以开标一览表为准；</w:t>
      </w:r>
    </w:p>
    <w:p w14:paraId="6925712C">
      <w:pPr>
        <w:ind w:firstLine="2640"/>
        <w:rPr>
          <w:rFonts w:hint="eastAsia" w:ascii="宋体" w:hAnsi="宋体" w:cs="宋体"/>
          <w:sz w:val="44"/>
        </w:rPr>
      </w:pPr>
    </w:p>
    <w:p w14:paraId="2A90846A">
      <w:pPr>
        <w:ind w:firstLine="480"/>
        <w:rPr>
          <w:rFonts w:hint="eastAsia" w:ascii="宋体" w:hAnsi="宋体" w:cs="宋体"/>
          <w:sz w:val="24"/>
        </w:rPr>
      </w:pPr>
    </w:p>
    <w:p w14:paraId="00BE5AEF">
      <w:pPr>
        <w:ind w:firstLine="480"/>
        <w:rPr>
          <w:rFonts w:hint="eastAsia" w:ascii="宋体" w:hAnsi="宋体" w:cs="宋体"/>
          <w:sz w:val="24"/>
        </w:rPr>
      </w:pPr>
    </w:p>
    <w:p w14:paraId="00B8706A">
      <w:pPr>
        <w:ind w:firstLine="480"/>
        <w:jc w:val="right"/>
        <w:rPr>
          <w:rFonts w:hint="eastAsia" w:ascii="宋体" w:hAnsi="宋体" w:cs="宋体"/>
          <w:sz w:val="24"/>
        </w:rPr>
      </w:pPr>
      <w:r>
        <w:rPr>
          <w:rFonts w:hint="eastAsia" w:ascii="宋体" w:hAnsi="宋体" w:cs="宋体"/>
          <w:bCs/>
          <w:sz w:val="24"/>
        </w:rPr>
        <w:t>供应商名称（公章）：</w:t>
      </w:r>
    </w:p>
    <w:p w14:paraId="6B3883D4">
      <w:pPr>
        <w:ind w:firstLine="480"/>
        <w:rPr>
          <w:rFonts w:hint="eastAsia" w:ascii="宋体" w:hAnsi="宋体" w:cs="宋体"/>
          <w:sz w:val="24"/>
        </w:rPr>
      </w:pP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845A4C4">
      <w:pPr>
        <w:jc w:val="center"/>
        <w:rPr>
          <w:rFonts w:hint="eastAsia" w:ascii="宋体" w:hAnsi="宋体" w:cs="宋体"/>
          <w:b/>
          <w:sz w:val="32"/>
          <w:szCs w:val="32"/>
        </w:rPr>
      </w:pPr>
    </w:p>
    <w:p w14:paraId="3B1409F0">
      <w:pPr>
        <w:jc w:val="center"/>
        <w:rPr>
          <w:rFonts w:ascii="宋体" w:hAnsi="宋体" w:cs="宋体"/>
          <w:b/>
          <w:sz w:val="32"/>
          <w:szCs w:val="32"/>
        </w:rPr>
      </w:pPr>
    </w:p>
    <w:p w14:paraId="029A8DA9">
      <w:pPr>
        <w:pStyle w:val="15"/>
        <w:ind w:left="1260"/>
      </w:pPr>
    </w:p>
    <w:p w14:paraId="04A4DEBF"/>
    <w:p w14:paraId="060B3634">
      <w:pPr>
        <w:pStyle w:val="15"/>
      </w:pPr>
    </w:p>
    <w:p w14:paraId="58AF597A"/>
    <w:p w14:paraId="7FAB2BD4"/>
    <w:p w14:paraId="06014FEB">
      <w:pPr>
        <w:pStyle w:val="15"/>
      </w:pPr>
    </w:p>
    <w:p w14:paraId="6BADF656">
      <w:pPr>
        <w:rPr>
          <w:rFonts w:hint="eastAsia"/>
        </w:rPr>
      </w:pPr>
    </w:p>
    <w:p w14:paraId="0C352397">
      <w:pPr>
        <w:rPr>
          <w:rFonts w:hint="eastAsia" w:ascii="宋体" w:hAnsi="宋体" w:cs="宋体"/>
          <w:b/>
          <w:sz w:val="32"/>
          <w:szCs w:val="32"/>
        </w:rPr>
      </w:pPr>
    </w:p>
    <w:p w14:paraId="53D9C460">
      <w:pPr>
        <w:pStyle w:val="19"/>
        <w:ind w:firstLine="0"/>
        <w:rPr>
          <w:rFonts w:hint="eastAsia"/>
        </w:rPr>
      </w:pPr>
    </w:p>
    <w:p w14:paraId="4409E75D">
      <w:pPr>
        <w:spacing w:before="50" w:after="50"/>
        <w:jc w:val="center"/>
        <w:rPr>
          <w:rFonts w:hint="eastAsia" w:ascii="宋体" w:hAnsi="宋体" w:cs="宋体"/>
          <w:sz w:val="24"/>
          <w:szCs w:val="24"/>
        </w:rPr>
      </w:pPr>
      <w:r>
        <w:rPr>
          <w:rFonts w:hint="eastAsia" w:ascii="宋体" w:hAnsi="宋体" w:cs="宋体"/>
          <w:sz w:val="32"/>
          <w:szCs w:val="32"/>
        </w:rPr>
        <w:t>六、投标报价分项表</w:t>
      </w:r>
    </w:p>
    <w:p w14:paraId="52A8B381">
      <w:pPr>
        <w:rPr>
          <w:rFonts w:hint="eastAsia" w:ascii="宋体" w:hAnsi="宋体" w:cs="宋体"/>
          <w:sz w:val="24"/>
          <w:szCs w:val="24"/>
        </w:rPr>
      </w:pPr>
      <w:r>
        <w:rPr>
          <w:rFonts w:hint="eastAsia" w:ascii="宋体" w:hAnsi="宋体" w:cs="宋体"/>
          <w:sz w:val="24"/>
          <w:szCs w:val="24"/>
        </w:rPr>
        <w:t>投标人全称（加盖公章）：</w:t>
      </w:r>
    </w:p>
    <w:tbl>
      <w:tblPr>
        <w:tblStyle w:val="13"/>
        <w:tblW w:w="0" w:type="auto"/>
        <w:jc w:val="center"/>
        <w:tblLayout w:type="fixed"/>
        <w:tblCellMar>
          <w:top w:w="0" w:type="dxa"/>
          <w:left w:w="108" w:type="dxa"/>
          <w:bottom w:w="0" w:type="dxa"/>
          <w:right w:w="108" w:type="dxa"/>
        </w:tblCellMar>
      </w:tblPr>
      <w:tblGrid>
        <w:gridCol w:w="1124"/>
        <w:gridCol w:w="1680"/>
        <w:gridCol w:w="1470"/>
        <w:gridCol w:w="728"/>
        <w:gridCol w:w="784"/>
        <w:gridCol w:w="898"/>
        <w:gridCol w:w="898"/>
        <w:gridCol w:w="1417"/>
      </w:tblGrid>
      <w:tr w14:paraId="389F90C8">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center"/>
          </w:tcPr>
          <w:p w14:paraId="2F8F006B">
            <w:pPr>
              <w:spacing w:line="360" w:lineRule="auto"/>
              <w:ind w:right="-5"/>
              <w:jc w:val="center"/>
              <w:rPr>
                <w:rFonts w:hint="eastAsia" w:ascii="宋体" w:hAnsi="宋体" w:cs="宋体"/>
              </w:rPr>
            </w:pPr>
            <w:r>
              <w:rPr>
                <w:rFonts w:hint="eastAsia" w:ascii="宋体" w:hAnsi="宋体" w:cs="宋体"/>
              </w:rPr>
              <w:t>序号</w:t>
            </w:r>
          </w:p>
        </w:tc>
        <w:tc>
          <w:tcPr>
            <w:tcW w:w="1680" w:type="dxa"/>
            <w:tcBorders>
              <w:top w:val="single" w:color="000000" w:sz="4" w:space="0"/>
              <w:left w:val="single" w:color="000000" w:sz="6" w:space="0"/>
              <w:bottom w:val="single" w:color="000000" w:sz="4" w:space="0"/>
              <w:right w:val="single" w:color="000000" w:sz="4" w:space="0"/>
            </w:tcBorders>
            <w:noWrap w:val="0"/>
            <w:vAlign w:val="center"/>
          </w:tcPr>
          <w:p w14:paraId="17D8B4B9">
            <w:pPr>
              <w:spacing w:line="360" w:lineRule="auto"/>
              <w:ind w:right="-5"/>
              <w:jc w:val="center"/>
              <w:rPr>
                <w:rFonts w:hint="eastAsia" w:ascii="宋体" w:hAnsi="宋体" w:cs="宋体"/>
              </w:rPr>
            </w:pPr>
            <w:r>
              <w:rPr>
                <w:rFonts w:hint="eastAsia" w:ascii="宋体" w:hAnsi="宋体" w:cs="宋体"/>
              </w:rPr>
              <w:t>名称</w:t>
            </w:r>
          </w:p>
        </w:tc>
        <w:tc>
          <w:tcPr>
            <w:tcW w:w="1470" w:type="dxa"/>
            <w:tcBorders>
              <w:top w:val="single" w:color="000000" w:sz="4" w:space="0"/>
              <w:left w:val="single" w:color="000000" w:sz="4" w:space="0"/>
              <w:bottom w:val="single" w:color="000000" w:sz="4" w:space="0"/>
              <w:right w:val="single" w:color="000000" w:sz="6" w:space="0"/>
            </w:tcBorders>
            <w:noWrap w:val="0"/>
            <w:vAlign w:val="center"/>
          </w:tcPr>
          <w:p w14:paraId="4E790D5B">
            <w:pPr>
              <w:spacing w:line="360" w:lineRule="auto"/>
              <w:ind w:right="-5"/>
              <w:jc w:val="center"/>
              <w:rPr>
                <w:rFonts w:hint="eastAsia" w:ascii="宋体" w:hAnsi="宋体" w:cs="宋体"/>
              </w:rPr>
            </w:pPr>
            <w:r>
              <w:rPr>
                <w:rFonts w:hint="eastAsia" w:ascii="宋体" w:hAnsi="宋体" w:cs="宋体"/>
              </w:rPr>
              <w:t>要求</w:t>
            </w:r>
          </w:p>
        </w:tc>
        <w:tc>
          <w:tcPr>
            <w:tcW w:w="728" w:type="dxa"/>
            <w:tcBorders>
              <w:top w:val="single" w:color="000000" w:sz="4" w:space="0"/>
              <w:left w:val="single" w:color="000000" w:sz="6" w:space="0"/>
              <w:bottom w:val="single" w:color="000000" w:sz="4" w:space="0"/>
              <w:right w:val="single" w:color="000000" w:sz="6" w:space="0"/>
            </w:tcBorders>
            <w:noWrap w:val="0"/>
            <w:vAlign w:val="center"/>
          </w:tcPr>
          <w:p w14:paraId="621FB912">
            <w:pPr>
              <w:spacing w:line="360" w:lineRule="auto"/>
              <w:ind w:right="-5"/>
              <w:jc w:val="center"/>
              <w:rPr>
                <w:rFonts w:hint="eastAsia" w:ascii="宋体" w:hAnsi="宋体" w:cs="宋体"/>
              </w:rPr>
            </w:pPr>
            <w:r>
              <w:rPr>
                <w:rFonts w:hint="eastAsia" w:ascii="宋体" w:hAnsi="宋体" w:cs="宋体"/>
              </w:rPr>
              <w:t>单位</w:t>
            </w:r>
          </w:p>
        </w:tc>
        <w:tc>
          <w:tcPr>
            <w:tcW w:w="784" w:type="dxa"/>
            <w:tcBorders>
              <w:top w:val="single" w:color="000000" w:sz="4" w:space="0"/>
              <w:left w:val="single" w:color="000000" w:sz="6" w:space="0"/>
              <w:bottom w:val="single" w:color="000000" w:sz="4" w:space="0"/>
              <w:right w:val="single" w:color="000000" w:sz="6" w:space="0"/>
            </w:tcBorders>
            <w:noWrap w:val="0"/>
            <w:vAlign w:val="center"/>
          </w:tcPr>
          <w:p w14:paraId="731D2B02">
            <w:pPr>
              <w:spacing w:line="360" w:lineRule="auto"/>
              <w:ind w:right="-5"/>
              <w:jc w:val="center"/>
              <w:rPr>
                <w:rFonts w:hint="eastAsia" w:ascii="宋体" w:hAnsi="宋体" w:cs="宋体"/>
              </w:rPr>
            </w:pPr>
            <w:r>
              <w:rPr>
                <w:rFonts w:hint="eastAsia" w:ascii="宋体" w:hAnsi="宋体" w:cs="宋体"/>
              </w:rPr>
              <w:t>数量</w:t>
            </w:r>
          </w:p>
        </w:tc>
        <w:tc>
          <w:tcPr>
            <w:tcW w:w="898" w:type="dxa"/>
            <w:tcBorders>
              <w:top w:val="single" w:color="000000" w:sz="4" w:space="0"/>
              <w:left w:val="single" w:color="000000" w:sz="6" w:space="0"/>
              <w:bottom w:val="single" w:color="000000" w:sz="4" w:space="0"/>
              <w:right w:val="single" w:color="000000" w:sz="6" w:space="0"/>
            </w:tcBorders>
            <w:noWrap w:val="0"/>
            <w:vAlign w:val="center"/>
          </w:tcPr>
          <w:p w14:paraId="4961C182">
            <w:pPr>
              <w:spacing w:line="360" w:lineRule="auto"/>
              <w:ind w:right="-5"/>
              <w:jc w:val="center"/>
              <w:rPr>
                <w:rFonts w:hint="eastAsia" w:ascii="宋体" w:hAnsi="宋体" w:cs="宋体"/>
              </w:rPr>
            </w:pPr>
            <w:r>
              <w:rPr>
                <w:rFonts w:hint="eastAsia" w:ascii="宋体" w:hAnsi="宋体" w:cs="宋体"/>
              </w:rPr>
              <w:t>单价</w:t>
            </w:r>
          </w:p>
        </w:tc>
        <w:tc>
          <w:tcPr>
            <w:tcW w:w="898" w:type="dxa"/>
            <w:tcBorders>
              <w:top w:val="single" w:color="000000" w:sz="4" w:space="0"/>
              <w:left w:val="single" w:color="000000" w:sz="6" w:space="0"/>
              <w:bottom w:val="single" w:color="000000" w:sz="4" w:space="0"/>
              <w:right w:val="single" w:color="000000" w:sz="6" w:space="0"/>
            </w:tcBorders>
            <w:noWrap w:val="0"/>
            <w:vAlign w:val="center"/>
          </w:tcPr>
          <w:p w14:paraId="7FCE4C4C">
            <w:pPr>
              <w:spacing w:line="360" w:lineRule="auto"/>
              <w:ind w:right="-5"/>
              <w:jc w:val="center"/>
              <w:rPr>
                <w:rFonts w:hint="eastAsia" w:ascii="宋体" w:hAnsi="宋体" w:cs="宋体"/>
              </w:rPr>
            </w:pPr>
            <w:r>
              <w:rPr>
                <w:rFonts w:hint="eastAsia" w:ascii="宋体" w:hAnsi="宋体" w:cs="宋体"/>
              </w:rPr>
              <w:t>总价</w:t>
            </w:r>
          </w:p>
        </w:tc>
        <w:tc>
          <w:tcPr>
            <w:tcW w:w="1417" w:type="dxa"/>
            <w:tcBorders>
              <w:top w:val="single" w:color="000000" w:sz="4" w:space="0"/>
              <w:left w:val="single" w:color="000000" w:sz="6" w:space="0"/>
              <w:bottom w:val="single" w:color="000000" w:sz="4" w:space="0"/>
              <w:right w:val="single" w:color="000000" w:sz="4" w:space="0"/>
            </w:tcBorders>
            <w:noWrap w:val="0"/>
            <w:vAlign w:val="center"/>
          </w:tcPr>
          <w:p w14:paraId="3E0920CF">
            <w:pPr>
              <w:spacing w:line="360" w:lineRule="auto"/>
              <w:ind w:right="-5"/>
              <w:jc w:val="center"/>
              <w:rPr>
                <w:rFonts w:hint="eastAsia" w:ascii="宋体" w:hAnsi="宋体" w:cs="宋体"/>
              </w:rPr>
            </w:pPr>
            <w:r>
              <w:rPr>
                <w:rFonts w:hint="eastAsia" w:ascii="宋体" w:hAnsi="宋体" w:cs="宋体"/>
              </w:rPr>
              <w:t>备注（厂家、品牌、型号）</w:t>
            </w:r>
          </w:p>
        </w:tc>
      </w:tr>
      <w:tr w14:paraId="339BBE19">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7A0630D7">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018C8745">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4C57F9F3">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4B98C9A9">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54B23ED6">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26ECBE02">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3E8BC4AE">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52676D8E">
            <w:pPr>
              <w:spacing w:line="360" w:lineRule="auto"/>
              <w:ind w:right="-5"/>
              <w:jc w:val="center"/>
              <w:rPr>
                <w:rFonts w:hint="eastAsia" w:ascii="宋体" w:hAnsi="宋体" w:cs="宋体"/>
              </w:rPr>
            </w:pPr>
          </w:p>
        </w:tc>
      </w:tr>
      <w:tr w14:paraId="089D8681">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7B319645">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0B40952C">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6158AF00">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16268E53">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13C938A4">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67FFD0FE">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1E377F69">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5A7A7DDC">
            <w:pPr>
              <w:spacing w:line="360" w:lineRule="auto"/>
              <w:ind w:right="-5"/>
              <w:jc w:val="center"/>
              <w:rPr>
                <w:rFonts w:hint="eastAsia" w:ascii="宋体" w:hAnsi="宋体" w:cs="宋体"/>
              </w:rPr>
            </w:pPr>
          </w:p>
        </w:tc>
      </w:tr>
      <w:tr w14:paraId="4276F3E5">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6CCC34E6">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02B15AE1">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4CC0E25E">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2B3D6064">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1D597E99">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764427EF">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5EBA23E9">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0CF4B632">
            <w:pPr>
              <w:spacing w:line="360" w:lineRule="auto"/>
              <w:ind w:right="-5"/>
              <w:jc w:val="center"/>
              <w:rPr>
                <w:rFonts w:hint="eastAsia" w:ascii="宋体" w:hAnsi="宋体" w:cs="宋体"/>
              </w:rPr>
            </w:pPr>
          </w:p>
        </w:tc>
      </w:tr>
      <w:tr w14:paraId="05C7DF35">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4CFC3BA8">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5566D678">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27766D62">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37ED972D">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4AF2BDC3">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75E3C13C">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541F421C">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326A88CA">
            <w:pPr>
              <w:spacing w:line="360" w:lineRule="auto"/>
              <w:ind w:right="-5"/>
              <w:jc w:val="center"/>
              <w:rPr>
                <w:rFonts w:hint="eastAsia" w:ascii="宋体" w:hAnsi="宋体" w:cs="宋体"/>
              </w:rPr>
            </w:pPr>
          </w:p>
        </w:tc>
      </w:tr>
      <w:tr w14:paraId="0A661421">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7C7FF344">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6CB1B7D4">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50F39EFF">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2E781E01">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1F1F281A">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35F5DB92">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15905AB3">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5A4B99FB">
            <w:pPr>
              <w:spacing w:line="360" w:lineRule="auto"/>
              <w:ind w:right="-5"/>
              <w:jc w:val="center"/>
              <w:rPr>
                <w:rFonts w:hint="eastAsia" w:ascii="宋体" w:hAnsi="宋体" w:cs="宋体"/>
              </w:rPr>
            </w:pPr>
          </w:p>
        </w:tc>
      </w:tr>
      <w:tr w14:paraId="6C9A4C4F">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50419999">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2248C2A2">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3C1D9ABC">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46F762B5">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402A8162">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6390A27D">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1E68C14F">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2CBCAD0A">
            <w:pPr>
              <w:spacing w:line="360" w:lineRule="auto"/>
              <w:ind w:right="-5"/>
              <w:jc w:val="center"/>
              <w:rPr>
                <w:rFonts w:hint="eastAsia" w:ascii="宋体" w:hAnsi="宋体" w:cs="宋体"/>
              </w:rPr>
            </w:pPr>
          </w:p>
        </w:tc>
      </w:tr>
      <w:tr w14:paraId="1191A6D6">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1E71B0C0">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0EED6B6C">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60276002">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5C99CA2D">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01AD1E77">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5EA15BBA">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3C9C315A">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470BAB0B">
            <w:pPr>
              <w:spacing w:line="360" w:lineRule="auto"/>
              <w:ind w:right="-5"/>
              <w:jc w:val="center"/>
              <w:rPr>
                <w:rFonts w:hint="eastAsia" w:ascii="宋体" w:hAnsi="宋体" w:cs="宋体"/>
              </w:rPr>
            </w:pPr>
          </w:p>
        </w:tc>
      </w:tr>
      <w:tr w14:paraId="46E13527">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2A867ADD">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2E2846E3">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2297BA52">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155469F6">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2FD0D08D">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1E0ED2EE">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067A2487">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46603757">
            <w:pPr>
              <w:spacing w:line="360" w:lineRule="auto"/>
              <w:ind w:right="-5"/>
              <w:jc w:val="center"/>
              <w:rPr>
                <w:rFonts w:hint="eastAsia" w:ascii="宋体" w:hAnsi="宋体" w:cs="宋体"/>
              </w:rPr>
            </w:pPr>
          </w:p>
        </w:tc>
      </w:tr>
      <w:tr w14:paraId="26257D11">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74AA4992">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363A94AD">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279DEE44">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3FAC1E92">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718A9388">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7D03643D">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3CBB9893">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3773FF09">
            <w:pPr>
              <w:spacing w:line="360" w:lineRule="auto"/>
              <w:ind w:right="-5"/>
              <w:jc w:val="center"/>
              <w:rPr>
                <w:rFonts w:hint="eastAsia" w:ascii="宋体" w:hAnsi="宋体" w:cs="宋体"/>
              </w:rPr>
            </w:pPr>
          </w:p>
        </w:tc>
      </w:tr>
      <w:tr w14:paraId="74A6E9FB">
        <w:tblPrEx>
          <w:tblCellMar>
            <w:top w:w="0" w:type="dxa"/>
            <w:left w:w="108" w:type="dxa"/>
            <w:bottom w:w="0" w:type="dxa"/>
            <w:right w:w="108" w:type="dxa"/>
          </w:tblCellMar>
        </w:tblPrEx>
        <w:trPr>
          <w:cantSplit/>
          <w:trHeight w:val="655" w:hRule="atLeast"/>
          <w:jc w:val="center"/>
        </w:trPr>
        <w:tc>
          <w:tcPr>
            <w:tcW w:w="1124" w:type="dxa"/>
            <w:tcBorders>
              <w:top w:val="single" w:color="000000" w:sz="4" w:space="0"/>
              <w:left w:val="single" w:color="000000" w:sz="4" w:space="0"/>
              <w:bottom w:val="single" w:color="000000" w:sz="4" w:space="0"/>
              <w:right w:val="single" w:color="000000" w:sz="6" w:space="0"/>
            </w:tcBorders>
            <w:noWrap w:val="0"/>
            <w:vAlign w:val="top"/>
          </w:tcPr>
          <w:p w14:paraId="28037E2A">
            <w:pPr>
              <w:spacing w:line="360" w:lineRule="auto"/>
              <w:ind w:right="-5"/>
              <w:jc w:val="center"/>
              <w:rPr>
                <w:rFonts w:hint="eastAsia" w:ascii="宋体" w:hAnsi="宋体" w:cs="宋体"/>
              </w:rPr>
            </w:pPr>
          </w:p>
        </w:tc>
        <w:tc>
          <w:tcPr>
            <w:tcW w:w="1680" w:type="dxa"/>
            <w:tcBorders>
              <w:top w:val="single" w:color="000000" w:sz="4" w:space="0"/>
              <w:left w:val="single" w:color="000000" w:sz="6" w:space="0"/>
              <w:bottom w:val="single" w:color="000000" w:sz="4" w:space="0"/>
              <w:right w:val="single" w:color="000000" w:sz="4" w:space="0"/>
            </w:tcBorders>
            <w:noWrap w:val="0"/>
            <w:vAlign w:val="top"/>
          </w:tcPr>
          <w:p w14:paraId="15CAC5A0">
            <w:pPr>
              <w:spacing w:line="360" w:lineRule="auto"/>
              <w:ind w:right="-5"/>
              <w:jc w:val="center"/>
              <w:rPr>
                <w:rFonts w:hint="eastAsia" w:ascii="宋体" w:hAnsi="宋体" w:cs="宋体"/>
              </w:rPr>
            </w:pPr>
          </w:p>
        </w:tc>
        <w:tc>
          <w:tcPr>
            <w:tcW w:w="1470" w:type="dxa"/>
            <w:tcBorders>
              <w:top w:val="single" w:color="000000" w:sz="4" w:space="0"/>
              <w:left w:val="single" w:color="000000" w:sz="4" w:space="0"/>
              <w:bottom w:val="single" w:color="000000" w:sz="4" w:space="0"/>
              <w:right w:val="single" w:color="000000" w:sz="6" w:space="0"/>
            </w:tcBorders>
            <w:noWrap w:val="0"/>
            <w:vAlign w:val="top"/>
          </w:tcPr>
          <w:p w14:paraId="466151A9">
            <w:pPr>
              <w:spacing w:line="360" w:lineRule="auto"/>
              <w:ind w:right="-5"/>
              <w:jc w:val="center"/>
              <w:rPr>
                <w:rFonts w:hint="eastAsia" w:ascii="宋体" w:hAnsi="宋体" w:cs="宋体"/>
              </w:rPr>
            </w:pPr>
          </w:p>
        </w:tc>
        <w:tc>
          <w:tcPr>
            <w:tcW w:w="728" w:type="dxa"/>
            <w:tcBorders>
              <w:top w:val="single" w:color="000000" w:sz="4" w:space="0"/>
              <w:left w:val="single" w:color="000000" w:sz="6" w:space="0"/>
              <w:bottom w:val="single" w:color="000000" w:sz="4" w:space="0"/>
              <w:right w:val="single" w:color="000000" w:sz="6" w:space="0"/>
            </w:tcBorders>
            <w:noWrap w:val="0"/>
            <w:vAlign w:val="top"/>
          </w:tcPr>
          <w:p w14:paraId="7CF36606">
            <w:pPr>
              <w:spacing w:line="360" w:lineRule="auto"/>
              <w:ind w:right="-5"/>
              <w:jc w:val="center"/>
              <w:rPr>
                <w:rFonts w:hint="eastAsia" w:ascii="宋体" w:hAnsi="宋体" w:cs="宋体"/>
              </w:rPr>
            </w:pPr>
          </w:p>
        </w:tc>
        <w:tc>
          <w:tcPr>
            <w:tcW w:w="784" w:type="dxa"/>
            <w:tcBorders>
              <w:top w:val="single" w:color="000000" w:sz="4" w:space="0"/>
              <w:left w:val="single" w:color="000000" w:sz="6" w:space="0"/>
              <w:bottom w:val="single" w:color="000000" w:sz="4" w:space="0"/>
              <w:right w:val="single" w:color="000000" w:sz="6" w:space="0"/>
            </w:tcBorders>
            <w:noWrap w:val="0"/>
            <w:vAlign w:val="top"/>
          </w:tcPr>
          <w:p w14:paraId="702C60AA">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3AF2F388">
            <w:pPr>
              <w:spacing w:line="360" w:lineRule="auto"/>
              <w:ind w:right="-5"/>
              <w:jc w:val="center"/>
              <w:rPr>
                <w:rFonts w:hint="eastAsia" w:ascii="宋体" w:hAnsi="宋体" w:cs="宋体"/>
              </w:rPr>
            </w:pPr>
          </w:p>
        </w:tc>
        <w:tc>
          <w:tcPr>
            <w:tcW w:w="898" w:type="dxa"/>
            <w:tcBorders>
              <w:top w:val="single" w:color="000000" w:sz="4" w:space="0"/>
              <w:left w:val="single" w:color="000000" w:sz="6" w:space="0"/>
              <w:bottom w:val="single" w:color="000000" w:sz="4" w:space="0"/>
              <w:right w:val="single" w:color="000000" w:sz="6" w:space="0"/>
            </w:tcBorders>
            <w:noWrap w:val="0"/>
            <w:vAlign w:val="top"/>
          </w:tcPr>
          <w:p w14:paraId="2F85C127">
            <w:pPr>
              <w:spacing w:line="360" w:lineRule="auto"/>
              <w:ind w:right="-5"/>
              <w:jc w:val="center"/>
              <w:rPr>
                <w:rFonts w:hint="eastAsia" w:ascii="宋体" w:hAnsi="宋体" w:cs="宋体"/>
              </w:rPr>
            </w:pPr>
          </w:p>
        </w:tc>
        <w:tc>
          <w:tcPr>
            <w:tcW w:w="1417" w:type="dxa"/>
            <w:tcBorders>
              <w:top w:val="single" w:color="000000" w:sz="4" w:space="0"/>
              <w:left w:val="single" w:color="000000" w:sz="6" w:space="0"/>
              <w:bottom w:val="single" w:color="000000" w:sz="4" w:space="0"/>
              <w:right w:val="single" w:color="000000" w:sz="4" w:space="0"/>
            </w:tcBorders>
            <w:noWrap w:val="0"/>
            <w:vAlign w:val="top"/>
          </w:tcPr>
          <w:p w14:paraId="3E43D8BA">
            <w:pPr>
              <w:spacing w:line="360" w:lineRule="auto"/>
              <w:ind w:right="-5"/>
              <w:jc w:val="center"/>
              <w:rPr>
                <w:rFonts w:hint="eastAsia" w:ascii="宋体" w:hAnsi="宋体" w:cs="宋体"/>
              </w:rPr>
            </w:pPr>
          </w:p>
        </w:tc>
      </w:tr>
    </w:tbl>
    <w:p w14:paraId="69A260CC">
      <w:pPr>
        <w:spacing w:line="440" w:lineRule="exact"/>
        <w:rPr>
          <w:rFonts w:hint="eastAsia" w:ascii="宋体" w:hAnsi="宋体" w:cs="宋体"/>
          <w:sz w:val="24"/>
          <w:szCs w:val="24"/>
        </w:rPr>
      </w:pPr>
    </w:p>
    <w:p w14:paraId="09DF164B">
      <w:pPr>
        <w:spacing w:line="440" w:lineRule="exact"/>
        <w:ind w:firstLine="1680"/>
        <w:rPr>
          <w:rFonts w:hint="eastAsia" w:ascii="宋体" w:hAnsi="宋体" w:cs="宋体"/>
          <w:sz w:val="24"/>
          <w:szCs w:val="24"/>
        </w:rPr>
      </w:pPr>
    </w:p>
    <w:p w14:paraId="070BED01">
      <w:pPr>
        <w:spacing w:line="440" w:lineRule="exact"/>
        <w:ind w:firstLine="1680"/>
        <w:rPr>
          <w:rFonts w:hint="eastAsia" w:ascii="宋体" w:hAnsi="宋体" w:cs="宋体"/>
          <w:sz w:val="24"/>
          <w:szCs w:val="24"/>
        </w:rPr>
      </w:pPr>
      <w:r>
        <w:rPr>
          <w:rFonts w:hint="eastAsia" w:ascii="宋体" w:hAnsi="宋体" w:cs="宋体"/>
          <w:sz w:val="24"/>
          <w:szCs w:val="24"/>
        </w:rPr>
        <w:t>法定代表人（或者负责人）或被授权人（签字）：</w:t>
      </w:r>
      <w:r>
        <w:rPr>
          <w:rFonts w:hint="eastAsia" w:ascii="宋体" w:hAnsi="宋体" w:cs="宋体"/>
          <w:sz w:val="24"/>
          <w:szCs w:val="24"/>
          <w:u w:val="single"/>
        </w:rPr>
        <w:t xml:space="preserve">              </w:t>
      </w:r>
    </w:p>
    <w:p w14:paraId="70A496B0">
      <w:pPr>
        <w:spacing w:line="440" w:lineRule="exact"/>
        <w:ind w:firstLine="1680"/>
        <w:rPr>
          <w:rFonts w:hint="eastAsia" w:ascii="宋体" w:hAnsi="宋体" w:cs="宋体"/>
          <w:sz w:val="24"/>
          <w:szCs w:val="24"/>
        </w:rPr>
      </w:pPr>
      <w:r>
        <w:rPr>
          <w:rFonts w:hint="eastAsia" w:ascii="宋体" w:hAnsi="宋体" w:cs="宋体"/>
          <w:sz w:val="24"/>
          <w:szCs w:val="24"/>
        </w:rPr>
        <w:t>投标人（盖单位公章）：</w:t>
      </w:r>
      <w:r>
        <w:rPr>
          <w:rFonts w:hint="eastAsia" w:ascii="宋体" w:hAnsi="宋体" w:cs="宋体"/>
          <w:sz w:val="24"/>
          <w:szCs w:val="24"/>
          <w:u w:val="single"/>
        </w:rPr>
        <w:t xml:space="preserve">               </w:t>
      </w:r>
    </w:p>
    <w:p w14:paraId="6C9ADE6A">
      <w:pPr>
        <w:spacing w:line="360" w:lineRule="auto"/>
        <w:ind w:firstLine="4622"/>
        <w:jc w:val="center"/>
        <w:rPr>
          <w:rFonts w:ascii="宋体" w:hAnsi="宋体" w:cs="宋体"/>
          <w:sz w:val="32"/>
          <w:szCs w:val="32"/>
        </w:rPr>
      </w:pP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rPr>
        <w:br w:type="page" w:clear="all"/>
      </w:r>
      <w:r>
        <w:rPr>
          <w:rFonts w:hint="eastAsia" w:ascii="宋体" w:hAnsi="宋体" w:cs="宋体"/>
          <w:sz w:val="32"/>
          <w:szCs w:val="32"/>
        </w:rPr>
        <w:t>七、技术部分</w:t>
      </w:r>
    </w:p>
    <w:p w14:paraId="42B65D67">
      <w:pPr>
        <w:spacing w:line="360" w:lineRule="auto"/>
        <w:rPr>
          <w:rFonts w:ascii="宋体" w:hAnsi="宋体" w:cs="宋体"/>
          <w:sz w:val="32"/>
          <w:szCs w:val="32"/>
        </w:rPr>
      </w:pPr>
    </w:p>
    <w:p w14:paraId="5E54BA1F">
      <w:pPr>
        <w:spacing w:line="360" w:lineRule="auto"/>
        <w:rPr>
          <w:rFonts w:ascii="宋体" w:hAnsi="宋体" w:cs="宋体"/>
          <w:sz w:val="32"/>
          <w:szCs w:val="32"/>
        </w:rPr>
      </w:pPr>
    </w:p>
    <w:p w14:paraId="26422FA9">
      <w:pPr>
        <w:spacing w:line="360" w:lineRule="auto"/>
        <w:rPr>
          <w:rFonts w:ascii="宋体" w:hAnsi="宋体" w:cs="宋体"/>
          <w:sz w:val="32"/>
          <w:szCs w:val="32"/>
        </w:rPr>
      </w:pPr>
    </w:p>
    <w:p w14:paraId="3EBFA35D">
      <w:pPr>
        <w:spacing w:line="360" w:lineRule="auto"/>
        <w:rPr>
          <w:rFonts w:ascii="宋体" w:hAnsi="宋体" w:cs="宋体"/>
          <w:sz w:val="32"/>
          <w:szCs w:val="32"/>
        </w:rPr>
      </w:pPr>
    </w:p>
    <w:p w14:paraId="58D07E3F">
      <w:pPr>
        <w:spacing w:line="360" w:lineRule="auto"/>
        <w:rPr>
          <w:rFonts w:ascii="宋体" w:hAnsi="宋体" w:cs="宋体"/>
          <w:sz w:val="32"/>
          <w:szCs w:val="32"/>
        </w:rPr>
      </w:pPr>
    </w:p>
    <w:p w14:paraId="45245EFF">
      <w:pPr>
        <w:spacing w:line="360" w:lineRule="auto"/>
        <w:rPr>
          <w:rFonts w:ascii="宋体" w:hAnsi="宋体" w:cs="宋体"/>
          <w:sz w:val="32"/>
          <w:szCs w:val="32"/>
        </w:rPr>
      </w:pPr>
    </w:p>
    <w:p w14:paraId="64433AE6">
      <w:pPr>
        <w:spacing w:line="360" w:lineRule="auto"/>
        <w:rPr>
          <w:rFonts w:ascii="宋体" w:hAnsi="宋体" w:cs="宋体"/>
          <w:sz w:val="32"/>
          <w:szCs w:val="32"/>
        </w:rPr>
      </w:pPr>
    </w:p>
    <w:p w14:paraId="1143627F">
      <w:pPr>
        <w:spacing w:line="360" w:lineRule="auto"/>
        <w:rPr>
          <w:rFonts w:ascii="宋体" w:hAnsi="宋体" w:cs="宋体"/>
          <w:sz w:val="32"/>
          <w:szCs w:val="32"/>
        </w:rPr>
      </w:pPr>
    </w:p>
    <w:p w14:paraId="792B8656">
      <w:pPr>
        <w:spacing w:line="360" w:lineRule="auto"/>
        <w:rPr>
          <w:rFonts w:ascii="宋体" w:hAnsi="宋体" w:cs="宋体"/>
          <w:sz w:val="32"/>
          <w:szCs w:val="32"/>
        </w:rPr>
      </w:pPr>
    </w:p>
    <w:p w14:paraId="07C963AD">
      <w:pPr>
        <w:spacing w:line="360" w:lineRule="auto"/>
        <w:rPr>
          <w:rFonts w:ascii="宋体" w:hAnsi="宋体" w:cs="宋体"/>
          <w:sz w:val="32"/>
          <w:szCs w:val="32"/>
        </w:rPr>
      </w:pPr>
    </w:p>
    <w:p w14:paraId="1A506B0F">
      <w:pPr>
        <w:spacing w:line="360" w:lineRule="auto"/>
        <w:rPr>
          <w:rFonts w:ascii="宋体" w:hAnsi="宋体" w:cs="宋体"/>
          <w:sz w:val="32"/>
          <w:szCs w:val="32"/>
        </w:rPr>
      </w:pPr>
    </w:p>
    <w:p w14:paraId="386B278E">
      <w:pPr>
        <w:spacing w:line="360" w:lineRule="auto"/>
        <w:rPr>
          <w:rFonts w:ascii="宋体" w:hAnsi="宋体" w:cs="宋体"/>
          <w:sz w:val="32"/>
          <w:szCs w:val="32"/>
        </w:rPr>
      </w:pPr>
    </w:p>
    <w:p w14:paraId="585B9181">
      <w:pPr>
        <w:spacing w:line="360" w:lineRule="auto"/>
        <w:rPr>
          <w:rFonts w:ascii="宋体" w:hAnsi="宋体" w:cs="宋体"/>
          <w:sz w:val="32"/>
          <w:szCs w:val="32"/>
        </w:rPr>
      </w:pPr>
    </w:p>
    <w:p w14:paraId="4A25EE8F">
      <w:pPr>
        <w:spacing w:line="360" w:lineRule="auto"/>
        <w:rPr>
          <w:rFonts w:ascii="宋体" w:hAnsi="宋体" w:cs="宋体"/>
          <w:sz w:val="32"/>
          <w:szCs w:val="32"/>
        </w:rPr>
      </w:pPr>
    </w:p>
    <w:p w14:paraId="68444081">
      <w:pPr>
        <w:spacing w:line="360" w:lineRule="auto"/>
        <w:rPr>
          <w:rFonts w:ascii="宋体" w:hAnsi="宋体" w:cs="宋体"/>
          <w:sz w:val="32"/>
          <w:szCs w:val="32"/>
        </w:rPr>
      </w:pPr>
    </w:p>
    <w:p w14:paraId="05AE24A1">
      <w:pPr>
        <w:spacing w:line="360" w:lineRule="auto"/>
        <w:rPr>
          <w:rFonts w:ascii="宋体" w:hAnsi="宋体" w:cs="宋体"/>
          <w:sz w:val="32"/>
          <w:szCs w:val="32"/>
        </w:rPr>
      </w:pPr>
    </w:p>
    <w:p w14:paraId="30F0FF5E">
      <w:pPr>
        <w:spacing w:line="360" w:lineRule="auto"/>
        <w:rPr>
          <w:rFonts w:ascii="宋体" w:hAnsi="宋体" w:cs="宋体"/>
          <w:sz w:val="32"/>
          <w:szCs w:val="32"/>
        </w:rPr>
      </w:pPr>
    </w:p>
    <w:p w14:paraId="77007FEB">
      <w:pPr>
        <w:spacing w:line="360" w:lineRule="auto"/>
        <w:rPr>
          <w:rFonts w:ascii="宋体" w:hAnsi="宋体" w:cs="宋体"/>
          <w:sz w:val="32"/>
          <w:szCs w:val="32"/>
        </w:rPr>
      </w:pPr>
    </w:p>
    <w:p w14:paraId="437F58E4">
      <w:pPr>
        <w:spacing w:line="360" w:lineRule="auto"/>
        <w:rPr>
          <w:rFonts w:ascii="宋体" w:hAnsi="宋体" w:cs="宋体"/>
          <w:sz w:val="32"/>
          <w:szCs w:val="32"/>
        </w:rPr>
      </w:pPr>
    </w:p>
    <w:p w14:paraId="062B22DC">
      <w:pPr>
        <w:spacing w:line="360" w:lineRule="auto"/>
        <w:rPr>
          <w:rFonts w:ascii="宋体" w:hAnsi="宋体" w:cs="宋体"/>
          <w:sz w:val="32"/>
          <w:szCs w:val="32"/>
        </w:rPr>
      </w:pPr>
    </w:p>
    <w:p w14:paraId="412579C7">
      <w:pPr>
        <w:spacing w:line="360" w:lineRule="auto"/>
        <w:rPr>
          <w:rFonts w:ascii="宋体" w:hAnsi="宋体" w:cs="宋体"/>
          <w:sz w:val="32"/>
          <w:szCs w:val="32"/>
        </w:rPr>
      </w:pPr>
    </w:p>
    <w:p w14:paraId="1C94C8EA">
      <w:pPr>
        <w:spacing w:line="360" w:lineRule="auto"/>
        <w:jc w:val="center"/>
        <w:rPr>
          <w:rFonts w:hint="eastAsia" w:ascii="宋体" w:hAnsi="宋体" w:cs="宋体"/>
          <w:sz w:val="32"/>
          <w:szCs w:val="32"/>
        </w:rPr>
      </w:pPr>
      <w:r>
        <w:rPr>
          <w:rFonts w:hint="eastAsia" w:ascii="宋体" w:hAnsi="宋体" w:cs="宋体"/>
          <w:sz w:val="32"/>
          <w:szCs w:val="32"/>
        </w:rPr>
        <w:t>八、采购需求响应及偏离表</w:t>
      </w:r>
    </w:p>
    <w:p w14:paraId="41BED359">
      <w:pPr>
        <w:rPr>
          <w:rFonts w:hint="eastAsia" w:ascii="宋体" w:hAnsi="宋体" w:cs="宋体"/>
          <w:sz w:val="24"/>
          <w:szCs w:val="24"/>
        </w:rPr>
      </w:pPr>
      <w:r>
        <w:rPr>
          <w:rFonts w:hint="eastAsia" w:ascii="宋体" w:hAnsi="宋体" w:cs="宋体"/>
          <w:sz w:val="24"/>
          <w:szCs w:val="24"/>
        </w:rPr>
        <w:t xml:space="preserve">投标人全称（加盖公章）：       </w:t>
      </w:r>
    </w:p>
    <w:tbl>
      <w:tblPr>
        <w:tblStyle w:val="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044"/>
        <w:gridCol w:w="2500"/>
        <w:gridCol w:w="2468"/>
        <w:gridCol w:w="1173"/>
      </w:tblGrid>
      <w:tr w14:paraId="775B6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84" w:type="dxa"/>
            <w:noWrap w:val="0"/>
            <w:vAlign w:val="center"/>
          </w:tcPr>
          <w:p w14:paraId="3F2F2C1C">
            <w:pPr>
              <w:jc w:val="center"/>
              <w:rPr>
                <w:rFonts w:hint="eastAsia" w:ascii="宋体" w:hAnsi="宋体" w:cs="宋体"/>
                <w:sz w:val="24"/>
                <w:szCs w:val="24"/>
              </w:rPr>
            </w:pPr>
            <w:r>
              <w:rPr>
                <w:rFonts w:hint="eastAsia" w:ascii="宋体" w:hAnsi="宋体" w:cs="宋体"/>
                <w:sz w:val="24"/>
                <w:szCs w:val="24"/>
              </w:rPr>
              <w:t>序号</w:t>
            </w:r>
          </w:p>
        </w:tc>
        <w:tc>
          <w:tcPr>
            <w:tcW w:w="2044" w:type="dxa"/>
            <w:noWrap w:val="0"/>
            <w:vAlign w:val="center"/>
          </w:tcPr>
          <w:p w14:paraId="10306527">
            <w:pPr>
              <w:rPr>
                <w:rFonts w:hint="eastAsia" w:ascii="宋体" w:hAnsi="宋体" w:cs="宋体"/>
                <w:sz w:val="24"/>
                <w:szCs w:val="24"/>
              </w:rPr>
            </w:pPr>
            <w:r>
              <w:rPr>
                <w:rFonts w:hint="eastAsia" w:ascii="宋体" w:hAnsi="宋体" w:cs="宋体"/>
                <w:sz w:val="24"/>
                <w:szCs w:val="24"/>
              </w:rPr>
              <w:t>名称</w:t>
            </w:r>
          </w:p>
        </w:tc>
        <w:tc>
          <w:tcPr>
            <w:tcW w:w="2500" w:type="dxa"/>
            <w:noWrap w:val="0"/>
            <w:vAlign w:val="center"/>
          </w:tcPr>
          <w:p w14:paraId="316D1239">
            <w:pPr>
              <w:rPr>
                <w:rFonts w:hint="eastAsia" w:ascii="宋体" w:hAnsi="宋体" w:cs="宋体"/>
                <w:sz w:val="24"/>
                <w:szCs w:val="24"/>
              </w:rPr>
            </w:pPr>
            <w:r>
              <w:rPr>
                <w:rFonts w:hint="eastAsia" w:ascii="宋体" w:hAnsi="宋体" w:cs="宋体"/>
                <w:sz w:val="24"/>
                <w:szCs w:val="24"/>
              </w:rPr>
              <w:t>招标文件中采购需求内容</w:t>
            </w:r>
          </w:p>
        </w:tc>
        <w:tc>
          <w:tcPr>
            <w:tcW w:w="2468" w:type="dxa"/>
            <w:noWrap w:val="0"/>
            <w:vAlign w:val="center"/>
          </w:tcPr>
          <w:p w14:paraId="1D4E34A2">
            <w:pPr>
              <w:rPr>
                <w:rFonts w:hint="eastAsia" w:ascii="宋体" w:hAnsi="宋体" w:cs="宋体"/>
                <w:sz w:val="24"/>
                <w:szCs w:val="24"/>
              </w:rPr>
            </w:pPr>
            <w:r>
              <w:rPr>
                <w:rFonts w:hint="eastAsia" w:ascii="宋体" w:hAnsi="宋体" w:cs="宋体"/>
                <w:sz w:val="24"/>
                <w:szCs w:val="24"/>
              </w:rPr>
              <w:t>投标文件中响应采购需求的内容</w:t>
            </w:r>
          </w:p>
        </w:tc>
        <w:tc>
          <w:tcPr>
            <w:tcW w:w="1173" w:type="dxa"/>
            <w:noWrap w:val="0"/>
            <w:vAlign w:val="center"/>
          </w:tcPr>
          <w:p w14:paraId="633D154B">
            <w:pPr>
              <w:jc w:val="center"/>
              <w:rPr>
                <w:rFonts w:hint="eastAsia" w:ascii="宋体" w:hAnsi="宋体" w:cs="宋体"/>
                <w:sz w:val="24"/>
                <w:szCs w:val="24"/>
              </w:rPr>
            </w:pPr>
            <w:r>
              <w:rPr>
                <w:rFonts w:hint="eastAsia" w:ascii="宋体" w:hAnsi="宋体" w:cs="宋体"/>
                <w:sz w:val="24"/>
                <w:szCs w:val="24"/>
              </w:rPr>
              <w:t>偏离说明</w:t>
            </w:r>
          </w:p>
        </w:tc>
      </w:tr>
      <w:tr w14:paraId="7277B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7D7B49A1">
            <w:pPr>
              <w:jc w:val="center"/>
              <w:rPr>
                <w:rFonts w:hint="eastAsia" w:ascii="宋体" w:hAnsi="宋体" w:cs="宋体"/>
                <w:sz w:val="24"/>
                <w:szCs w:val="24"/>
              </w:rPr>
            </w:pPr>
          </w:p>
        </w:tc>
        <w:tc>
          <w:tcPr>
            <w:tcW w:w="2044" w:type="dxa"/>
            <w:noWrap w:val="0"/>
            <w:vAlign w:val="top"/>
          </w:tcPr>
          <w:p w14:paraId="72AA2C9F">
            <w:pPr>
              <w:jc w:val="center"/>
              <w:rPr>
                <w:rFonts w:hint="eastAsia" w:ascii="宋体" w:hAnsi="宋体" w:cs="宋体"/>
                <w:sz w:val="24"/>
                <w:szCs w:val="24"/>
              </w:rPr>
            </w:pPr>
          </w:p>
        </w:tc>
        <w:tc>
          <w:tcPr>
            <w:tcW w:w="2500" w:type="dxa"/>
            <w:noWrap w:val="0"/>
            <w:vAlign w:val="top"/>
          </w:tcPr>
          <w:p w14:paraId="0DB3978D">
            <w:pPr>
              <w:jc w:val="center"/>
              <w:rPr>
                <w:rFonts w:hint="eastAsia" w:ascii="宋体" w:hAnsi="宋体" w:cs="宋体"/>
                <w:sz w:val="24"/>
                <w:szCs w:val="24"/>
              </w:rPr>
            </w:pPr>
          </w:p>
        </w:tc>
        <w:tc>
          <w:tcPr>
            <w:tcW w:w="2468" w:type="dxa"/>
            <w:noWrap w:val="0"/>
            <w:vAlign w:val="top"/>
          </w:tcPr>
          <w:p w14:paraId="6CDFB8D6">
            <w:pPr>
              <w:jc w:val="center"/>
              <w:rPr>
                <w:rFonts w:hint="eastAsia" w:ascii="宋体" w:hAnsi="宋体" w:cs="宋体"/>
                <w:sz w:val="24"/>
                <w:szCs w:val="24"/>
              </w:rPr>
            </w:pPr>
          </w:p>
        </w:tc>
        <w:tc>
          <w:tcPr>
            <w:tcW w:w="1173" w:type="dxa"/>
            <w:noWrap w:val="0"/>
            <w:vAlign w:val="top"/>
          </w:tcPr>
          <w:p w14:paraId="1DA92757">
            <w:pPr>
              <w:jc w:val="center"/>
              <w:rPr>
                <w:rFonts w:hint="eastAsia" w:ascii="宋体" w:hAnsi="宋体" w:cs="宋体"/>
                <w:sz w:val="24"/>
                <w:szCs w:val="24"/>
              </w:rPr>
            </w:pPr>
          </w:p>
        </w:tc>
      </w:tr>
      <w:tr w14:paraId="14BDE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5A6E4D47">
            <w:pPr>
              <w:jc w:val="center"/>
              <w:rPr>
                <w:rFonts w:hint="eastAsia" w:ascii="宋体" w:hAnsi="宋体" w:cs="宋体"/>
                <w:sz w:val="24"/>
                <w:szCs w:val="24"/>
              </w:rPr>
            </w:pPr>
          </w:p>
        </w:tc>
        <w:tc>
          <w:tcPr>
            <w:tcW w:w="2044" w:type="dxa"/>
            <w:noWrap w:val="0"/>
            <w:vAlign w:val="top"/>
          </w:tcPr>
          <w:p w14:paraId="0E3588D4">
            <w:pPr>
              <w:jc w:val="center"/>
              <w:rPr>
                <w:rFonts w:hint="eastAsia" w:ascii="宋体" w:hAnsi="宋体" w:cs="宋体"/>
                <w:sz w:val="24"/>
                <w:szCs w:val="24"/>
              </w:rPr>
            </w:pPr>
          </w:p>
        </w:tc>
        <w:tc>
          <w:tcPr>
            <w:tcW w:w="2500" w:type="dxa"/>
            <w:noWrap w:val="0"/>
            <w:vAlign w:val="top"/>
          </w:tcPr>
          <w:p w14:paraId="73421FF9">
            <w:pPr>
              <w:jc w:val="center"/>
              <w:rPr>
                <w:rFonts w:hint="eastAsia" w:ascii="宋体" w:hAnsi="宋体" w:cs="宋体"/>
                <w:sz w:val="24"/>
                <w:szCs w:val="24"/>
              </w:rPr>
            </w:pPr>
          </w:p>
        </w:tc>
        <w:tc>
          <w:tcPr>
            <w:tcW w:w="2468" w:type="dxa"/>
            <w:noWrap w:val="0"/>
            <w:vAlign w:val="top"/>
          </w:tcPr>
          <w:p w14:paraId="03A578ED">
            <w:pPr>
              <w:jc w:val="center"/>
              <w:rPr>
                <w:rFonts w:hint="eastAsia" w:ascii="宋体" w:hAnsi="宋体" w:cs="宋体"/>
                <w:sz w:val="24"/>
                <w:szCs w:val="24"/>
              </w:rPr>
            </w:pPr>
          </w:p>
        </w:tc>
        <w:tc>
          <w:tcPr>
            <w:tcW w:w="1173" w:type="dxa"/>
            <w:noWrap w:val="0"/>
            <w:vAlign w:val="top"/>
          </w:tcPr>
          <w:p w14:paraId="3982C173">
            <w:pPr>
              <w:jc w:val="center"/>
              <w:rPr>
                <w:rFonts w:hint="eastAsia" w:ascii="宋体" w:hAnsi="宋体" w:cs="宋体"/>
                <w:sz w:val="24"/>
                <w:szCs w:val="24"/>
              </w:rPr>
            </w:pPr>
          </w:p>
        </w:tc>
      </w:tr>
      <w:tr w14:paraId="7DB5E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62383DAF">
            <w:pPr>
              <w:jc w:val="center"/>
              <w:rPr>
                <w:rFonts w:hint="eastAsia" w:ascii="宋体" w:hAnsi="宋体" w:cs="宋体"/>
                <w:sz w:val="24"/>
                <w:szCs w:val="24"/>
              </w:rPr>
            </w:pPr>
          </w:p>
        </w:tc>
        <w:tc>
          <w:tcPr>
            <w:tcW w:w="2044" w:type="dxa"/>
            <w:noWrap w:val="0"/>
            <w:vAlign w:val="top"/>
          </w:tcPr>
          <w:p w14:paraId="39CD37BC">
            <w:pPr>
              <w:jc w:val="center"/>
              <w:rPr>
                <w:rFonts w:hint="eastAsia" w:ascii="宋体" w:hAnsi="宋体" w:cs="宋体"/>
                <w:sz w:val="24"/>
                <w:szCs w:val="24"/>
              </w:rPr>
            </w:pPr>
          </w:p>
        </w:tc>
        <w:tc>
          <w:tcPr>
            <w:tcW w:w="2500" w:type="dxa"/>
            <w:noWrap w:val="0"/>
            <w:vAlign w:val="top"/>
          </w:tcPr>
          <w:p w14:paraId="25E67B10">
            <w:pPr>
              <w:jc w:val="center"/>
              <w:rPr>
                <w:rFonts w:hint="eastAsia" w:ascii="宋体" w:hAnsi="宋体" w:cs="宋体"/>
                <w:sz w:val="24"/>
                <w:szCs w:val="24"/>
              </w:rPr>
            </w:pPr>
          </w:p>
        </w:tc>
        <w:tc>
          <w:tcPr>
            <w:tcW w:w="2468" w:type="dxa"/>
            <w:noWrap w:val="0"/>
            <w:vAlign w:val="top"/>
          </w:tcPr>
          <w:p w14:paraId="137B1B13">
            <w:pPr>
              <w:jc w:val="center"/>
              <w:rPr>
                <w:rFonts w:hint="eastAsia" w:ascii="宋体" w:hAnsi="宋体" w:cs="宋体"/>
                <w:sz w:val="24"/>
                <w:szCs w:val="24"/>
              </w:rPr>
            </w:pPr>
          </w:p>
        </w:tc>
        <w:tc>
          <w:tcPr>
            <w:tcW w:w="1173" w:type="dxa"/>
            <w:noWrap w:val="0"/>
            <w:vAlign w:val="top"/>
          </w:tcPr>
          <w:p w14:paraId="36E03233">
            <w:pPr>
              <w:jc w:val="center"/>
              <w:rPr>
                <w:rFonts w:hint="eastAsia" w:ascii="宋体" w:hAnsi="宋体" w:cs="宋体"/>
                <w:sz w:val="24"/>
                <w:szCs w:val="24"/>
              </w:rPr>
            </w:pPr>
          </w:p>
        </w:tc>
      </w:tr>
      <w:tr w14:paraId="5A7E0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6E602326">
            <w:pPr>
              <w:jc w:val="center"/>
              <w:rPr>
                <w:rFonts w:hint="eastAsia" w:ascii="宋体" w:hAnsi="宋体" w:cs="宋体"/>
                <w:sz w:val="24"/>
                <w:szCs w:val="24"/>
              </w:rPr>
            </w:pPr>
          </w:p>
        </w:tc>
        <w:tc>
          <w:tcPr>
            <w:tcW w:w="2044" w:type="dxa"/>
            <w:noWrap w:val="0"/>
            <w:vAlign w:val="top"/>
          </w:tcPr>
          <w:p w14:paraId="180932ED">
            <w:pPr>
              <w:jc w:val="center"/>
              <w:rPr>
                <w:rFonts w:hint="eastAsia" w:ascii="宋体" w:hAnsi="宋体" w:cs="宋体"/>
                <w:sz w:val="24"/>
                <w:szCs w:val="24"/>
              </w:rPr>
            </w:pPr>
          </w:p>
        </w:tc>
        <w:tc>
          <w:tcPr>
            <w:tcW w:w="2500" w:type="dxa"/>
            <w:noWrap w:val="0"/>
            <w:vAlign w:val="top"/>
          </w:tcPr>
          <w:p w14:paraId="22A91DAF">
            <w:pPr>
              <w:jc w:val="center"/>
              <w:rPr>
                <w:rFonts w:hint="eastAsia" w:ascii="宋体" w:hAnsi="宋体" w:cs="宋体"/>
                <w:sz w:val="24"/>
                <w:szCs w:val="24"/>
              </w:rPr>
            </w:pPr>
          </w:p>
        </w:tc>
        <w:tc>
          <w:tcPr>
            <w:tcW w:w="2468" w:type="dxa"/>
            <w:noWrap w:val="0"/>
            <w:vAlign w:val="top"/>
          </w:tcPr>
          <w:p w14:paraId="3F9EEABE">
            <w:pPr>
              <w:jc w:val="center"/>
              <w:rPr>
                <w:rFonts w:hint="eastAsia" w:ascii="宋体" w:hAnsi="宋体" w:cs="宋体"/>
                <w:sz w:val="24"/>
                <w:szCs w:val="24"/>
              </w:rPr>
            </w:pPr>
          </w:p>
        </w:tc>
        <w:tc>
          <w:tcPr>
            <w:tcW w:w="1173" w:type="dxa"/>
            <w:noWrap w:val="0"/>
            <w:vAlign w:val="top"/>
          </w:tcPr>
          <w:p w14:paraId="19902013">
            <w:pPr>
              <w:jc w:val="center"/>
              <w:rPr>
                <w:rFonts w:hint="eastAsia" w:ascii="宋体" w:hAnsi="宋体" w:cs="宋体"/>
                <w:sz w:val="24"/>
                <w:szCs w:val="24"/>
              </w:rPr>
            </w:pPr>
          </w:p>
        </w:tc>
      </w:tr>
      <w:tr w14:paraId="74724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3148177A">
            <w:pPr>
              <w:jc w:val="center"/>
              <w:rPr>
                <w:rFonts w:hint="eastAsia" w:ascii="宋体" w:hAnsi="宋体" w:cs="宋体"/>
                <w:sz w:val="24"/>
                <w:szCs w:val="24"/>
              </w:rPr>
            </w:pPr>
          </w:p>
        </w:tc>
        <w:tc>
          <w:tcPr>
            <w:tcW w:w="2044" w:type="dxa"/>
            <w:noWrap w:val="0"/>
            <w:vAlign w:val="top"/>
          </w:tcPr>
          <w:p w14:paraId="41C30D0D">
            <w:pPr>
              <w:jc w:val="center"/>
              <w:rPr>
                <w:rFonts w:hint="eastAsia" w:ascii="宋体" w:hAnsi="宋体" w:cs="宋体"/>
                <w:sz w:val="24"/>
                <w:szCs w:val="24"/>
              </w:rPr>
            </w:pPr>
          </w:p>
        </w:tc>
        <w:tc>
          <w:tcPr>
            <w:tcW w:w="2500" w:type="dxa"/>
            <w:noWrap w:val="0"/>
            <w:vAlign w:val="top"/>
          </w:tcPr>
          <w:p w14:paraId="0A997A2B">
            <w:pPr>
              <w:jc w:val="center"/>
              <w:rPr>
                <w:rFonts w:hint="eastAsia" w:ascii="宋体" w:hAnsi="宋体" w:cs="宋体"/>
                <w:sz w:val="24"/>
                <w:szCs w:val="24"/>
              </w:rPr>
            </w:pPr>
          </w:p>
        </w:tc>
        <w:tc>
          <w:tcPr>
            <w:tcW w:w="2468" w:type="dxa"/>
            <w:noWrap w:val="0"/>
            <w:vAlign w:val="top"/>
          </w:tcPr>
          <w:p w14:paraId="28A93820">
            <w:pPr>
              <w:jc w:val="center"/>
              <w:rPr>
                <w:rFonts w:hint="eastAsia" w:ascii="宋体" w:hAnsi="宋体" w:cs="宋体"/>
                <w:sz w:val="24"/>
                <w:szCs w:val="24"/>
              </w:rPr>
            </w:pPr>
          </w:p>
        </w:tc>
        <w:tc>
          <w:tcPr>
            <w:tcW w:w="1173" w:type="dxa"/>
            <w:noWrap w:val="0"/>
            <w:vAlign w:val="top"/>
          </w:tcPr>
          <w:p w14:paraId="37686BB3">
            <w:pPr>
              <w:jc w:val="center"/>
              <w:rPr>
                <w:rFonts w:hint="eastAsia" w:ascii="宋体" w:hAnsi="宋体" w:cs="宋体"/>
                <w:sz w:val="24"/>
                <w:szCs w:val="24"/>
              </w:rPr>
            </w:pPr>
          </w:p>
        </w:tc>
      </w:tr>
      <w:tr w14:paraId="65756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7D1FB215">
            <w:pPr>
              <w:jc w:val="center"/>
              <w:rPr>
                <w:rFonts w:hint="eastAsia" w:ascii="宋体" w:hAnsi="宋体" w:cs="宋体"/>
                <w:sz w:val="24"/>
                <w:szCs w:val="24"/>
              </w:rPr>
            </w:pPr>
          </w:p>
        </w:tc>
        <w:tc>
          <w:tcPr>
            <w:tcW w:w="2044" w:type="dxa"/>
            <w:noWrap w:val="0"/>
            <w:vAlign w:val="top"/>
          </w:tcPr>
          <w:p w14:paraId="5A16C9FE">
            <w:pPr>
              <w:jc w:val="center"/>
              <w:rPr>
                <w:rFonts w:hint="eastAsia" w:ascii="宋体" w:hAnsi="宋体" w:cs="宋体"/>
                <w:sz w:val="24"/>
                <w:szCs w:val="24"/>
              </w:rPr>
            </w:pPr>
          </w:p>
        </w:tc>
        <w:tc>
          <w:tcPr>
            <w:tcW w:w="2500" w:type="dxa"/>
            <w:noWrap w:val="0"/>
            <w:vAlign w:val="top"/>
          </w:tcPr>
          <w:p w14:paraId="64012449">
            <w:pPr>
              <w:jc w:val="center"/>
              <w:rPr>
                <w:rFonts w:hint="eastAsia" w:ascii="宋体" w:hAnsi="宋体" w:cs="宋体"/>
                <w:sz w:val="24"/>
                <w:szCs w:val="24"/>
              </w:rPr>
            </w:pPr>
          </w:p>
        </w:tc>
        <w:tc>
          <w:tcPr>
            <w:tcW w:w="2468" w:type="dxa"/>
            <w:noWrap w:val="0"/>
            <w:vAlign w:val="top"/>
          </w:tcPr>
          <w:p w14:paraId="2B60A9A9">
            <w:pPr>
              <w:jc w:val="center"/>
              <w:rPr>
                <w:rFonts w:hint="eastAsia" w:ascii="宋体" w:hAnsi="宋体" w:cs="宋体"/>
                <w:sz w:val="24"/>
                <w:szCs w:val="24"/>
              </w:rPr>
            </w:pPr>
          </w:p>
        </w:tc>
        <w:tc>
          <w:tcPr>
            <w:tcW w:w="1173" w:type="dxa"/>
            <w:noWrap w:val="0"/>
            <w:vAlign w:val="top"/>
          </w:tcPr>
          <w:p w14:paraId="63F14ADA">
            <w:pPr>
              <w:jc w:val="center"/>
              <w:rPr>
                <w:rFonts w:hint="eastAsia" w:ascii="宋体" w:hAnsi="宋体" w:cs="宋体"/>
                <w:sz w:val="24"/>
                <w:szCs w:val="24"/>
              </w:rPr>
            </w:pPr>
          </w:p>
        </w:tc>
      </w:tr>
      <w:tr w14:paraId="055D2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176E3E5C">
            <w:pPr>
              <w:jc w:val="center"/>
              <w:rPr>
                <w:rFonts w:hint="eastAsia" w:ascii="宋体" w:hAnsi="宋体" w:cs="宋体"/>
                <w:sz w:val="24"/>
                <w:szCs w:val="24"/>
              </w:rPr>
            </w:pPr>
          </w:p>
        </w:tc>
        <w:tc>
          <w:tcPr>
            <w:tcW w:w="2044" w:type="dxa"/>
            <w:noWrap w:val="0"/>
            <w:vAlign w:val="top"/>
          </w:tcPr>
          <w:p w14:paraId="296ECC1B">
            <w:pPr>
              <w:jc w:val="center"/>
              <w:rPr>
                <w:rFonts w:hint="eastAsia" w:ascii="宋体" w:hAnsi="宋体" w:cs="宋体"/>
                <w:sz w:val="24"/>
                <w:szCs w:val="24"/>
              </w:rPr>
            </w:pPr>
          </w:p>
        </w:tc>
        <w:tc>
          <w:tcPr>
            <w:tcW w:w="2500" w:type="dxa"/>
            <w:noWrap w:val="0"/>
            <w:vAlign w:val="top"/>
          </w:tcPr>
          <w:p w14:paraId="10643D69">
            <w:pPr>
              <w:jc w:val="center"/>
              <w:rPr>
                <w:rFonts w:hint="eastAsia" w:ascii="宋体" w:hAnsi="宋体" w:cs="宋体"/>
                <w:sz w:val="24"/>
                <w:szCs w:val="24"/>
              </w:rPr>
            </w:pPr>
          </w:p>
        </w:tc>
        <w:tc>
          <w:tcPr>
            <w:tcW w:w="2468" w:type="dxa"/>
            <w:noWrap w:val="0"/>
            <w:vAlign w:val="top"/>
          </w:tcPr>
          <w:p w14:paraId="44CAED02">
            <w:pPr>
              <w:jc w:val="center"/>
              <w:rPr>
                <w:rFonts w:hint="eastAsia" w:ascii="宋体" w:hAnsi="宋体" w:cs="宋体"/>
                <w:sz w:val="24"/>
                <w:szCs w:val="24"/>
              </w:rPr>
            </w:pPr>
          </w:p>
        </w:tc>
        <w:tc>
          <w:tcPr>
            <w:tcW w:w="1173" w:type="dxa"/>
            <w:noWrap w:val="0"/>
            <w:vAlign w:val="top"/>
          </w:tcPr>
          <w:p w14:paraId="5A2AB20E">
            <w:pPr>
              <w:jc w:val="center"/>
              <w:rPr>
                <w:rFonts w:hint="eastAsia" w:ascii="宋体" w:hAnsi="宋体" w:cs="宋体"/>
                <w:sz w:val="24"/>
                <w:szCs w:val="24"/>
              </w:rPr>
            </w:pPr>
          </w:p>
        </w:tc>
      </w:tr>
      <w:tr w14:paraId="400AD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7336E695">
            <w:pPr>
              <w:jc w:val="center"/>
              <w:rPr>
                <w:rFonts w:hint="eastAsia" w:ascii="宋体" w:hAnsi="宋体" w:cs="宋体"/>
                <w:sz w:val="24"/>
                <w:szCs w:val="24"/>
              </w:rPr>
            </w:pPr>
          </w:p>
        </w:tc>
        <w:tc>
          <w:tcPr>
            <w:tcW w:w="2044" w:type="dxa"/>
            <w:noWrap w:val="0"/>
            <w:vAlign w:val="top"/>
          </w:tcPr>
          <w:p w14:paraId="782064A9">
            <w:pPr>
              <w:jc w:val="center"/>
              <w:rPr>
                <w:rFonts w:hint="eastAsia" w:ascii="宋体" w:hAnsi="宋体" w:cs="宋体"/>
                <w:sz w:val="24"/>
                <w:szCs w:val="24"/>
              </w:rPr>
            </w:pPr>
          </w:p>
        </w:tc>
        <w:tc>
          <w:tcPr>
            <w:tcW w:w="2500" w:type="dxa"/>
            <w:noWrap w:val="0"/>
            <w:vAlign w:val="top"/>
          </w:tcPr>
          <w:p w14:paraId="6C8372F1">
            <w:pPr>
              <w:jc w:val="center"/>
              <w:rPr>
                <w:rFonts w:hint="eastAsia" w:ascii="宋体" w:hAnsi="宋体" w:cs="宋体"/>
                <w:sz w:val="24"/>
                <w:szCs w:val="24"/>
              </w:rPr>
            </w:pPr>
          </w:p>
        </w:tc>
        <w:tc>
          <w:tcPr>
            <w:tcW w:w="2468" w:type="dxa"/>
            <w:noWrap w:val="0"/>
            <w:vAlign w:val="top"/>
          </w:tcPr>
          <w:p w14:paraId="18A14071">
            <w:pPr>
              <w:jc w:val="center"/>
              <w:rPr>
                <w:rFonts w:hint="eastAsia" w:ascii="宋体" w:hAnsi="宋体" w:cs="宋体"/>
                <w:sz w:val="24"/>
                <w:szCs w:val="24"/>
              </w:rPr>
            </w:pPr>
          </w:p>
        </w:tc>
        <w:tc>
          <w:tcPr>
            <w:tcW w:w="1173" w:type="dxa"/>
            <w:noWrap w:val="0"/>
            <w:vAlign w:val="top"/>
          </w:tcPr>
          <w:p w14:paraId="58D08B1F">
            <w:pPr>
              <w:jc w:val="center"/>
              <w:rPr>
                <w:rFonts w:hint="eastAsia" w:ascii="宋体" w:hAnsi="宋体" w:cs="宋体"/>
                <w:sz w:val="24"/>
                <w:szCs w:val="24"/>
              </w:rPr>
            </w:pPr>
          </w:p>
        </w:tc>
      </w:tr>
    </w:tbl>
    <w:p w14:paraId="1C3DCB64">
      <w:pPr>
        <w:spacing w:line="440" w:lineRule="exact"/>
        <w:ind w:firstLine="420"/>
        <w:rPr>
          <w:rFonts w:hint="eastAsia" w:ascii="宋体" w:hAnsi="宋体" w:cs="宋体"/>
          <w:sz w:val="24"/>
          <w:szCs w:val="24"/>
        </w:rPr>
      </w:pPr>
      <w:r>
        <w:rPr>
          <w:rFonts w:hint="eastAsia" w:ascii="宋体" w:hAnsi="宋体" w:cs="宋体"/>
          <w:sz w:val="24"/>
          <w:szCs w:val="24"/>
        </w:rPr>
        <w:t>注：该表必须按照招标文件要求逐条如实填写，根据所供产品情况在“偏离说明”项填写正偏离或负偏离及原因，完全符合的填写“无偏离”。</w:t>
      </w:r>
    </w:p>
    <w:p w14:paraId="413F4C24">
      <w:pPr>
        <w:spacing w:line="440" w:lineRule="exact"/>
        <w:rPr>
          <w:rFonts w:hint="eastAsia" w:ascii="宋体" w:hAnsi="宋体" w:cs="宋体"/>
          <w:sz w:val="24"/>
          <w:szCs w:val="24"/>
        </w:rPr>
      </w:pPr>
    </w:p>
    <w:p w14:paraId="723CA8A6">
      <w:pPr>
        <w:spacing w:line="440" w:lineRule="exact"/>
        <w:ind w:firstLine="1680"/>
        <w:rPr>
          <w:rFonts w:hint="eastAsia" w:ascii="宋体" w:hAnsi="宋体" w:cs="宋体"/>
          <w:sz w:val="24"/>
          <w:szCs w:val="24"/>
        </w:rPr>
      </w:pPr>
      <w:r>
        <w:rPr>
          <w:rFonts w:hint="eastAsia" w:ascii="宋体" w:hAnsi="宋体" w:cs="宋体"/>
          <w:sz w:val="24"/>
          <w:szCs w:val="24"/>
        </w:rPr>
        <w:t>法定代表人（或者负责人）或被授权人（签字）：</w:t>
      </w:r>
      <w:r>
        <w:rPr>
          <w:rFonts w:hint="eastAsia" w:ascii="宋体" w:hAnsi="宋体" w:cs="宋体"/>
          <w:sz w:val="24"/>
          <w:szCs w:val="24"/>
          <w:u w:val="single"/>
        </w:rPr>
        <w:t xml:space="preserve">              </w:t>
      </w:r>
    </w:p>
    <w:p w14:paraId="3DFD0B32">
      <w:pPr>
        <w:spacing w:line="440" w:lineRule="exact"/>
        <w:ind w:firstLine="1680"/>
        <w:rPr>
          <w:rFonts w:hint="eastAsia" w:ascii="宋体" w:hAnsi="宋体" w:cs="宋体"/>
          <w:sz w:val="24"/>
          <w:szCs w:val="24"/>
        </w:rPr>
      </w:pPr>
    </w:p>
    <w:p w14:paraId="44D30B56">
      <w:pPr>
        <w:spacing w:line="440" w:lineRule="exact"/>
        <w:ind w:firstLine="1680"/>
        <w:rPr>
          <w:rFonts w:hint="eastAsia" w:ascii="宋体" w:hAnsi="宋体" w:cs="宋体"/>
          <w:sz w:val="24"/>
          <w:szCs w:val="24"/>
        </w:rPr>
      </w:pPr>
    </w:p>
    <w:p w14:paraId="3D41167E">
      <w:pPr>
        <w:spacing w:line="440" w:lineRule="exact"/>
        <w:ind w:firstLine="1680"/>
        <w:rPr>
          <w:rFonts w:hint="eastAsia" w:ascii="宋体" w:hAnsi="宋体" w:cs="宋体"/>
          <w:sz w:val="24"/>
          <w:szCs w:val="24"/>
        </w:rPr>
      </w:pPr>
      <w:r>
        <w:rPr>
          <w:rFonts w:hint="eastAsia" w:ascii="宋体" w:hAnsi="宋体" w:cs="宋体"/>
          <w:sz w:val="24"/>
          <w:szCs w:val="24"/>
        </w:rPr>
        <w:t>投标人（盖单位公章）：</w:t>
      </w:r>
      <w:r>
        <w:rPr>
          <w:rFonts w:hint="eastAsia" w:ascii="宋体" w:hAnsi="宋体" w:cs="宋体"/>
          <w:sz w:val="24"/>
          <w:szCs w:val="24"/>
          <w:u w:val="single"/>
        </w:rPr>
        <w:t xml:space="preserve">               </w:t>
      </w:r>
    </w:p>
    <w:p w14:paraId="16BC511F">
      <w:pPr>
        <w:spacing w:line="440" w:lineRule="exact"/>
        <w:ind w:firstLine="1200"/>
        <w:rPr>
          <w:rFonts w:hint="eastAsia" w:ascii="宋体" w:hAnsi="宋体" w:cs="宋体"/>
          <w:sz w:val="24"/>
          <w:szCs w:val="24"/>
        </w:rPr>
      </w:pPr>
    </w:p>
    <w:p w14:paraId="5591835D">
      <w:pPr>
        <w:spacing w:line="440" w:lineRule="exact"/>
        <w:rPr>
          <w:rFonts w:hint="eastAsia" w:ascii="宋体" w:hAnsi="宋体" w:cs="宋体"/>
          <w:sz w:val="24"/>
          <w:szCs w:val="24"/>
        </w:rPr>
      </w:pPr>
    </w:p>
    <w:p w14:paraId="5E20B79D">
      <w:pPr>
        <w:spacing w:line="440" w:lineRule="exact"/>
        <w:ind w:firstLine="1200"/>
        <w:rPr>
          <w:rFonts w:hint="eastAsia" w:ascii="宋体" w:hAnsi="宋体" w:cs="宋体"/>
          <w:sz w:val="24"/>
          <w:szCs w:val="24"/>
        </w:rPr>
      </w:pPr>
    </w:p>
    <w:p w14:paraId="6F079938">
      <w:pPr>
        <w:spacing w:line="360" w:lineRule="auto"/>
        <w:ind w:firstLine="4622"/>
        <w:rPr>
          <w:rFonts w:hint="eastAsia" w:ascii="宋体" w:hAnsi="宋体" w:cs="宋体"/>
          <w:bCs/>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 xml:space="preserve">日  </w:t>
      </w:r>
    </w:p>
    <w:p w14:paraId="39B8A0EF">
      <w:pPr>
        <w:rPr>
          <w:rFonts w:ascii="宋体" w:hAnsi="宋体" w:cs="宋体"/>
          <w:b/>
          <w:sz w:val="36"/>
        </w:rPr>
      </w:pPr>
    </w:p>
    <w:p w14:paraId="02A20BF3">
      <w:pPr>
        <w:pStyle w:val="16"/>
      </w:pPr>
    </w:p>
    <w:bookmarkEnd w:id="150"/>
    <w:bookmarkEnd w:id="151"/>
    <w:bookmarkEnd w:id="437"/>
    <w:p w14:paraId="51C8EE8B">
      <w:pPr>
        <w:spacing w:before="50" w:after="50"/>
        <w:rPr>
          <w:rFonts w:hint="eastAsia" w:ascii="宋体" w:hAnsi="宋体" w:cs="宋体"/>
          <w:sz w:val="32"/>
          <w:szCs w:val="32"/>
        </w:rPr>
      </w:pPr>
      <w:bookmarkStart w:id="438" w:name="_Hlt26955054"/>
      <w:bookmarkEnd w:id="438"/>
    </w:p>
    <w:p w14:paraId="21CD4226">
      <w:pPr>
        <w:spacing w:before="50" w:after="50"/>
        <w:jc w:val="center"/>
        <w:rPr>
          <w:rFonts w:hint="eastAsia" w:ascii="宋体" w:hAnsi="宋体" w:cs="宋体"/>
          <w:sz w:val="32"/>
          <w:szCs w:val="32"/>
        </w:rPr>
      </w:pPr>
    </w:p>
    <w:p w14:paraId="56D2D1A9"/>
    <w:sectPr>
      <w:headerReference r:id="rId11" w:type="first"/>
      <w:footerReference r:id="rId14" w:type="first"/>
      <w:headerReference r:id="rId10" w:type="default"/>
      <w:footerReference r:id="rId12" w:type="default"/>
      <w:footerReference r:id="rId13" w:type="even"/>
      <w:pgSz w:w="11906" w:h="16838"/>
      <w:pgMar w:top="1418" w:right="1588" w:bottom="1418" w:left="1365" w:header="851" w:footer="907"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D699B">
    <w:pPr>
      <w:pStyle w:val="3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38252">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B13825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C760E">
    <w:pPr>
      <w:pStyle w:val="11"/>
      <w:tabs>
        <w:tab w:val="center" w:pos="4204"/>
        <w:tab w:val="clear" w:pos="4153"/>
      </w:tabs>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B94E804">
                          <w:pPr>
                            <w:pStyle w:val="11"/>
                            <w:ind w:firstLine="360"/>
                          </w:pPr>
                          <w:r>
                            <w:fldChar w:fldCharType="begin"/>
                          </w:r>
                          <w:r>
                            <w:instrText xml:space="preserve"> PAGE  \* MERGEFORMAT </w:instrText>
                          </w:r>
                          <w:r>
                            <w:fldChar w:fldCharType="separate"/>
                          </w:r>
                          <w:r>
                            <w:t>58</w:t>
                          </w:r>
                          <w:r>
                            <w:fldChar w:fldCharType="end"/>
                          </w:r>
                        </w:p>
                      </w:txbxContent>
                    </wps:txbx>
                    <wps:bodyPr wrap="none" lIns="0" tIns="0" rIns="0" bIns="0" anchor="t" anchorCtr="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zSVju0AAAAAUBAAAPAAAA&#10;AAAAAAEAIAAAACIAAABkcnMvZG93bnJldi54bWxQSwECFAAUAAAACACHTuJAnATeSeQBAADJAwAA&#10;DgAAAAAAAAABACAAAAAfAQAAZHJzL2Uyb0RvYy54bWxQSwUGAAAAAAYABgBZAQAAdQUAAAAA&#10;">
              <v:fill on="f" focussize="0,0"/>
              <v:stroke on="f" weight="0.5pt"/>
              <v:imagedata o:title=""/>
              <o:lock v:ext="edit" aspectratio="f"/>
              <v:textbox inset="0mm,0mm,0mm,0mm" style="mso-fit-shape-to-text:t;">
                <w:txbxContent>
                  <w:p w14:paraId="3B94E804">
                    <w:pPr>
                      <w:pStyle w:val="11"/>
                      <w:ind w:firstLine="360"/>
                    </w:pPr>
                    <w:r>
                      <w:fldChar w:fldCharType="begin"/>
                    </w:r>
                    <w:r>
                      <w:instrText xml:space="preserve"> PAGE  \* MERGEFORMAT </w:instrText>
                    </w:r>
                    <w:r>
                      <w:fldChar w:fldCharType="separate"/>
                    </w:r>
                    <w:r>
                      <w:t>58</w:t>
                    </w:r>
                    <w:r>
                      <w:fldChar w:fldCharType="end"/>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FCCC5">
    <w:pPr>
      <w:pStyle w:val="1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3B842">
    <w:pPr>
      <w:pStyle w:val="11"/>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736E3">
    <w:pPr>
      <w:pStyle w:val="31"/>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0F07E3">
                          <w:pPr>
                            <w:pStyle w:val="31"/>
                          </w:pPr>
                          <w:r>
                            <w:t xml:space="preserve"> </w:t>
                          </w:r>
                          <w:r>
                            <w:fldChar w:fldCharType="begin"/>
                          </w:r>
                          <w:r>
                            <w:instrText xml:space="preserve"> PAGE  \* MERGEFORMAT </w:instrText>
                          </w:r>
                          <w:r>
                            <w:fldChar w:fldCharType="separate"/>
                          </w:r>
                          <w:r>
                            <w:t>69</w:t>
                          </w:r>
                          <w:r>
                            <w:fldChar w:fldCharType="end"/>
                          </w:r>
                          <w:r>
                            <w:t xml:space="preserve"> </w:t>
                          </w:r>
                        </w:p>
                        <w:p w14:paraId="53E047B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30F07E3">
                    <w:pPr>
                      <w:pStyle w:val="31"/>
                    </w:pPr>
                    <w:r>
                      <w:t xml:space="preserve"> </w:t>
                    </w:r>
                    <w:r>
                      <w:fldChar w:fldCharType="begin"/>
                    </w:r>
                    <w:r>
                      <w:instrText xml:space="preserve"> PAGE  \* MERGEFORMAT </w:instrText>
                    </w:r>
                    <w:r>
                      <w:fldChar w:fldCharType="separate"/>
                    </w:r>
                    <w:r>
                      <w:t>69</w:t>
                    </w:r>
                    <w:r>
                      <w:fldChar w:fldCharType="end"/>
                    </w:r>
                    <w:r>
                      <w:t xml:space="preserve"> </w:t>
                    </w:r>
                  </w:p>
                  <w:p w14:paraId="53E047BB"/>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A97D4">
    <w:pPr>
      <w:pStyle w:val="31"/>
      <w:framePr w:wrap="around" w:vAnchor="text" w:hAnchor="margin" w:xAlign="center" w:y="1"/>
      <w:rPr>
        <w:rStyle w:val="33"/>
      </w:rPr>
    </w:pPr>
    <w:r>
      <w:fldChar w:fldCharType="begin"/>
    </w:r>
    <w:r>
      <w:rPr>
        <w:rStyle w:val="33"/>
      </w:rPr>
      <w:instrText xml:space="preserve">PAGE  </w:instrText>
    </w:r>
    <w:r>
      <w:fldChar w:fldCharType="separate"/>
    </w:r>
    <w:r>
      <w:rPr>
        <w:rStyle w:val="33"/>
      </w:rPr>
      <w:t>1</w:t>
    </w:r>
    <w:r>
      <w:fldChar w:fldCharType="end"/>
    </w:r>
  </w:p>
  <w:p w14:paraId="7979A28D">
    <w:pPr>
      <w:pStyle w:val="3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4FFD1">
    <w:pPr>
      <w:pStyle w:val="11"/>
      <w:ind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C7B173">
                          <w:pPr>
                            <w:pStyle w:val="1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8C7B173">
                    <w:pPr>
                      <w:pStyle w:val="1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3D58B">
    <w:pPr>
      <w:pStyle w:val="12"/>
      <w:pBdr>
        <w:bottom w:val="none" w:color="auto" w:sz="0" w:space="1"/>
      </w:pBdr>
      <w:jc w:val="both"/>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B2BEB">
    <w:pPr>
      <w:pStyle w:val="1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C388D">
    <w:pPr>
      <w:pStyle w:val="12"/>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7A3DE">
    <w:pPr>
      <w:pStyle w:val="32"/>
      <w:pBdr>
        <w:bottom w:val="none" w:color="000000" w:sz="0" w:space="0"/>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CF8B2">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3D62ECE"/>
    <w:multiLevelType w:val="multilevel"/>
    <w:tmpl w:val="03D62EC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1AD562F"/>
    <w:multiLevelType w:val="singleLevel"/>
    <w:tmpl w:val="31AD562F"/>
    <w:lvl w:ilvl="0" w:tentative="0">
      <w:start w:val="4"/>
      <w:numFmt w:val="chineseCounting"/>
      <w:suff w:val="space"/>
      <w:lvlText w:val="第%1章"/>
      <w:lvlJc w:val="left"/>
      <w:rPr>
        <w:rFonts w:hint="eastAsia"/>
      </w:rPr>
    </w:lvl>
  </w:abstractNum>
  <w:abstractNum w:abstractNumId="3">
    <w:nsid w:val="35E4F7AE"/>
    <w:multiLevelType w:val="singleLevel"/>
    <w:tmpl w:val="35E4F7AE"/>
    <w:lvl w:ilvl="0" w:tentative="0">
      <w:start w:val="1"/>
      <w:numFmt w:val="decimal"/>
      <w:suff w:val="nothing"/>
      <w:lvlText w:val="%1、"/>
      <w:lvlJc w:val="left"/>
    </w:lvl>
  </w:abstractNum>
  <w:abstractNum w:abstractNumId="4">
    <w:nsid w:val="5073A52D"/>
    <w:multiLevelType w:val="singleLevel"/>
    <w:tmpl w:val="5073A52D"/>
    <w:lvl w:ilvl="0" w:tentative="0">
      <w:start w:val="1"/>
      <w:numFmt w:val="chineseCounting"/>
      <w:suff w:val="nothing"/>
      <w:lvlText w:val="%1、"/>
      <w:lvlJc w:val="left"/>
      <w:rPr>
        <w:rFonts w:hint="eastAsia"/>
      </w:rPr>
    </w:lvl>
  </w:abstractNum>
  <w:abstractNum w:abstractNumId="5">
    <w:nsid w:val="6AB4C97E"/>
    <w:multiLevelType w:val="singleLevel"/>
    <w:tmpl w:val="6AB4C97E"/>
    <w:lvl w:ilvl="0" w:tentative="0">
      <w:start w:val="1"/>
      <w:numFmt w:val="chineseCounting"/>
      <w:suff w:val="nothing"/>
      <w:lvlText w:val="%1、"/>
      <w:lvlJc w:val="left"/>
      <w:rPr>
        <w:rFonts w:hint="eastAsia"/>
      </w:rPr>
    </w:lvl>
  </w:abstractNum>
  <w:abstractNum w:abstractNumId="6">
    <w:nsid w:val="72183CF9"/>
    <w:multiLevelType w:val="multilevel"/>
    <w:tmpl w:val="72183CF9"/>
    <w:lvl w:ilvl="0" w:tentative="0">
      <w:start w:val="1"/>
      <w:numFmt w:val="japaneseCounting"/>
      <w:lvlText w:val="%1、"/>
      <w:lvlJc w:val="left"/>
      <w:pPr>
        <w:ind w:left="975" w:hanging="495"/>
      </w:pPr>
      <w:rPr>
        <w:b/>
        <w:lang w:val="en-U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7BCE6C09"/>
    <w:multiLevelType w:val="singleLevel"/>
    <w:tmpl w:val="7BCE6C09"/>
    <w:lvl w:ilvl="0" w:tentative="0">
      <w:start w:val="2"/>
      <w:numFmt w:val="decimal"/>
      <w:lvlText w:val="%1."/>
      <w:lvlJc w:val="left"/>
      <w:pPr>
        <w:tabs>
          <w:tab w:val="left" w:pos="312"/>
        </w:tabs>
      </w:pPr>
    </w:lvl>
  </w:abstractNum>
  <w:num w:numId="1">
    <w:abstractNumId w:val="1"/>
  </w:num>
  <w:num w:numId="2">
    <w:abstractNumId w:val="7"/>
  </w:num>
  <w:num w:numId="3">
    <w:abstractNumId w:val="2"/>
  </w:num>
  <w:num w:numId="4">
    <w:abstractNumId w:val="4"/>
  </w:num>
  <w:num w:numId="5">
    <w:abstractNumId w:val="5"/>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yODZlODJhNzQxMzEwZWE1NzdkMjAyNWMyNjZiZjcifQ=="/>
  </w:docVars>
  <w:rsids>
    <w:rsidRoot w:val="00000000"/>
    <w:rsid w:val="01405675"/>
    <w:rsid w:val="05ED514F"/>
    <w:rsid w:val="098957D1"/>
    <w:rsid w:val="0BAA5D2C"/>
    <w:rsid w:val="0C2F2AB1"/>
    <w:rsid w:val="0E0615DD"/>
    <w:rsid w:val="0ED46221"/>
    <w:rsid w:val="0FDD0E57"/>
    <w:rsid w:val="1034712E"/>
    <w:rsid w:val="11AA3420"/>
    <w:rsid w:val="12851217"/>
    <w:rsid w:val="1833104A"/>
    <w:rsid w:val="1AC17907"/>
    <w:rsid w:val="1C0F7A7B"/>
    <w:rsid w:val="1CD278F9"/>
    <w:rsid w:val="1D330B3C"/>
    <w:rsid w:val="1E3D4414"/>
    <w:rsid w:val="1FD51D45"/>
    <w:rsid w:val="20783724"/>
    <w:rsid w:val="21BE5B0A"/>
    <w:rsid w:val="23816D22"/>
    <w:rsid w:val="23C91E2B"/>
    <w:rsid w:val="267060E8"/>
    <w:rsid w:val="28195DA0"/>
    <w:rsid w:val="294B090B"/>
    <w:rsid w:val="2CD1084F"/>
    <w:rsid w:val="2DBA7818"/>
    <w:rsid w:val="307355F9"/>
    <w:rsid w:val="32D43A98"/>
    <w:rsid w:val="33A7690D"/>
    <w:rsid w:val="36442737"/>
    <w:rsid w:val="387B581C"/>
    <w:rsid w:val="38C71A31"/>
    <w:rsid w:val="39AD7EAE"/>
    <w:rsid w:val="3A056197"/>
    <w:rsid w:val="3C8D17A0"/>
    <w:rsid w:val="3DFB56CD"/>
    <w:rsid w:val="409D5390"/>
    <w:rsid w:val="40E10D97"/>
    <w:rsid w:val="47A705CA"/>
    <w:rsid w:val="4D54421A"/>
    <w:rsid w:val="4D76151B"/>
    <w:rsid w:val="4E241889"/>
    <w:rsid w:val="4E3122CB"/>
    <w:rsid w:val="4E55260F"/>
    <w:rsid w:val="4E892302"/>
    <w:rsid w:val="4E893EE5"/>
    <w:rsid w:val="4EBB3F9B"/>
    <w:rsid w:val="4FBD5539"/>
    <w:rsid w:val="505B55D2"/>
    <w:rsid w:val="5139389D"/>
    <w:rsid w:val="51A7387D"/>
    <w:rsid w:val="52D0014E"/>
    <w:rsid w:val="5351571E"/>
    <w:rsid w:val="53FD3F59"/>
    <w:rsid w:val="56073B51"/>
    <w:rsid w:val="56C55E65"/>
    <w:rsid w:val="58644BBE"/>
    <w:rsid w:val="586B2E70"/>
    <w:rsid w:val="595E39F3"/>
    <w:rsid w:val="5D7719D5"/>
    <w:rsid w:val="5DCF4178"/>
    <w:rsid w:val="632F4A51"/>
    <w:rsid w:val="64D50A4E"/>
    <w:rsid w:val="65427948"/>
    <w:rsid w:val="65933F25"/>
    <w:rsid w:val="68EF722C"/>
    <w:rsid w:val="69E951A7"/>
    <w:rsid w:val="6BF944A3"/>
    <w:rsid w:val="6C590484"/>
    <w:rsid w:val="70A63F93"/>
    <w:rsid w:val="70AD6889"/>
    <w:rsid w:val="71420031"/>
    <w:rsid w:val="714A587B"/>
    <w:rsid w:val="728648E2"/>
    <w:rsid w:val="728B1D53"/>
    <w:rsid w:val="73CC60BA"/>
    <w:rsid w:val="788F01C8"/>
    <w:rsid w:val="789D458E"/>
    <w:rsid w:val="7BA053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3"/>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autoRedefine/>
    <w:unhideWhenUsed/>
    <w:qFormat/>
    <w:uiPriority w:val="0"/>
    <w:pPr>
      <w:keepNext/>
      <w:keepLines/>
      <w:spacing w:before="260" w:after="260" w:line="416" w:lineRule="auto"/>
      <w:outlineLvl w:val="2"/>
    </w:pPr>
    <w:rPr>
      <w:b/>
      <w:bCs/>
      <w:sz w:val="32"/>
      <w:szCs w:val="32"/>
    </w:rPr>
  </w:style>
  <w:style w:type="paragraph" w:styleId="6">
    <w:name w:val="heading 4"/>
    <w:basedOn w:val="1"/>
    <w:next w:val="1"/>
    <w:autoRedefine/>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2">
    <w:name w:val="Block Text"/>
    <w:basedOn w:val="1"/>
    <w:autoRedefine/>
    <w:unhideWhenUsed/>
    <w:qFormat/>
    <w:uiPriority w:val="99"/>
    <w:pPr>
      <w:spacing w:after="120"/>
      <w:ind w:left="1440" w:leftChars="700" w:right="1440" w:rightChars="700"/>
    </w:pPr>
  </w:style>
  <w:style w:type="paragraph" w:styleId="7">
    <w:name w:val="annotation text"/>
    <w:basedOn w:val="1"/>
    <w:autoRedefine/>
    <w:qFormat/>
    <w:uiPriority w:val="0"/>
    <w:pPr>
      <w:jc w:val="left"/>
    </w:pPr>
  </w:style>
  <w:style w:type="paragraph" w:styleId="8">
    <w:name w:val="Body Text"/>
    <w:basedOn w:val="1"/>
    <w:next w:val="1"/>
    <w:qFormat/>
    <w:uiPriority w:val="0"/>
    <w:pPr>
      <w:spacing w:after="120"/>
    </w:pPr>
    <w:rPr>
      <w:rFonts w:ascii="Times New Roman" w:hAnsi="Times New Roman" w:eastAsia="宋体" w:cs="Times New Roman"/>
    </w:rPr>
  </w:style>
  <w:style w:type="paragraph" w:styleId="9">
    <w:name w:val="Plain Text"/>
    <w:basedOn w:val="1"/>
    <w:autoRedefine/>
    <w:qFormat/>
    <w:uiPriority w:val="0"/>
    <w:rPr>
      <w:rFonts w:ascii="宋体" w:hAnsi="Courier New"/>
    </w:rPr>
  </w:style>
  <w:style w:type="paragraph" w:styleId="10">
    <w:name w:val="Body Text Indent 2"/>
    <w:basedOn w:val="1"/>
    <w:autoRedefine/>
    <w:qFormat/>
    <w:uiPriority w:val="0"/>
    <w:pPr>
      <w:spacing w:after="120" w:line="480" w:lineRule="auto"/>
      <w:ind w:left="420" w:leftChars="200"/>
    </w:p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5">
    <w:name w:val="索引 41"/>
    <w:basedOn w:val="1"/>
    <w:next w:val="1"/>
    <w:autoRedefine/>
    <w:unhideWhenUsed/>
    <w:qFormat/>
    <w:uiPriority w:val="99"/>
    <w:pPr>
      <w:spacing w:before="100" w:beforeAutospacing="1" w:after="100" w:afterAutospacing="1"/>
      <w:ind w:left="600"/>
    </w:pPr>
    <w:rPr>
      <w:rFonts w:ascii="宋体"/>
      <w:b/>
      <w:bCs/>
      <w:position w:val="-10"/>
      <w:sz w:val="24"/>
      <w:szCs w:val="22"/>
    </w:rPr>
  </w:style>
  <w:style w:type="paragraph" w:customStyle="1" w:styleId="16">
    <w:name w:val="正文文本首行缩进 2"/>
    <w:basedOn w:val="17"/>
    <w:next w:val="19"/>
    <w:autoRedefine/>
    <w:qFormat/>
    <w:uiPriority w:val="0"/>
    <w:pPr>
      <w:spacing w:line="360" w:lineRule="auto"/>
      <w:ind w:firstLine="420"/>
    </w:pPr>
    <w:rPr>
      <w:rFonts w:ascii="宋体" w:hAnsi="宋体" w:eastAsia="宋体"/>
      <w:sz w:val="21"/>
      <w:szCs w:val="20"/>
    </w:rPr>
  </w:style>
  <w:style w:type="paragraph" w:customStyle="1" w:styleId="17">
    <w:name w:val="正文文本缩进1"/>
    <w:basedOn w:val="1"/>
    <w:next w:val="18"/>
    <w:autoRedefine/>
    <w:qFormat/>
    <w:uiPriority w:val="99"/>
    <w:pPr>
      <w:ind w:firstLine="645"/>
    </w:pPr>
    <w:rPr>
      <w:rFonts w:ascii="楷体_GB2312" w:eastAsia="楷体_GB2312"/>
      <w:sz w:val="32"/>
      <w:szCs w:val="32"/>
    </w:rPr>
  </w:style>
  <w:style w:type="paragraph" w:customStyle="1" w:styleId="18">
    <w:name w:val="寄信人地址1"/>
    <w:basedOn w:val="1"/>
    <w:autoRedefine/>
    <w:qFormat/>
    <w:uiPriority w:val="0"/>
    <w:rPr>
      <w:rFonts w:ascii="Arial" w:hAnsi="Arial"/>
    </w:rPr>
  </w:style>
  <w:style w:type="paragraph" w:customStyle="1" w:styleId="19">
    <w:name w:val="正文缩进1"/>
    <w:basedOn w:val="1"/>
    <w:autoRedefine/>
    <w:qFormat/>
    <w:uiPriority w:val="0"/>
    <w:pPr>
      <w:ind w:firstLine="420"/>
    </w:pPr>
  </w:style>
  <w:style w:type="paragraph" w:customStyle="1" w:styleId="20">
    <w:name w:val="标题 11"/>
    <w:basedOn w:val="1"/>
    <w:next w:val="1"/>
    <w:autoRedefine/>
    <w:qFormat/>
    <w:uiPriority w:val="9"/>
    <w:pPr>
      <w:keepNext/>
      <w:jc w:val="center"/>
      <w:outlineLvl w:val="0"/>
    </w:pPr>
    <w:rPr>
      <w:rFonts w:ascii="楷体_GB2312" w:eastAsia="楷体_GB2312"/>
      <w:sz w:val="28"/>
      <w:szCs w:val="28"/>
    </w:rPr>
  </w:style>
  <w:style w:type="paragraph" w:customStyle="1" w:styleId="21">
    <w:name w:val="Default"/>
    <w:autoRedefine/>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customStyle="1" w:styleId="22">
    <w:name w:val="标题 21"/>
    <w:basedOn w:val="1"/>
    <w:next w:val="19"/>
    <w:autoRedefine/>
    <w:qFormat/>
    <w:uiPriority w:val="9"/>
    <w:pPr>
      <w:keepNext/>
      <w:keepLines/>
      <w:spacing w:before="260" w:after="260" w:line="416" w:lineRule="auto"/>
      <w:jc w:val="center"/>
      <w:outlineLvl w:val="1"/>
    </w:pPr>
    <w:rPr>
      <w:rFonts w:ascii="Arial" w:hAnsi="Arial" w:eastAsia="幼圆"/>
      <w:b/>
      <w:bCs/>
      <w:sz w:val="44"/>
      <w:szCs w:val="44"/>
    </w:rPr>
  </w:style>
  <w:style w:type="paragraph" w:customStyle="1" w:styleId="23">
    <w:name w:val="标题 31"/>
    <w:basedOn w:val="1"/>
    <w:next w:val="19"/>
    <w:autoRedefine/>
    <w:qFormat/>
    <w:uiPriority w:val="0"/>
    <w:pPr>
      <w:keepNext/>
      <w:keepLines/>
      <w:spacing w:before="260" w:after="260" w:line="416" w:lineRule="auto"/>
      <w:outlineLvl w:val="2"/>
    </w:pPr>
    <w:rPr>
      <w:b/>
      <w:bCs/>
      <w:sz w:val="32"/>
      <w:szCs w:val="32"/>
    </w:rPr>
  </w:style>
  <w:style w:type="paragraph" w:customStyle="1" w:styleId="24">
    <w:name w:val="标题 41"/>
    <w:basedOn w:val="1"/>
    <w:next w:val="19"/>
    <w:autoRedefine/>
    <w:qFormat/>
    <w:uiPriority w:val="9"/>
    <w:pPr>
      <w:keepNext/>
      <w:keepLines/>
      <w:spacing w:before="280" w:after="290" w:line="376" w:lineRule="auto"/>
      <w:outlineLvl w:val="3"/>
    </w:pPr>
    <w:rPr>
      <w:rFonts w:ascii="Arial" w:hAnsi="Arial" w:eastAsia="黑体"/>
      <w:b/>
      <w:bCs/>
      <w:sz w:val="28"/>
      <w:szCs w:val="28"/>
    </w:rPr>
  </w:style>
  <w:style w:type="paragraph" w:customStyle="1" w:styleId="25">
    <w:name w:val="正文文本1"/>
    <w:basedOn w:val="1"/>
    <w:autoRedefine/>
    <w:qFormat/>
    <w:uiPriority w:val="99"/>
    <w:rPr>
      <w:rFonts w:ascii="楷体_GB2312" w:hAnsi="Arial" w:eastAsia="楷体_GB2312"/>
      <w:sz w:val="28"/>
      <w:szCs w:val="28"/>
    </w:rPr>
  </w:style>
  <w:style w:type="paragraph" w:customStyle="1" w:styleId="26">
    <w:name w:val="纯文本1"/>
    <w:basedOn w:val="1"/>
    <w:autoRedefine/>
    <w:qFormat/>
    <w:uiPriority w:val="0"/>
    <w:rPr>
      <w:rFonts w:ascii="宋体" w:hAnsi="Courier New"/>
    </w:rPr>
  </w:style>
  <w:style w:type="paragraph" w:customStyle="1" w:styleId="27">
    <w:name w:val="列表段落"/>
    <w:basedOn w:val="1"/>
    <w:autoRedefine/>
    <w:qFormat/>
    <w:uiPriority w:val="34"/>
    <w:pPr>
      <w:ind w:firstLine="420"/>
    </w:pPr>
    <w:rPr>
      <w:szCs w:val="24"/>
    </w:rPr>
  </w:style>
  <w:style w:type="paragraph" w:customStyle="1" w:styleId="28">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29">
    <w:name w:val="列出段落1"/>
    <w:basedOn w:val="1"/>
    <w:autoRedefine/>
    <w:qFormat/>
    <w:uiPriority w:val="0"/>
    <w:pPr>
      <w:widowControl/>
      <w:ind w:left="720"/>
      <w:contextualSpacing/>
      <w:jc w:val="left"/>
    </w:pPr>
    <w:rPr>
      <w:rFonts w:ascii="Calibri" w:hAnsi="Calibri"/>
      <w:sz w:val="24"/>
      <w:szCs w:val="24"/>
      <w:lang w:eastAsia="en-US" w:bidi="en-US"/>
    </w:rPr>
  </w:style>
  <w:style w:type="paragraph" w:customStyle="1" w:styleId="30">
    <w:name w:val="Char"/>
    <w:basedOn w:val="1"/>
    <w:autoRedefine/>
    <w:qFormat/>
    <w:uiPriority w:val="0"/>
    <w:pPr>
      <w:tabs>
        <w:tab w:val="left" w:pos="360"/>
      </w:tabs>
      <w:ind w:firstLine="200"/>
    </w:pPr>
    <w:rPr>
      <w:sz w:val="28"/>
      <w:szCs w:val="30"/>
    </w:rPr>
  </w:style>
  <w:style w:type="paragraph" w:customStyle="1" w:styleId="31">
    <w:name w:val="页脚1"/>
    <w:basedOn w:val="1"/>
    <w:autoRedefine/>
    <w:qFormat/>
    <w:uiPriority w:val="99"/>
    <w:pPr>
      <w:tabs>
        <w:tab w:val="center" w:pos="4153"/>
        <w:tab w:val="right" w:pos="8306"/>
      </w:tabs>
      <w:jc w:val="left"/>
    </w:pPr>
    <w:rPr>
      <w:sz w:val="18"/>
      <w:szCs w:val="18"/>
    </w:rPr>
  </w:style>
  <w:style w:type="paragraph" w:customStyle="1" w:styleId="32">
    <w:name w:val="页眉1"/>
    <w:basedOn w:val="1"/>
    <w:autoRedefine/>
    <w:qFormat/>
    <w:uiPriority w:val="99"/>
    <w:pPr>
      <w:pBdr>
        <w:bottom w:val="single" w:color="000000" w:sz="6" w:space="1"/>
      </w:pBdr>
      <w:tabs>
        <w:tab w:val="center" w:pos="4153"/>
        <w:tab w:val="right" w:pos="8306"/>
      </w:tabs>
      <w:jc w:val="center"/>
    </w:pPr>
    <w:rPr>
      <w:sz w:val="18"/>
      <w:szCs w:val="18"/>
    </w:rPr>
  </w:style>
  <w:style w:type="character" w:customStyle="1" w:styleId="33">
    <w:name w:val="页码1"/>
    <w:link w:val="1"/>
    <w:autoRedefine/>
    <w:qFormat/>
    <w:uiPriority w:val="0"/>
    <w:rPr>
      <w:rFonts w:hint="default" w:ascii="Times New Roman" w:hAnsi="Times New Roman" w:eastAsia="宋体" w:cs="Times New Roman"/>
      <w:sz w:val="21"/>
      <w:szCs w:val="21"/>
      <w:lang w:val="en-US" w:eastAsia="zh-CN" w:bidi="ar-SA"/>
    </w:rPr>
  </w:style>
  <w:style w:type="paragraph" w:styleId="34">
    <w:name w:val="List Paragraph"/>
    <w:basedOn w:val="1"/>
    <w:autoRedefine/>
    <w:qFormat/>
    <w:uiPriority w:val="34"/>
    <w:pPr>
      <w:ind w:firstLine="420"/>
    </w:pPr>
    <w:rPr>
      <w:rFonts w:eastAsia="宋体"/>
    </w:rPr>
  </w:style>
  <w:style w:type="paragraph" w:customStyle="1" w:styleId="35">
    <w:name w:val="样式 首行缩进:  0 字符"/>
    <w:basedOn w:val="1"/>
    <w:autoRedefine/>
    <w:qFormat/>
    <w:uiPriority w:val="0"/>
    <w:rPr>
      <w:rFonts w:ascii="Arial" w:hAnsi="Arial" w:eastAsia="宋体" w:cs="宋体"/>
      <w:szCs w:val="20"/>
    </w:rPr>
  </w:style>
  <w:style w:type="paragraph" w:customStyle="1" w:styleId="36">
    <w:name w:val="!正文"/>
    <w:basedOn w:val="1"/>
    <w:autoRedefine/>
    <w:qFormat/>
    <w:uiPriority w:val="0"/>
    <w:pPr>
      <w:widowControl/>
    </w:pPr>
    <w:rPr>
      <w:szCs w:val="28"/>
    </w:rPr>
  </w:style>
  <w:style w:type="character" w:customStyle="1" w:styleId="37">
    <w:name w:val="font11"/>
    <w:basedOn w:val="14"/>
    <w:autoRedefine/>
    <w:qFormat/>
    <w:uiPriority w:val="0"/>
    <w:rPr>
      <w:rFonts w:hint="eastAsia" w:ascii="微软雅黑" w:hAnsi="微软雅黑" w:eastAsia="微软雅黑" w:cs="微软雅黑"/>
      <w:b/>
      <w:bCs/>
      <w:color w:val="000000"/>
      <w:sz w:val="18"/>
      <w:szCs w:val="18"/>
      <w:u w:val="none"/>
    </w:rPr>
  </w:style>
  <w:style w:type="character" w:customStyle="1" w:styleId="38">
    <w:name w:val="font31"/>
    <w:basedOn w:val="14"/>
    <w:autoRedefine/>
    <w:qFormat/>
    <w:uiPriority w:val="0"/>
    <w:rPr>
      <w:rFonts w:hint="eastAsia" w:ascii="微软雅黑" w:hAnsi="微软雅黑" w:eastAsia="微软雅黑" w:cs="微软雅黑"/>
      <w:b/>
      <w:bCs/>
      <w:color w:val="FFFFFF"/>
      <w:sz w:val="18"/>
      <w:szCs w:val="18"/>
      <w:u w:val="none"/>
    </w:rPr>
  </w:style>
  <w:style w:type="character" w:customStyle="1" w:styleId="39">
    <w:name w:val="font51"/>
    <w:basedOn w:val="14"/>
    <w:autoRedefine/>
    <w:qFormat/>
    <w:uiPriority w:val="0"/>
    <w:rPr>
      <w:rFonts w:hint="eastAsia" w:ascii="微软雅黑" w:hAnsi="微软雅黑" w:eastAsia="微软雅黑" w:cs="微软雅黑"/>
      <w:color w:val="000000"/>
      <w:sz w:val="18"/>
      <w:szCs w:val="18"/>
      <w:u w:val="none"/>
    </w:rPr>
  </w:style>
  <w:style w:type="character" w:customStyle="1" w:styleId="40">
    <w:name w:val="font41"/>
    <w:basedOn w:val="14"/>
    <w:autoRedefine/>
    <w:qFormat/>
    <w:uiPriority w:val="0"/>
    <w:rPr>
      <w:rFonts w:hint="eastAsia" w:ascii="微软雅黑" w:hAnsi="微软雅黑" w:eastAsia="微软雅黑" w:cs="微软雅黑"/>
      <w:color w:val="000000"/>
      <w:sz w:val="18"/>
      <w:szCs w:val="18"/>
      <w:u w:val="none"/>
    </w:rPr>
  </w:style>
  <w:style w:type="character" w:customStyle="1" w:styleId="41">
    <w:name w:val="font61"/>
    <w:basedOn w:val="14"/>
    <w:autoRedefine/>
    <w:qFormat/>
    <w:uiPriority w:val="0"/>
    <w:rPr>
      <w:rFonts w:hint="eastAsia" w:ascii="微软雅黑" w:hAnsi="微软雅黑" w:eastAsia="微软雅黑" w:cs="微软雅黑"/>
      <w:color w:val="FF0000"/>
      <w:sz w:val="18"/>
      <w:szCs w:val="18"/>
      <w:u w:val="none"/>
    </w:rPr>
  </w:style>
  <w:style w:type="paragraph" w:customStyle="1" w:styleId="42">
    <w:name w:val="Table Paragraph"/>
    <w:basedOn w:val="1"/>
    <w:autoRedefine/>
    <w:qFormat/>
    <w:uiPriority w:val="1"/>
    <w:pPr>
      <w:jc w:val="left"/>
    </w:pPr>
    <w:rPr>
      <w:rFonts w:ascii="等线" w:hAnsi="等线" w:eastAsia="等线"/>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138</Pages>
  <Words>70314</Words>
  <Characters>86533</Characters>
  <Lines>0</Lines>
  <Paragraphs>0</Paragraphs>
  <TotalTime>2</TotalTime>
  <ScaleCrop>false</ScaleCrop>
  <LinksUpToDate>false</LinksUpToDate>
  <CharactersWithSpaces>90229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2023-06-02T09:06:00Z</dcterms:created>
  <dc:creator>Administrator</dc:creator>
  <cp:lastModifiedBy>石茹</cp:lastModifiedBy>
  <cp:lastPrinted>2024-08-08T03:01:00Z</cp:lastPrinted>
  <dcterms:modified xsi:type="dcterms:W3CDTF">2024-08-09T05:59:47Z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8AE9ACD8CE1C43BDADD232A464B839B6_13</vt:lpwstr>
  </property>
</Properties>
</file>