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34FD7">
      <w:pPr>
        <w:rPr>
          <w:rFonts w:ascii="宋体" w:hAnsi="宋体" w:cs="宋体"/>
          <w:b/>
          <w:color w:val="auto"/>
          <w:sz w:val="84"/>
          <w:highlight w:val="none"/>
        </w:rPr>
      </w:pPr>
    </w:p>
    <w:p w14:paraId="06F9FF5F">
      <w:pPr>
        <w:pStyle w:val="38"/>
        <w:rPr>
          <w:color w:val="auto"/>
          <w:highlight w:val="none"/>
        </w:rPr>
      </w:pPr>
    </w:p>
    <w:p w14:paraId="2D4B30E5">
      <w:pPr>
        <w:jc w:val="center"/>
        <w:rPr>
          <w:rFonts w:ascii="宋体" w:hAnsi="宋体" w:cs="宋体"/>
          <w:b/>
          <w:color w:val="auto"/>
          <w:sz w:val="84"/>
          <w:highlight w:val="none"/>
        </w:rPr>
      </w:pPr>
      <w:r>
        <w:rPr>
          <w:rFonts w:hint="eastAsia" w:ascii="宋体" w:hAnsi="宋体" w:cs="宋体"/>
          <w:b/>
          <w:color w:val="auto"/>
          <w:sz w:val="84"/>
          <w:highlight w:val="none"/>
        </w:rPr>
        <w:t>苏 州 市 政 府 采 购</w:t>
      </w:r>
    </w:p>
    <w:p w14:paraId="220B5E5B">
      <w:pPr>
        <w:jc w:val="center"/>
        <w:rPr>
          <w:rFonts w:ascii="宋体" w:hAnsi="宋体" w:cs="宋体"/>
          <w:b/>
          <w:bCs/>
          <w:color w:val="auto"/>
          <w:sz w:val="84"/>
          <w:szCs w:val="84"/>
          <w:highlight w:val="none"/>
        </w:rPr>
      </w:pPr>
      <w:r>
        <w:rPr>
          <w:rFonts w:hint="eastAsia" w:ascii="宋体" w:hAnsi="宋体" w:cs="宋体"/>
          <w:b/>
          <w:color w:val="auto"/>
          <w:sz w:val="84"/>
          <w:highlight w:val="none"/>
        </w:rPr>
        <w:t>招标文件</w:t>
      </w:r>
    </w:p>
    <w:p w14:paraId="2F20AA4C">
      <w:pPr>
        <w:jc w:val="center"/>
        <w:rPr>
          <w:rFonts w:ascii="宋体" w:hAnsi="宋体" w:cs="宋体"/>
          <w:b/>
          <w:bCs/>
          <w:color w:val="auto"/>
          <w:sz w:val="84"/>
          <w:szCs w:val="84"/>
          <w:highlight w:val="none"/>
        </w:rPr>
      </w:pPr>
    </w:p>
    <w:p w14:paraId="243B8F19">
      <w:pPr>
        <w:rPr>
          <w:rFonts w:ascii="宋体" w:hAnsi="宋体" w:cs="宋体"/>
          <w:color w:val="auto"/>
          <w:highlight w:val="none"/>
        </w:rPr>
      </w:pPr>
    </w:p>
    <w:p w14:paraId="736866E1">
      <w:pPr>
        <w:spacing w:line="360" w:lineRule="auto"/>
        <w:ind w:firstLine="1276"/>
        <w:jc w:val="left"/>
        <w:rPr>
          <w:rFonts w:hint="eastAsia" w:ascii="宋体" w:hAnsi="宋体" w:eastAsia="宋体"/>
          <w:color w:val="auto"/>
          <w:sz w:val="32"/>
          <w:szCs w:val="32"/>
          <w:highlight w:val="none"/>
          <w:lang w:eastAsia="zh-CN"/>
        </w:rPr>
      </w:pPr>
      <w:r>
        <w:rPr>
          <w:rFonts w:hint="eastAsia" w:ascii="宋体" w:hAnsi="宋体" w:cs="宋体"/>
          <w:color w:val="auto"/>
          <w:sz w:val="32"/>
          <w:szCs w:val="32"/>
          <w:highlight w:val="none"/>
        </w:rPr>
        <w:t>招标编号：</w:t>
      </w:r>
      <w:r>
        <w:rPr>
          <w:rFonts w:hint="eastAsia" w:ascii="宋体" w:hAnsi="宋体"/>
          <w:color w:val="auto"/>
          <w:sz w:val="32"/>
          <w:szCs w:val="32"/>
          <w:highlight w:val="none"/>
          <w:lang w:eastAsia="zh-CN"/>
        </w:rPr>
        <w:t>JSZC-320500-SZSD-G2025-0068</w:t>
      </w:r>
    </w:p>
    <w:p w14:paraId="68681FD2">
      <w:pPr>
        <w:spacing w:line="360" w:lineRule="auto"/>
        <w:ind w:firstLine="1276"/>
        <w:jc w:val="left"/>
        <w:rPr>
          <w:rFonts w:ascii="宋体" w:hAnsi="宋体"/>
          <w:color w:val="auto"/>
          <w:sz w:val="32"/>
          <w:szCs w:val="32"/>
          <w:highlight w:val="none"/>
        </w:rPr>
      </w:pPr>
      <w:r>
        <w:rPr>
          <w:rFonts w:hint="eastAsia" w:ascii="宋体" w:hAnsi="宋体" w:cs="宋体"/>
          <w:color w:val="auto"/>
          <w:sz w:val="32"/>
          <w:szCs w:val="32"/>
          <w:highlight w:val="none"/>
        </w:rPr>
        <w:t>采购单位：</w:t>
      </w:r>
      <w:r>
        <w:rPr>
          <w:rFonts w:hint="eastAsia" w:ascii="宋体" w:hAnsi="宋体"/>
          <w:color w:val="auto"/>
          <w:sz w:val="32"/>
          <w:szCs w:val="32"/>
          <w:highlight w:val="none"/>
        </w:rPr>
        <w:t>苏州市公安局</w:t>
      </w:r>
    </w:p>
    <w:p w14:paraId="32CEFC5C">
      <w:pPr>
        <w:spacing w:line="360" w:lineRule="auto"/>
        <w:ind w:firstLine="1276"/>
        <w:jc w:val="left"/>
        <w:rPr>
          <w:rFonts w:ascii="宋体" w:hAnsi="宋体"/>
          <w:color w:val="auto"/>
          <w:sz w:val="32"/>
          <w:szCs w:val="32"/>
          <w:highlight w:val="none"/>
        </w:rPr>
      </w:pPr>
      <w:r>
        <w:rPr>
          <w:rFonts w:hint="eastAsia" w:ascii="宋体" w:hAnsi="宋体" w:cs="宋体"/>
          <w:color w:val="auto"/>
          <w:sz w:val="32"/>
          <w:szCs w:val="32"/>
          <w:highlight w:val="none"/>
        </w:rPr>
        <w:t>项目名称：</w:t>
      </w:r>
      <w:r>
        <w:rPr>
          <w:rFonts w:hint="eastAsia" w:ascii="宋体" w:hAnsi="宋体"/>
          <w:color w:val="auto"/>
          <w:sz w:val="32"/>
          <w:szCs w:val="32"/>
          <w:highlight w:val="none"/>
        </w:rPr>
        <w:t>2024年中央政法转移支付资金子项目</w:t>
      </w:r>
    </w:p>
    <w:p w14:paraId="40E8E94C">
      <w:pPr>
        <w:spacing w:line="360" w:lineRule="auto"/>
        <w:ind w:firstLine="2835"/>
        <w:jc w:val="left"/>
        <w:rPr>
          <w:rFonts w:ascii="宋体" w:hAnsi="宋体"/>
          <w:color w:val="auto"/>
          <w:sz w:val="32"/>
          <w:szCs w:val="32"/>
          <w:highlight w:val="none"/>
        </w:rPr>
      </w:pPr>
      <w:r>
        <w:rPr>
          <w:rFonts w:hint="eastAsia" w:ascii="宋体" w:hAnsi="宋体"/>
          <w:color w:val="auto"/>
          <w:sz w:val="32"/>
          <w:szCs w:val="32"/>
          <w:highlight w:val="none"/>
          <w:lang w:eastAsia="zh-CN"/>
        </w:rPr>
        <w:t>（</w:t>
      </w:r>
      <w:r>
        <w:rPr>
          <w:rFonts w:hint="eastAsia" w:ascii="宋体" w:hAnsi="宋体"/>
          <w:color w:val="auto"/>
          <w:sz w:val="32"/>
          <w:szCs w:val="32"/>
          <w:highlight w:val="none"/>
        </w:rPr>
        <w:t>健康一体机等一批医疗设备</w:t>
      </w:r>
      <w:r>
        <w:rPr>
          <w:rFonts w:hint="eastAsia" w:ascii="宋体" w:hAnsi="宋体"/>
          <w:color w:val="auto"/>
          <w:sz w:val="32"/>
          <w:szCs w:val="32"/>
          <w:highlight w:val="none"/>
          <w:lang w:eastAsia="zh-CN"/>
        </w:rPr>
        <w:t>）</w:t>
      </w:r>
    </w:p>
    <w:p w14:paraId="773CBA40">
      <w:pPr>
        <w:spacing w:line="360" w:lineRule="auto"/>
        <w:ind w:firstLine="1276"/>
        <w:rPr>
          <w:rFonts w:ascii="宋体" w:hAnsi="宋体" w:cs="宋体"/>
          <w:color w:val="auto"/>
          <w:sz w:val="32"/>
          <w:szCs w:val="32"/>
          <w:highlight w:val="none"/>
        </w:rPr>
      </w:pPr>
      <w:r>
        <w:rPr>
          <w:rFonts w:hint="eastAsia" w:ascii="宋体" w:hAnsi="宋体" w:cs="宋体"/>
          <w:color w:val="auto"/>
          <w:sz w:val="32"/>
          <w:szCs w:val="32"/>
          <w:highlight w:val="none"/>
        </w:rPr>
        <w:t>项目类别：</w:t>
      </w:r>
      <w:r>
        <w:rPr>
          <w:rFonts w:hint="eastAsia" w:ascii="宋体" w:hAnsi="宋体"/>
          <w:color w:val="auto"/>
          <w:sz w:val="32"/>
          <w:szCs w:val="32"/>
          <w:highlight w:val="none"/>
        </w:rPr>
        <w:t>货物类</w:t>
      </w:r>
    </w:p>
    <w:p w14:paraId="2FCE407C">
      <w:pPr>
        <w:jc w:val="center"/>
        <w:rPr>
          <w:rFonts w:ascii="宋体" w:hAnsi="宋体" w:cs="宋体"/>
          <w:color w:val="auto"/>
          <w:sz w:val="32"/>
          <w:highlight w:val="none"/>
        </w:rPr>
      </w:pPr>
    </w:p>
    <w:p w14:paraId="7F282C4E">
      <w:pPr>
        <w:pStyle w:val="236"/>
        <w:ind w:firstLine="420"/>
        <w:rPr>
          <w:rFonts w:ascii="宋体" w:hAnsi="宋体" w:cs="宋体"/>
          <w:color w:val="auto"/>
          <w:highlight w:val="none"/>
        </w:rPr>
      </w:pPr>
    </w:p>
    <w:p w14:paraId="7CBF5FC3">
      <w:pPr>
        <w:jc w:val="center"/>
        <w:rPr>
          <w:rFonts w:ascii="宋体" w:hAnsi="宋体" w:cs="宋体"/>
          <w:color w:val="auto"/>
          <w:sz w:val="32"/>
          <w:highlight w:val="none"/>
        </w:rPr>
      </w:pPr>
      <w:r>
        <w:rPr>
          <w:rFonts w:hint="eastAsia" w:ascii="宋体" w:hAnsi="宋体" w:cs="宋体"/>
          <w:color w:val="auto"/>
          <w:sz w:val="32"/>
          <w:highlight w:val="none"/>
        </w:rPr>
        <w:drawing>
          <wp:inline distT="0" distB="0" distL="0" distR="0">
            <wp:extent cx="2793365" cy="1384935"/>
            <wp:effectExtent l="0" t="0" r="0" b="0"/>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ic:nvPicPr>
                  <pic:blipFill>
                    <a:blip r:embed="rId20"/>
                    <a:stretch>
                      <a:fillRect/>
                    </a:stretch>
                  </pic:blipFill>
                  <pic:spPr>
                    <a:xfrm>
                      <a:off x="0" y="0"/>
                      <a:ext cx="2793467" cy="1385049"/>
                    </a:xfrm>
                    <a:prstGeom prst="rect">
                      <a:avLst/>
                    </a:prstGeom>
                    <a:noFill/>
                    <a:ln>
                      <a:noFill/>
                    </a:ln>
                  </pic:spPr>
                </pic:pic>
              </a:graphicData>
            </a:graphic>
          </wp:inline>
        </w:drawing>
      </w:r>
    </w:p>
    <w:p w14:paraId="1905105C">
      <w:pPr>
        <w:rPr>
          <w:rFonts w:ascii="宋体" w:hAnsi="宋体" w:cs="宋体"/>
          <w:color w:val="auto"/>
          <w:sz w:val="32"/>
          <w:highlight w:val="none"/>
        </w:rPr>
      </w:pPr>
    </w:p>
    <w:p w14:paraId="630E2138">
      <w:pPr>
        <w:rPr>
          <w:rFonts w:ascii="宋体" w:hAnsi="宋体" w:cs="宋体"/>
          <w:color w:val="auto"/>
          <w:sz w:val="36"/>
          <w:szCs w:val="36"/>
          <w:highlight w:val="none"/>
        </w:rPr>
      </w:pPr>
    </w:p>
    <w:p w14:paraId="3A69B287">
      <w:pPr>
        <w:rPr>
          <w:rFonts w:ascii="宋体" w:hAnsi="宋体" w:cs="宋体"/>
          <w:color w:val="auto"/>
          <w:sz w:val="36"/>
          <w:szCs w:val="36"/>
          <w:highlight w:val="none"/>
        </w:rPr>
      </w:pPr>
    </w:p>
    <w:p w14:paraId="39826304">
      <w:pPr>
        <w:keepNext w:val="0"/>
        <w:keepLines w:val="0"/>
        <w:pageBreakBefore w:val="0"/>
        <w:widowControl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苏州时代招投标有限公司</w:t>
      </w:r>
    </w:p>
    <w:p w14:paraId="5DDDDE33">
      <w:pPr>
        <w:keepNext w:val="0"/>
        <w:keepLines w:val="0"/>
        <w:pageBreakBefore w:val="0"/>
        <w:widowControl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二〇二五年十</w:t>
      </w:r>
      <w:r>
        <w:rPr>
          <w:rFonts w:hint="eastAsia" w:ascii="宋体" w:hAnsi="宋体" w:cs="宋体"/>
          <w:color w:val="auto"/>
          <w:sz w:val="32"/>
          <w:szCs w:val="32"/>
          <w:highlight w:val="none"/>
          <w:lang w:val="en-US" w:eastAsia="zh-CN"/>
        </w:rPr>
        <w:t>二</w:t>
      </w:r>
      <w:r>
        <w:rPr>
          <w:rFonts w:hint="eastAsia" w:ascii="宋体" w:hAnsi="宋体" w:cs="宋体"/>
          <w:color w:val="auto"/>
          <w:sz w:val="32"/>
          <w:szCs w:val="32"/>
          <w:highlight w:val="none"/>
        </w:rPr>
        <w:t>月</w:t>
      </w:r>
    </w:p>
    <w:p w14:paraId="54DD50DB">
      <w:pPr>
        <w:keepNext w:val="0"/>
        <w:keepLines w:val="0"/>
        <w:pageBreakBefore w:val="0"/>
        <w:widowControl w:val="0"/>
        <w:spacing w:line="360" w:lineRule="auto"/>
        <w:jc w:val="center"/>
        <w:rPr>
          <w:rFonts w:ascii="宋体" w:hAnsi="宋体" w:cs="宋体"/>
          <w:color w:val="auto"/>
          <w:sz w:val="44"/>
          <w:szCs w:val="44"/>
          <w:highlight w:val="none"/>
        </w:rPr>
        <w:sectPr>
          <w:headerReference r:id="rId5" w:type="first"/>
          <w:headerReference r:id="rId3" w:type="default"/>
          <w:footerReference r:id="rId6" w:type="default"/>
          <w:headerReference r:id="rId4" w:type="even"/>
          <w:pgSz w:w="11906" w:h="16838"/>
          <w:pgMar w:top="1440" w:right="1633" w:bottom="1276" w:left="1633" w:header="851" w:footer="992" w:gutter="0"/>
          <w:pgNumType w:start="1"/>
          <w:cols w:space="1701" w:num="1"/>
          <w:docGrid w:linePitch="360" w:charSpace="0"/>
        </w:sectPr>
      </w:pPr>
    </w:p>
    <w:p w14:paraId="6BC66E65">
      <w:pPr>
        <w:jc w:val="center"/>
        <w:rPr>
          <w:rFonts w:ascii="宋体" w:hAnsi="宋体" w:cs="宋体"/>
          <w:color w:val="auto"/>
          <w:sz w:val="44"/>
          <w:szCs w:val="44"/>
          <w:highlight w:val="none"/>
        </w:rPr>
      </w:pPr>
    </w:p>
    <w:p w14:paraId="1B643A7E">
      <w:pPr>
        <w:jc w:val="center"/>
        <w:rPr>
          <w:rFonts w:ascii="宋体" w:hAnsi="宋体" w:cs="宋体"/>
          <w:color w:val="auto"/>
          <w:sz w:val="44"/>
          <w:szCs w:val="44"/>
          <w:highlight w:val="none"/>
        </w:rPr>
      </w:pPr>
      <w:r>
        <w:rPr>
          <w:rFonts w:hint="eastAsia" w:ascii="宋体" w:hAnsi="宋体" w:cs="宋体"/>
          <w:color w:val="auto"/>
          <w:sz w:val="44"/>
          <w:szCs w:val="44"/>
          <w:highlight w:val="none"/>
        </w:rPr>
        <w:t>总目录</w:t>
      </w:r>
    </w:p>
    <w:p w14:paraId="41417273">
      <w:pPr>
        <w:pStyle w:val="237"/>
        <w:ind w:firstLine="0"/>
        <w:jc w:val="center"/>
        <w:rPr>
          <w:rFonts w:ascii="宋体" w:hAnsi="宋体" w:eastAsia="宋体" w:cs="宋体"/>
          <w:color w:val="auto"/>
          <w:sz w:val="30"/>
          <w:highlight w:val="none"/>
        </w:rPr>
      </w:pPr>
    </w:p>
    <w:p w14:paraId="201B6506">
      <w:pPr>
        <w:spacing w:line="480" w:lineRule="auto"/>
        <w:ind w:firstLine="560"/>
        <w:rPr>
          <w:rFonts w:ascii="宋体" w:hAnsi="宋体"/>
          <w:color w:val="auto"/>
          <w:sz w:val="28"/>
          <w:szCs w:val="28"/>
          <w:highlight w:val="none"/>
        </w:rPr>
      </w:pPr>
      <w:r>
        <w:rPr>
          <w:rFonts w:hint="eastAsia" w:ascii="宋体" w:hAnsi="宋体"/>
          <w:color w:val="auto"/>
          <w:sz w:val="28"/>
          <w:szCs w:val="28"/>
          <w:highlight w:val="none"/>
        </w:rPr>
        <w:t xml:space="preserve">前附表 …………………………………………………………… 2 </w:t>
      </w:r>
    </w:p>
    <w:p w14:paraId="6319ED2E">
      <w:pPr>
        <w:spacing w:line="480" w:lineRule="auto"/>
        <w:ind w:firstLine="560"/>
        <w:rPr>
          <w:rFonts w:ascii="宋体" w:hAnsi="宋体"/>
          <w:color w:val="auto"/>
          <w:sz w:val="28"/>
          <w:szCs w:val="28"/>
          <w:highlight w:val="none"/>
        </w:rPr>
      </w:pPr>
      <w:r>
        <w:rPr>
          <w:rFonts w:hint="eastAsia" w:ascii="宋体" w:hAnsi="宋体"/>
          <w:color w:val="auto"/>
          <w:sz w:val="28"/>
          <w:szCs w:val="28"/>
          <w:highlight w:val="none"/>
        </w:rPr>
        <w:t>第一章 投标邀请函……………………………………………… 4</w:t>
      </w:r>
    </w:p>
    <w:p w14:paraId="0F4CD2E0">
      <w:pPr>
        <w:spacing w:line="480" w:lineRule="auto"/>
        <w:ind w:firstLine="56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 xml:space="preserve">第二章 投标人须知……………………………………………… </w:t>
      </w:r>
      <w:r>
        <w:rPr>
          <w:rFonts w:hint="eastAsia" w:ascii="宋体" w:hAnsi="宋体"/>
          <w:color w:val="auto"/>
          <w:sz w:val="28"/>
          <w:szCs w:val="28"/>
          <w:highlight w:val="none"/>
          <w:lang w:val="en-US" w:eastAsia="zh-CN"/>
        </w:rPr>
        <w:t>9</w:t>
      </w:r>
    </w:p>
    <w:p w14:paraId="4162D8AD">
      <w:pPr>
        <w:spacing w:line="480" w:lineRule="auto"/>
        <w:ind w:firstLine="56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第三章 投标文件格式……………………………………………2</w:t>
      </w:r>
      <w:r>
        <w:rPr>
          <w:rFonts w:hint="eastAsia" w:ascii="宋体" w:hAnsi="宋体"/>
          <w:color w:val="auto"/>
          <w:sz w:val="28"/>
          <w:szCs w:val="28"/>
          <w:highlight w:val="none"/>
          <w:lang w:val="en-US" w:eastAsia="zh-CN"/>
        </w:rPr>
        <w:t>4</w:t>
      </w:r>
    </w:p>
    <w:p w14:paraId="38F7CF26">
      <w:pPr>
        <w:spacing w:line="480" w:lineRule="auto"/>
        <w:ind w:firstLine="56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第四章 招标书……………………………………………………3</w:t>
      </w:r>
      <w:r>
        <w:rPr>
          <w:rFonts w:hint="eastAsia" w:ascii="宋体" w:hAnsi="宋体"/>
          <w:color w:val="auto"/>
          <w:sz w:val="28"/>
          <w:szCs w:val="28"/>
          <w:highlight w:val="none"/>
          <w:lang w:val="en-US" w:eastAsia="zh-CN"/>
        </w:rPr>
        <w:t>9</w:t>
      </w:r>
    </w:p>
    <w:p w14:paraId="0F4753BF">
      <w:pPr>
        <w:spacing w:line="480" w:lineRule="auto"/>
        <w:ind w:firstLine="560"/>
        <w:rPr>
          <w:rFonts w:ascii="宋体" w:hAnsi="宋体"/>
          <w:color w:val="auto"/>
          <w:sz w:val="28"/>
          <w:szCs w:val="28"/>
          <w:highlight w:val="none"/>
        </w:rPr>
      </w:pPr>
      <w:r>
        <w:rPr>
          <w:rFonts w:hint="eastAsia" w:ascii="宋体" w:hAnsi="宋体"/>
          <w:color w:val="auto"/>
          <w:sz w:val="28"/>
          <w:szCs w:val="28"/>
          <w:highlight w:val="none"/>
        </w:rPr>
        <w:t>第五章 合同主要条款……………………………………………51</w:t>
      </w:r>
    </w:p>
    <w:p w14:paraId="7D05E3A9">
      <w:pPr>
        <w:spacing w:line="480" w:lineRule="auto"/>
        <w:ind w:firstLine="56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第六章 评标方法、评分标准……………………………………6</w:t>
      </w:r>
      <w:r>
        <w:rPr>
          <w:rFonts w:hint="eastAsia" w:ascii="宋体" w:hAnsi="宋体"/>
          <w:color w:val="auto"/>
          <w:sz w:val="28"/>
          <w:szCs w:val="28"/>
          <w:highlight w:val="none"/>
          <w:lang w:val="en-US" w:eastAsia="zh-CN"/>
        </w:rPr>
        <w:t>4</w:t>
      </w:r>
    </w:p>
    <w:p w14:paraId="771E9D32">
      <w:pPr>
        <w:spacing w:line="480" w:lineRule="auto"/>
        <w:rPr>
          <w:rFonts w:ascii="宋体" w:hAnsi="宋体" w:cs="宋体"/>
          <w:color w:val="auto"/>
          <w:spacing w:val="20"/>
          <w:sz w:val="36"/>
          <w:highlight w:val="none"/>
        </w:rPr>
        <w:sectPr>
          <w:headerReference r:id="rId9" w:type="first"/>
          <w:headerReference r:id="rId7" w:type="default"/>
          <w:footerReference r:id="rId10" w:type="default"/>
          <w:headerReference r:id="rId8" w:type="even"/>
          <w:pgSz w:w="11906" w:h="16838"/>
          <w:pgMar w:top="1440" w:right="1486" w:bottom="1440" w:left="1800" w:header="851" w:footer="992" w:gutter="0"/>
          <w:pgNumType w:start="1"/>
          <w:cols w:space="1701" w:num="1"/>
          <w:docGrid w:linePitch="360" w:charSpace="0"/>
        </w:sectPr>
      </w:pPr>
    </w:p>
    <w:p w14:paraId="7305AAEE">
      <w:pPr>
        <w:jc w:val="center"/>
        <w:rPr>
          <w:rFonts w:ascii="宋体" w:hAnsi="宋体" w:cs="宋体"/>
          <w:color w:val="auto"/>
          <w:spacing w:val="20"/>
          <w:sz w:val="36"/>
          <w:highlight w:val="none"/>
        </w:rPr>
      </w:pPr>
      <w:r>
        <w:rPr>
          <w:rFonts w:hint="eastAsia" w:ascii="宋体" w:hAnsi="宋体" w:cs="宋体"/>
          <w:color w:val="auto"/>
          <w:spacing w:val="20"/>
          <w:sz w:val="36"/>
          <w:highlight w:val="none"/>
        </w:rPr>
        <w:t>前附表</w:t>
      </w:r>
    </w:p>
    <w:p w14:paraId="40777C48">
      <w:pPr>
        <w:spacing w:line="300" w:lineRule="auto"/>
        <w:ind w:right="88" w:firstLine="480"/>
        <w:rPr>
          <w:rFonts w:ascii="宋体" w:hAnsi="宋体" w:cs="宋体"/>
          <w:color w:val="auto"/>
          <w:sz w:val="24"/>
          <w:szCs w:val="24"/>
          <w:highlight w:val="none"/>
        </w:rPr>
      </w:pPr>
      <w:r>
        <w:rPr>
          <w:rFonts w:hint="eastAsia" w:ascii="宋体" w:hAnsi="宋体" w:cs="宋体"/>
          <w:color w:val="auto"/>
          <w:sz w:val="24"/>
          <w:szCs w:val="24"/>
          <w:highlight w:val="none"/>
        </w:rPr>
        <w:t>下述关于要采购的项目具体资料是对招标文件第一部分投标人须知的具体补充和修改，如果有矛盾的话，应以本附表为准。</w:t>
      </w:r>
    </w:p>
    <w:tbl>
      <w:tblPr>
        <w:tblStyle w:val="39"/>
        <w:tblW w:w="8685" w:type="dxa"/>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950"/>
        <w:gridCol w:w="5790"/>
      </w:tblGrid>
      <w:tr w14:paraId="36267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2FF4AE85">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1950" w:type="dxa"/>
            <w:noWrap/>
            <w:vAlign w:val="center"/>
          </w:tcPr>
          <w:p w14:paraId="48692DCB">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项   目</w:t>
            </w:r>
          </w:p>
        </w:tc>
        <w:tc>
          <w:tcPr>
            <w:tcW w:w="5790" w:type="dxa"/>
            <w:noWrap/>
            <w:vAlign w:val="center"/>
          </w:tcPr>
          <w:p w14:paraId="7D8516B1">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内               容</w:t>
            </w:r>
          </w:p>
        </w:tc>
      </w:tr>
      <w:tr w14:paraId="2A53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00E9B18D">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950" w:type="dxa"/>
            <w:noWrap/>
            <w:vAlign w:val="center"/>
          </w:tcPr>
          <w:p w14:paraId="17CCED18">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5790" w:type="dxa"/>
            <w:noWrap/>
            <w:vAlign w:val="center"/>
          </w:tcPr>
          <w:p w14:paraId="1EA40624">
            <w:pPr>
              <w:pStyle w:val="238"/>
              <w:spacing w:line="380" w:lineRule="exact"/>
              <w:ind w:lef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JSZC-320500-SZSD-G2025-0068</w:t>
            </w:r>
          </w:p>
        </w:tc>
      </w:tr>
      <w:tr w14:paraId="02D0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0EDAD91C">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950" w:type="dxa"/>
            <w:noWrap/>
            <w:vAlign w:val="center"/>
          </w:tcPr>
          <w:p w14:paraId="7AE08777">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790" w:type="dxa"/>
            <w:noWrap/>
            <w:vAlign w:val="center"/>
          </w:tcPr>
          <w:p w14:paraId="57FF570E">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2024年中央政法转移支付资金子项目</w:t>
            </w:r>
          </w:p>
          <w:p w14:paraId="0847A90B">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健康一体机等一批医疗设备</w:t>
            </w:r>
            <w:r>
              <w:rPr>
                <w:rFonts w:hint="eastAsia" w:ascii="宋体" w:hAnsi="宋体" w:cs="宋体"/>
                <w:color w:val="auto"/>
                <w:sz w:val="24"/>
                <w:szCs w:val="24"/>
                <w:highlight w:val="none"/>
                <w:lang w:eastAsia="zh-CN"/>
              </w:rPr>
              <w:t>）</w:t>
            </w:r>
          </w:p>
        </w:tc>
      </w:tr>
      <w:tr w14:paraId="2833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4CDC3556">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950" w:type="dxa"/>
            <w:noWrap/>
            <w:vAlign w:val="center"/>
          </w:tcPr>
          <w:p w14:paraId="0B53DF2D">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招标代理机构名称及地址</w:t>
            </w:r>
          </w:p>
        </w:tc>
        <w:tc>
          <w:tcPr>
            <w:tcW w:w="5790" w:type="dxa"/>
            <w:noWrap/>
            <w:vAlign w:val="center"/>
          </w:tcPr>
          <w:p w14:paraId="35BCF211">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名称：苏州时代招投标有限公司</w:t>
            </w:r>
          </w:p>
          <w:p w14:paraId="0999772B">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地址：苏州市虎丘区滨河路1388号3B 501室</w:t>
            </w:r>
          </w:p>
          <w:p w14:paraId="014A1CB3">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邮编：215011</w:t>
            </w:r>
          </w:p>
          <w:p w14:paraId="750AFC3E">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电话/传真：0512-65201419/65208591</w:t>
            </w:r>
          </w:p>
          <w:p w14:paraId="3337F571">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联系人：叶素萍、褚磊、陈婷、徐蕾、曾颖</w:t>
            </w:r>
          </w:p>
        </w:tc>
      </w:tr>
      <w:tr w14:paraId="33E5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5471828A">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950" w:type="dxa"/>
            <w:noWrap/>
            <w:vAlign w:val="center"/>
          </w:tcPr>
          <w:p w14:paraId="619C763D">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采购单位</w:t>
            </w:r>
          </w:p>
        </w:tc>
        <w:tc>
          <w:tcPr>
            <w:tcW w:w="5790" w:type="dxa"/>
            <w:noWrap/>
            <w:vAlign w:val="center"/>
          </w:tcPr>
          <w:p w14:paraId="48468D1E">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苏州市公安局</w:t>
            </w:r>
          </w:p>
          <w:p w14:paraId="0A6A7295">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联系人：陈菲          联系电话：0512-65111701</w:t>
            </w:r>
          </w:p>
        </w:tc>
      </w:tr>
      <w:tr w14:paraId="6086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08055026">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950" w:type="dxa"/>
            <w:noWrap/>
            <w:vAlign w:val="center"/>
          </w:tcPr>
          <w:p w14:paraId="10DCA5CC">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标书组成</w:t>
            </w:r>
          </w:p>
        </w:tc>
        <w:tc>
          <w:tcPr>
            <w:tcW w:w="5790" w:type="dxa"/>
            <w:noWrap/>
            <w:vAlign w:val="center"/>
          </w:tcPr>
          <w:p w14:paraId="6DA888AD">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详见招标文件第二章。</w:t>
            </w:r>
          </w:p>
        </w:tc>
      </w:tr>
      <w:tr w14:paraId="1FD92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493B01F7">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950" w:type="dxa"/>
            <w:noWrap/>
            <w:vAlign w:val="center"/>
          </w:tcPr>
          <w:p w14:paraId="50B53F24">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5790" w:type="dxa"/>
            <w:noWrap/>
            <w:vAlign w:val="center"/>
          </w:tcPr>
          <w:p w14:paraId="55043C23">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本项目免收投标保证金。</w:t>
            </w:r>
          </w:p>
        </w:tc>
      </w:tr>
      <w:tr w14:paraId="735A7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118012BA">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950" w:type="dxa"/>
            <w:noWrap/>
            <w:vAlign w:val="center"/>
          </w:tcPr>
          <w:p w14:paraId="4F5FE142">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790" w:type="dxa"/>
            <w:noWrap/>
            <w:vAlign w:val="center"/>
          </w:tcPr>
          <w:p w14:paraId="0F2726A5">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开标后九十日</w:t>
            </w:r>
          </w:p>
        </w:tc>
      </w:tr>
      <w:tr w14:paraId="3DC9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7C2AE937">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950" w:type="dxa"/>
            <w:noWrap/>
            <w:vAlign w:val="center"/>
          </w:tcPr>
          <w:p w14:paraId="375D268A">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投标文件份数</w:t>
            </w:r>
          </w:p>
        </w:tc>
        <w:tc>
          <w:tcPr>
            <w:tcW w:w="5790" w:type="dxa"/>
            <w:noWrap/>
            <w:vAlign w:val="center"/>
          </w:tcPr>
          <w:p w14:paraId="7EF5C5A2">
            <w:pPr>
              <w:pStyle w:val="238"/>
              <w:spacing w:line="380" w:lineRule="exact"/>
              <w:ind w:left="0"/>
              <w:jc w:val="left"/>
              <w:rPr>
                <w:rFonts w:ascii="宋体" w:hAnsi="宋体" w:cs="宋体"/>
                <w:color w:val="auto"/>
                <w:sz w:val="24"/>
                <w:szCs w:val="24"/>
                <w:highlight w:val="none"/>
              </w:rPr>
            </w:pPr>
            <w:r>
              <w:rPr>
                <w:rFonts w:hint="eastAsia" w:ascii="宋体" w:hAnsi="宋体" w:cs="Arial"/>
                <w:color w:val="auto"/>
                <w:sz w:val="24"/>
                <w:szCs w:val="24"/>
                <w:highlight w:val="none"/>
              </w:rPr>
              <w:t>本项目采用电子投标文件，投标人按照招标文件要求制作上传电子投标文件，无需提供纸质投标文件</w:t>
            </w:r>
            <w:r>
              <w:rPr>
                <w:rFonts w:hint="eastAsia" w:ascii="宋体" w:hAnsi="宋体" w:cs="宋体"/>
                <w:color w:val="auto"/>
                <w:sz w:val="24"/>
                <w:szCs w:val="24"/>
                <w:highlight w:val="none"/>
              </w:rPr>
              <w:t>。</w:t>
            </w:r>
          </w:p>
        </w:tc>
      </w:tr>
      <w:tr w14:paraId="71712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10E4C183">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950" w:type="dxa"/>
            <w:noWrap/>
            <w:vAlign w:val="center"/>
          </w:tcPr>
          <w:p w14:paraId="636BD36F">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获取招标文件</w:t>
            </w:r>
          </w:p>
          <w:p w14:paraId="2508A24F">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时间</w:t>
            </w:r>
          </w:p>
        </w:tc>
        <w:tc>
          <w:tcPr>
            <w:tcW w:w="5790" w:type="dxa"/>
            <w:noWrap/>
            <w:vAlign w:val="center"/>
          </w:tcPr>
          <w:p w14:paraId="03E129D0">
            <w:pPr>
              <w:pStyle w:val="238"/>
              <w:spacing w:line="380" w:lineRule="exact"/>
              <w:ind w:lef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2025年12月4日</w:t>
            </w: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2025年12月11日</w:t>
            </w:r>
          </w:p>
        </w:tc>
      </w:tr>
      <w:tr w14:paraId="5383B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2515D2AF">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950" w:type="dxa"/>
            <w:noWrap/>
            <w:vAlign w:val="center"/>
          </w:tcPr>
          <w:p w14:paraId="6D09E63C">
            <w:pPr>
              <w:spacing w:line="3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投标文件网上</w:t>
            </w:r>
          </w:p>
          <w:p w14:paraId="42CEAF71">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提交截止时间</w:t>
            </w:r>
          </w:p>
        </w:tc>
        <w:tc>
          <w:tcPr>
            <w:tcW w:w="5790" w:type="dxa"/>
            <w:noWrap/>
            <w:vAlign w:val="center"/>
          </w:tcPr>
          <w:p w14:paraId="1E99B7C8">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2025年12月25日</w:t>
            </w:r>
            <w:r>
              <w:rPr>
                <w:rFonts w:hint="eastAsia" w:ascii="宋体" w:hAnsi="宋体" w:cs="宋体"/>
                <w:color w:val="auto"/>
                <w:sz w:val="24"/>
                <w:szCs w:val="24"/>
                <w:highlight w:val="none"/>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w:t>
            </w:r>
            <w:r>
              <w:rPr>
                <w:rFonts w:hint="eastAsia" w:ascii="宋体" w:hAnsi="宋体"/>
                <w:color w:val="auto"/>
                <w:sz w:val="24"/>
                <w:szCs w:val="24"/>
                <w:highlight w:val="none"/>
              </w:rPr>
              <w:t>（北京时间）</w:t>
            </w:r>
          </w:p>
          <w:p w14:paraId="70C27927">
            <w:pPr>
              <w:pStyle w:val="238"/>
              <w:spacing w:line="380" w:lineRule="exact"/>
              <w:ind w:left="0"/>
              <w:jc w:val="left"/>
              <w:rPr>
                <w:rFonts w:ascii="宋体" w:hAnsi="宋体" w:cs="宋体"/>
                <w:color w:val="auto"/>
                <w:sz w:val="24"/>
                <w:szCs w:val="24"/>
                <w:highlight w:val="none"/>
              </w:rPr>
            </w:pPr>
            <w:r>
              <w:rPr>
                <w:rFonts w:hint="eastAsia" w:ascii="宋体" w:hAnsi="宋体"/>
                <w:b/>
                <w:bCs/>
                <w:color w:val="auto"/>
                <w:sz w:val="24"/>
                <w:szCs w:val="24"/>
                <w:highlight w:val="none"/>
              </w:rPr>
              <w:t>投标文件必须在截止时间前完成提交（上传），逾期提交（上传）的投标文件恕不接受。</w:t>
            </w:r>
          </w:p>
        </w:tc>
      </w:tr>
      <w:tr w14:paraId="203D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2CE516DC">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950" w:type="dxa"/>
            <w:noWrap/>
            <w:vAlign w:val="center"/>
          </w:tcPr>
          <w:p w14:paraId="7D72B06B">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开标时间及</w:t>
            </w:r>
          </w:p>
          <w:p w14:paraId="74FBA82A">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开标地点</w:t>
            </w:r>
          </w:p>
        </w:tc>
        <w:tc>
          <w:tcPr>
            <w:tcW w:w="5790" w:type="dxa"/>
            <w:noWrap/>
            <w:vAlign w:val="center"/>
          </w:tcPr>
          <w:p w14:paraId="367CFD52">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2025年12月25日</w:t>
            </w:r>
            <w:r>
              <w:rPr>
                <w:rFonts w:hint="eastAsia" w:ascii="宋体" w:hAnsi="宋体" w:cs="宋体"/>
                <w:color w:val="auto"/>
                <w:sz w:val="24"/>
                <w:szCs w:val="24"/>
                <w:highlight w:val="none"/>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w:t>
            </w:r>
            <w:r>
              <w:rPr>
                <w:rFonts w:hint="eastAsia" w:ascii="宋体" w:hAnsi="宋体"/>
                <w:color w:val="auto"/>
                <w:sz w:val="24"/>
                <w:szCs w:val="24"/>
                <w:highlight w:val="none"/>
              </w:rPr>
              <w:t>（北京时间）</w:t>
            </w:r>
          </w:p>
          <w:p w14:paraId="1A43F243">
            <w:pPr>
              <w:spacing w:line="380" w:lineRule="exact"/>
              <w:jc w:val="left"/>
              <w:rPr>
                <w:rFonts w:ascii="宋体" w:hAnsi="宋体"/>
                <w:color w:val="auto"/>
                <w:sz w:val="24"/>
                <w:szCs w:val="24"/>
                <w:highlight w:val="none"/>
              </w:rPr>
            </w:pPr>
            <w:r>
              <w:rPr>
                <w:rFonts w:hint="eastAsia" w:ascii="宋体" w:hAnsi="宋体"/>
                <w:color w:val="auto"/>
                <w:sz w:val="24"/>
                <w:szCs w:val="24"/>
                <w:highlight w:val="none"/>
              </w:rPr>
              <w:t>“苏采云”系统（网址：</w:t>
            </w:r>
            <w:r>
              <w:rPr>
                <w:rFonts w:ascii="宋体" w:hAnsi="宋体"/>
                <w:color w:val="auto"/>
                <w:sz w:val="24"/>
                <w:szCs w:val="24"/>
                <w:highlight w:val="none"/>
              </w:rPr>
              <w:t>http</w:t>
            </w:r>
            <w:r>
              <w:rPr>
                <w:rFonts w:hint="eastAsia" w:ascii="宋体" w:hAnsi="宋体"/>
                <w:color w:val="auto"/>
                <w:sz w:val="24"/>
                <w:szCs w:val="24"/>
                <w:highlight w:val="none"/>
                <w:lang w:eastAsia="zh-CN"/>
              </w:rPr>
              <w:t>:</w:t>
            </w:r>
            <w:r>
              <w:rPr>
                <w:rFonts w:ascii="宋体" w:hAnsi="宋体"/>
                <w:color w:val="auto"/>
                <w:sz w:val="24"/>
                <w:szCs w:val="24"/>
                <w:highlight w:val="none"/>
              </w:rPr>
              <w:t>//jszfcg.jsczt.cn/</w:t>
            </w:r>
            <w:r>
              <w:rPr>
                <w:rFonts w:hint="eastAsia" w:ascii="宋体" w:hAnsi="宋体"/>
                <w:color w:val="auto"/>
                <w:sz w:val="24"/>
                <w:szCs w:val="24"/>
                <w:highlight w:val="none"/>
              </w:rPr>
              <w:t>）</w:t>
            </w:r>
          </w:p>
          <w:p w14:paraId="6F4900AC">
            <w:pPr>
              <w:pStyle w:val="238"/>
              <w:spacing w:line="380" w:lineRule="exact"/>
              <w:ind w:left="0"/>
              <w:jc w:val="left"/>
              <w:rPr>
                <w:rFonts w:ascii="宋体" w:hAnsi="宋体" w:cs="宋体"/>
                <w:color w:val="auto"/>
                <w:sz w:val="24"/>
                <w:szCs w:val="24"/>
                <w:highlight w:val="none"/>
              </w:rPr>
            </w:pPr>
            <w:r>
              <w:rPr>
                <w:rFonts w:hint="eastAsia" w:ascii="宋体" w:hAnsi="宋体"/>
                <w:b/>
                <w:color w:val="auto"/>
                <w:sz w:val="24"/>
                <w:szCs w:val="24"/>
                <w:highlight w:val="none"/>
              </w:rPr>
              <w:t>本项目为线上不见面开标项目，开标阶段供应商在【供应商解密】环节必须使用 CA证书解密电子投标文件，如在系统规定的解密时间（投标文件提交截止时间后30分钟）内未能完成解密的视为放弃投标。</w:t>
            </w:r>
          </w:p>
        </w:tc>
      </w:tr>
      <w:tr w14:paraId="16B5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49E7F13E">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1950" w:type="dxa"/>
            <w:noWrap/>
            <w:vAlign w:val="center"/>
          </w:tcPr>
          <w:p w14:paraId="2B85993F">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rPr>
              <w:t>评标时间及</w:t>
            </w:r>
          </w:p>
          <w:p w14:paraId="7DB23006">
            <w:pPr>
              <w:spacing w:line="380" w:lineRule="exact"/>
              <w:jc w:val="center"/>
              <w:rPr>
                <w:rFonts w:ascii="宋体" w:hAnsi="宋体" w:cs="宋体"/>
                <w:color w:val="auto"/>
                <w:sz w:val="24"/>
                <w:szCs w:val="24"/>
                <w:highlight w:val="none"/>
              </w:rPr>
            </w:pPr>
            <w:r>
              <w:rPr>
                <w:rFonts w:hint="eastAsia" w:ascii="宋体" w:hAnsi="宋体"/>
                <w:color w:val="auto"/>
                <w:sz w:val="24"/>
                <w:szCs w:val="24"/>
                <w:highlight w:val="none"/>
              </w:rPr>
              <w:t>评标地点</w:t>
            </w:r>
          </w:p>
        </w:tc>
        <w:tc>
          <w:tcPr>
            <w:tcW w:w="5790" w:type="dxa"/>
            <w:noWrap/>
            <w:vAlign w:val="center"/>
          </w:tcPr>
          <w:p w14:paraId="46926BAA">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2025年12月25日</w:t>
            </w:r>
            <w:r>
              <w:rPr>
                <w:rFonts w:hint="eastAsia" w:ascii="宋体" w:hAnsi="宋体" w:cs="宋体"/>
                <w:color w:val="auto"/>
                <w:sz w:val="24"/>
                <w:szCs w:val="24"/>
                <w:highlight w:val="none"/>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w:t>
            </w:r>
            <w:r>
              <w:rPr>
                <w:rFonts w:hint="eastAsia" w:ascii="宋体" w:hAnsi="宋体"/>
                <w:color w:val="auto"/>
                <w:sz w:val="24"/>
                <w:szCs w:val="24"/>
                <w:highlight w:val="none"/>
              </w:rPr>
              <w:t>（北京时间）</w:t>
            </w:r>
          </w:p>
          <w:p w14:paraId="747D4966">
            <w:pPr>
              <w:spacing w:line="380" w:lineRule="exact"/>
              <w:jc w:val="left"/>
              <w:rPr>
                <w:rFonts w:ascii="宋体" w:hAnsi="宋体"/>
                <w:b/>
                <w:color w:val="auto"/>
                <w:sz w:val="24"/>
                <w:szCs w:val="24"/>
                <w:highlight w:val="none"/>
              </w:rPr>
            </w:pPr>
            <w:r>
              <w:rPr>
                <w:rFonts w:hint="eastAsia" w:ascii="宋体" w:hAnsi="宋体" w:cs="宋体"/>
                <w:color w:val="auto"/>
                <w:sz w:val="24"/>
                <w:szCs w:val="24"/>
                <w:highlight w:val="none"/>
                <w:lang w:eastAsia="zh-CN"/>
              </w:rPr>
              <w:t>苏州市高新区邓尉路105号狮山科技馆8楼</w:t>
            </w:r>
            <w:r>
              <w:rPr>
                <w:rFonts w:hint="eastAsia" w:ascii="宋体" w:hAnsi="宋体" w:cs="宋体"/>
                <w:color w:val="auto"/>
                <w:sz w:val="24"/>
                <w:szCs w:val="24"/>
                <w:highlight w:val="none"/>
              </w:rPr>
              <w:t xml:space="preserve"> </w:t>
            </w:r>
          </w:p>
        </w:tc>
      </w:tr>
      <w:tr w14:paraId="56E0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6BA333FB">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1950" w:type="dxa"/>
            <w:noWrap/>
            <w:vAlign w:val="center"/>
          </w:tcPr>
          <w:p w14:paraId="73219DCA">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投标报价本位币</w:t>
            </w:r>
          </w:p>
        </w:tc>
        <w:tc>
          <w:tcPr>
            <w:tcW w:w="5790" w:type="dxa"/>
            <w:noWrap/>
            <w:vAlign w:val="center"/>
          </w:tcPr>
          <w:p w14:paraId="1CCB6D6E">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人民币</w:t>
            </w:r>
          </w:p>
        </w:tc>
      </w:tr>
      <w:tr w14:paraId="5B78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5C82D509">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1950" w:type="dxa"/>
            <w:noWrap/>
            <w:vAlign w:val="center"/>
          </w:tcPr>
          <w:p w14:paraId="0DD596FD">
            <w:pPr>
              <w:spacing w:line="3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5790" w:type="dxa"/>
            <w:noWrap/>
            <w:vAlign w:val="center"/>
          </w:tcPr>
          <w:p w14:paraId="45D32F41">
            <w:pPr>
              <w:spacing w:line="38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无</w:t>
            </w:r>
          </w:p>
        </w:tc>
      </w:tr>
      <w:tr w14:paraId="598BE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77B70868">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1950" w:type="dxa"/>
            <w:noWrap/>
            <w:vAlign w:val="center"/>
          </w:tcPr>
          <w:p w14:paraId="4EDB9C91">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中标服务费</w:t>
            </w:r>
          </w:p>
        </w:tc>
        <w:tc>
          <w:tcPr>
            <w:tcW w:w="5790" w:type="dxa"/>
            <w:noWrap/>
            <w:vAlign w:val="center"/>
          </w:tcPr>
          <w:p w14:paraId="079B9DCE">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代理服务费收费标准：</w:t>
            </w:r>
          </w:p>
          <w:p w14:paraId="491B93E0">
            <w:pPr>
              <w:spacing w:line="3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14:paraId="4E1B5E64">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说明：代理服务费以采购预算金额为基数依据，按以上规定的标准和差额定率累进法进行计算收取。例：如预算金额为150万元，则代理服务费＝100万元以下部分×1.5%＋（150万元－100万元以下部分）×1.1%。</w:t>
            </w:r>
          </w:p>
          <w:p w14:paraId="68F0F9A8">
            <w:pPr>
              <w:spacing w:line="3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本项目代理服务费（人民币）：￥8812.50。由中标人支付，在领取中标通知书时向招标代理机构一次性付清。</w:t>
            </w:r>
          </w:p>
          <w:p w14:paraId="45DB0589">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服务费交纳账户：苏州时代招投标有限公司</w:t>
            </w:r>
          </w:p>
          <w:p w14:paraId="1E4832A5">
            <w:pPr>
              <w:spacing w:line="360" w:lineRule="exact"/>
              <w:ind w:firstLine="960"/>
              <w:rPr>
                <w:rFonts w:ascii="宋体" w:hAnsi="宋体" w:cs="宋体"/>
                <w:color w:val="auto"/>
                <w:sz w:val="24"/>
                <w:szCs w:val="24"/>
                <w:highlight w:val="none"/>
              </w:rPr>
            </w:pPr>
            <w:r>
              <w:rPr>
                <w:rFonts w:hint="eastAsia" w:ascii="宋体" w:hAnsi="宋体" w:cs="宋体"/>
                <w:color w:val="auto"/>
                <w:sz w:val="24"/>
                <w:szCs w:val="24"/>
                <w:highlight w:val="none"/>
              </w:rPr>
              <w:t>开户行：中信银行苏州南门支行</w:t>
            </w:r>
          </w:p>
          <w:p w14:paraId="29F6BBF2">
            <w:pPr>
              <w:tabs>
                <w:tab w:val="left" w:pos="8930"/>
                <w:tab w:val="left" w:pos="9306"/>
              </w:tabs>
              <w:spacing w:line="360" w:lineRule="exact"/>
              <w:ind w:firstLine="960"/>
              <w:rPr>
                <w:rFonts w:ascii="宋体" w:hAnsi="宋体" w:cs="宋体"/>
                <w:color w:val="auto"/>
                <w:sz w:val="24"/>
                <w:szCs w:val="24"/>
                <w:highlight w:val="none"/>
              </w:rPr>
            </w:pPr>
            <w:r>
              <w:rPr>
                <w:rFonts w:hint="eastAsia" w:ascii="宋体" w:hAnsi="宋体" w:cs="宋体"/>
                <w:color w:val="auto"/>
                <w:sz w:val="24"/>
                <w:szCs w:val="24"/>
                <w:highlight w:val="none"/>
              </w:rPr>
              <w:t>账  号：7323010182600103353</w:t>
            </w:r>
          </w:p>
        </w:tc>
      </w:tr>
      <w:tr w14:paraId="5E75E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5AE761D9">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1950" w:type="dxa"/>
            <w:noWrap/>
            <w:vAlign w:val="center"/>
          </w:tcPr>
          <w:p w14:paraId="21B4EC84">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导致废标因素</w:t>
            </w:r>
          </w:p>
        </w:tc>
        <w:tc>
          <w:tcPr>
            <w:tcW w:w="5790" w:type="dxa"/>
            <w:noWrap/>
            <w:vAlign w:val="center"/>
          </w:tcPr>
          <w:p w14:paraId="5F26F2C8">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出现下列情形之一的，为废标：</w:t>
            </w:r>
          </w:p>
          <w:p w14:paraId="02D40032">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（一）符合专业条件的投标人或者对招标文件作实质响应的投标人不足三家的；</w:t>
            </w:r>
          </w:p>
          <w:p w14:paraId="1A0094B3">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123B150F">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（三）投标人的报价均超过了采购预算，采购人不能支付的；</w:t>
            </w:r>
          </w:p>
          <w:p w14:paraId="42A8EBEB">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（四）因重大变故，采购任务取消的。</w:t>
            </w:r>
          </w:p>
        </w:tc>
      </w:tr>
      <w:tr w14:paraId="51937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45" w:type="dxa"/>
            <w:noWrap/>
            <w:vAlign w:val="center"/>
          </w:tcPr>
          <w:p w14:paraId="7BC43324">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1950" w:type="dxa"/>
            <w:noWrap/>
            <w:vAlign w:val="center"/>
          </w:tcPr>
          <w:p w14:paraId="10332FFA">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导致无效标</w:t>
            </w:r>
          </w:p>
          <w:p w14:paraId="3D2062CF">
            <w:pPr>
              <w:pStyle w:val="238"/>
              <w:spacing w:line="380" w:lineRule="exact"/>
              <w:ind w:left="0"/>
              <w:jc w:val="center"/>
              <w:rPr>
                <w:rFonts w:ascii="宋体" w:hAnsi="宋体" w:cs="宋体"/>
                <w:color w:val="auto"/>
                <w:sz w:val="24"/>
                <w:szCs w:val="24"/>
                <w:highlight w:val="none"/>
              </w:rPr>
            </w:pPr>
            <w:r>
              <w:rPr>
                <w:rFonts w:hint="eastAsia" w:ascii="宋体" w:hAnsi="宋体" w:cs="宋体"/>
                <w:color w:val="auto"/>
                <w:sz w:val="24"/>
                <w:szCs w:val="24"/>
                <w:highlight w:val="none"/>
              </w:rPr>
              <w:t>因素</w:t>
            </w:r>
          </w:p>
        </w:tc>
        <w:tc>
          <w:tcPr>
            <w:tcW w:w="5790" w:type="dxa"/>
            <w:noWrap/>
            <w:vAlign w:val="center"/>
          </w:tcPr>
          <w:p w14:paraId="1CCF798A">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投标文件属下列情况之一的，在资格性、符合性检查时按照无效投标处理：</w:t>
            </w:r>
          </w:p>
          <w:p w14:paraId="49AEC6D6">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（一）未按照采购文件规定要求签署、盖章的；</w:t>
            </w:r>
          </w:p>
          <w:p w14:paraId="777C5352">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（二）不具备采购文件中规定资格要求的；</w:t>
            </w:r>
          </w:p>
          <w:p w14:paraId="2714A085">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（三）投标书技术部分和资格证明文件中出现总报价的；</w:t>
            </w:r>
          </w:p>
          <w:p w14:paraId="1A0C2BC0">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（四）投标文件含有采购人不能接受的附加条件的；</w:t>
            </w:r>
          </w:p>
          <w:p w14:paraId="5A318CCB">
            <w:pPr>
              <w:pStyle w:val="238"/>
              <w:spacing w:line="380" w:lineRule="exact"/>
              <w:ind w:left="0"/>
              <w:jc w:val="left"/>
              <w:rPr>
                <w:rFonts w:ascii="宋体" w:hAnsi="宋体" w:cs="宋体"/>
                <w:color w:val="auto"/>
                <w:sz w:val="24"/>
                <w:szCs w:val="24"/>
                <w:highlight w:val="none"/>
              </w:rPr>
            </w:pPr>
            <w:r>
              <w:rPr>
                <w:rFonts w:hint="eastAsia" w:ascii="宋体" w:hAnsi="宋体" w:cs="宋体"/>
                <w:color w:val="auto"/>
                <w:sz w:val="24"/>
                <w:szCs w:val="24"/>
                <w:highlight w:val="none"/>
              </w:rPr>
              <w:t>（五）机器码检查中，出现不同投标人投标文件机器码一致情形的；</w:t>
            </w:r>
          </w:p>
          <w:p w14:paraId="5C586716">
            <w:pPr>
              <w:pStyle w:val="238"/>
              <w:spacing w:line="380" w:lineRule="exact"/>
              <w:ind w:left="0"/>
              <w:jc w:val="left"/>
              <w:rPr>
                <w:rFonts w:ascii="宋体" w:hAnsi="宋体" w:cs="宋体"/>
                <w:color w:val="auto"/>
                <w:sz w:val="24"/>
                <w:szCs w:val="24"/>
                <w:highlight w:val="none"/>
              </w:rPr>
            </w:pPr>
            <w:r>
              <w:rPr>
                <w:rFonts w:hint="eastAsia" w:ascii="宋体" w:hAnsi="宋体"/>
                <w:color w:val="auto"/>
                <w:sz w:val="24"/>
                <w:szCs w:val="24"/>
                <w:highlight w:val="none"/>
              </w:rPr>
              <w:t>（六）法律、法规和采购文件规定的其他无效情形</w:t>
            </w:r>
            <w:r>
              <w:rPr>
                <w:rFonts w:hint="eastAsia" w:ascii="宋体" w:hAnsi="宋体" w:cs="宋体"/>
                <w:color w:val="auto"/>
                <w:sz w:val="24"/>
                <w:szCs w:val="24"/>
                <w:highlight w:val="none"/>
              </w:rPr>
              <w:t>。</w:t>
            </w:r>
          </w:p>
        </w:tc>
      </w:tr>
    </w:tbl>
    <w:p w14:paraId="30CDE246">
      <w:pPr>
        <w:spacing w:before="240" w:after="60"/>
        <w:jc w:val="center"/>
        <w:outlineLvl w:val="0"/>
        <w:rPr>
          <w:rFonts w:ascii="宋体" w:hAnsi="宋体" w:cs="宋体"/>
          <w:b/>
          <w:bCs/>
          <w:color w:val="auto"/>
          <w:sz w:val="44"/>
          <w:szCs w:val="44"/>
          <w:highlight w:val="none"/>
        </w:rPr>
      </w:pPr>
      <w:r>
        <w:rPr>
          <w:rFonts w:hint="eastAsia" w:ascii="宋体" w:hAnsi="宋体" w:cs="宋体"/>
          <w:bCs/>
          <w:color w:val="auto"/>
          <w:sz w:val="44"/>
          <w:szCs w:val="32"/>
          <w:highlight w:val="none"/>
        </w:rPr>
        <w:t>第一章 投标邀请函</w:t>
      </w:r>
    </w:p>
    <w:tbl>
      <w:tblPr>
        <w:tblStyle w:val="39"/>
        <w:tblW w:w="8444" w:type="dxa"/>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4"/>
      </w:tblGrid>
      <w:tr w14:paraId="21649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trPr>
        <w:tc>
          <w:tcPr>
            <w:tcW w:w="8444" w:type="dxa"/>
            <w:noWrap/>
          </w:tcPr>
          <w:p w14:paraId="3E68ABD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项目概况</w:t>
            </w:r>
          </w:p>
          <w:p w14:paraId="15DF986F">
            <w:pPr>
              <w:pStyle w:val="235"/>
              <w:spacing w:line="360" w:lineRule="auto"/>
              <w:ind w:firstLine="480"/>
              <w:jc w:val="both"/>
              <w:rPr>
                <w:rFonts w:ascii="宋体" w:hAnsi="宋体" w:cs="宋体"/>
                <w:color w:val="auto"/>
                <w:sz w:val="24"/>
                <w:szCs w:val="24"/>
                <w:highlight w:val="none"/>
              </w:rPr>
            </w:pPr>
            <w:r>
              <w:rPr>
                <w:rFonts w:hint="eastAsia" w:ascii="宋体" w:hAnsi="宋体" w:cs="宋体"/>
                <w:color w:val="auto"/>
                <w:sz w:val="24"/>
                <w:szCs w:val="24"/>
                <w:highlight w:val="none"/>
                <w:u w:val="single"/>
              </w:rPr>
              <w:t>2024年中央政法转移支付资金子项目（健康一体机等一批医疗设备）</w:t>
            </w:r>
            <w:r>
              <w:rPr>
                <w:rFonts w:hint="eastAsia" w:ascii="宋体" w:hAnsi="宋体" w:cs="宋体"/>
                <w:color w:val="auto"/>
                <w:sz w:val="24"/>
                <w:szCs w:val="24"/>
                <w:highlight w:val="none"/>
              </w:rPr>
              <w:t>招标项目</w:t>
            </w:r>
            <w:r>
              <w:rPr>
                <w:rFonts w:hint="eastAsia" w:ascii="宋体" w:hAnsi="宋体" w:cs="宋体"/>
                <w:color w:val="auto"/>
                <w:sz w:val="24"/>
                <w:szCs w:val="24"/>
                <w:highlight w:val="none"/>
                <w:u w:val="single"/>
                <w:lang w:eastAsia="zh-CN"/>
              </w:rPr>
              <w:t>JSZC-320500-SZSD-G2025-0068</w:t>
            </w:r>
            <w:r>
              <w:rPr>
                <w:rFonts w:hint="eastAsia" w:ascii="宋体" w:hAnsi="宋体" w:cs="宋体"/>
                <w:color w:val="auto"/>
                <w:sz w:val="24"/>
                <w:szCs w:val="24"/>
                <w:highlight w:val="none"/>
              </w:rPr>
              <w:t>的潜在投标人应在“苏采云”系统获取招标文件，并于</w:t>
            </w:r>
            <w:r>
              <w:rPr>
                <w:rFonts w:hint="eastAsia" w:ascii="宋体" w:hAnsi="宋体" w:cs="宋体"/>
                <w:color w:val="auto"/>
                <w:sz w:val="24"/>
                <w:szCs w:val="24"/>
                <w:highlight w:val="none"/>
                <w:lang w:eastAsia="zh-CN"/>
              </w:rPr>
              <w:t>2025年12月25日</w:t>
            </w:r>
            <w:r>
              <w:rPr>
                <w:rFonts w:hint="eastAsia" w:ascii="宋体" w:hAnsi="宋体" w:cs="宋体"/>
                <w:color w:val="auto"/>
                <w:sz w:val="24"/>
                <w:szCs w:val="24"/>
                <w:highlight w:val="none"/>
              </w:rPr>
              <w:t>13点30分（北京时间）前递交投标文件。</w:t>
            </w:r>
          </w:p>
        </w:tc>
      </w:tr>
    </w:tbl>
    <w:p w14:paraId="1224D967">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一、项目基本情况</w:t>
      </w:r>
    </w:p>
    <w:p w14:paraId="61AAB387">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JSZC-320500-SZSD-G2025-0068</w:t>
      </w:r>
    </w:p>
    <w:p w14:paraId="6C3B7278">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2、项目名称：</w:t>
      </w:r>
      <w:bookmarkStart w:id="59" w:name="_GoBack"/>
      <w:r>
        <w:rPr>
          <w:rFonts w:hint="eastAsia" w:ascii="宋体" w:hAnsi="宋体" w:cs="宋体"/>
          <w:color w:val="auto"/>
          <w:sz w:val="24"/>
          <w:szCs w:val="24"/>
          <w:highlight w:val="none"/>
        </w:rPr>
        <w:t>2024年中央政法转移支付资金子项目（健康一体机等一批医疗设备）</w:t>
      </w:r>
      <w:bookmarkEnd w:id="59"/>
    </w:p>
    <w:p w14:paraId="2CCF09AF">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3、预算金额：伍拾捌万柒仟伍佰元整（¥587500.00）</w:t>
      </w:r>
    </w:p>
    <w:p w14:paraId="4AA2FF93">
      <w:pPr>
        <w:spacing w:line="360" w:lineRule="auto"/>
        <w:ind w:firstLine="840"/>
        <w:jc w:val="left"/>
        <w:rPr>
          <w:rFonts w:ascii="宋体" w:hAnsi="宋体" w:cs="宋体"/>
          <w:color w:val="auto"/>
          <w:sz w:val="24"/>
          <w:szCs w:val="24"/>
          <w:highlight w:val="none"/>
        </w:rPr>
      </w:pPr>
      <w:r>
        <w:rPr>
          <w:rFonts w:hint="eastAsia" w:ascii="宋体" w:hAnsi="宋体" w:cs="宋体"/>
          <w:color w:val="auto"/>
          <w:sz w:val="24"/>
          <w:szCs w:val="24"/>
          <w:highlight w:val="none"/>
        </w:rPr>
        <w:t>最高限价：伍拾捌万柒仟伍佰元整（¥587500.00）</w:t>
      </w:r>
    </w:p>
    <w:p w14:paraId="34D3BF48">
      <w:pPr>
        <w:spacing w:line="360" w:lineRule="auto"/>
        <w:ind w:firstLine="480"/>
        <w:jc w:val="left"/>
        <w:rPr>
          <w:rFonts w:ascii="宋体" w:hAnsi="宋体" w:cs="宋体"/>
          <w:bCs/>
          <w:color w:val="auto"/>
          <w:sz w:val="24"/>
          <w:szCs w:val="24"/>
          <w:highlight w:val="none"/>
        </w:rPr>
      </w:pPr>
      <w:r>
        <w:rPr>
          <w:rFonts w:hint="eastAsia" w:ascii="宋体" w:hAnsi="宋体" w:cs="宋体"/>
          <w:color w:val="auto"/>
          <w:sz w:val="24"/>
          <w:szCs w:val="24"/>
          <w:highlight w:val="none"/>
        </w:rPr>
        <w:t>4、采购需求：</w:t>
      </w:r>
    </w:p>
    <w:tbl>
      <w:tblPr>
        <w:tblStyle w:val="39"/>
        <w:tblW w:w="4829" w:type="pct"/>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
        <w:gridCol w:w="1953"/>
        <w:gridCol w:w="900"/>
        <w:gridCol w:w="876"/>
        <w:gridCol w:w="1880"/>
        <w:gridCol w:w="1972"/>
      </w:tblGrid>
      <w:tr w14:paraId="7AFD3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4913829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44" w:type="pct"/>
            <w:noWrap/>
            <w:vAlign w:val="center"/>
          </w:tcPr>
          <w:p w14:paraId="56EBADA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设备名称</w:t>
            </w:r>
          </w:p>
        </w:tc>
        <w:tc>
          <w:tcPr>
            <w:tcW w:w="527" w:type="pct"/>
            <w:noWrap/>
            <w:vAlign w:val="center"/>
          </w:tcPr>
          <w:p w14:paraId="4D589FED">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513" w:type="pct"/>
            <w:noWrap/>
            <w:vAlign w:val="center"/>
          </w:tcPr>
          <w:p w14:paraId="20AAE28C">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1101" w:type="pct"/>
            <w:tcBorders>
              <w:right w:val="single" w:color="auto" w:sz="4" w:space="0"/>
            </w:tcBorders>
            <w:noWrap/>
            <w:vAlign w:val="center"/>
          </w:tcPr>
          <w:p w14:paraId="7A988240">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最高单价限价</w:t>
            </w:r>
          </w:p>
          <w:p w14:paraId="4EB39C4D">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154" w:type="pct"/>
            <w:tcBorders>
              <w:left w:val="single" w:color="auto" w:sz="4" w:space="0"/>
            </w:tcBorders>
            <w:noWrap/>
            <w:vAlign w:val="center"/>
          </w:tcPr>
          <w:p w14:paraId="349CBE9C">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小计（元）</w:t>
            </w:r>
          </w:p>
        </w:tc>
      </w:tr>
      <w:tr w14:paraId="6CEA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1660D353">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44" w:type="pct"/>
            <w:noWrap/>
            <w:vAlign w:val="center"/>
          </w:tcPr>
          <w:p w14:paraId="2EF23DA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健康一体机</w:t>
            </w:r>
          </w:p>
        </w:tc>
        <w:tc>
          <w:tcPr>
            <w:tcW w:w="527" w:type="pct"/>
            <w:noWrap/>
            <w:vAlign w:val="center"/>
          </w:tcPr>
          <w:p w14:paraId="5EA95503">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w:t>
            </w:r>
          </w:p>
        </w:tc>
        <w:tc>
          <w:tcPr>
            <w:tcW w:w="513" w:type="pct"/>
            <w:noWrap/>
            <w:vAlign w:val="center"/>
          </w:tcPr>
          <w:p w14:paraId="463AC526">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49C741A6">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100000.00</w:t>
            </w:r>
          </w:p>
        </w:tc>
        <w:tc>
          <w:tcPr>
            <w:tcW w:w="1154" w:type="pct"/>
            <w:tcBorders>
              <w:left w:val="single" w:color="auto" w:sz="4" w:space="0"/>
            </w:tcBorders>
            <w:noWrap/>
            <w:vAlign w:val="center"/>
          </w:tcPr>
          <w:p w14:paraId="7D593625">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500000.00</w:t>
            </w:r>
          </w:p>
        </w:tc>
      </w:tr>
      <w:tr w14:paraId="72F7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52113880">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440" w:type="pct"/>
            <w:gridSpan w:val="5"/>
            <w:noWrap/>
            <w:vAlign w:val="center"/>
          </w:tcPr>
          <w:p w14:paraId="62E094E8">
            <w:pPr>
              <w:pStyle w:val="257"/>
              <w:spacing w:line="240" w:lineRule="auto"/>
              <w:jc w:val="left"/>
              <w:rPr>
                <w:rFonts w:hint="default" w:ascii="宋体" w:hAnsi="宋体"/>
                <w:color w:val="auto"/>
                <w:highlight w:val="none"/>
              </w:rPr>
            </w:pPr>
            <w:r>
              <w:rPr>
                <w:rFonts w:ascii="宋体" w:hAnsi="宋体"/>
                <w:color w:val="auto"/>
                <w:highlight w:val="none"/>
              </w:rPr>
              <w:t>方舱医疗设备</w:t>
            </w:r>
          </w:p>
        </w:tc>
      </w:tr>
      <w:tr w14:paraId="45A0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2C35F33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144" w:type="pct"/>
            <w:noWrap/>
            <w:vAlign w:val="center"/>
          </w:tcPr>
          <w:p w14:paraId="0CF0200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心电图机</w:t>
            </w:r>
          </w:p>
        </w:tc>
        <w:tc>
          <w:tcPr>
            <w:tcW w:w="527" w:type="pct"/>
            <w:noWrap/>
            <w:vAlign w:val="center"/>
          </w:tcPr>
          <w:p w14:paraId="7B59CF2D">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500D979C">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08302162">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15000.00</w:t>
            </w:r>
          </w:p>
        </w:tc>
        <w:tc>
          <w:tcPr>
            <w:tcW w:w="1154" w:type="pct"/>
            <w:tcBorders>
              <w:left w:val="single" w:color="auto" w:sz="4" w:space="0"/>
            </w:tcBorders>
            <w:noWrap/>
            <w:vAlign w:val="center"/>
          </w:tcPr>
          <w:p w14:paraId="1E1438E0">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15000.00</w:t>
            </w:r>
          </w:p>
        </w:tc>
      </w:tr>
      <w:tr w14:paraId="4E2B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4F922D28">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144" w:type="pct"/>
            <w:noWrap/>
            <w:vAlign w:val="center"/>
          </w:tcPr>
          <w:p w14:paraId="3982BC6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红外治疗仪</w:t>
            </w:r>
          </w:p>
        </w:tc>
        <w:tc>
          <w:tcPr>
            <w:tcW w:w="527" w:type="pct"/>
            <w:noWrap/>
            <w:vAlign w:val="center"/>
          </w:tcPr>
          <w:p w14:paraId="31AF3640">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5C304851">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27C026A6">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13000.00</w:t>
            </w:r>
          </w:p>
        </w:tc>
        <w:tc>
          <w:tcPr>
            <w:tcW w:w="1154" w:type="pct"/>
            <w:tcBorders>
              <w:left w:val="single" w:color="auto" w:sz="4" w:space="0"/>
            </w:tcBorders>
            <w:noWrap/>
            <w:vAlign w:val="center"/>
          </w:tcPr>
          <w:p w14:paraId="4C4D427E">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13000.00</w:t>
            </w:r>
          </w:p>
        </w:tc>
      </w:tr>
      <w:tr w14:paraId="4CF5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36B1B38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144" w:type="pct"/>
            <w:noWrap/>
            <w:vAlign w:val="center"/>
          </w:tcPr>
          <w:p w14:paraId="3AA529D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磁振热治疗仪</w:t>
            </w:r>
          </w:p>
        </w:tc>
        <w:tc>
          <w:tcPr>
            <w:tcW w:w="527" w:type="pct"/>
            <w:noWrap/>
            <w:vAlign w:val="center"/>
          </w:tcPr>
          <w:p w14:paraId="291BBF28">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150783BF">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41CA876E">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33000.00</w:t>
            </w:r>
          </w:p>
        </w:tc>
        <w:tc>
          <w:tcPr>
            <w:tcW w:w="1154" w:type="pct"/>
            <w:tcBorders>
              <w:left w:val="single" w:color="auto" w:sz="4" w:space="0"/>
            </w:tcBorders>
            <w:noWrap/>
            <w:vAlign w:val="center"/>
          </w:tcPr>
          <w:p w14:paraId="07C7E0DE">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33000.00</w:t>
            </w:r>
          </w:p>
        </w:tc>
      </w:tr>
      <w:tr w14:paraId="5BB9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4D26037F">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144" w:type="pct"/>
            <w:noWrap/>
            <w:vAlign w:val="center"/>
          </w:tcPr>
          <w:p w14:paraId="0469FE4F">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深层肌肉刺激仪</w:t>
            </w:r>
          </w:p>
        </w:tc>
        <w:tc>
          <w:tcPr>
            <w:tcW w:w="527" w:type="pct"/>
            <w:noWrap/>
            <w:vAlign w:val="center"/>
          </w:tcPr>
          <w:p w14:paraId="4297633B">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3E582A44">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629A8633">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22000.00</w:t>
            </w:r>
          </w:p>
        </w:tc>
        <w:tc>
          <w:tcPr>
            <w:tcW w:w="1154" w:type="pct"/>
            <w:tcBorders>
              <w:left w:val="single" w:color="auto" w:sz="4" w:space="0"/>
            </w:tcBorders>
            <w:noWrap/>
            <w:vAlign w:val="center"/>
          </w:tcPr>
          <w:p w14:paraId="0C5F4BB9">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22000.00</w:t>
            </w:r>
          </w:p>
        </w:tc>
      </w:tr>
      <w:tr w14:paraId="25CFD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5382A16E">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144" w:type="pct"/>
            <w:noWrap/>
            <w:vAlign w:val="center"/>
          </w:tcPr>
          <w:p w14:paraId="0921368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急救箱</w:t>
            </w:r>
          </w:p>
        </w:tc>
        <w:tc>
          <w:tcPr>
            <w:tcW w:w="527" w:type="pct"/>
            <w:noWrap/>
            <w:vAlign w:val="center"/>
          </w:tcPr>
          <w:p w14:paraId="6E06F1B1">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6EF2AC72">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个</w:t>
            </w:r>
          </w:p>
        </w:tc>
        <w:tc>
          <w:tcPr>
            <w:tcW w:w="1101" w:type="pct"/>
            <w:tcBorders>
              <w:right w:val="single" w:color="auto" w:sz="4" w:space="0"/>
            </w:tcBorders>
            <w:noWrap/>
            <w:vAlign w:val="center"/>
          </w:tcPr>
          <w:p w14:paraId="3F647363">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4500.00</w:t>
            </w:r>
          </w:p>
        </w:tc>
        <w:tc>
          <w:tcPr>
            <w:tcW w:w="1154" w:type="pct"/>
            <w:tcBorders>
              <w:left w:val="single" w:color="auto" w:sz="4" w:space="0"/>
            </w:tcBorders>
            <w:noWrap/>
            <w:vAlign w:val="center"/>
          </w:tcPr>
          <w:p w14:paraId="21ED0768">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4500.00</w:t>
            </w:r>
          </w:p>
        </w:tc>
      </w:tr>
    </w:tbl>
    <w:p w14:paraId="0EF13509">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b/>
          <w:bCs/>
          <w:color w:val="auto"/>
          <w:sz w:val="24"/>
          <w:szCs w:val="24"/>
          <w:highlight w:val="none"/>
        </w:rPr>
        <w:t>投标报价不得超过本次采购预算及各分项最高单价限价，否则作无效报价处理。</w:t>
      </w:r>
    </w:p>
    <w:p w14:paraId="5B237201">
      <w:pPr>
        <w:numPr>
          <w:ilvl w:val="0"/>
          <w:numId w:val="2"/>
        </w:num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合同履行期限：</w:t>
      </w:r>
    </w:p>
    <w:p w14:paraId="39F1B69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5.1交货时间：合同签订后20日内，完成本项目全部采购内容的交付；30日内完成设备安装及调试工作。</w:t>
      </w:r>
    </w:p>
    <w:p w14:paraId="77487DD7">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5.2售后服务期限：本项目免费质量保证期要求不低于3年；免费质量保证期自货物供货、安装、调试正常且经采购使用部门确认验收合格之日起计算。</w:t>
      </w:r>
    </w:p>
    <w:p w14:paraId="6D3579C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6、交货地点：采购单位指定地点</w:t>
      </w:r>
    </w:p>
    <w:p w14:paraId="2DB2334A">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二、供应商的资格要求：</w:t>
      </w:r>
    </w:p>
    <w:p w14:paraId="4EF13FB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1、满足《中华人民共和国政府采购法》第二十二条规定，投标人应当具备下列条件：</w:t>
      </w:r>
    </w:p>
    <w:p w14:paraId="7C020F0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1.1具有独立承担民事责任的能力；</w:t>
      </w:r>
    </w:p>
    <w:p w14:paraId="1125CD96">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1.2具有良好的商业信誉和健全的财务会计制度；</w:t>
      </w:r>
    </w:p>
    <w:p w14:paraId="0307BE1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1.3具有履行合同所必需的设备和专业技术能力；</w:t>
      </w:r>
    </w:p>
    <w:p w14:paraId="5EE12E45">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1.4有依法缴纳税收和社会保障基金的良好记录；</w:t>
      </w:r>
    </w:p>
    <w:p w14:paraId="273FB56A">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1.5参加政府采购活动前三年内，在经营活动中没有重大违法记录；</w:t>
      </w:r>
    </w:p>
    <w:p w14:paraId="4AA23C7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48191E05">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2、落实政府采购政策需满足的资格要求：本项目非专门面向中小企业采购。本项目所属行业为工业。</w:t>
      </w:r>
    </w:p>
    <w:p w14:paraId="0857611E">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1DFCC98C">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b w:val="0"/>
          <w:bCs w:val="0"/>
          <w:color w:val="auto"/>
          <w:sz w:val="24"/>
          <w:szCs w:val="24"/>
          <w:highlight w:val="none"/>
        </w:rPr>
        <w:t>投标单位若为医疗器械生产企业的，须提供有效的第二类《医疗器械生产许可证》；投标单位若为医疗器械经营企业的，须提供有效的《医疗器械经营许可证》，同时提供相关产品生产企业的第二类《医疗器械生产许可证》</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相关产品包括：健康一体机</w:t>
      </w:r>
      <w:r>
        <w:rPr>
          <w:rFonts w:hint="eastAsia" w:ascii="宋体" w:hAnsi="宋体" w:cs="宋体"/>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心电图机</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红外治疗仪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磁振热治疗仪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深层肌肉刺激仪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急救箱</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宋体" w:hAnsi="宋体" w:cs="宋体"/>
          <w:b w:val="0"/>
          <w:bCs w:val="0"/>
          <w:color w:val="auto"/>
          <w:sz w:val="24"/>
          <w:szCs w:val="32"/>
          <w:highlight w:val="none"/>
          <w:lang w:val="en-US" w:eastAsia="zh-CN"/>
        </w:rPr>
        <w:t>清单中的血糖、尿酸、总胆固醇监测系统，干式分化分析仪，血氧仪）】。</w:t>
      </w:r>
    </w:p>
    <w:p w14:paraId="0F661A9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3.2</w:t>
      </w:r>
      <w:r>
        <w:rPr>
          <w:rFonts w:ascii="宋体" w:hAnsi="宋体" w:cs="宋体"/>
          <w:color w:val="auto"/>
          <w:sz w:val="24"/>
          <w:szCs w:val="24"/>
          <w:highlight w:val="none"/>
        </w:rPr>
        <w:t>未被“信用中国”网站（www.creditchina.gov.cn）列入失信被执行人、重大税收违法案件当事人名单、政府采购严重失信行为记录名单。</w:t>
      </w:r>
    </w:p>
    <w:p w14:paraId="60FB1A4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3.3</w:t>
      </w:r>
      <w:r>
        <w:rPr>
          <w:rFonts w:hint="eastAsia" w:ascii="宋体" w:hAnsi="宋体" w:cs="宋体"/>
          <w:color w:val="auto"/>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2D93A685">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4、联合体及转包、分包：本项目不接受联合体，不得转包、分包本项目。</w:t>
      </w:r>
    </w:p>
    <w:p w14:paraId="22FA83F1">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三、获取招标文件：</w:t>
      </w:r>
    </w:p>
    <w:p w14:paraId="70837AD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1、时间：自招标文件公告发布之日起5个工作日（北京时间，法定节假日除外）。</w:t>
      </w:r>
    </w:p>
    <w:p w14:paraId="4ACD91FB">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2、地点：苏采云系统 </w:t>
      </w:r>
    </w:p>
    <w:p w14:paraId="4D7AC01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3、方式：苏采云系统报名后自行下载 </w:t>
      </w:r>
    </w:p>
    <w:p w14:paraId="5CC8E741">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4、售价：0.00元</w:t>
      </w:r>
    </w:p>
    <w:p w14:paraId="44D3342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四、提交投标文件截止时间、开标时间和地点</w:t>
      </w:r>
    </w:p>
    <w:p w14:paraId="189FF2BE">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1、提交投标文件截止时间：</w:t>
      </w:r>
      <w:r>
        <w:rPr>
          <w:rFonts w:hint="eastAsia" w:ascii="宋体" w:hAnsi="宋体" w:cs="宋体"/>
          <w:color w:val="auto"/>
          <w:sz w:val="24"/>
          <w:szCs w:val="24"/>
          <w:highlight w:val="none"/>
          <w:lang w:eastAsia="zh-CN"/>
        </w:rPr>
        <w:t>2025年12月25日</w:t>
      </w:r>
      <w:r>
        <w:rPr>
          <w:rFonts w:hint="eastAsia" w:ascii="宋体" w:hAnsi="宋体" w:cs="宋体"/>
          <w:color w:val="auto"/>
          <w:sz w:val="24"/>
          <w:szCs w:val="24"/>
          <w:highlight w:val="none"/>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30（北京时间）</w:t>
      </w:r>
    </w:p>
    <w:p w14:paraId="2787862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2、开标时间：</w:t>
      </w:r>
      <w:r>
        <w:rPr>
          <w:rFonts w:hint="eastAsia" w:ascii="宋体" w:hAnsi="宋体" w:cs="宋体"/>
          <w:color w:val="auto"/>
          <w:sz w:val="24"/>
          <w:szCs w:val="24"/>
          <w:highlight w:val="none"/>
          <w:lang w:eastAsia="zh-CN"/>
        </w:rPr>
        <w:t>2025年12月25日</w:t>
      </w:r>
      <w:r>
        <w:rPr>
          <w:rFonts w:hint="eastAsia" w:ascii="宋体" w:hAnsi="宋体" w:cs="宋体"/>
          <w:color w:val="auto"/>
          <w:sz w:val="24"/>
          <w:szCs w:val="24"/>
          <w:highlight w:val="none"/>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30（北京时间）</w:t>
      </w:r>
    </w:p>
    <w:p w14:paraId="617F6F86">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3、开标地点：“苏采云”系统（网址：http：//jszfcg.jsczt.cn/）</w:t>
      </w:r>
    </w:p>
    <w:p w14:paraId="21648DA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五、公告期限：自本公告发布之日起5个工作日。</w:t>
      </w:r>
    </w:p>
    <w:p w14:paraId="4AE98AEE">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六、其他补充事宜</w:t>
      </w:r>
    </w:p>
    <w:p w14:paraId="2FE8609B">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1、本次采购的有关信息将在苏州市政府采购网、江苏政府采购网、</w:t>
      </w:r>
      <w:r>
        <w:rPr>
          <w:rFonts w:hint="eastAsia" w:ascii="宋体" w:hAnsi="宋体" w:cs="宋体"/>
          <w:color w:val="auto"/>
          <w:sz w:val="24"/>
          <w:highlight w:val="none"/>
        </w:rPr>
        <w:t>中国政府采购网</w:t>
      </w:r>
      <w:r>
        <w:rPr>
          <w:rFonts w:hint="eastAsia" w:ascii="宋体" w:hAnsi="宋体" w:cs="宋体"/>
          <w:color w:val="auto"/>
          <w:sz w:val="24"/>
          <w:szCs w:val="24"/>
          <w:highlight w:val="none"/>
        </w:rPr>
        <w:t>上发布；有关该采购项目的澄清、修正及中标等信息亦在以上网站发布，敬请留意。</w:t>
      </w:r>
    </w:p>
    <w:p w14:paraId="0165BC5B">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2、政府采购监督电话：0512-68616651。</w:t>
      </w:r>
    </w:p>
    <w:p w14:paraId="1122762A">
      <w:pPr>
        <w:spacing w:line="360" w:lineRule="auto"/>
        <w:ind w:firstLine="480"/>
        <w:jc w:val="left"/>
        <w:rPr>
          <w:rFonts w:ascii="宋体" w:hAnsi="宋体" w:cs="宋体"/>
          <w:color w:val="auto"/>
          <w:sz w:val="24"/>
          <w:szCs w:val="24"/>
          <w:highlight w:val="none"/>
          <w:lang w:val="zh-TW"/>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TW" w:eastAsia="zh-TW"/>
        </w:rPr>
        <w:t>供应商在</w:t>
      </w:r>
      <w:r>
        <w:rPr>
          <w:rFonts w:hint="eastAsia" w:ascii="宋体" w:hAnsi="宋体" w:cs="宋体"/>
          <w:color w:val="auto"/>
          <w:sz w:val="24"/>
          <w:szCs w:val="24"/>
          <w:highlight w:val="none"/>
          <w:lang w:val="zh-TW"/>
        </w:rPr>
        <w:t>报名、下载、制作采购文件</w:t>
      </w:r>
      <w:r>
        <w:rPr>
          <w:rFonts w:hint="eastAsia" w:ascii="宋体" w:hAnsi="宋体" w:cs="宋体"/>
          <w:color w:val="auto"/>
          <w:sz w:val="24"/>
          <w:szCs w:val="24"/>
          <w:highlight w:val="none"/>
          <w:lang w:val="zh-TW" w:eastAsia="zh-TW"/>
        </w:rPr>
        <w:t>过程中如有</w:t>
      </w:r>
      <w:r>
        <w:rPr>
          <w:rFonts w:hint="eastAsia" w:ascii="宋体" w:hAnsi="宋体" w:cs="宋体"/>
          <w:color w:val="auto"/>
          <w:sz w:val="24"/>
          <w:szCs w:val="24"/>
          <w:highlight w:val="none"/>
          <w:lang w:val="zh-TW"/>
        </w:rPr>
        <w:t>软件操作方面</w:t>
      </w:r>
      <w:r>
        <w:rPr>
          <w:rFonts w:hint="eastAsia" w:ascii="宋体" w:hAnsi="宋体" w:cs="宋体"/>
          <w:color w:val="auto"/>
          <w:sz w:val="24"/>
          <w:szCs w:val="24"/>
          <w:highlight w:val="none"/>
          <w:lang w:val="zh-TW" w:eastAsia="zh-TW"/>
        </w:rPr>
        <w:t>疑问，请拨打</w:t>
      </w:r>
      <w:r>
        <w:rPr>
          <w:rFonts w:hint="eastAsia" w:ascii="宋体" w:hAnsi="宋体" w:cs="宋体"/>
          <w:color w:val="auto"/>
          <w:sz w:val="24"/>
          <w:szCs w:val="24"/>
          <w:highlight w:val="none"/>
          <w:lang w:val="zh-TW"/>
        </w:rPr>
        <w:t>（1）注册咨询：18261002950；（2）CA技术咨询电话：400-608-6099；（3）签章使用问题：025-83633811、025-83633812、15380932027、13675197356；（</w:t>
      </w: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TW"/>
        </w:rPr>
        <w:t>系统使用指导与咨询：联系电话：13914088964、18261002950、0519-86722802；QQ：1315179389、895706745。智能客服：登录苏采云系统后，联系系统右下方智能客服图标进行咨询。</w:t>
      </w:r>
    </w:p>
    <w:p w14:paraId="0F5C1CE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4、报名方式（网上报名）</w:t>
      </w:r>
    </w:p>
    <w:p w14:paraId="5D73BD90">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4.1申领CA证书：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w:t>
      </w:r>
      <w:r>
        <w:rPr>
          <w:rFonts w:hint="eastAsia" w:ascii="宋体" w:hAnsi="宋体" w:cs="宋体"/>
          <w:color w:val="auto"/>
          <w:sz w:val="24"/>
          <w:highlight w:val="none"/>
          <w:lang w:val="en-US" w:eastAsia="zh-CN"/>
        </w:rPr>
        <w:t>苏州高新区邓尉路105号狮山科技馆1楼服务大厅</w:t>
      </w:r>
      <w:r>
        <w:rPr>
          <w:rFonts w:hint="eastAsia" w:ascii="宋体" w:hAnsi="宋体" w:cs="宋体"/>
          <w:color w:val="auto"/>
          <w:sz w:val="24"/>
          <w:szCs w:val="24"/>
          <w:highlight w:val="none"/>
        </w:rPr>
        <w:t>，咨询电话：0512-69820834。</w:t>
      </w:r>
    </w:p>
    <w:p w14:paraId="4305940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4.2登录报名：供应商插入CA证书登录“苏采云”系统后选择具体项目，点击“我要参与”并签章提交《投标供应商确认函》，提交《投标供应商确认函》的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35BA2909">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5、制作、提交电子投标文件：</w:t>
      </w:r>
    </w:p>
    <w:p w14:paraId="2D0BF98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5.1本项目采用电子招投标方式，供应商在“苏采云”系统中操作成功参与项目后，必须在“已参与项目”界面中下载电子招标文件（后缀名为“.kedt”）并导入政府采购客户端工具后方可进行投标文件制作和提交（具体详见《苏采云系统供应商操作手册》，网址链接</w:t>
      </w:r>
      <w:r>
        <w:rPr>
          <w:color w:val="auto"/>
          <w:highlight w:val="none"/>
        </w:rPr>
        <w:fldChar w:fldCharType="begin"/>
      </w:r>
      <w:r>
        <w:rPr>
          <w:color w:val="auto"/>
          <w:highlight w:val="none"/>
        </w:rPr>
        <w:instrText xml:space="preserve"> HYPERLINK "https://czju.suzhou.gov.cn/zfcg/html/content/20231220161910031.shtml" </w:instrText>
      </w:r>
      <w:r>
        <w:rPr>
          <w:color w:val="auto"/>
          <w:highlight w:val="none"/>
        </w:rPr>
        <w:fldChar w:fldCharType="separate"/>
      </w:r>
      <w:r>
        <w:rPr>
          <w:rFonts w:hint="eastAsia" w:ascii="宋体" w:hAnsi="宋体" w:cs="宋体"/>
          <w:color w:val="auto"/>
          <w:sz w:val="24"/>
          <w:szCs w:val="24"/>
          <w:highlight w:val="none"/>
        </w:rPr>
        <w:t>https：//czju.suzhou.gov.cn/zfcg/html/content/20231220161910031.shtml</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0E25298B">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5.2补充通知（如有）：成功获取招标文件的供应商应及时关注政府采购信息发布媒体上发布的更正（补充）公告，同时在“苏采云”系统中下载更正（补充）资料，如有遗漏（包括但不限于文件未下载或下载不完整），可能无法解密投标（响应）文件，由此所造成的响应失败或损失由供应商自行负责。</w:t>
      </w:r>
    </w:p>
    <w:p w14:paraId="43A25EC1">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5.3本项目采用电子投标形式，请供应商按照《苏采云系统供应商操作手册》、招标文件要求进行制作、上传电子投标文件；电子投标文件制作完成后请于投标文件提交截止时间前成功上传至“苏采云”系统，否则视为放弃参加该采购项目；供应商应充分考虑网络环境、网络带宽等风险因素，如因供应商自身原因造成的电子投标文件上传不成功由供应商自行承担全部责任。</w:t>
      </w:r>
    </w:p>
    <w:p w14:paraId="30922F91">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6、开标方式：线上不见面开标，供应商登录“苏采云”系统在平台首页点击“开标大厅”，进入江苏省政府采购一体化不见面开标（采购）大厅，在今日项目列表，点击项目，进入不见面开标系统。开标阶段供应商在【供应商解密】环节必须使用CA证书解密电子投标文件，如在系统规定的解密时间内</w:t>
      </w:r>
      <w:r>
        <w:rPr>
          <w:rFonts w:hint="eastAsia" w:ascii="宋体" w:hAnsi="宋体"/>
          <w:b/>
          <w:color w:val="auto"/>
          <w:sz w:val="24"/>
          <w:szCs w:val="24"/>
          <w:highlight w:val="none"/>
        </w:rPr>
        <w:t>（投标文件提交截止时间后30分钟）</w:t>
      </w:r>
      <w:r>
        <w:rPr>
          <w:rFonts w:hint="eastAsia" w:ascii="宋体" w:hAnsi="宋体" w:cs="宋体"/>
          <w:color w:val="auto"/>
          <w:sz w:val="24"/>
          <w:szCs w:val="24"/>
          <w:highlight w:val="none"/>
        </w:rPr>
        <w:t>未能完成解密的视为放弃投标。请供应商确保电脑、系统及其他设备（视频输入输出设备等）无误，且开标直至项目结束始终保持系统在线状态。</w:t>
      </w:r>
    </w:p>
    <w:p w14:paraId="53FEB3F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七、对本次招标提出询问，请按以下方式联系：</w:t>
      </w:r>
    </w:p>
    <w:p w14:paraId="37EACD8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187178A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名 称：苏州市公安局</w:t>
      </w:r>
    </w:p>
    <w:p w14:paraId="654E5BBA">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地 址：苏州市人民路3998号</w:t>
      </w:r>
    </w:p>
    <w:p w14:paraId="6B2F631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联系方式：陈菲/0512-65111701</w:t>
      </w:r>
    </w:p>
    <w:p w14:paraId="35351FC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3ED1F96D">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名 称：苏州时代招投标有限公司</w:t>
      </w:r>
    </w:p>
    <w:p w14:paraId="22760501">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地 址：苏州市虎丘区滨河路1388号3B 501室</w:t>
      </w:r>
    </w:p>
    <w:p w14:paraId="1CC2F05A">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联系方式：褚磊/0512-65201419</w:t>
      </w:r>
    </w:p>
    <w:p w14:paraId="55787274">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1EFA3BC9">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项目联系人：叶素萍、褚磊、陈婷、徐蕾、曾颖</w:t>
      </w:r>
    </w:p>
    <w:p w14:paraId="692776D6">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电 话：0512-65201419</w:t>
      </w:r>
    </w:p>
    <w:p w14:paraId="32EC1C26">
      <w:pPr>
        <w:spacing w:line="360" w:lineRule="auto"/>
        <w:ind w:firstLine="480"/>
        <w:jc w:val="center"/>
        <w:rPr>
          <w:rFonts w:ascii="宋体" w:hAnsi="宋体" w:cs="宋体"/>
          <w:bCs/>
          <w:color w:val="auto"/>
          <w:sz w:val="44"/>
          <w:szCs w:val="32"/>
          <w:highlight w:val="none"/>
        </w:rPr>
      </w:pPr>
    </w:p>
    <w:p w14:paraId="4E83E461">
      <w:pPr>
        <w:rPr>
          <w:rFonts w:ascii="宋体" w:hAnsi="宋体" w:cs="宋体"/>
          <w:bCs/>
          <w:color w:val="auto"/>
          <w:sz w:val="44"/>
          <w:szCs w:val="32"/>
          <w:highlight w:val="none"/>
        </w:rPr>
      </w:pPr>
      <w:r>
        <w:rPr>
          <w:rFonts w:hint="eastAsia" w:ascii="宋体" w:hAnsi="宋体" w:cs="宋体"/>
          <w:bCs/>
          <w:color w:val="auto"/>
          <w:sz w:val="44"/>
          <w:szCs w:val="32"/>
          <w:highlight w:val="none"/>
        </w:rPr>
        <w:br w:type="page" w:clear="all"/>
      </w:r>
    </w:p>
    <w:p w14:paraId="52E29A98">
      <w:pPr>
        <w:spacing w:line="360" w:lineRule="auto"/>
        <w:ind w:firstLine="480"/>
        <w:jc w:val="center"/>
        <w:rPr>
          <w:rFonts w:ascii="宋体" w:hAnsi="宋体" w:cs="宋体"/>
          <w:color w:val="auto"/>
          <w:sz w:val="44"/>
          <w:szCs w:val="44"/>
          <w:highlight w:val="none"/>
        </w:rPr>
      </w:pPr>
      <w:r>
        <w:rPr>
          <w:rFonts w:hint="eastAsia" w:ascii="宋体" w:hAnsi="宋体" w:cs="宋体"/>
          <w:bCs/>
          <w:color w:val="auto"/>
          <w:sz w:val="44"/>
          <w:szCs w:val="32"/>
          <w:highlight w:val="none"/>
        </w:rPr>
        <w:t>第二章 投标人须知</w:t>
      </w:r>
    </w:p>
    <w:p w14:paraId="0F608500">
      <w:pPr>
        <w:spacing w:line="360" w:lineRule="auto"/>
        <w:rPr>
          <w:rFonts w:ascii="宋体" w:hAnsi="宋体" w:cs="宋体"/>
          <w:color w:val="auto"/>
          <w:sz w:val="24"/>
          <w:szCs w:val="24"/>
          <w:highlight w:val="none"/>
        </w:rPr>
      </w:pPr>
      <w:r>
        <w:rPr>
          <w:rFonts w:hint="eastAsia" w:ascii="宋体" w:hAnsi="宋体" w:cs="宋体"/>
          <w:bCs/>
          <w:color w:val="auto"/>
          <w:sz w:val="24"/>
          <w:szCs w:val="24"/>
          <w:highlight w:val="none"/>
        </w:rPr>
        <w:t>一、</w:t>
      </w:r>
      <w:r>
        <w:rPr>
          <w:rFonts w:hint="eastAsia" w:ascii="宋体" w:hAnsi="宋体" w:cs="宋体"/>
          <w:color w:val="auto"/>
          <w:sz w:val="24"/>
          <w:szCs w:val="24"/>
          <w:highlight w:val="none"/>
        </w:rPr>
        <w:t>说明和释义</w:t>
      </w:r>
    </w:p>
    <w:p w14:paraId="5F83CBF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1．说明</w:t>
      </w:r>
    </w:p>
    <w:p w14:paraId="6C25889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1.1本招标文件仅适用于</w:t>
      </w:r>
      <w:r>
        <w:rPr>
          <w:rFonts w:hint="eastAsia" w:ascii="宋体" w:hAnsi="宋体" w:cs="宋体"/>
          <w:color w:val="auto"/>
          <w:sz w:val="24"/>
          <w:szCs w:val="24"/>
          <w:highlight w:val="none"/>
          <w:u w:val="single"/>
        </w:rPr>
        <w:t>苏州时代招投标有限公司</w:t>
      </w:r>
      <w:r>
        <w:rPr>
          <w:rFonts w:hint="eastAsia" w:ascii="宋体" w:hAnsi="宋体" w:cs="宋体"/>
          <w:color w:val="auto"/>
          <w:sz w:val="24"/>
          <w:szCs w:val="24"/>
          <w:highlight w:val="none"/>
        </w:rPr>
        <w:t>组织的采购活动。</w:t>
      </w:r>
    </w:p>
    <w:p w14:paraId="573E386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1.2本次采购活动及因本次采购产生的合同受中国法律制约和保护。</w:t>
      </w:r>
    </w:p>
    <w:p w14:paraId="759552D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1.3本招标文件的解释权属于</w:t>
      </w:r>
      <w:r>
        <w:rPr>
          <w:rFonts w:hint="eastAsia" w:ascii="宋体" w:hAnsi="宋体" w:cs="宋体"/>
          <w:color w:val="auto"/>
          <w:sz w:val="24"/>
          <w:szCs w:val="24"/>
          <w:highlight w:val="none"/>
          <w:u w:val="single"/>
        </w:rPr>
        <w:t>苏州时代招投标有限公司</w:t>
      </w:r>
      <w:r>
        <w:rPr>
          <w:rFonts w:hint="eastAsia" w:ascii="宋体" w:hAnsi="宋体" w:cs="宋体"/>
          <w:color w:val="auto"/>
          <w:sz w:val="24"/>
          <w:szCs w:val="24"/>
          <w:highlight w:val="none"/>
        </w:rPr>
        <w:t>。</w:t>
      </w:r>
    </w:p>
    <w:p w14:paraId="7B5C95E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2．词语释义</w:t>
      </w:r>
    </w:p>
    <w:p w14:paraId="7652F5A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2.1采购人：指依法进行政府采购的国家机关、事业单位、团体组织。</w:t>
      </w:r>
    </w:p>
    <w:p w14:paraId="43979FA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2.2采购代理机构：指依法接受采购人委托，从事政府采购代理业务的社会中介机构。</w:t>
      </w:r>
    </w:p>
    <w:p w14:paraId="3E216AE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2.3投标人（供应商）：经认定有资格响应采购，参加投标竞争的法人、其他组织或者自然人。</w:t>
      </w:r>
    </w:p>
    <w:p w14:paraId="2A7E13A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2.4响应：投标人根据采购人或采购代理机构发布的招标文件，编制投标文件并按规定投标行为。</w:t>
      </w:r>
    </w:p>
    <w:p w14:paraId="3DC8C5D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2.5合同：采供双方根据招标文件和中标的投标文件及中标通知书规定的内容签署的以书面形式所达成的协议，包括所有的附件、附录和构成协议的所有文件。</w:t>
      </w:r>
    </w:p>
    <w:p w14:paraId="3E20C59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2.6甲方（采购人）：</w:t>
      </w:r>
      <w:r>
        <w:rPr>
          <w:rFonts w:hint="eastAsia" w:ascii="宋体" w:hAnsi="宋体"/>
          <w:color w:val="auto"/>
          <w:sz w:val="24"/>
          <w:highlight w:val="none"/>
        </w:rPr>
        <w:t>指招标文件中载明的，依法进行政府采购的国家机关、事业单位、团体组织</w:t>
      </w:r>
      <w:r>
        <w:rPr>
          <w:rFonts w:hint="eastAsia" w:ascii="宋体" w:hAnsi="宋体" w:cs="宋体"/>
          <w:color w:val="auto"/>
          <w:sz w:val="24"/>
          <w:szCs w:val="24"/>
          <w:highlight w:val="none"/>
        </w:rPr>
        <w:t>。</w:t>
      </w:r>
    </w:p>
    <w:p w14:paraId="2E1EB1C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2.7乙方（中标供应商）：合同中规定的向采购人提供货物和服务的法人或其他组织和自然人。</w:t>
      </w:r>
    </w:p>
    <w:p w14:paraId="100AEC9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2.8货物：系指乙方按招标文件规定，应向甲方提供的一切设备、备品、备件、工具、手册及其他有关技术资料和材料。</w:t>
      </w:r>
    </w:p>
    <w:p w14:paraId="748ABC4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2.9服务：系指本次招标文件规定乙方应承担的与提供货物和服务有关的辅助服务，比如运输、保险、安装、调试、提供技术援助、培训、配合措施、维修响应及合同中规定乙方应承担的其他义务。</w:t>
      </w:r>
    </w:p>
    <w:p w14:paraId="5FFB0CE9">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2.10知识产权：指专利权、商标权、著作权等无形财产专有权的统称。</w:t>
      </w:r>
    </w:p>
    <w:p w14:paraId="162E5FE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2.11天：日历日；时间：除特别说明，均指北京时间。</w:t>
      </w:r>
    </w:p>
    <w:p w14:paraId="132FC6CF">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2.12地点：合同中明确约定的乙方提交的货物和履行服务最终地点。</w:t>
      </w:r>
    </w:p>
    <w:p w14:paraId="7B6A19C2">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2.13合同价款：根据合同规定，乙方在正确地履行合同义务后甲方应支付乙方的价款。</w:t>
      </w:r>
    </w:p>
    <w:p w14:paraId="6D49B770">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2.14不可抗力：不能预见、不能避免并且不能克服的客观情况。</w:t>
      </w:r>
    </w:p>
    <w:p w14:paraId="574CE64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2.15实质性响应：满足有关本次采购标的、数量、质量、价款或者报酬、履行期限、履行地点和方式、违约责任和解决争议方法等要求。</w:t>
      </w:r>
    </w:p>
    <w:p w14:paraId="5AF3BC8F">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2.16书面形式：指书面文字、合同书、信件等可有形地表现所载内容的形式。</w:t>
      </w:r>
    </w:p>
    <w:p w14:paraId="694065C5">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2.17进口产品：指通过中国海关报关验放进入中国境内且产自关境外的产品。</w:t>
      </w:r>
    </w:p>
    <w:p w14:paraId="0FAC31F3">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二、投标人</w:t>
      </w:r>
    </w:p>
    <w:p w14:paraId="1B9119C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3.合格投标人的资格条件</w:t>
      </w:r>
    </w:p>
    <w:p w14:paraId="19E424A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3.1满足《中华人民共和国政府采购法》第二十二条规定，投标人应当具备下列条件：</w:t>
      </w:r>
    </w:p>
    <w:p w14:paraId="4793823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3.1.1具有独立承担民事责任的能力。</w:t>
      </w:r>
    </w:p>
    <w:p w14:paraId="5B1FDF7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3.1.2具有良好的商业信誉和健全的财务会计制度。</w:t>
      </w:r>
    </w:p>
    <w:p w14:paraId="4DF0BAB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3.1.3具有履行合同所必需的设备和专业技术能力。</w:t>
      </w:r>
    </w:p>
    <w:p w14:paraId="7C16432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3.1.4有依法缴纳税收和社会保障资金的良好记录。</w:t>
      </w:r>
    </w:p>
    <w:p w14:paraId="0371F33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3.1.5参加政府采购活动前三年内，在经营活动中没有重大违法记录。</w:t>
      </w:r>
    </w:p>
    <w:p w14:paraId="6685F61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3.1.6法律、行政法规规定的其他条件。</w:t>
      </w:r>
    </w:p>
    <w:p w14:paraId="6AA1E2D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3.2落实政府采购政策需满足的资格要求：本项目非专门面向中小企业采购。本项目所属行业为工业。</w:t>
      </w:r>
    </w:p>
    <w:p w14:paraId="122D8CA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3.3本项目的特定资格要求：</w:t>
      </w:r>
    </w:p>
    <w:p w14:paraId="2A24622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3.3.1</w:t>
      </w:r>
      <w:r>
        <w:rPr>
          <w:rFonts w:hint="eastAsia" w:ascii="宋体" w:hAnsi="宋体" w:cs="宋体"/>
          <w:b w:val="0"/>
          <w:bCs w:val="0"/>
          <w:color w:val="auto"/>
          <w:sz w:val="24"/>
          <w:szCs w:val="24"/>
          <w:highlight w:val="none"/>
        </w:rPr>
        <w:t>投标单位若为医疗器械生产企业的，须提供有效的第二类《医疗器械生产许可证》；投标单位若为医疗器械经营企业的，须提供有效的《医疗器械经营许可证》，同时提供相关产品生产企业的第二类《医疗器械生产许可证》</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相关产品包括：健康一体机</w:t>
      </w:r>
      <w:r>
        <w:rPr>
          <w:rFonts w:hint="eastAsia" w:ascii="宋体" w:hAnsi="宋体" w:cs="宋体"/>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心电图机</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红外治疗仪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磁振热治疗仪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深层肌肉刺激仪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急救箱</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宋体" w:hAnsi="宋体" w:cs="宋体"/>
          <w:b w:val="0"/>
          <w:bCs w:val="0"/>
          <w:color w:val="auto"/>
          <w:sz w:val="24"/>
          <w:szCs w:val="32"/>
          <w:highlight w:val="none"/>
          <w:lang w:val="en-US" w:eastAsia="zh-CN"/>
        </w:rPr>
        <w:t>清单中的血糖、尿酸、总胆固醇监测系统，干式分化分析仪，血氧仪）】</w:t>
      </w:r>
      <w:r>
        <w:rPr>
          <w:rFonts w:hint="eastAsia" w:ascii="宋体" w:hAnsi="宋体" w:cs="宋体"/>
          <w:color w:val="auto"/>
          <w:sz w:val="24"/>
          <w:szCs w:val="24"/>
          <w:highlight w:val="none"/>
        </w:rPr>
        <w:t>。</w:t>
      </w:r>
    </w:p>
    <w:p w14:paraId="532F0A3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3.3.2</w:t>
      </w:r>
      <w:r>
        <w:rPr>
          <w:rFonts w:ascii="宋体" w:hAnsi="宋体" w:cs="宋体"/>
          <w:color w:val="auto"/>
          <w:sz w:val="24"/>
          <w:szCs w:val="24"/>
          <w:highlight w:val="none"/>
        </w:rPr>
        <w:t>未被“信用中国”网站（www.creditchina.gov.cn）列入失信被执行人、重大税收违法案件当事人名单、政府采购严重失信行为记录名单。</w:t>
      </w:r>
    </w:p>
    <w:p w14:paraId="14CCE781">
      <w:pPr>
        <w:spacing w:line="360" w:lineRule="auto"/>
        <w:jc w:val="left"/>
        <w:rPr>
          <w:color w:val="auto"/>
          <w:highlight w:val="none"/>
        </w:rPr>
      </w:pPr>
      <w:r>
        <w:rPr>
          <w:rFonts w:hint="eastAsia" w:ascii="宋体" w:hAnsi="宋体" w:cs="宋体"/>
          <w:color w:val="auto"/>
          <w:sz w:val="24"/>
          <w:szCs w:val="24"/>
          <w:highlight w:val="none"/>
        </w:rPr>
        <w:t>3.3.3</w:t>
      </w:r>
      <w:r>
        <w:rPr>
          <w:rFonts w:hint="eastAsia" w:ascii="宋体" w:hAnsi="宋体" w:cs="宋体"/>
          <w:color w:val="auto"/>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0AFD3AF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4.投标人代表</w:t>
      </w:r>
    </w:p>
    <w:p w14:paraId="3081FBD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4.1指全权代表投标人参加投标活动并签署投标文件的人，如果投标人代表不是法定代表人，须持有《法人授权委托书》（详见统一格式）。</w:t>
      </w:r>
    </w:p>
    <w:p w14:paraId="24F0F1E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5.投标费用</w:t>
      </w:r>
    </w:p>
    <w:p w14:paraId="7FB187A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5.1无论投标过程的做法和结果如何，投标人自行承担所有与参加投标有关的全部费用。</w:t>
      </w:r>
    </w:p>
    <w:p w14:paraId="00BBC42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6.联合、进口投标及转包、分包</w:t>
      </w:r>
    </w:p>
    <w:p w14:paraId="5CDED29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6.1本项目不接受联合体投标。</w:t>
      </w:r>
    </w:p>
    <w:p w14:paraId="1CDD596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6.2本项目不接受转包、分包。</w:t>
      </w:r>
    </w:p>
    <w:p w14:paraId="11E44CC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6.3本项目不接受进口产品。</w:t>
      </w:r>
    </w:p>
    <w:p w14:paraId="373DDE83">
      <w:pPr>
        <w:spacing w:line="360" w:lineRule="auto"/>
        <w:ind w:left="307" w:hanging="307"/>
        <w:rPr>
          <w:rFonts w:ascii="宋体" w:hAnsi="宋体" w:cs="宋体"/>
          <w:color w:val="auto"/>
          <w:sz w:val="24"/>
          <w:szCs w:val="24"/>
          <w:highlight w:val="none"/>
        </w:rPr>
      </w:pPr>
      <w:r>
        <w:rPr>
          <w:rFonts w:hint="eastAsia" w:ascii="宋体" w:hAnsi="宋体" w:cs="宋体"/>
          <w:color w:val="auto"/>
          <w:sz w:val="24"/>
          <w:szCs w:val="24"/>
          <w:highlight w:val="none"/>
        </w:rPr>
        <w:t>三、招标文件的说明</w:t>
      </w:r>
    </w:p>
    <w:p w14:paraId="677AD05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7.招标文件</w:t>
      </w:r>
    </w:p>
    <w:p w14:paraId="6BA2F83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7.1招标文件由招标文件目录所列内容组成，投标人获取招标文件后，应仔细检查招标文件的所有内容。投标人同时应认真审阅招标文件中所有的事项、格式、条款和规范要求等，若投标人的投标文件没有按招标文件要求提交全部资料，或投标文件没有对招标文件作出实质性响应，其风险由投标人自行承担，并根据有关条款规定，该投标有可能被拒绝。</w:t>
      </w:r>
    </w:p>
    <w:p w14:paraId="612CA0F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7.2招标文件及其补充通知（包括更正公告）不是直接从指定的政府采购信息发布媒体上下载获得的，采购人或采购代理机构对招标文件及其补遗的真实性、完整性不承担任何责任。</w:t>
      </w:r>
    </w:p>
    <w:p w14:paraId="7868EC5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8.采购文件的澄清、修改</w:t>
      </w:r>
    </w:p>
    <w:p w14:paraId="1D6F411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8.1采购人或采购代理机构无论出于自己的考虑，还是出于对投标人提问的澄清，均可对已发出的招标文件用补充通知（包括更正公告）的方式进行澄清或者修改，但不得改变采购标的和资格条件，并通过苏州市政府采购网对外进行发布。澄清或者修改的内容为招标文件的组成部分。</w:t>
      </w:r>
    </w:p>
    <w:p w14:paraId="3EF529D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8.2澄清或者修改的内容可能影响投标文件编制的，采购人或者采购代理机构应当在投标截止时间至少15日前，并通过苏州市政府采购网对外进行发布；不足15日的，采购人或者采购代理机构应当顺延提交投标文件的截止时间。</w:t>
      </w:r>
    </w:p>
    <w:p w14:paraId="28163B6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8.3采购代理机构对采购文件的澄清或者修改，将以补充通知的形式在网上发布公告；供应商应及时关注政府采购信息发布媒体上发布的更正（补充）公告，同时在“苏采云”系统中下载更正（补充）资料，如有遗漏（包括但不限于文件未下载或下载不完整），可能无法解密投标文件，由此所造成的投标失败或损失由供应商自行负责。补充通知（包括更正公告）将作为招标文件的组成部分，对所有投标人有约束力。</w:t>
      </w:r>
    </w:p>
    <w:p w14:paraId="19B82BF3">
      <w:pPr>
        <w:pStyle w:val="12"/>
        <w:spacing w:line="360" w:lineRule="auto"/>
        <w:ind w:left="0" w:firstLine="0"/>
        <w:rPr>
          <w:rFonts w:ascii="宋体" w:hAnsi="宋体" w:cs="宋体"/>
          <w:color w:val="auto"/>
          <w:sz w:val="24"/>
          <w:szCs w:val="24"/>
          <w:highlight w:val="none"/>
        </w:rPr>
      </w:pPr>
      <w:r>
        <w:rPr>
          <w:rFonts w:hint="eastAsia" w:ascii="宋体" w:hAnsi="宋体" w:cs="宋体"/>
          <w:color w:val="auto"/>
          <w:sz w:val="24"/>
          <w:szCs w:val="24"/>
          <w:highlight w:val="none"/>
        </w:rPr>
        <w:t>8.4招标文件的澄清、修改、补充等内容均以苏州市政府采购网上发布的内容为准。</w:t>
      </w:r>
    </w:p>
    <w:p w14:paraId="6680D57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9.勘察现场</w:t>
      </w:r>
      <w:r>
        <w:rPr>
          <w:rFonts w:hint="eastAsia" w:ascii="宋体" w:hAnsi="宋体" w:cs="宋体"/>
          <w:bCs/>
          <w:color w:val="auto"/>
          <w:sz w:val="24"/>
          <w:highlight w:val="none"/>
        </w:rPr>
        <w:t>（不涉及此条的忽略）</w:t>
      </w:r>
      <w:r>
        <w:rPr>
          <w:rFonts w:hint="eastAsia" w:ascii="宋体" w:hAnsi="宋体" w:cs="宋体"/>
          <w:color w:val="auto"/>
          <w:sz w:val="24"/>
          <w:szCs w:val="24"/>
          <w:highlight w:val="none"/>
        </w:rPr>
        <w:t>：</w:t>
      </w:r>
    </w:p>
    <w:p w14:paraId="5DE45BE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9.1根据自身投标需要，投标人可对有关现场和周围环境进行勘察，以获取编制投标文件和签署合同所需的信息。勘察现场所发生的费用由投标人自己承担。</w:t>
      </w:r>
    </w:p>
    <w:p w14:paraId="5013664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9.2采购人或采购代理机构向投标人提供的有关现场的资料和数据，是采购人或采购代理机构现有的并认为能使投标人可利用的资料。采购人或采购代理机构对投标人由此而做出的推论、理解和结论概不负责。</w:t>
      </w:r>
    </w:p>
    <w:p w14:paraId="59421FC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9.3经采购人允许，投标人可为勘察目的进入采购人的项目现场，但投标人不得因此使采购人承担有关的责任和蒙受损失。投标人应承担勘察现场的责任和风险。</w:t>
      </w:r>
    </w:p>
    <w:p w14:paraId="3CC1FD0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9.4投标人应在现场勘察时，熟悉现场及周围交通道路等情况，以获得一切可能影响其投标的直接资料。投标人中标后，不得以不完全了解现场情况为理由而向采购人或采购代理机构提出任何索赔的要求，对此采购人或采购代理机构不承担任何责任并将不作任何答复与考虑。</w:t>
      </w:r>
    </w:p>
    <w:p w14:paraId="4C51064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10.投标质疑</w:t>
      </w:r>
    </w:p>
    <w:p w14:paraId="3B774EE9">
      <w:pPr>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10.1供应商认为招标文件、采购过程、中标结果使自己的权益受到损害的，可以在知道或者应知其权益受到损害之日起7个工作日内，以书面形式向采购人、采购代理机构提出质</w:t>
      </w:r>
      <w:r>
        <w:rPr>
          <w:rFonts w:hint="eastAsia" w:ascii="宋体" w:hAnsi="宋体" w:cs="宋体"/>
          <w:bCs/>
          <w:color w:val="auto"/>
          <w:sz w:val="24"/>
          <w:szCs w:val="24"/>
          <w:highlight w:val="none"/>
        </w:rPr>
        <w:t>疑。招标代理机构应当在收到投标人书面质疑后七个工作日内作出答复。</w:t>
      </w:r>
    </w:p>
    <w:p w14:paraId="3118CD75">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10.2根据《政府采购质疑和投诉办法》财政部第94号令第十一条规定，提出质疑的供应商应当是参与所质疑项目采购活动的供应商。因此凡是对采购文件提出质疑的供应商，必须依法获取采购文件，并请将符合资格条件的证明材料及网上报名的报名页面材料（需明确获取文件具体时间）与质疑函一起递交，否则不予受理。</w:t>
      </w:r>
    </w:p>
    <w:p w14:paraId="4F4EBF78">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10.3本次招标文件要求供应商在法定质疑期内一次性提出针对同一采购程序环节的质疑。</w:t>
      </w:r>
    </w:p>
    <w:p w14:paraId="2A56DBBB">
      <w:pPr>
        <w:spacing w:line="360" w:lineRule="auto"/>
        <w:rPr>
          <w:rFonts w:ascii="宋体" w:hAnsi="宋体" w:cs="宋体"/>
          <w:color w:val="auto"/>
          <w:sz w:val="24"/>
          <w:szCs w:val="24"/>
          <w:highlight w:val="none"/>
        </w:rPr>
      </w:pPr>
      <w:r>
        <w:rPr>
          <w:rFonts w:hint="eastAsia" w:ascii="宋体" w:hAnsi="宋体" w:cs="宋体"/>
          <w:bCs/>
          <w:color w:val="auto"/>
          <w:sz w:val="24"/>
          <w:szCs w:val="24"/>
          <w:highlight w:val="none"/>
        </w:rPr>
        <w:t>10.4</w:t>
      </w:r>
      <w:r>
        <w:rPr>
          <w:rFonts w:hint="eastAsia" w:ascii="宋体" w:hAnsi="宋体" w:cs="宋体"/>
          <w:color w:val="auto"/>
          <w:sz w:val="24"/>
          <w:szCs w:val="24"/>
          <w:highlight w:val="none"/>
        </w:rPr>
        <w:t>供应商提出质疑应当提交质疑函和必要的证明材料。质疑函应当包括下列内容：</w:t>
      </w:r>
    </w:p>
    <w:p w14:paraId="5816A8E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10.4.1供应商的姓名或者名称（提供营业执照副本复印件，以营业执照副本复印件为准）、地址、邮编、联系人及联系电话；</w:t>
      </w:r>
    </w:p>
    <w:p w14:paraId="230A591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10.4.2质疑项目的名称、编号；</w:t>
      </w:r>
    </w:p>
    <w:p w14:paraId="4D49A14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10.4.3具体、明确的质疑事项和与质疑事项相关的请求；</w:t>
      </w:r>
    </w:p>
    <w:p w14:paraId="75629E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10.4.4事实依据；</w:t>
      </w:r>
    </w:p>
    <w:p w14:paraId="095A471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10.4.5必要的法律依据；</w:t>
      </w:r>
    </w:p>
    <w:p w14:paraId="3F42A56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10.4.6提出质疑的日期。</w:t>
      </w:r>
    </w:p>
    <w:p w14:paraId="29E7BFD3">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为自然人的，应当由本人签字；供应商为法人或者其他组织的，应当由法定代表人、主要负责人，或者其授权代表签字或者盖章，并加盖公章。供应商委托代理人进行质疑的，其授权委托书上应当载明代理人的姓名或者名称、代理事项、具体权限、期限和相关事项。</w:t>
      </w:r>
    </w:p>
    <w:p w14:paraId="04D35445">
      <w:pPr>
        <w:pStyle w:val="237"/>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供应商提交的质疑函必须按照《政府采购供应商质疑函范本》要求的格式和内容进行填写，质疑函范本下载网址详见链接：https：//czju.suzhou.gov.cn/zfcg/html/content/20180305093615738.shtml。</w:t>
      </w:r>
    </w:p>
    <w:p w14:paraId="7B321D9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10.5接收质疑函的方式：书面形式（当场送达或邮寄方式）</w:t>
      </w:r>
    </w:p>
    <w:p w14:paraId="1B62EF1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10.5.1质疑联系人：褚磊；</w:t>
      </w:r>
    </w:p>
    <w:p w14:paraId="391DF063">
      <w:pPr>
        <w:pStyle w:val="240"/>
        <w:spacing w:after="0" w:line="360" w:lineRule="auto"/>
        <w:ind w:left="0"/>
        <w:rPr>
          <w:color w:val="auto"/>
          <w:highlight w:val="none"/>
        </w:rPr>
      </w:pPr>
      <w:r>
        <w:rPr>
          <w:rFonts w:hint="eastAsia" w:ascii="宋体" w:hAnsi="宋体" w:cs="宋体"/>
          <w:color w:val="auto"/>
          <w:sz w:val="24"/>
          <w:szCs w:val="24"/>
          <w:highlight w:val="none"/>
        </w:rPr>
        <w:t>10.5.2质疑联系电话：0512-65201419</w:t>
      </w:r>
    </w:p>
    <w:p w14:paraId="56E798D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10.5.3现场递交/邮寄收取地址：苏州市虎丘区滨河路1388号3B 501室。</w:t>
      </w:r>
    </w:p>
    <w:p w14:paraId="724465D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四、投标文件说明</w:t>
      </w:r>
    </w:p>
    <w:p w14:paraId="57850E1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11.提示与要求</w:t>
      </w:r>
    </w:p>
    <w:p w14:paraId="276F708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11.1投标人应仔细阅读招标文件的所有内容，应当按照招标文件的要求编制投标文件，并保证所提供的全部资料的真实性，以使其投标对招标文件作出实质性响应，否则，其投标可能被拒绝。</w:t>
      </w:r>
    </w:p>
    <w:p w14:paraId="24DB91C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11.2无论是否提交并递交投标文件，投标人都应将招标文件及以后的所有通知、文件等视为保密文件。</w:t>
      </w:r>
    </w:p>
    <w:p w14:paraId="72A76B4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12.投标文件计量单位和使用文字</w:t>
      </w:r>
    </w:p>
    <w:p w14:paraId="2F58BC4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12.1投标文件中所使用的计量单位，除招标文件中有特殊要求外，应采用中华人民共和国法定计量单位。</w:t>
      </w:r>
    </w:p>
    <w:p w14:paraId="7610EBD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12.2投标文件应使用中文编制，投标文件中必须使用其他文字的，必须附有中文译本。对于未附有中文译本和中文译本不准确的投标文件，由此引起的对投标人不利后果的，招标人概不负责。</w:t>
      </w:r>
    </w:p>
    <w:p w14:paraId="3EF4AC6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13.投标文件的组成（部分格式见第三章）</w:t>
      </w:r>
    </w:p>
    <w:p w14:paraId="11F5764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13.1封面；</w:t>
      </w:r>
    </w:p>
    <w:p w14:paraId="2328B64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13.2开标一览表；</w:t>
      </w:r>
    </w:p>
    <w:p w14:paraId="5D77CF1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13.3公开分项报价。</w:t>
      </w:r>
    </w:p>
    <w:p w14:paraId="03AF724D">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13.4资格审查文件</w:t>
      </w:r>
    </w:p>
    <w:p w14:paraId="7878F99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13.4.1关于资格文件的声明函（格式见第三章）；</w:t>
      </w:r>
    </w:p>
    <w:p w14:paraId="3AB648C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13.4.2投标人法定代表人身份证复印件；</w:t>
      </w:r>
    </w:p>
    <w:p w14:paraId="17C89D31">
      <w:pPr>
        <w:tabs>
          <w:tab w:val="left" w:pos="851"/>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13.4.3法定代表人授权委托书（如有授权，格式见第三章）；</w:t>
      </w:r>
    </w:p>
    <w:p w14:paraId="32CE1961">
      <w:pPr>
        <w:tabs>
          <w:tab w:val="left" w:pos="851"/>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13.4.4投标人授权代理人身份证复印件（如有授权）；</w:t>
      </w:r>
    </w:p>
    <w:p w14:paraId="5DF62659">
      <w:pPr>
        <w:tabs>
          <w:tab w:val="left" w:pos="851"/>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13.4.5合格投标人资格证明材料：</w:t>
      </w:r>
    </w:p>
    <w:p w14:paraId="034A9D4A">
      <w:pPr>
        <w:tabs>
          <w:tab w:val="left" w:pos="851"/>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13.4.5.1具有独立承担民事责任的能力证明（包括法人或者其他组织的营业执照等证明文件，自然人的身份证明）；</w:t>
      </w:r>
    </w:p>
    <w:p w14:paraId="2BA65FD3">
      <w:pPr>
        <w:tabs>
          <w:tab w:val="left" w:pos="851"/>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13.4.5.2具有良好的商业信誉和健全的财务会计制度证明（法人应提供最近一期经会计师事务所审计的财务报告，其他组织、自然人及成立未满一年的法人应提供银行出具的资信证明）；</w:t>
      </w:r>
    </w:p>
    <w:p w14:paraId="0773EA44">
      <w:pPr>
        <w:tabs>
          <w:tab w:val="left" w:pos="851"/>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13.4.5.3依法缴纳税收和社会保障资金的良好记录证明（提供投标文件截止时间前一年内至少一个月依法缴纳税收及缴纳社会保障资金的证明材料，如相关主管部门证明或银行代扣证明；投标人如依法享受缓缴、免缴税收、社会保障资金的应提供相关主管部门出具的证明材料）；</w:t>
      </w:r>
    </w:p>
    <w:p w14:paraId="7B7E53B3">
      <w:pPr>
        <w:tabs>
          <w:tab w:val="left" w:pos="851"/>
          <w:tab w:val="left" w:pos="9000"/>
        </w:tabs>
        <w:spacing w:line="360" w:lineRule="auto"/>
        <w:rPr>
          <w:rFonts w:ascii="宋体" w:hAnsi="宋体" w:cs="宋体"/>
          <w:color w:val="auto"/>
          <w:sz w:val="24"/>
          <w:highlight w:val="none"/>
        </w:rPr>
      </w:pPr>
      <w:r>
        <w:rPr>
          <w:rFonts w:hint="eastAsia" w:ascii="宋体" w:hAnsi="宋体" w:cs="宋体"/>
          <w:color w:val="auto"/>
          <w:sz w:val="24"/>
          <w:highlight w:val="none"/>
        </w:rPr>
        <w:t>13.4.5.4具备履行合同所必需的设备和专业技术能力的证明材料或承诺；</w:t>
      </w:r>
    </w:p>
    <w:p w14:paraId="5B75295C">
      <w:pPr>
        <w:tabs>
          <w:tab w:val="left" w:pos="851"/>
          <w:tab w:val="left" w:pos="9000"/>
        </w:tabs>
        <w:spacing w:line="360" w:lineRule="auto"/>
        <w:rPr>
          <w:rFonts w:ascii="宋体" w:hAnsi="宋体" w:cs="宋体"/>
          <w:color w:val="auto"/>
          <w:sz w:val="24"/>
          <w:highlight w:val="none"/>
        </w:rPr>
      </w:pPr>
      <w:r>
        <w:rPr>
          <w:rFonts w:hint="eastAsia" w:ascii="宋体" w:hAnsi="宋体" w:cs="宋体"/>
          <w:color w:val="auto"/>
          <w:sz w:val="24"/>
          <w:highlight w:val="none"/>
        </w:rPr>
        <w:t>13.4.5.5参加政府采购活动前三年内，在经营活动中没有重大违法记录的书面声明函；</w:t>
      </w:r>
    </w:p>
    <w:p w14:paraId="32EC5FC0">
      <w:pPr>
        <w:spacing w:line="360" w:lineRule="auto"/>
        <w:rPr>
          <w:color w:val="auto"/>
          <w:sz w:val="24"/>
          <w:szCs w:val="24"/>
          <w:highlight w:val="none"/>
        </w:rPr>
      </w:pPr>
      <w:r>
        <w:rPr>
          <w:rFonts w:hint="eastAsia" w:ascii="宋体" w:hAnsi="宋体" w:cs="宋体"/>
          <w:color w:val="auto"/>
          <w:sz w:val="24"/>
          <w:szCs w:val="24"/>
          <w:highlight w:val="none"/>
        </w:rPr>
        <w:t>13.4.5.6</w:t>
      </w:r>
      <w:r>
        <w:rPr>
          <w:rFonts w:hint="eastAsia" w:ascii="宋体" w:hAnsi="宋体" w:cs="宋体"/>
          <w:b w:val="0"/>
          <w:bCs w:val="0"/>
          <w:color w:val="auto"/>
          <w:sz w:val="24"/>
          <w:szCs w:val="24"/>
          <w:highlight w:val="none"/>
        </w:rPr>
        <w:t>投标单位若为医疗器械生产企业的，须提供有效的第二类《医疗器械生产许可证》；投标单位若为医疗器械经营企业的，须提供有效的《医疗器械经营许可证》，同时提供相关产品生产企业的第二类《医疗器械生产许可证》</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相关产品包括：健康一体机</w:t>
      </w:r>
      <w:r>
        <w:rPr>
          <w:rFonts w:hint="eastAsia" w:ascii="宋体" w:hAnsi="宋体" w:cs="宋体"/>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心电图机</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红外治疗仪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磁振热治疗仪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深层肌肉刺激仪</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急救箱</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宋体" w:hAnsi="宋体" w:cs="宋体"/>
          <w:b w:val="0"/>
          <w:bCs w:val="0"/>
          <w:color w:val="auto"/>
          <w:sz w:val="24"/>
          <w:szCs w:val="32"/>
          <w:highlight w:val="none"/>
          <w:lang w:val="en-US" w:eastAsia="zh-CN"/>
        </w:rPr>
        <w:t>清单中的血糖、尿酸、总胆固醇监测系统，干式分化分析仪，血氧仪）】</w:t>
      </w:r>
      <w:r>
        <w:rPr>
          <w:rFonts w:hint="eastAsia" w:ascii="宋体" w:hAnsi="宋体" w:cs="宋体"/>
          <w:color w:val="auto"/>
          <w:sz w:val="24"/>
          <w:szCs w:val="24"/>
          <w:highlight w:val="none"/>
        </w:rPr>
        <w:t>；</w:t>
      </w:r>
    </w:p>
    <w:p w14:paraId="45F5DFD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13.4.5.7未被“信用中国”网站（www.creditchina.gov.cn）列入失信被执行人、重大税收违法案件当事人名单、政府采购严重失信行为记录名单；</w:t>
      </w:r>
    </w:p>
    <w:p w14:paraId="3ABBAEB8">
      <w:pPr>
        <w:pStyle w:val="240"/>
        <w:spacing w:after="0" w:line="360" w:lineRule="auto"/>
        <w:ind w:left="0"/>
        <w:rPr>
          <w:color w:val="auto"/>
          <w:highlight w:val="none"/>
        </w:rPr>
      </w:pPr>
      <w:r>
        <w:rPr>
          <w:rFonts w:hint="eastAsia" w:ascii="宋体" w:hAnsi="宋体" w:cs="宋体"/>
          <w:color w:val="auto"/>
          <w:sz w:val="24"/>
          <w:highlight w:val="none"/>
        </w:rPr>
        <w:t>13.4.5.8其他有关资格证明文件。</w:t>
      </w:r>
    </w:p>
    <w:p w14:paraId="592A3246">
      <w:pPr>
        <w:pStyle w:val="240"/>
        <w:spacing w:after="0" w:line="360" w:lineRule="auto"/>
        <w:ind w:left="0"/>
        <w:rPr>
          <w:rFonts w:ascii="宋体" w:hAnsi="宋体" w:cs="宋体"/>
          <w:b/>
          <w:bCs/>
          <w:color w:val="auto"/>
          <w:sz w:val="24"/>
          <w:highlight w:val="none"/>
        </w:rPr>
      </w:pPr>
      <w:r>
        <w:rPr>
          <w:rFonts w:hint="eastAsia" w:ascii="宋体" w:hAnsi="宋体" w:cs="宋体"/>
          <w:b/>
          <w:bCs/>
          <w:color w:val="auto"/>
          <w:sz w:val="24"/>
          <w:highlight w:val="none"/>
        </w:rPr>
        <w:t>13.5符合性审查文件</w:t>
      </w:r>
    </w:p>
    <w:p w14:paraId="2EB2A186">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13.5.1投标函（格式见第三章）；</w:t>
      </w:r>
    </w:p>
    <w:p w14:paraId="1FBA0839">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13.5.2投标货物和服务数量、品牌规格、性能说明表（不得出现价格，格式见第三章）；</w:t>
      </w:r>
    </w:p>
    <w:p w14:paraId="45B018C7">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13.5.3技术参数响应及偏离表（格式见第三章）；</w:t>
      </w:r>
    </w:p>
    <w:p w14:paraId="2C4D54F7">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13.5.4商务条款响应及偏离表（格式见第三章）；</w:t>
      </w:r>
    </w:p>
    <w:p w14:paraId="1C892A72">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13.5.5采购需求中对应要求提供的承诺书、证明材料等；</w:t>
      </w:r>
    </w:p>
    <w:p w14:paraId="1BF28010">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13.5.6对属于《节能产品政府采购品目清单》政府强制采购产品的，需提供该产品有效期内的认证等相关证明材料（如有）；</w:t>
      </w:r>
    </w:p>
    <w:p w14:paraId="68B84ECC">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13.5.7其他有关符合性证明的文件。</w:t>
      </w:r>
    </w:p>
    <w:p w14:paraId="4DD819C2">
      <w:pPr>
        <w:pStyle w:val="240"/>
        <w:spacing w:after="0" w:line="360" w:lineRule="auto"/>
        <w:ind w:left="0"/>
        <w:rPr>
          <w:rFonts w:ascii="宋体" w:hAnsi="宋体" w:cs="宋体"/>
          <w:b/>
          <w:bCs/>
          <w:color w:val="auto"/>
          <w:sz w:val="24"/>
          <w:szCs w:val="24"/>
          <w:highlight w:val="none"/>
        </w:rPr>
      </w:pPr>
      <w:r>
        <w:rPr>
          <w:rFonts w:hint="eastAsia" w:ascii="宋体" w:hAnsi="宋体" w:cs="宋体"/>
          <w:b/>
          <w:bCs/>
          <w:color w:val="auto"/>
          <w:sz w:val="24"/>
          <w:szCs w:val="24"/>
          <w:highlight w:val="none"/>
        </w:rPr>
        <w:t>13.6综合评审文件</w:t>
      </w:r>
    </w:p>
    <w:p w14:paraId="23B759B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13.6.1技术方案；</w:t>
      </w:r>
    </w:p>
    <w:p w14:paraId="06960AD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13.6.2</w:t>
      </w:r>
      <w:r>
        <w:rPr>
          <w:rFonts w:hint="eastAsia" w:ascii="宋体" w:hAnsi="宋体"/>
          <w:bCs/>
          <w:color w:val="auto"/>
          <w:sz w:val="24"/>
          <w:highlight w:val="none"/>
        </w:rPr>
        <w:t>投标单位综合履约能力</w:t>
      </w:r>
      <w:r>
        <w:rPr>
          <w:rFonts w:hint="eastAsia" w:ascii="宋体" w:hAnsi="宋体" w:cs="宋体"/>
          <w:color w:val="auto"/>
          <w:sz w:val="24"/>
          <w:szCs w:val="24"/>
          <w:highlight w:val="none"/>
        </w:rPr>
        <w:t>；</w:t>
      </w:r>
    </w:p>
    <w:p w14:paraId="1F1EE816">
      <w:pPr>
        <w:pStyle w:val="38"/>
        <w:spacing w:line="360" w:lineRule="auto"/>
        <w:ind w:firstLine="0"/>
        <w:rPr>
          <w:color w:val="auto"/>
          <w:highlight w:val="none"/>
        </w:rPr>
      </w:pPr>
      <w:r>
        <w:rPr>
          <w:rFonts w:hint="eastAsia" w:cs="宋体"/>
          <w:color w:val="auto"/>
          <w:sz w:val="24"/>
          <w:szCs w:val="24"/>
          <w:highlight w:val="none"/>
        </w:rPr>
        <w:t>13.6.3</w:t>
      </w:r>
      <w:r>
        <w:rPr>
          <w:rFonts w:hint="eastAsia" w:cs="宋体"/>
          <w:color w:val="auto"/>
          <w:sz w:val="24"/>
          <w:highlight w:val="none"/>
        </w:rPr>
        <w:t>所投项目、招标文件及评审条款中要求的相关证书及证明材料等。</w:t>
      </w:r>
    </w:p>
    <w:p w14:paraId="1A1852F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13.7企业报价折扣证明：</w:t>
      </w:r>
    </w:p>
    <w:p w14:paraId="517A98FB">
      <w:pPr>
        <w:spacing w:line="360" w:lineRule="auto"/>
        <w:rPr>
          <w:rFonts w:ascii="宋体" w:hAnsi="宋体" w:cs="宋体"/>
          <w:color w:val="auto"/>
          <w:sz w:val="24"/>
          <w:highlight w:val="none"/>
        </w:rPr>
      </w:pPr>
      <w:r>
        <w:rPr>
          <w:rFonts w:hint="eastAsia" w:ascii="宋体" w:hAnsi="宋体" w:cs="宋体"/>
          <w:color w:val="auto"/>
          <w:sz w:val="24"/>
          <w:highlight w:val="none"/>
        </w:rPr>
        <w:t>13.7.1《中小企业声明函》或《残疾人福利性单位声明函》或省级以上监狱管理局、戒毒管理局（含新疆生产建设兵团）出具的属于监狱企业的证明文件（如有）。</w:t>
      </w:r>
    </w:p>
    <w:p w14:paraId="12091A05">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13.8其他可以证明投标人资质、服务质量的证书、文件等相关资料。</w:t>
      </w:r>
    </w:p>
    <w:p w14:paraId="66B9D55F">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注：（1）以上资格审查要求提供的材料，是作为对供应商资格审查、质疑身份认定的依据，投标人必须提供并加盖电子公章。否则，投标文件将被认定为不符合资格审查要求。</w:t>
      </w:r>
    </w:p>
    <w:p w14:paraId="3FB03131">
      <w:pPr>
        <w:pStyle w:val="24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（2）以上符合性审查须提供的资料，投标人必须提供并加盖电子公章。否则，投标文件将被认定为未实质性响应。</w:t>
      </w:r>
    </w:p>
    <w:p w14:paraId="480A184F">
      <w:pPr>
        <w:pStyle w:val="24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（3）以上13.4-13.8中不得出现投标总报价。投标人所提交的资料的完整与否，将直接影响投标人的评分。</w:t>
      </w:r>
    </w:p>
    <w:p w14:paraId="2C34F57F">
      <w:pPr>
        <w:pStyle w:val="24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（4）制作电子投标文件时必须与投标文件制作软件目录一一对应，将相关资料上传至相应模块。</w:t>
      </w:r>
    </w:p>
    <w:p w14:paraId="7CD3620B">
      <w:pPr>
        <w:pStyle w:val="240"/>
        <w:spacing w:after="0" w:line="360" w:lineRule="auto"/>
        <w:ind w:left="0" w:firstLine="480"/>
        <w:rPr>
          <w:rFonts w:ascii="宋体" w:hAnsi="宋体" w:cs="宋体"/>
          <w:color w:val="auto"/>
          <w:sz w:val="24"/>
          <w:highlight w:val="none"/>
        </w:rPr>
      </w:pPr>
      <w:r>
        <w:rPr>
          <w:rFonts w:hint="eastAsia" w:ascii="宋体" w:hAnsi="宋体" w:cs="宋体"/>
          <w:color w:val="auto"/>
          <w:sz w:val="24"/>
          <w:highlight w:val="none"/>
        </w:rPr>
        <w:t>（5）开评标过程中如有问题采购代理机构工作人员会及时通过《投标供应商确认函》留存的手机号与供应商联系。请供应商确保该手机号通讯畅通，否则导致的不利后果由供应商自行承担。</w:t>
      </w:r>
    </w:p>
    <w:p w14:paraId="1A942BEC">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14.投标文件编制要求</w:t>
      </w:r>
    </w:p>
    <w:p w14:paraId="2ADD9BCB">
      <w:pPr>
        <w:spacing w:line="360" w:lineRule="auto"/>
        <w:rPr>
          <w:rFonts w:ascii="宋体" w:hAnsi="宋体"/>
          <w:color w:val="auto"/>
          <w:sz w:val="24"/>
          <w:highlight w:val="none"/>
        </w:rPr>
      </w:pPr>
      <w:r>
        <w:rPr>
          <w:rFonts w:hint="eastAsia" w:ascii="宋体" w:hAnsi="宋体"/>
          <w:color w:val="auto"/>
          <w:sz w:val="24"/>
          <w:highlight w:val="none"/>
        </w:rPr>
        <w:t>14.1投标文件按统一格式、顺序编写。</w:t>
      </w:r>
    </w:p>
    <w:p w14:paraId="18A149A7">
      <w:pPr>
        <w:spacing w:line="360" w:lineRule="auto"/>
        <w:rPr>
          <w:rFonts w:ascii="宋体" w:hAnsi="宋体" w:cs="宋体"/>
          <w:color w:val="auto"/>
          <w:sz w:val="24"/>
          <w:highlight w:val="none"/>
        </w:rPr>
      </w:pPr>
      <w:r>
        <w:rPr>
          <w:rFonts w:hint="eastAsia" w:ascii="宋体" w:hAnsi="宋体"/>
          <w:color w:val="auto"/>
          <w:sz w:val="24"/>
          <w:highlight w:val="none"/>
        </w:rPr>
        <w:t>14.2《开标一览表》为在开标仪式上唱标的内容，要求按格式填写，统一规范，不</w:t>
      </w:r>
      <w:r>
        <w:rPr>
          <w:rFonts w:hint="eastAsia" w:ascii="宋体" w:hAnsi="宋体" w:cs="宋体"/>
          <w:color w:val="auto"/>
          <w:sz w:val="24"/>
          <w:highlight w:val="none"/>
        </w:rPr>
        <w:t>得自行增减内容。</w:t>
      </w:r>
    </w:p>
    <w:p w14:paraId="37E4AB25">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15.投标报价（编制）要求的说明</w:t>
      </w:r>
    </w:p>
    <w:p w14:paraId="0362ECB2">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15.1除非合同中另有规定，投标人对《开标一览表》中的报价</w:t>
      </w:r>
      <w:r>
        <w:rPr>
          <w:rFonts w:hint="eastAsia" w:ascii="宋体" w:hAnsi="宋体" w:cs="宋体"/>
          <w:color w:val="auto"/>
          <w:sz w:val="24"/>
          <w:szCs w:val="24"/>
          <w:highlight w:val="none"/>
        </w:rPr>
        <w:t>包括响应产品、安装辅材及其备品备件和专用工具费用、包装、运至最终目的地的运输、保险、现场安装调试、检测验收、技术支持与培训、质保和售后服务及相关劳务支出等履行本合同所发生的全部费用以及中标单位的企业利润、税金和政策性文件规定及合同包含的所有风险、责任等各项应有费用</w:t>
      </w:r>
      <w:r>
        <w:rPr>
          <w:rFonts w:hint="eastAsia" w:ascii="宋体" w:hAnsi="宋体" w:cs="宋体"/>
          <w:color w:val="auto"/>
          <w:sz w:val="24"/>
          <w:highlight w:val="none"/>
        </w:rPr>
        <w:t>。</w:t>
      </w:r>
    </w:p>
    <w:p w14:paraId="07849E4C">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15.2投标人应按投标报价表中的全部服务内容填写，并由其法定代表人或授权代理人签署。</w:t>
      </w:r>
    </w:p>
    <w:p w14:paraId="0AFA04FB">
      <w:pPr>
        <w:pStyle w:val="240"/>
        <w:tabs>
          <w:tab w:val="left" w:pos="2940"/>
        </w:tabs>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15.3投标人应对招标文件内所要采购的全部内容进行报价，只投其中部分内容者，其标书将被拒绝；</w:t>
      </w:r>
      <w:r>
        <w:rPr>
          <w:rFonts w:hint="eastAsia" w:ascii="宋体" w:hAnsi="宋体" w:cs="宋体"/>
          <w:color w:val="auto"/>
          <w:sz w:val="24"/>
          <w:szCs w:val="24"/>
          <w:highlight w:val="none"/>
        </w:rPr>
        <w:t>但如果招标文件要求分标段投标的，则投标人可以按招标文件要求有选择地只投其中一个或几个标段，也可以投全部标段，但各标段应分别计算填写单价和总价。</w:t>
      </w:r>
    </w:p>
    <w:p w14:paraId="7D4E8436">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15.4一项投标内容只允许一个报价，招标人不接受任何有选择性的投标报价。</w:t>
      </w:r>
    </w:p>
    <w:p w14:paraId="3CBE66A4">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15.5投</w:t>
      </w:r>
      <w:r>
        <w:rPr>
          <w:rFonts w:hint="eastAsia" w:ascii="宋体" w:hAnsi="宋体" w:cs="宋体"/>
          <w:color w:val="auto"/>
          <w:sz w:val="24"/>
          <w:szCs w:val="24"/>
          <w:highlight w:val="none"/>
        </w:rPr>
        <w:t>标文件报价中的单价和总价全部采用人民币表示，除非合同的特殊条款另有规定</w:t>
      </w:r>
      <w:r>
        <w:rPr>
          <w:rFonts w:hint="eastAsia" w:ascii="宋体" w:hAnsi="宋体" w:cs="宋体"/>
          <w:color w:val="auto"/>
          <w:sz w:val="24"/>
          <w:highlight w:val="none"/>
        </w:rPr>
        <w:t>。</w:t>
      </w:r>
    </w:p>
    <w:p w14:paraId="3FAABE0A">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szCs w:val="24"/>
          <w:highlight w:val="none"/>
        </w:rPr>
        <w:t>最低的投标报价或最高的折扣比例是中标的重要条件，但不是中标的唯一条件</w:t>
      </w:r>
      <w:r>
        <w:rPr>
          <w:rFonts w:hint="eastAsia" w:ascii="宋体" w:hAnsi="宋体" w:cs="宋体"/>
          <w:color w:val="auto"/>
          <w:sz w:val="24"/>
          <w:highlight w:val="none"/>
        </w:rPr>
        <w:t>。</w:t>
      </w:r>
    </w:p>
    <w:p w14:paraId="5306DA7B">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16.投标保证金：本项目不收取投标保证金。</w:t>
      </w:r>
    </w:p>
    <w:p w14:paraId="688C9B02">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17.投标文件的有效期</w:t>
      </w:r>
    </w:p>
    <w:p w14:paraId="41E7881A">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17.1自提交投标文件截止之日起90天内，投标文件中承诺的投标有效期应当不少于招标文件中载明的投标有效期。</w:t>
      </w:r>
    </w:p>
    <w:p w14:paraId="7548C8B5">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17.2在特殊情况下，采购人、采购代理机构可与投标人协商延长投标书的有效期。这种要求和答复都应以书面形式进行。同意延长有效期的投标人不能修改投标文件</w:t>
      </w:r>
      <w:r>
        <w:rPr>
          <w:rFonts w:hint="eastAsia" w:ascii="宋体" w:hAnsi="宋体" w:cs="宋体"/>
          <w:color w:val="auto"/>
          <w:sz w:val="24"/>
          <w:szCs w:val="24"/>
          <w:highlight w:val="none"/>
        </w:rPr>
        <w:t>，拒绝接受延期要求的投标人的投标将被拒绝</w:t>
      </w:r>
      <w:r>
        <w:rPr>
          <w:rFonts w:hint="eastAsia" w:ascii="宋体" w:hAnsi="宋体" w:cs="宋体"/>
          <w:color w:val="auto"/>
          <w:sz w:val="24"/>
          <w:highlight w:val="none"/>
        </w:rPr>
        <w:t>。</w:t>
      </w:r>
    </w:p>
    <w:p w14:paraId="7C4AA903">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18.投标文件的制作、签署、上传</w:t>
      </w:r>
    </w:p>
    <w:p w14:paraId="71362207">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18.1本项目采用电子招投标形式，请供应商按照《苏采云系统供应商操作手册》进行制作、上传电子投标文件。</w:t>
      </w:r>
    </w:p>
    <w:p w14:paraId="530CE97C">
      <w:pPr>
        <w:pStyle w:val="240"/>
        <w:spacing w:after="0" w:line="360" w:lineRule="auto"/>
        <w:ind w:left="0"/>
        <w:rPr>
          <w:rFonts w:ascii="宋体" w:hAnsi="宋体" w:cs="宋体"/>
          <w:color w:val="auto"/>
          <w:sz w:val="24"/>
          <w:highlight w:val="none"/>
        </w:rPr>
      </w:pPr>
      <w:r>
        <w:rPr>
          <w:rFonts w:hint="eastAsia" w:ascii="宋体" w:hAnsi="宋体" w:cs="宋体"/>
          <w:color w:val="auto"/>
          <w:sz w:val="24"/>
          <w:highlight w:val="none"/>
        </w:rPr>
        <w:t>18.2制作电子投标文件时，应按照招标文件要求加盖投标人电子公章。</w:t>
      </w:r>
    </w:p>
    <w:p w14:paraId="57F6BBD2">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五、投标文件的提交、补充、修改和撤回</w:t>
      </w:r>
    </w:p>
    <w:p w14:paraId="23E8847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19.投标文件的提交</w:t>
      </w:r>
    </w:p>
    <w:p w14:paraId="2711C79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19.1投标人应当在投标截止时间前制作并上传电子投标文件。</w:t>
      </w:r>
    </w:p>
    <w:p w14:paraId="02B72330">
      <w:pPr>
        <w:tabs>
          <w:tab w:val="left" w:pos="9000"/>
        </w:tabs>
        <w:spacing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19.2</w:t>
      </w:r>
      <w:r>
        <w:rPr>
          <w:rFonts w:hint="eastAsia" w:ascii="宋体" w:hAnsi="宋体" w:cs="宋体"/>
          <w:b/>
          <w:bCs/>
          <w:color w:val="auto"/>
          <w:sz w:val="24"/>
          <w:szCs w:val="24"/>
          <w:highlight w:val="none"/>
        </w:rPr>
        <w:t>投标人通过“苏采云”系统不见面开标大厅在线参与开标活动。（具体操作详见《苏采云系统供应商操作手册》，网址链接https：//czju.suzhou.gov.cn/zfcg/html/content/20231220161910031.shtml）</w:t>
      </w:r>
    </w:p>
    <w:p w14:paraId="5BD9D7C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20.投标截止时间</w:t>
      </w:r>
    </w:p>
    <w:p w14:paraId="0955C236">
      <w:pPr>
        <w:tabs>
          <w:tab w:val="left" w:pos="9000"/>
        </w:tabs>
        <w:spacing w:line="360" w:lineRule="auto"/>
        <w:rPr>
          <w:rFonts w:ascii="宋体" w:hAnsi="宋体" w:cs="宋体"/>
          <w:color w:val="auto"/>
          <w:szCs w:val="21"/>
          <w:highlight w:val="none"/>
        </w:rPr>
      </w:pPr>
      <w:r>
        <w:rPr>
          <w:rFonts w:hint="eastAsia" w:ascii="宋体" w:hAnsi="宋体" w:cs="宋体"/>
          <w:color w:val="auto"/>
          <w:sz w:val="24"/>
          <w:szCs w:val="24"/>
          <w:highlight w:val="none"/>
        </w:rPr>
        <w:t>20.1投标人电子投标文件制作完成后请于投标文件网上提交截止时间前成功上传至“苏采云”系统，否则视为放弃参加该采购项目。投标人提交投标文件的时间以系统收到上传的电子投标文件时间为准，投标人应充分考虑网络环境、网络带宽等风险因素，如因投标人自身原因造成的电子投标文件上传不成功由投标人自行承担全部责任。</w:t>
      </w:r>
    </w:p>
    <w:p w14:paraId="03685A1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20.2采购人和采购代理机构推迟投标截止时间时，将按本须知规定的更正公告的方式对外发布。在这种情况下，采购人、采购代理机构和投标人的权利和义务将受到新的截止期的约束。</w:t>
      </w:r>
    </w:p>
    <w:p w14:paraId="0F958B7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20.3在投标截止时间止成功解密的投标文件少于三份，采购代理机构有权宣布本次招标失败。</w:t>
      </w:r>
    </w:p>
    <w:p w14:paraId="306C259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21.投标文件的补充、修改和撤回</w:t>
      </w:r>
    </w:p>
    <w:p w14:paraId="6D4366B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21.1投标人在投标文件网上提交截止时间前，可以对其电子投标文件进行补充、修改，具体操作方法见《苏采云系统供应商操作手册》。在投标文件网上提交截止时间之后，投标人不得对其电子投标文件作任何修改。</w:t>
      </w:r>
    </w:p>
    <w:p w14:paraId="6647839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21.2投标人在投标文件网上提交截止时间前，可以撤回其电子投标文件，具体操作方法见《苏采云系统供应商操作手册》。投标人撤回电子投标文件，则认为其不再参与本项目投标活动。在投标截止时间至招标文件中规定的投标有效期满之间的这段时间内，投标人不得撤回其投标。</w:t>
      </w:r>
    </w:p>
    <w:p w14:paraId="79D25A4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六、开标和评标</w:t>
      </w:r>
    </w:p>
    <w:p w14:paraId="4B60294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22.开标</w:t>
      </w:r>
    </w:p>
    <w:p w14:paraId="1C08805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22.1开标由采购代理机构在线主持，邀请投标人在线参加。投标人应当按照《苏采云系统供应商操作手册》规定，</w:t>
      </w:r>
      <w:r>
        <w:rPr>
          <w:rFonts w:hint="eastAsia" w:ascii="宋体" w:hAnsi="宋体" w:cs="宋体"/>
          <w:b/>
          <w:bCs/>
          <w:color w:val="auto"/>
          <w:sz w:val="24"/>
          <w:szCs w:val="24"/>
          <w:highlight w:val="none"/>
        </w:rPr>
        <w:t>参加开标活动和在“苏采云”系统规定的时间内对投标文件进行解密。</w:t>
      </w:r>
      <w:r>
        <w:rPr>
          <w:rFonts w:hint="eastAsia" w:ascii="宋体" w:hAnsi="宋体" w:cs="宋体"/>
          <w:color w:val="auto"/>
          <w:sz w:val="24"/>
          <w:szCs w:val="24"/>
          <w:highlight w:val="none"/>
        </w:rPr>
        <w:t>评标委员会成员不得参加开标活动。</w:t>
      </w:r>
    </w:p>
    <w:p w14:paraId="08907452">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22.2开标时，由采购代理机构通过“苏采云”系统在线宣布投标人名称、投标价格和招标文件规定的需要宣布其他内容。投标人在不见面开标系统中确认投标价格，如投标人未在线参加开标或未在规定时间内确认价格的，视同认可开标结果。</w:t>
      </w:r>
    </w:p>
    <w:p w14:paraId="508536A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23.资格审查</w:t>
      </w:r>
    </w:p>
    <w:p w14:paraId="451E94A5">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23.1公开招标采购项目开标结束后，采购人或者采购代理机构应当依法对投标人的资格进行审查，未通过资格审查的视为无效投标。</w:t>
      </w:r>
    </w:p>
    <w:p w14:paraId="4B12143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23.2根据政府采购法及相关法规，以及苏州市财政局《关于印发苏州市市级政府采购信用记录查询和使用工作试行办法的通知》（苏财购〔2017〕11号）文件的规定，采购代理机构将对供应商进行信用查询：</w:t>
      </w:r>
    </w:p>
    <w:p w14:paraId="25E495CF">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23.2.1查询时间：投标文件递交截止时间。</w:t>
      </w:r>
    </w:p>
    <w:p w14:paraId="495F893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23.2.2查询渠道：采购代理机构会在接收投标文件截止时间后，登录信用中国网站（www.creditchina.gov.cn）和中国政府采购网（www.ccgp.gov.cn/）查询供应商的信用记录，并将查询结果递交评标委员会。</w:t>
      </w:r>
    </w:p>
    <w:p w14:paraId="64F5CB9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23.2.3查询证据留存方式：采购人、采购代理机构工作人员等应按照相关管理办法查询相关主体的信用记录，并保存好相关证据材料，信用查询记录及相关证据应当归入采购档案妥善保管。采购代理机构工作人员应登录来源网站页面进行复核并打印，作为证据留存。</w:t>
      </w:r>
    </w:p>
    <w:p w14:paraId="53555CE7">
      <w:pPr>
        <w:tabs>
          <w:tab w:val="left" w:pos="9000"/>
        </w:tabs>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23.3经查询，投标人被“信用中国”网站、“中国政府采购网”列入失信被执行人或重大税收违法案件当事人名单或政府采购严重失信行为记录名单，或查询“信用中国”网站、“中国政府采购网”后发现投标人存在其他不符合《中华人民共和国政府采购法》第二十二条规定条件的信用记录，其投标无效。</w:t>
      </w:r>
    </w:p>
    <w:p w14:paraId="27FCCF4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24.评标委员会</w:t>
      </w:r>
    </w:p>
    <w:p w14:paraId="662A26C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24.1评标委员会负责具体评标事务，并独立履行下列职责；</w:t>
      </w:r>
    </w:p>
    <w:p w14:paraId="3789A55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24.1.1审查、评价投标文件是否符合招标文件的商务、技术等实质性要求；</w:t>
      </w:r>
    </w:p>
    <w:p w14:paraId="2479230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24.1.2要求投标人对投标文件有关事项作出澄清或者说明；</w:t>
      </w:r>
    </w:p>
    <w:p w14:paraId="73BDCF1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24.1.3对投标文件进行比较和评价；</w:t>
      </w:r>
    </w:p>
    <w:p w14:paraId="3A9ADE2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24.1.4确定中标候选人名单，以及根据采购人委托直接确定中标人；</w:t>
      </w:r>
    </w:p>
    <w:p w14:paraId="071B978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24.1.5向采购人、采购代理机构或者有关部门报告评标中发现的违法行为。</w:t>
      </w:r>
    </w:p>
    <w:p w14:paraId="001FCC5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24.2评标委员会成员应当履行下列义务：</w:t>
      </w:r>
    </w:p>
    <w:p w14:paraId="4F23828E">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24.2.1遵纪守法，客观、公正、廉洁地履行职责；</w:t>
      </w:r>
    </w:p>
    <w:p w14:paraId="3BE5202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24.2.2按照招标文件规定的评标办法和评标标准进行评标，对评标意见承担个人责任；</w:t>
      </w:r>
    </w:p>
    <w:p w14:paraId="706C076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24.2.3对评标过程和结果，以及投标人的商业秘密保密；</w:t>
      </w:r>
    </w:p>
    <w:p w14:paraId="5DF7C7D9">
      <w:pPr>
        <w:pStyle w:val="236"/>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24.2.4根据全体评标成员签字的原始评标记录和评标结果编写评标报告；</w:t>
      </w:r>
    </w:p>
    <w:p w14:paraId="71692DCD">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24.2.5配合相关部门的投诉处理工作；</w:t>
      </w:r>
    </w:p>
    <w:p w14:paraId="25B4518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24.2.6配合采购人、采购代理机构答复投标人提出的质疑。</w:t>
      </w:r>
    </w:p>
    <w:p w14:paraId="25319A7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25.评标内容的保密</w:t>
      </w:r>
    </w:p>
    <w:p w14:paraId="71DA7E2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25.1公开开标后，直到宣布授予中标人合同为止，凡属于审查、澄清、评价和比较投标的所有资料，有关授予合同的信息都不应向投标人或与评标无关的其他人泄露。</w:t>
      </w:r>
    </w:p>
    <w:p w14:paraId="46F32EC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25.2在投标文件的审查、澄清、评价和比较以及授予合同的过程中，投标人对采购人、采购代理机构和评标委员会成员施加影响的任何行为，都将取消其中标资格。</w:t>
      </w:r>
    </w:p>
    <w:p w14:paraId="4372E4B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26.对投标文件初审</w:t>
      </w:r>
    </w:p>
    <w:p w14:paraId="1D6973BE">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26.1评标委员会应当对符合资格的投标人的投标文件进行符合性审查，以确定其是否满足招标文件的实质性要求。投标文件有下列情况之一者评标委员会有权将其拒绝：</w:t>
      </w:r>
    </w:p>
    <w:p w14:paraId="18C6AD8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26.1.1投标人的投标文件未按照本须知规定制作的；</w:t>
      </w:r>
    </w:p>
    <w:p w14:paraId="60400E7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26.1.2未按本须知规定提交资格文件；</w:t>
      </w:r>
    </w:p>
    <w:p w14:paraId="43A9C3A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26.1.3与招标文件有重大偏离；</w:t>
      </w:r>
    </w:p>
    <w:p w14:paraId="1E4F8E2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26.1.4投标人拒绝修正错误；</w:t>
      </w:r>
    </w:p>
    <w:p w14:paraId="5CFAA80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26.1.5投标人的报价是选择性的；</w:t>
      </w:r>
    </w:p>
    <w:p w14:paraId="7D61973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26.1.6投标人的报价只投了部分内容；</w:t>
      </w:r>
    </w:p>
    <w:p w14:paraId="1EBC173D">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26.1.7投标人的投标文件出现了评标委员会认为不应当雷同的情况；</w:t>
      </w:r>
    </w:p>
    <w:p w14:paraId="1E93184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26.1.8其他被评委会认定无效的情况。</w:t>
      </w:r>
    </w:p>
    <w:p w14:paraId="5B3C9E7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26.2评标委员会将允许修改投标中不构成重大偏离的微小的、非正规、不一致或不规则的地方，但这些修改不能影响任何投标人的名次相应排列。投标人不得对招标文件进行实质性修改，包括但不限于付款方式、付款条件等条款，否则投标文件将被拒绝。</w:t>
      </w:r>
    </w:p>
    <w:p w14:paraId="6BF14DC1">
      <w:pPr>
        <w:pStyle w:val="236"/>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lang w:val="en-US"/>
        </w:rPr>
        <w:t>26.3投标文件报价出现前后不一致的，除招标文件另有规定外，按照下列规定修正：</w:t>
      </w:r>
    </w:p>
    <w:p w14:paraId="45FE7C1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26.3.1投标文件中开标一览表（报价表）内容与投标文件中相应内容不一致的，以开标一览表（报价表）为准；</w:t>
      </w:r>
    </w:p>
    <w:p w14:paraId="7BD6102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26.3.2大写金额和小写金额不一致的，以大写金额为准；</w:t>
      </w:r>
    </w:p>
    <w:p w14:paraId="01D89B4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26.3.3单价金额小数点或者百分比有明显错位的，以开标一览表的总价为准，并修改单价；</w:t>
      </w:r>
    </w:p>
    <w:p w14:paraId="67D76C4E">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26.3.4总价金额与按单价汇总金额不一致的，以单价金额计算结果为准。</w:t>
      </w:r>
    </w:p>
    <w:p w14:paraId="750F1C6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26.3.5同时出现两种以上不一致的，按照前款规定的顺序修正。修正后的报价按照本须知相关规定经投标人确认后产生约束力，投标人不确认的，其投标无效。</w:t>
      </w:r>
    </w:p>
    <w:p w14:paraId="77706C9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26.4</w:t>
      </w:r>
      <w:bookmarkStart w:id="0" w:name="OLE_LINK11"/>
      <w:bookmarkStart w:id="1" w:name="OLE_LINK20"/>
      <w:bookmarkStart w:id="2" w:name="OLE_LINK25"/>
      <w:r>
        <w:rPr>
          <w:rFonts w:hint="eastAsia" w:ascii="宋体" w:hAnsi="宋体" w:cs="宋体"/>
          <w:color w:val="auto"/>
          <w:sz w:val="24"/>
          <w:szCs w:val="24"/>
          <w:highlight w:val="none"/>
        </w:rPr>
        <w:t>异常低价投标审查</w:t>
      </w:r>
    </w:p>
    <w:p w14:paraId="7EE9992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26.4.1评标过程中出现下列情形之一的，</w:t>
      </w:r>
      <w:bookmarkStart w:id="3" w:name="OLE_LINK5"/>
      <w:r>
        <w:rPr>
          <w:rFonts w:hint="eastAsia" w:ascii="宋体" w:hAnsi="宋体" w:cs="宋体"/>
          <w:color w:val="auto"/>
          <w:sz w:val="24"/>
          <w:szCs w:val="24"/>
          <w:highlight w:val="none"/>
        </w:rPr>
        <w:t>评标</w:t>
      </w:r>
      <w:bookmarkEnd w:id="3"/>
      <w:r>
        <w:rPr>
          <w:rFonts w:hint="eastAsia" w:ascii="宋体" w:hAnsi="宋体" w:cs="宋体"/>
          <w:color w:val="auto"/>
          <w:sz w:val="24"/>
          <w:szCs w:val="24"/>
          <w:highlight w:val="none"/>
        </w:rPr>
        <w:t>委员会应当启动异常低价投标审查程序：</w:t>
      </w:r>
    </w:p>
    <w:p w14:paraId="400F772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（一）投标报价低于采购项目预算50%的，即投标报价&lt;采购项目预算×50%&gt;；</w:t>
      </w:r>
    </w:p>
    <w:p w14:paraId="3F05E5E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（二）投标报价低于采购项目最高限价45%的，即投标报价&lt;采购项目最高限价×45%&gt;；</w:t>
      </w:r>
    </w:p>
    <w:p w14:paraId="4A4DDBEF">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（三）评标委员会认定的供应商报价过低、有可能影响产品质量或者不能诚信履约的其他情形。</w:t>
      </w:r>
    </w:p>
    <w:p w14:paraId="7C1FE8AC">
      <w:pPr>
        <w:tabs>
          <w:tab w:val="left" w:pos="9000"/>
        </w:tabs>
        <w:spacing w:line="360" w:lineRule="auto"/>
        <w:rPr>
          <w:rFonts w:ascii="宋体" w:hAnsi="宋体" w:cs="宋体"/>
          <w:color w:val="auto"/>
          <w:sz w:val="24"/>
          <w:szCs w:val="24"/>
          <w:highlight w:val="none"/>
        </w:rPr>
      </w:pPr>
      <w:bookmarkStart w:id="4" w:name="OLE_LINK3"/>
      <w:bookmarkStart w:id="5" w:name="OLE_LINK4"/>
      <w:r>
        <w:rPr>
          <w:rFonts w:hint="eastAsia" w:ascii="宋体" w:hAnsi="宋体" w:cs="宋体"/>
          <w:color w:val="auto"/>
          <w:sz w:val="24"/>
          <w:szCs w:val="24"/>
          <w:highlight w:val="none"/>
        </w:rPr>
        <w:t>26.4.2启动异常低价投标审查后，评标委员会应当要求相关供应商在评标现场合理的时间内，提供项目具体成本测算等与报价合理性相关的书面说明及相关证明材料</w:t>
      </w:r>
      <w:bookmarkStart w:id="6" w:name="OLE_LINK10"/>
      <w:bookmarkStart w:id="7" w:name="OLE_LINK9"/>
      <w:r>
        <w:rPr>
          <w:rFonts w:hint="eastAsia" w:ascii="宋体" w:hAnsi="宋体" w:cs="宋体"/>
          <w:color w:val="auto"/>
          <w:sz w:val="24"/>
          <w:szCs w:val="24"/>
          <w:highlight w:val="none"/>
        </w:rPr>
        <w:t>，</w:t>
      </w:r>
      <w:bookmarkEnd w:id="6"/>
      <w:bookmarkEnd w:id="7"/>
      <w:r>
        <w:rPr>
          <w:rFonts w:hint="eastAsia" w:ascii="宋体" w:hAnsi="宋体" w:cs="宋体"/>
          <w:color w:val="auto"/>
          <w:sz w:val="24"/>
          <w:szCs w:val="24"/>
          <w:highlight w:val="none"/>
        </w:rPr>
        <w:t>对投标价格作出解释，由评标委员会结合同类产品在主要电商平台的价格、该行业当地</w:t>
      </w:r>
      <w:bookmarkStart w:id="8" w:name="OLE_LINK8"/>
      <w:r>
        <w:rPr>
          <w:rFonts w:hint="eastAsia" w:ascii="宋体" w:hAnsi="宋体" w:cs="宋体"/>
          <w:color w:val="auto"/>
          <w:sz w:val="24"/>
          <w:szCs w:val="24"/>
          <w:highlight w:val="none"/>
        </w:rPr>
        <w:t>薪资</w:t>
      </w:r>
      <w:bookmarkEnd w:id="8"/>
      <w:r>
        <w:rPr>
          <w:rFonts w:hint="eastAsia" w:ascii="宋体" w:hAnsi="宋体" w:cs="宋体"/>
          <w:color w:val="auto"/>
          <w:sz w:val="24"/>
          <w:szCs w:val="24"/>
          <w:highlight w:val="none"/>
        </w:rPr>
        <w:t>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bookmarkEnd w:id="0"/>
      <w:bookmarkEnd w:id="1"/>
      <w:bookmarkEnd w:id="2"/>
      <w:bookmarkEnd w:id="4"/>
      <w:bookmarkEnd w:id="5"/>
    </w:p>
    <w:p w14:paraId="2D540C6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14:paraId="5C86041C">
      <w:pPr>
        <w:tabs>
          <w:tab w:val="left" w:pos="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26.6除上述情形外，对投标文件的判定，只依据投标文件本身，不依靠开标后的任何外来证明。</w:t>
      </w:r>
    </w:p>
    <w:p w14:paraId="6CA8F50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26.7对不同文字文本投标文件的解释发生异议的，以中文文本为准。</w:t>
      </w:r>
    </w:p>
    <w:p w14:paraId="56E792C5">
      <w:pPr>
        <w:tabs>
          <w:tab w:val="left" w:pos="9000"/>
        </w:tabs>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27.投标的澄清</w:t>
      </w:r>
    </w:p>
    <w:p w14:paraId="78C62B8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27.1对于投标文件中含义不明确、同类问题表述不一致或者有明显文字和计算错误内容，评标委员会应当以书面形式要求投标人作出必要的澄清、说明或者补正。</w:t>
      </w:r>
    </w:p>
    <w:p w14:paraId="6711E89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27.2投标人的澄清、说明或者补正应当采用书面形式，并加盖其单位电子公章。投标人的澄清、说明或者补正不得超出投标文件的范围或者改变投标文件的实质性内容。</w:t>
      </w:r>
    </w:p>
    <w:p w14:paraId="44FA1FFD">
      <w:pPr>
        <w:tabs>
          <w:tab w:val="left" w:pos="9000"/>
        </w:tabs>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27.3本项目投标人的澄清、说明或者补正采用线上澄清：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w:t>
      </w:r>
      <w:r>
        <w:rPr>
          <w:rFonts w:hint="eastAsia" w:ascii="宋体" w:hAnsi="宋体" w:cs="宋体"/>
          <w:color w:val="auto"/>
          <w:sz w:val="24"/>
          <w:szCs w:val="24"/>
          <w:highlight w:val="none"/>
        </w:rPr>
        <w:t>供应商应随时保持系统在线，如因供应商自身原因未在规定时间内提交澄清确认资料的，导致的不利后果由供应商自行承担。</w:t>
      </w:r>
    </w:p>
    <w:p w14:paraId="4D6D4F7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28.投标无效</w:t>
      </w:r>
    </w:p>
    <w:p w14:paraId="64407D7D">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28.1投标人存在下列情况之一的，投标无效：</w:t>
      </w:r>
    </w:p>
    <w:p w14:paraId="23041882">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28.1.1投标文件未按招标文件要求签署、盖章的；</w:t>
      </w:r>
    </w:p>
    <w:p w14:paraId="08F6800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28.1.2不具备招标文件中规定的资格要求的；</w:t>
      </w:r>
    </w:p>
    <w:p w14:paraId="1FD139F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28.1.3报价超过招标文件中规定的预算金额或者最高限价的；</w:t>
      </w:r>
    </w:p>
    <w:p w14:paraId="434C590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28.1.4投标文件含有采购人不能接受的附加条件的；</w:t>
      </w:r>
    </w:p>
    <w:p w14:paraId="1348599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28.1.5机器码检查中，出现不同投标人投标文件机器码一致情形的；</w:t>
      </w:r>
    </w:p>
    <w:p w14:paraId="2285106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28.1.6法律、法规和招标文件规定的其他无效情形。</w:t>
      </w:r>
    </w:p>
    <w:p w14:paraId="0386CE3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28.2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78D012F5">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28.3有下列情形之一的，视为投标人串通投标，其投标无效：</w:t>
      </w:r>
    </w:p>
    <w:p w14:paraId="0BE51FE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28.3.1不同投标人的投标文件由同一单位或者个人编制；</w:t>
      </w:r>
    </w:p>
    <w:p w14:paraId="338D4E1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28.3.2不同投标人委托同一单位或者个人办理投标事宜；</w:t>
      </w:r>
    </w:p>
    <w:p w14:paraId="61DC6525">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28.3.3不同投标人的投标文件载明的项目管理成员或者联系人员为同一人；</w:t>
      </w:r>
    </w:p>
    <w:p w14:paraId="40902BF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28.3.4不同投标人的投标文件异常一致或者投标报价呈规律性差异；</w:t>
      </w:r>
    </w:p>
    <w:p w14:paraId="7D588E4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28.3.5不同投标人的投标文件相互混装。</w:t>
      </w:r>
    </w:p>
    <w:p w14:paraId="35CCCC3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29.废标</w:t>
      </w:r>
    </w:p>
    <w:p w14:paraId="3A90BEE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29.1在招标过程中，出现下列情况之一的，应予废标：</w:t>
      </w:r>
    </w:p>
    <w:p w14:paraId="386CA44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29.1.1符合专业条件的供应商或者对招标文件作实质投标的供应商不足三家的；</w:t>
      </w:r>
    </w:p>
    <w:p w14:paraId="6D2FE2A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29.1.2出现影响采购公正的违法、违规行为的；</w:t>
      </w:r>
    </w:p>
    <w:p w14:paraId="03A9F59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29.1.3投标人的报价均超过了采购预算，采购人不能支付的；</w:t>
      </w:r>
    </w:p>
    <w:p w14:paraId="6DDE241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28.1.4因重大变故，采购任务取消的；</w:t>
      </w:r>
    </w:p>
    <w:p w14:paraId="549F1A7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29.2废标后，采购人和采购代理机构将把废标的理由通知所有投标人。</w:t>
      </w:r>
    </w:p>
    <w:p w14:paraId="59A15B3E">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30.投标文件的评价和比较</w:t>
      </w:r>
    </w:p>
    <w:p w14:paraId="716D84E8">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30.1采用综合评分法，评标结果按评审后得分由高到低顺序排列。得分相同的，按投标报价由低到高顺序排列。得分且投标报价相同的并列，则由评标委员会组织抽签确定中标人。投标文件满足招标文件全部实质性要求，且按照评审因素的量化指标评审得分最高的投标人为排名第一的中标候选人。</w:t>
      </w:r>
    </w:p>
    <w:p w14:paraId="3054F13F">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30.2最低的投标报价或最高的折扣比例是中标的重要条件，但不是唯一条件。</w:t>
      </w:r>
    </w:p>
    <w:p w14:paraId="091499A4">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七、授予合同</w:t>
      </w:r>
    </w:p>
    <w:p w14:paraId="78448CD9">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31.中标单位的确认</w:t>
      </w:r>
    </w:p>
    <w:p w14:paraId="36B6141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31.1评标委员会根据投标人资格审查情况，对投标文件进行评价和比较，按照评标办法和标准进行评标，并确定中标人。</w:t>
      </w:r>
    </w:p>
    <w:p w14:paraId="1CFCC3C1">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31.2经评标委员会评审并确定中标人后，采购代理机构将在规定的时间内将中标结果在政府采购管理部门指定媒体上予以公告，公告期为一个工作日。各投标人如对中标公告有异议，应在中标公告期届满起七个工作日内，以书面形式向采购代理机构提出质疑，该质疑须按《政府采购质疑和投诉办法</w:t>
      </w:r>
      <w:r>
        <w:rPr>
          <w:rFonts w:hint="eastAsia" w:ascii="宋体" w:hAnsi="宋体" w:cs="宋体"/>
          <w:color w:val="auto"/>
          <w:sz w:val="24"/>
          <w:szCs w:val="24"/>
          <w:highlight w:val="none"/>
          <w:lang w:eastAsia="zh-CN"/>
        </w:rPr>
        <w:t>》和</w:t>
      </w:r>
      <w:r>
        <w:rPr>
          <w:rFonts w:hint="eastAsia" w:ascii="宋体" w:hAnsi="宋体" w:cs="宋体"/>
          <w:color w:val="auto"/>
          <w:sz w:val="24"/>
          <w:szCs w:val="24"/>
          <w:highlight w:val="none"/>
        </w:rPr>
        <w:t>《江苏省政府采购供应商监督管理暂行办法》的规定提交。采购代理机构将在收到质疑后七个工作日内，对质疑内容作出答复。在此期限后向采购代理机构提出质疑或质疑未经投标人法定代表人或参加投标的代理人签署和加盖公章（原件），采购代理机构有权对该质疑不予答复。</w:t>
      </w:r>
    </w:p>
    <w:p w14:paraId="0EA0F36F">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32.合同授予：采购人、采购代理机构将把合同授予其投标文件在实质性响应招标文件要求和按本须知规定评选出的投标人。确定为中标的投标人必须具有实施本合同的能力和资源。</w:t>
      </w:r>
    </w:p>
    <w:p w14:paraId="5DCEC63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33.中标通知书/未中标通知书</w:t>
      </w:r>
    </w:p>
    <w:p w14:paraId="1D9D0B5C">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33.1确定出中标人后，在法定时间内向中标人发出中标通知书。</w:t>
      </w:r>
      <w:r>
        <w:rPr>
          <w:rFonts w:hint="eastAsia" w:ascii="宋体" w:hAnsi="宋体" w:cs="宋体"/>
          <w:b/>
          <w:bCs/>
          <w:color w:val="auto"/>
          <w:sz w:val="24"/>
          <w:szCs w:val="24"/>
          <w:highlight w:val="none"/>
        </w:rPr>
        <w:t>请中标人在中标结果公告届满之日起30日内，使用CA证书登录“苏采云”系统及时下载中标通知书。</w:t>
      </w:r>
      <w:r>
        <w:rPr>
          <w:rFonts w:hint="eastAsia" w:ascii="宋体" w:hAnsi="宋体" w:cs="宋体"/>
          <w:color w:val="auto"/>
          <w:sz w:val="24"/>
          <w:szCs w:val="24"/>
          <w:highlight w:val="none"/>
        </w:rPr>
        <w:t>因系统存储空间有限，自中标结果公告届满之日起30日后，“苏采云”系统不再保证提供下载中标通知书服务，因未及时下载而造成的不利后果由中标人自行承担。</w:t>
      </w:r>
    </w:p>
    <w:p w14:paraId="01E8F62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33.2中标通知书将成为合同的组成部分，对采购人和中标人具有同等法律效力。</w:t>
      </w:r>
    </w:p>
    <w:p w14:paraId="00B538C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33.3中标通知书发出后，采购人不得违法改变中标结果，中标人无正当理由不得放弃中标。</w:t>
      </w:r>
    </w:p>
    <w:p w14:paraId="7EC925E4">
      <w:pPr>
        <w:pStyle w:val="240"/>
        <w:ind w:left="0"/>
        <w:rPr>
          <w:color w:val="auto"/>
          <w:highlight w:val="none"/>
        </w:rPr>
      </w:pPr>
      <w:r>
        <w:rPr>
          <w:rFonts w:hint="eastAsia" w:ascii="宋体" w:hAnsi="宋体" w:cs="宋体"/>
          <w:color w:val="auto"/>
          <w:sz w:val="24"/>
          <w:szCs w:val="24"/>
          <w:highlight w:val="none"/>
        </w:rPr>
        <w:t>33.4未中标通知书将以邮件方式发送。</w:t>
      </w:r>
    </w:p>
    <w:p w14:paraId="2935FB97">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33.5采购代理机构对未中标人不承担解释未中标原因的义务。</w:t>
      </w:r>
    </w:p>
    <w:p w14:paraId="5774CA0B">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34.合同的签订</w:t>
      </w:r>
    </w:p>
    <w:p w14:paraId="295C909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34.1按照《关于印发〈苏州市政府采购促进中小企业发展实施意见〉的通知》（苏财购〔2022〕16号）文件精神，采购人与中标人原则上应当在中标通知书发出之日起十五日内，按照招标文件及投标文件确定的事项签订政府采购合同。</w:t>
      </w:r>
    </w:p>
    <w:p w14:paraId="49D3A43D">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34.2采购人和中标人所签订的合同不得对招标文件确定的事项和中标人投标文件作实质性修改。</w:t>
      </w:r>
    </w:p>
    <w:p w14:paraId="6CF197F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34.3招标文件、中标人的投标文件及招标过程中有关澄清、承诺文件均应作为合同附件，采购人不得向中标人提出任何不合理的要求作为签订合同的条件。</w:t>
      </w:r>
    </w:p>
    <w:p w14:paraId="6D3001D0">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34.4招标文件、中标人的投标文件及招标过程中有关澄清、承诺文件均应作为合同附件。</w:t>
      </w:r>
    </w:p>
    <w:p w14:paraId="16514403">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34.5政府采购合同履行中，采购人需追加与合同标的相同货物、工程或者服务的，在不改变合同其他条款的前提下，可以与中标人协商签订补充合同，但所有补充合同的采购金额不得超过原合同采购金额的10%。</w:t>
      </w:r>
    </w:p>
    <w:p w14:paraId="59AD1EFA">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34.6采购人和中标人应当根据合同的约定依法履行合同义务。</w:t>
      </w:r>
    </w:p>
    <w:p w14:paraId="0EDA5CD6">
      <w:pPr>
        <w:tabs>
          <w:tab w:val="left" w:pos="900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八、其他事项</w:t>
      </w:r>
    </w:p>
    <w:p w14:paraId="6849405A">
      <w:pPr>
        <w:spacing w:line="360" w:lineRule="auto"/>
        <w:jc w:val="left"/>
        <w:rPr>
          <w:rFonts w:ascii="宋体" w:hAnsi="宋体"/>
          <w:color w:val="auto"/>
          <w:sz w:val="24"/>
          <w:highlight w:val="none"/>
        </w:rPr>
      </w:pPr>
      <w:r>
        <w:rPr>
          <w:rFonts w:hint="eastAsia" w:ascii="宋体" w:hAnsi="宋体"/>
          <w:color w:val="auto"/>
          <w:sz w:val="24"/>
          <w:highlight w:val="none"/>
        </w:rPr>
        <w:t>35.中标人须按前附表的规定计算并支付中标服务费，该费用应在领取中标通知书时一次性付清，如果未按规定缴纳中标服务费，采购代理机构保留诉讼的权利。</w:t>
      </w:r>
    </w:p>
    <w:p w14:paraId="240E3889">
      <w:pPr>
        <w:spacing w:line="360" w:lineRule="auto"/>
        <w:jc w:val="left"/>
        <w:rPr>
          <w:rFonts w:ascii="宋体" w:hAnsi="宋体"/>
          <w:color w:val="auto"/>
          <w:sz w:val="24"/>
          <w:highlight w:val="none"/>
        </w:rPr>
      </w:pPr>
      <w:r>
        <w:rPr>
          <w:rFonts w:hint="eastAsia" w:ascii="宋体" w:hAnsi="宋体"/>
          <w:color w:val="auto"/>
          <w:sz w:val="24"/>
          <w:highlight w:val="none"/>
        </w:rPr>
        <w:t>36.有关监督部门将对招投标全过程进行监督。</w:t>
      </w:r>
    </w:p>
    <w:p w14:paraId="77488EB4">
      <w:pPr>
        <w:spacing w:line="360" w:lineRule="auto"/>
        <w:rPr>
          <w:rFonts w:ascii="宋体" w:hAnsi="宋体" w:cs="宋体"/>
          <w:color w:val="auto"/>
          <w:sz w:val="24"/>
          <w:szCs w:val="24"/>
          <w:highlight w:val="none"/>
        </w:rPr>
      </w:pPr>
      <w:r>
        <w:rPr>
          <w:rFonts w:hint="eastAsia" w:ascii="宋体" w:hAnsi="宋体"/>
          <w:color w:val="auto"/>
          <w:sz w:val="24"/>
          <w:highlight w:val="none"/>
        </w:rPr>
        <w:t>37.未尽事宜按《中华人民共和国政府采购法》及其他有关法律法规规定执行</w:t>
      </w:r>
      <w:r>
        <w:rPr>
          <w:rFonts w:hint="eastAsia" w:ascii="宋体" w:hAnsi="宋体" w:cs="宋体"/>
          <w:color w:val="auto"/>
          <w:sz w:val="24"/>
          <w:szCs w:val="24"/>
          <w:highlight w:val="none"/>
        </w:rPr>
        <w:t>。</w:t>
      </w:r>
    </w:p>
    <w:p w14:paraId="4E54E2C5">
      <w:pPr>
        <w:spacing w:line="360" w:lineRule="auto"/>
        <w:ind w:firstLine="1200"/>
        <w:outlineLvl w:val="0"/>
        <w:rPr>
          <w:rFonts w:ascii="宋体" w:hAnsi="宋体" w:cs="宋体"/>
          <w:bCs/>
          <w:color w:val="auto"/>
          <w:sz w:val="24"/>
          <w:szCs w:val="24"/>
          <w:highlight w:val="none"/>
        </w:rPr>
        <w:sectPr>
          <w:headerReference r:id="rId13" w:type="first"/>
          <w:headerReference r:id="rId11" w:type="default"/>
          <w:footerReference r:id="rId14" w:type="default"/>
          <w:headerReference r:id="rId12" w:type="even"/>
          <w:pgSz w:w="11906" w:h="16838"/>
          <w:pgMar w:top="1440" w:right="1486" w:bottom="1440" w:left="1800" w:header="850" w:footer="992" w:gutter="0"/>
          <w:cols w:space="1701" w:num="1"/>
          <w:docGrid w:linePitch="360" w:charSpace="0"/>
        </w:sectPr>
      </w:pPr>
    </w:p>
    <w:p w14:paraId="5F9583FB">
      <w:pPr>
        <w:spacing w:line="360" w:lineRule="auto"/>
        <w:ind w:firstLine="2200"/>
        <w:outlineLvl w:val="0"/>
        <w:rPr>
          <w:rFonts w:ascii="宋体" w:hAnsi="宋体" w:cs="宋体"/>
          <w:b/>
          <w:color w:val="auto"/>
          <w:sz w:val="44"/>
          <w:szCs w:val="44"/>
          <w:highlight w:val="none"/>
        </w:rPr>
      </w:pPr>
      <w:r>
        <w:rPr>
          <w:rFonts w:hint="eastAsia" w:ascii="宋体" w:hAnsi="宋体" w:cs="宋体"/>
          <w:bCs/>
          <w:color w:val="auto"/>
          <w:sz w:val="44"/>
          <w:szCs w:val="32"/>
          <w:highlight w:val="none"/>
        </w:rPr>
        <w:t>第三章 投标文件格式</w:t>
      </w:r>
    </w:p>
    <w:p w14:paraId="10CF2FB8">
      <w:pPr>
        <w:spacing w:line="440" w:lineRule="exact"/>
        <w:rPr>
          <w:rFonts w:ascii="宋体" w:hAnsi="宋体" w:cs="宋体"/>
          <w:color w:val="auto"/>
          <w:szCs w:val="21"/>
          <w:highlight w:val="none"/>
        </w:rPr>
      </w:pPr>
    </w:p>
    <w:p w14:paraId="1D2485F5">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5567E47C">
      <w:pPr>
        <w:spacing w:line="440" w:lineRule="exact"/>
        <w:ind w:firstLine="435"/>
        <w:rPr>
          <w:rFonts w:ascii="宋体" w:hAnsi="宋体" w:cs="宋体"/>
          <w:color w:val="auto"/>
          <w:sz w:val="24"/>
          <w:highlight w:val="none"/>
        </w:rPr>
      </w:pPr>
      <w:r>
        <w:rPr>
          <w:rFonts w:hint="eastAsia" w:ascii="宋体" w:hAnsi="宋体" w:cs="宋体"/>
          <w:color w:val="auto"/>
          <w:sz w:val="24"/>
          <w:highlight w:val="none"/>
        </w:rPr>
        <w:t>对本章所有的投标书格式，投标方可根据自身情况进行补充和修改，但补充和修改不得造成与本格式内容有实质性的违背。</w:t>
      </w:r>
    </w:p>
    <w:p w14:paraId="6AA17295">
      <w:pPr>
        <w:jc w:val="left"/>
        <w:rPr>
          <w:rFonts w:ascii="宋体" w:hAnsi="宋体" w:cs="宋体"/>
          <w:color w:val="auto"/>
          <w:sz w:val="24"/>
          <w:highlight w:val="none"/>
        </w:rPr>
      </w:pPr>
    </w:p>
    <w:p w14:paraId="5F08C1BE">
      <w:pPr>
        <w:jc w:val="left"/>
        <w:rPr>
          <w:rFonts w:ascii="宋体" w:hAnsi="宋体" w:cs="宋体"/>
          <w:color w:val="auto"/>
          <w:sz w:val="24"/>
          <w:highlight w:val="none"/>
        </w:rPr>
      </w:pPr>
    </w:p>
    <w:p w14:paraId="298DCFD1">
      <w:pPr>
        <w:jc w:val="left"/>
        <w:rPr>
          <w:rFonts w:ascii="宋体" w:hAnsi="宋体" w:cs="宋体"/>
          <w:color w:val="auto"/>
          <w:sz w:val="24"/>
          <w:highlight w:val="none"/>
        </w:rPr>
      </w:pPr>
    </w:p>
    <w:p w14:paraId="0C3B90A3">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1、（投标方）法定代表人授权委托书</w:t>
      </w:r>
    </w:p>
    <w:p w14:paraId="07215617">
      <w:pPr>
        <w:jc w:val="left"/>
        <w:rPr>
          <w:rFonts w:ascii="宋体" w:hAnsi="宋体" w:cs="宋体"/>
          <w:color w:val="auto"/>
          <w:sz w:val="24"/>
          <w:highlight w:val="none"/>
        </w:rPr>
      </w:pPr>
    </w:p>
    <w:p w14:paraId="54D80D6E">
      <w:pPr>
        <w:spacing w:line="400" w:lineRule="exact"/>
        <w:rPr>
          <w:rFonts w:ascii="宋体" w:hAnsi="宋体" w:cs="宋体"/>
          <w:color w:val="auto"/>
          <w:sz w:val="24"/>
          <w:highlight w:val="none"/>
        </w:rPr>
      </w:pPr>
    </w:p>
    <w:p w14:paraId="6114841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授权委托书</w:t>
      </w:r>
    </w:p>
    <w:p w14:paraId="46ACE709">
      <w:pPr>
        <w:spacing w:line="360" w:lineRule="auto"/>
        <w:ind w:firstLine="420"/>
        <w:jc w:val="left"/>
        <w:rPr>
          <w:rFonts w:ascii="宋体" w:hAnsi="宋体" w:cs="宋体"/>
          <w:color w:val="auto"/>
          <w:sz w:val="24"/>
          <w:highlight w:val="none"/>
        </w:rPr>
      </w:pPr>
    </w:p>
    <w:p w14:paraId="373BAEFA">
      <w:pPr>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（投标单位名称）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为我公司被授权人，以本公司的名义参加苏州时代招投标有限公司组织实施的编号为</w:t>
      </w:r>
      <w:r>
        <w:rPr>
          <w:rFonts w:hint="eastAsia" w:ascii="宋体" w:hAnsi="宋体" w:cs="宋体"/>
          <w:color w:val="auto"/>
          <w:sz w:val="24"/>
          <w:highlight w:val="none"/>
          <w:u w:val="single"/>
        </w:rPr>
        <w:t xml:space="preserve">  （招标编号）  </w:t>
      </w:r>
      <w:r>
        <w:rPr>
          <w:rFonts w:hint="eastAsia" w:ascii="宋体" w:hAnsi="宋体" w:cs="宋体"/>
          <w:color w:val="auto"/>
          <w:sz w:val="24"/>
          <w:highlight w:val="none"/>
        </w:rPr>
        <w:t>号的招标活动。被授权人在开标、评标、合同谈判过程中所签署的一切文件和处理与此有关的一切事务，我均予以承认。</w:t>
      </w:r>
    </w:p>
    <w:p w14:paraId="1C0EDF26">
      <w:pPr>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被授权人在授权委托书有效期内签署的所有文件不因授权委托的撤销而失效，除非有撤销授权委托的书面通知，本授权委托书自投标开始至合同履行完毕止。</w:t>
      </w:r>
    </w:p>
    <w:p w14:paraId="095E1BB7">
      <w:pPr>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14:paraId="34DD8BC4">
      <w:pPr>
        <w:spacing w:line="360" w:lineRule="auto"/>
        <w:ind w:firstLine="420"/>
        <w:jc w:val="left"/>
        <w:rPr>
          <w:rFonts w:ascii="宋体" w:hAnsi="宋体" w:cs="宋体"/>
          <w:color w:val="auto"/>
          <w:sz w:val="24"/>
          <w:highlight w:val="none"/>
        </w:rPr>
      </w:pPr>
    </w:p>
    <w:p w14:paraId="2EF1A8C5">
      <w:pPr>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投标单位：（盖章）</w:t>
      </w:r>
    </w:p>
    <w:p w14:paraId="1DC25056">
      <w:pPr>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法定代表人：（签字或盖章）</w:t>
      </w:r>
    </w:p>
    <w:p w14:paraId="119728BC">
      <w:pPr>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被授权人：（签字）</w:t>
      </w:r>
    </w:p>
    <w:p w14:paraId="38C7C48F">
      <w:pPr>
        <w:ind w:firstLine="420"/>
        <w:jc w:val="right"/>
        <w:rPr>
          <w:rFonts w:ascii="宋体" w:hAnsi="宋体" w:cs="宋体"/>
          <w:color w:val="auto"/>
          <w:sz w:val="24"/>
          <w:highlight w:val="none"/>
        </w:rPr>
      </w:pPr>
    </w:p>
    <w:p w14:paraId="7CA636C0">
      <w:pPr>
        <w:ind w:firstLine="420"/>
        <w:jc w:val="left"/>
        <w:rPr>
          <w:rFonts w:ascii="宋体" w:hAnsi="宋体" w:cs="宋体"/>
          <w:color w:val="auto"/>
          <w:sz w:val="24"/>
          <w:highlight w:val="none"/>
        </w:rPr>
      </w:pPr>
      <w:r>
        <w:rPr>
          <w:rFonts w:hint="eastAsia" w:ascii="宋体" w:hAnsi="宋体" w:cs="宋体"/>
          <w:color w:val="auto"/>
          <w:sz w:val="24"/>
          <w:highlight w:val="none"/>
        </w:rPr>
        <w:t>日期：    年     月     日</w:t>
      </w:r>
    </w:p>
    <w:p w14:paraId="64ABA437">
      <w:pPr>
        <w:spacing w:line="360" w:lineRule="auto"/>
        <w:jc w:val="left"/>
        <w:rPr>
          <w:rFonts w:ascii="宋体" w:hAnsi="宋体" w:cs="宋体"/>
          <w:color w:val="auto"/>
          <w:sz w:val="28"/>
          <w:szCs w:val="28"/>
          <w:highlight w:val="none"/>
        </w:rPr>
      </w:pPr>
      <w:r>
        <w:rPr>
          <w:rFonts w:hint="eastAsia" w:ascii="宋体" w:hAnsi="宋体" w:cs="宋体"/>
          <w:color w:val="auto"/>
          <w:sz w:val="24"/>
          <w:szCs w:val="20"/>
          <w:highlight w:val="none"/>
        </w:rPr>
        <w:br w:type="page" w:clear="all"/>
      </w:r>
      <w:r>
        <w:rPr>
          <w:rFonts w:hint="eastAsia" w:ascii="宋体" w:hAnsi="宋体" w:cs="宋体"/>
          <w:color w:val="auto"/>
          <w:sz w:val="28"/>
          <w:szCs w:val="28"/>
          <w:highlight w:val="none"/>
        </w:rPr>
        <w:t>2、投标函</w:t>
      </w:r>
    </w:p>
    <w:p w14:paraId="71DC99A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投标函</w:t>
      </w:r>
    </w:p>
    <w:p w14:paraId="2555EEFD">
      <w:pPr>
        <w:spacing w:line="400" w:lineRule="exact"/>
        <w:rPr>
          <w:rFonts w:ascii="宋体" w:hAnsi="宋体" w:cs="宋体"/>
          <w:color w:val="auto"/>
          <w:sz w:val="24"/>
          <w:highlight w:val="none"/>
        </w:rPr>
      </w:pPr>
      <w:r>
        <w:rPr>
          <w:rFonts w:hint="eastAsia" w:ascii="宋体" w:hAnsi="宋体" w:cs="宋体"/>
          <w:color w:val="auto"/>
          <w:sz w:val="24"/>
          <w:highlight w:val="none"/>
          <w:u w:val="single"/>
        </w:rPr>
        <w:t xml:space="preserve"> 苏州时代招投标有限公司 </w:t>
      </w:r>
      <w:r>
        <w:rPr>
          <w:rFonts w:hint="eastAsia" w:ascii="宋体" w:hAnsi="宋体" w:cs="宋体"/>
          <w:color w:val="auto"/>
          <w:sz w:val="24"/>
          <w:highlight w:val="none"/>
        </w:rPr>
        <w:t>：</w:t>
      </w:r>
    </w:p>
    <w:p w14:paraId="287DED5A">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我们收到贵公司</w:t>
      </w:r>
      <w:r>
        <w:rPr>
          <w:rFonts w:hint="eastAsia" w:ascii="宋体" w:hAnsi="宋体" w:cs="宋体"/>
          <w:color w:val="auto"/>
          <w:sz w:val="24"/>
          <w:highlight w:val="none"/>
          <w:u w:val="single"/>
        </w:rPr>
        <w:t>（招标编号）</w:t>
      </w:r>
      <w:r>
        <w:rPr>
          <w:rFonts w:hint="eastAsia" w:ascii="宋体" w:hAnsi="宋体" w:cs="宋体"/>
          <w:color w:val="auto"/>
          <w:sz w:val="24"/>
          <w:highlight w:val="none"/>
        </w:rPr>
        <w:t>号招标文件，经仔细阅读和研究，我们同意招标文件中各款要求并决定参加投标。</w:t>
      </w:r>
    </w:p>
    <w:p w14:paraId="3169B128">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1、我们愿意按照招标文件的一切要求，</w:t>
      </w:r>
      <w:r>
        <w:rPr>
          <w:rFonts w:hint="eastAsia" w:ascii="宋体" w:hAnsi="宋体" w:cs="宋体"/>
          <w:color w:val="auto"/>
          <w:sz w:val="24"/>
          <w:highlight w:val="none"/>
          <w:lang w:val="zh-CN"/>
        </w:rPr>
        <w:t>提供本项目的所有内容，我方投标的报价包括完成本项工作所需的一切应有费用</w:t>
      </w:r>
      <w:r>
        <w:rPr>
          <w:rFonts w:hint="eastAsia" w:ascii="宋体" w:hAnsi="宋体" w:cs="宋体"/>
          <w:color w:val="auto"/>
          <w:sz w:val="24"/>
          <w:highlight w:val="none"/>
        </w:rPr>
        <w:t>。</w:t>
      </w:r>
    </w:p>
    <w:p w14:paraId="32B7C431">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2、如果我们的投标书被接受，我们将严格履行招标文件中规定的每一项要求，</w:t>
      </w:r>
      <w:r>
        <w:rPr>
          <w:rFonts w:hint="eastAsia" w:ascii="宋体" w:hAnsi="宋体" w:cs="宋体"/>
          <w:color w:val="auto"/>
          <w:sz w:val="24"/>
          <w:highlight w:val="none"/>
          <w:lang w:val="zh-CN"/>
        </w:rPr>
        <w:t>严格履行合同的责任和义务，保证按期、按质履行合同，完成合同所规定的全部内容</w:t>
      </w:r>
      <w:r>
        <w:rPr>
          <w:rFonts w:hint="eastAsia" w:ascii="宋体" w:hAnsi="宋体" w:cs="宋体"/>
          <w:color w:val="auto"/>
          <w:sz w:val="24"/>
          <w:highlight w:val="none"/>
        </w:rPr>
        <w:t>。</w:t>
      </w:r>
    </w:p>
    <w:p w14:paraId="495735DA">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3、我们已详细审查并同意招标文件及更正文件（如有）中的规定。我们完全理解并同意放弃对这方面有不明及误解的权力。</w:t>
      </w:r>
    </w:p>
    <w:p w14:paraId="771FE02F">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4、我们同意按照招标文件中的规定，本投标书的有效期限为投标截止日起</w:t>
      </w:r>
      <w:r>
        <w:rPr>
          <w:rFonts w:hint="eastAsia" w:ascii="宋体" w:hAnsi="宋体" w:cs="宋体"/>
          <w:color w:val="auto"/>
          <w:sz w:val="24"/>
          <w:highlight w:val="none"/>
          <w:u w:val="single"/>
        </w:rPr>
        <w:t>九十天</w:t>
      </w:r>
      <w:r>
        <w:rPr>
          <w:rFonts w:hint="eastAsia" w:ascii="宋体" w:hAnsi="宋体" w:cs="宋体"/>
          <w:color w:val="auto"/>
          <w:sz w:val="24"/>
          <w:highlight w:val="none"/>
        </w:rPr>
        <w:t>。</w:t>
      </w:r>
    </w:p>
    <w:p w14:paraId="1A963FE9">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5、我们愿意提供采购人或采购代理机构在招标文件中要求的所有资料。</w:t>
      </w:r>
    </w:p>
    <w:p w14:paraId="2DE7B69E">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6、我们声明：我们在参加本次政府采购活动前3年内在经营活动中没有重大违法记录。</w:t>
      </w:r>
    </w:p>
    <w:p w14:paraId="61D11E0E">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7、我们愿意遵守招标公告及招标文件中所列的收费标准支付代理服务费。</w:t>
      </w:r>
    </w:p>
    <w:p w14:paraId="7B36E336">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8、我们承诺该项投标在开标后的全过程中保持有效，不做任何更改和变动。</w:t>
      </w:r>
    </w:p>
    <w:p w14:paraId="51A676D0">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9、我们承诺</w:t>
      </w:r>
      <w:r>
        <w:rPr>
          <w:rFonts w:hint="eastAsia" w:ascii="宋体" w:hAnsi="宋体" w:cs="宋体"/>
          <w:color w:val="auto"/>
          <w:sz w:val="24"/>
          <w:highlight w:val="none"/>
          <w:lang w:val="zh-CN"/>
        </w:rPr>
        <w:t>所提交的投标文件中所有资料均是真实的、准确的。若与真实情况不符，我方愿意承担由此而产生的一切后果</w:t>
      </w:r>
      <w:r>
        <w:rPr>
          <w:rFonts w:hint="eastAsia" w:ascii="宋体" w:hAnsi="宋体" w:cs="宋体"/>
          <w:color w:val="auto"/>
          <w:sz w:val="24"/>
          <w:highlight w:val="none"/>
        </w:rPr>
        <w:t>，若与真实情况不符，本公司愿意承担由此而产生的一切后果。</w:t>
      </w:r>
    </w:p>
    <w:p w14:paraId="6E0F0D2F">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10、我们</w:t>
      </w:r>
      <w:r>
        <w:rPr>
          <w:rFonts w:hint="eastAsia" w:ascii="宋体" w:hAnsi="宋体" w:cs="宋体"/>
          <w:color w:val="auto"/>
          <w:sz w:val="24"/>
          <w:highlight w:val="none"/>
          <w:lang w:val="zh-CN"/>
        </w:rPr>
        <w:t>承诺若在机器码检查中被查出存在与其他投标供应商机器码一致情形的，愿意承担由此产生的一切后果，包括但不限于不得参与后续本项目因故废标后重新开展的相关采购活动。</w:t>
      </w:r>
    </w:p>
    <w:p w14:paraId="01AB2F7A">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11、所有有关标书的函电，请按下列地址联系：</w:t>
      </w:r>
    </w:p>
    <w:p w14:paraId="5789E767">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单    位：                                  联 系 人：</w:t>
      </w:r>
    </w:p>
    <w:p w14:paraId="45E37FED">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地    址：                                  邮政编码：</w:t>
      </w:r>
    </w:p>
    <w:p w14:paraId="48CCA57E">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联系电话：                                  传真（或邮箱）：</w:t>
      </w:r>
    </w:p>
    <w:p w14:paraId="745BEC0C">
      <w:pPr>
        <w:spacing w:line="400" w:lineRule="exact"/>
        <w:ind w:right="480" w:firstLine="4080"/>
        <w:rPr>
          <w:rFonts w:ascii="宋体" w:hAnsi="宋体" w:cs="宋体"/>
          <w:color w:val="auto"/>
          <w:sz w:val="24"/>
          <w:highlight w:val="none"/>
        </w:rPr>
      </w:pPr>
    </w:p>
    <w:p w14:paraId="45632FC5">
      <w:pPr>
        <w:spacing w:line="400" w:lineRule="exact"/>
        <w:ind w:right="480" w:firstLine="4080"/>
        <w:rPr>
          <w:rFonts w:ascii="宋体" w:hAnsi="宋体" w:cs="宋体"/>
          <w:color w:val="auto"/>
          <w:sz w:val="24"/>
          <w:highlight w:val="none"/>
        </w:rPr>
      </w:pPr>
      <w:r>
        <w:rPr>
          <w:rFonts w:hint="eastAsia" w:ascii="宋体" w:hAnsi="宋体" w:cs="宋体"/>
          <w:color w:val="auto"/>
          <w:sz w:val="24"/>
          <w:highlight w:val="none"/>
        </w:rPr>
        <w:t>投标单位：（单位盖章）</w:t>
      </w:r>
    </w:p>
    <w:p w14:paraId="7504C470">
      <w:pPr>
        <w:spacing w:line="400" w:lineRule="exact"/>
        <w:jc w:val="righ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02C0FC96">
      <w:pPr>
        <w:spacing w:line="400" w:lineRule="exact"/>
        <w:jc w:val="right"/>
        <w:rPr>
          <w:rFonts w:hint="eastAsia" w:ascii="宋体" w:hAnsi="宋体" w:cs="宋体"/>
          <w:color w:val="auto"/>
          <w:sz w:val="24"/>
          <w:szCs w:val="24"/>
          <w:highlight w:val="none"/>
        </w:rPr>
      </w:pPr>
      <w:r>
        <w:rPr>
          <w:rFonts w:hint="eastAsia" w:ascii="宋体" w:hAnsi="宋体" w:cs="宋体"/>
          <w:color w:val="auto"/>
          <w:sz w:val="24"/>
          <w:highlight w:val="none"/>
        </w:rPr>
        <w:t>年     月     日</w:t>
      </w:r>
    </w:p>
    <w:p w14:paraId="6F708AF1">
      <w:pPr>
        <w:rPr>
          <w:rFonts w:hint="eastAsia" w:ascii="宋体" w:hAnsi="宋体"/>
          <w:color w:val="auto"/>
          <w:sz w:val="28"/>
          <w:szCs w:val="28"/>
          <w:highlight w:val="none"/>
        </w:rPr>
      </w:pPr>
      <w:r>
        <w:rPr>
          <w:rFonts w:hint="eastAsia" w:ascii="宋体" w:hAnsi="宋体"/>
          <w:color w:val="auto"/>
          <w:sz w:val="28"/>
          <w:szCs w:val="28"/>
          <w:highlight w:val="none"/>
        </w:rPr>
        <w:br w:type="page" w:clear="all"/>
      </w:r>
    </w:p>
    <w:p w14:paraId="5147359B">
      <w:pPr>
        <w:keepNext w:val="0"/>
        <w:keepLines w:val="0"/>
        <w:pageBreakBefore w:val="0"/>
        <w:widowControl w:val="0"/>
        <w:spacing w:line="360" w:lineRule="auto"/>
        <w:jc w:val="left"/>
        <w:rPr>
          <w:rFonts w:ascii="宋体" w:hAnsi="宋体" w:cs="宋体"/>
          <w:color w:val="auto"/>
          <w:sz w:val="24"/>
          <w:szCs w:val="24"/>
          <w:highlight w:val="none"/>
        </w:rPr>
      </w:pPr>
      <w:r>
        <w:rPr>
          <w:rFonts w:hint="eastAsia" w:ascii="宋体" w:hAnsi="宋体"/>
          <w:color w:val="auto"/>
          <w:sz w:val="28"/>
          <w:szCs w:val="28"/>
          <w:highlight w:val="none"/>
        </w:rPr>
        <w:t>3、报价</w:t>
      </w:r>
    </w:p>
    <w:p w14:paraId="47CE6C59">
      <w:pPr>
        <w:keepNext w:val="0"/>
        <w:keepLines w:val="0"/>
        <w:pageBreakBefore w:val="0"/>
        <w:widowControl w:val="0"/>
        <w:spacing w:line="360" w:lineRule="auto"/>
        <w:rPr>
          <w:rFonts w:ascii="宋体" w:hAnsi="宋体"/>
          <w:color w:val="auto"/>
          <w:sz w:val="28"/>
          <w:szCs w:val="28"/>
          <w:highlight w:val="none"/>
        </w:rPr>
      </w:pPr>
      <w:r>
        <w:rPr>
          <w:rFonts w:hint="eastAsia" w:ascii="宋体" w:hAnsi="宋体"/>
          <w:color w:val="auto"/>
          <w:sz w:val="28"/>
          <w:szCs w:val="28"/>
          <w:highlight w:val="none"/>
        </w:rPr>
        <w:t>3.1开标一览表（</w:t>
      </w:r>
      <w:r>
        <w:rPr>
          <w:rFonts w:hint="eastAsia" w:ascii="宋体" w:hAnsi="宋体" w:cs="宋体"/>
          <w:b/>
          <w:color w:val="auto"/>
          <w:sz w:val="24"/>
          <w:highlight w:val="none"/>
        </w:rPr>
        <w:t>按苏采云投标系统内统一格式填写）</w:t>
      </w:r>
    </w:p>
    <w:p w14:paraId="1F89ACDD">
      <w:pPr>
        <w:spacing w:line="360" w:lineRule="auto"/>
        <w:jc w:val="center"/>
        <w:rPr>
          <w:rFonts w:ascii="宋体" w:hAnsi="宋体"/>
          <w:color w:val="auto"/>
          <w:sz w:val="28"/>
          <w:szCs w:val="28"/>
          <w:highlight w:val="none"/>
        </w:rPr>
      </w:pPr>
    </w:p>
    <w:p w14:paraId="3168034D">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开标一览表</w:t>
      </w:r>
    </w:p>
    <w:p w14:paraId="05B0B69E">
      <w:pPr>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投标人全称（加盖公章）：</w:t>
      </w:r>
      <w:bookmarkStart w:id="9" w:name="TBR"/>
      <w:bookmarkEnd w:id="9"/>
    </w:p>
    <w:p w14:paraId="5BE376FE">
      <w:pPr>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 xml:space="preserve">项目编号：  </w:t>
      </w:r>
      <w:bookmarkStart w:id="10" w:name="XMBH"/>
      <w:bookmarkEnd w:id="10"/>
    </w:p>
    <w:tbl>
      <w:tblPr>
        <w:tblStyle w:val="39"/>
        <w:tblW w:w="8280"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3"/>
        <w:gridCol w:w="5707"/>
      </w:tblGrid>
      <w:tr w14:paraId="41F1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3" w:hRule="atLeast"/>
        </w:trPr>
        <w:tc>
          <w:tcPr>
            <w:tcW w:w="2573" w:type="dxa"/>
            <w:noWrap/>
            <w:vAlign w:val="center"/>
          </w:tcPr>
          <w:p w14:paraId="36B7CBB4">
            <w:pPr>
              <w:spacing w:line="60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5707" w:type="dxa"/>
            <w:noWrap/>
            <w:vAlign w:val="center"/>
          </w:tcPr>
          <w:p w14:paraId="17B6067D">
            <w:pPr>
              <w:spacing w:line="600" w:lineRule="exact"/>
              <w:jc w:val="center"/>
              <w:rPr>
                <w:rFonts w:ascii="宋体" w:hAnsi="宋体"/>
                <w:color w:val="auto"/>
                <w:sz w:val="24"/>
                <w:szCs w:val="24"/>
                <w:highlight w:val="none"/>
              </w:rPr>
            </w:pPr>
            <w:r>
              <w:rPr>
                <w:rFonts w:hint="eastAsia" w:ascii="宋体" w:hAnsi="宋体"/>
                <w:color w:val="auto"/>
                <w:sz w:val="24"/>
                <w:szCs w:val="24"/>
                <w:highlight w:val="none"/>
              </w:rPr>
              <w:t>投标总报价</w:t>
            </w:r>
          </w:p>
        </w:tc>
      </w:tr>
      <w:tr w14:paraId="2EA63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53" w:hRule="atLeast"/>
        </w:trPr>
        <w:tc>
          <w:tcPr>
            <w:tcW w:w="2573" w:type="dxa"/>
            <w:noWrap/>
            <w:vAlign w:val="center"/>
          </w:tcPr>
          <w:p w14:paraId="244EBC79">
            <w:pPr>
              <w:spacing w:line="600" w:lineRule="exact"/>
              <w:jc w:val="center"/>
              <w:rPr>
                <w:rFonts w:ascii="宋体" w:hAnsi="宋体"/>
                <w:color w:val="auto"/>
                <w:sz w:val="24"/>
                <w:szCs w:val="24"/>
                <w:highlight w:val="none"/>
              </w:rPr>
            </w:pPr>
            <w:bookmarkStart w:id="11" w:name="XMMC"/>
            <w:bookmarkEnd w:id="11"/>
          </w:p>
        </w:tc>
        <w:tc>
          <w:tcPr>
            <w:tcW w:w="5707" w:type="dxa"/>
            <w:noWrap/>
            <w:vAlign w:val="center"/>
          </w:tcPr>
          <w:p w14:paraId="7B7A7C35">
            <w:pPr>
              <w:spacing w:line="600" w:lineRule="exact"/>
              <w:rPr>
                <w:rFonts w:ascii="宋体" w:hAnsi="宋体"/>
                <w:color w:val="auto"/>
                <w:sz w:val="24"/>
                <w:szCs w:val="24"/>
                <w:highlight w:val="none"/>
              </w:rPr>
            </w:pPr>
            <w:r>
              <w:rPr>
                <w:rFonts w:hint="eastAsia" w:ascii="宋体" w:hAnsi="宋体"/>
                <w:color w:val="auto"/>
                <w:sz w:val="24"/>
                <w:szCs w:val="24"/>
                <w:highlight w:val="none"/>
              </w:rPr>
              <w:t xml:space="preserve">  小写：                      （人民币：元）</w:t>
            </w:r>
          </w:p>
        </w:tc>
      </w:tr>
      <w:tr w14:paraId="737D9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rPr>
        <w:tc>
          <w:tcPr>
            <w:tcW w:w="8280" w:type="dxa"/>
            <w:gridSpan w:val="2"/>
            <w:noWrap/>
            <w:vAlign w:val="center"/>
          </w:tcPr>
          <w:p w14:paraId="7DA47A02">
            <w:pPr>
              <w:spacing w:line="600" w:lineRule="exact"/>
              <w:rPr>
                <w:rFonts w:ascii="宋体" w:hAnsi="宋体"/>
                <w:color w:val="auto"/>
                <w:sz w:val="24"/>
                <w:szCs w:val="24"/>
                <w:highlight w:val="none"/>
              </w:rPr>
            </w:pPr>
            <w:r>
              <w:rPr>
                <w:rFonts w:hint="eastAsia" w:ascii="宋体" w:hAnsi="宋体"/>
                <w:color w:val="auto"/>
                <w:sz w:val="24"/>
                <w:szCs w:val="24"/>
                <w:highlight w:val="none"/>
              </w:rPr>
              <w:t xml:space="preserve">投标报价大写金额：                                 </w:t>
            </w:r>
            <w:bookmarkStart w:id="12" w:name="JEDX"/>
            <w:bookmarkEnd w:id="12"/>
            <w:r>
              <w:rPr>
                <w:rFonts w:hint="eastAsia" w:ascii="宋体" w:hAnsi="宋体"/>
                <w:color w:val="auto"/>
                <w:sz w:val="24"/>
                <w:szCs w:val="24"/>
                <w:highlight w:val="none"/>
              </w:rPr>
              <w:t xml:space="preserve"> （人民币：元）</w:t>
            </w:r>
          </w:p>
        </w:tc>
      </w:tr>
    </w:tbl>
    <w:p w14:paraId="4CA54A06">
      <w:pPr>
        <w:spacing w:line="600" w:lineRule="exact"/>
        <w:rPr>
          <w:rFonts w:ascii="宋体" w:hAnsi="宋体"/>
          <w:color w:val="auto"/>
          <w:szCs w:val="21"/>
          <w:highlight w:val="none"/>
        </w:rPr>
      </w:pPr>
    </w:p>
    <w:p w14:paraId="148D0440">
      <w:pPr>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zh-CN"/>
        </w:rPr>
        <w:t xml:space="preserve">  日期：   </w:t>
      </w:r>
      <w:bookmarkStart w:id="13" w:name="NF"/>
      <w:bookmarkEnd w:id="13"/>
      <w:r>
        <w:rPr>
          <w:rFonts w:hint="eastAsia" w:ascii="宋体" w:hAnsi="宋体"/>
          <w:color w:val="auto"/>
          <w:sz w:val="24"/>
          <w:szCs w:val="24"/>
          <w:highlight w:val="none"/>
          <w:lang w:val="zh-CN"/>
        </w:rPr>
        <w:t xml:space="preserve"> 年 </w:t>
      </w:r>
      <w:bookmarkStart w:id="14" w:name="YF"/>
      <w:bookmarkEnd w:id="14"/>
      <w:r>
        <w:rPr>
          <w:rFonts w:hint="eastAsia" w:ascii="宋体" w:hAnsi="宋体"/>
          <w:color w:val="auto"/>
          <w:sz w:val="24"/>
          <w:szCs w:val="24"/>
          <w:highlight w:val="none"/>
          <w:lang w:val="zh-CN"/>
        </w:rPr>
        <w:t xml:space="preserve">  月 </w:t>
      </w:r>
      <w:bookmarkStart w:id="15" w:name="RI"/>
      <w:bookmarkEnd w:id="15"/>
      <w:r>
        <w:rPr>
          <w:rFonts w:hint="eastAsia" w:ascii="宋体" w:hAnsi="宋体"/>
          <w:color w:val="auto"/>
          <w:sz w:val="24"/>
          <w:szCs w:val="24"/>
          <w:highlight w:val="none"/>
          <w:lang w:val="zh-CN"/>
        </w:rPr>
        <w:t xml:space="preserve">  日</w:t>
      </w:r>
    </w:p>
    <w:p w14:paraId="38DA09A3">
      <w:pPr>
        <w:spacing w:line="360" w:lineRule="auto"/>
        <w:rPr>
          <w:rFonts w:ascii="宋体" w:hAnsi="宋体"/>
          <w:color w:val="auto"/>
          <w:sz w:val="24"/>
          <w:szCs w:val="24"/>
          <w:highlight w:val="none"/>
          <w:lang w:val="zh-CN"/>
        </w:rPr>
      </w:pPr>
    </w:p>
    <w:p w14:paraId="374274D2">
      <w:pPr>
        <w:spacing w:line="360" w:lineRule="auto"/>
        <w:rPr>
          <w:rFonts w:ascii="宋体" w:hAnsi="宋体"/>
          <w:color w:val="auto"/>
          <w:sz w:val="24"/>
          <w:szCs w:val="24"/>
          <w:highlight w:val="none"/>
          <w:lang w:val="zh-CN"/>
        </w:rPr>
      </w:pPr>
      <w:r>
        <w:rPr>
          <w:rFonts w:hint="eastAsia" w:ascii="宋体" w:hAnsi="宋体"/>
          <w:color w:val="auto"/>
          <w:sz w:val="24"/>
          <w:szCs w:val="24"/>
          <w:highlight w:val="none"/>
          <w:lang w:val="zh-CN"/>
        </w:rPr>
        <w:t>填写说明：</w:t>
      </w:r>
    </w:p>
    <w:p w14:paraId="574FE587">
      <w:pPr>
        <w:spacing w:line="360" w:lineRule="auto"/>
        <w:rPr>
          <w:rFonts w:ascii="宋体" w:hAnsi="宋体"/>
          <w:color w:val="auto"/>
          <w:sz w:val="24"/>
          <w:szCs w:val="24"/>
          <w:highlight w:val="none"/>
          <w:lang w:val="zh-CN"/>
        </w:rPr>
      </w:pPr>
      <w:r>
        <w:rPr>
          <w:rFonts w:hint="eastAsia" w:ascii="宋体" w:hAnsi="宋体"/>
          <w:color w:val="auto"/>
          <w:sz w:val="24"/>
          <w:szCs w:val="24"/>
          <w:highlight w:val="none"/>
          <w:lang w:val="zh-CN"/>
        </w:rPr>
        <w:t>1.开标一览表必须加盖投标人公章（复印件无效）。</w:t>
      </w:r>
    </w:p>
    <w:p w14:paraId="5DE584EF">
      <w:pPr>
        <w:spacing w:line="360" w:lineRule="auto"/>
        <w:rPr>
          <w:rFonts w:ascii="宋体" w:hAnsi="宋体"/>
          <w:b/>
          <w:bCs/>
          <w:color w:val="auto"/>
          <w:sz w:val="24"/>
          <w:szCs w:val="24"/>
          <w:highlight w:val="none"/>
          <w:lang w:val="zh-CN"/>
        </w:rPr>
      </w:pPr>
      <w:r>
        <w:rPr>
          <w:rFonts w:hint="eastAsia" w:ascii="宋体" w:hAnsi="宋体"/>
          <w:b/>
          <w:bCs/>
          <w:color w:val="auto"/>
          <w:sz w:val="24"/>
          <w:szCs w:val="24"/>
          <w:highlight w:val="none"/>
          <w:lang w:val="zh-CN"/>
        </w:rPr>
        <w:t>2.</w:t>
      </w:r>
      <w:r>
        <w:rPr>
          <w:rFonts w:hint="eastAsia"/>
          <w:b/>
          <w:bCs/>
          <w:color w:val="auto"/>
          <w:sz w:val="24"/>
          <w:highlight w:val="none"/>
        </w:rPr>
        <w:t>投标报价不得超过采购预算及最高单价限价，否则作无效报价处理</w:t>
      </w:r>
      <w:r>
        <w:rPr>
          <w:rFonts w:hint="eastAsia" w:ascii="宋体" w:hAnsi="宋体"/>
          <w:b/>
          <w:bCs/>
          <w:color w:val="auto"/>
          <w:sz w:val="24"/>
          <w:szCs w:val="24"/>
          <w:highlight w:val="none"/>
          <w:lang w:val="zh-CN"/>
        </w:rPr>
        <w:t>。</w:t>
      </w:r>
    </w:p>
    <w:p w14:paraId="6E7C1995">
      <w:pPr>
        <w:spacing w:line="360" w:lineRule="auto"/>
        <w:rPr>
          <w:rFonts w:ascii="宋体" w:hAnsi="宋体"/>
          <w:color w:val="auto"/>
          <w:sz w:val="24"/>
          <w:highlight w:val="none"/>
        </w:rPr>
      </w:pPr>
    </w:p>
    <w:p w14:paraId="61E43249">
      <w:pPr>
        <w:spacing w:line="480" w:lineRule="auto"/>
        <w:ind w:firstLine="240"/>
        <w:jc w:val="left"/>
        <w:rPr>
          <w:rFonts w:ascii="宋体" w:hAnsi="宋体"/>
          <w:color w:val="auto"/>
          <w:sz w:val="24"/>
          <w:highlight w:val="none"/>
        </w:rPr>
      </w:pPr>
    </w:p>
    <w:p w14:paraId="6BBF4246">
      <w:pPr>
        <w:pStyle w:val="237"/>
        <w:spacing w:line="360" w:lineRule="auto"/>
        <w:ind w:firstLine="0"/>
        <w:rPr>
          <w:rFonts w:ascii="宋体" w:hAnsi="宋体"/>
          <w:color w:val="auto"/>
          <w:sz w:val="28"/>
          <w:szCs w:val="28"/>
          <w:highlight w:val="none"/>
        </w:rPr>
      </w:pPr>
    </w:p>
    <w:p w14:paraId="0D8B76F5">
      <w:pPr>
        <w:pStyle w:val="237"/>
        <w:spacing w:line="360" w:lineRule="auto"/>
        <w:ind w:firstLine="0"/>
        <w:rPr>
          <w:rFonts w:ascii="宋体" w:hAnsi="宋体"/>
          <w:color w:val="auto"/>
          <w:sz w:val="28"/>
          <w:szCs w:val="28"/>
          <w:highlight w:val="none"/>
        </w:rPr>
      </w:pPr>
    </w:p>
    <w:p w14:paraId="69FD7573">
      <w:pPr>
        <w:pStyle w:val="237"/>
        <w:spacing w:line="360" w:lineRule="auto"/>
        <w:ind w:firstLine="0"/>
        <w:rPr>
          <w:rFonts w:ascii="宋体" w:hAnsi="宋体"/>
          <w:color w:val="auto"/>
          <w:sz w:val="28"/>
          <w:szCs w:val="28"/>
          <w:highlight w:val="none"/>
        </w:rPr>
      </w:pPr>
    </w:p>
    <w:p w14:paraId="4AE6F93E">
      <w:pPr>
        <w:pStyle w:val="237"/>
        <w:spacing w:line="360" w:lineRule="auto"/>
        <w:ind w:firstLine="0"/>
        <w:rPr>
          <w:rFonts w:ascii="宋体" w:hAnsi="宋体"/>
          <w:color w:val="auto"/>
          <w:sz w:val="28"/>
          <w:szCs w:val="28"/>
          <w:highlight w:val="none"/>
        </w:rPr>
      </w:pPr>
    </w:p>
    <w:p w14:paraId="51BF3CC8">
      <w:pPr>
        <w:pStyle w:val="237"/>
        <w:spacing w:line="360" w:lineRule="auto"/>
        <w:ind w:firstLine="0"/>
        <w:rPr>
          <w:rFonts w:ascii="宋体" w:hAnsi="宋体"/>
          <w:color w:val="auto"/>
          <w:sz w:val="28"/>
          <w:szCs w:val="28"/>
          <w:highlight w:val="none"/>
        </w:rPr>
      </w:pPr>
    </w:p>
    <w:p w14:paraId="20862475">
      <w:pPr>
        <w:pStyle w:val="237"/>
        <w:spacing w:line="360" w:lineRule="auto"/>
        <w:ind w:firstLine="0"/>
        <w:rPr>
          <w:rFonts w:ascii="宋体" w:hAnsi="宋体"/>
          <w:color w:val="auto"/>
          <w:sz w:val="28"/>
          <w:szCs w:val="28"/>
          <w:highlight w:val="none"/>
        </w:rPr>
      </w:pPr>
    </w:p>
    <w:p w14:paraId="04BE006D">
      <w:pPr>
        <w:pStyle w:val="237"/>
        <w:spacing w:line="360" w:lineRule="auto"/>
        <w:ind w:firstLine="0"/>
        <w:rPr>
          <w:rFonts w:ascii="宋体" w:hAnsi="宋体"/>
          <w:color w:val="auto"/>
          <w:sz w:val="28"/>
          <w:szCs w:val="28"/>
          <w:highlight w:val="none"/>
        </w:rPr>
      </w:pPr>
    </w:p>
    <w:p w14:paraId="40635D69">
      <w:pPr>
        <w:pStyle w:val="237"/>
        <w:spacing w:line="360" w:lineRule="auto"/>
        <w:ind w:firstLine="0"/>
        <w:rPr>
          <w:rFonts w:ascii="宋体" w:hAnsi="宋体"/>
          <w:color w:val="auto"/>
          <w:sz w:val="28"/>
          <w:szCs w:val="28"/>
          <w:highlight w:val="none"/>
        </w:rPr>
      </w:pPr>
    </w:p>
    <w:p w14:paraId="266FDD31">
      <w:pPr>
        <w:spacing w:line="360" w:lineRule="auto"/>
        <w:rPr>
          <w:rFonts w:ascii="宋体" w:hAnsi="宋体"/>
          <w:color w:val="auto"/>
          <w:sz w:val="28"/>
          <w:szCs w:val="28"/>
          <w:highlight w:val="none"/>
        </w:rPr>
      </w:pPr>
    </w:p>
    <w:p w14:paraId="1EBA479F">
      <w:pPr>
        <w:spacing w:line="360" w:lineRule="auto"/>
        <w:rPr>
          <w:rFonts w:ascii="宋体" w:hAnsi="宋体"/>
          <w:color w:val="auto"/>
          <w:sz w:val="28"/>
          <w:szCs w:val="28"/>
          <w:highlight w:val="none"/>
        </w:rPr>
      </w:pPr>
      <w:r>
        <w:rPr>
          <w:rFonts w:hint="eastAsia" w:ascii="宋体" w:hAnsi="宋体"/>
          <w:color w:val="auto"/>
          <w:sz w:val="28"/>
          <w:szCs w:val="28"/>
          <w:highlight w:val="none"/>
        </w:rPr>
        <w:t>3.2公开分项报价</w:t>
      </w:r>
    </w:p>
    <w:p w14:paraId="049B90F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公开分项报价</w:t>
      </w:r>
    </w:p>
    <w:p w14:paraId="4AE6A175">
      <w:pPr>
        <w:pStyle w:val="17"/>
        <w:jc w:val="right"/>
        <w:rPr>
          <w:rFonts w:cs="Times New Roman"/>
          <w:color w:val="auto"/>
          <w:sz w:val="24"/>
          <w:szCs w:val="22"/>
          <w:highlight w:val="none"/>
        </w:rPr>
      </w:pPr>
      <w:r>
        <w:rPr>
          <w:rFonts w:hint="eastAsia" w:cs="Times New Roman"/>
          <w:color w:val="auto"/>
          <w:sz w:val="24"/>
          <w:szCs w:val="22"/>
          <w:highlight w:val="none"/>
        </w:rPr>
        <w:t>单位：元（人民币）</w:t>
      </w:r>
    </w:p>
    <w:tbl>
      <w:tblPr>
        <w:tblStyle w:val="39"/>
        <w:tblW w:w="4968" w:type="pct"/>
        <w:tblInd w:w="-5" w:type="dxa"/>
        <w:tblLayout w:type="fixed"/>
        <w:tblCellMar>
          <w:top w:w="0" w:type="dxa"/>
          <w:left w:w="0" w:type="dxa"/>
          <w:bottom w:w="0" w:type="dxa"/>
          <w:right w:w="0" w:type="dxa"/>
        </w:tblCellMar>
      </w:tblPr>
      <w:tblGrid>
        <w:gridCol w:w="717"/>
        <w:gridCol w:w="1432"/>
        <w:gridCol w:w="1747"/>
        <w:gridCol w:w="1092"/>
        <w:gridCol w:w="736"/>
        <w:gridCol w:w="767"/>
        <w:gridCol w:w="778"/>
        <w:gridCol w:w="988"/>
      </w:tblGrid>
      <w:tr w14:paraId="03598C93">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14:paraId="5EC5A2A5">
            <w:pPr>
              <w:jc w:val="center"/>
              <w:rPr>
                <w:rFonts w:ascii="宋体" w:hAnsi="宋体"/>
                <w:color w:val="auto"/>
                <w:sz w:val="24"/>
                <w:highlight w:val="none"/>
              </w:rPr>
            </w:pPr>
            <w:r>
              <w:rPr>
                <w:rFonts w:hint="eastAsia" w:ascii="宋体" w:hAnsi="宋体"/>
                <w:color w:val="auto"/>
                <w:sz w:val="24"/>
                <w:highlight w:val="none"/>
              </w:rPr>
              <w:t>序号</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4BE0088">
            <w:pPr>
              <w:jc w:val="center"/>
              <w:rPr>
                <w:rFonts w:ascii="宋体" w:hAnsi="宋体"/>
                <w:color w:val="auto"/>
                <w:sz w:val="24"/>
                <w:highlight w:val="none"/>
              </w:rPr>
            </w:pPr>
            <w:r>
              <w:rPr>
                <w:rFonts w:hint="eastAsia" w:ascii="宋体" w:hAnsi="宋体"/>
                <w:color w:val="auto"/>
                <w:sz w:val="24"/>
                <w:highlight w:val="none"/>
              </w:rPr>
              <w:t>标的物名称</w:t>
            </w:r>
          </w:p>
        </w:tc>
        <w:tc>
          <w:tcPr>
            <w:tcW w:w="1745" w:type="dxa"/>
            <w:tcBorders>
              <w:top w:val="single" w:color="000000" w:sz="4" w:space="0"/>
              <w:left w:val="nil"/>
              <w:bottom w:val="single" w:color="000000" w:sz="4" w:space="0"/>
              <w:right w:val="single" w:color="000000" w:sz="4" w:space="0"/>
            </w:tcBorders>
            <w:noWrap/>
            <w:vAlign w:val="center"/>
          </w:tcPr>
          <w:p w14:paraId="0C897B94">
            <w:pPr>
              <w:jc w:val="center"/>
              <w:rPr>
                <w:rFonts w:ascii="宋体" w:hAnsi="宋体"/>
                <w:color w:val="auto"/>
                <w:sz w:val="24"/>
                <w:highlight w:val="none"/>
              </w:rPr>
            </w:pPr>
            <w:r>
              <w:rPr>
                <w:rFonts w:hint="eastAsia" w:ascii="宋体" w:hAnsi="宋体"/>
                <w:color w:val="auto"/>
                <w:sz w:val="24"/>
                <w:highlight w:val="none"/>
              </w:rPr>
              <w:t>品牌、规格型号</w:t>
            </w:r>
          </w:p>
        </w:tc>
        <w:tc>
          <w:tcPr>
            <w:tcW w:w="1091" w:type="dxa"/>
            <w:tcBorders>
              <w:top w:val="single" w:color="000000" w:sz="4" w:space="0"/>
              <w:left w:val="nil"/>
              <w:bottom w:val="single" w:color="000000" w:sz="4" w:space="0"/>
              <w:right w:val="single" w:color="000000" w:sz="4" w:space="0"/>
            </w:tcBorders>
            <w:noWrap/>
            <w:vAlign w:val="center"/>
          </w:tcPr>
          <w:p w14:paraId="291BB5DA">
            <w:pPr>
              <w:jc w:val="center"/>
              <w:rPr>
                <w:rFonts w:ascii="宋体" w:hAnsi="宋体"/>
                <w:color w:val="auto"/>
                <w:sz w:val="24"/>
                <w:highlight w:val="none"/>
              </w:rPr>
            </w:pPr>
            <w:r>
              <w:rPr>
                <w:rFonts w:hint="eastAsia" w:ascii="宋体" w:hAnsi="宋体"/>
                <w:color w:val="auto"/>
                <w:sz w:val="24"/>
                <w:highlight w:val="none"/>
              </w:rPr>
              <w:t>生产厂商</w:t>
            </w:r>
          </w:p>
        </w:tc>
        <w:tc>
          <w:tcPr>
            <w:tcW w:w="735" w:type="dxa"/>
            <w:tcBorders>
              <w:top w:val="single" w:color="000000" w:sz="4" w:space="0"/>
              <w:left w:val="nil"/>
              <w:bottom w:val="single" w:color="000000" w:sz="4" w:space="0"/>
              <w:right w:val="single" w:color="auto" w:sz="4" w:space="0"/>
            </w:tcBorders>
            <w:noWrap/>
            <w:vAlign w:val="center"/>
          </w:tcPr>
          <w:p w14:paraId="4F0E9322">
            <w:pPr>
              <w:jc w:val="center"/>
              <w:rPr>
                <w:rFonts w:ascii="宋体" w:hAnsi="宋体"/>
                <w:color w:val="auto"/>
                <w:sz w:val="24"/>
                <w:highlight w:val="none"/>
              </w:rPr>
            </w:pPr>
            <w:r>
              <w:rPr>
                <w:rFonts w:hint="eastAsia" w:ascii="宋体" w:hAnsi="宋体"/>
                <w:color w:val="auto"/>
                <w:sz w:val="24"/>
                <w:highlight w:val="none"/>
              </w:rPr>
              <w:t>数量</w:t>
            </w:r>
          </w:p>
        </w:tc>
        <w:tc>
          <w:tcPr>
            <w:tcW w:w="766" w:type="dxa"/>
            <w:tcBorders>
              <w:top w:val="single" w:color="000000" w:sz="4" w:space="0"/>
              <w:left w:val="single" w:color="auto" w:sz="4" w:space="0"/>
              <w:bottom w:val="single" w:color="000000" w:sz="4" w:space="0"/>
              <w:right w:val="single" w:color="000000" w:sz="4" w:space="0"/>
            </w:tcBorders>
            <w:noWrap/>
            <w:vAlign w:val="center"/>
          </w:tcPr>
          <w:p w14:paraId="01E393FF">
            <w:pPr>
              <w:jc w:val="center"/>
              <w:rPr>
                <w:rFonts w:ascii="宋体" w:hAnsi="宋体"/>
                <w:color w:val="auto"/>
                <w:sz w:val="24"/>
                <w:highlight w:val="none"/>
              </w:rPr>
            </w:pPr>
            <w:r>
              <w:rPr>
                <w:rFonts w:hint="eastAsia" w:ascii="宋体" w:hAnsi="宋体"/>
                <w:color w:val="auto"/>
                <w:sz w:val="24"/>
                <w:highlight w:val="none"/>
              </w:rPr>
              <w:t>单位</w:t>
            </w:r>
          </w:p>
        </w:tc>
        <w:tc>
          <w:tcPr>
            <w:tcW w:w="777" w:type="dxa"/>
            <w:tcBorders>
              <w:top w:val="single" w:color="000000" w:sz="4" w:space="0"/>
              <w:left w:val="nil"/>
              <w:bottom w:val="single" w:color="000000" w:sz="4" w:space="0"/>
              <w:right w:val="single" w:color="000000" w:sz="4" w:space="0"/>
            </w:tcBorders>
            <w:noWrap/>
            <w:vAlign w:val="center"/>
          </w:tcPr>
          <w:p w14:paraId="2CA67727">
            <w:pPr>
              <w:jc w:val="center"/>
              <w:rPr>
                <w:rFonts w:ascii="宋体" w:hAnsi="宋体"/>
                <w:color w:val="auto"/>
                <w:sz w:val="24"/>
                <w:highlight w:val="none"/>
              </w:rPr>
            </w:pPr>
            <w:r>
              <w:rPr>
                <w:rFonts w:hint="eastAsia" w:ascii="宋体" w:hAnsi="宋体"/>
                <w:color w:val="auto"/>
                <w:sz w:val="24"/>
                <w:highlight w:val="none"/>
              </w:rPr>
              <w:t>单价</w:t>
            </w:r>
          </w:p>
        </w:tc>
        <w:tc>
          <w:tcPr>
            <w:tcW w:w="987" w:type="dxa"/>
            <w:tcBorders>
              <w:top w:val="single" w:color="000000" w:sz="4" w:space="0"/>
              <w:left w:val="nil"/>
              <w:bottom w:val="single" w:color="000000" w:sz="4" w:space="0"/>
              <w:right w:val="single" w:color="000000" w:sz="4" w:space="0"/>
            </w:tcBorders>
            <w:noWrap/>
            <w:vAlign w:val="center"/>
          </w:tcPr>
          <w:p w14:paraId="31AAF3DA">
            <w:pPr>
              <w:jc w:val="center"/>
              <w:rPr>
                <w:rFonts w:ascii="宋体" w:hAnsi="宋体"/>
                <w:color w:val="auto"/>
                <w:sz w:val="24"/>
                <w:highlight w:val="none"/>
              </w:rPr>
            </w:pPr>
            <w:r>
              <w:rPr>
                <w:rFonts w:hint="eastAsia" w:ascii="宋体" w:hAnsi="宋体"/>
                <w:color w:val="auto"/>
                <w:sz w:val="24"/>
                <w:highlight w:val="none"/>
              </w:rPr>
              <w:t>总价</w:t>
            </w:r>
          </w:p>
        </w:tc>
      </w:tr>
      <w:tr w14:paraId="043C9C16">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4390C07F">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30" w:type="dxa"/>
            <w:tcBorders>
              <w:top w:val="single" w:color="000000" w:sz="4" w:space="0"/>
              <w:left w:val="single" w:color="000000" w:sz="4" w:space="0"/>
              <w:bottom w:val="single" w:color="000000" w:sz="4" w:space="0"/>
              <w:right w:val="single" w:color="000000" w:sz="4" w:space="0"/>
            </w:tcBorders>
            <w:noWrap/>
          </w:tcPr>
          <w:p w14:paraId="57FFB094">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23EB868B">
            <w:pPr>
              <w:spacing w:line="360" w:lineRule="auto"/>
              <w:jc w:val="center"/>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00E90356">
            <w:pPr>
              <w:spacing w:line="360" w:lineRule="auto"/>
              <w:jc w:val="center"/>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01839649">
            <w:pPr>
              <w:spacing w:line="360" w:lineRule="auto"/>
              <w:jc w:val="center"/>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22829EFF">
            <w:pPr>
              <w:spacing w:line="360" w:lineRule="auto"/>
              <w:jc w:val="center"/>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76CA7822">
            <w:pPr>
              <w:spacing w:line="360" w:lineRule="auto"/>
              <w:jc w:val="center"/>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15CAFB05">
            <w:pPr>
              <w:spacing w:line="360" w:lineRule="auto"/>
              <w:jc w:val="center"/>
              <w:rPr>
                <w:rFonts w:ascii="宋体" w:hAnsi="宋体"/>
                <w:color w:val="auto"/>
                <w:sz w:val="24"/>
                <w:highlight w:val="none"/>
              </w:rPr>
            </w:pPr>
          </w:p>
        </w:tc>
      </w:tr>
      <w:tr w14:paraId="2D4CCBE9">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09CC92B1">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30" w:type="dxa"/>
            <w:tcBorders>
              <w:top w:val="single" w:color="000000" w:sz="4" w:space="0"/>
              <w:left w:val="single" w:color="000000" w:sz="4" w:space="0"/>
              <w:bottom w:val="single" w:color="000000" w:sz="4" w:space="0"/>
              <w:right w:val="single" w:color="000000" w:sz="4" w:space="0"/>
            </w:tcBorders>
            <w:noWrap/>
          </w:tcPr>
          <w:p w14:paraId="342A4D74">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0F3853F3">
            <w:pPr>
              <w:spacing w:line="360" w:lineRule="auto"/>
              <w:jc w:val="center"/>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74C5A1A6">
            <w:pPr>
              <w:spacing w:line="360" w:lineRule="auto"/>
              <w:jc w:val="center"/>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3552BDDF">
            <w:pPr>
              <w:spacing w:line="360" w:lineRule="auto"/>
              <w:jc w:val="center"/>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0BED1721">
            <w:pPr>
              <w:spacing w:line="360" w:lineRule="auto"/>
              <w:jc w:val="center"/>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728452AC">
            <w:pPr>
              <w:spacing w:line="360" w:lineRule="auto"/>
              <w:jc w:val="center"/>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0B846567">
            <w:pPr>
              <w:spacing w:line="360" w:lineRule="auto"/>
              <w:jc w:val="center"/>
              <w:rPr>
                <w:rFonts w:ascii="宋体" w:hAnsi="宋体"/>
                <w:color w:val="auto"/>
                <w:sz w:val="24"/>
                <w:highlight w:val="none"/>
              </w:rPr>
            </w:pPr>
          </w:p>
        </w:tc>
      </w:tr>
      <w:tr w14:paraId="6D0B0039">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4571550A">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430" w:type="dxa"/>
            <w:tcBorders>
              <w:top w:val="single" w:color="000000" w:sz="4" w:space="0"/>
              <w:left w:val="single" w:color="000000" w:sz="4" w:space="0"/>
              <w:bottom w:val="single" w:color="000000" w:sz="4" w:space="0"/>
              <w:right w:val="single" w:color="000000" w:sz="4" w:space="0"/>
            </w:tcBorders>
            <w:noWrap/>
          </w:tcPr>
          <w:p w14:paraId="632949AE">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624863B0">
            <w:pPr>
              <w:spacing w:line="360" w:lineRule="auto"/>
              <w:jc w:val="center"/>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0FF2513C">
            <w:pPr>
              <w:spacing w:line="360" w:lineRule="auto"/>
              <w:jc w:val="center"/>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205C6219">
            <w:pPr>
              <w:spacing w:line="360" w:lineRule="auto"/>
              <w:jc w:val="center"/>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4D60F7C0">
            <w:pPr>
              <w:spacing w:line="360" w:lineRule="auto"/>
              <w:jc w:val="center"/>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6A28EFFC">
            <w:pPr>
              <w:spacing w:line="360" w:lineRule="auto"/>
              <w:jc w:val="center"/>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49B6173A">
            <w:pPr>
              <w:spacing w:line="360" w:lineRule="auto"/>
              <w:jc w:val="center"/>
              <w:rPr>
                <w:rFonts w:ascii="宋体" w:hAnsi="宋体"/>
                <w:color w:val="auto"/>
                <w:sz w:val="24"/>
                <w:highlight w:val="none"/>
              </w:rPr>
            </w:pPr>
          </w:p>
        </w:tc>
      </w:tr>
      <w:tr w14:paraId="730C5CEF">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2FAD02D9">
            <w:pPr>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1430" w:type="dxa"/>
            <w:tcBorders>
              <w:top w:val="single" w:color="000000" w:sz="4" w:space="0"/>
              <w:left w:val="single" w:color="000000" w:sz="4" w:space="0"/>
              <w:bottom w:val="single" w:color="000000" w:sz="4" w:space="0"/>
              <w:right w:val="single" w:color="000000" w:sz="4" w:space="0"/>
            </w:tcBorders>
            <w:noWrap/>
          </w:tcPr>
          <w:p w14:paraId="76222F7A">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70C990AF">
            <w:pPr>
              <w:spacing w:line="360" w:lineRule="auto"/>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2AFBC058">
            <w:pPr>
              <w:spacing w:line="360" w:lineRule="auto"/>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674648BF">
            <w:pPr>
              <w:spacing w:line="360" w:lineRule="auto"/>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0FE78109">
            <w:pPr>
              <w:spacing w:line="360" w:lineRule="auto"/>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21A4F583">
            <w:pPr>
              <w:spacing w:line="360" w:lineRule="auto"/>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1C3B3235">
            <w:pPr>
              <w:spacing w:line="360" w:lineRule="auto"/>
              <w:rPr>
                <w:rFonts w:ascii="宋体" w:hAnsi="宋体"/>
                <w:color w:val="auto"/>
                <w:sz w:val="24"/>
                <w:highlight w:val="none"/>
              </w:rPr>
            </w:pPr>
          </w:p>
        </w:tc>
      </w:tr>
      <w:tr w14:paraId="3898333F">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1DB49492">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30" w:type="dxa"/>
            <w:tcBorders>
              <w:top w:val="single" w:color="000000" w:sz="4" w:space="0"/>
              <w:left w:val="single" w:color="000000" w:sz="4" w:space="0"/>
              <w:bottom w:val="single" w:color="000000" w:sz="4" w:space="0"/>
              <w:right w:val="single" w:color="000000" w:sz="4" w:space="0"/>
            </w:tcBorders>
            <w:noWrap/>
          </w:tcPr>
          <w:p w14:paraId="458B23AC">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1BC5F531">
            <w:pPr>
              <w:spacing w:line="360" w:lineRule="auto"/>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7BDFA355">
            <w:pPr>
              <w:spacing w:line="360" w:lineRule="auto"/>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19A4E8A3">
            <w:pPr>
              <w:spacing w:line="360" w:lineRule="auto"/>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2494FE43">
            <w:pPr>
              <w:spacing w:line="360" w:lineRule="auto"/>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510B25A0">
            <w:pPr>
              <w:spacing w:line="360" w:lineRule="auto"/>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4AE411EC">
            <w:pPr>
              <w:spacing w:line="360" w:lineRule="auto"/>
              <w:rPr>
                <w:rFonts w:ascii="宋体" w:hAnsi="宋体"/>
                <w:color w:val="auto"/>
                <w:sz w:val="24"/>
                <w:highlight w:val="none"/>
              </w:rPr>
            </w:pPr>
          </w:p>
        </w:tc>
      </w:tr>
      <w:tr w14:paraId="15F4EECA">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7F62AA81">
            <w:pPr>
              <w:spacing w:line="360" w:lineRule="auto"/>
              <w:jc w:val="center"/>
              <w:rPr>
                <w:rFonts w:ascii="宋体" w:hAnsi="宋体"/>
                <w:color w:val="auto"/>
                <w:sz w:val="24"/>
                <w:highlight w:val="none"/>
              </w:rPr>
            </w:pPr>
          </w:p>
        </w:tc>
        <w:tc>
          <w:tcPr>
            <w:tcW w:w="1430" w:type="dxa"/>
            <w:tcBorders>
              <w:top w:val="single" w:color="000000" w:sz="4" w:space="0"/>
              <w:left w:val="single" w:color="000000" w:sz="4" w:space="0"/>
              <w:bottom w:val="single" w:color="000000" w:sz="4" w:space="0"/>
              <w:right w:val="single" w:color="000000" w:sz="4" w:space="0"/>
            </w:tcBorders>
            <w:noWrap/>
          </w:tcPr>
          <w:p w14:paraId="2FE38B8C">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3E9865DC">
            <w:pPr>
              <w:spacing w:line="360" w:lineRule="auto"/>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371A8C85">
            <w:pPr>
              <w:spacing w:line="360" w:lineRule="auto"/>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4D1BA98D">
            <w:pPr>
              <w:spacing w:line="360" w:lineRule="auto"/>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2E77591D">
            <w:pPr>
              <w:spacing w:line="360" w:lineRule="auto"/>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6F9A27D3">
            <w:pPr>
              <w:spacing w:line="360" w:lineRule="auto"/>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63177B17">
            <w:pPr>
              <w:spacing w:line="360" w:lineRule="auto"/>
              <w:rPr>
                <w:rFonts w:ascii="宋体" w:hAnsi="宋体"/>
                <w:color w:val="auto"/>
                <w:sz w:val="24"/>
                <w:highlight w:val="none"/>
              </w:rPr>
            </w:pPr>
          </w:p>
        </w:tc>
      </w:tr>
      <w:tr w14:paraId="223395ED">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01F0F6E8">
            <w:pPr>
              <w:spacing w:line="360" w:lineRule="auto"/>
              <w:jc w:val="center"/>
              <w:rPr>
                <w:rFonts w:ascii="宋体" w:hAnsi="宋体"/>
                <w:color w:val="auto"/>
                <w:sz w:val="24"/>
                <w:highlight w:val="none"/>
              </w:rPr>
            </w:pPr>
          </w:p>
        </w:tc>
        <w:tc>
          <w:tcPr>
            <w:tcW w:w="1430" w:type="dxa"/>
            <w:tcBorders>
              <w:top w:val="single" w:color="000000" w:sz="4" w:space="0"/>
              <w:left w:val="single" w:color="000000" w:sz="4" w:space="0"/>
              <w:bottom w:val="single" w:color="000000" w:sz="4" w:space="0"/>
              <w:right w:val="single" w:color="000000" w:sz="4" w:space="0"/>
            </w:tcBorders>
            <w:noWrap/>
          </w:tcPr>
          <w:p w14:paraId="10852D77">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6A869DE7">
            <w:pPr>
              <w:spacing w:line="360" w:lineRule="auto"/>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304D10E3">
            <w:pPr>
              <w:spacing w:line="360" w:lineRule="auto"/>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5643F33A">
            <w:pPr>
              <w:spacing w:line="360" w:lineRule="auto"/>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152A9F93">
            <w:pPr>
              <w:spacing w:line="360" w:lineRule="auto"/>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62C706F6">
            <w:pPr>
              <w:spacing w:line="360" w:lineRule="auto"/>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4C03F4B9">
            <w:pPr>
              <w:spacing w:line="360" w:lineRule="auto"/>
              <w:rPr>
                <w:rFonts w:ascii="宋体" w:hAnsi="宋体"/>
                <w:color w:val="auto"/>
                <w:sz w:val="24"/>
                <w:highlight w:val="none"/>
              </w:rPr>
            </w:pPr>
          </w:p>
        </w:tc>
      </w:tr>
      <w:tr w14:paraId="56B801AA">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4EE865A2">
            <w:pPr>
              <w:spacing w:line="360" w:lineRule="auto"/>
              <w:jc w:val="center"/>
              <w:rPr>
                <w:rFonts w:ascii="宋体" w:hAnsi="宋体"/>
                <w:color w:val="auto"/>
                <w:sz w:val="24"/>
                <w:highlight w:val="none"/>
              </w:rPr>
            </w:pPr>
          </w:p>
        </w:tc>
        <w:tc>
          <w:tcPr>
            <w:tcW w:w="1430" w:type="dxa"/>
            <w:tcBorders>
              <w:top w:val="single" w:color="000000" w:sz="4" w:space="0"/>
              <w:left w:val="single" w:color="000000" w:sz="4" w:space="0"/>
              <w:bottom w:val="single" w:color="000000" w:sz="4" w:space="0"/>
              <w:right w:val="single" w:color="000000" w:sz="4" w:space="0"/>
            </w:tcBorders>
            <w:noWrap/>
          </w:tcPr>
          <w:p w14:paraId="2126F59B">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56E9946E">
            <w:pPr>
              <w:spacing w:line="360" w:lineRule="auto"/>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39B0DD02">
            <w:pPr>
              <w:spacing w:line="360" w:lineRule="auto"/>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0A55A0EF">
            <w:pPr>
              <w:spacing w:line="360" w:lineRule="auto"/>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38D21304">
            <w:pPr>
              <w:spacing w:line="360" w:lineRule="auto"/>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25C3BB62">
            <w:pPr>
              <w:spacing w:line="360" w:lineRule="auto"/>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7B01DBB4">
            <w:pPr>
              <w:spacing w:line="360" w:lineRule="auto"/>
              <w:rPr>
                <w:rFonts w:ascii="宋体" w:hAnsi="宋体"/>
                <w:color w:val="auto"/>
                <w:sz w:val="24"/>
                <w:highlight w:val="none"/>
              </w:rPr>
            </w:pPr>
          </w:p>
        </w:tc>
      </w:tr>
      <w:tr w14:paraId="05DBB9CB">
        <w:tblPrEx>
          <w:tblCellMar>
            <w:top w:w="0" w:type="dxa"/>
            <w:left w:w="0" w:type="dxa"/>
            <w:bottom w:w="0" w:type="dxa"/>
            <w:right w:w="0" w:type="dxa"/>
          </w:tblCellMar>
        </w:tblPrEx>
        <w:trPr>
          <w:trHeight w:val="454" w:hRule="atLeast"/>
        </w:trPr>
        <w:tc>
          <w:tcPr>
            <w:tcW w:w="717" w:type="dxa"/>
            <w:tcBorders>
              <w:top w:val="single" w:color="000000" w:sz="4" w:space="0"/>
              <w:left w:val="single" w:color="000000" w:sz="4" w:space="0"/>
              <w:bottom w:val="single" w:color="000000" w:sz="4" w:space="0"/>
              <w:right w:val="single" w:color="000000" w:sz="4" w:space="0"/>
            </w:tcBorders>
            <w:noWrap/>
          </w:tcPr>
          <w:p w14:paraId="054012CB">
            <w:pPr>
              <w:spacing w:line="360" w:lineRule="auto"/>
              <w:jc w:val="center"/>
              <w:rPr>
                <w:rFonts w:ascii="宋体" w:hAnsi="宋体"/>
                <w:color w:val="auto"/>
                <w:sz w:val="24"/>
                <w:highlight w:val="none"/>
              </w:rPr>
            </w:pPr>
          </w:p>
        </w:tc>
        <w:tc>
          <w:tcPr>
            <w:tcW w:w="1430" w:type="dxa"/>
            <w:tcBorders>
              <w:top w:val="single" w:color="000000" w:sz="4" w:space="0"/>
              <w:left w:val="single" w:color="000000" w:sz="4" w:space="0"/>
              <w:bottom w:val="single" w:color="000000" w:sz="4" w:space="0"/>
              <w:right w:val="single" w:color="000000" w:sz="4" w:space="0"/>
            </w:tcBorders>
            <w:noWrap/>
          </w:tcPr>
          <w:p w14:paraId="0B24DC11">
            <w:pPr>
              <w:spacing w:line="360" w:lineRule="auto"/>
              <w:jc w:val="center"/>
              <w:rPr>
                <w:rFonts w:ascii="宋体" w:hAnsi="宋体"/>
                <w:color w:val="auto"/>
                <w:sz w:val="24"/>
                <w:highlight w:val="none"/>
              </w:rPr>
            </w:pPr>
          </w:p>
        </w:tc>
        <w:tc>
          <w:tcPr>
            <w:tcW w:w="1745" w:type="dxa"/>
            <w:tcBorders>
              <w:top w:val="single" w:color="000000" w:sz="4" w:space="0"/>
              <w:left w:val="nil"/>
              <w:bottom w:val="single" w:color="000000" w:sz="4" w:space="0"/>
              <w:right w:val="single" w:color="000000" w:sz="4" w:space="0"/>
            </w:tcBorders>
            <w:noWrap/>
          </w:tcPr>
          <w:p w14:paraId="3960EEEB">
            <w:pPr>
              <w:spacing w:line="360" w:lineRule="auto"/>
              <w:rPr>
                <w:rFonts w:ascii="宋体" w:hAnsi="宋体"/>
                <w:color w:val="auto"/>
                <w:sz w:val="24"/>
                <w:highlight w:val="none"/>
              </w:rPr>
            </w:pPr>
          </w:p>
        </w:tc>
        <w:tc>
          <w:tcPr>
            <w:tcW w:w="1091" w:type="dxa"/>
            <w:tcBorders>
              <w:top w:val="single" w:color="000000" w:sz="4" w:space="0"/>
              <w:left w:val="nil"/>
              <w:bottom w:val="single" w:color="000000" w:sz="4" w:space="0"/>
              <w:right w:val="single" w:color="000000" w:sz="4" w:space="0"/>
            </w:tcBorders>
            <w:noWrap/>
          </w:tcPr>
          <w:p w14:paraId="3AC0B147">
            <w:pPr>
              <w:spacing w:line="360" w:lineRule="auto"/>
              <w:rPr>
                <w:rFonts w:ascii="宋体" w:hAnsi="宋体"/>
                <w:color w:val="auto"/>
                <w:sz w:val="24"/>
                <w:highlight w:val="none"/>
              </w:rPr>
            </w:pPr>
          </w:p>
        </w:tc>
        <w:tc>
          <w:tcPr>
            <w:tcW w:w="735" w:type="dxa"/>
            <w:tcBorders>
              <w:top w:val="single" w:color="000000" w:sz="4" w:space="0"/>
              <w:left w:val="nil"/>
              <w:bottom w:val="single" w:color="000000" w:sz="4" w:space="0"/>
              <w:right w:val="single" w:color="auto" w:sz="4" w:space="0"/>
            </w:tcBorders>
            <w:noWrap/>
          </w:tcPr>
          <w:p w14:paraId="538D1359">
            <w:pPr>
              <w:spacing w:line="360" w:lineRule="auto"/>
              <w:rPr>
                <w:rFonts w:ascii="宋体" w:hAnsi="宋体"/>
                <w:color w:val="auto"/>
                <w:sz w:val="24"/>
                <w:highlight w:val="none"/>
              </w:rPr>
            </w:pPr>
          </w:p>
        </w:tc>
        <w:tc>
          <w:tcPr>
            <w:tcW w:w="766" w:type="dxa"/>
            <w:tcBorders>
              <w:top w:val="single" w:color="000000" w:sz="4" w:space="0"/>
              <w:left w:val="single" w:color="auto" w:sz="4" w:space="0"/>
              <w:bottom w:val="single" w:color="000000" w:sz="4" w:space="0"/>
              <w:right w:val="single" w:color="000000" w:sz="4" w:space="0"/>
            </w:tcBorders>
            <w:noWrap/>
          </w:tcPr>
          <w:p w14:paraId="28FC6669">
            <w:pPr>
              <w:spacing w:line="360" w:lineRule="auto"/>
              <w:rPr>
                <w:rFonts w:ascii="宋体" w:hAnsi="宋体"/>
                <w:color w:val="auto"/>
                <w:sz w:val="24"/>
                <w:highlight w:val="none"/>
              </w:rPr>
            </w:pPr>
          </w:p>
        </w:tc>
        <w:tc>
          <w:tcPr>
            <w:tcW w:w="777" w:type="dxa"/>
            <w:tcBorders>
              <w:top w:val="single" w:color="000000" w:sz="4" w:space="0"/>
              <w:left w:val="nil"/>
              <w:bottom w:val="single" w:color="000000" w:sz="4" w:space="0"/>
              <w:right w:val="single" w:color="000000" w:sz="4" w:space="0"/>
            </w:tcBorders>
            <w:noWrap/>
          </w:tcPr>
          <w:p w14:paraId="345A064F">
            <w:pPr>
              <w:spacing w:line="360" w:lineRule="auto"/>
              <w:rPr>
                <w:rFonts w:ascii="宋体" w:hAnsi="宋体"/>
                <w:color w:val="auto"/>
                <w:sz w:val="24"/>
                <w:highlight w:val="none"/>
              </w:rPr>
            </w:pPr>
          </w:p>
        </w:tc>
        <w:tc>
          <w:tcPr>
            <w:tcW w:w="987" w:type="dxa"/>
            <w:tcBorders>
              <w:top w:val="single" w:color="000000" w:sz="4" w:space="0"/>
              <w:left w:val="nil"/>
              <w:bottom w:val="single" w:color="000000" w:sz="4" w:space="0"/>
              <w:right w:val="single" w:color="000000" w:sz="4" w:space="0"/>
            </w:tcBorders>
            <w:noWrap/>
          </w:tcPr>
          <w:p w14:paraId="28A0F6FD">
            <w:pPr>
              <w:spacing w:line="360" w:lineRule="auto"/>
              <w:rPr>
                <w:rFonts w:ascii="宋体" w:hAnsi="宋体"/>
                <w:color w:val="auto"/>
                <w:sz w:val="24"/>
                <w:highlight w:val="none"/>
              </w:rPr>
            </w:pPr>
          </w:p>
        </w:tc>
      </w:tr>
      <w:tr w14:paraId="60B1ABA2">
        <w:tblPrEx>
          <w:tblCellMar>
            <w:top w:w="0" w:type="dxa"/>
            <w:left w:w="0" w:type="dxa"/>
            <w:bottom w:w="0" w:type="dxa"/>
            <w:right w:w="0" w:type="dxa"/>
          </w:tblCellMar>
        </w:tblPrEx>
        <w:trPr>
          <w:trHeight w:val="454" w:hRule="atLeast"/>
        </w:trPr>
        <w:tc>
          <w:tcPr>
            <w:tcW w:w="2147" w:type="dxa"/>
            <w:gridSpan w:val="2"/>
            <w:tcBorders>
              <w:top w:val="single" w:color="000000" w:sz="4" w:space="0"/>
              <w:left w:val="single" w:color="000000" w:sz="4" w:space="0"/>
              <w:bottom w:val="single" w:color="000000" w:sz="4" w:space="0"/>
              <w:right w:val="single" w:color="000000" w:sz="4" w:space="0"/>
            </w:tcBorders>
            <w:noWrap/>
          </w:tcPr>
          <w:p w14:paraId="21193B23">
            <w:pPr>
              <w:spacing w:line="360" w:lineRule="auto"/>
              <w:jc w:val="center"/>
              <w:rPr>
                <w:rFonts w:ascii="宋体" w:hAnsi="宋体"/>
                <w:color w:val="auto"/>
                <w:sz w:val="24"/>
                <w:highlight w:val="none"/>
              </w:rPr>
            </w:pPr>
            <w:r>
              <w:rPr>
                <w:rFonts w:hint="eastAsia" w:ascii="宋体" w:hAnsi="宋体"/>
                <w:color w:val="auto"/>
                <w:sz w:val="24"/>
                <w:highlight w:val="none"/>
              </w:rPr>
              <w:t>合计</w:t>
            </w:r>
          </w:p>
        </w:tc>
        <w:tc>
          <w:tcPr>
            <w:tcW w:w="6101" w:type="dxa"/>
            <w:gridSpan w:val="6"/>
            <w:tcBorders>
              <w:top w:val="single" w:color="000000" w:sz="4" w:space="0"/>
              <w:left w:val="nil"/>
              <w:bottom w:val="single" w:color="000000" w:sz="4" w:space="0"/>
              <w:right w:val="single" w:color="000000" w:sz="4" w:space="0"/>
            </w:tcBorders>
            <w:noWrap/>
          </w:tcPr>
          <w:p w14:paraId="3855C9ED">
            <w:pPr>
              <w:spacing w:line="360" w:lineRule="auto"/>
              <w:jc w:val="left"/>
              <w:rPr>
                <w:rFonts w:ascii="宋体" w:hAnsi="宋体"/>
                <w:color w:val="auto"/>
                <w:sz w:val="24"/>
                <w:highlight w:val="none"/>
              </w:rPr>
            </w:pPr>
            <w:r>
              <w:rPr>
                <w:rFonts w:hint="eastAsia" w:ascii="宋体" w:hAnsi="宋体"/>
                <w:color w:val="auto"/>
                <w:sz w:val="24"/>
                <w:highlight w:val="none"/>
              </w:rPr>
              <w:t>大写： （¥：       ）</w:t>
            </w:r>
          </w:p>
        </w:tc>
      </w:tr>
    </w:tbl>
    <w:p w14:paraId="3AD13D36">
      <w:pPr>
        <w:spacing w:line="360" w:lineRule="auto"/>
        <w:rPr>
          <w:rFonts w:ascii="宋体" w:hAnsi="宋体"/>
          <w:color w:val="auto"/>
          <w:sz w:val="24"/>
          <w:highlight w:val="none"/>
        </w:rPr>
      </w:pPr>
      <w:r>
        <w:rPr>
          <w:rFonts w:hint="eastAsia" w:ascii="宋体" w:hAnsi="宋体"/>
          <w:color w:val="auto"/>
          <w:sz w:val="24"/>
          <w:highlight w:val="none"/>
        </w:rPr>
        <w:t>注：1）报价表包含投标单位各项成本核算和投入的成本明细；各投标人应根据此表格式按项目分别填写报价详细清单，栏数不够可自加。本投标报价“合计金额”应与“开标一览表”投标总报价总额一致；否则以开标一览表为准。</w:t>
      </w:r>
    </w:p>
    <w:p w14:paraId="6355343B">
      <w:pPr>
        <w:pStyle w:val="18"/>
        <w:spacing w:line="360" w:lineRule="auto"/>
        <w:rPr>
          <w:b/>
          <w:bCs/>
          <w:color w:val="auto"/>
          <w:highlight w:val="none"/>
        </w:rPr>
      </w:pPr>
      <w:r>
        <w:rPr>
          <w:rFonts w:hint="eastAsia"/>
          <w:b/>
          <w:bCs/>
          <w:color w:val="auto"/>
          <w:sz w:val="24"/>
          <w:highlight w:val="none"/>
        </w:rPr>
        <w:t>2）投标报价不得超过采购预算及最高单价限价，否则作无效报价处理。</w:t>
      </w:r>
    </w:p>
    <w:p w14:paraId="05E3B5F1">
      <w:pPr>
        <w:spacing w:line="360" w:lineRule="auto"/>
        <w:rPr>
          <w:rFonts w:ascii="宋体" w:hAnsi="宋体"/>
          <w:color w:val="auto"/>
          <w:sz w:val="24"/>
          <w:highlight w:val="none"/>
        </w:rPr>
      </w:pPr>
    </w:p>
    <w:p w14:paraId="02216265">
      <w:pPr>
        <w:spacing w:line="360" w:lineRule="auto"/>
        <w:rPr>
          <w:rFonts w:ascii="宋体" w:hAnsi="宋体"/>
          <w:color w:val="auto"/>
          <w:sz w:val="24"/>
          <w:highlight w:val="none"/>
        </w:rPr>
      </w:pPr>
    </w:p>
    <w:p w14:paraId="0478600E">
      <w:pPr>
        <w:spacing w:line="360" w:lineRule="auto"/>
        <w:rPr>
          <w:rFonts w:ascii="宋体" w:hAnsi="宋体"/>
          <w:color w:val="auto"/>
          <w:sz w:val="24"/>
          <w:highlight w:val="none"/>
        </w:rPr>
      </w:pPr>
      <w:r>
        <w:rPr>
          <w:rFonts w:hint="eastAsia" w:ascii="宋体" w:hAnsi="宋体"/>
          <w:color w:val="auto"/>
          <w:sz w:val="24"/>
          <w:highlight w:val="none"/>
        </w:rPr>
        <w:t>投标单位：（单位盖章）</w:t>
      </w:r>
    </w:p>
    <w:p w14:paraId="52DBFD6D">
      <w:pPr>
        <w:spacing w:line="360" w:lineRule="auto"/>
        <w:rPr>
          <w:rFonts w:ascii="宋体" w:hAnsi="宋体"/>
          <w:color w:val="auto"/>
          <w:sz w:val="24"/>
          <w:highlight w:val="none"/>
        </w:rPr>
      </w:pPr>
      <w:r>
        <w:rPr>
          <w:rFonts w:hint="eastAsia" w:ascii="宋体" w:hAnsi="宋体"/>
          <w:color w:val="auto"/>
          <w:sz w:val="24"/>
          <w:highlight w:val="none"/>
        </w:rPr>
        <w:t>法定代表人或代理人：（签字或盖章）</w:t>
      </w:r>
    </w:p>
    <w:p w14:paraId="025D7366">
      <w:pPr>
        <w:spacing w:line="360" w:lineRule="auto"/>
        <w:rPr>
          <w:rFonts w:ascii="宋体" w:hAnsi="宋体"/>
          <w:color w:val="auto"/>
          <w:sz w:val="28"/>
          <w:szCs w:val="28"/>
          <w:highlight w:val="none"/>
        </w:rPr>
      </w:pPr>
      <w:r>
        <w:rPr>
          <w:rFonts w:hint="eastAsia" w:ascii="宋体" w:hAnsi="宋体"/>
          <w:color w:val="auto"/>
          <w:sz w:val="24"/>
          <w:highlight w:val="none"/>
        </w:rPr>
        <w:t>日期：     年     月     日</w:t>
      </w:r>
    </w:p>
    <w:p w14:paraId="046686C2">
      <w:pPr>
        <w:spacing w:line="360" w:lineRule="auto"/>
        <w:rPr>
          <w:rFonts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rPr>
        <w:t>3.3关于投标报价合理性的澄清说明</w:t>
      </w:r>
    </w:p>
    <w:p w14:paraId="5FC441FB">
      <w:pPr>
        <w:ind w:firstLine="420"/>
        <w:jc w:val="center"/>
        <w:rPr>
          <w:rFonts w:ascii="宋体" w:hAnsi="宋体"/>
          <w:b/>
          <w:color w:val="auto"/>
          <w:szCs w:val="21"/>
          <w:highlight w:val="none"/>
        </w:rPr>
      </w:pPr>
    </w:p>
    <w:p w14:paraId="49C170EB">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关于投标报价合理性的澄清说明</w:t>
      </w:r>
    </w:p>
    <w:p w14:paraId="09275ECA">
      <w:pPr>
        <w:spacing w:line="360" w:lineRule="auto"/>
        <w:jc w:val="left"/>
        <w:rPr>
          <w:rFonts w:ascii="宋体" w:hAnsi="宋体"/>
          <w:color w:val="auto"/>
          <w:sz w:val="24"/>
          <w:szCs w:val="24"/>
          <w:highlight w:val="none"/>
          <w:u w:val="single"/>
        </w:rPr>
      </w:pPr>
    </w:p>
    <w:p w14:paraId="2A9AC30A">
      <w:pPr>
        <w:spacing w:line="360" w:lineRule="auto"/>
        <w:jc w:val="left"/>
        <w:rPr>
          <w:rFonts w:ascii="宋体" w:hAnsi="宋体"/>
          <w:color w:val="auto"/>
          <w:sz w:val="24"/>
          <w:szCs w:val="24"/>
          <w:highlight w:val="none"/>
        </w:rPr>
      </w:pPr>
      <w:r>
        <w:rPr>
          <w:rFonts w:hint="eastAsia" w:ascii="宋体" w:hAnsi="宋体"/>
          <w:color w:val="auto"/>
          <w:sz w:val="24"/>
          <w:szCs w:val="24"/>
          <w:highlight w:val="none"/>
          <w:u w:val="single"/>
        </w:rPr>
        <w:t>苏州时代招投标有限公司</w:t>
      </w:r>
      <w:r>
        <w:rPr>
          <w:rFonts w:ascii="宋体" w:hAnsi="宋体"/>
          <w:color w:val="auto"/>
          <w:sz w:val="24"/>
          <w:szCs w:val="24"/>
          <w:highlight w:val="none"/>
        </w:rPr>
        <w:t>：</w:t>
      </w:r>
    </w:p>
    <w:p w14:paraId="02531515">
      <w:pPr>
        <w:pStyle w:val="18"/>
        <w:spacing w:line="360" w:lineRule="auto"/>
        <w:ind w:firstLine="420"/>
        <w:rPr>
          <w:rFonts w:cs="宋体"/>
          <w:color w:val="auto"/>
          <w:sz w:val="24"/>
          <w:szCs w:val="24"/>
          <w:highlight w:val="none"/>
        </w:rPr>
      </w:pPr>
      <w:r>
        <w:rPr>
          <w:color w:val="auto"/>
          <w:sz w:val="24"/>
          <w:szCs w:val="24"/>
          <w:highlight w:val="none"/>
        </w:rPr>
        <w:t>本公司愿就贵</w:t>
      </w:r>
      <w:r>
        <w:rPr>
          <w:rFonts w:hint="eastAsia"/>
          <w:color w:val="auto"/>
          <w:sz w:val="24"/>
          <w:szCs w:val="24"/>
          <w:highlight w:val="none"/>
        </w:rPr>
        <w:t>公司</w:t>
      </w:r>
      <w:r>
        <w:rPr>
          <w:color w:val="auto"/>
          <w:sz w:val="24"/>
          <w:szCs w:val="24"/>
          <w:highlight w:val="none"/>
        </w:rPr>
        <w:t>组织实施的编号为号（</w:t>
      </w:r>
      <w:r>
        <w:rPr>
          <w:rFonts w:hint="eastAsia"/>
          <w:color w:val="auto"/>
          <w:sz w:val="24"/>
          <w:szCs w:val="24"/>
          <w:highlight w:val="none"/>
        </w:rPr>
        <w:t>项目</w:t>
      </w:r>
      <w:r>
        <w:rPr>
          <w:color w:val="auto"/>
          <w:sz w:val="24"/>
          <w:szCs w:val="24"/>
          <w:highlight w:val="none"/>
        </w:rPr>
        <w:t>编号）的招标活动进行投标</w:t>
      </w:r>
      <w:r>
        <w:rPr>
          <w:rFonts w:hint="eastAsia"/>
          <w:color w:val="auto"/>
          <w:sz w:val="24"/>
          <w:szCs w:val="24"/>
          <w:highlight w:val="none"/>
        </w:rPr>
        <w:t>，对于本公司的投标报价合理性作出说明如下：</w:t>
      </w:r>
    </w:p>
    <w:tbl>
      <w:tblPr>
        <w:tblStyle w:val="39"/>
        <w:tblW w:w="8235"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5"/>
      </w:tblGrid>
      <w:tr w14:paraId="0761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8235" w:type="dxa"/>
            <w:noWrap/>
            <w:vAlign w:val="center"/>
          </w:tcPr>
          <w:p w14:paraId="6657DD54">
            <w:pPr>
              <w:spacing w:line="360" w:lineRule="auto"/>
              <w:rPr>
                <w:rFonts w:ascii="宋体" w:hAnsi="宋体"/>
                <w:b/>
                <w:color w:val="auto"/>
                <w:sz w:val="24"/>
                <w:szCs w:val="24"/>
                <w:highlight w:val="none"/>
                <w:shd w:val="pct10" w:color="auto" w:fill="FFFFFF"/>
              </w:rPr>
            </w:pPr>
            <w:r>
              <w:rPr>
                <w:rFonts w:hint="eastAsia" w:ascii="宋体" w:hAnsi="宋体"/>
                <w:b/>
                <w:color w:val="auto"/>
                <w:sz w:val="24"/>
                <w:szCs w:val="24"/>
                <w:highlight w:val="none"/>
              </w:rPr>
              <w:t>投标人应当根据实际情况自拟答复并根据评标委员会关于澄清的要求提供相关证明材料作为附件。</w:t>
            </w:r>
          </w:p>
        </w:tc>
      </w:tr>
    </w:tbl>
    <w:p w14:paraId="3562A5E3">
      <w:pPr>
        <w:spacing w:line="360" w:lineRule="auto"/>
        <w:rPr>
          <w:rFonts w:ascii="宋体" w:hAnsi="宋体"/>
          <w:bCs/>
          <w:color w:val="auto"/>
          <w:sz w:val="24"/>
          <w:szCs w:val="24"/>
          <w:highlight w:val="none"/>
          <w:lang w:val="zh-CN"/>
        </w:rPr>
      </w:pPr>
      <w:bookmarkStart w:id="16" w:name="OLE_LINK24"/>
      <w:bookmarkStart w:id="17" w:name="OLE_LINK21"/>
      <w:bookmarkStart w:id="18" w:name="OLE_LINK23"/>
      <w:bookmarkStart w:id="19" w:name="OLE_LINK26"/>
      <w:r>
        <w:rPr>
          <w:rFonts w:hint="eastAsia" w:ascii="宋体" w:hAnsi="宋体"/>
          <w:bCs/>
          <w:color w:val="auto"/>
          <w:sz w:val="24"/>
          <w:szCs w:val="24"/>
          <w:highlight w:val="none"/>
          <w:lang w:val="zh-CN"/>
        </w:rPr>
        <w:t>备注：根据招标文件第二章“投标人须知”第26.4</w:t>
      </w:r>
      <w:bookmarkStart w:id="20" w:name="OLE_LINK12"/>
      <w:r>
        <w:rPr>
          <w:rFonts w:hint="eastAsia" w:ascii="宋体" w:hAnsi="宋体"/>
          <w:bCs/>
          <w:color w:val="auto"/>
          <w:sz w:val="24"/>
          <w:szCs w:val="24"/>
          <w:highlight w:val="none"/>
          <w:lang w:val="zh-CN"/>
        </w:rPr>
        <w:t>条要求，在评标过程中当出现投标</w:t>
      </w:r>
      <w:r>
        <w:rPr>
          <w:rFonts w:ascii="宋体" w:hAnsi="宋体"/>
          <w:bCs/>
          <w:color w:val="auto"/>
          <w:sz w:val="24"/>
          <w:szCs w:val="24"/>
          <w:highlight w:val="none"/>
          <w:lang w:val="zh-CN"/>
        </w:rPr>
        <w:t>报价低于采购项目预算</w:t>
      </w:r>
      <w:r>
        <w:rPr>
          <w:rFonts w:hint="eastAsia" w:ascii="宋体" w:hAnsi="宋体"/>
          <w:bCs/>
          <w:color w:val="auto"/>
          <w:sz w:val="24"/>
          <w:szCs w:val="24"/>
          <w:highlight w:val="none"/>
          <w:lang w:val="zh-CN"/>
        </w:rPr>
        <w:t>50%或者投标</w:t>
      </w:r>
      <w:r>
        <w:rPr>
          <w:rFonts w:ascii="宋体" w:hAnsi="宋体"/>
          <w:bCs/>
          <w:color w:val="auto"/>
          <w:sz w:val="24"/>
          <w:szCs w:val="24"/>
          <w:highlight w:val="none"/>
          <w:lang w:val="zh-CN"/>
        </w:rPr>
        <w:t>报价</w:t>
      </w:r>
      <w:r>
        <w:rPr>
          <w:rFonts w:hint="eastAsia" w:ascii="宋体" w:hAnsi="宋体"/>
          <w:bCs/>
          <w:color w:val="auto"/>
          <w:sz w:val="24"/>
          <w:szCs w:val="24"/>
          <w:highlight w:val="none"/>
          <w:lang w:val="zh-CN"/>
        </w:rPr>
        <w:t>低于</w:t>
      </w:r>
      <w:r>
        <w:rPr>
          <w:rFonts w:ascii="宋体" w:hAnsi="宋体"/>
          <w:bCs/>
          <w:color w:val="auto"/>
          <w:sz w:val="24"/>
          <w:szCs w:val="24"/>
          <w:highlight w:val="none"/>
          <w:lang w:val="zh-CN"/>
        </w:rPr>
        <w:t>采购项目最高</w:t>
      </w:r>
      <w:r>
        <w:rPr>
          <w:rFonts w:hint="eastAsia" w:ascii="宋体" w:hAnsi="宋体"/>
          <w:bCs/>
          <w:color w:val="auto"/>
          <w:sz w:val="24"/>
          <w:szCs w:val="24"/>
          <w:highlight w:val="none"/>
          <w:lang w:val="zh-CN"/>
        </w:rPr>
        <w:t>限价</w:t>
      </w:r>
      <w:r>
        <w:rPr>
          <w:rFonts w:ascii="宋体" w:hAnsi="宋体"/>
          <w:bCs/>
          <w:color w:val="auto"/>
          <w:sz w:val="24"/>
          <w:szCs w:val="24"/>
          <w:highlight w:val="none"/>
          <w:lang w:val="zh-CN"/>
        </w:rPr>
        <w:t>45%</w:t>
      </w:r>
      <w:bookmarkEnd w:id="20"/>
      <w:r>
        <w:rPr>
          <w:rFonts w:hint="eastAsia" w:ascii="宋体" w:hAnsi="宋体"/>
          <w:bCs/>
          <w:color w:val="auto"/>
          <w:sz w:val="24"/>
          <w:szCs w:val="24"/>
          <w:highlight w:val="none"/>
          <w:lang w:val="zh-CN"/>
        </w:rPr>
        <w:t>或者评标委员会认定的供应商报价过低、有可能影响产品质量或者不能诚信履约的其他情形时，</w:t>
      </w:r>
      <w:bookmarkStart w:id="21" w:name="OLE_LINK18"/>
      <w:bookmarkStart w:id="22" w:name="OLE_LINK19"/>
      <w:r>
        <w:rPr>
          <w:rFonts w:hint="eastAsia" w:ascii="宋体" w:hAnsi="宋体"/>
          <w:bCs/>
          <w:color w:val="auto"/>
          <w:sz w:val="24"/>
          <w:szCs w:val="24"/>
          <w:highlight w:val="none"/>
          <w:lang w:val="zh-CN"/>
        </w:rPr>
        <w:t>评标委员会</w:t>
      </w:r>
      <w:bookmarkEnd w:id="21"/>
      <w:bookmarkEnd w:id="22"/>
      <w:r>
        <w:rPr>
          <w:rFonts w:hint="eastAsia" w:ascii="宋体" w:hAnsi="宋体"/>
          <w:bCs/>
          <w:color w:val="auto"/>
          <w:sz w:val="24"/>
          <w:szCs w:val="24"/>
          <w:highlight w:val="none"/>
          <w:lang w:val="zh-CN"/>
        </w:rPr>
        <w:t>应当启动异常低价投标审查程序。评标委员会应当要求投标人出具书面说明及必要的证明材料，对投标价格作出解释。书面说明、证明材料主要是项目具体成本测算等与报价合理性相关的说明、材料（例如进货合同及发票、往期类似项目合同报价清单、库存清单、仓库照片等，最终以评标委员会具体要求为准）。投标人不能证明其报价合理性的，评标委员会应当将其作为无效投标处理。</w:t>
      </w:r>
      <w:bookmarkEnd w:id="16"/>
      <w:bookmarkEnd w:id="17"/>
      <w:bookmarkEnd w:id="18"/>
      <w:bookmarkEnd w:id="19"/>
    </w:p>
    <w:p w14:paraId="69557944">
      <w:pPr>
        <w:spacing w:line="360" w:lineRule="auto"/>
        <w:ind w:firstLine="4830"/>
        <w:jc w:val="left"/>
        <w:rPr>
          <w:rFonts w:ascii="宋体" w:hAnsi="宋体"/>
          <w:color w:val="auto"/>
          <w:sz w:val="24"/>
          <w:szCs w:val="24"/>
          <w:highlight w:val="none"/>
        </w:rPr>
      </w:pPr>
    </w:p>
    <w:p w14:paraId="5EC4C5D7">
      <w:pPr>
        <w:spacing w:line="360" w:lineRule="auto"/>
        <w:ind w:firstLine="4830"/>
        <w:jc w:val="left"/>
        <w:rPr>
          <w:rFonts w:ascii="宋体" w:hAnsi="宋体"/>
          <w:color w:val="auto"/>
          <w:sz w:val="24"/>
          <w:szCs w:val="24"/>
          <w:highlight w:val="none"/>
        </w:rPr>
      </w:pPr>
    </w:p>
    <w:p w14:paraId="1A854811">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投标人（盖章）： </w:t>
      </w:r>
    </w:p>
    <w:p w14:paraId="6D833E74">
      <w:pPr>
        <w:spacing w:line="360" w:lineRule="auto"/>
        <w:jc w:val="left"/>
        <w:rPr>
          <w:rFonts w:ascii="宋体" w:hAnsi="宋体"/>
          <w:color w:val="auto"/>
          <w:sz w:val="24"/>
          <w:szCs w:val="24"/>
          <w:highlight w:val="none"/>
        </w:rPr>
      </w:pPr>
      <w:r>
        <w:rPr>
          <w:rFonts w:ascii="宋体" w:hAnsi="宋体"/>
          <w:color w:val="auto"/>
          <w:sz w:val="24"/>
          <w:szCs w:val="24"/>
          <w:highlight w:val="none"/>
        </w:rPr>
        <w:t>法定代表人或代理人（签字或盖章）：</w:t>
      </w:r>
    </w:p>
    <w:p w14:paraId="281E8DAE">
      <w:pPr>
        <w:spacing w:line="360" w:lineRule="auto"/>
        <w:jc w:val="left"/>
        <w:rPr>
          <w:rFonts w:ascii="宋体" w:hAnsi="宋体"/>
          <w:b/>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：年 月 日</w:t>
      </w:r>
    </w:p>
    <w:p w14:paraId="2AB5339F">
      <w:pPr>
        <w:spacing w:line="360" w:lineRule="auto"/>
        <w:rPr>
          <w:rFonts w:ascii="宋体" w:hAnsi="宋体"/>
          <w:color w:val="auto"/>
          <w:sz w:val="28"/>
          <w:szCs w:val="28"/>
          <w:highlight w:val="none"/>
        </w:rPr>
      </w:pPr>
      <w:r>
        <w:rPr>
          <w:rFonts w:hint="eastAsia" w:ascii="宋体" w:hAnsi="宋体"/>
          <w:color w:val="auto"/>
          <w:sz w:val="28"/>
          <w:szCs w:val="28"/>
          <w:highlight w:val="none"/>
        </w:rPr>
        <w:t>4、投标货物和服务数量、品牌规格、性能说明表</w:t>
      </w:r>
    </w:p>
    <w:p w14:paraId="0D4076A2">
      <w:pPr>
        <w:spacing w:before="100" w:beforeAutospacing="1" w:after="100" w:afterAutospacing="1" w:line="480" w:lineRule="auto"/>
        <w:jc w:val="center"/>
        <w:rPr>
          <w:rFonts w:ascii="宋体" w:hAnsi="宋体"/>
          <w:bCs/>
          <w:color w:val="auto"/>
          <w:sz w:val="24"/>
          <w:szCs w:val="24"/>
          <w:highlight w:val="none"/>
        </w:rPr>
      </w:pPr>
      <w:r>
        <w:rPr>
          <w:rFonts w:hint="eastAsia" w:ascii="宋体" w:hAnsi="宋体"/>
          <w:bCs/>
          <w:color w:val="auto"/>
          <w:sz w:val="24"/>
          <w:szCs w:val="24"/>
          <w:highlight w:val="none"/>
        </w:rPr>
        <w:t>投标货物和服务数量、品牌规格、性能说明表</w:t>
      </w:r>
    </w:p>
    <w:tbl>
      <w:tblPr>
        <w:tblStyle w:val="39"/>
        <w:tblW w:w="8277" w:type="dxa"/>
        <w:jc w:val="center"/>
        <w:tblLayout w:type="fixed"/>
        <w:tblCellMar>
          <w:top w:w="0" w:type="dxa"/>
          <w:left w:w="0" w:type="dxa"/>
          <w:bottom w:w="0" w:type="dxa"/>
          <w:right w:w="0" w:type="dxa"/>
        </w:tblCellMar>
      </w:tblPr>
      <w:tblGrid>
        <w:gridCol w:w="958"/>
        <w:gridCol w:w="1683"/>
        <w:gridCol w:w="1360"/>
        <w:gridCol w:w="1879"/>
        <w:gridCol w:w="1119"/>
        <w:gridCol w:w="1278"/>
      </w:tblGrid>
      <w:tr w14:paraId="1B1D6EFE">
        <w:tblPrEx>
          <w:tblCellMar>
            <w:top w:w="0" w:type="dxa"/>
            <w:left w:w="0" w:type="dxa"/>
            <w:bottom w:w="0" w:type="dxa"/>
            <w:right w:w="0" w:type="dxa"/>
          </w:tblCellMar>
        </w:tblPrEx>
        <w:trPr>
          <w:trHeight w:val="609" w:hRule="atLeast"/>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F776891">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02EA326">
            <w:pPr>
              <w:jc w:val="center"/>
              <w:rPr>
                <w:rFonts w:ascii="宋体" w:hAnsi="宋体" w:cs="宋体"/>
                <w:color w:val="auto"/>
                <w:sz w:val="24"/>
                <w:szCs w:val="24"/>
                <w:highlight w:val="none"/>
              </w:rPr>
            </w:pPr>
            <w:r>
              <w:rPr>
                <w:rFonts w:hint="eastAsia" w:ascii="宋体" w:hAnsi="宋体" w:cs="宋体"/>
                <w:color w:val="auto"/>
                <w:sz w:val="24"/>
                <w:szCs w:val="24"/>
                <w:highlight w:val="none"/>
              </w:rPr>
              <w:t>标的物名称</w:t>
            </w: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1F8B57">
            <w:pPr>
              <w:jc w:val="center"/>
              <w:rPr>
                <w:rFonts w:ascii="宋体" w:hAnsi="宋体" w:cs="宋体"/>
                <w:color w:val="auto"/>
                <w:sz w:val="24"/>
                <w:szCs w:val="24"/>
                <w:highlight w:val="none"/>
              </w:rPr>
            </w:pPr>
            <w:r>
              <w:rPr>
                <w:rFonts w:hint="eastAsia" w:ascii="宋体" w:hAnsi="宋体" w:cs="宋体"/>
                <w:color w:val="auto"/>
                <w:sz w:val="24"/>
                <w:szCs w:val="24"/>
                <w:highlight w:val="none"/>
              </w:rPr>
              <w:t>品牌</w:t>
            </w: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2B39F7">
            <w:pPr>
              <w:jc w:val="center"/>
              <w:rPr>
                <w:rFonts w:ascii="宋体" w:hAnsi="宋体" w:cs="宋体"/>
                <w:color w:val="auto"/>
                <w:sz w:val="24"/>
                <w:szCs w:val="24"/>
                <w:highlight w:val="none"/>
              </w:rPr>
            </w:pPr>
            <w:r>
              <w:rPr>
                <w:rFonts w:hint="eastAsia" w:ascii="宋体" w:hAnsi="宋体" w:cs="宋体"/>
                <w:color w:val="auto"/>
                <w:sz w:val="24"/>
                <w:szCs w:val="24"/>
                <w:highlight w:val="none"/>
              </w:rPr>
              <w:t>规格尺寸</w:t>
            </w: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4814FE">
            <w:pPr>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07EFADC">
            <w:pPr>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r>
      <w:tr w14:paraId="310AC179">
        <w:tblPrEx>
          <w:tblCellMar>
            <w:top w:w="0" w:type="dxa"/>
            <w:left w:w="0" w:type="dxa"/>
            <w:bottom w:w="0" w:type="dxa"/>
            <w:right w:w="0" w:type="dxa"/>
          </w:tblCellMar>
        </w:tblPrEx>
        <w:trPr>
          <w:trHeight w:val="443" w:hRule="atLeast"/>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1D6AD92">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E1D2E01">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6A4471E">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4ED3F02">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72B36D6">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23FF8B95">
            <w:pPr>
              <w:spacing w:line="360" w:lineRule="auto"/>
              <w:jc w:val="center"/>
              <w:rPr>
                <w:rFonts w:ascii="宋体" w:hAnsi="宋体" w:cs="宋体"/>
                <w:color w:val="auto"/>
                <w:sz w:val="24"/>
                <w:szCs w:val="24"/>
                <w:highlight w:val="none"/>
              </w:rPr>
            </w:pPr>
          </w:p>
        </w:tc>
      </w:tr>
      <w:tr w14:paraId="36D0DB60">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33AD76B">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E6B29D6">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7D1436E">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3BCD066">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6B7128B">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058DAA06">
            <w:pPr>
              <w:spacing w:line="360" w:lineRule="auto"/>
              <w:jc w:val="center"/>
              <w:rPr>
                <w:rFonts w:ascii="宋体" w:hAnsi="宋体" w:cs="宋体"/>
                <w:color w:val="auto"/>
                <w:sz w:val="24"/>
                <w:szCs w:val="24"/>
                <w:highlight w:val="none"/>
              </w:rPr>
            </w:pPr>
          </w:p>
        </w:tc>
      </w:tr>
      <w:tr w14:paraId="63185190">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77763C">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F5CE1B4">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2EA0267">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E125F5B">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E0D3CE6">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9BE6618">
            <w:pPr>
              <w:spacing w:line="360" w:lineRule="auto"/>
              <w:jc w:val="center"/>
              <w:rPr>
                <w:rFonts w:ascii="宋体" w:hAnsi="宋体" w:cs="宋体"/>
                <w:color w:val="auto"/>
                <w:sz w:val="24"/>
                <w:szCs w:val="24"/>
                <w:highlight w:val="none"/>
              </w:rPr>
            </w:pPr>
          </w:p>
        </w:tc>
      </w:tr>
      <w:tr w14:paraId="585D4C61">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70B4B9">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3974FFF">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C83123C">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46D7F03">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B6F080A">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4952C5D8">
            <w:pPr>
              <w:spacing w:line="360" w:lineRule="auto"/>
              <w:jc w:val="center"/>
              <w:rPr>
                <w:rFonts w:ascii="宋体" w:hAnsi="宋体" w:cs="宋体"/>
                <w:color w:val="auto"/>
                <w:sz w:val="24"/>
                <w:szCs w:val="24"/>
                <w:highlight w:val="none"/>
              </w:rPr>
            </w:pPr>
          </w:p>
        </w:tc>
      </w:tr>
      <w:tr w14:paraId="2368CFAD">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A96E8E1">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D33D890">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2657085">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CA86DB1">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B26FACB">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12A31C92">
            <w:pPr>
              <w:spacing w:line="360" w:lineRule="auto"/>
              <w:jc w:val="center"/>
              <w:rPr>
                <w:rFonts w:ascii="宋体" w:hAnsi="宋体" w:cs="宋体"/>
                <w:color w:val="auto"/>
                <w:sz w:val="24"/>
                <w:szCs w:val="24"/>
                <w:highlight w:val="none"/>
              </w:rPr>
            </w:pPr>
          </w:p>
        </w:tc>
      </w:tr>
      <w:tr w14:paraId="6C7FEE2F">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92551BF">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737625A">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1E8F65B">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AD743B6">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514D8A1">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668617F7">
            <w:pPr>
              <w:spacing w:line="360" w:lineRule="auto"/>
              <w:jc w:val="center"/>
              <w:rPr>
                <w:rFonts w:ascii="宋体" w:hAnsi="宋体" w:cs="宋体"/>
                <w:color w:val="auto"/>
                <w:sz w:val="24"/>
                <w:szCs w:val="24"/>
                <w:highlight w:val="none"/>
              </w:rPr>
            </w:pPr>
          </w:p>
        </w:tc>
      </w:tr>
      <w:tr w14:paraId="7ACA093C">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011AA18">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DA008F2">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C4ED81B">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FB7FF5F">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3BB1784">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387849B6">
            <w:pPr>
              <w:spacing w:line="360" w:lineRule="auto"/>
              <w:jc w:val="center"/>
              <w:rPr>
                <w:rFonts w:ascii="宋体" w:hAnsi="宋体" w:cs="宋体"/>
                <w:color w:val="auto"/>
                <w:sz w:val="24"/>
                <w:szCs w:val="24"/>
                <w:highlight w:val="none"/>
              </w:rPr>
            </w:pPr>
          </w:p>
        </w:tc>
      </w:tr>
      <w:tr w14:paraId="4A7185A3">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6D58FE8">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846081C">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72E76E1">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F7ED5AB">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E38A04B">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3B30F49A">
            <w:pPr>
              <w:spacing w:line="360" w:lineRule="auto"/>
              <w:jc w:val="center"/>
              <w:rPr>
                <w:rFonts w:ascii="宋体" w:hAnsi="宋体" w:cs="宋体"/>
                <w:color w:val="auto"/>
                <w:sz w:val="24"/>
                <w:szCs w:val="24"/>
                <w:highlight w:val="none"/>
              </w:rPr>
            </w:pPr>
          </w:p>
        </w:tc>
      </w:tr>
      <w:tr w14:paraId="6C317D39">
        <w:tblPrEx>
          <w:tblCellMar>
            <w:top w:w="0" w:type="dxa"/>
            <w:left w:w="0" w:type="dxa"/>
            <w:bottom w:w="0" w:type="dxa"/>
            <w:right w:w="0"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599755">
            <w:pPr>
              <w:jc w:val="center"/>
              <w:rPr>
                <w:rFonts w:ascii="宋体" w:hAnsi="宋体" w:cs="宋体"/>
                <w:color w:val="auto"/>
                <w:sz w:val="24"/>
                <w:szCs w:val="24"/>
                <w:highlight w:val="none"/>
              </w:rPr>
            </w:pP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018BE3C">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E491708">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7B67AC9">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AC2D481">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8D70CAC">
            <w:pPr>
              <w:spacing w:line="360" w:lineRule="auto"/>
              <w:jc w:val="center"/>
              <w:rPr>
                <w:rFonts w:ascii="宋体" w:hAnsi="宋体" w:cs="宋体"/>
                <w:color w:val="auto"/>
                <w:sz w:val="24"/>
                <w:szCs w:val="24"/>
                <w:highlight w:val="none"/>
              </w:rPr>
            </w:pPr>
          </w:p>
        </w:tc>
      </w:tr>
      <w:tr w14:paraId="428557DF">
        <w:trPr>
          <w:jc w:val="center"/>
        </w:trPr>
        <w:tc>
          <w:tcPr>
            <w:tcW w:w="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1C4168A">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68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B082A6B">
            <w:pPr>
              <w:spacing w:line="360" w:lineRule="auto"/>
              <w:jc w:val="center"/>
              <w:rPr>
                <w:rFonts w:ascii="宋体" w:hAnsi="宋体" w:cs="宋体"/>
                <w:color w:val="auto"/>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29E65C4">
            <w:pPr>
              <w:spacing w:line="360" w:lineRule="auto"/>
              <w:jc w:val="center"/>
              <w:rPr>
                <w:rFonts w:ascii="宋体" w:hAnsi="宋体" w:cs="宋体"/>
                <w:color w:val="auto"/>
                <w:sz w:val="24"/>
                <w:szCs w:val="24"/>
                <w:highlight w:val="none"/>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AE2750D">
            <w:pPr>
              <w:spacing w:line="360" w:lineRule="auto"/>
              <w:jc w:val="center"/>
              <w:rPr>
                <w:rFonts w:ascii="宋体" w:hAnsi="宋体" w:cs="宋体"/>
                <w:color w:val="auto"/>
                <w:sz w:val="24"/>
                <w:szCs w:val="24"/>
                <w:highlight w:val="none"/>
              </w:rPr>
            </w:pPr>
          </w:p>
        </w:tc>
        <w:tc>
          <w:tcPr>
            <w:tcW w:w="11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2AC2206">
            <w:pPr>
              <w:spacing w:line="360" w:lineRule="auto"/>
              <w:jc w:val="center"/>
              <w:rPr>
                <w:rFonts w:ascii="宋体" w:hAnsi="宋体" w:cs="宋体"/>
                <w:color w:val="auto"/>
                <w:sz w:val="24"/>
                <w:szCs w:val="24"/>
                <w:highlight w:val="none"/>
              </w:rPr>
            </w:pP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18D1FC88">
            <w:pPr>
              <w:spacing w:line="360" w:lineRule="auto"/>
              <w:jc w:val="center"/>
              <w:rPr>
                <w:rFonts w:ascii="宋体" w:hAnsi="宋体" w:cs="宋体"/>
                <w:color w:val="auto"/>
                <w:sz w:val="24"/>
                <w:szCs w:val="24"/>
                <w:highlight w:val="none"/>
              </w:rPr>
            </w:pPr>
          </w:p>
        </w:tc>
      </w:tr>
    </w:tbl>
    <w:p w14:paraId="202B299F">
      <w:pPr>
        <w:jc w:val="left"/>
        <w:rPr>
          <w:rFonts w:ascii="宋体" w:hAnsi="宋体"/>
          <w:b/>
          <w:color w:val="auto"/>
          <w:szCs w:val="21"/>
          <w:highlight w:val="none"/>
        </w:rPr>
      </w:pPr>
    </w:p>
    <w:p w14:paraId="0180F68F">
      <w:pPr>
        <w:spacing w:line="360" w:lineRule="auto"/>
        <w:ind w:firstLine="4830"/>
        <w:jc w:val="left"/>
        <w:rPr>
          <w:rFonts w:ascii="宋体" w:hAnsi="宋体"/>
          <w:color w:val="auto"/>
          <w:sz w:val="24"/>
          <w:szCs w:val="24"/>
          <w:highlight w:val="none"/>
        </w:rPr>
      </w:pPr>
    </w:p>
    <w:p w14:paraId="21BC4C41">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投标人（盖章）： </w:t>
      </w:r>
    </w:p>
    <w:p w14:paraId="7E60E465">
      <w:pPr>
        <w:spacing w:line="360" w:lineRule="auto"/>
        <w:jc w:val="left"/>
        <w:rPr>
          <w:rFonts w:ascii="宋体" w:hAnsi="宋体"/>
          <w:color w:val="auto"/>
          <w:sz w:val="24"/>
          <w:szCs w:val="24"/>
          <w:highlight w:val="none"/>
        </w:rPr>
      </w:pPr>
      <w:r>
        <w:rPr>
          <w:rFonts w:ascii="宋体" w:hAnsi="宋体"/>
          <w:color w:val="auto"/>
          <w:sz w:val="24"/>
          <w:szCs w:val="24"/>
          <w:highlight w:val="none"/>
        </w:rPr>
        <w:t>法定代表人或代理人（签字或盖章）：</w:t>
      </w:r>
    </w:p>
    <w:p w14:paraId="6C0B3DDF">
      <w:pPr>
        <w:spacing w:line="360" w:lineRule="auto"/>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：年 月 日</w:t>
      </w:r>
    </w:p>
    <w:p w14:paraId="001A9FA6">
      <w:pPr>
        <w:spacing w:line="360" w:lineRule="auto"/>
        <w:rPr>
          <w:rFonts w:ascii="宋体" w:hAnsi="宋体"/>
          <w:color w:val="auto"/>
          <w:sz w:val="24"/>
          <w:szCs w:val="24"/>
          <w:highlight w:val="none"/>
        </w:rPr>
      </w:pPr>
    </w:p>
    <w:p w14:paraId="324A1B19">
      <w:pPr>
        <w:spacing w:line="360" w:lineRule="auto"/>
        <w:rPr>
          <w:rFonts w:ascii="宋体" w:hAnsi="宋体"/>
          <w:color w:val="auto"/>
          <w:sz w:val="28"/>
          <w:szCs w:val="28"/>
          <w:highlight w:val="none"/>
        </w:rPr>
      </w:pPr>
    </w:p>
    <w:p w14:paraId="530E4AF6">
      <w:pPr>
        <w:spacing w:line="360" w:lineRule="auto"/>
        <w:rPr>
          <w:rFonts w:ascii="宋体" w:hAnsi="宋体"/>
          <w:color w:val="auto"/>
          <w:sz w:val="28"/>
          <w:szCs w:val="28"/>
          <w:highlight w:val="none"/>
        </w:rPr>
      </w:pPr>
    </w:p>
    <w:p w14:paraId="6B6A497F">
      <w:pPr>
        <w:spacing w:line="360" w:lineRule="auto"/>
        <w:rPr>
          <w:rFonts w:ascii="宋体" w:hAnsi="宋体"/>
          <w:color w:val="auto"/>
          <w:sz w:val="28"/>
          <w:szCs w:val="28"/>
          <w:highlight w:val="none"/>
        </w:rPr>
      </w:pPr>
    </w:p>
    <w:p w14:paraId="00086277">
      <w:pPr>
        <w:spacing w:line="360" w:lineRule="auto"/>
        <w:rPr>
          <w:rFonts w:ascii="宋体" w:hAnsi="宋体"/>
          <w:color w:val="auto"/>
          <w:sz w:val="28"/>
          <w:szCs w:val="28"/>
          <w:highlight w:val="none"/>
        </w:rPr>
      </w:pPr>
    </w:p>
    <w:p w14:paraId="069E017B">
      <w:pPr>
        <w:spacing w:line="360" w:lineRule="auto"/>
        <w:rPr>
          <w:rFonts w:ascii="宋体" w:hAnsi="宋体"/>
          <w:color w:val="auto"/>
          <w:sz w:val="28"/>
          <w:szCs w:val="28"/>
          <w:highlight w:val="none"/>
        </w:rPr>
      </w:pPr>
    </w:p>
    <w:p w14:paraId="3E9D45C5">
      <w:pPr>
        <w:spacing w:line="360" w:lineRule="auto"/>
        <w:rPr>
          <w:rFonts w:ascii="宋体" w:hAnsi="宋体"/>
          <w:color w:val="auto"/>
          <w:sz w:val="28"/>
          <w:szCs w:val="28"/>
          <w:highlight w:val="none"/>
        </w:rPr>
      </w:pPr>
    </w:p>
    <w:p w14:paraId="16678D70">
      <w:pPr>
        <w:spacing w:line="360" w:lineRule="auto"/>
        <w:rPr>
          <w:rFonts w:ascii="宋体" w:hAnsi="宋体"/>
          <w:color w:val="auto"/>
          <w:sz w:val="28"/>
          <w:szCs w:val="28"/>
          <w:highlight w:val="none"/>
        </w:rPr>
      </w:pPr>
    </w:p>
    <w:p w14:paraId="1770CC2E">
      <w:pPr>
        <w:spacing w:line="360" w:lineRule="auto"/>
        <w:rPr>
          <w:rFonts w:ascii="宋体" w:hAnsi="宋体"/>
          <w:color w:val="auto"/>
          <w:sz w:val="28"/>
          <w:szCs w:val="28"/>
          <w:highlight w:val="none"/>
        </w:rPr>
      </w:pPr>
    </w:p>
    <w:p w14:paraId="738EE282">
      <w:pPr>
        <w:spacing w:line="360" w:lineRule="auto"/>
        <w:rPr>
          <w:rFonts w:ascii="宋体" w:hAnsi="宋体"/>
          <w:color w:val="auto"/>
          <w:sz w:val="28"/>
          <w:szCs w:val="28"/>
          <w:highlight w:val="none"/>
        </w:rPr>
      </w:pPr>
      <w:r>
        <w:rPr>
          <w:rFonts w:hint="eastAsia" w:ascii="宋体" w:hAnsi="宋体"/>
          <w:color w:val="auto"/>
          <w:sz w:val="28"/>
          <w:szCs w:val="28"/>
          <w:highlight w:val="none"/>
        </w:rPr>
        <w:t>5、技术参数响应及偏离表</w:t>
      </w:r>
    </w:p>
    <w:p w14:paraId="55EDE383">
      <w:pPr>
        <w:spacing w:line="360" w:lineRule="auto"/>
        <w:jc w:val="center"/>
        <w:rPr>
          <w:rFonts w:ascii="宋体" w:hAnsi="宋体"/>
          <w:bCs/>
          <w:color w:val="auto"/>
          <w:sz w:val="24"/>
          <w:szCs w:val="24"/>
          <w:highlight w:val="none"/>
        </w:rPr>
      </w:pPr>
    </w:p>
    <w:p w14:paraId="7D89C39C">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技术参数响应及偏离表</w:t>
      </w:r>
    </w:p>
    <w:tbl>
      <w:tblPr>
        <w:tblStyle w:val="39"/>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54"/>
        <w:gridCol w:w="1710"/>
        <w:gridCol w:w="1635"/>
        <w:gridCol w:w="1440"/>
        <w:gridCol w:w="1365"/>
      </w:tblGrid>
      <w:tr w14:paraId="2EBA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4" w:type="dxa"/>
            <w:noWrap/>
            <w:vAlign w:val="center"/>
          </w:tcPr>
          <w:p w14:paraId="323EAE47">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4" w:type="dxa"/>
            <w:noWrap/>
            <w:vAlign w:val="center"/>
          </w:tcPr>
          <w:p w14:paraId="0EE684D4">
            <w:pPr>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1710" w:type="dxa"/>
            <w:noWrap/>
            <w:vAlign w:val="center"/>
          </w:tcPr>
          <w:p w14:paraId="53C0B49D">
            <w:pPr>
              <w:jc w:val="center"/>
              <w:rPr>
                <w:rFonts w:ascii="宋体" w:hAnsi="宋体" w:cs="宋体"/>
                <w:color w:val="auto"/>
                <w:sz w:val="24"/>
                <w:szCs w:val="24"/>
                <w:highlight w:val="none"/>
              </w:rPr>
            </w:pPr>
            <w:r>
              <w:rPr>
                <w:rFonts w:hint="eastAsia" w:ascii="宋体" w:hAnsi="宋体" w:cs="宋体"/>
                <w:color w:val="auto"/>
                <w:sz w:val="24"/>
                <w:szCs w:val="24"/>
                <w:highlight w:val="none"/>
              </w:rPr>
              <w:t>招标要求</w:t>
            </w:r>
          </w:p>
        </w:tc>
        <w:tc>
          <w:tcPr>
            <w:tcW w:w="1635" w:type="dxa"/>
            <w:noWrap/>
            <w:vAlign w:val="center"/>
          </w:tcPr>
          <w:p w14:paraId="0E09A6B5">
            <w:pPr>
              <w:jc w:val="center"/>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1440" w:type="dxa"/>
            <w:noWrap/>
            <w:vAlign w:val="center"/>
          </w:tcPr>
          <w:p w14:paraId="0AAE023B">
            <w:pPr>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c>
          <w:tcPr>
            <w:tcW w:w="1365" w:type="dxa"/>
            <w:noWrap/>
            <w:vAlign w:val="center"/>
          </w:tcPr>
          <w:p w14:paraId="377AB18D">
            <w:pPr>
              <w:jc w:val="center"/>
              <w:rPr>
                <w:rFonts w:ascii="宋体" w:hAnsi="宋体" w:cs="宋体"/>
                <w:color w:val="auto"/>
                <w:sz w:val="24"/>
                <w:szCs w:val="24"/>
                <w:highlight w:val="none"/>
              </w:rPr>
            </w:pPr>
            <w:r>
              <w:rPr>
                <w:rFonts w:hint="eastAsia" w:ascii="宋体" w:hAnsi="宋体" w:cs="宋体"/>
                <w:color w:val="auto"/>
                <w:sz w:val="24"/>
                <w:szCs w:val="24"/>
                <w:highlight w:val="none"/>
              </w:rPr>
              <w:t>证明材料</w:t>
            </w:r>
          </w:p>
        </w:tc>
      </w:tr>
      <w:tr w14:paraId="6C7A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42BAE2DB">
            <w:pPr>
              <w:jc w:val="center"/>
              <w:rPr>
                <w:rFonts w:ascii="宋体" w:hAnsi="宋体" w:cs="宋体"/>
                <w:color w:val="auto"/>
                <w:sz w:val="24"/>
                <w:szCs w:val="24"/>
                <w:highlight w:val="none"/>
              </w:rPr>
            </w:pPr>
          </w:p>
        </w:tc>
        <w:tc>
          <w:tcPr>
            <w:tcW w:w="1554" w:type="dxa"/>
            <w:noWrap/>
            <w:vAlign w:val="center"/>
          </w:tcPr>
          <w:p w14:paraId="5E8ACE1E">
            <w:pPr>
              <w:jc w:val="center"/>
              <w:rPr>
                <w:rFonts w:ascii="宋体" w:hAnsi="宋体" w:cs="宋体"/>
                <w:color w:val="auto"/>
                <w:sz w:val="24"/>
                <w:szCs w:val="24"/>
                <w:highlight w:val="none"/>
              </w:rPr>
            </w:pPr>
          </w:p>
        </w:tc>
        <w:tc>
          <w:tcPr>
            <w:tcW w:w="1710" w:type="dxa"/>
            <w:noWrap/>
            <w:vAlign w:val="center"/>
          </w:tcPr>
          <w:p w14:paraId="58D3825F">
            <w:pPr>
              <w:jc w:val="center"/>
              <w:rPr>
                <w:rFonts w:ascii="宋体" w:hAnsi="宋体" w:cs="宋体"/>
                <w:color w:val="auto"/>
                <w:sz w:val="24"/>
                <w:szCs w:val="24"/>
                <w:highlight w:val="none"/>
              </w:rPr>
            </w:pPr>
          </w:p>
        </w:tc>
        <w:tc>
          <w:tcPr>
            <w:tcW w:w="1635" w:type="dxa"/>
            <w:noWrap/>
            <w:vAlign w:val="center"/>
          </w:tcPr>
          <w:p w14:paraId="616C9D66">
            <w:pPr>
              <w:jc w:val="center"/>
              <w:rPr>
                <w:rFonts w:ascii="宋体" w:hAnsi="宋体" w:cs="宋体"/>
                <w:color w:val="auto"/>
                <w:sz w:val="24"/>
                <w:szCs w:val="24"/>
                <w:highlight w:val="none"/>
              </w:rPr>
            </w:pPr>
          </w:p>
        </w:tc>
        <w:tc>
          <w:tcPr>
            <w:tcW w:w="1440" w:type="dxa"/>
            <w:noWrap/>
            <w:vAlign w:val="center"/>
          </w:tcPr>
          <w:p w14:paraId="18A5F336">
            <w:pPr>
              <w:jc w:val="center"/>
              <w:rPr>
                <w:rFonts w:ascii="宋体" w:hAnsi="宋体" w:cs="宋体"/>
                <w:color w:val="auto"/>
                <w:sz w:val="24"/>
                <w:szCs w:val="24"/>
                <w:highlight w:val="none"/>
              </w:rPr>
            </w:pPr>
          </w:p>
        </w:tc>
        <w:tc>
          <w:tcPr>
            <w:tcW w:w="1365" w:type="dxa"/>
            <w:noWrap/>
          </w:tcPr>
          <w:p w14:paraId="551A0D6F">
            <w:pPr>
              <w:jc w:val="center"/>
              <w:rPr>
                <w:rFonts w:ascii="宋体" w:hAnsi="宋体" w:cs="宋体"/>
                <w:color w:val="auto"/>
                <w:sz w:val="24"/>
                <w:szCs w:val="24"/>
                <w:highlight w:val="none"/>
              </w:rPr>
            </w:pPr>
          </w:p>
        </w:tc>
      </w:tr>
      <w:tr w14:paraId="6216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70A7F711">
            <w:pPr>
              <w:jc w:val="center"/>
              <w:rPr>
                <w:rFonts w:ascii="宋体" w:hAnsi="宋体" w:cs="宋体"/>
                <w:color w:val="auto"/>
                <w:sz w:val="24"/>
                <w:szCs w:val="24"/>
                <w:highlight w:val="none"/>
              </w:rPr>
            </w:pPr>
          </w:p>
        </w:tc>
        <w:tc>
          <w:tcPr>
            <w:tcW w:w="1554" w:type="dxa"/>
            <w:noWrap/>
            <w:vAlign w:val="center"/>
          </w:tcPr>
          <w:p w14:paraId="59027131">
            <w:pPr>
              <w:jc w:val="center"/>
              <w:rPr>
                <w:rFonts w:ascii="宋体" w:hAnsi="宋体" w:cs="宋体"/>
                <w:color w:val="auto"/>
                <w:sz w:val="24"/>
                <w:szCs w:val="24"/>
                <w:highlight w:val="none"/>
              </w:rPr>
            </w:pPr>
          </w:p>
        </w:tc>
        <w:tc>
          <w:tcPr>
            <w:tcW w:w="1710" w:type="dxa"/>
            <w:noWrap/>
            <w:vAlign w:val="center"/>
          </w:tcPr>
          <w:p w14:paraId="00C9DE28">
            <w:pPr>
              <w:jc w:val="center"/>
              <w:rPr>
                <w:rFonts w:ascii="宋体" w:hAnsi="宋体" w:cs="宋体"/>
                <w:color w:val="auto"/>
                <w:sz w:val="24"/>
                <w:szCs w:val="24"/>
                <w:highlight w:val="none"/>
              </w:rPr>
            </w:pPr>
          </w:p>
        </w:tc>
        <w:tc>
          <w:tcPr>
            <w:tcW w:w="1635" w:type="dxa"/>
            <w:noWrap/>
            <w:vAlign w:val="center"/>
          </w:tcPr>
          <w:p w14:paraId="44CA6C9B">
            <w:pPr>
              <w:jc w:val="center"/>
              <w:rPr>
                <w:rFonts w:ascii="宋体" w:hAnsi="宋体" w:cs="宋体"/>
                <w:color w:val="auto"/>
                <w:sz w:val="24"/>
                <w:szCs w:val="24"/>
                <w:highlight w:val="none"/>
              </w:rPr>
            </w:pPr>
          </w:p>
        </w:tc>
        <w:tc>
          <w:tcPr>
            <w:tcW w:w="1440" w:type="dxa"/>
            <w:noWrap/>
            <w:vAlign w:val="center"/>
          </w:tcPr>
          <w:p w14:paraId="66FAF6D0">
            <w:pPr>
              <w:jc w:val="center"/>
              <w:rPr>
                <w:rFonts w:ascii="宋体" w:hAnsi="宋体" w:cs="宋体"/>
                <w:color w:val="auto"/>
                <w:sz w:val="24"/>
                <w:szCs w:val="24"/>
                <w:highlight w:val="none"/>
              </w:rPr>
            </w:pPr>
          </w:p>
        </w:tc>
        <w:tc>
          <w:tcPr>
            <w:tcW w:w="1365" w:type="dxa"/>
            <w:noWrap/>
          </w:tcPr>
          <w:p w14:paraId="1B435D73">
            <w:pPr>
              <w:jc w:val="center"/>
              <w:rPr>
                <w:rFonts w:ascii="宋体" w:hAnsi="宋体" w:cs="宋体"/>
                <w:color w:val="auto"/>
                <w:sz w:val="24"/>
                <w:szCs w:val="24"/>
                <w:highlight w:val="none"/>
              </w:rPr>
            </w:pPr>
          </w:p>
        </w:tc>
      </w:tr>
      <w:tr w14:paraId="2C07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3C1ED1F6">
            <w:pPr>
              <w:jc w:val="center"/>
              <w:rPr>
                <w:rFonts w:ascii="宋体" w:hAnsi="宋体" w:cs="宋体"/>
                <w:color w:val="auto"/>
                <w:sz w:val="24"/>
                <w:szCs w:val="24"/>
                <w:highlight w:val="none"/>
              </w:rPr>
            </w:pPr>
          </w:p>
        </w:tc>
        <w:tc>
          <w:tcPr>
            <w:tcW w:w="1554" w:type="dxa"/>
            <w:noWrap/>
            <w:vAlign w:val="center"/>
          </w:tcPr>
          <w:p w14:paraId="32DAE4AD">
            <w:pPr>
              <w:jc w:val="center"/>
              <w:rPr>
                <w:rFonts w:ascii="宋体" w:hAnsi="宋体" w:cs="宋体"/>
                <w:color w:val="auto"/>
                <w:sz w:val="24"/>
                <w:szCs w:val="24"/>
                <w:highlight w:val="none"/>
              </w:rPr>
            </w:pPr>
          </w:p>
        </w:tc>
        <w:tc>
          <w:tcPr>
            <w:tcW w:w="1710" w:type="dxa"/>
            <w:noWrap/>
            <w:vAlign w:val="center"/>
          </w:tcPr>
          <w:p w14:paraId="1CDECE54">
            <w:pPr>
              <w:jc w:val="center"/>
              <w:rPr>
                <w:rFonts w:ascii="宋体" w:hAnsi="宋体" w:cs="宋体"/>
                <w:color w:val="auto"/>
                <w:sz w:val="24"/>
                <w:szCs w:val="24"/>
                <w:highlight w:val="none"/>
              </w:rPr>
            </w:pPr>
          </w:p>
        </w:tc>
        <w:tc>
          <w:tcPr>
            <w:tcW w:w="1635" w:type="dxa"/>
            <w:noWrap/>
            <w:vAlign w:val="center"/>
          </w:tcPr>
          <w:p w14:paraId="7E23AC60">
            <w:pPr>
              <w:jc w:val="center"/>
              <w:rPr>
                <w:rFonts w:ascii="宋体" w:hAnsi="宋体" w:cs="宋体"/>
                <w:color w:val="auto"/>
                <w:sz w:val="24"/>
                <w:szCs w:val="24"/>
                <w:highlight w:val="none"/>
              </w:rPr>
            </w:pPr>
          </w:p>
        </w:tc>
        <w:tc>
          <w:tcPr>
            <w:tcW w:w="1440" w:type="dxa"/>
            <w:noWrap/>
            <w:vAlign w:val="center"/>
          </w:tcPr>
          <w:p w14:paraId="3E3E76FE">
            <w:pPr>
              <w:jc w:val="center"/>
              <w:rPr>
                <w:rFonts w:ascii="宋体" w:hAnsi="宋体" w:cs="宋体"/>
                <w:color w:val="auto"/>
                <w:sz w:val="24"/>
                <w:szCs w:val="24"/>
                <w:highlight w:val="none"/>
              </w:rPr>
            </w:pPr>
          </w:p>
        </w:tc>
        <w:tc>
          <w:tcPr>
            <w:tcW w:w="1365" w:type="dxa"/>
            <w:noWrap/>
          </w:tcPr>
          <w:p w14:paraId="54FB900D">
            <w:pPr>
              <w:jc w:val="center"/>
              <w:rPr>
                <w:rFonts w:ascii="宋体" w:hAnsi="宋体" w:cs="宋体"/>
                <w:color w:val="auto"/>
                <w:sz w:val="24"/>
                <w:szCs w:val="24"/>
                <w:highlight w:val="none"/>
              </w:rPr>
            </w:pPr>
          </w:p>
        </w:tc>
      </w:tr>
      <w:tr w14:paraId="47F8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1CD16EC7">
            <w:pPr>
              <w:jc w:val="center"/>
              <w:rPr>
                <w:rFonts w:ascii="宋体" w:hAnsi="宋体" w:cs="宋体"/>
                <w:color w:val="auto"/>
                <w:sz w:val="24"/>
                <w:szCs w:val="24"/>
                <w:highlight w:val="none"/>
              </w:rPr>
            </w:pPr>
          </w:p>
        </w:tc>
        <w:tc>
          <w:tcPr>
            <w:tcW w:w="1554" w:type="dxa"/>
            <w:noWrap/>
            <w:vAlign w:val="center"/>
          </w:tcPr>
          <w:p w14:paraId="6E7326C7">
            <w:pPr>
              <w:jc w:val="center"/>
              <w:rPr>
                <w:rFonts w:ascii="宋体" w:hAnsi="宋体" w:cs="宋体"/>
                <w:color w:val="auto"/>
                <w:sz w:val="24"/>
                <w:szCs w:val="24"/>
                <w:highlight w:val="none"/>
              </w:rPr>
            </w:pPr>
          </w:p>
        </w:tc>
        <w:tc>
          <w:tcPr>
            <w:tcW w:w="1710" w:type="dxa"/>
            <w:noWrap/>
            <w:vAlign w:val="center"/>
          </w:tcPr>
          <w:p w14:paraId="43B3344E">
            <w:pPr>
              <w:jc w:val="center"/>
              <w:rPr>
                <w:rFonts w:ascii="宋体" w:hAnsi="宋体" w:cs="宋体"/>
                <w:color w:val="auto"/>
                <w:sz w:val="24"/>
                <w:szCs w:val="24"/>
                <w:highlight w:val="none"/>
              </w:rPr>
            </w:pPr>
          </w:p>
        </w:tc>
        <w:tc>
          <w:tcPr>
            <w:tcW w:w="1635" w:type="dxa"/>
            <w:noWrap/>
            <w:vAlign w:val="center"/>
          </w:tcPr>
          <w:p w14:paraId="50CDA545">
            <w:pPr>
              <w:jc w:val="center"/>
              <w:rPr>
                <w:rFonts w:ascii="宋体" w:hAnsi="宋体" w:cs="宋体"/>
                <w:color w:val="auto"/>
                <w:sz w:val="24"/>
                <w:szCs w:val="24"/>
                <w:highlight w:val="none"/>
              </w:rPr>
            </w:pPr>
          </w:p>
        </w:tc>
        <w:tc>
          <w:tcPr>
            <w:tcW w:w="1440" w:type="dxa"/>
            <w:noWrap/>
            <w:vAlign w:val="center"/>
          </w:tcPr>
          <w:p w14:paraId="79143C4B">
            <w:pPr>
              <w:jc w:val="center"/>
              <w:rPr>
                <w:rFonts w:ascii="宋体" w:hAnsi="宋体" w:cs="宋体"/>
                <w:color w:val="auto"/>
                <w:sz w:val="24"/>
                <w:szCs w:val="24"/>
                <w:highlight w:val="none"/>
              </w:rPr>
            </w:pPr>
          </w:p>
        </w:tc>
        <w:tc>
          <w:tcPr>
            <w:tcW w:w="1365" w:type="dxa"/>
            <w:noWrap/>
          </w:tcPr>
          <w:p w14:paraId="420AA1F3">
            <w:pPr>
              <w:jc w:val="center"/>
              <w:rPr>
                <w:rFonts w:ascii="宋体" w:hAnsi="宋体" w:cs="宋体"/>
                <w:color w:val="auto"/>
                <w:sz w:val="24"/>
                <w:szCs w:val="24"/>
                <w:highlight w:val="none"/>
              </w:rPr>
            </w:pPr>
          </w:p>
        </w:tc>
      </w:tr>
      <w:tr w14:paraId="62EE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4AC5F9E5">
            <w:pPr>
              <w:jc w:val="center"/>
              <w:rPr>
                <w:rFonts w:ascii="宋体" w:hAnsi="宋体" w:cs="宋体"/>
                <w:color w:val="auto"/>
                <w:sz w:val="24"/>
                <w:szCs w:val="24"/>
                <w:highlight w:val="none"/>
              </w:rPr>
            </w:pPr>
          </w:p>
        </w:tc>
        <w:tc>
          <w:tcPr>
            <w:tcW w:w="1554" w:type="dxa"/>
            <w:noWrap/>
            <w:vAlign w:val="center"/>
          </w:tcPr>
          <w:p w14:paraId="542803A5">
            <w:pPr>
              <w:jc w:val="center"/>
              <w:rPr>
                <w:rFonts w:ascii="宋体" w:hAnsi="宋体" w:cs="宋体"/>
                <w:color w:val="auto"/>
                <w:sz w:val="24"/>
                <w:szCs w:val="24"/>
                <w:highlight w:val="none"/>
              </w:rPr>
            </w:pPr>
          </w:p>
        </w:tc>
        <w:tc>
          <w:tcPr>
            <w:tcW w:w="1710" w:type="dxa"/>
            <w:noWrap/>
            <w:vAlign w:val="center"/>
          </w:tcPr>
          <w:p w14:paraId="7782518C">
            <w:pPr>
              <w:jc w:val="center"/>
              <w:rPr>
                <w:rFonts w:ascii="宋体" w:hAnsi="宋体" w:cs="宋体"/>
                <w:color w:val="auto"/>
                <w:sz w:val="24"/>
                <w:szCs w:val="24"/>
                <w:highlight w:val="none"/>
              </w:rPr>
            </w:pPr>
          </w:p>
        </w:tc>
        <w:tc>
          <w:tcPr>
            <w:tcW w:w="1635" w:type="dxa"/>
            <w:noWrap/>
            <w:vAlign w:val="center"/>
          </w:tcPr>
          <w:p w14:paraId="2BA56D1F">
            <w:pPr>
              <w:jc w:val="center"/>
              <w:rPr>
                <w:rFonts w:ascii="宋体" w:hAnsi="宋体" w:cs="宋体"/>
                <w:color w:val="auto"/>
                <w:sz w:val="24"/>
                <w:szCs w:val="24"/>
                <w:highlight w:val="none"/>
              </w:rPr>
            </w:pPr>
          </w:p>
        </w:tc>
        <w:tc>
          <w:tcPr>
            <w:tcW w:w="1440" w:type="dxa"/>
            <w:noWrap/>
            <w:vAlign w:val="center"/>
          </w:tcPr>
          <w:p w14:paraId="1BE88D42">
            <w:pPr>
              <w:jc w:val="center"/>
              <w:rPr>
                <w:rFonts w:ascii="宋体" w:hAnsi="宋体" w:cs="宋体"/>
                <w:color w:val="auto"/>
                <w:sz w:val="24"/>
                <w:szCs w:val="24"/>
                <w:highlight w:val="none"/>
              </w:rPr>
            </w:pPr>
          </w:p>
        </w:tc>
        <w:tc>
          <w:tcPr>
            <w:tcW w:w="1365" w:type="dxa"/>
            <w:noWrap/>
          </w:tcPr>
          <w:p w14:paraId="10860D6D">
            <w:pPr>
              <w:jc w:val="center"/>
              <w:rPr>
                <w:rFonts w:ascii="宋体" w:hAnsi="宋体" w:cs="宋体"/>
                <w:color w:val="auto"/>
                <w:sz w:val="24"/>
                <w:szCs w:val="24"/>
                <w:highlight w:val="none"/>
              </w:rPr>
            </w:pPr>
          </w:p>
        </w:tc>
      </w:tr>
      <w:tr w14:paraId="78C5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59FA0612">
            <w:pPr>
              <w:jc w:val="center"/>
              <w:rPr>
                <w:rFonts w:ascii="宋体" w:hAnsi="宋体" w:cs="宋体"/>
                <w:color w:val="auto"/>
                <w:sz w:val="24"/>
                <w:szCs w:val="24"/>
                <w:highlight w:val="none"/>
              </w:rPr>
            </w:pPr>
          </w:p>
        </w:tc>
        <w:tc>
          <w:tcPr>
            <w:tcW w:w="1554" w:type="dxa"/>
            <w:noWrap/>
            <w:vAlign w:val="center"/>
          </w:tcPr>
          <w:p w14:paraId="0C5999AA">
            <w:pPr>
              <w:jc w:val="center"/>
              <w:rPr>
                <w:rFonts w:ascii="宋体" w:hAnsi="宋体" w:cs="宋体"/>
                <w:color w:val="auto"/>
                <w:sz w:val="24"/>
                <w:szCs w:val="24"/>
                <w:highlight w:val="none"/>
              </w:rPr>
            </w:pPr>
          </w:p>
        </w:tc>
        <w:tc>
          <w:tcPr>
            <w:tcW w:w="1710" w:type="dxa"/>
            <w:noWrap/>
            <w:vAlign w:val="center"/>
          </w:tcPr>
          <w:p w14:paraId="5C3CA305">
            <w:pPr>
              <w:jc w:val="center"/>
              <w:rPr>
                <w:rFonts w:ascii="宋体" w:hAnsi="宋体" w:cs="宋体"/>
                <w:color w:val="auto"/>
                <w:sz w:val="24"/>
                <w:szCs w:val="24"/>
                <w:highlight w:val="none"/>
              </w:rPr>
            </w:pPr>
          </w:p>
        </w:tc>
        <w:tc>
          <w:tcPr>
            <w:tcW w:w="1635" w:type="dxa"/>
            <w:noWrap/>
            <w:vAlign w:val="center"/>
          </w:tcPr>
          <w:p w14:paraId="68D04FC3">
            <w:pPr>
              <w:jc w:val="center"/>
              <w:rPr>
                <w:rFonts w:ascii="宋体" w:hAnsi="宋体" w:cs="宋体"/>
                <w:color w:val="auto"/>
                <w:sz w:val="24"/>
                <w:szCs w:val="24"/>
                <w:highlight w:val="none"/>
              </w:rPr>
            </w:pPr>
          </w:p>
        </w:tc>
        <w:tc>
          <w:tcPr>
            <w:tcW w:w="1440" w:type="dxa"/>
            <w:noWrap/>
            <w:vAlign w:val="center"/>
          </w:tcPr>
          <w:p w14:paraId="237B7DB6">
            <w:pPr>
              <w:jc w:val="center"/>
              <w:rPr>
                <w:rFonts w:ascii="宋体" w:hAnsi="宋体" w:cs="宋体"/>
                <w:color w:val="auto"/>
                <w:sz w:val="24"/>
                <w:szCs w:val="24"/>
                <w:highlight w:val="none"/>
              </w:rPr>
            </w:pPr>
          </w:p>
        </w:tc>
        <w:tc>
          <w:tcPr>
            <w:tcW w:w="1365" w:type="dxa"/>
            <w:noWrap/>
          </w:tcPr>
          <w:p w14:paraId="5F18FF19">
            <w:pPr>
              <w:jc w:val="center"/>
              <w:rPr>
                <w:rFonts w:ascii="宋体" w:hAnsi="宋体" w:cs="宋体"/>
                <w:color w:val="auto"/>
                <w:sz w:val="24"/>
                <w:szCs w:val="24"/>
                <w:highlight w:val="none"/>
              </w:rPr>
            </w:pPr>
          </w:p>
        </w:tc>
      </w:tr>
      <w:tr w14:paraId="4ABB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36A841FA">
            <w:pPr>
              <w:jc w:val="center"/>
              <w:rPr>
                <w:rFonts w:ascii="宋体" w:hAnsi="宋体" w:cs="宋体"/>
                <w:color w:val="auto"/>
                <w:sz w:val="24"/>
                <w:szCs w:val="24"/>
                <w:highlight w:val="none"/>
              </w:rPr>
            </w:pPr>
          </w:p>
        </w:tc>
        <w:tc>
          <w:tcPr>
            <w:tcW w:w="1554" w:type="dxa"/>
            <w:noWrap/>
            <w:vAlign w:val="center"/>
          </w:tcPr>
          <w:p w14:paraId="012AEE38">
            <w:pPr>
              <w:jc w:val="center"/>
              <w:rPr>
                <w:rFonts w:ascii="宋体" w:hAnsi="宋体" w:cs="宋体"/>
                <w:color w:val="auto"/>
                <w:sz w:val="24"/>
                <w:szCs w:val="24"/>
                <w:highlight w:val="none"/>
              </w:rPr>
            </w:pPr>
          </w:p>
        </w:tc>
        <w:tc>
          <w:tcPr>
            <w:tcW w:w="1710" w:type="dxa"/>
            <w:noWrap/>
            <w:vAlign w:val="center"/>
          </w:tcPr>
          <w:p w14:paraId="3583E3C4">
            <w:pPr>
              <w:jc w:val="center"/>
              <w:rPr>
                <w:rFonts w:ascii="宋体" w:hAnsi="宋体" w:cs="宋体"/>
                <w:color w:val="auto"/>
                <w:sz w:val="24"/>
                <w:szCs w:val="24"/>
                <w:highlight w:val="none"/>
              </w:rPr>
            </w:pPr>
          </w:p>
        </w:tc>
        <w:tc>
          <w:tcPr>
            <w:tcW w:w="1635" w:type="dxa"/>
            <w:noWrap/>
            <w:vAlign w:val="center"/>
          </w:tcPr>
          <w:p w14:paraId="1103DB5E">
            <w:pPr>
              <w:jc w:val="center"/>
              <w:rPr>
                <w:rFonts w:ascii="宋体" w:hAnsi="宋体" w:cs="宋体"/>
                <w:color w:val="auto"/>
                <w:sz w:val="24"/>
                <w:szCs w:val="24"/>
                <w:highlight w:val="none"/>
              </w:rPr>
            </w:pPr>
          </w:p>
        </w:tc>
        <w:tc>
          <w:tcPr>
            <w:tcW w:w="1440" w:type="dxa"/>
            <w:noWrap/>
            <w:vAlign w:val="center"/>
          </w:tcPr>
          <w:p w14:paraId="255C5283">
            <w:pPr>
              <w:jc w:val="center"/>
              <w:rPr>
                <w:rFonts w:ascii="宋体" w:hAnsi="宋体" w:cs="宋体"/>
                <w:color w:val="auto"/>
                <w:sz w:val="24"/>
                <w:szCs w:val="24"/>
                <w:highlight w:val="none"/>
              </w:rPr>
            </w:pPr>
          </w:p>
        </w:tc>
        <w:tc>
          <w:tcPr>
            <w:tcW w:w="1365" w:type="dxa"/>
            <w:noWrap/>
          </w:tcPr>
          <w:p w14:paraId="00316C72">
            <w:pPr>
              <w:jc w:val="center"/>
              <w:rPr>
                <w:rFonts w:ascii="宋体" w:hAnsi="宋体" w:cs="宋体"/>
                <w:color w:val="auto"/>
                <w:sz w:val="24"/>
                <w:szCs w:val="24"/>
                <w:highlight w:val="none"/>
              </w:rPr>
            </w:pPr>
          </w:p>
        </w:tc>
      </w:tr>
      <w:tr w14:paraId="323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2B2CF47A">
            <w:pPr>
              <w:jc w:val="center"/>
              <w:rPr>
                <w:rFonts w:ascii="宋体" w:hAnsi="宋体" w:cs="宋体"/>
                <w:color w:val="auto"/>
                <w:sz w:val="24"/>
                <w:szCs w:val="24"/>
                <w:highlight w:val="none"/>
              </w:rPr>
            </w:pPr>
          </w:p>
        </w:tc>
        <w:tc>
          <w:tcPr>
            <w:tcW w:w="1554" w:type="dxa"/>
            <w:noWrap/>
            <w:vAlign w:val="center"/>
          </w:tcPr>
          <w:p w14:paraId="117C089A">
            <w:pPr>
              <w:jc w:val="center"/>
              <w:rPr>
                <w:rFonts w:ascii="宋体" w:hAnsi="宋体" w:cs="宋体"/>
                <w:color w:val="auto"/>
                <w:sz w:val="24"/>
                <w:szCs w:val="24"/>
                <w:highlight w:val="none"/>
              </w:rPr>
            </w:pPr>
          </w:p>
        </w:tc>
        <w:tc>
          <w:tcPr>
            <w:tcW w:w="1710" w:type="dxa"/>
            <w:noWrap/>
            <w:vAlign w:val="center"/>
          </w:tcPr>
          <w:p w14:paraId="101EDD44">
            <w:pPr>
              <w:jc w:val="center"/>
              <w:rPr>
                <w:rFonts w:ascii="宋体" w:hAnsi="宋体" w:cs="宋体"/>
                <w:color w:val="auto"/>
                <w:sz w:val="24"/>
                <w:szCs w:val="24"/>
                <w:highlight w:val="none"/>
              </w:rPr>
            </w:pPr>
          </w:p>
        </w:tc>
        <w:tc>
          <w:tcPr>
            <w:tcW w:w="1635" w:type="dxa"/>
            <w:noWrap/>
            <w:vAlign w:val="center"/>
          </w:tcPr>
          <w:p w14:paraId="21AB9617">
            <w:pPr>
              <w:jc w:val="center"/>
              <w:rPr>
                <w:rFonts w:ascii="宋体" w:hAnsi="宋体" w:cs="宋体"/>
                <w:color w:val="auto"/>
                <w:sz w:val="24"/>
                <w:szCs w:val="24"/>
                <w:highlight w:val="none"/>
              </w:rPr>
            </w:pPr>
          </w:p>
        </w:tc>
        <w:tc>
          <w:tcPr>
            <w:tcW w:w="1440" w:type="dxa"/>
            <w:noWrap/>
            <w:vAlign w:val="center"/>
          </w:tcPr>
          <w:p w14:paraId="5DA3FF84">
            <w:pPr>
              <w:jc w:val="center"/>
              <w:rPr>
                <w:rFonts w:ascii="宋体" w:hAnsi="宋体" w:cs="宋体"/>
                <w:color w:val="auto"/>
                <w:sz w:val="24"/>
                <w:szCs w:val="24"/>
                <w:highlight w:val="none"/>
              </w:rPr>
            </w:pPr>
          </w:p>
        </w:tc>
        <w:tc>
          <w:tcPr>
            <w:tcW w:w="1365" w:type="dxa"/>
            <w:noWrap/>
          </w:tcPr>
          <w:p w14:paraId="6A75637A">
            <w:pPr>
              <w:jc w:val="center"/>
              <w:rPr>
                <w:rFonts w:ascii="宋体" w:hAnsi="宋体" w:cs="宋体"/>
                <w:color w:val="auto"/>
                <w:sz w:val="24"/>
                <w:szCs w:val="24"/>
                <w:highlight w:val="none"/>
              </w:rPr>
            </w:pPr>
          </w:p>
        </w:tc>
      </w:tr>
      <w:tr w14:paraId="431C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729D4752">
            <w:pPr>
              <w:jc w:val="center"/>
              <w:rPr>
                <w:rFonts w:ascii="宋体" w:hAnsi="宋体" w:cs="宋体"/>
                <w:color w:val="auto"/>
                <w:sz w:val="24"/>
                <w:szCs w:val="24"/>
                <w:highlight w:val="none"/>
              </w:rPr>
            </w:pPr>
          </w:p>
        </w:tc>
        <w:tc>
          <w:tcPr>
            <w:tcW w:w="1554" w:type="dxa"/>
            <w:noWrap/>
            <w:vAlign w:val="center"/>
          </w:tcPr>
          <w:p w14:paraId="18D268B3">
            <w:pPr>
              <w:jc w:val="center"/>
              <w:rPr>
                <w:rFonts w:ascii="宋体" w:hAnsi="宋体" w:cs="宋体"/>
                <w:color w:val="auto"/>
                <w:sz w:val="24"/>
                <w:szCs w:val="24"/>
                <w:highlight w:val="none"/>
              </w:rPr>
            </w:pPr>
          </w:p>
        </w:tc>
        <w:tc>
          <w:tcPr>
            <w:tcW w:w="1710" w:type="dxa"/>
            <w:noWrap/>
            <w:vAlign w:val="center"/>
          </w:tcPr>
          <w:p w14:paraId="26163958">
            <w:pPr>
              <w:jc w:val="center"/>
              <w:rPr>
                <w:rFonts w:ascii="宋体" w:hAnsi="宋体" w:cs="宋体"/>
                <w:color w:val="auto"/>
                <w:sz w:val="24"/>
                <w:szCs w:val="24"/>
                <w:highlight w:val="none"/>
              </w:rPr>
            </w:pPr>
          </w:p>
        </w:tc>
        <w:tc>
          <w:tcPr>
            <w:tcW w:w="1635" w:type="dxa"/>
            <w:noWrap/>
            <w:vAlign w:val="center"/>
          </w:tcPr>
          <w:p w14:paraId="5B0F04C9">
            <w:pPr>
              <w:jc w:val="center"/>
              <w:rPr>
                <w:rFonts w:ascii="宋体" w:hAnsi="宋体" w:cs="宋体"/>
                <w:color w:val="auto"/>
                <w:sz w:val="24"/>
                <w:szCs w:val="24"/>
                <w:highlight w:val="none"/>
              </w:rPr>
            </w:pPr>
          </w:p>
        </w:tc>
        <w:tc>
          <w:tcPr>
            <w:tcW w:w="1440" w:type="dxa"/>
            <w:noWrap/>
            <w:vAlign w:val="center"/>
          </w:tcPr>
          <w:p w14:paraId="1E426B66">
            <w:pPr>
              <w:jc w:val="center"/>
              <w:rPr>
                <w:rFonts w:ascii="宋体" w:hAnsi="宋体" w:cs="宋体"/>
                <w:color w:val="auto"/>
                <w:sz w:val="24"/>
                <w:szCs w:val="24"/>
                <w:highlight w:val="none"/>
              </w:rPr>
            </w:pPr>
          </w:p>
        </w:tc>
        <w:tc>
          <w:tcPr>
            <w:tcW w:w="1365" w:type="dxa"/>
            <w:noWrap/>
          </w:tcPr>
          <w:p w14:paraId="7E248253">
            <w:pPr>
              <w:jc w:val="center"/>
              <w:rPr>
                <w:rFonts w:ascii="宋体" w:hAnsi="宋体" w:cs="宋体"/>
                <w:color w:val="auto"/>
                <w:sz w:val="24"/>
                <w:szCs w:val="24"/>
                <w:highlight w:val="none"/>
              </w:rPr>
            </w:pPr>
          </w:p>
        </w:tc>
      </w:tr>
    </w:tbl>
    <w:p w14:paraId="1D2CF579">
      <w:pPr>
        <w:spacing w:line="360" w:lineRule="auto"/>
        <w:jc w:val="left"/>
        <w:rPr>
          <w:rFonts w:ascii="宋体" w:hAnsi="宋体"/>
          <w:color w:val="auto"/>
          <w:sz w:val="24"/>
          <w:szCs w:val="24"/>
          <w:highlight w:val="none"/>
        </w:rPr>
      </w:pPr>
      <w:r>
        <w:rPr>
          <w:rFonts w:ascii="宋体" w:hAnsi="宋体"/>
          <w:color w:val="auto"/>
          <w:sz w:val="24"/>
          <w:szCs w:val="24"/>
          <w:highlight w:val="none"/>
        </w:rPr>
        <w:t>注：供应商</w:t>
      </w:r>
      <w:r>
        <w:rPr>
          <w:rFonts w:hint="eastAsia" w:ascii="宋体" w:hAnsi="宋体"/>
          <w:color w:val="auto"/>
          <w:sz w:val="24"/>
          <w:szCs w:val="24"/>
          <w:highlight w:val="none"/>
        </w:rPr>
        <w:t>应在本表中对照招标文件要求逐项对应列出响应内容，并在“偏离说明”项下填写以下内容：优于的，填写“正偏离”；符合的，填写“无偏离”；低于的，填写“负偏离”；上述表格内容不够的请自行添加。</w:t>
      </w:r>
    </w:p>
    <w:p w14:paraId="0F487C63">
      <w:pPr>
        <w:spacing w:line="360" w:lineRule="auto"/>
        <w:ind w:firstLine="210"/>
        <w:rPr>
          <w:rFonts w:ascii="宋体" w:hAnsi="宋体"/>
          <w:color w:val="auto"/>
          <w:sz w:val="24"/>
          <w:highlight w:val="none"/>
        </w:rPr>
      </w:pPr>
    </w:p>
    <w:p w14:paraId="7A18422F">
      <w:pPr>
        <w:pStyle w:val="248"/>
        <w:rPr>
          <w:color w:val="auto"/>
          <w:highlight w:val="none"/>
        </w:rPr>
      </w:pPr>
    </w:p>
    <w:p w14:paraId="785B966D">
      <w:pPr>
        <w:spacing w:line="360" w:lineRule="auto"/>
        <w:rPr>
          <w:rFonts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单位：（单位盖章）</w:t>
      </w:r>
    </w:p>
    <w:p w14:paraId="2391C0D0">
      <w:pPr>
        <w:spacing w:line="360" w:lineRule="auto"/>
        <w:rPr>
          <w:rFonts w:ascii="宋体" w:hAnsi="宋体"/>
          <w:color w:val="auto"/>
          <w:sz w:val="24"/>
          <w:highlight w:val="none"/>
        </w:rPr>
      </w:pPr>
      <w:r>
        <w:rPr>
          <w:rFonts w:ascii="宋体" w:hAnsi="宋体"/>
          <w:color w:val="auto"/>
          <w:sz w:val="24"/>
          <w:highlight w:val="none"/>
        </w:rPr>
        <w:t>法定代表人或代理人：（签字或盖章）</w:t>
      </w:r>
    </w:p>
    <w:p w14:paraId="45BBA5A4">
      <w:pPr>
        <w:spacing w:line="380" w:lineRule="exact"/>
        <w:rPr>
          <w:rFonts w:ascii="宋体" w:hAnsi="宋体"/>
          <w:color w:val="auto"/>
          <w:sz w:val="28"/>
          <w:szCs w:val="28"/>
          <w:highlight w:val="none"/>
        </w:rPr>
      </w:pPr>
      <w:r>
        <w:rPr>
          <w:rFonts w:hint="eastAsia" w:ascii="宋体" w:hAnsi="宋体"/>
          <w:color w:val="auto"/>
          <w:sz w:val="24"/>
          <w:highlight w:val="none"/>
        </w:rPr>
        <w:t>日期：    年    月    日</w:t>
      </w:r>
    </w:p>
    <w:p w14:paraId="541F18F7">
      <w:pPr>
        <w:spacing w:line="360" w:lineRule="auto"/>
        <w:ind w:firstLine="210"/>
        <w:rPr>
          <w:rFonts w:ascii="宋体" w:hAnsi="宋体"/>
          <w:color w:val="auto"/>
          <w:sz w:val="24"/>
          <w:highlight w:val="none"/>
        </w:rPr>
      </w:pPr>
    </w:p>
    <w:p w14:paraId="321CFBED">
      <w:pPr>
        <w:spacing w:line="360" w:lineRule="auto"/>
        <w:ind w:firstLine="210"/>
        <w:rPr>
          <w:rFonts w:ascii="宋体" w:hAnsi="宋体"/>
          <w:color w:val="auto"/>
          <w:sz w:val="24"/>
          <w:highlight w:val="none"/>
        </w:rPr>
      </w:pPr>
    </w:p>
    <w:p w14:paraId="35BBCB88">
      <w:pPr>
        <w:spacing w:line="360" w:lineRule="auto"/>
        <w:ind w:firstLine="210"/>
        <w:rPr>
          <w:rFonts w:ascii="宋体" w:hAnsi="宋体"/>
          <w:color w:val="auto"/>
          <w:sz w:val="24"/>
          <w:highlight w:val="none"/>
        </w:rPr>
      </w:pPr>
    </w:p>
    <w:p w14:paraId="6ECFC453">
      <w:pPr>
        <w:spacing w:line="360" w:lineRule="auto"/>
        <w:ind w:firstLine="210"/>
        <w:rPr>
          <w:rFonts w:ascii="宋体" w:hAnsi="宋体"/>
          <w:color w:val="auto"/>
          <w:sz w:val="24"/>
          <w:highlight w:val="none"/>
        </w:rPr>
      </w:pPr>
    </w:p>
    <w:p w14:paraId="0456FB8C">
      <w:pPr>
        <w:spacing w:line="360" w:lineRule="auto"/>
        <w:ind w:firstLine="210"/>
        <w:rPr>
          <w:rFonts w:ascii="宋体" w:hAnsi="宋体"/>
          <w:color w:val="auto"/>
          <w:sz w:val="24"/>
          <w:highlight w:val="none"/>
        </w:rPr>
      </w:pPr>
    </w:p>
    <w:p w14:paraId="2A7DA86D">
      <w:pPr>
        <w:spacing w:line="360" w:lineRule="auto"/>
        <w:ind w:firstLine="210"/>
        <w:rPr>
          <w:rFonts w:ascii="宋体" w:hAnsi="宋体"/>
          <w:color w:val="auto"/>
          <w:sz w:val="24"/>
          <w:highlight w:val="none"/>
        </w:rPr>
      </w:pPr>
    </w:p>
    <w:p w14:paraId="7F285EB1">
      <w:pPr>
        <w:spacing w:line="360" w:lineRule="auto"/>
        <w:ind w:firstLine="210"/>
        <w:rPr>
          <w:rFonts w:ascii="宋体" w:hAnsi="宋体"/>
          <w:color w:val="auto"/>
          <w:sz w:val="24"/>
          <w:highlight w:val="none"/>
        </w:rPr>
      </w:pPr>
    </w:p>
    <w:p w14:paraId="4D3E069E">
      <w:pPr>
        <w:spacing w:line="360" w:lineRule="auto"/>
        <w:rPr>
          <w:rFonts w:ascii="宋体" w:hAnsi="宋体"/>
          <w:color w:val="auto"/>
          <w:sz w:val="28"/>
          <w:szCs w:val="28"/>
          <w:highlight w:val="none"/>
        </w:rPr>
      </w:pPr>
      <w:r>
        <w:rPr>
          <w:rFonts w:hint="eastAsia" w:ascii="宋体" w:hAnsi="宋体"/>
          <w:color w:val="auto"/>
          <w:sz w:val="28"/>
          <w:szCs w:val="28"/>
          <w:highlight w:val="none"/>
        </w:rPr>
        <w:t>6、商务条款响应及偏离表</w:t>
      </w:r>
    </w:p>
    <w:p w14:paraId="30C1F1B4">
      <w:pPr>
        <w:spacing w:line="360" w:lineRule="auto"/>
        <w:jc w:val="center"/>
        <w:rPr>
          <w:rFonts w:ascii="宋体" w:hAnsi="宋体"/>
          <w:bCs/>
          <w:color w:val="auto"/>
          <w:sz w:val="24"/>
          <w:szCs w:val="24"/>
          <w:highlight w:val="none"/>
        </w:rPr>
      </w:pPr>
    </w:p>
    <w:p w14:paraId="3BA0B0F1">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商务条款响应及偏离表</w:t>
      </w:r>
    </w:p>
    <w:tbl>
      <w:tblPr>
        <w:tblStyle w:val="39"/>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67"/>
        <w:gridCol w:w="1453"/>
        <w:gridCol w:w="1687"/>
        <w:gridCol w:w="1700"/>
        <w:gridCol w:w="1475"/>
      </w:tblGrid>
      <w:tr w14:paraId="4C79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4" w:type="dxa"/>
            <w:noWrap/>
            <w:vAlign w:val="center"/>
          </w:tcPr>
          <w:p w14:paraId="51D435EF">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467" w:type="dxa"/>
            <w:noWrap/>
            <w:vAlign w:val="center"/>
          </w:tcPr>
          <w:p w14:paraId="606E6831">
            <w:pPr>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1453" w:type="dxa"/>
            <w:noWrap/>
            <w:vAlign w:val="center"/>
          </w:tcPr>
          <w:p w14:paraId="4A2B9D95">
            <w:pPr>
              <w:jc w:val="center"/>
              <w:rPr>
                <w:rFonts w:ascii="宋体" w:hAnsi="宋体" w:cs="宋体"/>
                <w:color w:val="auto"/>
                <w:sz w:val="24"/>
                <w:szCs w:val="24"/>
                <w:highlight w:val="none"/>
              </w:rPr>
            </w:pPr>
            <w:r>
              <w:rPr>
                <w:rFonts w:hint="eastAsia" w:ascii="宋体" w:hAnsi="宋体" w:cs="宋体"/>
                <w:color w:val="auto"/>
                <w:sz w:val="24"/>
                <w:szCs w:val="24"/>
                <w:highlight w:val="none"/>
              </w:rPr>
              <w:t>招标要求</w:t>
            </w:r>
          </w:p>
        </w:tc>
        <w:tc>
          <w:tcPr>
            <w:tcW w:w="1687" w:type="dxa"/>
            <w:noWrap/>
            <w:vAlign w:val="center"/>
          </w:tcPr>
          <w:p w14:paraId="2C52922F">
            <w:pPr>
              <w:jc w:val="center"/>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1700" w:type="dxa"/>
            <w:noWrap/>
            <w:vAlign w:val="center"/>
          </w:tcPr>
          <w:p w14:paraId="3F6527B4">
            <w:pPr>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c>
          <w:tcPr>
            <w:tcW w:w="1475" w:type="dxa"/>
            <w:noWrap/>
            <w:vAlign w:val="center"/>
          </w:tcPr>
          <w:p w14:paraId="2666FF4F">
            <w:pPr>
              <w:jc w:val="center"/>
              <w:rPr>
                <w:rFonts w:ascii="宋体" w:hAnsi="宋体" w:cs="宋体"/>
                <w:color w:val="auto"/>
                <w:sz w:val="24"/>
                <w:szCs w:val="24"/>
                <w:highlight w:val="none"/>
              </w:rPr>
            </w:pPr>
            <w:r>
              <w:rPr>
                <w:rFonts w:hint="eastAsia" w:ascii="宋体" w:hAnsi="宋体" w:cs="宋体"/>
                <w:color w:val="auto"/>
                <w:sz w:val="24"/>
                <w:szCs w:val="24"/>
                <w:highlight w:val="none"/>
              </w:rPr>
              <w:t>证明材料</w:t>
            </w:r>
          </w:p>
        </w:tc>
      </w:tr>
      <w:tr w14:paraId="3FCA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63766BBC">
            <w:pPr>
              <w:jc w:val="center"/>
              <w:rPr>
                <w:rFonts w:ascii="宋体" w:hAnsi="宋体" w:cs="宋体"/>
                <w:color w:val="auto"/>
                <w:sz w:val="24"/>
                <w:szCs w:val="24"/>
                <w:highlight w:val="none"/>
              </w:rPr>
            </w:pPr>
          </w:p>
        </w:tc>
        <w:tc>
          <w:tcPr>
            <w:tcW w:w="1467" w:type="dxa"/>
            <w:noWrap/>
            <w:vAlign w:val="center"/>
          </w:tcPr>
          <w:p w14:paraId="2BF6ED5E">
            <w:pPr>
              <w:jc w:val="center"/>
              <w:rPr>
                <w:rFonts w:ascii="宋体" w:hAnsi="宋体" w:cs="宋体"/>
                <w:color w:val="auto"/>
                <w:sz w:val="24"/>
                <w:szCs w:val="24"/>
                <w:highlight w:val="none"/>
              </w:rPr>
            </w:pPr>
          </w:p>
        </w:tc>
        <w:tc>
          <w:tcPr>
            <w:tcW w:w="1453" w:type="dxa"/>
            <w:noWrap/>
            <w:vAlign w:val="center"/>
          </w:tcPr>
          <w:p w14:paraId="73F5473E">
            <w:pPr>
              <w:jc w:val="center"/>
              <w:rPr>
                <w:rFonts w:ascii="宋体" w:hAnsi="宋体" w:cs="宋体"/>
                <w:color w:val="auto"/>
                <w:sz w:val="24"/>
                <w:szCs w:val="24"/>
                <w:highlight w:val="none"/>
              </w:rPr>
            </w:pPr>
          </w:p>
        </w:tc>
        <w:tc>
          <w:tcPr>
            <w:tcW w:w="1687" w:type="dxa"/>
            <w:noWrap/>
            <w:vAlign w:val="center"/>
          </w:tcPr>
          <w:p w14:paraId="2C61F920">
            <w:pPr>
              <w:jc w:val="center"/>
              <w:rPr>
                <w:rFonts w:ascii="宋体" w:hAnsi="宋体" w:cs="宋体"/>
                <w:color w:val="auto"/>
                <w:sz w:val="24"/>
                <w:szCs w:val="24"/>
                <w:highlight w:val="none"/>
              </w:rPr>
            </w:pPr>
          </w:p>
        </w:tc>
        <w:tc>
          <w:tcPr>
            <w:tcW w:w="1700" w:type="dxa"/>
            <w:noWrap/>
            <w:vAlign w:val="center"/>
          </w:tcPr>
          <w:p w14:paraId="1A42712D">
            <w:pPr>
              <w:jc w:val="center"/>
              <w:rPr>
                <w:rFonts w:ascii="宋体" w:hAnsi="宋体" w:cs="宋体"/>
                <w:color w:val="auto"/>
                <w:sz w:val="24"/>
                <w:szCs w:val="24"/>
                <w:highlight w:val="none"/>
              </w:rPr>
            </w:pPr>
          </w:p>
        </w:tc>
        <w:tc>
          <w:tcPr>
            <w:tcW w:w="1475" w:type="dxa"/>
            <w:noWrap/>
            <w:vAlign w:val="center"/>
          </w:tcPr>
          <w:p w14:paraId="58122EE9">
            <w:pPr>
              <w:jc w:val="center"/>
              <w:rPr>
                <w:rFonts w:ascii="宋体" w:hAnsi="宋体" w:cs="宋体"/>
                <w:color w:val="auto"/>
                <w:sz w:val="24"/>
                <w:szCs w:val="24"/>
                <w:highlight w:val="none"/>
              </w:rPr>
            </w:pPr>
          </w:p>
        </w:tc>
      </w:tr>
      <w:tr w14:paraId="0484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1F5AA9E6">
            <w:pPr>
              <w:jc w:val="center"/>
              <w:rPr>
                <w:rFonts w:ascii="宋体" w:hAnsi="宋体" w:cs="宋体"/>
                <w:color w:val="auto"/>
                <w:sz w:val="24"/>
                <w:szCs w:val="24"/>
                <w:highlight w:val="none"/>
              </w:rPr>
            </w:pPr>
          </w:p>
        </w:tc>
        <w:tc>
          <w:tcPr>
            <w:tcW w:w="1467" w:type="dxa"/>
            <w:noWrap/>
            <w:vAlign w:val="center"/>
          </w:tcPr>
          <w:p w14:paraId="741A073E">
            <w:pPr>
              <w:jc w:val="center"/>
              <w:rPr>
                <w:rFonts w:ascii="宋体" w:hAnsi="宋体" w:cs="宋体"/>
                <w:color w:val="auto"/>
                <w:sz w:val="24"/>
                <w:szCs w:val="24"/>
                <w:highlight w:val="none"/>
              </w:rPr>
            </w:pPr>
          </w:p>
        </w:tc>
        <w:tc>
          <w:tcPr>
            <w:tcW w:w="1453" w:type="dxa"/>
            <w:noWrap/>
            <w:vAlign w:val="center"/>
          </w:tcPr>
          <w:p w14:paraId="1B18D1E3">
            <w:pPr>
              <w:jc w:val="center"/>
              <w:rPr>
                <w:rFonts w:ascii="宋体" w:hAnsi="宋体" w:cs="宋体"/>
                <w:color w:val="auto"/>
                <w:sz w:val="24"/>
                <w:szCs w:val="24"/>
                <w:highlight w:val="none"/>
              </w:rPr>
            </w:pPr>
          </w:p>
        </w:tc>
        <w:tc>
          <w:tcPr>
            <w:tcW w:w="1687" w:type="dxa"/>
            <w:noWrap/>
            <w:vAlign w:val="center"/>
          </w:tcPr>
          <w:p w14:paraId="65CBA239">
            <w:pPr>
              <w:jc w:val="center"/>
              <w:rPr>
                <w:rFonts w:ascii="宋体" w:hAnsi="宋体" w:cs="宋体"/>
                <w:color w:val="auto"/>
                <w:sz w:val="24"/>
                <w:szCs w:val="24"/>
                <w:highlight w:val="none"/>
              </w:rPr>
            </w:pPr>
          </w:p>
        </w:tc>
        <w:tc>
          <w:tcPr>
            <w:tcW w:w="1700" w:type="dxa"/>
            <w:noWrap/>
            <w:vAlign w:val="center"/>
          </w:tcPr>
          <w:p w14:paraId="4D1E8532">
            <w:pPr>
              <w:jc w:val="center"/>
              <w:rPr>
                <w:rFonts w:ascii="宋体" w:hAnsi="宋体" w:cs="宋体"/>
                <w:color w:val="auto"/>
                <w:sz w:val="24"/>
                <w:szCs w:val="24"/>
                <w:highlight w:val="none"/>
              </w:rPr>
            </w:pPr>
          </w:p>
        </w:tc>
        <w:tc>
          <w:tcPr>
            <w:tcW w:w="1475" w:type="dxa"/>
            <w:noWrap/>
            <w:vAlign w:val="center"/>
          </w:tcPr>
          <w:p w14:paraId="49F94D09">
            <w:pPr>
              <w:jc w:val="center"/>
              <w:rPr>
                <w:rFonts w:ascii="宋体" w:hAnsi="宋体" w:cs="宋体"/>
                <w:color w:val="auto"/>
                <w:sz w:val="24"/>
                <w:szCs w:val="24"/>
                <w:highlight w:val="none"/>
              </w:rPr>
            </w:pPr>
          </w:p>
        </w:tc>
      </w:tr>
      <w:tr w14:paraId="4938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4B60D577">
            <w:pPr>
              <w:jc w:val="center"/>
              <w:rPr>
                <w:rFonts w:ascii="宋体" w:hAnsi="宋体" w:cs="宋体"/>
                <w:color w:val="auto"/>
                <w:sz w:val="24"/>
                <w:szCs w:val="24"/>
                <w:highlight w:val="none"/>
              </w:rPr>
            </w:pPr>
          </w:p>
        </w:tc>
        <w:tc>
          <w:tcPr>
            <w:tcW w:w="1467" w:type="dxa"/>
            <w:noWrap/>
            <w:vAlign w:val="center"/>
          </w:tcPr>
          <w:p w14:paraId="4E735053">
            <w:pPr>
              <w:jc w:val="center"/>
              <w:rPr>
                <w:rFonts w:ascii="宋体" w:hAnsi="宋体" w:cs="宋体"/>
                <w:color w:val="auto"/>
                <w:sz w:val="24"/>
                <w:szCs w:val="24"/>
                <w:highlight w:val="none"/>
              </w:rPr>
            </w:pPr>
          </w:p>
        </w:tc>
        <w:tc>
          <w:tcPr>
            <w:tcW w:w="1453" w:type="dxa"/>
            <w:noWrap/>
            <w:vAlign w:val="center"/>
          </w:tcPr>
          <w:p w14:paraId="1F3D0C93">
            <w:pPr>
              <w:jc w:val="center"/>
              <w:rPr>
                <w:rFonts w:ascii="宋体" w:hAnsi="宋体" w:cs="宋体"/>
                <w:color w:val="auto"/>
                <w:sz w:val="24"/>
                <w:szCs w:val="24"/>
                <w:highlight w:val="none"/>
              </w:rPr>
            </w:pPr>
          </w:p>
        </w:tc>
        <w:tc>
          <w:tcPr>
            <w:tcW w:w="1687" w:type="dxa"/>
            <w:noWrap/>
            <w:vAlign w:val="center"/>
          </w:tcPr>
          <w:p w14:paraId="56858074">
            <w:pPr>
              <w:jc w:val="center"/>
              <w:rPr>
                <w:rFonts w:ascii="宋体" w:hAnsi="宋体" w:cs="宋体"/>
                <w:color w:val="auto"/>
                <w:sz w:val="24"/>
                <w:szCs w:val="24"/>
                <w:highlight w:val="none"/>
              </w:rPr>
            </w:pPr>
          </w:p>
        </w:tc>
        <w:tc>
          <w:tcPr>
            <w:tcW w:w="1700" w:type="dxa"/>
            <w:noWrap/>
            <w:vAlign w:val="center"/>
          </w:tcPr>
          <w:p w14:paraId="7E89ABFA">
            <w:pPr>
              <w:jc w:val="center"/>
              <w:rPr>
                <w:rFonts w:ascii="宋体" w:hAnsi="宋体" w:cs="宋体"/>
                <w:color w:val="auto"/>
                <w:sz w:val="24"/>
                <w:szCs w:val="24"/>
                <w:highlight w:val="none"/>
              </w:rPr>
            </w:pPr>
          </w:p>
        </w:tc>
        <w:tc>
          <w:tcPr>
            <w:tcW w:w="1475" w:type="dxa"/>
            <w:noWrap/>
            <w:vAlign w:val="center"/>
          </w:tcPr>
          <w:p w14:paraId="45ACDC28">
            <w:pPr>
              <w:jc w:val="center"/>
              <w:rPr>
                <w:rFonts w:ascii="宋体" w:hAnsi="宋体" w:cs="宋体"/>
                <w:color w:val="auto"/>
                <w:sz w:val="24"/>
                <w:szCs w:val="24"/>
                <w:highlight w:val="none"/>
              </w:rPr>
            </w:pPr>
          </w:p>
        </w:tc>
      </w:tr>
      <w:tr w14:paraId="51A6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vAlign w:val="center"/>
          </w:tcPr>
          <w:p w14:paraId="0566F98E">
            <w:pPr>
              <w:jc w:val="center"/>
              <w:rPr>
                <w:rFonts w:ascii="宋体" w:hAnsi="宋体" w:cs="宋体"/>
                <w:color w:val="auto"/>
                <w:sz w:val="24"/>
                <w:szCs w:val="24"/>
                <w:highlight w:val="none"/>
              </w:rPr>
            </w:pPr>
          </w:p>
        </w:tc>
        <w:tc>
          <w:tcPr>
            <w:tcW w:w="1467" w:type="dxa"/>
            <w:noWrap/>
            <w:vAlign w:val="center"/>
          </w:tcPr>
          <w:p w14:paraId="337A54C6">
            <w:pPr>
              <w:jc w:val="center"/>
              <w:rPr>
                <w:rFonts w:ascii="宋体" w:hAnsi="宋体" w:cs="宋体"/>
                <w:color w:val="auto"/>
                <w:sz w:val="24"/>
                <w:szCs w:val="24"/>
                <w:highlight w:val="none"/>
              </w:rPr>
            </w:pPr>
          </w:p>
        </w:tc>
        <w:tc>
          <w:tcPr>
            <w:tcW w:w="1453" w:type="dxa"/>
            <w:noWrap/>
            <w:vAlign w:val="center"/>
          </w:tcPr>
          <w:p w14:paraId="6F26E093">
            <w:pPr>
              <w:jc w:val="center"/>
              <w:rPr>
                <w:rFonts w:ascii="宋体" w:hAnsi="宋体" w:cs="宋体"/>
                <w:color w:val="auto"/>
                <w:sz w:val="24"/>
                <w:szCs w:val="24"/>
                <w:highlight w:val="none"/>
              </w:rPr>
            </w:pPr>
          </w:p>
        </w:tc>
        <w:tc>
          <w:tcPr>
            <w:tcW w:w="1687" w:type="dxa"/>
            <w:noWrap/>
            <w:vAlign w:val="center"/>
          </w:tcPr>
          <w:p w14:paraId="06DAB565">
            <w:pPr>
              <w:jc w:val="center"/>
              <w:rPr>
                <w:rFonts w:ascii="宋体" w:hAnsi="宋体" w:cs="宋体"/>
                <w:color w:val="auto"/>
                <w:sz w:val="24"/>
                <w:szCs w:val="24"/>
                <w:highlight w:val="none"/>
              </w:rPr>
            </w:pPr>
          </w:p>
        </w:tc>
        <w:tc>
          <w:tcPr>
            <w:tcW w:w="1700" w:type="dxa"/>
            <w:noWrap/>
            <w:vAlign w:val="center"/>
          </w:tcPr>
          <w:p w14:paraId="49D868E0">
            <w:pPr>
              <w:jc w:val="center"/>
              <w:rPr>
                <w:rFonts w:ascii="宋体" w:hAnsi="宋体" w:cs="宋体"/>
                <w:color w:val="auto"/>
                <w:sz w:val="24"/>
                <w:szCs w:val="24"/>
                <w:highlight w:val="none"/>
              </w:rPr>
            </w:pPr>
          </w:p>
        </w:tc>
        <w:tc>
          <w:tcPr>
            <w:tcW w:w="1475" w:type="dxa"/>
            <w:noWrap/>
            <w:vAlign w:val="center"/>
          </w:tcPr>
          <w:p w14:paraId="1B7DE217">
            <w:pPr>
              <w:jc w:val="center"/>
              <w:rPr>
                <w:rFonts w:ascii="宋体" w:hAnsi="宋体" w:cs="宋体"/>
                <w:color w:val="auto"/>
                <w:sz w:val="24"/>
                <w:szCs w:val="24"/>
                <w:highlight w:val="none"/>
              </w:rPr>
            </w:pPr>
          </w:p>
        </w:tc>
      </w:tr>
      <w:tr w14:paraId="3F6F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4B4BAC80">
            <w:pPr>
              <w:jc w:val="center"/>
              <w:rPr>
                <w:rFonts w:ascii="宋体" w:hAnsi="宋体" w:cs="宋体"/>
                <w:color w:val="auto"/>
                <w:sz w:val="24"/>
                <w:szCs w:val="24"/>
                <w:highlight w:val="none"/>
              </w:rPr>
            </w:pPr>
          </w:p>
        </w:tc>
        <w:tc>
          <w:tcPr>
            <w:tcW w:w="1467" w:type="dxa"/>
            <w:noWrap/>
            <w:vAlign w:val="center"/>
          </w:tcPr>
          <w:p w14:paraId="35FAE713">
            <w:pPr>
              <w:jc w:val="center"/>
              <w:rPr>
                <w:rFonts w:ascii="宋体" w:hAnsi="宋体" w:cs="宋体"/>
                <w:color w:val="auto"/>
                <w:sz w:val="24"/>
                <w:szCs w:val="24"/>
                <w:highlight w:val="none"/>
              </w:rPr>
            </w:pPr>
          </w:p>
        </w:tc>
        <w:tc>
          <w:tcPr>
            <w:tcW w:w="1453" w:type="dxa"/>
            <w:noWrap/>
            <w:vAlign w:val="center"/>
          </w:tcPr>
          <w:p w14:paraId="707A0721">
            <w:pPr>
              <w:jc w:val="center"/>
              <w:rPr>
                <w:rFonts w:ascii="宋体" w:hAnsi="宋体" w:cs="宋体"/>
                <w:color w:val="auto"/>
                <w:sz w:val="24"/>
                <w:szCs w:val="24"/>
                <w:highlight w:val="none"/>
              </w:rPr>
            </w:pPr>
          </w:p>
        </w:tc>
        <w:tc>
          <w:tcPr>
            <w:tcW w:w="1687" w:type="dxa"/>
            <w:noWrap/>
            <w:vAlign w:val="center"/>
          </w:tcPr>
          <w:p w14:paraId="2320278C">
            <w:pPr>
              <w:jc w:val="center"/>
              <w:rPr>
                <w:rFonts w:ascii="宋体" w:hAnsi="宋体" w:cs="宋体"/>
                <w:color w:val="auto"/>
                <w:sz w:val="24"/>
                <w:szCs w:val="24"/>
                <w:highlight w:val="none"/>
              </w:rPr>
            </w:pPr>
          </w:p>
        </w:tc>
        <w:tc>
          <w:tcPr>
            <w:tcW w:w="1700" w:type="dxa"/>
            <w:noWrap/>
            <w:vAlign w:val="center"/>
          </w:tcPr>
          <w:p w14:paraId="10C9F355">
            <w:pPr>
              <w:jc w:val="center"/>
              <w:rPr>
                <w:rFonts w:ascii="宋体" w:hAnsi="宋体" w:cs="宋体"/>
                <w:color w:val="auto"/>
                <w:sz w:val="24"/>
                <w:szCs w:val="24"/>
                <w:highlight w:val="none"/>
              </w:rPr>
            </w:pPr>
          </w:p>
        </w:tc>
        <w:tc>
          <w:tcPr>
            <w:tcW w:w="1475" w:type="dxa"/>
            <w:noWrap/>
            <w:vAlign w:val="center"/>
          </w:tcPr>
          <w:p w14:paraId="03D1A099">
            <w:pPr>
              <w:jc w:val="center"/>
              <w:rPr>
                <w:rFonts w:ascii="宋体" w:hAnsi="宋体" w:cs="宋体"/>
                <w:color w:val="auto"/>
                <w:sz w:val="24"/>
                <w:szCs w:val="24"/>
                <w:highlight w:val="none"/>
              </w:rPr>
            </w:pPr>
          </w:p>
        </w:tc>
      </w:tr>
      <w:tr w14:paraId="6417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75523B5E">
            <w:pPr>
              <w:jc w:val="center"/>
              <w:rPr>
                <w:rFonts w:ascii="宋体" w:hAnsi="宋体" w:cs="宋体"/>
                <w:color w:val="auto"/>
                <w:sz w:val="24"/>
                <w:szCs w:val="24"/>
                <w:highlight w:val="none"/>
              </w:rPr>
            </w:pPr>
          </w:p>
        </w:tc>
        <w:tc>
          <w:tcPr>
            <w:tcW w:w="1467" w:type="dxa"/>
            <w:noWrap/>
            <w:vAlign w:val="center"/>
          </w:tcPr>
          <w:p w14:paraId="1A2F4B0E">
            <w:pPr>
              <w:jc w:val="center"/>
              <w:rPr>
                <w:rFonts w:ascii="宋体" w:hAnsi="宋体" w:cs="宋体"/>
                <w:color w:val="auto"/>
                <w:sz w:val="24"/>
                <w:szCs w:val="24"/>
                <w:highlight w:val="none"/>
              </w:rPr>
            </w:pPr>
          </w:p>
        </w:tc>
        <w:tc>
          <w:tcPr>
            <w:tcW w:w="1453" w:type="dxa"/>
            <w:noWrap/>
            <w:vAlign w:val="center"/>
          </w:tcPr>
          <w:p w14:paraId="6C5A4934">
            <w:pPr>
              <w:jc w:val="center"/>
              <w:rPr>
                <w:rFonts w:ascii="宋体" w:hAnsi="宋体" w:cs="宋体"/>
                <w:color w:val="auto"/>
                <w:sz w:val="24"/>
                <w:szCs w:val="24"/>
                <w:highlight w:val="none"/>
              </w:rPr>
            </w:pPr>
          </w:p>
        </w:tc>
        <w:tc>
          <w:tcPr>
            <w:tcW w:w="1687" w:type="dxa"/>
            <w:noWrap/>
            <w:vAlign w:val="center"/>
          </w:tcPr>
          <w:p w14:paraId="3F163FB4">
            <w:pPr>
              <w:jc w:val="center"/>
              <w:rPr>
                <w:rFonts w:ascii="宋体" w:hAnsi="宋体" w:cs="宋体"/>
                <w:color w:val="auto"/>
                <w:sz w:val="24"/>
                <w:szCs w:val="24"/>
                <w:highlight w:val="none"/>
              </w:rPr>
            </w:pPr>
          </w:p>
        </w:tc>
        <w:tc>
          <w:tcPr>
            <w:tcW w:w="1700" w:type="dxa"/>
            <w:noWrap/>
            <w:vAlign w:val="center"/>
          </w:tcPr>
          <w:p w14:paraId="7CA47BDC">
            <w:pPr>
              <w:jc w:val="center"/>
              <w:rPr>
                <w:rFonts w:ascii="宋体" w:hAnsi="宋体" w:cs="宋体"/>
                <w:color w:val="auto"/>
                <w:sz w:val="24"/>
                <w:szCs w:val="24"/>
                <w:highlight w:val="none"/>
              </w:rPr>
            </w:pPr>
          </w:p>
        </w:tc>
        <w:tc>
          <w:tcPr>
            <w:tcW w:w="1475" w:type="dxa"/>
            <w:noWrap/>
            <w:vAlign w:val="center"/>
          </w:tcPr>
          <w:p w14:paraId="6BF3480A">
            <w:pPr>
              <w:jc w:val="center"/>
              <w:rPr>
                <w:rFonts w:ascii="宋体" w:hAnsi="宋体" w:cs="宋体"/>
                <w:color w:val="auto"/>
                <w:sz w:val="24"/>
                <w:szCs w:val="24"/>
                <w:highlight w:val="none"/>
              </w:rPr>
            </w:pPr>
          </w:p>
        </w:tc>
      </w:tr>
      <w:tr w14:paraId="33EA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1F652ECF">
            <w:pPr>
              <w:jc w:val="center"/>
              <w:rPr>
                <w:rFonts w:ascii="宋体" w:hAnsi="宋体" w:cs="宋体"/>
                <w:color w:val="auto"/>
                <w:sz w:val="24"/>
                <w:szCs w:val="24"/>
                <w:highlight w:val="none"/>
              </w:rPr>
            </w:pPr>
          </w:p>
        </w:tc>
        <w:tc>
          <w:tcPr>
            <w:tcW w:w="1467" w:type="dxa"/>
            <w:noWrap/>
            <w:vAlign w:val="center"/>
          </w:tcPr>
          <w:p w14:paraId="7DB0AD8B">
            <w:pPr>
              <w:jc w:val="center"/>
              <w:rPr>
                <w:rFonts w:ascii="宋体" w:hAnsi="宋体" w:cs="宋体"/>
                <w:color w:val="auto"/>
                <w:sz w:val="24"/>
                <w:szCs w:val="24"/>
                <w:highlight w:val="none"/>
              </w:rPr>
            </w:pPr>
          </w:p>
        </w:tc>
        <w:tc>
          <w:tcPr>
            <w:tcW w:w="1453" w:type="dxa"/>
            <w:noWrap/>
            <w:vAlign w:val="center"/>
          </w:tcPr>
          <w:p w14:paraId="5E3426EE">
            <w:pPr>
              <w:jc w:val="center"/>
              <w:rPr>
                <w:rFonts w:ascii="宋体" w:hAnsi="宋体" w:cs="宋体"/>
                <w:color w:val="auto"/>
                <w:sz w:val="24"/>
                <w:szCs w:val="24"/>
                <w:highlight w:val="none"/>
              </w:rPr>
            </w:pPr>
          </w:p>
        </w:tc>
        <w:tc>
          <w:tcPr>
            <w:tcW w:w="1687" w:type="dxa"/>
            <w:noWrap/>
            <w:vAlign w:val="center"/>
          </w:tcPr>
          <w:p w14:paraId="74766326">
            <w:pPr>
              <w:jc w:val="center"/>
              <w:rPr>
                <w:rFonts w:ascii="宋体" w:hAnsi="宋体" w:cs="宋体"/>
                <w:color w:val="auto"/>
                <w:sz w:val="24"/>
                <w:szCs w:val="24"/>
                <w:highlight w:val="none"/>
              </w:rPr>
            </w:pPr>
          </w:p>
        </w:tc>
        <w:tc>
          <w:tcPr>
            <w:tcW w:w="1700" w:type="dxa"/>
            <w:noWrap/>
            <w:vAlign w:val="center"/>
          </w:tcPr>
          <w:p w14:paraId="12B41EDB">
            <w:pPr>
              <w:jc w:val="center"/>
              <w:rPr>
                <w:rFonts w:ascii="宋体" w:hAnsi="宋体" w:cs="宋体"/>
                <w:color w:val="auto"/>
                <w:sz w:val="24"/>
                <w:szCs w:val="24"/>
                <w:highlight w:val="none"/>
              </w:rPr>
            </w:pPr>
          </w:p>
        </w:tc>
        <w:tc>
          <w:tcPr>
            <w:tcW w:w="1475" w:type="dxa"/>
            <w:noWrap/>
            <w:vAlign w:val="center"/>
          </w:tcPr>
          <w:p w14:paraId="6238A578">
            <w:pPr>
              <w:jc w:val="center"/>
              <w:rPr>
                <w:rFonts w:ascii="宋体" w:hAnsi="宋体" w:cs="宋体"/>
                <w:color w:val="auto"/>
                <w:sz w:val="24"/>
                <w:szCs w:val="24"/>
                <w:highlight w:val="none"/>
              </w:rPr>
            </w:pPr>
          </w:p>
        </w:tc>
      </w:tr>
      <w:tr w14:paraId="0EC7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523BE38F">
            <w:pPr>
              <w:jc w:val="center"/>
              <w:rPr>
                <w:rFonts w:ascii="宋体" w:hAnsi="宋体" w:cs="宋体"/>
                <w:color w:val="auto"/>
                <w:sz w:val="24"/>
                <w:szCs w:val="24"/>
                <w:highlight w:val="none"/>
              </w:rPr>
            </w:pPr>
          </w:p>
        </w:tc>
        <w:tc>
          <w:tcPr>
            <w:tcW w:w="1467" w:type="dxa"/>
            <w:noWrap/>
            <w:vAlign w:val="center"/>
          </w:tcPr>
          <w:p w14:paraId="54959DD1">
            <w:pPr>
              <w:jc w:val="center"/>
              <w:rPr>
                <w:rFonts w:ascii="宋体" w:hAnsi="宋体" w:cs="宋体"/>
                <w:color w:val="auto"/>
                <w:sz w:val="24"/>
                <w:szCs w:val="24"/>
                <w:highlight w:val="none"/>
              </w:rPr>
            </w:pPr>
          </w:p>
        </w:tc>
        <w:tc>
          <w:tcPr>
            <w:tcW w:w="1453" w:type="dxa"/>
            <w:noWrap/>
            <w:vAlign w:val="center"/>
          </w:tcPr>
          <w:p w14:paraId="00A40556">
            <w:pPr>
              <w:jc w:val="center"/>
              <w:rPr>
                <w:rFonts w:ascii="宋体" w:hAnsi="宋体" w:cs="宋体"/>
                <w:color w:val="auto"/>
                <w:sz w:val="24"/>
                <w:szCs w:val="24"/>
                <w:highlight w:val="none"/>
              </w:rPr>
            </w:pPr>
          </w:p>
        </w:tc>
        <w:tc>
          <w:tcPr>
            <w:tcW w:w="1687" w:type="dxa"/>
            <w:noWrap/>
            <w:vAlign w:val="center"/>
          </w:tcPr>
          <w:p w14:paraId="1D4BD2A8">
            <w:pPr>
              <w:jc w:val="center"/>
              <w:rPr>
                <w:rFonts w:ascii="宋体" w:hAnsi="宋体" w:cs="宋体"/>
                <w:color w:val="auto"/>
                <w:sz w:val="24"/>
                <w:szCs w:val="24"/>
                <w:highlight w:val="none"/>
              </w:rPr>
            </w:pPr>
          </w:p>
        </w:tc>
        <w:tc>
          <w:tcPr>
            <w:tcW w:w="1700" w:type="dxa"/>
            <w:noWrap/>
            <w:vAlign w:val="center"/>
          </w:tcPr>
          <w:p w14:paraId="4ACBF142">
            <w:pPr>
              <w:jc w:val="center"/>
              <w:rPr>
                <w:rFonts w:ascii="宋体" w:hAnsi="宋体" w:cs="宋体"/>
                <w:color w:val="auto"/>
                <w:sz w:val="24"/>
                <w:szCs w:val="24"/>
                <w:highlight w:val="none"/>
              </w:rPr>
            </w:pPr>
          </w:p>
        </w:tc>
        <w:tc>
          <w:tcPr>
            <w:tcW w:w="1475" w:type="dxa"/>
            <w:noWrap/>
            <w:vAlign w:val="center"/>
          </w:tcPr>
          <w:p w14:paraId="457E4A07">
            <w:pPr>
              <w:jc w:val="center"/>
              <w:rPr>
                <w:rFonts w:ascii="宋体" w:hAnsi="宋体" w:cs="宋体"/>
                <w:color w:val="auto"/>
                <w:sz w:val="24"/>
                <w:szCs w:val="24"/>
                <w:highlight w:val="none"/>
              </w:rPr>
            </w:pPr>
          </w:p>
        </w:tc>
      </w:tr>
      <w:tr w14:paraId="07CA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4" w:type="dxa"/>
            <w:noWrap/>
          </w:tcPr>
          <w:p w14:paraId="1DC9DAEA">
            <w:pPr>
              <w:jc w:val="center"/>
              <w:rPr>
                <w:rFonts w:ascii="宋体" w:hAnsi="宋体" w:cs="宋体"/>
                <w:color w:val="auto"/>
                <w:sz w:val="24"/>
                <w:szCs w:val="24"/>
                <w:highlight w:val="none"/>
              </w:rPr>
            </w:pPr>
          </w:p>
        </w:tc>
        <w:tc>
          <w:tcPr>
            <w:tcW w:w="1467" w:type="dxa"/>
            <w:noWrap/>
            <w:vAlign w:val="center"/>
          </w:tcPr>
          <w:p w14:paraId="0D3C6928">
            <w:pPr>
              <w:jc w:val="center"/>
              <w:rPr>
                <w:rFonts w:ascii="宋体" w:hAnsi="宋体" w:cs="宋体"/>
                <w:color w:val="auto"/>
                <w:sz w:val="24"/>
                <w:szCs w:val="24"/>
                <w:highlight w:val="none"/>
              </w:rPr>
            </w:pPr>
          </w:p>
        </w:tc>
        <w:tc>
          <w:tcPr>
            <w:tcW w:w="1453" w:type="dxa"/>
            <w:noWrap/>
            <w:vAlign w:val="center"/>
          </w:tcPr>
          <w:p w14:paraId="1082AC95">
            <w:pPr>
              <w:jc w:val="center"/>
              <w:rPr>
                <w:rFonts w:ascii="宋体" w:hAnsi="宋体" w:cs="宋体"/>
                <w:color w:val="auto"/>
                <w:sz w:val="24"/>
                <w:szCs w:val="24"/>
                <w:highlight w:val="none"/>
              </w:rPr>
            </w:pPr>
          </w:p>
        </w:tc>
        <w:tc>
          <w:tcPr>
            <w:tcW w:w="1687" w:type="dxa"/>
            <w:noWrap/>
            <w:vAlign w:val="center"/>
          </w:tcPr>
          <w:p w14:paraId="6E931310">
            <w:pPr>
              <w:jc w:val="center"/>
              <w:rPr>
                <w:rFonts w:ascii="宋体" w:hAnsi="宋体" w:cs="宋体"/>
                <w:color w:val="auto"/>
                <w:sz w:val="24"/>
                <w:szCs w:val="24"/>
                <w:highlight w:val="none"/>
              </w:rPr>
            </w:pPr>
          </w:p>
        </w:tc>
        <w:tc>
          <w:tcPr>
            <w:tcW w:w="1700" w:type="dxa"/>
            <w:noWrap/>
            <w:vAlign w:val="center"/>
          </w:tcPr>
          <w:p w14:paraId="003ECCB9">
            <w:pPr>
              <w:jc w:val="center"/>
              <w:rPr>
                <w:rFonts w:ascii="宋体" w:hAnsi="宋体" w:cs="宋体"/>
                <w:color w:val="auto"/>
                <w:sz w:val="24"/>
                <w:szCs w:val="24"/>
                <w:highlight w:val="none"/>
              </w:rPr>
            </w:pPr>
          </w:p>
        </w:tc>
        <w:tc>
          <w:tcPr>
            <w:tcW w:w="1475" w:type="dxa"/>
            <w:noWrap/>
            <w:vAlign w:val="center"/>
          </w:tcPr>
          <w:p w14:paraId="1F12AAA4">
            <w:pPr>
              <w:jc w:val="center"/>
              <w:rPr>
                <w:rFonts w:ascii="宋体" w:hAnsi="宋体" w:cs="宋体"/>
                <w:color w:val="auto"/>
                <w:sz w:val="24"/>
                <w:szCs w:val="24"/>
                <w:highlight w:val="none"/>
              </w:rPr>
            </w:pPr>
          </w:p>
        </w:tc>
      </w:tr>
    </w:tbl>
    <w:p w14:paraId="515639BC">
      <w:pPr>
        <w:spacing w:line="360" w:lineRule="auto"/>
        <w:rPr>
          <w:rFonts w:ascii="宋体" w:hAnsi="宋体"/>
          <w:color w:val="auto"/>
          <w:sz w:val="24"/>
          <w:szCs w:val="24"/>
          <w:highlight w:val="none"/>
        </w:rPr>
      </w:pPr>
      <w:r>
        <w:rPr>
          <w:rFonts w:hint="eastAsia" w:ascii="宋体" w:hAnsi="宋体"/>
          <w:color w:val="auto"/>
          <w:sz w:val="24"/>
          <w:szCs w:val="24"/>
          <w:highlight w:val="none"/>
        </w:rPr>
        <w:t>注：1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投标人应在本表中对照招标文件商务条款要求逐项对应列出响应内容，并在“偏离说明”项下填写以下内容：优于的，填写“正偏离”；符合的，填写“无偏离”；低于的，填写“负偏离”。</w:t>
      </w:r>
    </w:p>
    <w:p w14:paraId="25DAC254">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以上表格内容不够的请自行添加。</w:t>
      </w:r>
    </w:p>
    <w:p w14:paraId="31C44BF7">
      <w:pPr>
        <w:pStyle w:val="248"/>
        <w:rPr>
          <w:color w:val="auto"/>
          <w:highlight w:val="none"/>
        </w:rPr>
      </w:pPr>
    </w:p>
    <w:p w14:paraId="69CB71F8">
      <w:pPr>
        <w:pStyle w:val="242"/>
        <w:rPr>
          <w:color w:val="auto"/>
          <w:highlight w:val="none"/>
        </w:rPr>
      </w:pPr>
    </w:p>
    <w:p w14:paraId="10AFFC4D">
      <w:pPr>
        <w:spacing w:line="360" w:lineRule="auto"/>
        <w:rPr>
          <w:rFonts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单位：（单位盖章）</w:t>
      </w:r>
    </w:p>
    <w:p w14:paraId="69CAE5A2">
      <w:pPr>
        <w:spacing w:line="360" w:lineRule="auto"/>
        <w:rPr>
          <w:rFonts w:ascii="宋体" w:hAnsi="宋体"/>
          <w:color w:val="auto"/>
          <w:sz w:val="24"/>
          <w:highlight w:val="none"/>
        </w:rPr>
      </w:pPr>
      <w:r>
        <w:rPr>
          <w:rFonts w:ascii="宋体" w:hAnsi="宋体"/>
          <w:color w:val="auto"/>
          <w:sz w:val="24"/>
          <w:highlight w:val="none"/>
        </w:rPr>
        <w:t>法定代表人或代理人：（签字或盖章）</w:t>
      </w:r>
    </w:p>
    <w:p w14:paraId="04C2E1FB">
      <w:pPr>
        <w:spacing w:line="380" w:lineRule="exact"/>
        <w:rPr>
          <w:rFonts w:ascii="宋体" w:hAnsi="宋体"/>
          <w:color w:val="auto"/>
          <w:sz w:val="28"/>
          <w:szCs w:val="28"/>
          <w:highlight w:val="none"/>
        </w:rPr>
      </w:pPr>
      <w:r>
        <w:rPr>
          <w:rFonts w:hint="eastAsia" w:ascii="宋体" w:hAnsi="宋体"/>
          <w:color w:val="auto"/>
          <w:sz w:val="24"/>
          <w:highlight w:val="none"/>
        </w:rPr>
        <w:t>日期：    年    月    日</w:t>
      </w:r>
    </w:p>
    <w:p w14:paraId="303F94D6">
      <w:pPr>
        <w:rPr>
          <w:rFonts w:ascii="宋体" w:hAnsi="宋体"/>
          <w:color w:val="auto"/>
          <w:sz w:val="28"/>
          <w:szCs w:val="28"/>
          <w:highlight w:val="none"/>
        </w:rPr>
      </w:pPr>
      <w:r>
        <w:rPr>
          <w:rFonts w:hint="eastAsia" w:ascii="宋体" w:hAnsi="宋体"/>
          <w:color w:val="auto"/>
          <w:sz w:val="28"/>
          <w:szCs w:val="28"/>
          <w:highlight w:val="none"/>
        </w:rPr>
        <w:br w:type="page" w:clear="all"/>
      </w:r>
    </w:p>
    <w:p w14:paraId="6ECB9D71">
      <w:pPr>
        <w:pStyle w:val="270"/>
        <w:rPr>
          <w:rFonts w:ascii="宋体" w:hAnsi="宋体"/>
          <w:color w:val="auto"/>
          <w:sz w:val="28"/>
          <w:szCs w:val="28"/>
          <w:highlight w:val="none"/>
          <w:lang w:val="zh-CN"/>
        </w:rPr>
      </w:pPr>
      <w:r>
        <w:rPr>
          <w:rFonts w:hint="eastAsia" w:ascii="宋体" w:hAnsi="宋体"/>
          <w:color w:val="auto"/>
          <w:sz w:val="28"/>
          <w:szCs w:val="28"/>
          <w:highlight w:val="none"/>
        </w:rPr>
        <w:t>7、售后服务承诺书</w:t>
      </w:r>
    </w:p>
    <w:p w14:paraId="6F4966BC">
      <w:pPr>
        <w:spacing w:line="400" w:lineRule="exact"/>
        <w:jc w:val="center"/>
        <w:rPr>
          <w:rFonts w:ascii="宋体" w:hAnsi="宋体" w:cs="宋体"/>
          <w:b/>
          <w:color w:val="auto"/>
          <w:sz w:val="24"/>
          <w:szCs w:val="24"/>
          <w:highlight w:val="none"/>
          <w:lang w:val="zh-CN"/>
        </w:rPr>
      </w:pPr>
    </w:p>
    <w:p w14:paraId="479154FF">
      <w:pPr>
        <w:spacing w:line="400" w:lineRule="exact"/>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售后服务承诺书</w:t>
      </w:r>
    </w:p>
    <w:p w14:paraId="4355BF59">
      <w:pPr>
        <w:spacing w:line="400" w:lineRule="exact"/>
        <w:jc w:val="center"/>
        <w:rPr>
          <w:rFonts w:ascii="宋体" w:hAnsi="宋体" w:cs="宋体"/>
          <w:b/>
          <w:color w:val="auto"/>
          <w:sz w:val="24"/>
          <w:szCs w:val="24"/>
          <w:highlight w:val="none"/>
          <w:lang w:val="zh-CN"/>
        </w:rPr>
      </w:pPr>
    </w:p>
    <w:tbl>
      <w:tblPr>
        <w:tblStyle w:val="39"/>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2948"/>
        <w:gridCol w:w="2350"/>
        <w:gridCol w:w="2167"/>
      </w:tblGrid>
      <w:tr w14:paraId="5717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85" w:type="dxa"/>
            <w:noWrap/>
            <w:vAlign w:val="center"/>
          </w:tcPr>
          <w:p w14:paraId="0467890C">
            <w:pPr>
              <w:spacing w:line="40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2948" w:type="dxa"/>
            <w:noWrap/>
            <w:vAlign w:val="center"/>
          </w:tcPr>
          <w:p w14:paraId="0A664B1D">
            <w:pPr>
              <w:spacing w:line="40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售后服务内容</w:t>
            </w:r>
          </w:p>
        </w:tc>
        <w:tc>
          <w:tcPr>
            <w:tcW w:w="2350" w:type="dxa"/>
            <w:noWrap/>
            <w:vAlign w:val="center"/>
          </w:tcPr>
          <w:p w14:paraId="54876E07">
            <w:pPr>
              <w:spacing w:line="40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期限（时间）</w:t>
            </w:r>
          </w:p>
        </w:tc>
        <w:tc>
          <w:tcPr>
            <w:tcW w:w="2167" w:type="dxa"/>
            <w:noWrap/>
            <w:vAlign w:val="center"/>
          </w:tcPr>
          <w:p w14:paraId="14FE84F4">
            <w:pPr>
              <w:spacing w:line="40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2451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85" w:type="dxa"/>
            <w:noWrap/>
            <w:vAlign w:val="center"/>
          </w:tcPr>
          <w:p w14:paraId="29E782BC">
            <w:pPr>
              <w:spacing w:before="25" w:after="25"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948" w:type="dxa"/>
            <w:noWrap/>
            <w:vAlign w:val="center"/>
          </w:tcPr>
          <w:p w14:paraId="65186097">
            <w:pPr>
              <w:spacing w:before="25" w:after="25"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免费质保期</w:t>
            </w:r>
          </w:p>
        </w:tc>
        <w:tc>
          <w:tcPr>
            <w:tcW w:w="2350" w:type="dxa"/>
            <w:noWrap/>
            <w:vAlign w:val="center"/>
          </w:tcPr>
          <w:p w14:paraId="259A4FC8">
            <w:pPr>
              <w:spacing w:before="25" w:after="25" w:line="400" w:lineRule="exact"/>
              <w:jc w:val="center"/>
              <w:rPr>
                <w:rFonts w:ascii="宋体" w:hAnsi="宋体" w:cs="宋体"/>
                <w:color w:val="auto"/>
                <w:sz w:val="24"/>
                <w:szCs w:val="24"/>
                <w:highlight w:val="none"/>
              </w:rPr>
            </w:pPr>
          </w:p>
        </w:tc>
        <w:tc>
          <w:tcPr>
            <w:tcW w:w="2167" w:type="dxa"/>
            <w:noWrap/>
            <w:vAlign w:val="center"/>
          </w:tcPr>
          <w:p w14:paraId="5E9A1E00">
            <w:pPr>
              <w:spacing w:before="25" w:after="25" w:line="400" w:lineRule="exact"/>
              <w:jc w:val="center"/>
              <w:rPr>
                <w:rFonts w:ascii="宋体" w:hAnsi="宋体" w:cs="宋体"/>
                <w:color w:val="auto"/>
                <w:sz w:val="24"/>
                <w:szCs w:val="24"/>
                <w:highlight w:val="none"/>
              </w:rPr>
            </w:pPr>
          </w:p>
        </w:tc>
      </w:tr>
      <w:tr w14:paraId="5CB23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85" w:type="dxa"/>
            <w:noWrap/>
            <w:vAlign w:val="center"/>
          </w:tcPr>
          <w:p w14:paraId="43BCCDF5">
            <w:pPr>
              <w:spacing w:before="25" w:after="25"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948" w:type="dxa"/>
            <w:noWrap/>
            <w:vAlign w:val="center"/>
          </w:tcPr>
          <w:p w14:paraId="2EB49971">
            <w:pPr>
              <w:spacing w:before="25" w:after="25" w:line="40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服务响应</w:t>
            </w:r>
          </w:p>
        </w:tc>
        <w:tc>
          <w:tcPr>
            <w:tcW w:w="2350" w:type="dxa"/>
            <w:noWrap/>
            <w:vAlign w:val="center"/>
          </w:tcPr>
          <w:p w14:paraId="6B0E67D2">
            <w:pPr>
              <w:spacing w:before="25" w:after="25" w:line="400" w:lineRule="exact"/>
              <w:jc w:val="center"/>
              <w:rPr>
                <w:rFonts w:ascii="宋体" w:hAnsi="宋体" w:cs="宋体"/>
                <w:color w:val="auto"/>
                <w:sz w:val="24"/>
                <w:szCs w:val="24"/>
                <w:highlight w:val="none"/>
              </w:rPr>
            </w:pPr>
          </w:p>
        </w:tc>
        <w:tc>
          <w:tcPr>
            <w:tcW w:w="2167" w:type="dxa"/>
            <w:noWrap/>
            <w:vAlign w:val="center"/>
          </w:tcPr>
          <w:p w14:paraId="5B85EBA9">
            <w:pPr>
              <w:spacing w:before="25" w:after="25" w:line="400" w:lineRule="exact"/>
              <w:jc w:val="center"/>
              <w:rPr>
                <w:rFonts w:ascii="宋体" w:hAnsi="宋体" w:cs="宋体"/>
                <w:color w:val="auto"/>
                <w:sz w:val="24"/>
                <w:szCs w:val="24"/>
                <w:highlight w:val="none"/>
              </w:rPr>
            </w:pPr>
          </w:p>
        </w:tc>
      </w:tr>
      <w:tr w14:paraId="76BF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85" w:type="dxa"/>
            <w:noWrap/>
            <w:vAlign w:val="center"/>
          </w:tcPr>
          <w:p w14:paraId="07CAFE3F">
            <w:pPr>
              <w:spacing w:before="25" w:after="25"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948" w:type="dxa"/>
            <w:noWrap/>
            <w:vAlign w:val="center"/>
          </w:tcPr>
          <w:p w14:paraId="6E567A0D">
            <w:pPr>
              <w:spacing w:before="25" w:after="25" w:line="40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到达现场</w:t>
            </w:r>
          </w:p>
        </w:tc>
        <w:tc>
          <w:tcPr>
            <w:tcW w:w="2350" w:type="dxa"/>
            <w:noWrap/>
            <w:vAlign w:val="center"/>
          </w:tcPr>
          <w:p w14:paraId="033ADF69">
            <w:pPr>
              <w:spacing w:before="25" w:after="25" w:line="400" w:lineRule="exact"/>
              <w:jc w:val="center"/>
              <w:rPr>
                <w:rFonts w:ascii="宋体" w:hAnsi="宋体" w:cs="宋体"/>
                <w:color w:val="auto"/>
                <w:sz w:val="24"/>
                <w:szCs w:val="24"/>
                <w:highlight w:val="none"/>
              </w:rPr>
            </w:pPr>
          </w:p>
        </w:tc>
        <w:tc>
          <w:tcPr>
            <w:tcW w:w="2167" w:type="dxa"/>
            <w:noWrap/>
            <w:vAlign w:val="center"/>
          </w:tcPr>
          <w:p w14:paraId="6C96CC00">
            <w:pPr>
              <w:spacing w:before="25" w:after="25" w:line="400" w:lineRule="exact"/>
              <w:jc w:val="center"/>
              <w:rPr>
                <w:rFonts w:ascii="宋体" w:hAnsi="宋体" w:cs="宋体"/>
                <w:color w:val="auto"/>
                <w:sz w:val="24"/>
                <w:szCs w:val="24"/>
                <w:highlight w:val="none"/>
              </w:rPr>
            </w:pPr>
          </w:p>
        </w:tc>
      </w:tr>
      <w:tr w14:paraId="366FF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85" w:type="dxa"/>
            <w:noWrap/>
            <w:vAlign w:val="center"/>
          </w:tcPr>
          <w:p w14:paraId="4C594DFA">
            <w:pPr>
              <w:spacing w:before="25" w:after="25"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948" w:type="dxa"/>
            <w:noWrap/>
            <w:vAlign w:val="center"/>
          </w:tcPr>
          <w:p w14:paraId="239840AD">
            <w:pPr>
              <w:spacing w:before="25" w:after="25" w:line="40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解决问题</w:t>
            </w:r>
          </w:p>
        </w:tc>
        <w:tc>
          <w:tcPr>
            <w:tcW w:w="2350" w:type="dxa"/>
            <w:noWrap/>
            <w:vAlign w:val="center"/>
          </w:tcPr>
          <w:p w14:paraId="3D0703CE">
            <w:pPr>
              <w:spacing w:before="25" w:after="25" w:line="400" w:lineRule="exact"/>
              <w:jc w:val="center"/>
              <w:rPr>
                <w:rFonts w:ascii="宋体" w:hAnsi="宋体" w:cs="宋体"/>
                <w:color w:val="auto"/>
                <w:sz w:val="24"/>
                <w:szCs w:val="24"/>
                <w:highlight w:val="none"/>
              </w:rPr>
            </w:pPr>
          </w:p>
        </w:tc>
        <w:tc>
          <w:tcPr>
            <w:tcW w:w="2167" w:type="dxa"/>
            <w:noWrap/>
            <w:vAlign w:val="center"/>
          </w:tcPr>
          <w:p w14:paraId="4DCA9F73">
            <w:pPr>
              <w:spacing w:before="25" w:after="25" w:line="400" w:lineRule="exact"/>
              <w:jc w:val="center"/>
              <w:rPr>
                <w:rFonts w:ascii="宋体" w:hAnsi="宋体" w:cs="宋体"/>
                <w:color w:val="auto"/>
                <w:sz w:val="24"/>
                <w:szCs w:val="24"/>
                <w:highlight w:val="none"/>
              </w:rPr>
            </w:pPr>
          </w:p>
        </w:tc>
      </w:tr>
      <w:tr w14:paraId="5513C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85" w:type="dxa"/>
            <w:noWrap/>
            <w:vAlign w:val="center"/>
          </w:tcPr>
          <w:p w14:paraId="178B0A64">
            <w:pPr>
              <w:spacing w:before="25" w:after="25" w:line="400" w:lineRule="exact"/>
              <w:jc w:val="center"/>
              <w:rPr>
                <w:rFonts w:ascii="宋体" w:hAnsi="宋体" w:cs="宋体"/>
                <w:color w:val="auto"/>
                <w:sz w:val="24"/>
                <w:szCs w:val="24"/>
                <w:highlight w:val="none"/>
              </w:rPr>
            </w:pPr>
            <w:r>
              <w:rPr>
                <w:rFonts w:ascii="宋体" w:hAnsi="宋体" w:cs="宋体"/>
                <w:color w:val="auto"/>
                <w:sz w:val="24"/>
                <w:szCs w:val="24"/>
                <w:highlight w:val="none"/>
              </w:rPr>
              <w:t>…</w:t>
            </w:r>
          </w:p>
        </w:tc>
        <w:tc>
          <w:tcPr>
            <w:tcW w:w="2948" w:type="dxa"/>
            <w:noWrap/>
            <w:vAlign w:val="center"/>
          </w:tcPr>
          <w:p w14:paraId="2FA53C78">
            <w:pPr>
              <w:spacing w:before="25" w:after="25" w:line="400" w:lineRule="exact"/>
              <w:jc w:val="center"/>
              <w:rPr>
                <w:rFonts w:ascii="宋体" w:hAnsi="宋体" w:cs="宋体"/>
                <w:color w:val="auto"/>
                <w:sz w:val="24"/>
                <w:szCs w:val="24"/>
                <w:highlight w:val="none"/>
              </w:rPr>
            </w:pPr>
          </w:p>
        </w:tc>
        <w:tc>
          <w:tcPr>
            <w:tcW w:w="2350" w:type="dxa"/>
            <w:noWrap/>
            <w:vAlign w:val="center"/>
          </w:tcPr>
          <w:p w14:paraId="4BF321DF">
            <w:pPr>
              <w:spacing w:before="25" w:after="25" w:line="400" w:lineRule="exact"/>
              <w:jc w:val="center"/>
              <w:rPr>
                <w:rFonts w:ascii="宋体" w:hAnsi="宋体" w:cs="宋体"/>
                <w:color w:val="auto"/>
                <w:sz w:val="24"/>
                <w:szCs w:val="24"/>
                <w:highlight w:val="none"/>
              </w:rPr>
            </w:pPr>
          </w:p>
        </w:tc>
        <w:tc>
          <w:tcPr>
            <w:tcW w:w="2167" w:type="dxa"/>
            <w:noWrap/>
            <w:vAlign w:val="center"/>
          </w:tcPr>
          <w:p w14:paraId="0CF865F8">
            <w:pPr>
              <w:spacing w:before="25" w:after="25" w:line="400" w:lineRule="exact"/>
              <w:jc w:val="center"/>
              <w:rPr>
                <w:rFonts w:ascii="宋体" w:hAnsi="宋体" w:cs="宋体"/>
                <w:color w:val="auto"/>
                <w:sz w:val="24"/>
                <w:szCs w:val="24"/>
                <w:highlight w:val="none"/>
              </w:rPr>
            </w:pPr>
          </w:p>
        </w:tc>
      </w:tr>
    </w:tbl>
    <w:p w14:paraId="6CD5E8D2">
      <w:pPr>
        <w:spacing w:before="25" w:after="25"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注：1）针对服务内容有必须说明的事项，请在“备注”栏目内注明；</w:t>
      </w:r>
    </w:p>
    <w:p w14:paraId="713B2E8C">
      <w:pPr>
        <w:spacing w:before="25" w:after="25" w:line="400" w:lineRule="exact"/>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）如有其他售后服务内容，可自行参照填写或自制表格。</w:t>
      </w:r>
    </w:p>
    <w:p w14:paraId="63A8AA61">
      <w:pPr>
        <w:spacing w:line="360" w:lineRule="auto"/>
        <w:jc w:val="left"/>
        <w:rPr>
          <w:rFonts w:ascii="宋体" w:hAnsi="宋体"/>
          <w:color w:val="auto"/>
          <w:sz w:val="24"/>
          <w:szCs w:val="24"/>
          <w:highlight w:val="none"/>
        </w:rPr>
      </w:pPr>
    </w:p>
    <w:p w14:paraId="3D9D9C5B">
      <w:pPr>
        <w:spacing w:line="360" w:lineRule="auto"/>
        <w:jc w:val="left"/>
        <w:rPr>
          <w:rFonts w:ascii="宋体" w:hAnsi="宋体"/>
          <w:color w:val="auto"/>
          <w:sz w:val="24"/>
          <w:szCs w:val="24"/>
          <w:highlight w:val="none"/>
        </w:rPr>
      </w:pPr>
    </w:p>
    <w:p w14:paraId="58125205">
      <w:pPr>
        <w:spacing w:line="360" w:lineRule="auto"/>
        <w:rPr>
          <w:rFonts w:ascii="宋体" w:hAnsi="宋体"/>
          <w:color w:val="auto"/>
          <w:sz w:val="24"/>
          <w:highlight w:val="none"/>
        </w:rPr>
      </w:pPr>
      <w:r>
        <w:rPr>
          <w:rFonts w:hint="eastAsia" w:ascii="宋体" w:hAnsi="宋体"/>
          <w:color w:val="auto"/>
          <w:sz w:val="24"/>
          <w:highlight w:val="none"/>
        </w:rPr>
        <w:t>投标单位：（单位盖章）</w:t>
      </w:r>
    </w:p>
    <w:p w14:paraId="529AEB20">
      <w:pPr>
        <w:spacing w:line="360" w:lineRule="auto"/>
        <w:rPr>
          <w:rFonts w:ascii="宋体" w:hAnsi="宋体"/>
          <w:color w:val="auto"/>
          <w:sz w:val="24"/>
          <w:highlight w:val="none"/>
        </w:rPr>
      </w:pPr>
      <w:r>
        <w:rPr>
          <w:rFonts w:hint="eastAsia" w:ascii="宋体" w:hAnsi="宋体"/>
          <w:color w:val="auto"/>
          <w:sz w:val="24"/>
          <w:highlight w:val="none"/>
        </w:rPr>
        <w:t>法定代表人或代理人：（签字或盖章）</w:t>
      </w:r>
    </w:p>
    <w:p w14:paraId="10428EDF">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C0D4896">
      <w:pPr>
        <w:spacing w:line="360" w:lineRule="auto"/>
        <w:rPr>
          <w:rFonts w:ascii="宋体" w:hAnsi="宋体"/>
          <w:color w:val="auto"/>
          <w:sz w:val="28"/>
          <w:szCs w:val="28"/>
          <w:highlight w:val="none"/>
        </w:rPr>
      </w:pPr>
    </w:p>
    <w:p w14:paraId="74E35272">
      <w:pPr>
        <w:spacing w:line="360" w:lineRule="auto"/>
        <w:rPr>
          <w:rFonts w:ascii="宋体" w:hAnsi="宋体"/>
          <w:color w:val="auto"/>
          <w:sz w:val="28"/>
          <w:szCs w:val="28"/>
          <w:highlight w:val="none"/>
        </w:rPr>
      </w:pPr>
    </w:p>
    <w:p w14:paraId="7B0A841A">
      <w:pPr>
        <w:spacing w:line="360" w:lineRule="auto"/>
        <w:rPr>
          <w:rFonts w:ascii="宋体" w:hAnsi="宋体"/>
          <w:color w:val="auto"/>
          <w:sz w:val="28"/>
          <w:szCs w:val="28"/>
          <w:highlight w:val="none"/>
        </w:rPr>
      </w:pPr>
    </w:p>
    <w:p w14:paraId="0628FA1B">
      <w:pPr>
        <w:spacing w:line="360" w:lineRule="auto"/>
        <w:rPr>
          <w:rFonts w:ascii="宋体" w:hAnsi="宋体"/>
          <w:color w:val="auto"/>
          <w:sz w:val="28"/>
          <w:szCs w:val="28"/>
          <w:highlight w:val="none"/>
        </w:rPr>
      </w:pPr>
    </w:p>
    <w:p w14:paraId="22D0AF9D">
      <w:pPr>
        <w:spacing w:line="360" w:lineRule="auto"/>
        <w:rPr>
          <w:rFonts w:ascii="宋体" w:hAnsi="宋体"/>
          <w:color w:val="auto"/>
          <w:sz w:val="28"/>
          <w:szCs w:val="28"/>
          <w:highlight w:val="none"/>
        </w:rPr>
      </w:pPr>
    </w:p>
    <w:p w14:paraId="56E6A020">
      <w:pPr>
        <w:spacing w:line="360" w:lineRule="auto"/>
        <w:rPr>
          <w:rFonts w:ascii="宋体" w:hAnsi="宋体"/>
          <w:color w:val="auto"/>
          <w:sz w:val="28"/>
          <w:szCs w:val="28"/>
          <w:highlight w:val="none"/>
        </w:rPr>
      </w:pPr>
    </w:p>
    <w:p w14:paraId="4D912CFC">
      <w:pPr>
        <w:spacing w:line="360" w:lineRule="auto"/>
        <w:rPr>
          <w:rFonts w:ascii="宋体" w:hAnsi="宋体"/>
          <w:color w:val="auto"/>
          <w:sz w:val="28"/>
          <w:szCs w:val="28"/>
          <w:highlight w:val="none"/>
        </w:rPr>
      </w:pPr>
    </w:p>
    <w:p w14:paraId="25083368">
      <w:pPr>
        <w:spacing w:line="360" w:lineRule="auto"/>
        <w:rPr>
          <w:rFonts w:ascii="宋体" w:hAnsi="宋体"/>
          <w:color w:val="auto"/>
          <w:sz w:val="28"/>
          <w:szCs w:val="28"/>
          <w:highlight w:val="none"/>
        </w:rPr>
      </w:pPr>
      <w:r>
        <w:rPr>
          <w:rFonts w:hint="eastAsia" w:ascii="宋体" w:hAnsi="宋体"/>
          <w:color w:val="auto"/>
          <w:sz w:val="28"/>
          <w:szCs w:val="28"/>
          <w:highlight w:val="none"/>
        </w:rPr>
        <w:t>8、有关资格证明文件</w:t>
      </w:r>
    </w:p>
    <w:p w14:paraId="2513E6E8">
      <w:pPr>
        <w:spacing w:line="360" w:lineRule="auto"/>
        <w:rPr>
          <w:rFonts w:ascii="宋体" w:hAnsi="宋体"/>
          <w:color w:val="auto"/>
          <w:sz w:val="24"/>
          <w:highlight w:val="none"/>
        </w:rPr>
      </w:pPr>
    </w:p>
    <w:p w14:paraId="5F04F602">
      <w:pPr>
        <w:spacing w:line="360" w:lineRule="auto"/>
        <w:jc w:val="center"/>
        <w:rPr>
          <w:rFonts w:ascii="宋体" w:hAnsi="宋体"/>
          <w:color w:val="auto"/>
          <w:sz w:val="24"/>
          <w:highlight w:val="none"/>
        </w:rPr>
      </w:pPr>
      <w:r>
        <w:rPr>
          <w:rFonts w:hint="eastAsia" w:ascii="宋体" w:hAnsi="宋体"/>
          <w:color w:val="auto"/>
          <w:sz w:val="24"/>
          <w:highlight w:val="none"/>
        </w:rPr>
        <w:t>关于资格文件的声明函</w:t>
      </w:r>
    </w:p>
    <w:p w14:paraId="5931F776">
      <w:pPr>
        <w:spacing w:line="360" w:lineRule="auto"/>
        <w:ind w:firstLine="420"/>
        <w:jc w:val="center"/>
        <w:rPr>
          <w:rFonts w:ascii="宋体" w:hAnsi="宋体"/>
          <w:color w:val="auto"/>
          <w:sz w:val="24"/>
          <w:highlight w:val="none"/>
        </w:rPr>
      </w:pPr>
    </w:p>
    <w:p w14:paraId="2C762B4D">
      <w:pPr>
        <w:spacing w:line="360" w:lineRule="auto"/>
        <w:jc w:val="left"/>
        <w:rPr>
          <w:rFonts w:ascii="宋体" w:hAnsi="宋体"/>
          <w:color w:val="auto"/>
          <w:sz w:val="24"/>
          <w:highlight w:val="none"/>
        </w:rPr>
      </w:pPr>
      <w:r>
        <w:rPr>
          <w:rFonts w:hint="eastAsia" w:ascii="宋体" w:hAnsi="宋体"/>
          <w:color w:val="auto"/>
          <w:sz w:val="24"/>
          <w:highlight w:val="none"/>
          <w:u w:val="single"/>
        </w:rPr>
        <w:t xml:space="preserve">  苏州时代招投标有限公司  </w:t>
      </w:r>
      <w:r>
        <w:rPr>
          <w:rFonts w:hint="eastAsia" w:ascii="宋体" w:hAnsi="宋体"/>
          <w:color w:val="auto"/>
          <w:sz w:val="24"/>
          <w:highlight w:val="none"/>
        </w:rPr>
        <w:t>：</w:t>
      </w:r>
    </w:p>
    <w:p w14:paraId="428AA885">
      <w:pPr>
        <w:spacing w:line="360" w:lineRule="auto"/>
        <w:ind w:firstLine="420"/>
        <w:jc w:val="left"/>
        <w:rPr>
          <w:rFonts w:ascii="宋体" w:hAnsi="宋体"/>
          <w:color w:val="auto"/>
          <w:sz w:val="24"/>
          <w:highlight w:val="none"/>
        </w:rPr>
      </w:pPr>
      <w:r>
        <w:rPr>
          <w:rFonts w:hint="eastAsia" w:ascii="宋体" w:hAnsi="宋体"/>
          <w:color w:val="auto"/>
          <w:sz w:val="24"/>
          <w:highlight w:val="none"/>
        </w:rPr>
        <w:t>本公司愿就由贵公司组织实施的编号为</w:t>
      </w:r>
      <w:r>
        <w:rPr>
          <w:rFonts w:hint="eastAsia" w:ascii="宋体" w:hAnsi="宋体"/>
          <w:color w:val="auto"/>
          <w:sz w:val="24"/>
          <w:highlight w:val="none"/>
          <w:u w:val="single"/>
        </w:rPr>
        <w:t>（招标编号）</w:t>
      </w:r>
      <w:r>
        <w:rPr>
          <w:rFonts w:hint="eastAsia" w:ascii="宋体" w:hAnsi="宋体"/>
          <w:color w:val="auto"/>
          <w:sz w:val="24"/>
          <w:highlight w:val="none"/>
        </w:rPr>
        <w:t>号的招标活动进行投标。本公司所提交的投标文件中所有关于投标资格的文件、证明和陈述均是真实的、准确的。若与真实情况不符，本公司愿意承担由此而产生的一切后果。</w:t>
      </w:r>
    </w:p>
    <w:p w14:paraId="443FF534">
      <w:pPr>
        <w:spacing w:line="360" w:lineRule="auto"/>
        <w:ind w:firstLine="420"/>
        <w:jc w:val="left"/>
        <w:rPr>
          <w:rFonts w:ascii="宋体" w:hAnsi="宋体"/>
          <w:color w:val="auto"/>
          <w:sz w:val="24"/>
          <w:highlight w:val="none"/>
        </w:rPr>
      </w:pPr>
      <w:r>
        <w:rPr>
          <w:rFonts w:hint="eastAsia" w:ascii="宋体" w:hAnsi="宋体"/>
          <w:color w:val="auto"/>
          <w:sz w:val="24"/>
          <w:highlight w:val="none"/>
        </w:rPr>
        <w:tab/>
      </w:r>
    </w:p>
    <w:p w14:paraId="7CD012E9">
      <w:pPr>
        <w:spacing w:line="360" w:lineRule="auto"/>
        <w:ind w:firstLine="4260"/>
        <w:jc w:val="left"/>
        <w:rPr>
          <w:rFonts w:ascii="宋体" w:hAnsi="宋体"/>
          <w:color w:val="auto"/>
          <w:sz w:val="24"/>
          <w:highlight w:val="none"/>
        </w:rPr>
      </w:pPr>
    </w:p>
    <w:p w14:paraId="7FB480CA">
      <w:pPr>
        <w:spacing w:line="360" w:lineRule="auto"/>
        <w:ind w:firstLine="4260"/>
        <w:jc w:val="left"/>
        <w:rPr>
          <w:rFonts w:ascii="宋体" w:hAnsi="宋体"/>
          <w:color w:val="auto"/>
          <w:sz w:val="24"/>
          <w:highlight w:val="none"/>
        </w:rPr>
      </w:pPr>
    </w:p>
    <w:p w14:paraId="2F3745B6">
      <w:pPr>
        <w:spacing w:line="360" w:lineRule="auto"/>
        <w:ind w:firstLine="4260"/>
        <w:jc w:val="left"/>
        <w:rPr>
          <w:rFonts w:ascii="宋体" w:hAnsi="宋体"/>
          <w:color w:val="auto"/>
          <w:sz w:val="24"/>
          <w:highlight w:val="none"/>
        </w:rPr>
      </w:pPr>
      <w:r>
        <w:rPr>
          <w:rFonts w:hint="eastAsia" w:ascii="宋体" w:hAnsi="宋体"/>
          <w:color w:val="auto"/>
          <w:sz w:val="24"/>
          <w:highlight w:val="none"/>
        </w:rPr>
        <w:t>投标单位（盖公章）：</w:t>
      </w:r>
    </w:p>
    <w:p w14:paraId="230DF263">
      <w:pPr>
        <w:spacing w:line="360" w:lineRule="auto"/>
        <w:ind w:firstLine="420"/>
        <w:jc w:val="lef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法定代表人或被授权人（签字或盖章）：</w:t>
      </w:r>
    </w:p>
    <w:p w14:paraId="0C88804E">
      <w:pPr>
        <w:spacing w:line="360" w:lineRule="auto"/>
        <w:ind w:firstLine="425"/>
        <w:jc w:val="center"/>
        <w:rPr>
          <w:rFonts w:ascii="宋体" w:hAnsi="宋体"/>
          <w:color w:val="auto"/>
          <w:sz w:val="24"/>
          <w:highlight w:val="none"/>
        </w:rPr>
      </w:pPr>
      <w:r>
        <w:rPr>
          <w:rFonts w:hint="eastAsia" w:ascii="宋体" w:hAnsi="宋体"/>
          <w:color w:val="auto"/>
          <w:sz w:val="24"/>
          <w:highlight w:val="none"/>
        </w:rPr>
        <w:t xml:space="preserve">                               年 </w:t>
      </w:r>
      <w:r>
        <w:rPr>
          <w:rFonts w:hint="eastAsia" w:ascii="宋体" w:hAnsi="宋体"/>
          <w:color w:val="auto"/>
          <w:sz w:val="24"/>
          <w:highlight w:val="none"/>
        </w:rPr>
        <w:tab/>
      </w:r>
      <w:r>
        <w:rPr>
          <w:rFonts w:hint="eastAsia" w:ascii="宋体" w:hAnsi="宋体"/>
          <w:color w:val="auto"/>
          <w:sz w:val="24"/>
          <w:highlight w:val="none"/>
        </w:rPr>
        <w:t xml:space="preserve">   月   </w:t>
      </w:r>
      <w:r>
        <w:rPr>
          <w:rFonts w:hint="eastAsia" w:ascii="宋体" w:hAnsi="宋体"/>
          <w:color w:val="auto"/>
          <w:sz w:val="24"/>
          <w:highlight w:val="none"/>
        </w:rPr>
        <w:tab/>
      </w:r>
      <w:r>
        <w:rPr>
          <w:rFonts w:hint="eastAsia" w:ascii="宋体" w:hAnsi="宋体"/>
          <w:color w:val="auto"/>
          <w:sz w:val="24"/>
          <w:highlight w:val="none"/>
        </w:rPr>
        <w:t>日</w:t>
      </w:r>
    </w:p>
    <w:p w14:paraId="2E0BBEF8">
      <w:pPr>
        <w:spacing w:line="360" w:lineRule="auto"/>
        <w:jc w:val="left"/>
        <w:rPr>
          <w:rFonts w:ascii="宋体" w:hAnsi="宋体"/>
          <w:color w:val="auto"/>
          <w:sz w:val="24"/>
          <w:highlight w:val="none"/>
        </w:rPr>
      </w:pPr>
    </w:p>
    <w:p w14:paraId="067B44E6">
      <w:pPr>
        <w:spacing w:line="360" w:lineRule="auto"/>
        <w:jc w:val="left"/>
        <w:rPr>
          <w:rFonts w:ascii="宋体" w:hAnsi="宋体"/>
          <w:color w:val="auto"/>
          <w:sz w:val="24"/>
          <w:highlight w:val="none"/>
        </w:rPr>
      </w:pPr>
    </w:p>
    <w:p w14:paraId="3EB7AA3A">
      <w:pPr>
        <w:spacing w:line="360" w:lineRule="auto"/>
        <w:jc w:val="left"/>
        <w:rPr>
          <w:rFonts w:ascii="宋体" w:hAnsi="宋体"/>
          <w:color w:val="auto"/>
          <w:sz w:val="24"/>
          <w:highlight w:val="none"/>
        </w:rPr>
      </w:pPr>
    </w:p>
    <w:p w14:paraId="2B00D83B">
      <w:pPr>
        <w:spacing w:line="360" w:lineRule="auto"/>
        <w:jc w:val="left"/>
        <w:rPr>
          <w:rFonts w:ascii="宋体" w:hAnsi="宋体"/>
          <w:color w:val="auto"/>
          <w:sz w:val="24"/>
          <w:highlight w:val="none"/>
        </w:rPr>
      </w:pPr>
    </w:p>
    <w:p w14:paraId="0CA74EF7">
      <w:pPr>
        <w:spacing w:line="360" w:lineRule="auto"/>
        <w:jc w:val="left"/>
        <w:rPr>
          <w:rFonts w:ascii="宋体" w:hAnsi="宋体"/>
          <w:color w:val="auto"/>
          <w:sz w:val="24"/>
          <w:highlight w:val="none"/>
        </w:rPr>
      </w:pPr>
    </w:p>
    <w:p w14:paraId="04A5D0B7">
      <w:pPr>
        <w:spacing w:line="360" w:lineRule="auto"/>
        <w:jc w:val="left"/>
        <w:rPr>
          <w:rFonts w:ascii="宋体" w:hAnsi="宋体"/>
          <w:color w:val="auto"/>
          <w:sz w:val="24"/>
          <w:highlight w:val="none"/>
        </w:rPr>
      </w:pPr>
    </w:p>
    <w:p w14:paraId="5CAFB9EF">
      <w:pPr>
        <w:spacing w:line="360" w:lineRule="auto"/>
        <w:jc w:val="left"/>
        <w:rPr>
          <w:rFonts w:ascii="宋体" w:hAnsi="宋体"/>
          <w:color w:val="auto"/>
          <w:sz w:val="24"/>
          <w:highlight w:val="none"/>
        </w:rPr>
      </w:pPr>
    </w:p>
    <w:p w14:paraId="41DFEF0D">
      <w:pPr>
        <w:spacing w:line="360" w:lineRule="auto"/>
        <w:jc w:val="left"/>
        <w:rPr>
          <w:rFonts w:ascii="宋体" w:hAnsi="宋体"/>
          <w:color w:val="auto"/>
          <w:sz w:val="28"/>
          <w:szCs w:val="28"/>
          <w:highlight w:val="none"/>
        </w:rPr>
      </w:pPr>
    </w:p>
    <w:p w14:paraId="2F6CFC6F">
      <w:pPr>
        <w:spacing w:line="360" w:lineRule="auto"/>
        <w:jc w:val="left"/>
        <w:rPr>
          <w:rFonts w:ascii="宋体" w:hAnsi="宋体"/>
          <w:color w:val="auto"/>
          <w:sz w:val="28"/>
          <w:szCs w:val="28"/>
          <w:highlight w:val="none"/>
        </w:rPr>
      </w:pPr>
      <w:r>
        <w:rPr>
          <w:rFonts w:hint="eastAsia" w:ascii="宋体" w:hAnsi="宋体"/>
          <w:color w:val="auto"/>
          <w:sz w:val="28"/>
          <w:szCs w:val="28"/>
          <w:highlight w:val="none"/>
        </w:rPr>
        <w:br w:type="column"/>
      </w:r>
      <w:r>
        <w:rPr>
          <w:rFonts w:hint="eastAsia" w:ascii="宋体" w:hAnsi="宋体"/>
          <w:color w:val="auto"/>
          <w:sz w:val="28"/>
          <w:szCs w:val="28"/>
          <w:highlight w:val="none"/>
        </w:rPr>
        <w:t>9、中小企业声明函</w:t>
      </w:r>
    </w:p>
    <w:p w14:paraId="59FE3785">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中小企业声明函</w:t>
      </w:r>
    </w:p>
    <w:p w14:paraId="25FB6C61">
      <w:pPr>
        <w:pStyle w:val="246"/>
        <w:spacing w:line="360" w:lineRule="auto"/>
        <w:ind w:firstLine="640"/>
        <w:rPr>
          <w:rFonts w:ascii="宋体" w:hAnsi="宋体"/>
          <w:color w:val="auto"/>
          <w:sz w:val="24"/>
          <w:highlight w:val="none"/>
        </w:rPr>
      </w:pPr>
      <w:r>
        <w:rPr>
          <w:rFonts w:hint="eastAsia" w:ascii="宋体" w:hAnsi="宋体"/>
          <w:color w:val="auto"/>
          <w:spacing w:val="-2"/>
          <w:sz w:val="24"/>
          <w:highlight w:val="none"/>
        </w:rPr>
        <w:t>本公司</w:t>
      </w:r>
      <w:r>
        <w:rPr>
          <w:rFonts w:hint="eastAsia" w:ascii="宋体" w:hAnsi="宋体"/>
          <w:color w:val="auto"/>
          <w:sz w:val="24"/>
          <w:highlight w:val="none"/>
        </w:rPr>
        <w:t>（联合体</w:t>
      </w:r>
      <w:r>
        <w:rPr>
          <w:rFonts w:hint="eastAsia" w:ascii="宋体" w:hAnsi="宋体"/>
          <w:color w:val="auto"/>
          <w:spacing w:val="-5"/>
          <w:sz w:val="24"/>
          <w:highlight w:val="none"/>
        </w:rPr>
        <w:t>）</w:t>
      </w:r>
      <w:r>
        <w:rPr>
          <w:rFonts w:hint="eastAsia" w:ascii="宋体" w:hAnsi="宋体"/>
          <w:color w:val="auto"/>
          <w:spacing w:val="-2"/>
          <w:sz w:val="24"/>
          <w:highlight w:val="none"/>
        </w:rPr>
        <w:t>郑重声明，根据</w:t>
      </w:r>
      <w:r>
        <w:rPr>
          <w:rFonts w:hint="eastAsia" w:ascii="宋体" w:hAnsi="宋体"/>
          <w:color w:val="auto"/>
          <w:sz w:val="24"/>
          <w:highlight w:val="none"/>
        </w:rPr>
        <w:t>《关于印发</w:t>
      </w:r>
      <w:r>
        <w:rPr>
          <w:rFonts w:hint="eastAsia" w:ascii="宋体" w:hAnsi="宋体"/>
          <w:color w:val="auto"/>
          <w:sz w:val="24"/>
          <w:highlight w:val="none"/>
          <w:lang w:eastAsia="zh-CN"/>
        </w:rPr>
        <w:t>〈</w:t>
      </w:r>
      <w:r>
        <w:rPr>
          <w:rFonts w:hint="eastAsia" w:ascii="宋体" w:hAnsi="宋体"/>
          <w:color w:val="auto"/>
          <w:sz w:val="24"/>
          <w:highlight w:val="none"/>
        </w:rPr>
        <w:t>苏州市政府采购促进中小企业发展实施意见</w:t>
      </w:r>
      <w:r>
        <w:rPr>
          <w:rFonts w:hint="eastAsia" w:ascii="宋体" w:hAnsi="宋体"/>
          <w:color w:val="auto"/>
          <w:sz w:val="24"/>
          <w:highlight w:val="none"/>
          <w:lang w:eastAsia="zh-CN"/>
        </w:rPr>
        <w:t>〉的通知》</w:t>
      </w:r>
      <w:r>
        <w:rPr>
          <w:rFonts w:hint="eastAsia" w:ascii="宋体" w:hAnsi="宋体"/>
          <w:color w:val="auto"/>
          <w:sz w:val="24"/>
          <w:highlight w:val="none"/>
        </w:rPr>
        <w:t>（苏财购</w:t>
      </w:r>
      <w:r>
        <w:rPr>
          <w:rFonts w:hint="eastAsia" w:ascii="宋体" w:hAnsi="宋体"/>
          <w:color w:val="auto"/>
          <w:sz w:val="24"/>
          <w:highlight w:val="none"/>
          <w:lang w:eastAsia="zh-CN"/>
        </w:rPr>
        <w:t>〔2022〕16号</w:t>
      </w:r>
      <w:r>
        <w:rPr>
          <w:rFonts w:hint="eastAsia" w:ascii="宋体" w:hAnsi="宋体"/>
          <w:color w:val="auto"/>
          <w:sz w:val="24"/>
          <w:highlight w:val="none"/>
        </w:rPr>
        <w:t>）的规定，本公司（联合体）</w:t>
      </w:r>
      <w:r>
        <w:rPr>
          <w:rFonts w:hint="eastAsia" w:ascii="宋体" w:hAnsi="宋体"/>
          <w:color w:val="auto"/>
          <w:spacing w:val="-8"/>
          <w:sz w:val="24"/>
          <w:highlight w:val="none"/>
        </w:rPr>
        <w:t>参</w:t>
      </w:r>
      <w:r>
        <w:rPr>
          <w:rFonts w:hint="eastAsia" w:ascii="宋体" w:hAnsi="宋体"/>
          <w:color w:val="auto"/>
          <w:spacing w:val="-2"/>
          <w:sz w:val="24"/>
          <w:highlight w:val="none"/>
        </w:rPr>
        <w:t>加</w:t>
      </w:r>
      <w:r>
        <w:rPr>
          <w:rFonts w:hint="eastAsia" w:ascii="宋体" w:hAnsi="宋体"/>
          <w:color w:val="auto"/>
          <w:spacing w:val="-2"/>
          <w:sz w:val="24"/>
          <w:highlight w:val="none"/>
          <w:u w:val="single"/>
        </w:rPr>
        <w:t>（单位名称）</w:t>
      </w:r>
      <w:r>
        <w:rPr>
          <w:rFonts w:hint="eastAsia" w:ascii="宋体" w:hAnsi="宋体"/>
          <w:color w:val="auto"/>
          <w:spacing w:val="-2"/>
          <w:sz w:val="24"/>
          <w:highlight w:val="none"/>
        </w:rPr>
        <w:t>的</w:t>
      </w:r>
      <w:r>
        <w:rPr>
          <w:rFonts w:hint="eastAsia" w:ascii="宋体" w:hAnsi="宋体"/>
          <w:color w:val="auto"/>
          <w:spacing w:val="-2"/>
          <w:sz w:val="24"/>
          <w:highlight w:val="none"/>
          <w:u w:val="single"/>
        </w:rPr>
        <w:t>（项目名称）</w:t>
      </w:r>
      <w:r>
        <w:rPr>
          <w:rFonts w:hint="eastAsia" w:ascii="宋体" w:hAnsi="宋体"/>
          <w:color w:val="auto"/>
          <w:spacing w:val="-2"/>
          <w:sz w:val="24"/>
          <w:highlight w:val="none"/>
        </w:rPr>
        <w:t>采购活</w:t>
      </w:r>
      <w:r>
        <w:rPr>
          <w:rFonts w:hint="eastAsia" w:ascii="宋体" w:hAnsi="宋体"/>
          <w:color w:val="auto"/>
          <w:spacing w:val="-1"/>
          <w:sz w:val="24"/>
          <w:highlight w:val="none"/>
        </w:rPr>
        <w:t>动，</w:t>
      </w:r>
      <w:r>
        <w:rPr>
          <w:rFonts w:hint="eastAsia" w:ascii="宋体" w:hAnsi="宋体"/>
          <w:color w:val="auto"/>
          <w:spacing w:val="-2"/>
          <w:sz w:val="24"/>
          <w:highlight w:val="none"/>
        </w:rPr>
        <w:t>提供的货物全部由符合政策要求的中小企业制造。相关企业（含联合体中的中小企业、签订分包</w:t>
      </w:r>
      <w:r>
        <w:rPr>
          <w:rFonts w:hint="eastAsia" w:ascii="宋体" w:hAnsi="宋体"/>
          <w:color w:val="auto"/>
          <w:sz w:val="24"/>
          <w:highlight w:val="none"/>
        </w:rPr>
        <w:t>意向协议的中小企业） 的具体情况如下：</w:t>
      </w:r>
    </w:p>
    <w:p w14:paraId="7F80AE6A">
      <w:pPr>
        <w:pStyle w:val="273"/>
        <w:ind w:firstLine="472"/>
        <w:rPr>
          <w:rFonts w:ascii="宋体" w:hAnsi="宋体"/>
          <w:color w:val="auto"/>
          <w:spacing w:val="-2"/>
          <w:highlight w:val="none"/>
        </w:rPr>
      </w:pPr>
      <w:r>
        <w:rPr>
          <w:rFonts w:hint="eastAsia" w:ascii="宋体" w:hAnsi="宋体"/>
          <w:color w:val="auto"/>
          <w:spacing w:val="-2"/>
          <w:highlight w:val="none"/>
        </w:rPr>
        <w:t>1、</w:t>
      </w:r>
      <w:r>
        <w:rPr>
          <w:rFonts w:hint="eastAsia" w:ascii="宋体" w:hAnsi="宋体"/>
          <w:color w:val="auto"/>
          <w:spacing w:val="-2"/>
          <w:highlight w:val="none"/>
          <w:u w:val="single"/>
        </w:rPr>
        <w:t>（标的名称）</w:t>
      </w:r>
      <w:r>
        <w:rPr>
          <w:rFonts w:hint="eastAsia" w:ascii="宋体" w:hAnsi="宋体"/>
          <w:color w:val="auto"/>
          <w:spacing w:val="-2"/>
          <w:highlight w:val="none"/>
        </w:rPr>
        <w:t>，属于</w:t>
      </w:r>
      <w:r>
        <w:rPr>
          <w:rFonts w:hint="eastAsia" w:ascii="宋体" w:hAnsi="宋体"/>
          <w:color w:val="auto"/>
          <w:spacing w:val="-2"/>
          <w:highlight w:val="none"/>
          <w:u w:val="single"/>
        </w:rPr>
        <w:t>（采购文件中明确的所属行业）</w:t>
      </w:r>
      <w:r>
        <w:rPr>
          <w:rFonts w:hint="eastAsia" w:ascii="宋体" w:hAnsi="宋体"/>
          <w:color w:val="auto"/>
          <w:spacing w:val="-2"/>
          <w:highlight w:val="none"/>
        </w:rPr>
        <w:t>行业；制造商为</w:t>
      </w:r>
      <w:r>
        <w:rPr>
          <w:rFonts w:hint="eastAsia" w:ascii="宋体" w:hAnsi="宋体"/>
          <w:color w:val="auto"/>
          <w:spacing w:val="-2"/>
          <w:highlight w:val="none"/>
          <w:u w:val="single"/>
        </w:rPr>
        <w:t>（企业名称）</w:t>
      </w:r>
      <w:r>
        <w:rPr>
          <w:rFonts w:hint="eastAsia" w:ascii="宋体" w:hAnsi="宋体"/>
          <w:color w:val="auto"/>
          <w:spacing w:val="-2"/>
          <w:highlight w:val="none"/>
        </w:rPr>
        <w:t>，从业人员人，营业收入为万元，资产总额为万元，属于</w:t>
      </w:r>
      <w:r>
        <w:rPr>
          <w:rFonts w:hint="eastAsia" w:ascii="宋体" w:hAnsi="宋体"/>
          <w:color w:val="auto"/>
          <w:spacing w:val="-2"/>
          <w:highlight w:val="none"/>
          <w:u w:val="single"/>
        </w:rPr>
        <w:t xml:space="preserve">   （中型企业、小型企业、微型企业）</w:t>
      </w:r>
      <w:r>
        <w:rPr>
          <w:rFonts w:hint="eastAsia" w:ascii="宋体" w:hAnsi="宋体"/>
          <w:color w:val="auto"/>
          <w:spacing w:val="-2"/>
          <w:highlight w:val="none"/>
        </w:rPr>
        <w:t>；</w:t>
      </w:r>
    </w:p>
    <w:p w14:paraId="6EDBFD4F">
      <w:pPr>
        <w:pStyle w:val="273"/>
        <w:ind w:firstLine="472"/>
        <w:rPr>
          <w:rFonts w:ascii="宋体" w:hAnsi="宋体"/>
          <w:color w:val="auto"/>
          <w:spacing w:val="-2"/>
          <w:highlight w:val="none"/>
        </w:rPr>
      </w:pPr>
      <w:r>
        <w:rPr>
          <w:rFonts w:hint="eastAsia" w:ascii="宋体" w:hAnsi="宋体"/>
          <w:color w:val="auto"/>
          <w:spacing w:val="-2"/>
          <w:highlight w:val="none"/>
        </w:rPr>
        <w:t>2、</w:t>
      </w:r>
      <w:r>
        <w:rPr>
          <w:rFonts w:hint="eastAsia" w:ascii="宋体" w:hAnsi="宋体"/>
          <w:color w:val="auto"/>
          <w:spacing w:val="-2"/>
          <w:highlight w:val="none"/>
          <w:u w:val="single"/>
        </w:rPr>
        <w:t>（标的名称）</w:t>
      </w:r>
      <w:r>
        <w:rPr>
          <w:rFonts w:hint="eastAsia" w:ascii="宋体" w:hAnsi="宋体"/>
          <w:color w:val="auto"/>
          <w:spacing w:val="-2"/>
          <w:highlight w:val="none"/>
        </w:rPr>
        <w:t>，属于</w:t>
      </w:r>
      <w:r>
        <w:rPr>
          <w:rFonts w:hint="eastAsia" w:ascii="宋体" w:hAnsi="宋体"/>
          <w:color w:val="auto"/>
          <w:spacing w:val="-2"/>
          <w:highlight w:val="none"/>
          <w:u w:val="single"/>
        </w:rPr>
        <w:t>（采购文件中明确的所属行业）</w:t>
      </w:r>
      <w:r>
        <w:rPr>
          <w:rFonts w:hint="eastAsia" w:ascii="宋体" w:hAnsi="宋体"/>
          <w:color w:val="auto"/>
          <w:spacing w:val="-2"/>
          <w:highlight w:val="none"/>
        </w:rPr>
        <w:t>行业；制造商为</w:t>
      </w:r>
      <w:r>
        <w:rPr>
          <w:rFonts w:hint="eastAsia" w:ascii="宋体" w:hAnsi="宋体"/>
          <w:color w:val="auto"/>
          <w:spacing w:val="-2"/>
          <w:highlight w:val="none"/>
          <w:u w:val="single"/>
        </w:rPr>
        <w:t>（企业名称）</w:t>
      </w:r>
      <w:r>
        <w:rPr>
          <w:rFonts w:hint="eastAsia" w:ascii="宋体" w:hAnsi="宋体"/>
          <w:color w:val="auto"/>
          <w:spacing w:val="-2"/>
          <w:highlight w:val="none"/>
        </w:rPr>
        <w:t>，从业人员人，营业收入为万元，资产总额为万元，属于</w:t>
      </w:r>
      <w:r>
        <w:rPr>
          <w:rFonts w:hint="eastAsia" w:ascii="宋体" w:hAnsi="宋体"/>
          <w:color w:val="auto"/>
          <w:spacing w:val="-2"/>
          <w:highlight w:val="none"/>
          <w:u w:val="single"/>
        </w:rPr>
        <w:t xml:space="preserve">     （中型企业、小型企业、微型企业）</w:t>
      </w:r>
      <w:r>
        <w:rPr>
          <w:rFonts w:hint="eastAsia" w:ascii="宋体" w:hAnsi="宋体"/>
          <w:color w:val="auto"/>
          <w:spacing w:val="-2"/>
          <w:highlight w:val="none"/>
        </w:rPr>
        <w:t>；</w:t>
      </w:r>
    </w:p>
    <w:p w14:paraId="591376B1">
      <w:pPr>
        <w:pStyle w:val="246"/>
        <w:spacing w:line="360" w:lineRule="auto"/>
        <w:rPr>
          <w:rFonts w:ascii="宋体" w:hAnsi="宋体"/>
          <w:color w:val="auto"/>
          <w:spacing w:val="-2"/>
          <w:sz w:val="24"/>
          <w:highlight w:val="none"/>
        </w:rPr>
      </w:pPr>
      <w:r>
        <w:rPr>
          <w:rFonts w:hint="eastAsia" w:ascii="宋体" w:hAnsi="宋体"/>
          <w:color w:val="auto"/>
          <w:spacing w:val="-2"/>
          <w:sz w:val="24"/>
          <w:highlight w:val="none"/>
        </w:rPr>
        <w:t>……</w:t>
      </w:r>
    </w:p>
    <w:p w14:paraId="4FBB0352">
      <w:pPr>
        <w:pStyle w:val="246"/>
        <w:spacing w:line="360" w:lineRule="auto"/>
        <w:ind w:firstLine="645"/>
        <w:rPr>
          <w:rFonts w:ascii="宋体" w:hAnsi="宋体"/>
          <w:color w:val="auto"/>
          <w:sz w:val="24"/>
          <w:highlight w:val="none"/>
        </w:rPr>
      </w:pPr>
      <w:r>
        <w:rPr>
          <w:rFonts w:hint="eastAsia" w:ascii="宋体" w:hAnsi="宋体"/>
          <w:color w:val="auto"/>
          <w:spacing w:val="-3"/>
          <w:sz w:val="24"/>
          <w:highlight w:val="none"/>
        </w:rPr>
        <w:t>以上企业，不属于大企业的分支机构，不存在控股股东</w:t>
      </w:r>
      <w:r>
        <w:rPr>
          <w:rFonts w:hint="eastAsia" w:ascii="宋体" w:hAnsi="宋体"/>
          <w:color w:val="auto"/>
          <w:spacing w:val="-5"/>
          <w:sz w:val="24"/>
          <w:highlight w:val="none"/>
        </w:rPr>
        <w:t>为大企业的情形，也不存在与大企业的负责人为同一人的情形。</w:t>
      </w:r>
    </w:p>
    <w:p w14:paraId="521DA8B1">
      <w:pPr>
        <w:pStyle w:val="246"/>
        <w:spacing w:after="0" w:line="360" w:lineRule="auto"/>
        <w:ind w:firstLine="645"/>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r>
        <w:rPr>
          <w:rFonts w:ascii="宋体" w:hAnsi="宋体" w:cs="宋体"/>
          <w:color w:val="auto"/>
          <w:sz w:val="24"/>
          <w:highlight w:val="none"/>
        </w:rPr>
        <w:t>。</w:t>
      </w:r>
    </w:p>
    <w:p w14:paraId="024C694A">
      <w:pPr>
        <w:pStyle w:val="245"/>
        <w:spacing w:after="0" w:line="360" w:lineRule="auto"/>
        <w:ind w:firstLine="240"/>
        <w:rPr>
          <w:color w:val="auto"/>
          <w:sz w:val="24"/>
          <w:highlight w:val="none"/>
        </w:rPr>
      </w:pPr>
    </w:p>
    <w:p w14:paraId="7FC1EB9A">
      <w:pPr>
        <w:spacing w:line="360" w:lineRule="auto"/>
        <w:jc w:val="right"/>
        <w:rPr>
          <w:rFonts w:ascii="宋体" w:hAnsi="宋体"/>
          <w:color w:val="auto"/>
          <w:sz w:val="24"/>
          <w:szCs w:val="24"/>
          <w:highlight w:val="none"/>
        </w:rPr>
      </w:pPr>
      <w:r>
        <w:rPr>
          <w:rFonts w:hint="eastAsia" w:ascii="宋体" w:hAnsi="宋体"/>
          <w:color w:val="auto"/>
          <w:sz w:val="24"/>
          <w:szCs w:val="24"/>
          <w:highlight w:val="none"/>
        </w:rPr>
        <w:t>投标单位：（盖章）</w:t>
      </w:r>
    </w:p>
    <w:p w14:paraId="3DF069F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日    期：</w:t>
      </w:r>
    </w:p>
    <w:p w14:paraId="1BA9E604">
      <w:pPr>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备注：1.从业人员、营业收入、资产总额填报上一年度数据，无上一年度数据的新成立企业可不填报。</w:t>
      </w:r>
    </w:p>
    <w:p w14:paraId="43C7B0F0">
      <w:pPr>
        <w:ind w:firstLine="72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2.在服务采购项目中，服务由中小企业承接，即提供服务的人员为中小企业依照《中华人民共和国劳动合同法》订立劳动合同的从业人员。服务类项目中供应商若使用退休人员，将不享受相应扶持政策。</w:t>
      </w:r>
    </w:p>
    <w:p w14:paraId="0BB1EF52">
      <w:pPr>
        <w:pStyle w:val="254"/>
        <w:spacing w:line="240" w:lineRule="auto"/>
        <w:ind w:firstLine="6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中小企业声明函》中所填的行业应与本采购标的对应的中小企业划分标准所属行业一致，不一致的不可享受相应政策优惠。本采购标的对应的中小企业划分标准所属行业，以招标文件第四章《招标书》规定为准。</w:t>
      </w:r>
    </w:p>
    <w:p w14:paraId="63D5B4CF">
      <w:pPr>
        <w:pStyle w:val="254"/>
        <w:spacing w:line="240" w:lineRule="auto"/>
        <w:ind w:firstLine="6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4.如未对（中型企业、小型企业、微型企业）进行勾选，视同非中小微企业，不可享受相应扶持政策。</w:t>
      </w:r>
    </w:p>
    <w:p w14:paraId="4ED7F9E0">
      <w:pPr>
        <w:pStyle w:val="254"/>
        <w:spacing w:line="240" w:lineRule="auto"/>
        <w:ind w:firstLine="6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5.中标单位为中小企业的，《中小企业声明函》将随中标结果同时公告。</w:t>
      </w:r>
    </w:p>
    <w:p w14:paraId="27B85DDC">
      <w:pPr>
        <w:spacing w:line="360" w:lineRule="auto"/>
        <w:rPr>
          <w:rFonts w:ascii="宋体" w:hAnsi="宋体"/>
          <w:b/>
          <w:color w:val="auto"/>
          <w:sz w:val="24"/>
          <w:szCs w:val="24"/>
          <w:highlight w:val="none"/>
        </w:rPr>
      </w:pPr>
    </w:p>
    <w:p w14:paraId="1F8259E8">
      <w:pPr>
        <w:spacing w:line="276" w:lineRule="auto"/>
        <w:rPr>
          <w:rFonts w:ascii="宋体" w:hAnsi="宋体"/>
          <w:b/>
          <w:color w:val="auto"/>
          <w:sz w:val="24"/>
          <w:szCs w:val="24"/>
          <w:highlight w:val="none"/>
        </w:rPr>
      </w:pPr>
      <w:r>
        <w:rPr>
          <w:rFonts w:hint="eastAsia" w:ascii="宋体" w:hAnsi="宋体"/>
          <w:b/>
          <w:color w:val="auto"/>
          <w:sz w:val="24"/>
          <w:szCs w:val="24"/>
          <w:highlight w:val="none"/>
        </w:rPr>
        <w:t>附：中小企业划型标准规定</w:t>
      </w:r>
    </w:p>
    <w:p w14:paraId="7CD6847C">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（一）农、林、牧、渔业。</w:t>
      </w:r>
      <w:r>
        <w:rPr>
          <w:rFonts w:hint="eastAsia" w:ascii="宋体" w:hAnsi="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0EE3C8EA">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（二）工业。</w:t>
      </w:r>
      <w:r>
        <w:rPr>
          <w:rFonts w:hint="eastAsia" w:ascii="宋体" w:hAnsi="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51C5A0">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（三）建筑业。</w:t>
      </w:r>
      <w:r>
        <w:rPr>
          <w:rFonts w:hint="eastAsia" w:ascii="宋体" w:hAnsi="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A00616F">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（四）批发业。</w:t>
      </w:r>
      <w:r>
        <w:rPr>
          <w:rFonts w:hint="eastAsia" w:ascii="宋体" w:hAnsi="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803D609">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（五）零售业。</w:t>
      </w:r>
      <w:r>
        <w:rPr>
          <w:rFonts w:hint="eastAsia" w:ascii="宋体" w:hAnsi="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E0A7EAE">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（六）交通运输业。</w:t>
      </w:r>
      <w:r>
        <w:rPr>
          <w:rFonts w:hint="eastAsia" w:ascii="宋体" w:hAnsi="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03B97D">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（七）仓储业。</w:t>
      </w:r>
      <w:r>
        <w:rPr>
          <w:rFonts w:hint="eastAsia" w:ascii="宋体" w:hAnsi="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7C5BE4">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（八）邮政业。</w:t>
      </w:r>
      <w:r>
        <w:rPr>
          <w:rFonts w:hint="eastAsia" w:ascii="宋体" w:hAnsi="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7520D0">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（九）住宿业。</w:t>
      </w:r>
      <w:r>
        <w:rPr>
          <w:rFonts w:hint="eastAsia" w:ascii="宋体" w:hAnsi="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6929D3">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（十）餐饮业。</w:t>
      </w:r>
      <w:r>
        <w:rPr>
          <w:rFonts w:hint="eastAsia" w:ascii="宋体" w:hAnsi="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81ADC8">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（十一）信息传输业。</w:t>
      </w:r>
      <w:r>
        <w:rPr>
          <w:rFonts w:hint="eastAsia" w:ascii="宋体" w:hAnsi="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403646">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（十二）软件和信息技术服务业。</w:t>
      </w:r>
      <w:r>
        <w:rPr>
          <w:rFonts w:hint="eastAsia" w:ascii="宋体" w:hAnsi="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D829FA">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（十三）房地产开发经营。</w:t>
      </w:r>
      <w:r>
        <w:rPr>
          <w:rFonts w:hint="eastAsia" w:ascii="宋体" w:hAnsi="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B0BDC2">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（十四）物业管理。</w:t>
      </w:r>
      <w:r>
        <w:rPr>
          <w:rFonts w:hint="eastAsia" w:ascii="宋体" w:hAnsi="宋体"/>
          <w:color w:val="auto"/>
          <w:sz w:val="24"/>
          <w:szCs w:val="24"/>
          <w:highlight w:val="none"/>
        </w:rPr>
        <w:t>从业人员1000人以下或营业收入5000万元以下的为中小微型企业。其中，从业人员</w:t>
      </w:r>
    </w:p>
    <w:p w14:paraId="63714B97">
      <w:pPr>
        <w:spacing w:line="276" w:lineRule="auto"/>
        <w:rPr>
          <w:rFonts w:ascii="宋体" w:hAnsi="宋体"/>
          <w:color w:val="auto"/>
          <w:sz w:val="24"/>
          <w:szCs w:val="24"/>
          <w:highlight w:val="none"/>
        </w:rPr>
      </w:pPr>
      <w:r>
        <w:rPr>
          <w:rFonts w:hint="eastAsia" w:ascii="宋体" w:hAnsi="宋体"/>
          <w:color w:val="auto"/>
          <w:sz w:val="24"/>
          <w:szCs w:val="24"/>
          <w:highlight w:val="none"/>
        </w:rPr>
        <w:t>300人及以上，且营业收入1000万元及以上的为中型企业；从业人员100人及以上，且营业收入500万元及以上的为小型企业；从业人员100人以下或营业收入500万元以下的为微型企业。</w:t>
      </w:r>
    </w:p>
    <w:p w14:paraId="4E61F020">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（十五）租赁和商务服务业。</w:t>
      </w:r>
      <w:r>
        <w:rPr>
          <w:rFonts w:hint="eastAsia" w:ascii="宋体" w:hAnsi="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EBEE974">
      <w:pPr>
        <w:spacing w:line="276" w:lineRule="auto"/>
        <w:ind w:firstLine="402"/>
        <w:rPr>
          <w:rFonts w:ascii="宋体" w:hAnsi="宋体"/>
          <w:color w:val="auto"/>
          <w:sz w:val="24"/>
          <w:szCs w:val="24"/>
          <w:highlight w:val="none"/>
        </w:rPr>
      </w:pPr>
      <w:r>
        <w:rPr>
          <w:rFonts w:hint="eastAsia" w:ascii="宋体" w:hAnsi="宋体"/>
          <w:b/>
          <w:color w:val="auto"/>
          <w:sz w:val="24"/>
          <w:szCs w:val="24"/>
          <w:highlight w:val="none"/>
        </w:rPr>
        <w:t>（十六）其他未列明行业。</w:t>
      </w:r>
      <w:r>
        <w:rPr>
          <w:rFonts w:hint="eastAsia" w:ascii="宋体" w:hAnsi="宋体"/>
          <w:color w:val="auto"/>
          <w:sz w:val="24"/>
          <w:szCs w:val="24"/>
          <w:highlight w:val="none"/>
        </w:rPr>
        <w:t>从业人员300人以下的为中小微型企业。其中，从业人员100人及以上的为中型企业；从业人员10人及以上的为小型企业；从业人员10人以下的为微型企业。</w:t>
      </w:r>
    </w:p>
    <w:p w14:paraId="7238DDBA">
      <w:pPr>
        <w:spacing w:line="360" w:lineRule="auto"/>
        <w:ind w:left="-42" w:right="357"/>
        <w:rPr>
          <w:rFonts w:ascii="宋体" w:hAnsi="宋体"/>
          <w:b/>
          <w:color w:val="auto"/>
          <w:highlight w:val="none"/>
        </w:rPr>
      </w:pPr>
    </w:p>
    <w:p w14:paraId="750C5B54">
      <w:pPr>
        <w:spacing w:line="360" w:lineRule="auto"/>
        <w:jc w:val="center"/>
        <w:rPr>
          <w:rFonts w:ascii="宋体" w:hAnsi="宋体"/>
          <w:bCs/>
          <w:color w:val="auto"/>
          <w:sz w:val="52"/>
          <w:szCs w:val="52"/>
          <w:highlight w:val="none"/>
        </w:rPr>
      </w:pPr>
    </w:p>
    <w:p w14:paraId="779F1D5F">
      <w:pPr>
        <w:spacing w:line="360" w:lineRule="auto"/>
        <w:rPr>
          <w:rFonts w:ascii="宋体" w:hAnsi="宋体"/>
          <w:color w:val="auto"/>
          <w:sz w:val="28"/>
          <w:szCs w:val="28"/>
          <w:highlight w:val="none"/>
        </w:rPr>
      </w:pPr>
    </w:p>
    <w:p w14:paraId="4F83E58B">
      <w:pPr>
        <w:spacing w:line="360" w:lineRule="auto"/>
        <w:rPr>
          <w:rFonts w:ascii="宋体" w:hAnsi="宋体"/>
          <w:color w:val="auto"/>
          <w:sz w:val="28"/>
          <w:szCs w:val="28"/>
          <w:highlight w:val="none"/>
        </w:rPr>
      </w:pPr>
      <w:r>
        <w:rPr>
          <w:rFonts w:hint="eastAsia" w:ascii="宋体" w:hAnsi="宋体"/>
          <w:color w:val="auto"/>
          <w:sz w:val="28"/>
          <w:szCs w:val="28"/>
          <w:highlight w:val="none"/>
        </w:rPr>
        <w:br w:type="page" w:clear="all"/>
      </w:r>
      <w:r>
        <w:rPr>
          <w:rFonts w:hint="eastAsia" w:ascii="宋体" w:hAnsi="宋体"/>
          <w:color w:val="auto"/>
          <w:sz w:val="28"/>
          <w:szCs w:val="28"/>
          <w:highlight w:val="none"/>
        </w:rPr>
        <w:t>10、残疾人福利性单位声明函</w:t>
      </w:r>
    </w:p>
    <w:p w14:paraId="60B40D5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残疾人福利性单位声明函</w:t>
      </w:r>
    </w:p>
    <w:p w14:paraId="36E27D11">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olor w:val="auto"/>
          <w:sz w:val="24"/>
          <w:szCs w:val="24"/>
          <w:highlight w:val="none"/>
          <w:u w:val="single"/>
        </w:rPr>
        <w:t>苏州时代招投标有限公司</w:t>
      </w:r>
      <w:r>
        <w:rPr>
          <w:rFonts w:hint="eastAsia" w:ascii="宋体" w:hAnsi="宋体"/>
          <w:color w:val="auto"/>
          <w:sz w:val="24"/>
          <w:szCs w:val="24"/>
          <w:highlight w:val="none"/>
        </w:rPr>
        <w:t>单位的</w:t>
      </w:r>
      <w:r>
        <w:rPr>
          <w:rFonts w:hint="eastAsia" w:ascii="宋体" w:hAnsi="宋体"/>
          <w:color w:val="auto"/>
          <w:sz w:val="24"/>
          <w:szCs w:val="24"/>
          <w:highlight w:val="none"/>
          <w:u w:val="single"/>
        </w:rPr>
        <w:t>（采购编号及项目名称）</w:t>
      </w:r>
      <w:r>
        <w:rPr>
          <w:rFonts w:hint="eastAsia"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F8E2C94">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2AC4D3EC">
      <w:pPr>
        <w:spacing w:line="360" w:lineRule="auto"/>
        <w:rPr>
          <w:rFonts w:ascii="宋体" w:hAnsi="宋体"/>
          <w:color w:val="auto"/>
          <w:sz w:val="24"/>
          <w:szCs w:val="24"/>
          <w:highlight w:val="none"/>
        </w:rPr>
      </w:pPr>
    </w:p>
    <w:p w14:paraId="43D57112">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单位名称（盖章）：</w:t>
      </w:r>
    </w:p>
    <w:p w14:paraId="791D45E4">
      <w:pPr>
        <w:spacing w:line="360" w:lineRule="auto"/>
        <w:jc w:val="center"/>
        <w:outlineLvl w:val="0"/>
        <w:rPr>
          <w:rFonts w:ascii="宋体" w:hAnsi="宋体" w:cs="宋体"/>
          <w:bCs/>
          <w:color w:val="auto"/>
          <w:sz w:val="24"/>
          <w:szCs w:val="24"/>
          <w:highlight w:val="none"/>
        </w:rPr>
      </w:pPr>
      <w:r>
        <w:rPr>
          <w:rFonts w:hint="eastAsia" w:ascii="宋体" w:hAnsi="宋体"/>
          <w:color w:val="auto"/>
          <w:sz w:val="24"/>
          <w:szCs w:val="24"/>
          <w:highlight w:val="none"/>
        </w:rPr>
        <w:t xml:space="preserve">                                       日  期：</w:t>
      </w:r>
    </w:p>
    <w:p w14:paraId="77126FEE">
      <w:pPr>
        <w:pStyle w:val="248"/>
        <w:spacing w:after="0" w:line="360" w:lineRule="auto"/>
        <w:ind w:left="0" w:firstLine="0"/>
        <w:rPr>
          <w:rFonts w:ascii="宋体" w:hAnsi="宋体"/>
          <w:bCs/>
          <w:color w:val="auto"/>
          <w:sz w:val="24"/>
          <w:szCs w:val="24"/>
          <w:highlight w:val="none"/>
        </w:rPr>
      </w:pPr>
    </w:p>
    <w:p w14:paraId="3965CAAD">
      <w:pPr>
        <w:pStyle w:val="248"/>
        <w:ind w:left="0" w:firstLine="0"/>
        <w:rPr>
          <w:rFonts w:ascii="宋体" w:hAnsi="宋体" w:cs="Arial"/>
          <w:bCs/>
          <w:color w:val="auto"/>
          <w:sz w:val="24"/>
          <w:szCs w:val="24"/>
          <w:highlight w:val="none"/>
          <w:shd w:val="clear" w:color="auto" w:fill="FFFFFF"/>
        </w:rPr>
      </w:pPr>
      <w:r>
        <w:rPr>
          <w:rFonts w:hint="eastAsia" w:ascii="宋体" w:hAnsi="宋体"/>
          <w:bCs/>
          <w:color w:val="auto"/>
          <w:sz w:val="24"/>
          <w:szCs w:val="24"/>
          <w:highlight w:val="none"/>
          <w:lang w:val="zh-CN"/>
        </w:rPr>
        <w:t>备注：1.</w:t>
      </w:r>
      <w:r>
        <w:rPr>
          <w:rFonts w:hint="eastAsia" w:ascii="宋体" w:hAnsi="宋体" w:cs="Arial"/>
          <w:bCs/>
          <w:color w:val="auto"/>
          <w:sz w:val="24"/>
          <w:szCs w:val="24"/>
          <w:highlight w:val="none"/>
          <w:shd w:val="clear" w:color="auto" w:fill="FFFFFF"/>
        </w:rPr>
        <w:t>享受政府采购支持政策的残疾人福利性单位应当同时满足以下条件：</w:t>
      </w:r>
    </w:p>
    <w:p w14:paraId="08273234">
      <w:pPr>
        <w:pStyle w:val="248"/>
        <w:ind w:left="0" w:firstLine="400"/>
        <w:rPr>
          <w:rFonts w:ascii="宋体" w:hAnsi="宋体" w:cs="Arial"/>
          <w:bCs/>
          <w:color w:val="auto"/>
          <w:sz w:val="24"/>
          <w:szCs w:val="24"/>
          <w:highlight w:val="none"/>
          <w:shd w:val="clear" w:color="auto" w:fill="FFFFFF"/>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1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①</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安置的残疾人占本单位在职职工人数的比例不低于25%（含25%），并且安置的残疾人人数不少于10人（含10人）；</w:t>
      </w:r>
    </w:p>
    <w:p w14:paraId="339009E4">
      <w:pPr>
        <w:pStyle w:val="248"/>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2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②</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依法与安置的每位残疾人签订了一年以上（含一年）的劳动合同或服务协议；</w:t>
      </w:r>
    </w:p>
    <w:p w14:paraId="2B0B3D1F">
      <w:pPr>
        <w:pStyle w:val="248"/>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3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③</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为安置的每位残疾人按月足额缴纳了基本养老保险、基本医疗保险、失业保险、工伤保险和生育保险等社会保险费；</w:t>
      </w:r>
    </w:p>
    <w:p w14:paraId="3F60F6E1">
      <w:pPr>
        <w:pStyle w:val="248"/>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4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④</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通过银行等金融机构向安置的每位残疾人，按月支付了不低于单位所在区县适用的经省级人民政府批准的月最低工资标准的工资；</w:t>
      </w:r>
    </w:p>
    <w:p w14:paraId="7D3E1A29">
      <w:pPr>
        <w:pStyle w:val="248"/>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fldChar w:fldCharType="begin"/>
      </w:r>
      <w:r>
        <w:rPr>
          <w:rFonts w:hint="eastAsia" w:ascii="宋体" w:hAnsi="宋体"/>
          <w:bCs/>
          <w:color w:val="auto"/>
          <w:sz w:val="24"/>
          <w:szCs w:val="24"/>
          <w:highlight w:val="none"/>
          <w:lang w:val="zh-CN"/>
        </w:rPr>
        <w:instrText xml:space="preserve"> = 5 \* GB3 </w:instrText>
      </w:r>
      <w:r>
        <w:rPr>
          <w:rFonts w:hint="eastAsia" w:ascii="宋体" w:hAnsi="宋体"/>
          <w:bCs/>
          <w:color w:val="auto"/>
          <w:sz w:val="24"/>
          <w:szCs w:val="24"/>
          <w:highlight w:val="none"/>
          <w:lang w:val="zh-CN"/>
        </w:rPr>
        <w:fldChar w:fldCharType="separate"/>
      </w:r>
      <w:r>
        <w:rPr>
          <w:rFonts w:hint="eastAsia" w:ascii="宋体" w:hAnsi="宋体"/>
          <w:bCs/>
          <w:color w:val="auto"/>
          <w:sz w:val="24"/>
          <w:szCs w:val="24"/>
          <w:highlight w:val="none"/>
          <w:lang w:val="zh-CN"/>
        </w:rPr>
        <w:t>⑤</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提供本单位制造的货物、承担的工程或者服务（以下简称产品），或者提供其他残疾人福利性单位制造的货物（不包括使用非残疾人福利性单位注册商标的货物）。</w:t>
      </w:r>
    </w:p>
    <w:p w14:paraId="6FC12E9D">
      <w:pPr>
        <w:pStyle w:val="248"/>
        <w:ind w:left="0" w:firstLine="400"/>
        <w:rPr>
          <w:rFonts w:ascii="宋体" w:hAnsi="宋体"/>
          <w:bCs/>
          <w:color w:val="auto"/>
          <w:sz w:val="24"/>
          <w:szCs w:val="24"/>
          <w:highlight w:val="none"/>
        </w:rPr>
      </w:pPr>
      <w:r>
        <w:rPr>
          <w:rFonts w:hint="eastAsia" w:ascii="宋体" w:hAnsi="宋体"/>
          <w:bCs/>
          <w:color w:val="auto"/>
          <w:sz w:val="24"/>
          <w:szCs w:val="24"/>
          <w:highlight w:val="none"/>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9177E06">
      <w:pPr>
        <w:pStyle w:val="248"/>
        <w:ind w:left="0" w:firstLine="402"/>
        <w:rPr>
          <w:rFonts w:ascii="宋体" w:hAnsi="宋体"/>
          <w:bCs/>
          <w:color w:val="auto"/>
          <w:sz w:val="24"/>
          <w:szCs w:val="24"/>
          <w:highlight w:val="none"/>
        </w:rPr>
      </w:pPr>
      <w:r>
        <w:rPr>
          <w:rFonts w:hint="eastAsia" w:ascii="宋体" w:hAnsi="宋体"/>
          <w:bCs/>
          <w:color w:val="auto"/>
          <w:sz w:val="24"/>
          <w:szCs w:val="24"/>
          <w:highlight w:val="none"/>
          <w:lang w:val="zh-CN"/>
        </w:rPr>
        <w:t>2.中标单位为残疾人福利性单位的，《残疾人福利性单位声明函》将随中标结果同时公告。</w:t>
      </w:r>
    </w:p>
    <w:p w14:paraId="3F9CCFEE">
      <w:pPr>
        <w:pStyle w:val="248"/>
        <w:ind w:left="0" w:firstLine="402"/>
        <w:rPr>
          <w:rFonts w:ascii="宋体" w:hAnsi="宋体"/>
          <w:bCs/>
          <w:color w:val="auto"/>
          <w:sz w:val="24"/>
          <w:szCs w:val="24"/>
          <w:highlight w:val="none"/>
        </w:rPr>
      </w:pPr>
      <w:r>
        <w:rPr>
          <w:rFonts w:hint="eastAsia" w:ascii="宋体" w:hAnsi="宋体"/>
          <w:bCs/>
          <w:color w:val="auto"/>
          <w:sz w:val="24"/>
          <w:szCs w:val="24"/>
          <w:highlight w:val="none"/>
          <w:lang w:val="zh-CN"/>
        </w:rPr>
        <w:t>3.供应商提供的《残疾人福利性单位声明函》与事实不符的，依照《中华人民共和国政府采购法》第七十七条第一款的规定追究法律责任。</w:t>
      </w:r>
    </w:p>
    <w:p w14:paraId="0BFE3E80">
      <w:pPr>
        <w:spacing w:line="360" w:lineRule="auto"/>
        <w:rPr>
          <w:rFonts w:ascii="宋体" w:hAnsi="宋体" w:cs="宋体"/>
          <w:color w:val="auto"/>
          <w:highlight w:val="none"/>
        </w:rPr>
      </w:pPr>
      <w:r>
        <w:rPr>
          <w:rFonts w:hint="eastAsia" w:ascii="宋体" w:hAnsi="宋体" w:cs="宋体"/>
          <w:color w:val="auto"/>
          <w:highlight w:val="none"/>
        </w:rPr>
        <w:br w:type="page" w:clear="all"/>
      </w:r>
      <w:r>
        <w:rPr>
          <w:rFonts w:hint="eastAsia" w:ascii="宋体" w:hAnsi="宋体"/>
          <w:color w:val="auto"/>
          <w:sz w:val="28"/>
          <w:szCs w:val="28"/>
          <w:highlight w:val="none"/>
        </w:rPr>
        <w:t>11、供应商情况表</w:t>
      </w:r>
    </w:p>
    <w:p w14:paraId="68A77057">
      <w:pPr>
        <w:spacing w:line="360" w:lineRule="auto"/>
        <w:jc w:val="center"/>
        <w:rPr>
          <w:rFonts w:eastAsia="黑体"/>
          <w:b/>
          <w:bCs/>
          <w:color w:val="auto"/>
          <w:spacing w:val="20"/>
          <w:sz w:val="32"/>
          <w:szCs w:val="32"/>
          <w:highlight w:val="none"/>
        </w:rPr>
      </w:pPr>
      <w:r>
        <w:rPr>
          <w:rFonts w:hint="eastAsia" w:eastAsia="黑体"/>
          <w:b/>
          <w:bCs/>
          <w:color w:val="auto"/>
          <w:spacing w:val="20"/>
          <w:sz w:val="32"/>
          <w:szCs w:val="32"/>
          <w:highlight w:val="none"/>
        </w:rPr>
        <w:t>供应商情况表</w:t>
      </w:r>
    </w:p>
    <w:p w14:paraId="34B25C0A">
      <w:pPr>
        <w:spacing w:line="360" w:lineRule="auto"/>
        <w:jc w:val="right"/>
        <w:rPr>
          <w:color w:val="auto"/>
          <w:spacing w:val="20"/>
          <w:sz w:val="24"/>
          <w:highlight w:val="none"/>
        </w:rPr>
      </w:pPr>
      <w:r>
        <w:rPr>
          <w:rFonts w:hint="eastAsia"/>
          <w:color w:val="auto"/>
          <w:spacing w:val="20"/>
          <w:sz w:val="24"/>
          <w:highlight w:val="none"/>
        </w:rPr>
        <w:t>年月日</w:t>
      </w:r>
    </w:p>
    <w:tbl>
      <w:tblPr>
        <w:tblStyle w:val="39"/>
        <w:tblW w:w="8487"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590"/>
        <w:gridCol w:w="390"/>
        <w:gridCol w:w="696"/>
        <w:gridCol w:w="972"/>
        <w:gridCol w:w="530"/>
        <w:gridCol w:w="831"/>
        <w:gridCol w:w="1275"/>
        <w:gridCol w:w="896"/>
        <w:gridCol w:w="212"/>
        <w:gridCol w:w="1319"/>
      </w:tblGrid>
      <w:tr w14:paraId="09B8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1756" w:type="dxa"/>
            <w:gridSpan w:val="3"/>
            <w:noWrap/>
            <w:vAlign w:val="center"/>
          </w:tcPr>
          <w:p w14:paraId="499598AC">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单位名称</w:t>
            </w:r>
          </w:p>
          <w:p w14:paraId="5112F796">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（盖章）</w:t>
            </w:r>
          </w:p>
        </w:tc>
        <w:tc>
          <w:tcPr>
            <w:tcW w:w="1668" w:type="dxa"/>
            <w:gridSpan w:val="2"/>
            <w:noWrap/>
            <w:vAlign w:val="center"/>
          </w:tcPr>
          <w:p w14:paraId="5145136C">
            <w:pPr>
              <w:spacing w:line="360" w:lineRule="auto"/>
              <w:jc w:val="center"/>
              <w:rPr>
                <w:rFonts w:ascii="宋体" w:hAnsi="宋体" w:cs="宋体"/>
                <w:color w:val="auto"/>
                <w:spacing w:val="20"/>
                <w:sz w:val="24"/>
                <w:highlight w:val="none"/>
              </w:rPr>
            </w:pPr>
          </w:p>
        </w:tc>
        <w:tc>
          <w:tcPr>
            <w:tcW w:w="1361" w:type="dxa"/>
            <w:gridSpan w:val="2"/>
            <w:noWrap/>
            <w:vAlign w:val="center"/>
          </w:tcPr>
          <w:p w14:paraId="2AC4A09E">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注册号</w:t>
            </w:r>
          </w:p>
        </w:tc>
        <w:tc>
          <w:tcPr>
            <w:tcW w:w="1275" w:type="dxa"/>
            <w:noWrap/>
            <w:vAlign w:val="center"/>
          </w:tcPr>
          <w:p w14:paraId="3940E73B">
            <w:pPr>
              <w:spacing w:line="360" w:lineRule="auto"/>
              <w:jc w:val="center"/>
              <w:rPr>
                <w:rFonts w:ascii="宋体" w:hAnsi="宋体" w:cs="宋体"/>
                <w:color w:val="auto"/>
                <w:spacing w:val="20"/>
                <w:sz w:val="24"/>
                <w:highlight w:val="none"/>
              </w:rPr>
            </w:pPr>
          </w:p>
        </w:tc>
        <w:tc>
          <w:tcPr>
            <w:tcW w:w="1108" w:type="dxa"/>
            <w:gridSpan w:val="2"/>
            <w:noWrap/>
            <w:vAlign w:val="center"/>
          </w:tcPr>
          <w:p w14:paraId="6E4D1236">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电话</w:t>
            </w:r>
          </w:p>
        </w:tc>
        <w:tc>
          <w:tcPr>
            <w:tcW w:w="1319" w:type="dxa"/>
            <w:noWrap/>
            <w:vAlign w:val="center"/>
          </w:tcPr>
          <w:p w14:paraId="2D6BBB54">
            <w:pPr>
              <w:spacing w:line="360" w:lineRule="auto"/>
              <w:jc w:val="center"/>
              <w:rPr>
                <w:rFonts w:ascii="宋体" w:hAnsi="宋体" w:cs="宋体"/>
                <w:color w:val="auto"/>
                <w:spacing w:val="20"/>
                <w:sz w:val="24"/>
                <w:highlight w:val="none"/>
              </w:rPr>
            </w:pPr>
          </w:p>
        </w:tc>
      </w:tr>
      <w:tr w14:paraId="38BB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756" w:type="dxa"/>
            <w:gridSpan w:val="3"/>
            <w:noWrap/>
            <w:vAlign w:val="center"/>
          </w:tcPr>
          <w:p w14:paraId="193C01D6">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企业地址</w:t>
            </w:r>
          </w:p>
        </w:tc>
        <w:tc>
          <w:tcPr>
            <w:tcW w:w="1668" w:type="dxa"/>
            <w:gridSpan w:val="2"/>
            <w:noWrap/>
            <w:vAlign w:val="center"/>
          </w:tcPr>
          <w:p w14:paraId="25ECD013">
            <w:pPr>
              <w:spacing w:line="360" w:lineRule="auto"/>
              <w:jc w:val="center"/>
              <w:rPr>
                <w:rFonts w:ascii="宋体" w:hAnsi="宋体" w:cs="宋体"/>
                <w:color w:val="auto"/>
                <w:spacing w:val="20"/>
                <w:sz w:val="24"/>
                <w:highlight w:val="none"/>
              </w:rPr>
            </w:pPr>
          </w:p>
        </w:tc>
        <w:tc>
          <w:tcPr>
            <w:tcW w:w="1361" w:type="dxa"/>
            <w:gridSpan w:val="2"/>
            <w:noWrap/>
            <w:vAlign w:val="center"/>
          </w:tcPr>
          <w:p w14:paraId="0436FD44">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注册资金</w:t>
            </w:r>
          </w:p>
        </w:tc>
        <w:tc>
          <w:tcPr>
            <w:tcW w:w="1275" w:type="dxa"/>
            <w:noWrap/>
            <w:vAlign w:val="center"/>
          </w:tcPr>
          <w:p w14:paraId="0FBD31CA">
            <w:pPr>
              <w:spacing w:line="360" w:lineRule="auto"/>
              <w:jc w:val="center"/>
              <w:rPr>
                <w:rFonts w:ascii="宋体" w:hAnsi="宋体" w:cs="宋体"/>
                <w:color w:val="auto"/>
                <w:spacing w:val="20"/>
                <w:sz w:val="24"/>
                <w:highlight w:val="none"/>
              </w:rPr>
            </w:pPr>
          </w:p>
        </w:tc>
        <w:tc>
          <w:tcPr>
            <w:tcW w:w="1108" w:type="dxa"/>
            <w:gridSpan w:val="2"/>
            <w:noWrap/>
            <w:vAlign w:val="center"/>
          </w:tcPr>
          <w:p w14:paraId="0B6964A6">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传真</w:t>
            </w:r>
          </w:p>
        </w:tc>
        <w:tc>
          <w:tcPr>
            <w:tcW w:w="1319" w:type="dxa"/>
            <w:noWrap/>
            <w:vAlign w:val="center"/>
          </w:tcPr>
          <w:p w14:paraId="192B2C9A">
            <w:pPr>
              <w:spacing w:line="360" w:lineRule="auto"/>
              <w:jc w:val="center"/>
              <w:rPr>
                <w:rFonts w:ascii="宋体" w:hAnsi="宋体" w:cs="宋体"/>
                <w:color w:val="auto"/>
                <w:spacing w:val="20"/>
                <w:sz w:val="24"/>
                <w:highlight w:val="none"/>
              </w:rPr>
            </w:pPr>
          </w:p>
        </w:tc>
      </w:tr>
      <w:tr w14:paraId="03B16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1756" w:type="dxa"/>
            <w:gridSpan w:val="3"/>
            <w:noWrap/>
            <w:vAlign w:val="center"/>
          </w:tcPr>
          <w:p w14:paraId="7D23E9F7">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一、单位简历及机构</w:t>
            </w:r>
          </w:p>
        </w:tc>
        <w:tc>
          <w:tcPr>
            <w:tcW w:w="6731" w:type="dxa"/>
            <w:gridSpan w:val="8"/>
            <w:noWrap/>
            <w:vAlign w:val="center"/>
          </w:tcPr>
          <w:p w14:paraId="59F92275">
            <w:pPr>
              <w:spacing w:line="360" w:lineRule="auto"/>
              <w:jc w:val="center"/>
              <w:rPr>
                <w:rFonts w:ascii="宋体" w:hAnsi="宋体" w:cs="宋体"/>
                <w:color w:val="auto"/>
                <w:spacing w:val="20"/>
                <w:sz w:val="24"/>
                <w:highlight w:val="none"/>
              </w:rPr>
            </w:pPr>
          </w:p>
        </w:tc>
      </w:tr>
      <w:tr w14:paraId="24DF1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756" w:type="dxa"/>
            <w:gridSpan w:val="3"/>
            <w:noWrap/>
            <w:vAlign w:val="center"/>
          </w:tcPr>
          <w:p w14:paraId="0CCD06EC">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二、单位优势及特长</w:t>
            </w:r>
          </w:p>
        </w:tc>
        <w:tc>
          <w:tcPr>
            <w:tcW w:w="6731" w:type="dxa"/>
            <w:gridSpan w:val="8"/>
            <w:noWrap/>
            <w:vAlign w:val="center"/>
          </w:tcPr>
          <w:p w14:paraId="18170077">
            <w:pPr>
              <w:spacing w:line="360" w:lineRule="auto"/>
              <w:jc w:val="center"/>
              <w:rPr>
                <w:rFonts w:ascii="宋体" w:hAnsi="宋体" w:cs="宋体"/>
                <w:color w:val="auto"/>
                <w:spacing w:val="20"/>
                <w:sz w:val="24"/>
                <w:highlight w:val="none"/>
              </w:rPr>
            </w:pPr>
          </w:p>
        </w:tc>
      </w:tr>
      <w:tr w14:paraId="7331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19" w:hRule="atLeast"/>
        </w:trPr>
        <w:tc>
          <w:tcPr>
            <w:tcW w:w="776" w:type="dxa"/>
            <w:vMerge w:val="restart"/>
            <w:noWrap/>
            <w:vAlign w:val="center"/>
          </w:tcPr>
          <w:p w14:paraId="4454ED95">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三、单</w:t>
            </w:r>
          </w:p>
          <w:p w14:paraId="2795A4E3">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位</w:t>
            </w:r>
          </w:p>
          <w:p w14:paraId="10C849D0">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概</w:t>
            </w:r>
          </w:p>
          <w:p w14:paraId="00F6608A">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况</w:t>
            </w:r>
          </w:p>
        </w:tc>
        <w:tc>
          <w:tcPr>
            <w:tcW w:w="1676" w:type="dxa"/>
            <w:gridSpan w:val="3"/>
            <w:noWrap/>
            <w:vAlign w:val="center"/>
          </w:tcPr>
          <w:p w14:paraId="4CECCD2F">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职工总数</w:t>
            </w:r>
          </w:p>
        </w:tc>
        <w:tc>
          <w:tcPr>
            <w:tcW w:w="1502" w:type="dxa"/>
            <w:gridSpan w:val="2"/>
            <w:noWrap/>
            <w:vAlign w:val="center"/>
          </w:tcPr>
          <w:p w14:paraId="08C4F869">
            <w:pPr>
              <w:spacing w:line="360" w:lineRule="auto"/>
              <w:jc w:val="center"/>
              <w:rPr>
                <w:rFonts w:ascii="宋体" w:hAnsi="宋体" w:cs="宋体"/>
                <w:color w:val="auto"/>
                <w:spacing w:val="20"/>
                <w:sz w:val="24"/>
                <w:highlight w:val="none"/>
              </w:rPr>
            </w:pPr>
          </w:p>
        </w:tc>
        <w:tc>
          <w:tcPr>
            <w:tcW w:w="3002" w:type="dxa"/>
            <w:gridSpan w:val="3"/>
            <w:noWrap/>
            <w:vAlign w:val="center"/>
          </w:tcPr>
          <w:p w14:paraId="2662BC24">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其中：中级职称人员</w:t>
            </w:r>
          </w:p>
        </w:tc>
        <w:tc>
          <w:tcPr>
            <w:tcW w:w="1531" w:type="dxa"/>
            <w:gridSpan w:val="2"/>
            <w:noWrap/>
            <w:vAlign w:val="center"/>
          </w:tcPr>
          <w:p w14:paraId="204D201B">
            <w:pPr>
              <w:spacing w:line="360" w:lineRule="auto"/>
              <w:jc w:val="center"/>
              <w:rPr>
                <w:rFonts w:ascii="宋体" w:hAnsi="宋体" w:cs="宋体"/>
                <w:color w:val="auto"/>
                <w:spacing w:val="20"/>
                <w:sz w:val="24"/>
                <w:highlight w:val="none"/>
              </w:rPr>
            </w:pPr>
          </w:p>
        </w:tc>
      </w:tr>
      <w:tr w14:paraId="30A1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trPr>
        <w:tc>
          <w:tcPr>
            <w:tcW w:w="776" w:type="dxa"/>
            <w:vMerge w:val="continue"/>
            <w:noWrap/>
            <w:vAlign w:val="center"/>
          </w:tcPr>
          <w:p w14:paraId="07FBF924">
            <w:pPr>
              <w:widowControl/>
              <w:jc w:val="left"/>
              <w:rPr>
                <w:rFonts w:ascii="宋体" w:hAnsi="宋体" w:cs="宋体"/>
                <w:color w:val="auto"/>
                <w:spacing w:val="20"/>
                <w:sz w:val="24"/>
                <w:highlight w:val="none"/>
              </w:rPr>
            </w:pPr>
          </w:p>
        </w:tc>
        <w:tc>
          <w:tcPr>
            <w:tcW w:w="7711" w:type="dxa"/>
            <w:gridSpan w:val="10"/>
            <w:noWrap/>
            <w:vAlign w:val="center"/>
          </w:tcPr>
          <w:p w14:paraId="66F9CE90">
            <w:pPr>
              <w:spacing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资产总计：  万元；资产净值： 万元；股东权益：   万元</w:t>
            </w:r>
          </w:p>
        </w:tc>
      </w:tr>
      <w:tr w14:paraId="3ACB4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trPr>
        <w:tc>
          <w:tcPr>
            <w:tcW w:w="776" w:type="dxa"/>
            <w:vMerge w:val="continue"/>
            <w:noWrap/>
            <w:vAlign w:val="center"/>
          </w:tcPr>
          <w:p w14:paraId="14174CB8">
            <w:pPr>
              <w:widowControl/>
              <w:jc w:val="left"/>
              <w:rPr>
                <w:rFonts w:ascii="宋体" w:hAnsi="宋体" w:cs="宋体"/>
                <w:color w:val="auto"/>
                <w:spacing w:val="20"/>
                <w:sz w:val="24"/>
                <w:highlight w:val="none"/>
              </w:rPr>
            </w:pPr>
          </w:p>
        </w:tc>
        <w:tc>
          <w:tcPr>
            <w:tcW w:w="7711" w:type="dxa"/>
            <w:gridSpan w:val="10"/>
            <w:noWrap/>
            <w:vAlign w:val="center"/>
          </w:tcPr>
          <w:p w14:paraId="2BA5A305">
            <w:pPr>
              <w:spacing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营业面积（含厂房面积）：   M</w:t>
            </w:r>
            <w:r>
              <w:rPr>
                <w:rFonts w:hint="eastAsia" w:ascii="宋体" w:hAnsi="宋体" w:cs="宋体"/>
                <w:color w:val="auto"/>
                <w:spacing w:val="20"/>
                <w:sz w:val="24"/>
                <w:highlight w:val="none"/>
                <w:vertAlign w:val="superscript"/>
              </w:rPr>
              <w:t>2</w:t>
            </w:r>
            <w:r>
              <w:rPr>
                <w:rFonts w:hint="eastAsia" w:ascii="宋体" w:hAnsi="宋体" w:cs="宋体"/>
                <w:color w:val="auto"/>
                <w:spacing w:val="20"/>
                <w:sz w:val="24"/>
                <w:highlight w:val="none"/>
              </w:rPr>
              <w:t>，产权：  M</w:t>
            </w:r>
            <w:r>
              <w:rPr>
                <w:rFonts w:hint="eastAsia" w:ascii="宋体" w:hAnsi="宋体" w:cs="宋体"/>
                <w:color w:val="auto"/>
                <w:spacing w:val="20"/>
                <w:sz w:val="24"/>
                <w:highlight w:val="none"/>
                <w:vertAlign w:val="superscript"/>
              </w:rPr>
              <w:t>2</w:t>
            </w:r>
            <w:r>
              <w:rPr>
                <w:rFonts w:hint="eastAsia" w:ascii="宋体" w:hAnsi="宋体" w:cs="宋体"/>
                <w:color w:val="auto"/>
                <w:spacing w:val="20"/>
                <w:sz w:val="24"/>
                <w:highlight w:val="none"/>
              </w:rPr>
              <w:t>，租：   M</w:t>
            </w:r>
            <w:r>
              <w:rPr>
                <w:rFonts w:hint="eastAsia" w:ascii="宋体" w:hAnsi="宋体" w:cs="宋体"/>
                <w:color w:val="auto"/>
                <w:spacing w:val="20"/>
                <w:sz w:val="24"/>
                <w:highlight w:val="none"/>
                <w:vertAlign w:val="superscript"/>
              </w:rPr>
              <w:t>2</w:t>
            </w:r>
          </w:p>
        </w:tc>
      </w:tr>
      <w:tr w14:paraId="4674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6" w:type="dxa"/>
            <w:vMerge w:val="continue"/>
            <w:noWrap/>
            <w:vAlign w:val="center"/>
          </w:tcPr>
          <w:p w14:paraId="19F87855">
            <w:pPr>
              <w:widowControl/>
              <w:jc w:val="left"/>
              <w:rPr>
                <w:rFonts w:ascii="宋体" w:hAnsi="宋体" w:cs="宋体"/>
                <w:color w:val="auto"/>
                <w:spacing w:val="20"/>
                <w:sz w:val="24"/>
                <w:highlight w:val="none"/>
              </w:rPr>
            </w:pPr>
          </w:p>
        </w:tc>
        <w:tc>
          <w:tcPr>
            <w:tcW w:w="7711" w:type="dxa"/>
            <w:gridSpan w:val="10"/>
            <w:noWrap/>
            <w:vAlign w:val="center"/>
          </w:tcPr>
          <w:p w14:paraId="18AD1C8E">
            <w:pPr>
              <w:spacing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销（零）售额：    年     万元；     年：      万元</w:t>
            </w:r>
          </w:p>
        </w:tc>
      </w:tr>
      <w:tr w14:paraId="6618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rPr>
        <w:tc>
          <w:tcPr>
            <w:tcW w:w="776" w:type="dxa"/>
            <w:vMerge w:val="continue"/>
            <w:noWrap/>
            <w:vAlign w:val="center"/>
          </w:tcPr>
          <w:p w14:paraId="4456842A">
            <w:pPr>
              <w:widowControl/>
              <w:jc w:val="left"/>
              <w:rPr>
                <w:rFonts w:ascii="宋体" w:hAnsi="宋体" w:cs="宋体"/>
                <w:color w:val="auto"/>
                <w:spacing w:val="20"/>
                <w:sz w:val="24"/>
                <w:highlight w:val="none"/>
              </w:rPr>
            </w:pPr>
          </w:p>
        </w:tc>
        <w:tc>
          <w:tcPr>
            <w:tcW w:w="7711" w:type="dxa"/>
            <w:gridSpan w:val="10"/>
            <w:noWrap/>
            <w:vAlign w:val="center"/>
          </w:tcPr>
          <w:p w14:paraId="71DB5ABA">
            <w:pPr>
              <w:spacing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实现利润：    年        万元；      年：     万元</w:t>
            </w:r>
          </w:p>
        </w:tc>
      </w:tr>
      <w:tr w14:paraId="5A9ED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776" w:type="dxa"/>
            <w:vMerge w:val="continue"/>
            <w:noWrap/>
            <w:vAlign w:val="center"/>
          </w:tcPr>
          <w:p w14:paraId="5A130DC2">
            <w:pPr>
              <w:widowControl/>
              <w:jc w:val="left"/>
              <w:rPr>
                <w:rFonts w:ascii="宋体" w:hAnsi="宋体" w:cs="宋体"/>
                <w:color w:val="auto"/>
                <w:spacing w:val="20"/>
                <w:sz w:val="24"/>
                <w:highlight w:val="none"/>
              </w:rPr>
            </w:pPr>
          </w:p>
        </w:tc>
        <w:tc>
          <w:tcPr>
            <w:tcW w:w="590" w:type="dxa"/>
            <w:vMerge w:val="restart"/>
            <w:noWrap/>
            <w:vAlign w:val="center"/>
          </w:tcPr>
          <w:p w14:paraId="15A23473">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主</w:t>
            </w:r>
          </w:p>
          <w:p w14:paraId="526AF1F8">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要</w:t>
            </w:r>
          </w:p>
          <w:p w14:paraId="04516D64">
            <w:pPr>
              <w:spacing w:line="360" w:lineRule="auto"/>
              <w:jc w:val="center"/>
              <w:rPr>
                <w:rFonts w:ascii="宋体" w:hAnsi="宋体" w:cs="宋体"/>
                <w:color w:val="auto"/>
                <w:spacing w:val="20"/>
                <w:sz w:val="24"/>
                <w:highlight w:val="none"/>
              </w:rPr>
            </w:pPr>
            <w:r>
              <w:rPr>
                <w:rFonts w:hint="eastAsia" w:ascii="宋体" w:hAnsi="宋体" w:cs="宋体"/>
                <w:color w:val="auto"/>
                <w:spacing w:val="20"/>
                <w:sz w:val="24"/>
                <w:highlight w:val="none"/>
              </w:rPr>
              <w:t>业务</w:t>
            </w:r>
          </w:p>
        </w:tc>
        <w:tc>
          <w:tcPr>
            <w:tcW w:w="7121" w:type="dxa"/>
            <w:gridSpan w:val="9"/>
            <w:noWrap/>
            <w:vAlign w:val="center"/>
          </w:tcPr>
          <w:p w14:paraId="68F4CF04">
            <w:pPr>
              <w:spacing w:line="360" w:lineRule="auto"/>
              <w:rPr>
                <w:rFonts w:ascii="宋体" w:hAnsi="宋体" w:cs="宋体"/>
                <w:color w:val="auto"/>
                <w:spacing w:val="20"/>
                <w:sz w:val="24"/>
                <w:highlight w:val="none"/>
              </w:rPr>
            </w:pPr>
          </w:p>
        </w:tc>
      </w:tr>
      <w:tr w14:paraId="1CC9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1" w:hRule="atLeast"/>
        </w:trPr>
        <w:tc>
          <w:tcPr>
            <w:tcW w:w="776" w:type="dxa"/>
            <w:vMerge w:val="continue"/>
            <w:noWrap/>
            <w:vAlign w:val="center"/>
          </w:tcPr>
          <w:p w14:paraId="1BBF7AED">
            <w:pPr>
              <w:widowControl/>
              <w:jc w:val="left"/>
              <w:rPr>
                <w:rFonts w:ascii="宋体" w:hAnsi="宋体" w:cs="宋体"/>
                <w:color w:val="auto"/>
                <w:spacing w:val="20"/>
                <w:sz w:val="24"/>
                <w:highlight w:val="none"/>
              </w:rPr>
            </w:pPr>
          </w:p>
        </w:tc>
        <w:tc>
          <w:tcPr>
            <w:tcW w:w="590" w:type="dxa"/>
            <w:vMerge w:val="continue"/>
            <w:noWrap/>
            <w:vAlign w:val="center"/>
          </w:tcPr>
          <w:p w14:paraId="7CE77B89">
            <w:pPr>
              <w:widowControl/>
              <w:jc w:val="left"/>
              <w:rPr>
                <w:rFonts w:ascii="宋体" w:hAnsi="宋体" w:cs="宋体"/>
                <w:color w:val="auto"/>
                <w:spacing w:val="20"/>
                <w:sz w:val="24"/>
                <w:highlight w:val="none"/>
              </w:rPr>
            </w:pPr>
          </w:p>
        </w:tc>
        <w:tc>
          <w:tcPr>
            <w:tcW w:w="7121" w:type="dxa"/>
            <w:gridSpan w:val="9"/>
            <w:noWrap/>
            <w:vAlign w:val="center"/>
          </w:tcPr>
          <w:p w14:paraId="06AC2299">
            <w:pPr>
              <w:spacing w:line="360" w:lineRule="auto"/>
              <w:rPr>
                <w:rFonts w:ascii="宋体" w:hAnsi="宋体" w:cs="宋体"/>
                <w:color w:val="auto"/>
                <w:spacing w:val="20"/>
                <w:sz w:val="24"/>
                <w:highlight w:val="none"/>
              </w:rPr>
            </w:pPr>
          </w:p>
        </w:tc>
      </w:tr>
      <w:tr w14:paraId="2D07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1" w:hRule="atLeast"/>
        </w:trPr>
        <w:tc>
          <w:tcPr>
            <w:tcW w:w="776" w:type="dxa"/>
            <w:vMerge w:val="continue"/>
            <w:noWrap/>
            <w:vAlign w:val="center"/>
          </w:tcPr>
          <w:p w14:paraId="44679AC7">
            <w:pPr>
              <w:widowControl/>
              <w:jc w:val="left"/>
              <w:rPr>
                <w:rFonts w:ascii="宋体" w:hAnsi="宋体" w:cs="宋体"/>
                <w:color w:val="auto"/>
                <w:spacing w:val="20"/>
                <w:sz w:val="24"/>
                <w:highlight w:val="none"/>
              </w:rPr>
            </w:pPr>
          </w:p>
        </w:tc>
        <w:tc>
          <w:tcPr>
            <w:tcW w:w="590" w:type="dxa"/>
            <w:vMerge w:val="continue"/>
            <w:noWrap/>
            <w:vAlign w:val="center"/>
          </w:tcPr>
          <w:p w14:paraId="73995435">
            <w:pPr>
              <w:widowControl/>
              <w:jc w:val="left"/>
              <w:rPr>
                <w:rFonts w:ascii="宋体" w:hAnsi="宋体" w:cs="宋体"/>
                <w:color w:val="auto"/>
                <w:spacing w:val="20"/>
                <w:sz w:val="24"/>
                <w:highlight w:val="none"/>
              </w:rPr>
            </w:pPr>
          </w:p>
        </w:tc>
        <w:tc>
          <w:tcPr>
            <w:tcW w:w="7121" w:type="dxa"/>
            <w:gridSpan w:val="9"/>
            <w:noWrap/>
            <w:vAlign w:val="center"/>
          </w:tcPr>
          <w:p w14:paraId="1D60B089">
            <w:pPr>
              <w:spacing w:line="360" w:lineRule="auto"/>
              <w:rPr>
                <w:rFonts w:ascii="宋体" w:hAnsi="宋体" w:cs="宋体"/>
                <w:color w:val="auto"/>
                <w:spacing w:val="20"/>
                <w:sz w:val="24"/>
                <w:highlight w:val="none"/>
              </w:rPr>
            </w:pPr>
          </w:p>
        </w:tc>
      </w:tr>
    </w:tbl>
    <w:p w14:paraId="0AAB3053">
      <w:pPr>
        <w:spacing w:line="360" w:lineRule="auto"/>
        <w:jc w:val="center"/>
        <w:outlineLvl w:val="0"/>
        <w:rPr>
          <w:rFonts w:ascii="宋体" w:hAnsi="宋体" w:cs="宋体"/>
          <w:bCs/>
          <w:color w:val="auto"/>
          <w:sz w:val="44"/>
          <w:highlight w:val="none"/>
        </w:rPr>
      </w:pPr>
      <w:r>
        <w:rPr>
          <w:rFonts w:hint="eastAsia" w:ascii="宋体" w:hAnsi="宋体" w:cs="宋体"/>
          <w:color w:val="auto"/>
          <w:highlight w:val="none"/>
        </w:rPr>
        <w:br w:type="page" w:clear="all"/>
      </w:r>
      <w:r>
        <w:rPr>
          <w:rFonts w:hint="eastAsia" w:ascii="宋体" w:hAnsi="宋体" w:cs="宋体"/>
          <w:bCs/>
          <w:color w:val="auto"/>
          <w:sz w:val="44"/>
          <w:highlight w:val="none"/>
        </w:rPr>
        <w:t>第四章 招标书</w:t>
      </w:r>
    </w:p>
    <w:p w14:paraId="35E14277">
      <w:pPr>
        <w:spacing w:line="360" w:lineRule="auto"/>
        <w:ind w:firstLine="480"/>
        <w:rPr>
          <w:rFonts w:ascii="宋体" w:hAnsi="宋体" w:cs="宋体"/>
          <w:color w:val="auto"/>
          <w:sz w:val="24"/>
          <w:highlight w:val="none"/>
        </w:rPr>
      </w:pPr>
      <w:r>
        <w:rPr>
          <w:rFonts w:hint="eastAsia" w:ascii="宋体" w:hAnsi="宋体" w:cs="宋体"/>
          <w:color w:val="auto"/>
          <w:sz w:val="24"/>
          <w:szCs w:val="24"/>
          <w:highlight w:val="none"/>
        </w:rPr>
        <w:t>苏州时代招投标有限公司受苏州市公安局的委托，就其2024年中央政法转移支付资金子项目（健康一体机等一批医疗设备）项目的政府采购进行国内公开招标。欢迎有资格的</w:t>
      </w:r>
      <w:r>
        <w:rPr>
          <w:rFonts w:hint="eastAsia" w:ascii="宋体" w:hAnsi="宋体" w:cs="宋体"/>
          <w:color w:val="auto"/>
          <w:sz w:val="24"/>
          <w:highlight w:val="none"/>
        </w:rPr>
        <w:t>投标人前来参加投标。本次招标具体情况如下：</w:t>
      </w:r>
    </w:p>
    <w:p w14:paraId="082AF552">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一、招标编号：</w:t>
      </w:r>
      <w:r>
        <w:rPr>
          <w:rFonts w:hint="eastAsia" w:ascii="宋体" w:hAnsi="宋体" w:cs="宋体"/>
          <w:color w:val="auto"/>
          <w:sz w:val="24"/>
          <w:szCs w:val="24"/>
          <w:highlight w:val="none"/>
          <w:lang w:eastAsia="zh-CN"/>
        </w:rPr>
        <w:t>JSZC-320500-SZSD-G2025-0068</w:t>
      </w:r>
    </w:p>
    <w:p w14:paraId="72745DB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二、招标内容：2024年中央政法转移支付资金子项目（健康一体机等一批医疗设备）</w:t>
      </w:r>
    </w:p>
    <w:p w14:paraId="6090E47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三、预算金额：伍拾捌万柒仟伍佰元整（¥587500.00）</w:t>
      </w:r>
    </w:p>
    <w:p w14:paraId="204AFDE8">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最高限价：伍拾捌万柒仟伍佰元整（¥587500.00）</w:t>
      </w:r>
    </w:p>
    <w:tbl>
      <w:tblPr>
        <w:tblStyle w:val="39"/>
        <w:tblW w:w="4829" w:type="pct"/>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7"/>
        <w:gridCol w:w="1896"/>
        <w:gridCol w:w="864"/>
        <w:gridCol w:w="841"/>
        <w:gridCol w:w="1809"/>
        <w:gridCol w:w="1898"/>
      </w:tblGrid>
      <w:tr w14:paraId="4F476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2524C8A6">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44" w:type="pct"/>
            <w:noWrap/>
            <w:vAlign w:val="center"/>
          </w:tcPr>
          <w:p w14:paraId="6C43316C">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设备名称</w:t>
            </w:r>
          </w:p>
        </w:tc>
        <w:tc>
          <w:tcPr>
            <w:tcW w:w="527" w:type="pct"/>
            <w:noWrap/>
            <w:vAlign w:val="center"/>
          </w:tcPr>
          <w:p w14:paraId="02AE658A">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513" w:type="pct"/>
            <w:noWrap/>
            <w:vAlign w:val="center"/>
          </w:tcPr>
          <w:p w14:paraId="21AFB4C3">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1101" w:type="pct"/>
            <w:tcBorders>
              <w:right w:val="single" w:color="auto" w:sz="4" w:space="0"/>
            </w:tcBorders>
            <w:noWrap/>
            <w:vAlign w:val="center"/>
          </w:tcPr>
          <w:p w14:paraId="6084DFBE">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最高单价限价</w:t>
            </w:r>
          </w:p>
          <w:p w14:paraId="6C7DE928">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154" w:type="pct"/>
            <w:tcBorders>
              <w:left w:val="single" w:color="auto" w:sz="4" w:space="0"/>
            </w:tcBorders>
            <w:noWrap/>
            <w:vAlign w:val="center"/>
          </w:tcPr>
          <w:p w14:paraId="590C1AEA">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小计（元）</w:t>
            </w:r>
          </w:p>
        </w:tc>
      </w:tr>
      <w:tr w14:paraId="4C2A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0B96FCEC">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44" w:type="pct"/>
            <w:noWrap/>
            <w:vAlign w:val="center"/>
          </w:tcPr>
          <w:p w14:paraId="71F94EED">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健康一体机</w:t>
            </w:r>
          </w:p>
        </w:tc>
        <w:tc>
          <w:tcPr>
            <w:tcW w:w="527" w:type="pct"/>
            <w:noWrap/>
            <w:vAlign w:val="center"/>
          </w:tcPr>
          <w:p w14:paraId="20D1357D">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w:t>
            </w:r>
          </w:p>
        </w:tc>
        <w:tc>
          <w:tcPr>
            <w:tcW w:w="513" w:type="pct"/>
            <w:noWrap/>
            <w:vAlign w:val="center"/>
          </w:tcPr>
          <w:p w14:paraId="58597230">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70249231">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100000.00</w:t>
            </w:r>
          </w:p>
        </w:tc>
        <w:tc>
          <w:tcPr>
            <w:tcW w:w="1154" w:type="pct"/>
            <w:tcBorders>
              <w:left w:val="single" w:color="auto" w:sz="4" w:space="0"/>
            </w:tcBorders>
            <w:noWrap/>
            <w:vAlign w:val="center"/>
          </w:tcPr>
          <w:p w14:paraId="127FDF03">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500000.00</w:t>
            </w:r>
          </w:p>
        </w:tc>
      </w:tr>
      <w:tr w14:paraId="5970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34AD2105">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440" w:type="pct"/>
            <w:gridSpan w:val="5"/>
            <w:noWrap/>
            <w:vAlign w:val="center"/>
          </w:tcPr>
          <w:p w14:paraId="499332AB">
            <w:pPr>
              <w:pStyle w:val="257"/>
              <w:spacing w:line="240" w:lineRule="auto"/>
              <w:jc w:val="left"/>
              <w:rPr>
                <w:rFonts w:hint="default" w:ascii="宋体" w:hAnsi="宋体"/>
                <w:color w:val="auto"/>
                <w:highlight w:val="none"/>
              </w:rPr>
            </w:pPr>
            <w:r>
              <w:rPr>
                <w:rFonts w:ascii="宋体" w:hAnsi="宋体"/>
                <w:color w:val="auto"/>
                <w:highlight w:val="none"/>
              </w:rPr>
              <w:t>方舱医疗设备</w:t>
            </w:r>
          </w:p>
        </w:tc>
      </w:tr>
      <w:tr w14:paraId="4B30D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37AF190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144" w:type="pct"/>
            <w:noWrap/>
            <w:vAlign w:val="center"/>
          </w:tcPr>
          <w:p w14:paraId="30A137F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心电图机</w:t>
            </w:r>
          </w:p>
        </w:tc>
        <w:tc>
          <w:tcPr>
            <w:tcW w:w="527" w:type="pct"/>
            <w:noWrap/>
            <w:vAlign w:val="center"/>
          </w:tcPr>
          <w:p w14:paraId="1C8B0BA6">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66F984DC">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311F8CF1">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15000.00</w:t>
            </w:r>
          </w:p>
        </w:tc>
        <w:tc>
          <w:tcPr>
            <w:tcW w:w="1154" w:type="pct"/>
            <w:tcBorders>
              <w:left w:val="single" w:color="auto" w:sz="4" w:space="0"/>
            </w:tcBorders>
            <w:noWrap/>
            <w:vAlign w:val="center"/>
          </w:tcPr>
          <w:p w14:paraId="38BA69FF">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15000.00</w:t>
            </w:r>
          </w:p>
        </w:tc>
      </w:tr>
      <w:tr w14:paraId="2FF83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28FCA403">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144" w:type="pct"/>
            <w:noWrap/>
            <w:vAlign w:val="center"/>
          </w:tcPr>
          <w:p w14:paraId="7444CB3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红外治疗仪</w:t>
            </w:r>
          </w:p>
        </w:tc>
        <w:tc>
          <w:tcPr>
            <w:tcW w:w="527" w:type="pct"/>
            <w:noWrap/>
            <w:vAlign w:val="center"/>
          </w:tcPr>
          <w:p w14:paraId="31E6C1DF">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711E87F3">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1CF1B210">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13000.00</w:t>
            </w:r>
          </w:p>
        </w:tc>
        <w:tc>
          <w:tcPr>
            <w:tcW w:w="1154" w:type="pct"/>
            <w:tcBorders>
              <w:left w:val="single" w:color="auto" w:sz="4" w:space="0"/>
            </w:tcBorders>
            <w:noWrap/>
            <w:vAlign w:val="center"/>
          </w:tcPr>
          <w:p w14:paraId="57299341">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13000.00</w:t>
            </w:r>
          </w:p>
        </w:tc>
      </w:tr>
      <w:tr w14:paraId="66FB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2F97264F">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144" w:type="pct"/>
            <w:noWrap/>
            <w:vAlign w:val="center"/>
          </w:tcPr>
          <w:p w14:paraId="2223582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磁振热治疗仪</w:t>
            </w:r>
          </w:p>
        </w:tc>
        <w:tc>
          <w:tcPr>
            <w:tcW w:w="527" w:type="pct"/>
            <w:noWrap/>
            <w:vAlign w:val="center"/>
          </w:tcPr>
          <w:p w14:paraId="09DCF91E">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1A688D09">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519B494F">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33000.00</w:t>
            </w:r>
          </w:p>
        </w:tc>
        <w:tc>
          <w:tcPr>
            <w:tcW w:w="1154" w:type="pct"/>
            <w:tcBorders>
              <w:left w:val="single" w:color="auto" w:sz="4" w:space="0"/>
            </w:tcBorders>
            <w:noWrap/>
            <w:vAlign w:val="center"/>
          </w:tcPr>
          <w:p w14:paraId="7ABF9140">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33000.00</w:t>
            </w:r>
          </w:p>
        </w:tc>
      </w:tr>
      <w:tr w14:paraId="24F8C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034DD735">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144" w:type="pct"/>
            <w:noWrap/>
            <w:vAlign w:val="center"/>
          </w:tcPr>
          <w:p w14:paraId="72EF12A0">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深层肌肉刺激仪</w:t>
            </w:r>
          </w:p>
        </w:tc>
        <w:tc>
          <w:tcPr>
            <w:tcW w:w="527" w:type="pct"/>
            <w:noWrap/>
            <w:vAlign w:val="center"/>
          </w:tcPr>
          <w:p w14:paraId="09E3C964">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60126FE2">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101" w:type="pct"/>
            <w:tcBorders>
              <w:right w:val="single" w:color="auto" w:sz="4" w:space="0"/>
            </w:tcBorders>
            <w:noWrap/>
            <w:vAlign w:val="center"/>
          </w:tcPr>
          <w:p w14:paraId="39377FD7">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22000.00</w:t>
            </w:r>
          </w:p>
        </w:tc>
        <w:tc>
          <w:tcPr>
            <w:tcW w:w="1154" w:type="pct"/>
            <w:tcBorders>
              <w:left w:val="single" w:color="auto" w:sz="4" w:space="0"/>
            </w:tcBorders>
            <w:noWrap/>
            <w:vAlign w:val="center"/>
          </w:tcPr>
          <w:p w14:paraId="792B4B59">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22000.00</w:t>
            </w:r>
          </w:p>
        </w:tc>
      </w:tr>
      <w:tr w14:paraId="3A8E1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59" w:type="pct"/>
            <w:noWrap/>
            <w:vAlign w:val="center"/>
          </w:tcPr>
          <w:p w14:paraId="612E4081">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144" w:type="pct"/>
            <w:noWrap/>
            <w:vAlign w:val="center"/>
          </w:tcPr>
          <w:p w14:paraId="7C2842D0">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急救箱</w:t>
            </w:r>
          </w:p>
        </w:tc>
        <w:tc>
          <w:tcPr>
            <w:tcW w:w="527" w:type="pct"/>
            <w:noWrap/>
            <w:vAlign w:val="center"/>
          </w:tcPr>
          <w:p w14:paraId="26F93812">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3" w:type="pct"/>
            <w:noWrap/>
            <w:vAlign w:val="center"/>
          </w:tcPr>
          <w:p w14:paraId="4C331E30">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个</w:t>
            </w:r>
          </w:p>
        </w:tc>
        <w:tc>
          <w:tcPr>
            <w:tcW w:w="1101" w:type="pct"/>
            <w:tcBorders>
              <w:right w:val="single" w:color="auto" w:sz="4" w:space="0"/>
            </w:tcBorders>
            <w:noWrap/>
            <w:vAlign w:val="center"/>
          </w:tcPr>
          <w:p w14:paraId="42F87552">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4500.00</w:t>
            </w:r>
          </w:p>
        </w:tc>
        <w:tc>
          <w:tcPr>
            <w:tcW w:w="1154" w:type="pct"/>
            <w:tcBorders>
              <w:left w:val="single" w:color="auto" w:sz="4" w:space="0"/>
            </w:tcBorders>
            <w:noWrap/>
            <w:vAlign w:val="center"/>
          </w:tcPr>
          <w:p w14:paraId="1FA62631">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4500.00</w:t>
            </w:r>
          </w:p>
        </w:tc>
      </w:tr>
    </w:tbl>
    <w:p w14:paraId="059F7D39">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   注：</w:t>
      </w:r>
      <w:r>
        <w:rPr>
          <w:rFonts w:hint="eastAsia" w:ascii="宋体" w:hAnsi="宋体"/>
          <w:b/>
          <w:color w:val="auto"/>
          <w:sz w:val="24"/>
          <w:szCs w:val="24"/>
          <w:highlight w:val="none"/>
        </w:rPr>
        <w:t>投标报价不得超过本次采购预算及各分项最高单价限价，否则作无效报价处理。</w:t>
      </w:r>
    </w:p>
    <w:p w14:paraId="1A715660">
      <w:pPr>
        <w:pStyle w:val="240"/>
        <w:numPr>
          <w:ilvl w:val="0"/>
          <w:numId w:val="3"/>
        </w:numPr>
        <w:spacing w:after="0" w:line="360" w:lineRule="auto"/>
        <w:ind w:left="0"/>
        <w:rPr>
          <w:rFonts w:ascii="宋体" w:hAnsi="宋体" w:cs="宋体"/>
          <w:color w:val="auto"/>
          <w:sz w:val="24"/>
          <w:szCs w:val="24"/>
          <w:highlight w:val="none"/>
        </w:rPr>
      </w:pPr>
      <w:r>
        <w:rPr>
          <w:rFonts w:hint="eastAsia" w:ascii="宋体" w:hAnsi="宋体"/>
          <w:color w:val="auto"/>
          <w:sz w:val="24"/>
          <w:highlight w:val="none"/>
        </w:rPr>
        <w:t>采购内容：</w:t>
      </w:r>
    </w:p>
    <w:p w14:paraId="49414216">
      <w:pPr>
        <w:spacing w:line="360" w:lineRule="auto"/>
        <w:rPr>
          <w:rFonts w:ascii="宋体" w:hAnsi="宋体"/>
          <w:color w:val="auto"/>
          <w:sz w:val="24"/>
          <w:highlight w:val="none"/>
        </w:rPr>
      </w:pPr>
      <w:r>
        <w:rPr>
          <w:rFonts w:hint="eastAsia" w:ascii="宋体" w:hAnsi="宋体"/>
          <w:color w:val="auto"/>
          <w:sz w:val="24"/>
          <w:highlight w:val="none"/>
        </w:rPr>
        <w:t>（一）项目概述：</w:t>
      </w:r>
    </w:p>
    <w:p w14:paraId="10DE4927">
      <w:pPr>
        <w:spacing w:line="360" w:lineRule="auto"/>
        <w:rPr>
          <w:rFonts w:ascii="宋体" w:hAnsi="宋体"/>
          <w:color w:val="auto"/>
          <w:sz w:val="24"/>
          <w:highlight w:val="none"/>
        </w:rPr>
      </w:pPr>
      <w:r>
        <w:rPr>
          <w:rFonts w:hint="eastAsia" w:ascii="宋体" w:hAnsi="宋体"/>
          <w:color w:val="auto"/>
          <w:sz w:val="24"/>
          <w:highlight w:val="none"/>
        </w:rPr>
        <w:t>1、健康一体机：人体各项健康指标集成到一台设备上，可以通过身份证、微信扫码等进行自主登记、自主建档、自助体检、自动生成体检报告等。检测者可以按照机器屏幕引导和语音提示自助完成一系列健康检测项目并给予检测者健康指导、膳食指导等。</w:t>
      </w:r>
    </w:p>
    <w:p w14:paraId="1157C4FC">
      <w:pPr>
        <w:spacing w:line="360" w:lineRule="auto"/>
        <w:rPr>
          <w:rFonts w:ascii="宋体" w:hAnsi="宋体"/>
          <w:dstrike/>
          <w:color w:val="auto"/>
          <w:sz w:val="24"/>
          <w:highlight w:val="none"/>
        </w:rPr>
      </w:pPr>
      <w:r>
        <w:rPr>
          <w:rFonts w:hint="eastAsia" w:ascii="宋体" w:hAnsi="宋体"/>
          <w:color w:val="auto"/>
          <w:sz w:val="24"/>
          <w:highlight w:val="none"/>
        </w:rPr>
        <w:t>2、方舱医疗设备：</w:t>
      </w:r>
    </w:p>
    <w:p w14:paraId="78C41855">
      <w:pPr>
        <w:spacing w:line="360" w:lineRule="auto"/>
        <w:rPr>
          <w:rFonts w:ascii="宋体" w:hAnsi="宋体"/>
          <w:color w:val="auto"/>
          <w:sz w:val="24"/>
          <w:highlight w:val="none"/>
        </w:rPr>
      </w:pPr>
      <w:r>
        <w:rPr>
          <w:rFonts w:hint="eastAsia" w:ascii="宋体" w:hAnsi="宋体"/>
          <w:color w:val="auto"/>
          <w:sz w:val="24"/>
          <w:highlight w:val="none"/>
        </w:rPr>
        <w:t>2.1心电图机：又称自动分析心电图机，以高精度对心电波形数据进行采集测量，对分析结果和心电图进行记录和打印，可以适用USB存储器保存心电图数据。</w:t>
      </w:r>
    </w:p>
    <w:p w14:paraId="2B990ADB">
      <w:pPr>
        <w:spacing w:line="360" w:lineRule="auto"/>
        <w:rPr>
          <w:rFonts w:ascii="宋体" w:hAnsi="宋体"/>
          <w:color w:val="auto"/>
          <w:sz w:val="24"/>
          <w:highlight w:val="none"/>
        </w:rPr>
      </w:pPr>
      <w:r>
        <w:rPr>
          <w:rFonts w:hint="eastAsia" w:ascii="宋体" w:hAnsi="宋体"/>
          <w:color w:val="auto"/>
          <w:sz w:val="24"/>
          <w:highlight w:val="none"/>
        </w:rPr>
        <w:t>2.2红外治疗仪：</w:t>
      </w:r>
      <w:bookmarkStart w:id="23" w:name="OLE_LINK237"/>
      <w:bookmarkStart w:id="24" w:name="OLE_LINK238"/>
      <w:r>
        <w:rPr>
          <w:rFonts w:hint="eastAsia" w:ascii="宋体" w:hAnsi="宋体"/>
          <w:color w:val="auto"/>
          <w:sz w:val="24"/>
          <w:highlight w:val="none"/>
        </w:rPr>
        <w:t>适用于消炎、镇痛，对体表创面有止渗液，促进肉芽组织生长、加速愈合作用。</w:t>
      </w:r>
      <w:bookmarkEnd w:id="23"/>
      <w:bookmarkEnd w:id="24"/>
    </w:p>
    <w:p w14:paraId="7E68E79E">
      <w:pPr>
        <w:spacing w:line="360" w:lineRule="auto"/>
        <w:rPr>
          <w:rFonts w:ascii="宋体" w:hAnsi="宋体"/>
          <w:color w:val="auto"/>
          <w:sz w:val="24"/>
          <w:highlight w:val="none"/>
        </w:rPr>
      </w:pPr>
      <w:r>
        <w:rPr>
          <w:rFonts w:hint="eastAsia" w:ascii="宋体" w:hAnsi="宋体"/>
          <w:color w:val="auto"/>
          <w:sz w:val="24"/>
          <w:highlight w:val="none"/>
        </w:rPr>
        <w:t>2.3磁振热治疗仪：适用于慢性软组织损伤和颈肩腰腿痛辅助治疗。</w:t>
      </w:r>
    </w:p>
    <w:p w14:paraId="379E7064">
      <w:pPr>
        <w:spacing w:line="360" w:lineRule="auto"/>
        <w:rPr>
          <w:rFonts w:ascii="宋体" w:hAnsi="宋体"/>
          <w:color w:val="auto"/>
          <w:sz w:val="24"/>
          <w:highlight w:val="none"/>
        </w:rPr>
      </w:pPr>
      <w:r>
        <w:rPr>
          <w:rFonts w:hint="eastAsia" w:ascii="宋体" w:hAnsi="宋体"/>
          <w:color w:val="auto"/>
          <w:sz w:val="24"/>
          <w:highlight w:val="none"/>
        </w:rPr>
        <w:t>2.4深层肌肉刺激仪：用于肌肉功能障碍所致劳损及慢性疼痛、扭伤、拉伤等软组织损伤康复；有效缓解训练后乳酸堆积以及损伤预防。</w:t>
      </w:r>
    </w:p>
    <w:p w14:paraId="686CE2D4">
      <w:pPr>
        <w:spacing w:line="360" w:lineRule="auto"/>
        <w:rPr>
          <w:rFonts w:ascii="宋体" w:hAnsi="宋体"/>
          <w:color w:val="auto"/>
          <w:sz w:val="24"/>
          <w:highlight w:val="none"/>
        </w:rPr>
      </w:pPr>
      <w:r>
        <w:rPr>
          <w:rFonts w:hint="eastAsia" w:ascii="宋体" w:hAnsi="宋体"/>
          <w:color w:val="auto"/>
          <w:sz w:val="24"/>
          <w:highlight w:val="none"/>
        </w:rPr>
        <w:t>2.5急救箱：包含基本的医疗用品、日常外用和内服药品、特殊情况处理工具和其他辅助工具。</w:t>
      </w:r>
    </w:p>
    <w:p w14:paraId="255AB300">
      <w:pPr>
        <w:spacing w:line="360" w:lineRule="auto"/>
        <w:rPr>
          <w:color w:val="auto"/>
          <w:highlight w:val="none"/>
        </w:rPr>
      </w:pPr>
      <w:r>
        <w:rPr>
          <w:rFonts w:hint="eastAsia" w:ascii="宋体" w:hAnsi="宋体"/>
          <w:color w:val="auto"/>
          <w:sz w:val="24"/>
          <w:highlight w:val="none"/>
        </w:rPr>
        <w:t>（二）采购设备清单及技术要求</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1410"/>
        <w:gridCol w:w="4950"/>
        <w:gridCol w:w="735"/>
        <w:gridCol w:w="710"/>
      </w:tblGrid>
      <w:tr w14:paraId="4EA3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417" w:type="pct"/>
            <w:noWrap/>
            <w:vAlign w:val="center"/>
          </w:tcPr>
          <w:p w14:paraId="7ED87B75">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827" w:type="pct"/>
            <w:noWrap/>
            <w:vAlign w:val="center"/>
          </w:tcPr>
          <w:p w14:paraId="589685A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设备名称</w:t>
            </w:r>
          </w:p>
        </w:tc>
        <w:tc>
          <w:tcPr>
            <w:tcW w:w="2906" w:type="pct"/>
            <w:noWrap/>
            <w:vAlign w:val="center"/>
          </w:tcPr>
          <w:p w14:paraId="378AC8C3">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技术参数要求</w:t>
            </w:r>
          </w:p>
        </w:tc>
        <w:tc>
          <w:tcPr>
            <w:tcW w:w="431" w:type="pct"/>
            <w:noWrap/>
            <w:vAlign w:val="center"/>
          </w:tcPr>
          <w:p w14:paraId="39F29E18">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416" w:type="pct"/>
            <w:noWrap/>
            <w:vAlign w:val="center"/>
          </w:tcPr>
          <w:p w14:paraId="0245D35D">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r>
      <w:tr w14:paraId="3B00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7" w:type="pct"/>
            <w:noWrap/>
            <w:vAlign w:val="center"/>
          </w:tcPr>
          <w:p w14:paraId="07FE3323">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27" w:type="pct"/>
            <w:noWrap/>
            <w:vAlign w:val="center"/>
          </w:tcPr>
          <w:p w14:paraId="1471FEC4">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健康</w:t>
            </w:r>
          </w:p>
          <w:p w14:paraId="76F0AB3A">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一体机</w:t>
            </w:r>
          </w:p>
        </w:tc>
        <w:tc>
          <w:tcPr>
            <w:tcW w:w="2906" w:type="pct"/>
            <w:noWrap/>
            <w:vAlign w:val="center"/>
          </w:tcPr>
          <w:p w14:paraId="57DD4840">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1、配置：</w:t>
            </w:r>
          </w:p>
          <w:p w14:paraId="35274AF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1）标准项目：身份识别、血压、脉率、血氧饱和度、体温、身高、体重、BMI、腰臀围、腰臀比、血糖、尿酸、血脂四项（总胆固醇、高密度脂蛋白、甘油三酯、低密度脂蛋白）</w:t>
            </w:r>
          </w:p>
          <w:p w14:paraId="755922B0">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2）支持拓展项目：视力、尿常规、血红蛋白、快速心电检测、十二导心电检测、肺活量、肺功能评估</w:t>
            </w:r>
            <w:r>
              <w:rPr>
                <w:rFonts w:hint="eastAsia" w:asciiTheme="minorEastAsia" w:hAnsiTheme="minorEastAsia" w:eastAsiaTheme="minorEastAsia" w:cstheme="minorEastAsia"/>
                <w:color w:val="auto"/>
                <w:sz w:val="24"/>
                <w:szCs w:val="24"/>
                <w:highlight w:val="none"/>
                <w:lang w:eastAsia="zh-CN"/>
              </w:rPr>
              <w:t>等</w:t>
            </w:r>
          </w:p>
          <w:p w14:paraId="796DB6BD">
            <w:pPr>
              <w:jc w:val="left"/>
              <w:rPr>
                <w:rFonts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color w:val="auto"/>
                <w:sz w:val="24"/>
                <w:szCs w:val="24"/>
                <w:highlight w:val="none"/>
              </w:rPr>
              <w:t>3）国产化操作平台：触摸屏触控操作。</w:t>
            </w:r>
          </w:p>
          <w:p w14:paraId="0417EC8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2、管理系统软件功能：</w:t>
            </w:r>
          </w:p>
          <w:p w14:paraId="44DD36F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1）自助建档支持通过键盘、身份证、社保卡、人脸识别等多种方式自动形成个人健康档案。</w:t>
            </w:r>
          </w:p>
          <w:p w14:paraId="3FD42DF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2）自助体检从登记到集成体检报告，各设备均可由检测者自助或自动完成，用户可以对检测指标进行查看，实现全程自助理念。</w:t>
            </w:r>
          </w:p>
          <w:p w14:paraId="456514F2">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3）软件数据处理模块可以测量的项目检测数据自动上传系统，无需手动输入，数据结果汇总并生成体检报告，方便医护人员查看检测者信息。</w:t>
            </w:r>
          </w:p>
          <w:p w14:paraId="12EADE0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4）每个检查项目需有专业的动画操作说明，通过指导客户达到自助检测的目的。</w:t>
            </w:r>
            <w:r>
              <w:rPr>
                <w:rFonts w:hint="eastAsia" w:asciiTheme="minorEastAsia" w:hAnsiTheme="minorEastAsia" w:eastAsiaTheme="minorEastAsia" w:cstheme="minorEastAsia"/>
                <w:b/>
                <w:bCs/>
                <w:color w:val="auto"/>
                <w:sz w:val="24"/>
                <w:szCs w:val="24"/>
                <w:highlight w:val="none"/>
              </w:rPr>
              <w:t>（需附证明文件）</w:t>
            </w:r>
          </w:p>
          <w:p w14:paraId="2519F89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5）具有中医体质辨识系统软件：至少同时支持66道题和33道题，根据实际临床需求可自主选择。（需附软件截图）</w:t>
            </w:r>
          </w:p>
          <w:p w14:paraId="5E0DDD8B">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6）支持慢病管理功能，支持多种病种管理，具备PC管理端和用户端小程序。</w:t>
            </w:r>
          </w:p>
          <w:p w14:paraId="105E7CA2">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3、数据传输：设备开机后通过蓝牙/USB连接，每个设备连接情况在系统主界面显示。</w:t>
            </w:r>
          </w:p>
          <w:p w14:paraId="290A68C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1）报告查看：接入网络后，可实现数据共享，电子报告单等健康服务工作。</w:t>
            </w:r>
          </w:p>
          <w:p w14:paraId="2ABC134D">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2）结合测量结果，给出健康指南和建议指导。</w:t>
            </w:r>
            <w:r>
              <w:rPr>
                <w:rFonts w:hint="eastAsia" w:asciiTheme="minorEastAsia" w:hAnsiTheme="minorEastAsia" w:eastAsiaTheme="minorEastAsia" w:cstheme="minorEastAsia"/>
                <w:b/>
                <w:bCs/>
                <w:color w:val="auto"/>
                <w:sz w:val="24"/>
                <w:szCs w:val="24"/>
                <w:highlight w:val="none"/>
              </w:rPr>
              <w:t>（需附软件截图）</w:t>
            </w:r>
          </w:p>
          <w:p w14:paraId="3CB9E8F4">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3）提供微信端查询功能，体检者可通过公众号自助查询个人体检报告。</w:t>
            </w:r>
          </w:p>
          <w:p w14:paraId="2D41C6AF">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4）支持数据对接，提供完整的数据传输接口协议，支持多种联网传输方式。</w:t>
            </w:r>
          </w:p>
          <w:p w14:paraId="3E6F6863">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4、标准配置检测参数：</w:t>
            </w:r>
          </w:p>
          <w:p w14:paraId="167847E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1）脉搏血氧仪</w:t>
            </w:r>
          </w:p>
          <w:p w14:paraId="4E8D063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可连接蓝牙，对接APP，实现数据管理；</w:t>
            </w:r>
          </w:p>
          <w:p w14:paraId="6F4442F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2）全自动电子血压计</w:t>
            </w:r>
          </w:p>
          <w:p w14:paraId="3049AA83">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测量位置：左右臂均可；</w:t>
            </w:r>
          </w:p>
          <w:p w14:paraId="00517EC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适应臂周范围：17～42cm；</w:t>
            </w:r>
          </w:p>
          <w:p w14:paraId="74B11086">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测量范围：血压量程：0～299mmHg；    </w:t>
            </w:r>
          </w:p>
          <w:p w14:paraId="202B215D">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脉搏数：40～180次/分；</w:t>
            </w:r>
          </w:p>
          <w:p w14:paraId="3B5AC564">
            <w:pPr>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平均测量模式：操作1次可进行2次或3次测量，并显示测量的平均值；测量等待时间可设置为30秒或者60秒；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需提供说明书证明）</w:t>
            </w:r>
          </w:p>
          <w:p w14:paraId="3637AB9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手臂伸入检测功能：手臂伸入臂筒时，感知测量开始，启动语音引导；</w:t>
            </w:r>
          </w:p>
          <w:p w14:paraId="2B232181">
            <w:pPr>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臂筒组件交换功能：臂筒无需借助工具自由拆卸更换，更换臂筒后，可进行自程序，进行压力校正。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需提供说明书证明）</w:t>
            </w:r>
          </w:p>
          <w:p w14:paraId="7C3BD815">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3）红外体温计 </w:t>
            </w:r>
          </w:p>
          <w:p w14:paraId="7F3ABF23">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温度测量范围（包括人体、表面、室温）人体模式：32.0~42.9℃，表面模式：0~100℃，室温模式：5~40℃；可储存99组数据。</w:t>
            </w:r>
          </w:p>
          <w:p w14:paraId="6818F640">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4）电子健康尺</w:t>
            </w:r>
          </w:p>
          <w:p w14:paraId="606B1345">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测量范围：1500mm。</w:t>
            </w:r>
          </w:p>
          <w:p w14:paraId="674A165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5）超声波身高体重测量仪</w:t>
            </w:r>
          </w:p>
          <w:p w14:paraId="3477E6C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身高测量范围：70cm～200cm，分辨率≤0.1 cm</w:t>
            </w:r>
          </w:p>
          <w:p w14:paraId="4D5CBC91">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HBM称重传感器：提供高度精确的体重检测数据。</w:t>
            </w:r>
          </w:p>
          <w:p w14:paraId="73105FA2">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6）血糖、尿酸、总胆固醇监测系统：具有无线传输功能，可对接APP，实现数据管理。</w:t>
            </w:r>
          </w:p>
          <w:p w14:paraId="4CF58E62">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7）干式生化分析仪（血脂四项）：</w:t>
            </w:r>
          </w:p>
          <w:p w14:paraId="158DA7DB">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①检测项：TC、HDL-C、LDL-C，TG、GLU、血酮体</w:t>
            </w:r>
          </w:p>
          <w:p w14:paraId="2C191AD3">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②显示功能：采用液晶显示中文界面设计</w:t>
            </w:r>
          </w:p>
          <w:p w14:paraId="06B50BDF">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③测试时间：每次测试的时间不超过90秒</w:t>
            </w:r>
          </w:p>
          <w:p w14:paraId="1CD27343">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④检测范围：Chol：2.59mmol/L-10.36mmol/L；</w:t>
            </w:r>
          </w:p>
          <w:p w14:paraId="3180251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HDL</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0.39mmol/L-2.59mmol/L</w:t>
            </w:r>
            <w:r>
              <w:rPr>
                <w:rFonts w:hint="eastAsia" w:asciiTheme="minorEastAsia" w:hAnsiTheme="minorEastAsia" w:eastAsiaTheme="minorEastAsia" w:cstheme="minorEastAsia"/>
                <w:color w:val="auto"/>
                <w:sz w:val="24"/>
                <w:szCs w:val="24"/>
                <w:highlight w:val="none"/>
                <w:lang w:eastAsia="zh-CN"/>
              </w:rPr>
              <w:t>;</w:t>
            </w:r>
          </w:p>
          <w:p w14:paraId="48CD970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TRIG</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0.51mmol/L-2.65mmol/L</w:t>
            </w:r>
            <w:r>
              <w:rPr>
                <w:rFonts w:hint="eastAsia" w:asciiTheme="minorEastAsia" w:hAnsiTheme="minorEastAsia" w:eastAsiaTheme="minorEastAsia" w:cstheme="minorEastAsia"/>
                <w:color w:val="auto"/>
                <w:sz w:val="24"/>
                <w:szCs w:val="24"/>
                <w:highlight w:val="none"/>
                <w:lang w:eastAsia="zh-CN"/>
              </w:rPr>
              <w:t>;</w:t>
            </w:r>
          </w:p>
          <w:p w14:paraId="2EDC1075">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⑤标本：全血</w:t>
            </w:r>
          </w:p>
          <w:p w14:paraId="5539747B">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⑥PC接口：USB、蓝牙</w:t>
            </w:r>
          </w:p>
          <w:p w14:paraId="11CF538E">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⑦储存容量：储存最近检测不少于30个人结果。</w:t>
            </w:r>
          </w:p>
        </w:tc>
        <w:tc>
          <w:tcPr>
            <w:tcW w:w="431" w:type="pct"/>
            <w:noWrap/>
            <w:vAlign w:val="center"/>
          </w:tcPr>
          <w:p w14:paraId="6A7C7995">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w:t>
            </w:r>
          </w:p>
        </w:tc>
        <w:tc>
          <w:tcPr>
            <w:tcW w:w="416" w:type="pct"/>
            <w:noWrap/>
            <w:vAlign w:val="center"/>
          </w:tcPr>
          <w:p w14:paraId="3512672D">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r>
      <w:tr w14:paraId="6A22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7" w:type="pct"/>
            <w:noWrap/>
            <w:vAlign w:val="center"/>
          </w:tcPr>
          <w:p w14:paraId="36328B3A">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27" w:type="pct"/>
            <w:noWrap/>
            <w:vAlign w:val="center"/>
          </w:tcPr>
          <w:p w14:paraId="1B3D9ED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心电图机</w:t>
            </w:r>
          </w:p>
        </w:tc>
        <w:tc>
          <w:tcPr>
            <w:tcW w:w="2906" w:type="pct"/>
            <w:noWrap/>
            <w:vAlign w:val="center"/>
          </w:tcPr>
          <w:p w14:paraId="747838A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1、导联：12导联同步采集、显示、打印，3道记录。</w:t>
            </w:r>
          </w:p>
          <w:p w14:paraId="3B13676D">
            <w:pPr>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asciiTheme="minorEastAsia" w:hAnsiTheme="minorEastAsia" w:eastAsiaTheme="minorEastAsia" w:cstheme="minorEastAsia"/>
                <w:b/>
                <w:color w:val="auto"/>
                <w:sz w:val="24"/>
                <w:szCs w:val="24"/>
                <w:highlight w:val="none"/>
              </w:rPr>
              <w:t>2、耐极化电压：</w:t>
            </w:r>
            <w:r>
              <w:rPr>
                <w:rFonts w:hint="eastAsia" w:asciiTheme="minorEastAsia" w:hAnsiTheme="minorEastAsia" w:eastAsiaTheme="minorEastAsia" w:cstheme="minorEastAsia"/>
                <w:b/>
                <w:color w:val="auto"/>
                <w:sz w:val="24"/>
                <w:szCs w:val="24"/>
                <w:highlight w:val="none"/>
              </w:rPr>
              <w:t>不低于</w:t>
            </w:r>
            <w:r>
              <w:rPr>
                <w:rFonts w:asciiTheme="minorEastAsia" w:hAnsiTheme="minorEastAsia" w:eastAsiaTheme="minorEastAsia" w:cstheme="minorEastAsia"/>
                <w:b/>
                <w:color w:val="auto"/>
                <w:sz w:val="24"/>
                <w:szCs w:val="24"/>
                <w:highlight w:val="none"/>
              </w:rPr>
              <w:t>550mV。</w:t>
            </w:r>
          </w:p>
          <w:p w14:paraId="4EC8510F">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3、记录速度：手动5-50mm/s五档，自动，允差±2%。</w:t>
            </w:r>
          </w:p>
          <w:p w14:paraId="32A36ECB">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4、频率响应特性 0.05~500</w:t>
            </w:r>
            <w:r>
              <w:rPr>
                <w:rFonts w:hint="eastAsia" w:asciiTheme="minorEastAsia" w:hAnsiTheme="minorEastAsia" w:eastAsiaTheme="minorEastAsia" w:cstheme="minorEastAsia"/>
                <w:color w:val="auto"/>
                <w:sz w:val="24"/>
                <w:szCs w:val="24"/>
                <w:highlight w:val="none"/>
                <w:lang w:eastAsia="zh-CN"/>
              </w:rPr>
              <w:t>Hz</w:t>
            </w:r>
            <w:r>
              <w:rPr>
                <w:rFonts w:hint="eastAsia" w:asciiTheme="minorEastAsia" w:hAnsiTheme="minorEastAsia" w:eastAsiaTheme="minorEastAsia" w:cstheme="minorEastAsia"/>
                <w:color w:val="auto"/>
                <w:sz w:val="24"/>
                <w:szCs w:val="24"/>
                <w:highlight w:val="none"/>
              </w:rPr>
              <w:t>。</w:t>
            </w:r>
          </w:p>
          <w:p w14:paraId="6D8346C6">
            <w:pPr>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▲5、采样率：不低于1000Hz/通道。</w:t>
            </w:r>
          </w:p>
          <w:p w14:paraId="197D8A14">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6、记录道数：1CH、1 CH +1节律、3CH。</w:t>
            </w:r>
          </w:p>
          <w:p w14:paraId="3D41AB74">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7、记录方式：可进行手动记录、自动记录、存储回顾记录。  </w:t>
            </w:r>
          </w:p>
          <w:p w14:paraId="5A999AD4">
            <w:pPr>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▲8、12导联自动分析：内置自动分析软件，具备至少4级诊断，具有不少于120种分析结果。</w:t>
            </w:r>
          </w:p>
          <w:p w14:paraId="6E49F43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9、具有分析结果指南功能、注释说明、报告功能。</w:t>
            </w:r>
          </w:p>
          <w:p w14:paraId="0142AB2D">
            <w:pPr>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▲10、内置存储器：可存储不少于300件心电图及数据。</w:t>
            </w:r>
          </w:p>
          <w:p w14:paraId="05101194">
            <w:pPr>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▲11、液晶屏≥5英寸大屏彩色液晶显示，可显示心律数、电极脱落、纸已用完、滤波器及电池状态等信息。</w:t>
            </w:r>
          </w:p>
          <w:p w14:paraId="2F7275D0">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12、中文输入可用键盘输入患者姓名或医生名。</w:t>
            </w:r>
          </w:p>
          <w:p w14:paraId="4BC79D8F">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13、电源：交、直流两用。直流工作时间，可连续记录≥1小时。</w:t>
            </w:r>
          </w:p>
        </w:tc>
        <w:tc>
          <w:tcPr>
            <w:tcW w:w="431" w:type="pct"/>
            <w:noWrap/>
            <w:vAlign w:val="center"/>
          </w:tcPr>
          <w:p w14:paraId="70E01B3E">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416" w:type="pct"/>
            <w:noWrap/>
            <w:vAlign w:val="center"/>
          </w:tcPr>
          <w:p w14:paraId="792EA700">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r>
      <w:tr w14:paraId="79CF8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7" w:type="pct"/>
            <w:noWrap/>
            <w:vAlign w:val="center"/>
          </w:tcPr>
          <w:p w14:paraId="5545505E">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827" w:type="pct"/>
            <w:noWrap/>
            <w:vAlign w:val="center"/>
          </w:tcPr>
          <w:p w14:paraId="5F16227C">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红外</w:t>
            </w:r>
          </w:p>
          <w:p w14:paraId="5DB0E294">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治疗仪</w:t>
            </w:r>
          </w:p>
        </w:tc>
        <w:tc>
          <w:tcPr>
            <w:tcW w:w="2906" w:type="pct"/>
            <w:noWrap/>
            <w:vAlign w:val="center"/>
          </w:tcPr>
          <w:p w14:paraId="68297E79">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1、产品配置：</w:t>
            </w:r>
          </w:p>
          <w:p w14:paraId="1EE3870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1）主机</w:t>
            </w:r>
          </w:p>
          <w:p w14:paraId="0B142655">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2）数码管控制界面</w:t>
            </w:r>
          </w:p>
          <w:p w14:paraId="62F6B98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3）臂架</w:t>
            </w:r>
          </w:p>
          <w:p w14:paraId="75C3D3F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4）红光探头</w:t>
            </w:r>
          </w:p>
          <w:p w14:paraId="2F6FC9D9">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2、光源：半导体固态光源。</w:t>
            </w:r>
          </w:p>
          <w:p w14:paraId="5FA3BF1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3、输出：中心波长630nm；±10nm。</w:t>
            </w:r>
          </w:p>
          <w:p w14:paraId="7F38F5DD">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4、光功率密度：50-350mW/cm2。</w:t>
            </w:r>
          </w:p>
          <w:p w14:paraId="6079C6CD">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5、光源寿命：≥10万小时。</w:t>
            </w:r>
          </w:p>
          <w:p w14:paraId="608AC4D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6、具备语音提示或定时等安全防护功能。</w:t>
            </w:r>
          </w:p>
          <w:p w14:paraId="05D851F2">
            <w:pPr>
              <w:pStyle w:val="257"/>
              <w:spacing w:line="24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7、治疗深度可达≥5cm。</w:t>
            </w:r>
          </w:p>
        </w:tc>
        <w:tc>
          <w:tcPr>
            <w:tcW w:w="431" w:type="pct"/>
            <w:noWrap/>
            <w:vAlign w:val="center"/>
          </w:tcPr>
          <w:p w14:paraId="494AFC13">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416" w:type="pct"/>
            <w:noWrap/>
            <w:vAlign w:val="center"/>
          </w:tcPr>
          <w:p w14:paraId="07CD95C2">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r>
      <w:tr w14:paraId="269C2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7" w:type="pct"/>
            <w:noWrap/>
            <w:vAlign w:val="center"/>
          </w:tcPr>
          <w:p w14:paraId="3F83276E">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827" w:type="pct"/>
            <w:noWrap/>
            <w:vAlign w:val="center"/>
          </w:tcPr>
          <w:p w14:paraId="39A4D9AB">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磁振</w:t>
            </w:r>
          </w:p>
          <w:p w14:paraId="02B8257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热治疗仪</w:t>
            </w:r>
          </w:p>
        </w:tc>
        <w:tc>
          <w:tcPr>
            <w:tcW w:w="2906" w:type="pct"/>
            <w:noWrap/>
            <w:vAlign w:val="center"/>
          </w:tcPr>
          <w:p w14:paraId="7B76DB29">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1、主要构成：一台主机和两个治疗导子组成。</w:t>
            </w:r>
          </w:p>
          <w:p w14:paraId="5770167E">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2、振动频率：具有单频振动30HZ、40</w:t>
            </w:r>
            <w:r>
              <w:rPr>
                <w:rFonts w:hint="eastAsia" w:asciiTheme="minorEastAsia" w:hAnsiTheme="minorEastAsia" w:eastAsiaTheme="minorEastAsia" w:cstheme="minorEastAsia"/>
                <w:color w:val="auto"/>
                <w:sz w:val="24"/>
                <w:szCs w:val="24"/>
                <w:highlight w:val="none"/>
                <w:lang w:eastAsia="zh-CN"/>
              </w:rPr>
              <w:t>Hz</w:t>
            </w:r>
            <w:r>
              <w:rPr>
                <w:rFonts w:hint="eastAsia" w:asciiTheme="minorEastAsia" w:hAnsiTheme="minorEastAsia" w:eastAsiaTheme="minorEastAsia" w:cstheme="minorEastAsia"/>
                <w:color w:val="auto"/>
                <w:sz w:val="24"/>
                <w:szCs w:val="24"/>
                <w:highlight w:val="none"/>
              </w:rPr>
              <w:t>、50Hz、60</w:t>
            </w:r>
            <w:r>
              <w:rPr>
                <w:rFonts w:hint="eastAsia" w:asciiTheme="minorEastAsia" w:hAnsiTheme="minorEastAsia" w:eastAsiaTheme="minorEastAsia" w:cstheme="minorEastAsia"/>
                <w:color w:val="auto"/>
                <w:sz w:val="24"/>
                <w:szCs w:val="24"/>
                <w:highlight w:val="none"/>
                <w:lang w:eastAsia="zh-CN"/>
              </w:rPr>
              <w:t>Hz</w:t>
            </w:r>
            <w:r>
              <w:rPr>
                <w:rFonts w:hint="eastAsia" w:asciiTheme="minorEastAsia" w:hAnsiTheme="minorEastAsia" w:eastAsiaTheme="minorEastAsia" w:cstheme="minorEastAsia"/>
                <w:color w:val="auto"/>
                <w:sz w:val="24"/>
                <w:szCs w:val="24"/>
                <w:highlight w:val="none"/>
              </w:rPr>
              <w:t>四种频率可调，具有多频振动30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60</w:t>
            </w:r>
            <w:r>
              <w:rPr>
                <w:rFonts w:hint="eastAsia" w:asciiTheme="minorEastAsia" w:hAnsiTheme="minorEastAsia" w:eastAsiaTheme="minorEastAsia" w:cstheme="minorEastAsia"/>
                <w:color w:val="auto"/>
                <w:sz w:val="24"/>
                <w:szCs w:val="24"/>
                <w:highlight w:val="none"/>
                <w:lang w:eastAsia="zh-CN"/>
              </w:rPr>
              <w:t>Hz</w:t>
            </w:r>
            <w:r>
              <w:rPr>
                <w:rFonts w:hint="eastAsia" w:asciiTheme="minorEastAsia" w:hAnsiTheme="minorEastAsia" w:eastAsiaTheme="minorEastAsia" w:cstheme="minorEastAsia"/>
                <w:color w:val="auto"/>
                <w:sz w:val="24"/>
                <w:szCs w:val="24"/>
                <w:highlight w:val="none"/>
              </w:rPr>
              <w:t>循环振动，步长10HZ。</w:t>
            </w:r>
          </w:p>
          <w:p w14:paraId="7221D600">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3、热疗功能温控范围：40℃~58℃连续可调，步距6℃。</w:t>
            </w:r>
          </w:p>
          <w:p w14:paraId="2830F367">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4、输出路数：两路、可同时连接两个治疗导子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各通道参数独立调节。</w:t>
            </w:r>
          </w:p>
          <w:p w14:paraId="7E43AEDE">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5、磁场强度：磁感应强度在10mT~50mT的范围内可调，步长为10mT，误差为±10%。</w:t>
            </w:r>
          </w:p>
          <w:p w14:paraId="66A2B1C9">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6、治疗时间：1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99min可调，步长1min。</w:t>
            </w:r>
          </w:p>
          <w:p w14:paraId="06124038">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7、内置多种工作处方，分急性、亚急性、慢性期，每种处方参数不同。</w:t>
            </w:r>
          </w:p>
          <w:p w14:paraId="5FAF6E52">
            <w:pPr>
              <w:pStyle w:val="257"/>
              <w:spacing w:line="240" w:lineRule="auto"/>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8、具有多种安全保</w:t>
            </w:r>
            <w:r>
              <w:rPr>
                <w:rFonts w:hint="eastAsia" w:asciiTheme="minorEastAsia" w:hAnsiTheme="minorEastAsia" w:eastAsiaTheme="minorEastAsia" w:cstheme="minorEastAsia"/>
                <w:color w:val="auto"/>
                <w:szCs w:val="24"/>
                <w:highlight w:val="none"/>
                <w:lang w:val="en-US" w:eastAsia="zh-CN"/>
              </w:rPr>
              <w:t>护</w:t>
            </w:r>
            <w:r>
              <w:rPr>
                <w:rFonts w:asciiTheme="minorEastAsia" w:hAnsiTheme="minorEastAsia" w:eastAsiaTheme="minorEastAsia" w:cstheme="minorEastAsia"/>
                <w:color w:val="auto"/>
                <w:szCs w:val="24"/>
                <w:highlight w:val="none"/>
              </w:rPr>
              <w:t>功能： 输入输出过流保护装置； 双重过温度保护装置。</w:t>
            </w:r>
          </w:p>
          <w:p w14:paraId="2074FB45">
            <w:pPr>
              <w:pStyle w:val="257"/>
              <w:spacing w:line="240" w:lineRule="auto"/>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9、自动控温装置，可以关闭温度加热，适用于炎症损伤急性期治疗。</w:t>
            </w:r>
          </w:p>
        </w:tc>
        <w:tc>
          <w:tcPr>
            <w:tcW w:w="431" w:type="pct"/>
            <w:noWrap/>
            <w:vAlign w:val="center"/>
          </w:tcPr>
          <w:p w14:paraId="065C8F89">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416" w:type="pct"/>
            <w:noWrap/>
            <w:vAlign w:val="center"/>
          </w:tcPr>
          <w:p w14:paraId="4128E564">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r>
      <w:tr w14:paraId="0B9D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5" w:hRule="atLeast"/>
        </w:trPr>
        <w:tc>
          <w:tcPr>
            <w:tcW w:w="417" w:type="pct"/>
            <w:noWrap/>
            <w:vAlign w:val="center"/>
          </w:tcPr>
          <w:p w14:paraId="74081665">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827" w:type="pct"/>
            <w:noWrap/>
            <w:vAlign w:val="center"/>
          </w:tcPr>
          <w:p w14:paraId="6E97EC6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深层肌肉刺激仪</w:t>
            </w:r>
          </w:p>
        </w:tc>
        <w:tc>
          <w:tcPr>
            <w:tcW w:w="2906" w:type="pct"/>
            <w:noWrap/>
            <w:vAlign w:val="center"/>
          </w:tcPr>
          <w:p w14:paraId="682C017F">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1、震动幅度可达≥6mm。 </w:t>
            </w:r>
          </w:p>
          <w:p w14:paraId="25A69D53">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2、为机械性冲击治疗设备，频率15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60Hz四档可调；输出频率改变时，设备的冲击力恒定不变，保证治疗的深度和疗效。</w:t>
            </w:r>
          </w:p>
          <w:p w14:paraId="21906DBE">
            <w:pPr>
              <w:pStyle w:val="257"/>
              <w:spacing w:line="240" w:lineRule="auto"/>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3、过压力保护功能：外施加压力超过预设值将自动断电保护，保护操作者及患者。                                                                     4、治疗探头由钛合金制成，坚固耐用。</w:t>
            </w:r>
          </w:p>
          <w:p w14:paraId="6743632D">
            <w:pPr>
              <w:pStyle w:val="257"/>
              <w:spacing w:line="240" w:lineRule="auto"/>
              <w:jc w:val="left"/>
              <w:rPr>
                <w:rFonts w:hint="default" w:asciiTheme="minorEastAsia" w:hAnsiTheme="minorEastAsia" w:eastAsiaTheme="minorEastAsia" w:cstheme="minorEastAsia"/>
                <w:strike/>
                <w:color w:val="auto"/>
                <w:szCs w:val="24"/>
                <w:highlight w:val="none"/>
              </w:rPr>
            </w:pPr>
            <w:r>
              <w:rPr>
                <w:rFonts w:asciiTheme="minorEastAsia" w:hAnsiTheme="minorEastAsia" w:eastAsiaTheme="minorEastAsia" w:cstheme="minorEastAsia"/>
                <w:color w:val="auto"/>
                <w:szCs w:val="24"/>
                <w:highlight w:val="none"/>
              </w:rPr>
              <w:t>5、主机重量≤2.5kg。</w:t>
            </w:r>
          </w:p>
        </w:tc>
        <w:tc>
          <w:tcPr>
            <w:tcW w:w="431" w:type="pct"/>
            <w:noWrap/>
            <w:vAlign w:val="center"/>
          </w:tcPr>
          <w:p w14:paraId="44075653">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416" w:type="pct"/>
            <w:noWrap/>
            <w:vAlign w:val="center"/>
          </w:tcPr>
          <w:p w14:paraId="3696418C">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r>
      <w:tr w14:paraId="3FD6C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417" w:type="pct"/>
            <w:noWrap/>
            <w:vAlign w:val="center"/>
          </w:tcPr>
          <w:p w14:paraId="69D2841E">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827" w:type="pct"/>
            <w:noWrap/>
            <w:vAlign w:val="center"/>
          </w:tcPr>
          <w:p w14:paraId="5496E63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急救箱</w:t>
            </w:r>
          </w:p>
        </w:tc>
        <w:tc>
          <w:tcPr>
            <w:tcW w:w="2906" w:type="pct"/>
            <w:noWrap/>
            <w:vAlign w:val="center"/>
          </w:tcPr>
          <w:p w14:paraId="7B8850F6">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急救箱包含：</w:t>
            </w:r>
          </w:p>
          <w:p w14:paraId="45B8788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1、箱体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1只</w:t>
            </w:r>
          </w:p>
          <w:p w14:paraId="2B6236C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2、医用供氧器（2L）1套</w:t>
            </w:r>
          </w:p>
          <w:p w14:paraId="7672956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3、三角巾急救包 1包</w:t>
            </w:r>
          </w:p>
          <w:p w14:paraId="73892D26">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4、包皮夹板 4块</w:t>
            </w:r>
          </w:p>
          <w:p w14:paraId="6AF17C71">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5、医用乳胶管 1根</w:t>
            </w:r>
          </w:p>
          <w:p w14:paraId="30EA2481">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6、手电筒 1把</w:t>
            </w:r>
          </w:p>
          <w:p w14:paraId="3187368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7、铝针盒 1支</w:t>
            </w:r>
          </w:p>
          <w:p w14:paraId="36C3B85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8、棉线绳 1根</w:t>
            </w:r>
          </w:p>
          <w:p w14:paraId="48763B9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9、创可贴 3个</w:t>
            </w:r>
          </w:p>
          <w:p w14:paraId="6741F2BB">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10、小砂轮 1个</w:t>
            </w:r>
          </w:p>
          <w:p w14:paraId="0FD21BBE">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11、酒精瓶 1瓶</w:t>
            </w:r>
          </w:p>
          <w:p w14:paraId="0989CE06">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12、碘酒瓶 1瓶</w:t>
            </w:r>
          </w:p>
          <w:p w14:paraId="3EC54A02">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13、小药瓶 8个</w:t>
            </w:r>
          </w:p>
          <w:p w14:paraId="64C6B05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14、大药瓶 4个</w:t>
            </w:r>
          </w:p>
          <w:p w14:paraId="4A956F86">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15、压舌板 1个</w:t>
            </w:r>
          </w:p>
          <w:p w14:paraId="6654364F">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16、简易呼吸器麻醉咽喉镜</w:t>
            </w:r>
          </w:p>
          <w:p w14:paraId="70DF58D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17、一次性使用气管导管或一次性使用气管插管 1根</w:t>
            </w:r>
          </w:p>
          <w:p w14:paraId="4FB71A4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18、血压计或血压表 1具</w:t>
            </w:r>
          </w:p>
          <w:p w14:paraId="19DA280E">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19、听诊器 1只</w:t>
            </w:r>
          </w:p>
          <w:p w14:paraId="6762597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20、玻璃体温计 1根</w:t>
            </w:r>
          </w:p>
          <w:p w14:paraId="5FA6382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21、舌钳 1把</w:t>
            </w:r>
          </w:p>
          <w:p w14:paraId="15707F1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22、丁字式开口器 1把</w:t>
            </w:r>
          </w:p>
          <w:p w14:paraId="567136B5">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23、普通手术剪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直尖头、弯尖头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1把</w:t>
            </w:r>
          </w:p>
          <w:p w14:paraId="4615279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24、敷料镊 2把</w:t>
            </w:r>
          </w:p>
          <w:p w14:paraId="60B8AB9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25、手术刀柄 4把</w:t>
            </w:r>
          </w:p>
          <w:p w14:paraId="2841C6E6">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26、无菌手术刀片 2片</w:t>
            </w:r>
          </w:p>
          <w:p w14:paraId="5F0A2FCC">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27、持针钳 1把</w:t>
            </w:r>
          </w:p>
          <w:p w14:paraId="5D94751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28、止血钳 1把</w:t>
            </w:r>
          </w:p>
          <w:p w14:paraId="76D7853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29、组织镊 1把</w:t>
            </w:r>
          </w:p>
          <w:p w14:paraId="1DF96479">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30、帕巾 2把</w:t>
            </w:r>
          </w:p>
          <w:p w14:paraId="60C3CAD1">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31、医用缝合针 1枚</w:t>
            </w:r>
          </w:p>
          <w:p w14:paraId="643888C0">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32、针灸针 1套</w:t>
            </w:r>
          </w:p>
          <w:p w14:paraId="3014264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33、非吸收性外科缝线或医用真丝编织线1根</w:t>
            </w:r>
          </w:p>
          <w:p w14:paraId="3D593BE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34、外科纱布  纱布块 4块</w:t>
            </w:r>
          </w:p>
          <w:p w14:paraId="6926A43A">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35、纱布绷带 2卷</w:t>
            </w:r>
          </w:p>
          <w:p w14:paraId="47605857">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36、脱脂棉球 5个</w:t>
            </w:r>
          </w:p>
          <w:p w14:paraId="0E26DA01">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37、弹性绷带 1卷</w:t>
            </w:r>
          </w:p>
          <w:p w14:paraId="279C8638">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38、医用橡皮膏或医用胶带 1卷</w:t>
            </w:r>
          </w:p>
          <w:p w14:paraId="6EF01585">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39、一次性使用医用棉签或棉签 20支</w:t>
            </w:r>
          </w:p>
          <w:p w14:paraId="3487ABD1">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40、口垫 1个</w:t>
            </w:r>
          </w:p>
          <w:p w14:paraId="7DBBD935">
            <w:pPr>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41、一次性使用灭菌科手套 1副</w:t>
            </w:r>
          </w:p>
          <w:p w14:paraId="3890BA2F">
            <w:pPr>
              <w:jc w:val="lef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42、血糖、尿酸、总胆固醇监测系统 1只</w:t>
            </w:r>
          </w:p>
          <w:p w14:paraId="46C678BD">
            <w:pPr>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43、干式分化分析仪 1只</w:t>
            </w:r>
          </w:p>
          <w:p w14:paraId="6B9540A7">
            <w:pPr>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44、血氧仪 1只</w:t>
            </w:r>
          </w:p>
          <w:p w14:paraId="200FB82A">
            <w:pPr>
              <w:pStyle w:val="18"/>
              <w:spacing w:line="240" w:lineRule="auto"/>
              <w:ind w:firstLine="0"/>
              <w:rPr>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注：须</w:t>
            </w:r>
            <w:r>
              <w:rPr>
                <w:rFonts w:hint="eastAsia" w:asciiTheme="minorEastAsia" w:hAnsiTheme="minorEastAsia" w:eastAsiaTheme="minorEastAsia" w:cstheme="minorEastAsia"/>
                <w:b/>
                <w:bCs/>
                <w:color w:val="auto"/>
                <w:sz w:val="24"/>
                <w:szCs w:val="24"/>
                <w:highlight w:val="none"/>
              </w:rPr>
              <w:t>提供产品免费质保期同步的承诺函</w:t>
            </w:r>
            <w:r>
              <w:rPr>
                <w:rFonts w:hint="eastAsia" w:asciiTheme="minorEastAsia" w:hAnsiTheme="minorEastAsia" w:eastAsiaTheme="minorEastAsia" w:cstheme="minorEastAsia"/>
                <w:b/>
                <w:bCs/>
                <w:color w:val="auto"/>
                <w:sz w:val="24"/>
                <w:szCs w:val="24"/>
                <w:highlight w:val="none"/>
                <w:lang w:val="en-US" w:eastAsia="zh-CN"/>
              </w:rPr>
              <w:t>；</w:t>
            </w:r>
          </w:p>
        </w:tc>
        <w:tc>
          <w:tcPr>
            <w:tcW w:w="431" w:type="pct"/>
            <w:noWrap/>
            <w:vAlign w:val="center"/>
          </w:tcPr>
          <w:p w14:paraId="06F24B7A">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416" w:type="pct"/>
            <w:noWrap/>
            <w:vAlign w:val="center"/>
          </w:tcPr>
          <w:p w14:paraId="137CCAC4">
            <w:pPr>
              <w:pStyle w:val="257"/>
              <w:spacing w:line="24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个</w:t>
            </w:r>
          </w:p>
        </w:tc>
      </w:tr>
    </w:tbl>
    <w:p w14:paraId="262A66C5">
      <w:pPr>
        <w:spacing w:line="360" w:lineRule="auto"/>
        <w:rPr>
          <w:rFonts w:hint="eastAsia" w:ascii="宋体" w:hAnsi="宋体" w:eastAsia="宋体" w:cs="宋体"/>
          <w:b/>
          <w:bCs/>
          <w:color w:val="auto"/>
          <w:sz w:val="24"/>
          <w:szCs w:val="32"/>
          <w:highlight w:val="none"/>
          <w:lang w:val="en-US" w:eastAsia="zh-CN"/>
        </w:rPr>
      </w:pPr>
      <w:bookmarkStart w:id="25" w:name="OLE_LINK14"/>
      <w:bookmarkStart w:id="26" w:name="OLE_LINK13"/>
      <w:r>
        <w:rPr>
          <w:rFonts w:hint="eastAsia" w:ascii="宋体" w:hAnsi="宋体" w:cs="宋体"/>
          <w:b/>
          <w:bCs/>
          <w:color w:val="auto"/>
          <w:sz w:val="24"/>
          <w:szCs w:val="32"/>
          <w:highlight w:val="none"/>
        </w:rPr>
        <w:t>注：</w:t>
      </w:r>
      <w:r>
        <w:rPr>
          <w:rFonts w:hint="eastAsia" w:ascii="宋体" w:hAnsi="宋体" w:cs="宋体"/>
          <w:b/>
          <w:bCs/>
          <w:color w:val="auto"/>
          <w:sz w:val="24"/>
          <w:szCs w:val="32"/>
          <w:highlight w:val="none"/>
          <w:lang w:val="en-US" w:eastAsia="zh-CN"/>
        </w:rPr>
        <w:t>1）上述表格中序号1-5、序号6（清单中的42、43、44项）须提供生产企业有效的第二类及以上的《医疗器械生产许可证》，否则作为无效标处理</w:t>
      </w:r>
      <w:r>
        <w:rPr>
          <w:rFonts w:hint="eastAsia" w:ascii="宋体" w:hAnsi="宋体" w:cs="宋体"/>
          <w:b/>
          <w:bCs/>
          <w:color w:val="auto"/>
          <w:sz w:val="24"/>
          <w:szCs w:val="24"/>
          <w:highlight w:val="none"/>
          <w:lang w:eastAsia="zh-CN"/>
        </w:rPr>
        <w:t>。</w:t>
      </w:r>
    </w:p>
    <w:p w14:paraId="1ACA2DC8">
      <w:pPr>
        <w:keepNext w:val="0"/>
        <w:keepLines w:val="0"/>
        <w:pageBreakBefore w:val="0"/>
        <w:widowControl w:val="0"/>
        <w:spacing w:line="360" w:lineRule="auto"/>
        <w:ind w:firstLine="482"/>
        <w:rPr>
          <w:rFonts w:hint="eastAsia" w:ascii="宋体" w:hAnsi="宋体" w:cs="宋体"/>
          <w:b/>
          <w:bCs/>
          <w:color w:val="auto"/>
          <w:sz w:val="24"/>
          <w:szCs w:val="32"/>
          <w:highlight w:val="none"/>
        </w:rPr>
      </w:pPr>
      <w:r>
        <w:rPr>
          <w:rFonts w:hint="eastAsia" w:ascii="宋体" w:hAnsi="宋体" w:cs="宋体"/>
          <w:b/>
          <w:bCs/>
          <w:color w:val="auto"/>
          <w:sz w:val="24"/>
          <w:szCs w:val="32"/>
          <w:highlight w:val="none"/>
          <w:lang w:val="en-US" w:eastAsia="zh-CN"/>
        </w:rPr>
        <w:t>2）①</w:t>
      </w:r>
      <w:r>
        <w:rPr>
          <w:rFonts w:hint="eastAsia" w:ascii="宋体" w:hAnsi="宋体" w:cs="宋体"/>
          <w:b/>
          <w:bCs/>
          <w:color w:val="auto"/>
          <w:sz w:val="24"/>
          <w:szCs w:val="32"/>
          <w:highlight w:val="none"/>
        </w:rPr>
        <w:t>上述</w:t>
      </w:r>
      <w:r>
        <w:rPr>
          <w:rFonts w:hint="eastAsia" w:ascii="宋体" w:hAnsi="宋体" w:cs="宋体"/>
          <w:b/>
          <w:bCs/>
          <w:color w:val="auto"/>
          <w:sz w:val="24"/>
          <w:szCs w:val="32"/>
          <w:highlight w:val="none"/>
          <w:lang w:val="en-US" w:eastAsia="zh-CN"/>
        </w:rPr>
        <w:t>所有产品质量均需满足相关医疗器械标准，②</w:t>
      </w:r>
      <w:r>
        <w:rPr>
          <w:rFonts w:hint="eastAsia" w:ascii="宋体" w:hAnsi="宋体" w:cs="宋体"/>
          <w:b/>
          <w:bCs/>
          <w:color w:val="auto"/>
          <w:sz w:val="24"/>
          <w:szCs w:val="32"/>
          <w:highlight w:val="none"/>
        </w:rPr>
        <w:t>表格中的技术参数要求必须全部满足，</w:t>
      </w:r>
      <w:r>
        <w:rPr>
          <w:rFonts w:hint="eastAsia" w:ascii="宋体" w:hAnsi="宋体" w:cs="宋体"/>
          <w:b/>
          <w:bCs/>
          <w:color w:val="auto"/>
          <w:sz w:val="24"/>
          <w:szCs w:val="32"/>
          <w:highlight w:val="none"/>
          <w:lang w:val="en-US" w:eastAsia="zh-CN"/>
        </w:rPr>
        <w:t>投标文件</w:t>
      </w:r>
      <w:r>
        <w:rPr>
          <w:rFonts w:hint="eastAsia" w:ascii="宋体" w:hAnsi="宋体" w:cs="宋体"/>
          <w:b/>
          <w:bCs/>
          <w:color w:val="auto"/>
          <w:sz w:val="24"/>
          <w:szCs w:val="32"/>
          <w:highlight w:val="none"/>
        </w:rPr>
        <w:t>须提供</w:t>
      </w:r>
      <w:r>
        <w:rPr>
          <w:rFonts w:hint="eastAsia" w:ascii="宋体" w:hAnsi="宋体" w:cs="宋体"/>
          <w:b/>
          <w:bCs/>
          <w:color w:val="auto"/>
          <w:sz w:val="24"/>
          <w:szCs w:val="32"/>
          <w:highlight w:val="none"/>
          <w:lang w:val="en-US" w:eastAsia="zh-CN"/>
        </w:rPr>
        <w:t>①和②对</w:t>
      </w:r>
      <w:r>
        <w:rPr>
          <w:rFonts w:hint="eastAsia" w:ascii="宋体" w:hAnsi="宋体" w:cs="宋体"/>
          <w:b/>
          <w:bCs/>
          <w:color w:val="auto"/>
          <w:sz w:val="24"/>
          <w:szCs w:val="32"/>
          <w:highlight w:val="none"/>
        </w:rPr>
        <w:t>应</w:t>
      </w:r>
      <w:r>
        <w:rPr>
          <w:rFonts w:hint="eastAsia" w:ascii="宋体" w:hAnsi="宋体" w:cs="宋体"/>
          <w:b/>
          <w:bCs/>
          <w:color w:val="auto"/>
          <w:sz w:val="24"/>
          <w:szCs w:val="32"/>
          <w:highlight w:val="none"/>
          <w:lang w:val="en-US" w:eastAsia="zh-CN"/>
        </w:rPr>
        <w:t>的</w:t>
      </w:r>
      <w:r>
        <w:rPr>
          <w:rFonts w:hint="eastAsia" w:ascii="宋体" w:hAnsi="宋体" w:cs="宋体"/>
          <w:b/>
          <w:bCs/>
          <w:color w:val="auto"/>
          <w:sz w:val="24"/>
          <w:szCs w:val="32"/>
          <w:highlight w:val="none"/>
        </w:rPr>
        <w:t>承诺函并加盖投标单位公章，未提供或有负偏离，</w:t>
      </w:r>
      <w:bookmarkEnd w:id="25"/>
      <w:bookmarkEnd w:id="26"/>
      <w:r>
        <w:rPr>
          <w:rFonts w:hint="eastAsia" w:ascii="宋体" w:hAnsi="宋体" w:cs="宋体"/>
          <w:b/>
          <w:bCs/>
          <w:color w:val="auto"/>
          <w:sz w:val="24"/>
          <w:szCs w:val="32"/>
          <w:highlight w:val="none"/>
        </w:rPr>
        <w:t>视为未实质性响应招标文件要求，为无效标处理。</w:t>
      </w:r>
    </w:p>
    <w:p w14:paraId="0DD79823">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（三）商务要求：</w:t>
      </w:r>
    </w:p>
    <w:p w14:paraId="7DF4B44B">
      <w:pPr>
        <w:spacing w:line="360" w:lineRule="auto"/>
        <w:rPr>
          <w:rFonts w:ascii="宋体" w:hAnsi="宋体" w:cs="宋体"/>
          <w:b/>
          <w:bCs/>
          <w:color w:val="auto"/>
          <w:sz w:val="24"/>
          <w:szCs w:val="32"/>
          <w:highlight w:val="none"/>
        </w:rPr>
      </w:pPr>
      <w:r>
        <w:rPr>
          <w:rFonts w:hint="eastAsia" w:ascii="宋体" w:hAnsi="宋体" w:cs="宋体"/>
          <w:b/>
          <w:bCs/>
          <w:color w:val="auto"/>
          <w:sz w:val="24"/>
          <w:szCs w:val="32"/>
          <w:highlight w:val="none"/>
        </w:rPr>
        <w:t>★1、投标产品（健康一体机、心电图机、红外治疗仪、磁振热治疗仪和深层肌肉刺激仪）须在相关药品监督管理部门进行注册，且在有效期内。</w:t>
      </w:r>
    </w:p>
    <w:p w14:paraId="0ECD71AA">
      <w:pPr>
        <w:spacing w:line="360" w:lineRule="auto"/>
        <w:jc w:val="left"/>
        <w:rPr>
          <w:rFonts w:asciiTheme="minorEastAsia" w:hAnsiTheme="minorEastAsia" w:eastAsiaTheme="minorEastAsia" w:cstheme="minorEastAsia"/>
          <w:b/>
          <w:bCs/>
          <w:color w:val="auto"/>
          <w:sz w:val="24"/>
          <w:szCs w:val="24"/>
          <w:highlight w:val="none"/>
        </w:rPr>
      </w:pPr>
      <w:r>
        <w:rPr>
          <w:rFonts w:hint="eastAsia" w:ascii="宋体" w:hAnsi="宋体" w:cs="宋体"/>
          <w:b/>
          <w:bCs/>
          <w:color w:val="auto"/>
          <w:sz w:val="24"/>
          <w:szCs w:val="32"/>
          <w:highlight w:val="none"/>
        </w:rPr>
        <w:t>★</w:t>
      </w:r>
      <w:r>
        <w:rPr>
          <w:rFonts w:hint="eastAsia" w:ascii="宋体" w:hAnsi="宋体" w:cs="宋体"/>
          <w:b/>
          <w:color w:val="auto"/>
          <w:sz w:val="24"/>
          <w:szCs w:val="32"/>
          <w:highlight w:val="none"/>
        </w:rPr>
        <w:t>2、</w:t>
      </w:r>
      <w:r>
        <w:rPr>
          <w:rFonts w:hint="eastAsia" w:asciiTheme="minorEastAsia" w:hAnsiTheme="minorEastAsia" w:eastAsiaTheme="minorEastAsia" w:cstheme="minorEastAsia"/>
          <w:b/>
          <w:bCs/>
          <w:color w:val="auto"/>
          <w:sz w:val="24"/>
          <w:szCs w:val="24"/>
          <w:highlight w:val="none"/>
        </w:rPr>
        <w:t>投标单位或生产厂家须具备二级或二级以上</w:t>
      </w:r>
      <w:bookmarkStart w:id="27" w:name="OLE_LINK2"/>
      <w:bookmarkStart w:id="28" w:name="OLE_LINK1"/>
      <w:r>
        <w:rPr>
          <w:rFonts w:hint="eastAsia" w:asciiTheme="minorEastAsia" w:hAnsiTheme="minorEastAsia" w:eastAsiaTheme="minorEastAsia" w:cstheme="minorEastAsia"/>
          <w:b/>
          <w:bCs/>
          <w:color w:val="auto"/>
          <w:sz w:val="24"/>
          <w:szCs w:val="24"/>
          <w:highlight w:val="none"/>
        </w:rPr>
        <w:t>公安机关信息系统安全等级保护备案</w:t>
      </w:r>
      <w:bookmarkEnd w:id="27"/>
      <w:bookmarkEnd w:id="28"/>
      <w:r>
        <w:rPr>
          <w:rFonts w:hint="eastAsia" w:asciiTheme="minorEastAsia" w:hAnsiTheme="minorEastAsia" w:eastAsiaTheme="minorEastAsia" w:cstheme="minorEastAsia"/>
          <w:b/>
          <w:bCs/>
          <w:color w:val="auto"/>
          <w:sz w:val="24"/>
          <w:szCs w:val="24"/>
          <w:highlight w:val="none"/>
        </w:rPr>
        <w:t>证明。</w:t>
      </w:r>
    </w:p>
    <w:p w14:paraId="67656C3D">
      <w:pPr>
        <w:pStyle w:val="18"/>
        <w:spacing w:line="360" w:lineRule="auto"/>
        <w:ind w:firstLine="0"/>
        <w:rPr>
          <w:rFonts w:cs="宋体"/>
          <w:b/>
          <w:bCs/>
          <w:color w:val="auto"/>
          <w:sz w:val="24"/>
          <w:szCs w:val="32"/>
          <w:highlight w:val="none"/>
        </w:rPr>
      </w:pPr>
      <w:r>
        <w:rPr>
          <w:rFonts w:hint="eastAsia" w:cs="宋体"/>
          <w:b/>
          <w:bCs/>
          <w:color w:val="auto"/>
          <w:sz w:val="24"/>
          <w:szCs w:val="32"/>
          <w:highlight w:val="none"/>
        </w:rPr>
        <w:t>★3、投标文件中须提供具有国家法定资质的第三方检测机构的检测报告（</w:t>
      </w:r>
      <w:r>
        <w:rPr>
          <w:rFonts w:hint="eastAsia" w:cs="宋体"/>
          <w:b/>
          <w:color w:val="auto"/>
          <w:sz w:val="24"/>
          <w:szCs w:val="32"/>
          <w:highlight w:val="none"/>
        </w:rPr>
        <w:t>检测产品包含心电图机和健康一体机中配有的全自动电子血压计；检测内容包括但不仅限于心电图机的标准灵敏度、附极化电压、连续漏电流、电介质强度等全性能、血压计的测量准确性等</w:t>
      </w:r>
      <w:r>
        <w:rPr>
          <w:rFonts w:hint="eastAsia" w:cs="宋体"/>
          <w:b/>
          <w:bCs/>
          <w:color w:val="auto"/>
          <w:sz w:val="24"/>
          <w:szCs w:val="32"/>
          <w:highlight w:val="none"/>
        </w:rPr>
        <w:t>）。</w:t>
      </w:r>
    </w:p>
    <w:p w14:paraId="23234290">
      <w:pPr>
        <w:pStyle w:val="18"/>
        <w:spacing w:line="360" w:lineRule="auto"/>
        <w:ind w:firstLine="0"/>
        <w:rPr>
          <w:color w:val="auto"/>
          <w:highlight w:val="none"/>
        </w:rPr>
      </w:pPr>
      <w:r>
        <w:rPr>
          <w:rFonts w:hint="eastAsia" w:cs="宋体"/>
          <w:b/>
          <w:bCs/>
          <w:color w:val="auto"/>
          <w:sz w:val="24"/>
          <w:szCs w:val="32"/>
          <w:highlight w:val="none"/>
        </w:rPr>
        <w:t>注：上述打★1-3项，均须在投标文件中提供对应要求的相关证明材料并加盖投标单位公章，未提供或提供不符合要求的，视为未实质性响应招标文件要求，为无效标处理。</w:t>
      </w:r>
    </w:p>
    <w:p w14:paraId="5D35546F">
      <w:pPr>
        <w:spacing w:line="360" w:lineRule="auto"/>
        <w:rPr>
          <w:rFonts w:ascii="宋体" w:hAnsi="宋体" w:cs="宋体"/>
          <w:b/>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color w:val="auto"/>
          <w:sz w:val="24"/>
          <w:szCs w:val="32"/>
          <w:highlight w:val="none"/>
        </w:rPr>
        <w:t>4、在承诺的免费质保期内“急救箱”中配备的产品若出现过期或临保情况的，中标单位需配合采购单位及时更换成新鲜日期的产品，质保日期须与承诺的免费质保期同步。</w:t>
      </w:r>
    </w:p>
    <w:p w14:paraId="4924D5D5">
      <w:pPr>
        <w:pStyle w:val="18"/>
        <w:spacing w:line="360" w:lineRule="auto"/>
        <w:ind w:firstLine="0"/>
        <w:rPr>
          <w:rFonts w:cs="宋体"/>
          <w:b/>
          <w:bCs/>
          <w:color w:val="auto"/>
          <w:sz w:val="24"/>
          <w:szCs w:val="32"/>
          <w:highlight w:val="none"/>
        </w:rPr>
      </w:pPr>
      <w:r>
        <w:rPr>
          <w:rFonts w:hint="eastAsia" w:cs="宋体"/>
          <w:b/>
          <w:bCs/>
          <w:color w:val="auto"/>
          <w:sz w:val="24"/>
          <w:szCs w:val="32"/>
          <w:highlight w:val="none"/>
        </w:rPr>
        <w:t>★5、投标文件中须提供所有产品不低于原厂品质的质保承诺函。</w:t>
      </w:r>
    </w:p>
    <w:p w14:paraId="7B6BEB7B">
      <w:pPr>
        <w:spacing w:line="360" w:lineRule="auto"/>
        <w:rPr>
          <w:rFonts w:ascii="宋体" w:hAnsi="宋体" w:cs="宋体"/>
          <w:b/>
          <w:bCs/>
          <w:color w:val="auto"/>
          <w:sz w:val="24"/>
          <w:szCs w:val="32"/>
          <w:highlight w:val="none"/>
        </w:rPr>
      </w:pPr>
      <w:r>
        <w:rPr>
          <w:rFonts w:hint="eastAsia" w:ascii="宋体" w:hAnsi="宋体" w:cs="宋体"/>
          <w:b/>
          <w:bCs/>
          <w:color w:val="auto"/>
          <w:sz w:val="24"/>
          <w:szCs w:val="32"/>
          <w:highlight w:val="none"/>
        </w:rPr>
        <w:t>★6、实施过程中，中标单位应当按照国家相关法律法规开展项目实施，并接受相关部门监管。</w:t>
      </w:r>
    </w:p>
    <w:p w14:paraId="0B563CA8">
      <w:pPr>
        <w:pStyle w:val="18"/>
        <w:spacing w:line="360" w:lineRule="auto"/>
        <w:ind w:firstLine="0"/>
        <w:rPr>
          <w:color w:val="auto"/>
          <w:highlight w:val="none"/>
        </w:rPr>
      </w:pPr>
      <w:r>
        <w:rPr>
          <w:rFonts w:hint="eastAsia" w:cs="宋体"/>
          <w:b/>
          <w:bCs/>
          <w:color w:val="auto"/>
          <w:sz w:val="24"/>
          <w:szCs w:val="32"/>
          <w:highlight w:val="none"/>
        </w:rPr>
        <w:t>注：上述打★4-6项，均须在投标文件中提供对应要求的相关承诺函（格式自拟）并加盖投标单位公章，未提供或提供不符合要求的，视为未实质性响应招标文件要求，为无效标处理。</w:t>
      </w:r>
    </w:p>
    <w:p w14:paraId="1BD71BCB">
      <w:pPr>
        <w:spacing w:line="360" w:lineRule="auto"/>
        <w:rPr>
          <w:rFonts w:ascii="宋体" w:hAnsi="宋体" w:cs="宋体"/>
          <w:b w:val="0"/>
          <w:bCs/>
          <w:color w:val="auto"/>
          <w:sz w:val="24"/>
          <w:szCs w:val="32"/>
          <w:highlight w:val="none"/>
        </w:rPr>
      </w:pP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宋体" w:hAnsi="宋体" w:cs="宋体"/>
          <w:b w:val="0"/>
          <w:bCs/>
          <w:color w:val="auto"/>
          <w:sz w:val="24"/>
          <w:szCs w:val="32"/>
          <w:highlight w:val="none"/>
        </w:rPr>
        <w:t>包装和运输要求：</w:t>
      </w:r>
    </w:p>
    <w:p w14:paraId="60066961">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.1中标单位应当按照《商品包装政府采购需求标准（试行）》、《快递包装政府采购需求标准（试行）》的标准及约定的包装方式交付标的物。</w:t>
      </w:r>
    </w:p>
    <w:p w14:paraId="33069FB7">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.2包装必须完整、无破损、污染、受潮等情况，避免影响器械的性能和安全性。</w:t>
      </w:r>
    </w:p>
    <w:p w14:paraId="609F1F4C">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.3采取保护货物且有利于节约资源、保护生态环境的包装方式。</w:t>
      </w:r>
    </w:p>
    <w:p w14:paraId="2855F19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.4因中标单位未采取合理包装方式致使货物损毁、灭失或无法正常使用，给采购单位造成损失的，中标单位需赔偿采购单位一切直接、间接损失。</w:t>
      </w:r>
    </w:p>
    <w:p w14:paraId="212BE942">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.5中标单位应保证其提供的货物是原包装未拆封的商品，在交付采购方验收前不得拆箱。</w:t>
      </w:r>
    </w:p>
    <w:p w14:paraId="5B8E2C8A">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、售后服务标准要求：</w:t>
      </w:r>
    </w:p>
    <w:p w14:paraId="04ED827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.1本项目免费质量保证期要求不低于3年。免费质量保证期从货物供货、安装、调试正常且经采购使用部门确认验收合格之日起算。</w:t>
      </w:r>
    </w:p>
    <w:p w14:paraId="566AEEA3">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.2中标单位须对采购单位进行免费培训和技术支持，为本项目制定培训内容，培训内容包含但不限于培训人员设置、培训安排、培训周期等内容。</w:t>
      </w:r>
    </w:p>
    <w:p w14:paraId="105A97AC">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.3培训次数：每年不少于1次。</w:t>
      </w:r>
    </w:p>
    <w:p w14:paraId="3C898FE1">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.4质保期内，中标单位需对设备及硬件运行情况进行现场人工巡检工作，每半年一次，需制定巡检记录表。</w:t>
      </w:r>
    </w:p>
    <w:p w14:paraId="23FCE7F8">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.5</w:t>
      </w:r>
      <w:bookmarkStart w:id="29" w:name="OLE_LINK17"/>
      <w:bookmarkStart w:id="30" w:name="OLE_LINK16"/>
      <w:r>
        <w:rPr>
          <w:rFonts w:hint="eastAsia" w:ascii="宋体" w:hAnsi="宋体" w:cs="宋体"/>
          <w:color w:val="auto"/>
          <w:sz w:val="24"/>
          <w:szCs w:val="32"/>
          <w:highlight w:val="none"/>
        </w:rPr>
        <w:t>提供详细的备品备件管理措施</w:t>
      </w:r>
      <w:bookmarkEnd w:id="29"/>
      <w:bookmarkEnd w:id="30"/>
      <w:r>
        <w:rPr>
          <w:rFonts w:hint="eastAsia" w:ascii="宋体" w:hAnsi="宋体" w:cs="宋体"/>
          <w:color w:val="auto"/>
          <w:sz w:val="24"/>
          <w:szCs w:val="32"/>
          <w:highlight w:val="none"/>
        </w:rPr>
        <w:t>。</w:t>
      </w:r>
    </w:p>
    <w:p w14:paraId="719656E3">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.6免费质保期内，中标单位对于采购单位提出的服务要求，应在2小时内响应</w:t>
      </w:r>
      <w:r>
        <w:rPr>
          <w:rFonts w:hint="eastAsia" w:ascii="宋体" w:hAnsi="宋体" w:cs="宋体"/>
          <w:color w:val="auto"/>
          <w:sz w:val="24"/>
          <w:szCs w:val="32"/>
          <w:highlight w:val="none"/>
          <w:lang w:eastAsia="zh-CN"/>
        </w:rPr>
        <w:t>并在</w:t>
      </w:r>
      <w:r>
        <w:rPr>
          <w:rFonts w:hint="eastAsia" w:ascii="宋体" w:hAnsi="宋体" w:cs="宋体"/>
          <w:color w:val="auto"/>
          <w:sz w:val="24"/>
          <w:szCs w:val="32"/>
          <w:highlight w:val="none"/>
        </w:rPr>
        <w:t>4小时内到达现场进行服务，24小时内修复故障；特殊情况经采购单位书面同意后可延长故障修复时间1-3日。</w:t>
      </w:r>
    </w:p>
    <w:p w14:paraId="2B7D5275">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7中标单位未能按前述约定提供售后服务的，采购单位有权自行聘请第三方进行维修，因此产生的费用由中标单位承担，采购单位有权直接从未支付的费用中扣除。同时，中标单位应向采购单位支付本合同总金额20%的违约金，并赔偿采购单位因此产生的全部损失。</w:t>
      </w:r>
    </w:p>
    <w:p w14:paraId="78FCC2FC">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9</w:t>
      </w:r>
      <w:r>
        <w:rPr>
          <w:rFonts w:hint="eastAsia" w:ascii="宋体" w:hAnsi="宋体" w:cs="宋体"/>
          <w:color w:val="auto"/>
          <w:sz w:val="24"/>
          <w:szCs w:val="32"/>
          <w:highlight w:val="none"/>
        </w:rPr>
        <w:t>、保险要求：项目实施及质保期间，中标单位应当配备必要的安全生产管理人员，负责项目实施期间人员安全教育和安全管理，如实施过程中存在人身安全风险的，中标单位应当为实施人员购买必要的人身安全保险。</w:t>
      </w:r>
    </w:p>
    <w:p w14:paraId="7F6AEB76">
      <w:pPr>
        <w:spacing w:line="360" w:lineRule="auto"/>
        <w:rPr>
          <w:rFonts w:ascii="宋体" w:hAnsi="宋体" w:cs="宋体"/>
          <w:bCs/>
          <w:color w:val="auto"/>
          <w:sz w:val="24"/>
          <w:szCs w:val="32"/>
          <w:highlight w:val="none"/>
        </w:rPr>
      </w:pPr>
      <w:r>
        <w:rPr>
          <w:rFonts w:hint="eastAsia" w:ascii="宋体" w:hAnsi="宋体" w:cs="宋体"/>
          <w:bCs/>
          <w:color w:val="auto"/>
          <w:sz w:val="24"/>
          <w:szCs w:val="32"/>
          <w:highlight w:val="none"/>
        </w:rPr>
        <w:t>（四）安装、调试要求：</w:t>
      </w:r>
    </w:p>
    <w:p w14:paraId="69048D93">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1、设备安装须符合有关标准和规范。</w:t>
      </w:r>
    </w:p>
    <w:p w14:paraId="1F25AFC5">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2、安装完毕后，中标单位应提供有经验的技术人员进行设备的调试及试运行，并负责测试和调试所需的人员、工具、材料、仪器及一切费用，并填写测试报告交由采购方存档。</w:t>
      </w:r>
    </w:p>
    <w:p w14:paraId="2646D720">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3、中标单位应遵守现场的一切规章制度，应自行负责施工现场的安全管理，安全、文明安装和调试。</w:t>
      </w:r>
    </w:p>
    <w:p w14:paraId="03BB0A50">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4、中标单位负责保管、看护进场的设备及附配件。</w:t>
      </w:r>
    </w:p>
    <w:p w14:paraId="1E079544">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5、中标单位应对设备及附配件、按照设备（工具）等提供适当的保护、包装或覆盖等处理，以免受损。</w:t>
      </w:r>
    </w:p>
    <w:p w14:paraId="5E1FEDCE">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6、无论安装调试期间或保修过程中，中标单位负责及时清理垃圾。</w:t>
      </w:r>
    </w:p>
    <w:p w14:paraId="6714C20D">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7、中标单位承担安装调试期间安装场所的安全以及设备和安装调试人员的安全责任。</w:t>
      </w:r>
    </w:p>
    <w:p w14:paraId="205FE7E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8、在安装、调试期间或保修过程中，对现场原有成品造成的损坏，由中标单位负责修复。</w:t>
      </w:r>
    </w:p>
    <w:p w14:paraId="25533194">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（五）验收标准：</w:t>
      </w:r>
    </w:p>
    <w:p w14:paraId="17150249">
      <w:pPr>
        <w:spacing w:line="360" w:lineRule="auto"/>
        <w:rPr>
          <w:rFonts w:ascii="宋体" w:hAnsi="宋体" w:cs="宋体"/>
          <w:color w:val="auto"/>
          <w:sz w:val="24"/>
          <w:szCs w:val="32"/>
          <w:highlight w:val="none"/>
        </w:rPr>
      </w:pPr>
      <w:bookmarkStart w:id="31" w:name="OLE_LINK259"/>
      <w:bookmarkStart w:id="32" w:name="OLE_LINK258"/>
      <w:r>
        <w:rPr>
          <w:rFonts w:hint="eastAsia" w:ascii="宋体" w:hAnsi="宋体" w:cs="宋体"/>
          <w:color w:val="auto"/>
          <w:sz w:val="24"/>
          <w:szCs w:val="32"/>
          <w:highlight w:val="none"/>
        </w:rPr>
        <w:t>1、采购单位应自本项目所有货物交付并完成安装、调试之日起15日内进行验收。特殊情况需延长的，由采购双方另行协商确定。</w:t>
      </w:r>
    </w:p>
    <w:p w14:paraId="12BC3724">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全部货物到达指定地点后，采购单位与中标单位一起按合同货物清单进行验收，并有权对相关功能进行测试，验收及测试内容包括货物的型号、规格、数量、外观质量等是否符合规定，包装是否完好，安装调试是否合格，操作手册、检测报告、相关证书、质保证明、随机资料及配件、随机工具等是否齐全。具体如下：</w:t>
      </w:r>
    </w:p>
    <w:p w14:paraId="29F14F0C">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2.1包装是否完整，有无破损、污染、受潮等情况。包装损坏可能会影响器械的性能和安全性。</w:t>
      </w:r>
    </w:p>
    <w:p w14:paraId="7479171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2.1.1标签和说明书：标签和说明书应清晰完整，内容应符合法规要求，包含产品名称、规格型号、生产日期、有效期、生产厂家、使用方法、注意事项等信息。</w:t>
      </w:r>
    </w:p>
    <w:p w14:paraId="5E4D471E">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2.2数量及规格型号核对：</w:t>
      </w:r>
    </w:p>
    <w:p w14:paraId="293B61AC">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2.2.1数量准确性：按照采购合同或订单核对器械的数量是否准确无误，避免出现数量短缺或多送的情况。</w:t>
      </w:r>
    </w:p>
    <w:p w14:paraId="6377706D">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2.2.2规格型号一致性：确认所收到的器械规格型号与采购要求一致，包括尺寸、功能、参数等方面的要求。</w:t>
      </w:r>
    </w:p>
    <w:p w14:paraId="39C4119C">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w:t>
      </w:r>
      <w:bookmarkStart w:id="33" w:name="OLE_LINK60"/>
      <w:bookmarkStart w:id="34" w:name="OLE_LINK61"/>
      <w:r>
        <w:rPr>
          <w:rFonts w:hint="eastAsia" w:ascii="宋体" w:hAnsi="宋体" w:cs="宋体"/>
          <w:color w:val="auto"/>
          <w:sz w:val="24"/>
          <w:szCs w:val="32"/>
          <w:highlight w:val="none"/>
        </w:rPr>
        <w:t>3产品合格质量、产品注册文件及标识检查：</w:t>
      </w:r>
    </w:p>
    <w:p w14:paraId="4E2C69D4">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2.3.1中标产品具有法定资质的第三方检测机构的检测报告（检测产品包含心电图机和健康一体机中配有的全自动电子血压计；检测内容包括但不仅限于心电图机的标准灵敏度、附极化电压、连续漏电流、电介质强度等全性能、血压计的测量准确性等）。</w:t>
      </w:r>
    </w:p>
    <w:p w14:paraId="561B5553">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2.3.2中标产品具有不低于原厂品质的质保承诺函。</w:t>
      </w:r>
    </w:p>
    <w:p w14:paraId="5746C1DD">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2.3.3中标产品（健康一体机、心电图机、红外治疗仪、磁振热治疗仪和深层肌肉刺激仪）在相关药品监督管理部门有效期内的注册证明。</w:t>
      </w:r>
    </w:p>
    <w:p w14:paraId="233C869C">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2.3.4标识准确性：检查器械上的标识，如生产日期、有效期、批号以及UDI码等是否清晰准确和一致，以便于追溯和管理。</w:t>
      </w:r>
      <w:bookmarkEnd w:id="33"/>
      <w:bookmarkEnd w:id="34"/>
    </w:p>
    <w:p w14:paraId="4A2D5A97">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3、符合相关国家、行业规范标准、货物本身的规格、技术条件及中标单位承诺的其他指标，结合采购文件、投标文件、合同等项目文件约定内容对项目进行验收。</w:t>
      </w:r>
    </w:p>
    <w:p w14:paraId="1BF093DA">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4、因采购的产品属于专业技术设备，采购单位根据相关国家、行业规范标准、货物本身的规格、技术条件及中标单位承诺的其他指标，结合采购文件、投标文件、合同等项目文件约定内容聘请至少3名第三方专家组成现场验收小组并对项目进行现场验收，经验收小组现场验收合格确认无误后，出具验收合格意见，该证明视为验收通过且作为最终付款所需文件的组成部分，采购双方和专家组成员需共同签字确认。若第一次验收因不合格而退回重新生产或返工的第二批次货物，交货时间为采购单位收到第一次货物交货之日起的30日内，逾期按交货延误予以处罚，所产生的费用由中标单位承担。第二批次货物交货后，实际使用部门有权按上述要求和标准重新验收，所产生的费用由中标单位承担。若再次验收不合格，实际使用方将上报采购单位，采购单位有权终止与中标单位本次合作，中标单位应退还已支付的全部款项并向采购单位支付合同总价款的20%作为违约赔偿金。</w:t>
      </w:r>
      <w:r>
        <w:rPr>
          <w:rFonts w:hint="eastAsia" w:asciiTheme="minorEastAsia" w:hAnsiTheme="minorEastAsia" w:eastAsiaTheme="minorEastAsia" w:cstheme="minorEastAsia"/>
          <w:color w:val="auto"/>
          <w:sz w:val="24"/>
          <w:szCs w:val="24"/>
          <w:highlight w:val="none"/>
        </w:rPr>
        <w:t>《政府采购合同履行验收书》</w:t>
      </w:r>
      <w:r>
        <w:rPr>
          <w:rFonts w:hint="eastAsia" w:ascii="宋体" w:hAnsi="宋体" w:cs="宋体"/>
          <w:color w:val="auto"/>
          <w:sz w:val="24"/>
          <w:szCs w:val="32"/>
          <w:highlight w:val="none"/>
        </w:rPr>
        <w:t>上的签收日期为最终验收合格日期。</w:t>
      </w:r>
    </w:p>
    <w:p w14:paraId="29E2FAFF">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5、由于采购单位自身能力、检验（检测）方法和检验（检测）手段的限制，对于货物部分质量瑕疵尤其是潜在的或隐蔽的质量瑕疵，在短时间内可能无法发现。因此，验收单的签署仅作为货物质保期起算的依据，不代表采购方对质量异议权利的放弃，也不代表采购方对货物质量保证责任的免除。如验收通过后，货物出现质量问题影响采购方使用的，采购方仍有权要求中标单位采取维修、退货换货、支付违约金、赔偿损失等方式处理。</w:t>
      </w:r>
      <w:bookmarkEnd w:id="31"/>
      <w:bookmarkEnd w:id="32"/>
    </w:p>
    <w:p w14:paraId="0995B7DB">
      <w:pPr>
        <w:spacing w:line="360" w:lineRule="auto"/>
        <w:rPr>
          <w:rFonts w:ascii="宋体" w:hAnsi="宋体" w:cs="宋体"/>
          <w:color w:val="auto"/>
          <w:sz w:val="24"/>
          <w:szCs w:val="32"/>
          <w:highlight w:val="none"/>
        </w:rPr>
      </w:pPr>
      <w:bookmarkStart w:id="35" w:name="OLE_LINK201"/>
      <w:bookmarkStart w:id="36" w:name="OLE_LINK200"/>
      <w:r>
        <w:rPr>
          <w:rFonts w:hint="eastAsia" w:ascii="宋体" w:hAnsi="宋体" w:cs="宋体"/>
          <w:color w:val="auto"/>
          <w:sz w:val="24"/>
          <w:szCs w:val="32"/>
          <w:highlight w:val="none"/>
        </w:rPr>
        <w:t>6、采购使用单位将根据《江苏省财政厅关于印发&lt;江苏省政府采购履约验收管理办法&gt;的通知》</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苏财规</w:t>
      </w:r>
      <w:r>
        <w:rPr>
          <w:rFonts w:hint="eastAsia" w:ascii="宋体" w:hAnsi="宋体" w:cs="宋体"/>
          <w:color w:val="auto"/>
          <w:sz w:val="24"/>
          <w:szCs w:val="32"/>
          <w:highlight w:val="none"/>
          <w:lang w:eastAsia="zh-CN"/>
        </w:rPr>
        <w:t>〔2024〕7号）</w:t>
      </w:r>
      <w:r>
        <w:rPr>
          <w:rFonts w:hint="eastAsia" w:ascii="宋体" w:hAnsi="宋体" w:cs="宋体"/>
          <w:color w:val="auto"/>
          <w:sz w:val="24"/>
          <w:szCs w:val="32"/>
          <w:highlight w:val="none"/>
        </w:rPr>
        <w:t>相关要求，组织项目履约验收基本工作。</w:t>
      </w:r>
    </w:p>
    <w:p w14:paraId="3C272AFE">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7、采购文件、投标文件、政府采购合同等是履约验收工作的重要依据。在政府采购合同约定的履行验收条件达到时，中标单位可以主动联系采购使用单位启动履约验收工作。</w:t>
      </w:r>
    </w:p>
    <w:p w14:paraId="1B05D388">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8、采购使用单位将按照验收标准要求组织验收，验收内容和标准至少包括服务质量、用户满意度、服务过程文档资料、数据准确性等内容。</w:t>
      </w:r>
      <w:bookmarkEnd w:id="35"/>
      <w:bookmarkEnd w:id="36"/>
    </w:p>
    <w:p w14:paraId="3A6DFEDA">
      <w:pPr>
        <w:spacing w:line="360" w:lineRule="auto"/>
        <w:rPr>
          <w:rFonts w:ascii="宋体" w:hAnsi="宋体"/>
          <w:color w:val="auto"/>
          <w:sz w:val="24"/>
          <w:szCs w:val="24"/>
          <w:highlight w:val="none"/>
        </w:rPr>
      </w:pPr>
      <w:r>
        <w:rPr>
          <w:rFonts w:hint="eastAsia" w:ascii="宋体" w:hAnsi="宋体"/>
          <w:color w:val="auto"/>
          <w:sz w:val="24"/>
          <w:szCs w:val="24"/>
          <w:highlight w:val="none"/>
        </w:rPr>
        <w:t>五、综合说明及其它要求：</w:t>
      </w:r>
    </w:p>
    <w:p w14:paraId="11684E37">
      <w:pPr>
        <w:spacing w:line="360" w:lineRule="auto"/>
        <w:rPr>
          <w:rFonts w:ascii="宋体" w:hAnsi="宋体"/>
          <w:color w:val="auto"/>
          <w:sz w:val="24"/>
          <w:szCs w:val="24"/>
          <w:highlight w:val="none"/>
        </w:rPr>
      </w:pPr>
      <w:r>
        <w:rPr>
          <w:rFonts w:hint="eastAsia" w:ascii="宋体" w:hAnsi="宋体"/>
          <w:color w:val="auto"/>
          <w:sz w:val="24"/>
          <w:szCs w:val="24"/>
          <w:highlight w:val="none"/>
        </w:rPr>
        <w:t>1、投标单位按照招标文件的要求提交投标文件，并对所提供的全部资料的真实性承担法律责任。</w:t>
      </w:r>
    </w:p>
    <w:p w14:paraId="4D247A5C">
      <w:pPr>
        <w:spacing w:line="360" w:lineRule="auto"/>
        <w:rPr>
          <w:rFonts w:ascii="宋体" w:hAnsi="宋体"/>
          <w:color w:val="auto"/>
          <w:sz w:val="24"/>
          <w:szCs w:val="24"/>
          <w:highlight w:val="none"/>
        </w:rPr>
      </w:pPr>
      <w:r>
        <w:rPr>
          <w:rFonts w:hint="eastAsia" w:ascii="宋体" w:hAnsi="宋体"/>
          <w:color w:val="auto"/>
          <w:sz w:val="24"/>
          <w:szCs w:val="24"/>
          <w:highlight w:val="none"/>
        </w:rPr>
        <w:t>2、投标单位需明确所投设备生产厂家、品牌、型号、规格和外形、尺寸等；提供设备的配置清单，并提供详细的技术参数和性能说明。</w:t>
      </w:r>
    </w:p>
    <w:p w14:paraId="705AA198">
      <w:pPr>
        <w:spacing w:line="360" w:lineRule="auto"/>
        <w:rPr>
          <w:rFonts w:ascii="宋体" w:hAnsi="宋体"/>
          <w:color w:val="auto"/>
          <w:sz w:val="24"/>
          <w:szCs w:val="24"/>
          <w:highlight w:val="none"/>
        </w:rPr>
      </w:pPr>
      <w:r>
        <w:rPr>
          <w:rFonts w:hint="eastAsia" w:ascii="宋体" w:hAnsi="宋体"/>
          <w:color w:val="auto"/>
          <w:sz w:val="24"/>
          <w:szCs w:val="24"/>
          <w:highlight w:val="none"/>
        </w:rPr>
        <w:t>3、投标单位所提供的设备应符合根据国家标准和规范，并遵循招标文件的要求，根据所投产品的技术参数、资质资料编写投标文件；如果其中某些条款不响应时，应在文件中逐条列出。</w:t>
      </w:r>
    </w:p>
    <w:p w14:paraId="627DBA5C">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4、本项目中投标总价</w:t>
      </w:r>
      <w:r>
        <w:rPr>
          <w:rFonts w:hint="eastAsia" w:ascii="宋体" w:hAnsi="宋体"/>
          <w:color w:val="auto"/>
          <w:sz w:val="24"/>
          <w:highlight w:val="none"/>
        </w:rPr>
        <w:t>包括响应产品、安装辅材及其备品备件和专用工具费用、包装、运至最终目的地的运输、保险、现场安装调试、检测验收、技术支持与培训、质保和售后服务及相关劳务支出等履行本合同所发生的全部费用以及中标单位的企业利润、税金和政策性文件规定及合同包含的所有风险、责任等各项应有费用。</w:t>
      </w:r>
    </w:p>
    <w:p w14:paraId="76A28EE4">
      <w:pPr>
        <w:spacing w:line="360" w:lineRule="auto"/>
        <w:rPr>
          <w:rFonts w:ascii="宋体" w:hAnsi="宋体"/>
          <w:color w:val="auto"/>
          <w:sz w:val="24"/>
          <w:szCs w:val="24"/>
          <w:highlight w:val="none"/>
        </w:rPr>
      </w:pPr>
      <w:r>
        <w:rPr>
          <w:rFonts w:hint="eastAsia" w:ascii="宋体" w:hAnsi="宋体"/>
          <w:color w:val="auto"/>
          <w:sz w:val="24"/>
          <w:szCs w:val="24"/>
          <w:highlight w:val="none"/>
        </w:rPr>
        <w:t>5、交货时间：合同签订后20日内，完成本项目全部采购内容的交付；30日内完成设备安装及调试工作。</w:t>
      </w:r>
    </w:p>
    <w:p w14:paraId="0065CA17">
      <w:pPr>
        <w:tabs>
          <w:tab w:val="left" w:pos="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6、交货地点：采购单位指定地点。</w:t>
      </w:r>
    </w:p>
    <w:p w14:paraId="574EC12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六、政府采购政策：</w:t>
      </w:r>
    </w:p>
    <w:p w14:paraId="0718BE0D">
      <w:pPr>
        <w:spacing w:line="360" w:lineRule="auto"/>
        <w:jc w:val="left"/>
        <w:rPr>
          <w:rFonts w:ascii="宋体" w:hAnsi="宋体"/>
          <w:bCs/>
          <w:color w:val="auto"/>
          <w:sz w:val="24"/>
          <w:highlight w:val="none"/>
        </w:rPr>
      </w:pPr>
      <w:r>
        <w:rPr>
          <w:rFonts w:ascii="宋体" w:hAnsi="宋体" w:cs="黑体"/>
          <w:bCs/>
          <w:color w:val="auto"/>
          <w:sz w:val="24"/>
          <w:highlight w:val="none"/>
          <w:shd w:val="clear" w:color="auto" w:fill="FFFFFF"/>
        </w:rPr>
        <w:t>1</w:t>
      </w:r>
      <w:r>
        <w:rPr>
          <w:rFonts w:hint="eastAsia" w:ascii="宋体" w:hAnsi="宋体" w:cs="黑体"/>
          <w:bCs/>
          <w:color w:val="auto"/>
          <w:sz w:val="24"/>
          <w:highlight w:val="none"/>
          <w:shd w:val="clear" w:color="auto" w:fill="FFFFFF"/>
        </w:rPr>
        <w:t>、</w:t>
      </w:r>
      <w:r>
        <w:rPr>
          <w:rFonts w:hint="eastAsia" w:ascii="宋体" w:hAnsi="宋体"/>
          <w:bCs/>
          <w:color w:val="auto"/>
          <w:sz w:val="24"/>
          <w:highlight w:val="none"/>
        </w:rPr>
        <w:t>中、小企业：根据《关于印发〈苏州市政府采购促进中小企业发展实施意见〉的通知》（苏财购〔2022〕16号）的相关规定，对属于小型、微型企业的供应商且提供自有产品和服务的，对其报价给予20%的扣除。如供应商认定本企业为小型、微型企业，则需提交《中小企业声明函》并加盖公章，未提交则不享受相关小微企业价格扣除政策。</w:t>
      </w:r>
    </w:p>
    <w:p w14:paraId="60D656AC">
      <w:pPr>
        <w:spacing w:line="360" w:lineRule="auto"/>
        <w:rPr>
          <w:rFonts w:ascii="宋体" w:hAnsi="宋体"/>
          <w:color w:val="auto"/>
          <w:sz w:val="24"/>
          <w:highlight w:val="none"/>
        </w:rPr>
      </w:pPr>
      <w:r>
        <w:rPr>
          <w:rFonts w:hint="eastAsia" w:ascii="宋体" w:hAnsi="宋体"/>
          <w:color w:val="auto"/>
          <w:sz w:val="24"/>
          <w:highlight w:val="none"/>
        </w:rPr>
        <w:t>1.1本项目</w:t>
      </w:r>
      <w:r>
        <w:rPr>
          <w:rFonts w:hint="eastAsia" w:ascii="宋体" w:hAnsi="宋体"/>
          <w:b/>
          <w:bCs/>
          <w:color w:val="auto"/>
          <w:sz w:val="24"/>
          <w:highlight w:val="none"/>
          <w:u w:val="single"/>
        </w:rPr>
        <w:t>不属于预留份额</w:t>
      </w:r>
      <w:r>
        <w:rPr>
          <w:rFonts w:hint="eastAsia" w:ascii="宋体" w:hAnsi="宋体"/>
          <w:color w:val="auto"/>
          <w:sz w:val="24"/>
          <w:highlight w:val="none"/>
        </w:rPr>
        <w:t>专门面向中小企业采购。</w:t>
      </w:r>
    </w:p>
    <w:p w14:paraId="6C4C5D11">
      <w:pPr>
        <w:spacing w:line="360" w:lineRule="auto"/>
        <w:rPr>
          <w:rFonts w:ascii="宋体" w:hAnsi="宋体"/>
          <w:color w:val="auto"/>
          <w:sz w:val="24"/>
          <w:highlight w:val="none"/>
        </w:rPr>
      </w:pPr>
      <w:r>
        <w:rPr>
          <w:rFonts w:hint="eastAsia" w:ascii="宋体" w:hAnsi="宋体"/>
          <w:color w:val="auto"/>
          <w:sz w:val="24"/>
          <w:highlight w:val="none"/>
        </w:rPr>
        <w:t>1.2根据《关于印发〈苏州市政府采购促进中小企业发展实施意见〉的通知》（苏财购〔2022〕16号）及《中小企业划型标准规定》（工信部联企业〔2011〕300号），本采购项目对应的中小企业划分标准所属行业为：</w:t>
      </w:r>
      <w:r>
        <w:rPr>
          <w:rFonts w:hint="eastAsia" w:ascii="宋体" w:hAnsi="宋体" w:cs="宋体"/>
          <w:b/>
          <w:bCs/>
          <w:color w:val="auto"/>
          <w:sz w:val="24"/>
          <w:szCs w:val="24"/>
          <w:highlight w:val="none"/>
          <w:u w:val="single"/>
        </w:rPr>
        <w:t>工业</w:t>
      </w:r>
      <w:r>
        <w:rPr>
          <w:rFonts w:hint="eastAsia" w:ascii="宋体" w:hAnsi="宋体"/>
          <w:color w:val="auto"/>
          <w:sz w:val="24"/>
          <w:highlight w:val="none"/>
        </w:rPr>
        <w:t>。</w:t>
      </w:r>
    </w:p>
    <w:p w14:paraId="082DBF88">
      <w:pPr>
        <w:spacing w:line="360" w:lineRule="auto"/>
        <w:jc w:val="left"/>
        <w:rPr>
          <w:rFonts w:ascii="宋体" w:hAnsi="宋体"/>
          <w:bCs/>
          <w:color w:val="auto"/>
          <w:sz w:val="24"/>
          <w:highlight w:val="none"/>
        </w:rPr>
      </w:pPr>
      <w:r>
        <w:rPr>
          <w:rFonts w:hint="eastAsia" w:ascii="宋体" w:hAnsi="宋体"/>
          <w:bCs/>
          <w:color w:val="auto"/>
          <w:sz w:val="24"/>
          <w:highlight w:val="none"/>
        </w:rPr>
        <w:t>1.3若供应商提供的《中小企业声明函》为虚假声明则视同提供虚假材料，按政府采购相关规定处理并报请政府监管部门给予行政处罚。</w:t>
      </w:r>
    </w:p>
    <w:p w14:paraId="792FB6D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残疾人福利性单位：根据《关于促进残疾人就业政府采购政策的通知》（财库〔2017〕141号）的相关规定，在政府采购活动中残疾人福利性单位视同小型、微型企业，享受预留份额、评审中价格扣除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5414B4B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监狱企业：根据《关于政府采购支持监狱企业发展有关问题的通知》（财库〔2014〕68号）的相关规定在政府采购活动中，监狱企业视同小型、微型企业，享受预留份额、评审中价格扣除等促进中小企业发展的政府采购政策，监狱企业属于小型、微型企业的，不重复享受政策。监狱企业应当提供由省级以上监狱管理局、戒毒管理局（含新疆生产建设兵团）出具的属于监狱企业的证明文件。</w:t>
      </w:r>
    </w:p>
    <w:p w14:paraId="52A2061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4、绿色采购</w:t>
      </w:r>
    </w:p>
    <w:p w14:paraId="389E473D">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4.1根据《关于调整优化节能产品、环境标志产品政府采购执行机制的通知》（财库〔2019〕9号）等相关文件的规定，对属于《节能产品政府采购品目清单》中强制采购范围内产品的，供应商须提供由国家确定的认证机构出具的、处于有效期之内的节能产品认证证书，上述品目清单可通过“中国政府采购网”（http</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//www.ccgp.gov.cn）查询，并在投标文件中提供由国家确定的认证机构出具的、处于有效期之内的节能产品认证证书复印件，否则视为未实质性响应。</w:t>
      </w:r>
    </w:p>
    <w:p w14:paraId="0530DBE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009CF0B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048F0A2C">
      <w:pPr>
        <w:spacing w:line="360" w:lineRule="auto"/>
        <w:jc w:val="left"/>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七、关于对参与供应商信用记录的政府采购要求</w:t>
      </w:r>
    </w:p>
    <w:p w14:paraId="574C74E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1、采购代理机构会在接收投标文件截止时间后，登录信用中国网站（www.creditchina.gov.cn/）和中国政府采购网（www.ccgp.gov.cn/）查询供应商的信用记录，并将查询结果递交评标委员会。</w:t>
      </w:r>
    </w:p>
    <w:p w14:paraId="2ED7D45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0479C4AE">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EC0A7D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3、供应商若在经营活动中受到罚款的，请携带相关地方、部门对较大数额认定标准的证明材料，与投标文件一并提交。若无法提供，则可能承担投标无效等相应不利后果。</w:t>
      </w:r>
    </w:p>
    <w:p w14:paraId="648EC86F">
      <w:pPr>
        <w:spacing w:line="360" w:lineRule="auto"/>
        <w:jc w:val="left"/>
        <w:rPr>
          <w:rFonts w:ascii="宋体" w:hAnsi="宋体" w:cs="宋体"/>
          <w:bCs/>
          <w:color w:val="auto"/>
          <w:sz w:val="44"/>
          <w:szCs w:val="20"/>
          <w:highlight w:val="none"/>
        </w:rPr>
      </w:pPr>
      <w:r>
        <w:rPr>
          <w:rFonts w:hint="eastAsia" w:ascii="宋体" w:hAnsi="宋体" w:cs="宋体"/>
          <w:color w:val="auto"/>
          <w:sz w:val="24"/>
          <w:szCs w:val="24"/>
          <w:highlight w:val="none"/>
        </w:rPr>
        <w:t>4、对存在失信信息的供应商，由失信供应商进行确认。同时，采购代理机构工作人员应根据评标委员会确认的失信信息，登录到相关来源网站页面进行复核并打印，作为证据留存</w:t>
      </w:r>
      <w:r>
        <w:rPr>
          <w:rFonts w:hint="eastAsia" w:ascii="宋体" w:hAnsi="宋体"/>
          <w:color w:val="auto"/>
          <w:sz w:val="24"/>
          <w:highlight w:val="none"/>
        </w:rPr>
        <w:t>。</w:t>
      </w:r>
      <w:r>
        <w:rPr>
          <w:rFonts w:hint="eastAsia" w:ascii="宋体" w:hAnsi="宋体" w:cs="宋体"/>
          <w:bCs/>
          <w:color w:val="auto"/>
          <w:sz w:val="44"/>
          <w:szCs w:val="20"/>
          <w:highlight w:val="none"/>
        </w:rPr>
        <w:br w:type="page" w:clear="all"/>
      </w:r>
      <w:r>
        <w:rPr>
          <w:rFonts w:hint="eastAsia" w:ascii="宋体" w:hAnsi="宋体" w:cs="宋体"/>
          <w:bCs/>
          <w:color w:val="auto"/>
          <w:sz w:val="44"/>
          <w:szCs w:val="20"/>
          <w:highlight w:val="none"/>
        </w:rPr>
        <w:t xml:space="preserve">         第五章 合同主要条款</w:t>
      </w:r>
    </w:p>
    <w:p w14:paraId="6A595A1E">
      <w:pPr>
        <w:spacing w:line="360" w:lineRule="auto"/>
        <w:jc w:val="center"/>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政府采购合同</w:t>
      </w:r>
    </w:p>
    <w:p w14:paraId="145116F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14:paraId="5B699E45">
      <w:pPr>
        <w:spacing w:line="360" w:lineRule="auto"/>
        <w:rPr>
          <w:rFonts w:asciiTheme="minorEastAsia" w:hAnsiTheme="minorEastAsia" w:eastAsiaTheme="minorEastAsia" w:cstheme="minorEastAsia"/>
          <w:color w:val="auto"/>
          <w:sz w:val="24"/>
          <w:szCs w:val="24"/>
          <w:highlight w:val="none"/>
        </w:rPr>
      </w:pPr>
    </w:p>
    <w:p w14:paraId="65F465BF">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甲方：苏州市公安局</w:t>
      </w:r>
    </w:p>
    <w:p w14:paraId="3B52A00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地址：苏州市相城区人民路3998号</w:t>
      </w:r>
    </w:p>
    <w:p w14:paraId="00819C7F">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10627756">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192AE01">
      <w:pPr>
        <w:spacing w:line="360" w:lineRule="auto"/>
        <w:rPr>
          <w:rFonts w:asciiTheme="minorEastAsia" w:hAnsiTheme="minorEastAsia" w:eastAsiaTheme="minorEastAsia" w:cstheme="minorEastAsia"/>
          <w:color w:val="auto"/>
          <w:sz w:val="24"/>
          <w:szCs w:val="24"/>
          <w:highlight w:val="none"/>
        </w:rPr>
      </w:pPr>
    </w:p>
    <w:p w14:paraId="7F785A52">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p>
    <w:p w14:paraId="42A3B70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307AEE81">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159716B2">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958C7AD">
      <w:pPr>
        <w:spacing w:line="360" w:lineRule="auto"/>
        <w:ind w:firstLine="480"/>
        <w:jc w:val="left"/>
        <w:rPr>
          <w:rFonts w:ascii="宋体" w:hAnsi="宋体"/>
          <w:color w:val="auto"/>
          <w:sz w:val="24"/>
          <w:highlight w:val="none"/>
        </w:rPr>
      </w:pPr>
    </w:p>
    <w:p w14:paraId="43769495">
      <w:pPr>
        <w:spacing w:line="360" w:lineRule="auto"/>
        <w:ind w:firstLine="480"/>
        <w:jc w:val="left"/>
        <w:rPr>
          <w:rFonts w:ascii="宋体" w:hAnsi="宋体"/>
          <w:color w:val="auto"/>
          <w:sz w:val="24"/>
          <w:highlight w:val="none"/>
        </w:rPr>
      </w:pPr>
      <w:r>
        <w:rPr>
          <w:rFonts w:hint="eastAsia" w:ascii="宋体" w:hAnsi="宋体" w:cs="宋体"/>
          <w:color w:val="auto"/>
          <w:sz w:val="24"/>
          <w:szCs w:val="24"/>
          <w:highlight w:val="none"/>
        </w:rPr>
        <w:t>根据《中华人民共和国民法典》等相关法律法规的规定，甲乙双方就此次成交的</w:t>
      </w:r>
      <w:r>
        <w:rPr>
          <w:rFonts w:hint="eastAsia" w:ascii="宋体" w:hAnsi="宋体" w:cs="宋体"/>
          <w:b/>
          <w:bCs/>
          <w:color w:val="auto"/>
          <w:sz w:val="24"/>
          <w:szCs w:val="24"/>
          <w:highlight w:val="none"/>
        </w:rPr>
        <w:t>【2024年中央政法转移支付资金子项目（健康一体机等一批医疗设备）】</w:t>
      </w:r>
      <w:r>
        <w:rPr>
          <w:rFonts w:hint="eastAsia" w:ascii="宋体" w:hAnsi="宋体" w:cs="宋体"/>
          <w:color w:val="auto"/>
          <w:sz w:val="24"/>
          <w:szCs w:val="24"/>
          <w:highlight w:val="none"/>
        </w:rPr>
        <w:t>项目（以下简称“本项目”）购销事宜，签订本合同书，以兹共同遵守。</w:t>
      </w:r>
    </w:p>
    <w:p w14:paraId="263563E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一、下列文件为本合同不可分割部分，并构成一个整体，需综合解释、相互补充。如果下列文件内容出现不一致的情形，在保证按照采购文件确定的事项的前提下，组成本合同的多个文件的优先适用顺序如下：</w:t>
      </w:r>
    </w:p>
    <w:p w14:paraId="07E4858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（1）本合同书及本合同书签署后双方以书面形式确认的补充协议等；</w:t>
      </w:r>
    </w:p>
    <w:p w14:paraId="214CE60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（2）中标通知书；</w:t>
      </w:r>
      <w:r>
        <w:rPr>
          <w:rFonts w:hint="eastAsia" w:asciiTheme="minorEastAsia" w:hAnsiTheme="minorEastAsia" w:eastAsiaTheme="minorEastAsia" w:cstheme="minorEastAsia"/>
          <w:color w:val="auto"/>
          <w:sz w:val="24"/>
          <w:szCs w:val="24"/>
          <w:highlight w:val="none"/>
        </w:rPr>
        <w:tab/>
      </w:r>
    </w:p>
    <w:p w14:paraId="5DD4150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（3）采购文件；</w:t>
      </w:r>
    </w:p>
    <w:p w14:paraId="50357FD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（4）投标文件；</w:t>
      </w:r>
    </w:p>
    <w:p w14:paraId="284D8AD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（5）乙方在开评标过程中所作的</w:t>
      </w:r>
      <w:r>
        <w:rPr>
          <w:rFonts w:hint="eastAsia" w:asciiTheme="minorEastAsia" w:hAnsiTheme="minorEastAsia" w:eastAsiaTheme="minorEastAsia" w:cstheme="minorEastAsia"/>
          <w:color w:val="auto"/>
          <w:sz w:val="24"/>
          <w:szCs w:val="24"/>
          <w:highlight w:val="none"/>
          <w:lang w:eastAsia="zh-CN"/>
        </w:rPr>
        <w:t>其他</w:t>
      </w:r>
      <w:r>
        <w:rPr>
          <w:rFonts w:hint="eastAsia" w:asciiTheme="minorEastAsia" w:hAnsiTheme="minorEastAsia" w:eastAsiaTheme="minorEastAsia" w:cstheme="minorEastAsia"/>
          <w:color w:val="auto"/>
          <w:sz w:val="24"/>
          <w:szCs w:val="24"/>
          <w:highlight w:val="none"/>
        </w:rPr>
        <w:t>承诺、声明、书面澄清等。</w:t>
      </w:r>
    </w:p>
    <w:p w14:paraId="115FF44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以上文件视为是能互相说明的，如上述文件之间存在冲突或不一致的，以排列序位在前的文件为准，同一序位的文件以形成时间在后的为准。</w:t>
      </w:r>
    </w:p>
    <w:p w14:paraId="0660A0A0">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二、合同内容</w:t>
      </w:r>
    </w:p>
    <w:p w14:paraId="6D9C8613">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（一）项目内容：乙方负责完成甲方的</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b/>
          <w:color w:val="auto"/>
          <w:sz w:val="24"/>
          <w:szCs w:val="24"/>
          <w:highlight w:val="none"/>
          <w:u w:val="single"/>
        </w:rPr>
        <w:t>2024年中央政法转移支付资金子项目（健康一体机等一批医疗设备）</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，具体内容见下表：</w:t>
      </w:r>
    </w:p>
    <w:tbl>
      <w:tblPr>
        <w:tblStyle w:val="39"/>
        <w:tblW w:w="4952" w:type="pct"/>
        <w:jc w:val="center"/>
        <w:tblLayout w:type="fixed"/>
        <w:tblCellMar>
          <w:top w:w="10" w:type="dxa"/>
          <w:left w:w="10" w:type="dxa"/>
          <w:bottom w:w="0" w:type="dxa"/>
          <w:right w:w="10" w:type="dxa"/>
        </w:tblCellMar>
      </w:tblPr>
      <w:tblGrid>
        <w:gridCol w:w="536"/>
        <w:gridCol w:w="1784"/>
        <w:gridCol w:w="1230"/>
        <w:gridCol w:w="810"/>
        <w:gridCol w:w="750"/>
        <w:gridCol w:w="1065"/>
        <w:gridCol w:w="1035"/>
        <w:gridCol w:w="1030"/>
      </w:tblGrid>
      <w:tr w14:paraId="67CE4F10">
        <w:tblPrEx>
          <w:tblCellMar>
            <w:top w:w="10" w:type="dxa"/>
            <w:left w:w="10" w:type="dxa"/>
            <w:bottom w:w="0" w:type="dxa"/>
            <w:right w:w="10" w:type="dxa"/>
          </w:tblCellMar>
        </w:tblPrEx>
        <w:trPr>
          <w:trHeight w:val="600" w:hRule="atLeast"/>
          <w:jc w:val="center"/>
        </w:trPr>
        <w:tc>
          <w:tcPr>
            <w:tcW w:w="53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D669262">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8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4450577">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设备名称</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93A1885">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81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C5EF932">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E4A932">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106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2E37893">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03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712CB3F">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10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A5E45A">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0C8E6471">
        <w:tblPrEx>
          <w:tblCellMar>
            <w:top w:w="10" w:type="dxa"/>
            <w:left w:w="10" w:type="dxa"/>
            <w:bottom w:w="0" w:type="dxa"/>
            <w:right w:w="10" w:type="dxa"/>
          </w:tblCellMar>
        </w:tblPrEx>
        <w:trPr>
          <w:trHeight w:val="600" w:hRule="atLeast"/>
          <w:jc w:val="center"/>
        </w:trPr>
        <w:tc>
          <w:tcPr>
            <w:tcW w:w="53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BCE6048">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8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D5D68B8">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健康一体机</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tcPr>
          <w:p w14:paraId="73E99AF5">
            <w:pPr>
              <w:spacing w:line="360" w:lineRule="auto"/>
              <w:jc w:val="center"/>
              <w:rPr>
                <w:rFonts w:asciiTheme="minorEastAsia" w:hAnsiTheme="minorEastAsia" w:eastAsiaTheme="minorEastAsia" w:cstheme="minorEastAsia"/>
                <w:color w:val="auto"/>
                <w:sz w:val="24"/>
                <w:szCs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A470A53">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384834">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06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0D3B611">
            <w:pPr>
              <w:spacing w:line="360" w:lineRule="auto"/>
              <w:jc w:val="center"/>
              <w:rPr>
                <w:rFonts w:asciiTheme="minorEastAsia" w:hAnsiTheme="minorEastAsia" w:eastAsiaTheme="minorEastAsia" w:cstheme="minorEastAsia"/>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FBA3953">
            <w:pPr>
              <w:spacing w:line="360" w:lineRule="auto"/>
              <w:jc w:val="center"/>
              <w:rPr>
                <w:rFonts w:asciiTheme="minorEastAsia" w:hAnsiTheme="minorEastAsia" w:eastAsiaTheme="minorEastAsia" w:cstheme="minorEastAsia"/>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E5FFE65">
            <w:pPr>
              <w:spacing w:line="360" w:lineRule="auto"/>
              <w:jc w:val="center"/>
              <w:rPr>
                <w:rFonts w:asciiTheme="minorEastAsia" w:hAnsiTheme="minorEastAsia" w:eastAsiaTheme="minorEastAsia" w:cstheme="minorEastAsia"/>
                <w:color w:val="auto"/>
                <w:sz w:val="24"/>
                <w:szCs w:val="24"/>
                <w:highlight w:val="none"/>
              </w:rPr>
            </w:pPr>
          </w:p>
        </w:tc>
      </w:tr>
      <w:tr w14:paraId="2F33FC98">
        <w:tblPrEx>
          <w:tblCellMar>
            <w:top w:w="10" w:type="dxa"/>
            <w:left w:w="10" w:type="dxa"/>
            <w:bottom w:w="0" w:type="dxa"/>
            <w:right w:w="10" w:type="dxa"/>
          </w:tblCellMar>
        </w:tblPrEx>
        <w:trPr>
          <w:trHeight w:val="600" w:hRule="atLeast"/>
          <w:jc w:val="center"/>
        </w:trPr>
        <w:tc>
          <w:tcPr>
            <w:tcW w:w="53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88077BC">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8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86D42C8">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心电图机</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tcPr>
          <w:p w14:paraId="7412C08E">
            <w:pPr>
              <w:spacing w:line="360" w:lineRule="auto"/>
              <w:jc w:val="center"/>
              <w:rPr>
                <w:rFonts w:asciiTheme="minorEastAsia" w:hAnsiTheme="minorEastAsia" w:eastAsiaTheme="minorEastAsia" w:cstheme="minorEastAsia"/>
                <w:color w:val="auto"/>
                <w:sz w:val="24"/>
                <w:szCs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722797E">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DA4090A">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06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F12532">
            <w:pPr>
              <w:spacing w:line="360" w:lineRule="auto"/>
              <w:jc w:val="center"/>
              <w:rPr>
                <w:rFonts w:asciiTheme="minorEastAsia" w:hAnsiTheme="minorEastAsia" w:eastAsiaTheme="minorEastAsia" w:cstheme="minorEastAsia"/>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CE5E799">
            <w:pPr>
              <w:spacing w:line="360" w:lineRule="auto"/>
              <w:jc w:val="center"/>
              <w:rPr>
                <w:rFonts w:asciiTheme="minorEastAsia" w:hAnsiTheme="minorEastAsia" w:eastAsiaTheme="minorEastAsia" w:cstheme="minorEastAsia"/>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4A29831">
            <w:pPr>
              <w:spacing w:line="360" w:lineRule="auto"/>
              <w:jc w:val="center"/>
              <w:rPr>
                <w:rFonts w:asciiTheme="minorEastAsia" w:hAnsiTheme="minorEastAsia" w:eastAsiaTheme="minorEastAsia" w:cstheme="minorEastAsia"/>
                <w:color w:val="auto"/>
                <w:sz w:val="24"/>
                <w:szCs w:val="24"/>
                <w:highlight w:val="none"/>
              </w:rPr>
            </w:pPr>
          </w:p>
        </w:tc>
      </w:tr>
      <w:tr w14:paraId="5CA209B7">
        <w:tblPrEx>
          <w:tblCellMar>
            <w:top w:w="10" w:type="dxa"/>
            <w:left w:w="10" w:type="dxa"/>
            <w:bottom w:w="0" w:type="dxa"/>
            <w:right w:w="10" w:type="dxa"/>
          </w:tblCellMar>
        </w:tblPrEx>
        <w:trPr>
          <w:trHeight w:val="600" w:hRule="atLeast"/>
          <w:jc w:val="center"/>
        </w:trPr>
        <w:tc>
          <w:tcPr>
            <w:tcW w:w="53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0D0E7AF">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78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8F4D0DA">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红外治疗仪</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tcPr>
          <w:p w14:paraId="10EF62B0">
            <w:pPr>
              <w:spacing w:line="360" w:lineRule="auto"/>
              <w:jc w:val="center"/>
              <w:rPr>
                <w:rFonts w:asciiTheme="minorEastAsia" w:hAnsiTheme="minorEastAsia" w:eastAsiaTheme="minorEastAsia" w:cstheme="minorEastAsia"/>
                <w:color w:val="auto"/>
                <w:sz w:val="24"/>
                <w:szCs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F234637">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3823BA">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06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F545269">
            <w:pPr>
              <w:spacing w:line="360" w:lineRule="auto"/>
              <w:jc w:val="center"/>
              <w:rPr>
                <w:rFonts w:asciiTheme="minorEastAsia" w:hAnsiTheme="minorEastAsia" w:eastAsiaTheme="minorEastAsia" w:cstheme="minorEastAsia"/>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EB877E7">
            <w:pPr>
              <w:spacing w:line="360" w:lineRule="auto"/>
              <w:jc w:val="center"/>
              <w:rPr>
                <w:rFonts w:asciiTheme="minorEastAsia" w:hAnsiTheme="minorEastAsia" w:eastAsiaTheme="minorEastAsia" w:cstheme="minorEastAsia"/>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54BB752">
            <w:pPr>
              <w:spacing w:line="360" w:lineRule="auto"/>
              <w:jc w:val="center"/>
              <w:rPr>
                <w:rFonts w:asciiTheme="minorEastAsia" w:hAnsiTheme="minorEastAsia" w:eastAsiaTheme="minorEastAsia" w:cstheme="minorEastAsia"/>
                <w:color w:val="auto"/>
                <w:sz w:val="24"/>
                <w:szCs w:val="24"/>
                <w:highlight w:val="none"/>
              </w:rPr>
            </w:pPr>
          </w:p>
        </w:tc>
      </w:tr>
      <w:tr w14:paraId="74F75842">
        <w:tblPrEx>
          <w:tblCellMar>
            <w:top w:w="10" w:type="dxa"/>
            <w:left w:w="10" w:type="dxa"/>
            <w:bottom w:w="0" w:type="dxa"/>
            <w:right w:w="10" w:type="dxa"/>
          </w:tblCellMar>
        </w:tblPrEx>
        <w:trPr>
          <w:trHeight w:val="600" w:hRule="atLeast"/>
          <w:jc w:val="center"/>
        </w:trPr>
        <w:tc>
          <w:tcPr>
            <w:tcW w:w="53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158D3BD">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78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B2CF6CF">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磁振热治疗仪</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tcPr>
          <w:p w14:paraId="0A42B595">
            <w:pPr>
              <w:spacing w:line="360" w:lineRule="auto"/>
              <w:rPr>
                <w:rFonts w:asciiTheme="minorEastAsia" w:hAnsiTheme="minorEastAsia" w:eastAsiaTheme="minorEastAsia" w:cstheme="minorEastAsia"/>
                <w:color w:val="auto"/>
                <w:sz w:val="24"/>
                <w:szCs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B84673F">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255DBA8">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06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E11B736">
            <w:pPr>
              <w:spacing w:line="360" w:lineRule="auto"/>
              <w:jc w:val="center"/>
              <w:rPr>
                <w:rFonts w:asciiTheme="minorEastAsia" w:hAnsiTheme="minorEastAsia" w:eastAsiaTheme="minorEastAsia" w:cstheme="minorEastAsia"/>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C3E67ED">
            <w:pPr>
              <w:spacing w:line="360" w:lineRule="auto"/>
              <w:jc w:val="center"/>
              <w:rPr>
                <w:rFonts w:asciiTheme="minorEastAsia" w:hAnsiTheme="minorEastAsia" w:eastAsiaTheme="minorEastAsia" w:cstheme="minorEastAsia"/>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01611C8">
            <w:pPr>
              <w:spacing w:line="360" w:lineRule="auto"/>
              <w:jc w:val="center"/>
              <w:rPr>
                <w:rFonts w:asciiTheme="minorEastAsia" w:hAnsiTheme="minorEastAsia" w:eastAsiaTheme="minorEastAsia" w:cstheme="minorEastAsia"/>
                <w:color w:val="auto"/>
                <w:sz w:val="24"/>
                <w:szCs w:val="24"/>
                <w:highlight w:val="none"/>
              </w:rPr>
            </w:pPr>
          </w:p>
        </w:tc>
      </w:tr>
      <w:tr w14:paraId="1FFF8B41">
        <w:tblPrEx>
          <w:tblCellMar>
            <w:top w:w="10" w:type="dxa"/>
            <w:left w:w="10" w:type="dxa"/>
            <w:bottom w:w="0" w:type="dxa"/>
            <w:right w:w="10" w:type="dxa"/>
          </w:tblCellMar>
        </w:tblPrEx>
        <w:trPr>
          <w:trHeight w:val="600" w:hRule="atLeast"/>
          <w:jc w:val="center"/>
        </w:trPr>
        <w:tc>
          <w:tcPr>
            <w:tcW w:w="53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975F75C">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78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3513C138">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深层肌肉刺激仪</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tcPr>
          <w:p w14:paraId="46F817EE">
            <w:pPr>
              <w:spacing w:line="360" w:lineRule="auto"/>
              <w:rPr>
                <w:rFonts w:asciiTheme="minorEastAsia" w:hAnsiTheme="minorEastAsia" w:eastAsiaTheme="minorEastAsia" w:cstheme="minorEastAsia"/>
                <w:color w:val="auto"/>
                <w:sz w:val="24"/>
                <w:szCs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B24E9F9">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89CE134">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台</w:t>
            </w:r>
          </w:p>
        </w:tc>
        <w:tc>
          <w:tcPr>
            <w:tcW w:w="106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195BA8EB">
            <w:pPr>
              <w:spacing w:line="360" w:lineRule="auto"/>
              <w:jc w:val="center"/>
              <w:rPr>
                <w:rFonts w:asciiTheme="minorEastAsia" w:hAnsiTheme="minorEastAsia" w:eastAsiaTheme="minorEastAsia" w:cstheme="minorEastAsia"/>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48CC5E1">
            <w:pPr>
              <w:spacing w:line="360" w:lineRule="auto"/>
              <w:jc w:val="center"/>
              <w:rPr>
                <w:rFonts w:asciiTheme="minorEastAsia" w:hAnsiTheme="minorEastAsia" w:eastAsiaTheme="minorEastAsia" w:cstheme="minorEastAsia"/>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C74F813">
            <w:pPr>
              <w:spacing w:line="360" w:lineRule="auto"/>
              <w:jc w:val="center"/>
              <w:rPr>
                <w:rFonts w:asciiTheme="minorEastAsia" w:hAnsiTheme="minorEastAsia" w:eastAsiaTheme="minorEastAsia" w:cstheme="minorEastAsia"/>
                <w:color w:val="auto"/>
                <w:sz w:val="24"/>
                <w:szCs w:val="24"/>
                <w:highlight w:val="none"/>
              </w:rPr>
            </w:pPr>
          </w:p>
        </w:tc>
      </w:tr>
      <w:tr w14:paraId="026F3227">
        <w:tblPrEx>
          <w:tblCellMar>
            <w:top w:w="10" w:type="dxa"/>
            <w:left w:w="10" w:type="dxa"/>
            <w:bottom w:w="0" w:type="dxa"/>
            <w:right w:w="10" w:type="dxa"/>
          </w:tblCellMar>
        </w:tblPrEx>
        <w:trPr>
          <w:trHeight w:val="600" w:hRule="atLeast"/>
          <w:jc w:val="center"/>
        </w:trPr>
        <w:tc>
          <w:tcPr>
            <w:tcW w:w="53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DB1247B">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78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B735FF2">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急救箱</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tcPr>
          <w:p w14:paraId="04DA535D">
            <w:pPr>
              <w:spacing w:line="360" w:lineRule="auto"/>
              <w:rPr>
                <w:rFonts w:asciiTheme="minorEastAsia" w:hAnsiTheme="minorEastAsia" w:eastAsiaTheme="minorEastAsia" w:cstheme="minorEastAsia"/>
                <w:color w:val="auto"/>
                <w:sz w:val="24"/>
                <w:szCs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489A013">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75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48DA981">
            <w:pPr>
              <w:pStyle w:val="257"/>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个</w:t>
            </w:r>
          </w:p>
        </w:tc>
        <w:tc>
          <w:tcPr>
            <w:tcW w:w="106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8DC1DF">
            <w:pPr>
              <w:spacing w:line="360" w:lineRule="auto"/>
              <w:jc w:val="center"/>
              <w:rPr>
                <w:rFonts w:asciiTheme="minorEastAsia" w:hAnsiTheme="minorEastAsia" w:eastAsiaTheme="minorEastAsia" w:cstheme="minorEastAsia"/>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08B3E776">
            <w:pPr>
              <w:spacing w:line="360" w:lineRule="auto"/>
              <w:jc w:val="center"/>
              <w:rPr>
                <w:rFonts w:asciiTheme="minorEastAsia" w:hAnsiTheme="minorEastAsia" w:eastAsiaTheme="minorEastAsia" w:cstheme="minorEastAsia"/>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2135BE81">
            <w:pPr>
              <w:spacing w:line="360" w:lineRule="auto"/>
              <w:jc w:val="center"/>
              <w:rPr>
                <w:rFonts w:asciiTheme="minorEastAsia" w:hAnsiTheme="minorEastAsia" w:eastAsiaTheme="minorEastAsia" w:cstheme="minorEastAsia"/>
                <w:color w:val="auto"/>
                <w:sz w:val="24"/>
                <w:szCs w:val="24"/>
                <w:highlight w:val="none"/>
              </w:rPr>
            </w:pPr>
          </w:p>
        </w:tc>
      </w:tr>
      <w:tr w14:paraId="7A6A18BC">
        <w:tblPrEx>
          <w:tblCellMar>
            <w:top w:w="10" w:type="dxa"/>
            <w:left w:w="10" w:type="dxa"/>
            <w:bottom w:w="0" w:type="dxa"/>
            <w:right w:w="10" w:type="dxa"/>
          </w:tblCellMar>
        </w:tblPrEx>
        <w:trPr>
          <w:trHeight w:val="600" w:hRule="atLeast"/>
          <w:jc w:val="center"/>
        </w:trPr>
        <w:tc>
          <w:tcPr>
            <w:tcW w:w="8241" w:type="dxa"/>
            <w:gridSpan w:val="8"/>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52152891">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总价（含税）：</w:t>
            </w:r>
            <w:r>
              <w:rPr>
                <w:rFonts w:hint="eastAsia" w:asciiTheme="minorEastAsia" w:hAnsiTheme="minorEastAsia" w:eastAsiaTheme="minorEastAsia" w:cstheme="minorEastAsia"/>
                <w:color w:val="auto"/>
                <w:sz w:val="24"/>
                <w:szCs w:val="24"/>
                <w:highlight w:val="none"/>
              </w:rPr>
              <w:t xml:space="preserve">           ¥</w:t>
            </w:r>
          </w:p>
        </w:tc>
      </w:tr>
    </w:tbl>
    <w:p w14:paraId="6B5CC41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（二）交付期限：合同签订生效之日起【20】日内，乙方应完成本项目全部采购内容的交付；【30】日内完成设备安装及调试工作。</w:t>
      </w:r>
    </w:p>
    <w:p w14:paraId="1A1521C3">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（三）交付地点：甲方指定地点。</w:t>
      </w:r>
    </w:p>
    <w:p w14:paraId="5F8145A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（四）质保期：【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】年，自货物经甲方最终验收通过之日起开始计算。</w:t>
      </w:r>
    </w:p>
    <w:p w14:paraId="05A23EAD">
      <w:pPr>
        <w:spacing w:line="360"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三、价格与支付</w:t>
      </w:r>
    </w:p>
    <w:p w14:paraId="717B92E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（一）本合同金额按此次中标（成交）价格执行，本合同总金额（含税）为人民币（大写         ）（¥：    ）。上述合同总金额已包括</w:t>
      </w:r>
      <w:r>
        <w:rPr>
          <w:rFonts w:hint="eastAsia" w:asciiTheme="minorEastAsia" w:hAnsiTheme="minorEastAsia" w:eastAsiaTheme="minorEastAsia" w:cstheme="minorEastAsia"/>
          <w:color w:val="auto"/>
          <w:sz w:val="24"/>
          <w:szCs w:val="24"/>
          <w:highlight w:val="none"/>
          <w:lang w:val="zh-CN"/>
        </w:rPr>
        <w:t>响应产品、</w:t>
      </w:r>
      <w:bookmarkStart w:id="37" w:name="_Hlk32483319"/>
      <w:r>
        <w:rPr>
          <w:rFonts w:hint="eastAsia" w:asciiTheme="minorEastAsia" w:hAnsiTheme="minorEastAsia" w:eastAsiaTheme="minorEastAsia" w:cstheme="minorEastAsia"/>
          <w:color w:val="auto"/>
          <w:sz w:val="24"/>
          <w:szCs w:val="24"/>
          <w:highlight w:val="none"/>
          <w:lang w:val="zh-CN"/>
        </w:rPr>
        <w:t>安装辅材及其备品备件和专用工具费用</w:t>
      </w:r>
      <w:bookmarkEnd w:id="37"/>
      <w:r>
        <w:rPr>
          <w:rFonts w:hint="eastAsia" w:asciiTheme="minorEastAsia" w:hAnsiTheme="minorEastAsia" w:eastAsiaTheme="minorEastAsia" w:cstheme="minorEastAsia"/>
          <w:color w:val="auto"/>
          <w:sz w:val="24"/>
          <w:szCs w:val="24"/>
          <w:highlight w:val="none"/>
          <w:lang w:val="zh-CN"/>
        </w:rPr>
        <w:t>、税费、包装、运至最终目的地的运输、保险、现场安装调试、检测验收、技术支持与培训、质保和售后服务及相关劳务支出等</w:t>
      </w:r>
      <w:r>
        <w:rPr>
          <w:rFonts w:hint="eastAsia" w:asciiTheme="minorEastAsia" w:hAnsiTheme="minorEastAsia" w:eastAsiaTheme="minorEastAsia" w:cstheme="minorEastAsia"/>
          <w:color w:val="auto"/>
          <w:sz w:val="24"/>
          <w:szCs w:val="24"/>
          <w:highlight w:val="none"/>
        </w:rPr>
        <w:t>履行本合同</w:t>
      </w:r>
      <w:r>
        <w:rPr>
          <w:rFonts w:hint="eastAsia" w:asciiTheme="minorEastAsia" w:hAnsiTheme="minorEastAsia" w:eastAsiaTheme="minorEastAsia" w:cstheme="minorEastAsia"/>
          <w:color w:val="auto"/>
          <w:sz w:val="24"/>
          <w:szCs w:val="24"/>
          <w:highlight w:val="none"/>
          <w:lang w:val="zh-CN"/>
        </w:rPr>
        <w:t>所发生的全部费用以及</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val="zh-CN"/>
        </w:rPr>
        <w:t>的企业利润、税金和政策性文件规定及合同包含的所有风险、责任等各项应有费用</w:t>
      </w:r>
      <w:r>
        <w:rPr>
          <w:rFonts w:hint="eastAsia" w:asciiTheme="minorEastAsia" w:hAnsiTheme="minorEastAsia" w:eastAsiaTheme="minorEastAsia" w:cstheme="minorEastAsia"/>
          <w:color w:val="auto"/>
          <w:sz w:val="24"/>
          <w:szCs w:val="24"/>
          <w:highlight w:val="none"/>
        </w:rPr>
        <w:t>。除非本合同另有约定外，乙方不得再要求追加任何其他费用，本合同价格在实施期间不因市场变化因素而变动。</w:t>
      </w:r>
    </w:p>
    <w:p w14:paraId="0B869DD0">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（二）合同价款的支付及付款方式：</w:t>
      </w:r>
    </w:p>
    <w:p w14:paraId="34510EE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1、付款流程：</w:t>
      </w:r>
      <w:bookmarkStart w:id="38" w:name="OLE_LINK247"/>
      <w:bookmarkStart w:id="39" w:name="OLE_LINK246"/>
      <w:r>
        <w:rPr>
          <w:rFonts w:hint="eastAsia" w:asciiTheme="minorEastAsia" w:hAnsiTheme="minorEastAsia" w:eastAsiaTheme="minorEastAsia" w:cstheme="minorEastAsia"/>
          <w:color w:val="auto"/>
          <w:sz w:val="24"/>
          <w:szCs w:val="24"/>
          <w:highlight w:val="none"/>
        </w:rPr>
        <w:t>合同签订并生效后15日内支付合同总金额的【30】%作为预付款；货物送达甲方指定地点并经甲方终验合格后15日内，甲方向乙方支付至本合同总金额【100】%。</w:t>
      </w:r>
      <w:bookmarkEnd w:id="38"/>
      <w:bookmarkEnd w:id="39"/>
    </w:p>
    <w:p w14:paraId="557B6150">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2、乙方提请甲方付款前，应提供以下资料：</w:t>
      </w:r>
    </w:p>
    <w:p w14:paraId="2673E77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（1）合法有效且符合甲方要求的发票；</w:t>
      </w:r>
    </w:p>
    <w:p w14:paraId="6B9CA73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（2）由甲乙双方及第三方专家组共同签章的《政府采购合同履行验收书》。</w:t>
      </w:r>
    </w:p>
    <w:p w14:paraId="7F16040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若乙方未按要求提供上述资料的，甲方有权延迟付款，且不承担逾期付款的违约责任。</w:t>
      </w:r>
    </w:p>
    <w:p w14:paraId="653D87B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3、付款方式：银行转账或数字人民币转账。</w:t>
      </w:r>
    </w:p>
    <w:p w14:paraId="7AC13E8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（1）乙方数字人民币账户信息如下：</w:t>
      </w:r>
    </w:p>
    <w:p w14:paraId="0920E72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账户名：</w:t>
      </w:r>
    </w:p>
    <w:p w14:paraId="3319981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p>
    <w:p w14:paraId="66A1A723">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数字人民币账号（数币钱包ID）：</w:t>
      </w:r>
    </w:p>
    <w:p w14:paraId="4545250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（2）乙方银行转账账户信息如下：</w:t>
      </w:r>
    </w:p>
    <w:p w14:paraId="69FA795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开户名称：</w:t>
      </w:r>
    </w:p>
    <w:p w14:paraId="6C0EB60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p w14:paraId="5BFC6BE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银行账号：</w:t>
      </w:r>
    </w:p>
    <w:p w14:paraId="422225B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未经双方书面协商一致，乙方不得擅自变更收款账户信息，也不得转让债权；未经甲方书面同意的债权转让对甲方不发生法律效力，甲方仍有权按照合同约定账户支付费用。若乙方将对甲方的债权擅自转让给第三人，则乙方同意向甲方承担转让的债权金额10 %的违约金，同时甲方有权单方面解除本合同。第三人因债权转让起诉的，甲方因此次诉讼而产生的案件诉讼费、第三人主张的违约金、利息损失、律师费、保全费、保函费、鉴定费等均由乙方承担。</w:t>
      </w:r>
    </w:p>
    <w:p w14:paraId="415B0BA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5、根据现行税法对甲方征收的与本合同有关的一切税费均由甲方承担；根据现行税法对乙方征收的与本合同有关的一切税费均由乙方承担。</w:t>
      </w:r>
    </w:p>
    <w:p w14:paraId="629EBE2D">
      <w:pPr>
        <w:spacing w:line="360"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四、质量保证</w:t>
      </w:r>
    </w:p>
    <w:p w14:paraId="0A48DF90">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乙方应保证其向甲方提供的货物是全新的、未使用过的，并且是交货期前三个月内生产的产品，完全符合合同规定的质量、规格和性能的要求。乙方应保证其提供的货物在正确安装、正常使用和保养条件下，在其标称的使用寿命期内应具有良好的性能。在乙方承诺的质量保证期限内，乙方应对由于设计、工艺或材料的缺陷及伴随服务而造成的任何不足或故障负责。质保期内货物出现质量问题的，乙方应负责包修、包退、包换，由此产生的一切费用均由乙方承担。</w:t>
      </w:r>
    </w:p>
    <w:p w14:paraId="313C8EF9">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（二）乙方应按照本合同约定的质量标准提供合格的货物，如未约定质量标准的，应按照强制性国家标准履行；没有强制性国家标准的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按照推荐性国家标准履行；没有推荐性国家标准的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按照行业标准履行；没有国家标准、行业标准的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按照通常标准或者符合合同目的的特定标准履行。同时存在不同标准的，以最高标准为准。</w:t>
      </w:r>
    </w:p>
    <w:p w14:paraId="70814273">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根据甲方按本合同约定的检验（检测）标准检验（检测）的结果或具有国家法定检验（检测）资质的第三方检验（检测）机构出具的检验（检测）检测结果，如果设备的数量、质量或规格与本合同约定不符或证实设备是有缺陷的，包括潜在缺陷或使用不符合要求的材料等，甲方有权以书面形式通知乙方并提出索赔。</w:t>
      </w:r>
    </w:p>
    <w:p w14:paraId="1004F826">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bookmarkStart w:id="40" w:name="_Hlk32483710"/>
      <w:r>
        <w:rPr>
          <w:rFonts w:hint="eastAsia" w:asciiTheme="minorEastAsia" w:hAnsiTheme="minorEastAsia" w:eastAsiaTheme="minorEastAsia" w:cstheme="minorEastAsia"/>
          <w:color w:val="auto"/>
          <w:sz w:val="24"/>
          <w:szCs w:val="24"/>
          <w:highlight w:val="none"/>
        </w:rPr>
        <w:t>乙方应保证对其提供的货物享有合法的权利，在其提供的货物上不存在任何未曾向甲方披露的担保物权，如抵押权、质押权、留置权、债权性质的担保、查封等。乙方应保证甲方在使用该货物或其任何一部分时不受第三方提出侵犯其专利权、版权、商标权或其他权利的诉讼。如甲方在使用乙方提供的标的物构成上述侵权的，乙方应承担全部责任，并赔偿由此给甲方造成的一切直接、间接损失。</w:t>
      </w:r>
      <w:bookmarkEnd w:id="40"/>
    </w:p>
    <w:p w14:paraId="6EDA0670">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五、包装</w:t>
      </w:r>
    </w:p>
    <w:p w14:paraId="589C7626">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（一）乙方应当按照《商品包装政府采购需求标准（试行）》、《快递包装政府采购需求标准（试行）》的标准及约定的包装方式交付标的物。</w:t>
      </w:r>
    </w:p>
    <w:p w14:paraId="28C193E0">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（二）包装必须完整、无破损、污染、受潮等情况，避免影响器械的性能和安全性。</w:t>
      </w:r>
    </w:p>
    <w:p w14:paraId="0DCE3C3A">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（三）采取保护货物且用利于节约资源、保护生态环境的包装方式。</w:t>
      </w:r>
    </w:p>
    <w:p w14:paraId="0D1639BE">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（四）因乙方未采取合理包装方式致使货物损毁、灭失或无法正常使用，给甲方造成损失的，乙方应赔偿甲方一切直接损失，间接损失。</w:t>
      </w:r>
    </w:p>
    <w:p w14:paraId="47CA2BB9">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（五）乙方应保证其提供的货物是原包装未拆封的商品，在交付甲方验收前不得拆箱。</w:t>
      </w:r>
    </w:p>
    <w:p w14:paraId="79FA54C8">
      <w:pPr>
        <w:spacing w:line="360" w:lineRule="auto"/>
        <w:ind w:firstLine="480"/>
        <w:outlineLvl w:val="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六、标的物的交付</w:t>
      </w:r>
    </w:p>
    <w:p w14:paraId="5E79945D">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（一）本项目货物的所有权自货物经甲方最终验收合格后，乙方交付甲方时转移。</w:t>
      </w:r>
    </w:p>
    <w:p w14:paraId="60D7DEE9">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（二）乙方应当按照本合同约定的期限和约定的地点交付货物。</w:t>
      </w:r>
    </w:p>
    <w:p w14:paraId="7726AB5D">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（三）乙方应当按照本合同约定或者交易习惯向甲方交付提取货物单证以外的有关单证和资料。</w:t>
      </w:r>
    </w:p>
    <w:p w14:paraId="0FFCA9A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（四）本合同中所称“交付”，除根据上下文明显指到货时的交货外，均指完成安装调试后的交付。</w:t>
      </w:r>
    </w:p>
    <w:p w14:paraId="6E098170">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乙方负责安排货物运输，运输过程中需进行分类运输，不同性质的货物应该分别运输。同时，运输过程中需要注意防潮、防晒、防高温等问题，避免货物受到损坏。因交货产生的运输、装卸、安装、保险等相关费用全部由乙方承担。货物在交付甲方并通过最终验收合格前，其灭失、损毁的风险由乙方承担。</w:t>
      </w:r>
    </w:p>
    <w:p w14:paraId="3769BAD8">
      <w:pPr>
        <w:spacing w:line="360" w:lineRule="auto"/>
        <w:ind w:firstLine="480"/>
        <w:outlineLvl w:val="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七、伴随服务</w:t>
      </w:r>
    </w:p>
    <w:p w14:paraId="3C7F54DF">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（一）乙方除应按照本合同约定及甲方的要求履行按期按量交付合格货物的义务外，还应当提供下列服务：</w:t>
      </w:r>
    </w:p>
    <w:p w14:paraId="45B5C279">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1、货物的现场安装、启动、调试、监督（如果必须安装、调试的话）；</w:t>
      </w:r>
    </w:p>
    <w:p w14:paraId="027F905D">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2、提供货物组装和一般维修所必需的工具；</w:t>
      </w:r>
    </w:p>
    <w:p w14:paraId="2D436A2C">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3、在本合同规定的期限内对所提供的货物实行运行监督、维修服务的前提条件是该服务并不能免除乙方在质量保证期内应承担的义务；</w:t>
      </w:r>
    </w:p>
    <w:p w14:paraId="0D690CB2">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4、对甲方技术人员进行技术指导或培训服务。</w:t>
      </w:r>
    </w:p>
    <w:p w14:paraId="27906416">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（二）除本合同另有规定外，伴随服务的费用均已包含在本合同总价款中，甲方不再另行向乙方支付任何其他费用。</w:t>
      </w:r>
    </w:p>
    <w:p w14:paraId="0585C46D">
      <w:pPr>
        <w:spacing w:line="360" w:lineRule="auto"/>
        <w:ind w:firstLine="48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八、分包与转包</w:t>
      </w:r>
    </w:p>
    <w:p w14:paraId="2B8466D2">
      <w:pPr>
        <w:spacing w:line="360" w:lineRule="auto"/>
        <w:ind w:firstLine="480"/>
        <w:outlineLvl w:val="0"/>
        <w:rPr>
          <w:rFonts w:ascii="宋体" w:hAnsi="宋体" w:cs="宋体"/>
          <w:color w:val="auto"/>
          <w:sz w:val="24"/>
          <w:highlight w:val="none"/>
        </w:rPr>
      </w:pPr>
      <w:r>
        <w:rPr>
          <w:rFonts w:hint="eastAsia" w:ascii="宋体" w:hAnsi="宋体" w:cs="宋体"/>
          <w:color w:val="auto"/>
          <w:sz w:val="24"/>
          <w:highlight w:val="none"/>
        </w:rPr>
        <w:t>（一）本合同项目不得转包与分包。</w:t>
      </w:r>
    </w:p>
    <w:p w14:paraId="1A0B6BBB">
      <w:pPr>
        <w:spacing w:line="360" w:lineRule="auto"/>
        <w:ind w:firstLine="480"/>
        <w:outlineLvl w:val="0"/>
        <w:rPr>
          <w:rFonts w:ascii="宋体" w:hAnsi="宋体" w:cs="宋体"/>
          <w:color w:val="auto"/>
          <w:sz w:val="24"/>
          <w:highlight w:val="none"/>
        </w:rPr>
      </w:pPr>
      <w:r>
        <w:rPr>
          <w:rFonts w:hint="eastAsia" w:ascii="宋体" w:hAnsi="宋体" w:cs="宋体"/>
          <w:color w:val="auto"/>
          <w:sz w:val="24"/>
          <w:highlight w:val="none"/>
        </w:rPr>
        <w:t>（二）如乙方存在分包或转包行为，甲方有权解除合同，乙方须返还全部已支付价款，并向甲方支付合同总金额20%的违约金。</w:t>
      </w:r>
    </w:p>
    <w:p w14:paraId="7E607480">
      <w:pPr>
        <w:pStyle w:val="18"/>
        <w:spacing w:line="360" w:lineRule="auto"/>
        <w:ind w:firstLine="480"/>
        <w:rPr>
          <w:color w:val="auto"/>
          <w:highlight w:val="none"/>
        </w:rPr>
      </w:pPr>
      <w:r>
        <w:rPr>
          <w:rFonts w:hint="eastAsia" w:cs="宋体"/>
          <w:color w:val="auto"/>
          <w:sz w:val="24"/>
          <w:highlight w:val="none"/>
        </w:rPr>
        <w:t>（三）因分包或转包导致甲方遭受损失的，乙方应赔偿甲方一切直接和间接损失。</w:t>
      </w:r>
    </w:p>
    <w:p w14:paraId="5C8A6E55">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九、标的物的检验（检测）和验收</w:t>
      </w:r>
    </w:p>
    <w:p w14:paraId="43FF2089">
      <w:pPr>
        <w:spacing w:line="360" w:lineRule="auto"/>
        <w:ind w:firstLine="480"/>
        <w:outlineLvl w:val="0"/>
        <w:rPr>
          <w:rFonts w:asciiTheme="minorEastAsia" w:hAnsiTheme="minorEastAsia" w:eastAsiaTheme="minorEastAsia" w:cstheme="minorEastAsia"/>
          <w:color w:val="auto"/>
          <w:sz w:val="24"/>
          <w:szCs w:val="24"/>
          <w:highlight w:val="none"/>
        </w:rPr>
      </w:pPr>
      <w:bookmarkStart w:id="41" w:name="OLE_LINK72"/>
      <w:bookmarkStart w:id="42" w:name="OLE_LINK81"/>
      <w:bookmarkStart w:id="43" w:name="OLE_LINK71"/>
      <w:r>
        <w:rPr>
          <w:rFonts w:hint="eastAsia" w:asciiTheme="minorEastAsia" w:hAnsiTheme="minorEastAsia" w:eastAsiaTheme="minorEastAsia" w:cstheme="minorEastAsia"/>
          <w:color w:val="auto"/>
          <w:sz w:val="24"/>
          <w:szCs w:val="24"/>
          <w:highlight w:val="none"/>
        </w:rPr>
        <w:t>（一）甲方应自本项目所有货物交付并完成安装、调试之日起15日内进行验收。特殊情况需延长的，由甲乙双方另行协商确定。</w:t>
      </w:r>
    </w:p>
    <w:p w14:paraId="10DA28A5">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全部货物到达指定地点后，甲乙双方一起按合同货物清单进行验收，并有权对相关功能进行测试，验收及测试内容包括货物的型号、规格、数量、外观质量等是否符合规定，包装是否完好，安装调试是否合格，操作手册、检测报告、相关证书、质保证明、随机资料及配件、随机工具等是否齐全。具体如下：</w:t>
      </w:r>
    </w:p>
    <w:p w14:paraId="6F6EB5BB">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1、包装是否完整，有无破损、污染、受潮等情况。包装损坏可能会影响器械的性能和安全性。</w:t>
      </w:r>
    </w:p>
    <w:p w14:paraId="67B4DC3A">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（1）标签和说明书：标签和说明书应清晰完整，内容应符合法规要求，包含产品名称、规格型号、生产日期、有效期、生产厂家、使用方法、注意事项等信息。</w:t>
      </w:r>
    </w:p>
    <w:p w14:paraId="3B184052">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2、数量及规格型号核对：</w:t>
      </w:r>
    </w:p>
    <w:p w14:paraId="7180E658">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（1）数量准确性：按照采购合同或订单核对器械的数量是否准确无误，避免出现数量短缺或多送的情况。</w:t>
      </w:r>
    </w:p>
    <w:p w14:paraId="42E6CA7E">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（2）规格型号一致性：确认所收到的器械规格型号与采购要求一致，包括尺寸、功能、参数等方面的要求。</w:t>
      </w:r>
    </w:p>
    <w:p w14:paraId="4555CC01">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3、产品合格质量、产品注册文件及标识检查：</w:t>
      </w:r>
    </w:p>
    <w:p w14:paraId="519131D8">
      <w:pPr>
        <w:spacing w:line="36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产品具有法定资质的第三方检测机构的检测报告（检测产品包含心电图机和健康一体机中配有的全自动电子血压计；检测内容包括但不仅限于心电图机的标准灵敏度、附极化电压、连续漏电流、电介质强度等全性能、血压计的测量准确性等）。</w:t>
      </w:r>
    </w:p>
    <w:p w14:paraId="3BB8ED57">
      <w:pPr>
        <w:spacing w:line="36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（2）中标产品具有不低于原厂品质的质保承诺函。</w:t>
      </w:r>
    </w:p>
    <w:p w14:paraId="34A5B7F9">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（3）中标产品（健康一体机、心电图机、红外治疗仪、磁振热治疗仪和深层肌肉刺激仪）在相关药品监督管理部门有效期内的注册证明。</w:t>
      </w:r>
    </w:p>
    <w:p w14:paraId="599B41FE">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（4）标识准确性：检查器械上的标识，如生产日期、有效期、批号以及UDI码等是否清晰准确和一致，以便于追溯和管理。</w:t>
      </w:r>
    </w:p>
    <w:p w14:paraId="72306A28">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（三）符合相关国家、行业规范标准、货物本身的规格、技术条件及乙方承诺的其他指标，结合采购文件、投标文件、合同等项目文件约定内容对项目进行验收。</w:t>
      </w:r>
    </w:p>
    <w:p w14:paraId="22D9F6A5">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宋体" w:hAnsi="宋体" w:cs="宋体"/>
          <w:color w:val="auto"/>
          <w:sz w:val="24"/>
          <w:szCs w:val="32"/>
          <w:highlight w:val="none"/>
        </w:rPr>
        <w:t>因采购的产品属于专业技术设备，甲方根据相关国家、行业规范标准、货物本身的规格、技术条件及乙方承诺的其他指标，结合采购文件、投标文件、合同等项目文件约定内容聘请至少3名第三方专家组成现场验收小组并对项目进行现场验收，经验收小组现场验收合格确认无误后，出具验收合格意见，该证明视为验收通过且作为最终付款所需文件的组成部分，甲乙双方和专家组成员需共同签字确认。若第一次验收因不合格而退回重新生产或返工的第二批次货物，交货时间为甲方收到第一次货物交货之日起的30日内，逾期按交货延误予以处罚，所产生的费用由乙方承担。第二批次货物交货后，实际使用部门有权按上述要求和标准重新验收，所产生的费用由乙方承担。若再次验收不合格，实际使用方将上报甲方，甲方有权终止与中标单位本次合作，乙方应退还已支付的全部款项并向甲方支付合同总价款的20%作为违约赔偿金。</w:t>
      </w:r>
      <w:r>
        <w:rPr>
          <w:rFonts w:hint="eastAsia" w:asciiTheme="minorEastAsia" w:hAnsiTheme="minorEastAsia" w:eastAsiaTheme="minorEastAsia" w:cstheme="minorEastAsia"/>
          <w:color w:val="auto"/>
          <w:sz w:val="24"/>
          <w:szCs w:val="24"/>
          <w:highlight w:val="none"/>
        </w:rPr>
        <w:t>《政府采购合同履行验收书》</w:t>
      </w:r>
      <w:r>
        <w:rPr>
          <w:rFonts w:hint="eastAsia" w:ascii="宋体" w:hAnsi="宋体" w:cs="宋体"/>
          <w:color w:val="auto"/>
          <w:sz w:val="24"/>
          <w:szCs w:val="32"/>
          <w:highlight w:val="none"/>
        </w:rPr>
        <w:t>上的签收日期为最终验收合格日期</w:t>
      </w:r>
      <w:r>
        <w:rPr>
          <w:rFonts w:hint="eastAsia" w:asciiTheme="minorEastAsia" w:hAnsiTheme="minorEastAsia" w:eastAsiaTheme="minorEastAsia" w:cstheme="minorEastAsia"/>
          <w:color w:val="auto"/>
          <w:sz w:val="24"/>
          <w:szCs w:val="24"/>
          <w:highlight w:val="none"/>
        </w:rPr>
        <w:t>。</w:t>
      </w:r>
    </w:p>
    <w:p w14:paraId="0C04CA55">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由于甲方自身能力、检验（检测）方法和检验（检测）手段的限制，对于货物部分质量瑕疵尤其是潜在的或隐蔽的质量瑕疵，在短时间内可能无法发现。因此，验收单的签署仅作为货物质保期起算的依据，不代表甲方对质量异议权利的放弃，也不代表甲方对货物质量保证责任的免除。如验收通过后，货物出现质量问题影响甲方使用的，甲方仍有权要求乙方采取维修、退货换货、支付违约金、赔偿损失等方式处理。</w:t>
      </w:r>
      <w:bookmarkEnd w:id="41"/>
      <w:bookmarkEnd w:id="42"/>
      <w:bookmarkEnd w:id="43"/>
    </w:p>
    <w:p w14:paraId="6A4A0EFA">
      <w:pPr>
        <w:pStyle w:val="85"/>
        <w:spacing w:line="360" w:lineRule="auto"/>
        <w:ind w:left="0" w:firstLine="482"/>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十、标的物提出异议的时间和办法</w:t>
      </w:r>
    </w:p>
    <w:p w14:paraId="7CC61DE1">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甲方在验收过程中，应当于双方约定的验收期间内将货物的数量或质量不符合约定的情况及处理方式以书面形式通知乙方。若货物存在甲方无法检验（检测）的质量问题，则对该货物的检验（检测）不受验收期间的限制，但甲方应在发现质量问题后及时提出。</w:t>
      </w:r>
    </w:p>
    <w:p w14:paraId="00432CD2">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如果甲方在验收期满后【10】日内既不出具验收合格证明又未提出书面异议的，乙方应当自验收期满后【7】日内对甲方进行催告，经乙方催告后甲方在【7】日内仍未出具验收合格证明或提出书面异议的，视为乙方所交付的货物符合本合同的规定。</w:t>
      </w:r>
    </w:p>
    <w:p w14:paraId="76071D1D">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（三）甲方在验收过程中向乙方发出书面异议通知的，乙方应自收到甲方书面异议通知后24小时内将处理意见与办法书面答复甲方，并于3日内负责解决问题，否则将视为乙方默认甲方提出的异议和处理意见。</w:t>
      </w:r>
    </w:p>
    <w:p w14:paraId="6A78F272">
      <w:pPr>
        <w:spacing w:line="360" w:lineRule="auto"/>
        <w:ind w:firstLine="482"/>
        <w:rPr>
          <w:rFonts w:ascii="宋体" w:hAnsi="宋体" w:cs="宋体"/>
          <w:b/>
          <w:bCs/>
          <w:color w:val="auto"/>
          <w:sz w:val="24"/>
          <w:szCs w:val="24"/>
          <w:highlight w:val="none"/>
        </w:rPr>
      </w:pPr>
      <w:r>
        <w:rPr>
          <w:rFonts w:hint="eastAsia" w:ascii="宋体" w:hAnsi="宋体" w:cs="宋体"/>
          <w:b/>
          <w:bCs/>
          <w:color w:val="auto"/>
          <w:sz w:val="24"/>
          <w:szCs w:val="24"/>
          <w:highlight w:val="none"/>
        </w:rPr>
        <w:t>十一、保密条款</w:t>
      </w:r>
    </w:p>
    <w:p w14:paraId="79E2E4DF">
      <w:pPr>
        <w:spacing w:line="360" w:lineRule="auto"/>
        <w:ind w:firstLine="480"/>
        <w:rPr>
          <w:rFonts w:ascii="宋体" w:hAnsi="宋体" w:cs="宋体"/>
          <w:color w:val="auto"/>
          <w:sz w:val="24"/>
          <w:highlight w:val="none"/>
        </w:rPr>
      </w:pPr>
      <w:r>
        <w:rPr>
          <w:rFonts w:hint="eastAsia" w:ascii="宋体" w:hAnsi="宋体" w:cs="宋体"/>
          <w:color w:val="auto"/>
          <w:sz w:val="24"/>
          <w:szCs w:val="24"/>
          <w:highlight w:val="none"/>
        </w:rPr>
        <w:t>（一）乙方在本合同签订、履行过程中知悉的甲方一切资料和信息，包括但不限于有关本合同甲方的内部资料、业务信息、技术资料及本合同项下的服务价格、合作条件等书面或口头信息，乙方承诺严格遵守对上述信息的保密约定。乙方承诺对保密信息之使用仅限于本合同签订与履行的，未经甲方明确书面同意，乙方不得将保密信息用于</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任何范围或场合，不得向任何第三方披露保密信息。</w:t>
      </w:r>
    </w:p>
    <w:p w14:paraId="365F1012">
      <w:pPr>
        <w:spacing w:line="360" w:lineRule="auto"/>
        <w:ind w:firstLine="480"/>
        <w:rPr>
          <w:rFonts w:ascii="宋体" w:hAnsi="宋体" w:cs="宋体"/>
          <w:color w:val="auto"/>
          <w:sz w:val="24"/>
          <w:highlight w:val="none"/>
        </w:rPr>
      </w:pPr>
      <w:r>
        <w:rPr>
          <w:rFonts w:hint="eastAsia" w:ascii="宋体" w:hAnsi="宋体" w:cs="宋体"/>
          <w:color w:val="auto"/>
          <w:sz w:val="24"/>
          <w:szCs w:val="24"/>
          <w:highlight w:val="none"/>
        </w:rPr>
        <w:t>（二）本合同履行终止后，乙方应当归还由甲方向其披露的一切保密信息的原始资料及其相关副本或复制品（包括书面的或电子的），乙方返还保密信息资料后，应继续承担并履行其在本合同项下的其他义务。</w:t>
      </w:r>
    </w:p>
    <w:p w14:paraId="243524C9">
      <w:pPr>
        <w:spacing w:line="360" w:lineRule="auto"/>
        <w:ind w:firstLine="480"/>
        <w:rPr>
          <w:rFonts w:ascii="宋体" w:hAnsi="宋体" w:cs="宋体"/>
          <w:color w:val="auto"/>
          <w:sz w:val="24"/>
          <w:highlight w:val="none"/>
        </w:rPr>
      </w:pPr>
      <w:r>
        <w:rPr>
          <w:rFonts w:hint="eastAsia" w:ascii="宋体" w:hAnsi="宋体" w:cs="宋体"/>
          <w:color w:val="auto"/>
          <w:sz w:val="24"/>
          <w:szCs w:val="24"/>
          <w:highlight w:val="none"/>
        </w:rPr>
        <w:t>（三）乙方应对项目实施的服务人员定岗定责。乙方服务人员、合作单位等凡是有机会接触到保密信息的主体，均负有前述保密义务，乙方应当采取充足措施保障前述主体履行保密义务，否则视为乙方违反保密义务。</w:t>
      </w:r>
    </w:p>
    <w:p w14:paraId="0AAC175A">
      <w:pPr>
        <w:spacing w:line="360" w:lineRule="auto"/>
        <w:ind w:firstLine="480"/>
        <w:rPr>
          <w:rFonts w:ascii="宋体" w:hAnsi="宋体" w:cs="宋体"/>
          <w:color w:val="auto"/>
          <w:sz w:val="24"/>
          <w:highlight w:val="none"/>
        </w:rPr>
      </w:pPr>
      <w:r>
        <w:rPr>
          <w:rFonts w:hint="eastAsia" w:ascii="宋体" w:hAnsi="宋体" w:cs="宋体"/>
          <w:color w:val="auto"/>
          <w:sz w:val="24"/>
          <w:szCs w:val="24"/>
          <w:highlight w:val="none"/>
        </w:rPr>
        <w:t>（四）乙方对保密信息未经甲方许可进行披露（包括且不限于故意，过失或疏忽）或有其他违反保密义务的行为，甲方有权解除本合同，且乙方应当按本合同总金额</w:t>
      </w:r>
      <w:r>
        <w:rPr>
          <w:rFonts w:hint="eastAsia" w:ascii="宋体" w:hAnsi="宋体" w:cs="宋体"/>
          <w:color w:val="auto"/>
          <w:sz w:val="24"/>
          <w:highlight w:val="none"/>
        </w:rPr>
        <w:t>2</w:t>
      </w:r>
      <w:r>
        <w:rPr>
          <w:rFonts w:hint="eastAsia" w:ascii="宋体" w:hAnsi="宋体" w:cs="宋体"/>
          <w:color w:val="auto"/>
          <w:sz w:val="24"/>
          <w:szCs w:val="24"/>
          <w:highlight w:val="none"/>
        </w:rPr>
        <w:t>0%的标准向甲方支付泄密违约金，并向甲方及其关联主体赔偿因此受到的全部直接和间接损失。此外，甲方还有权寻求停止侵害的禁令或其他类似的法律救济。</w:t>
      </w:r>
    </w:p>
    <w:p w14:paraId="1F1E4B3F">
      <w:pPr>
        <w:spacing w:line="360" w:lineRule="auto"/>
        <w:ind w:firstLine="480"/>
        <w:rPr>
          <w:rFonts w:ascii="宋体" w:hAnsi="宋体" w:cs="宋体"/>
          <w:color w:val="auto"/>
          <w:sz w:val="24"/>
          <w:highlight w:val="none"/>
        </w:rPr>
      </w:pPr>
      <w:r>
        <w:rPr>
          <w:rFonts w:hint="eastAsia" w:ascii="宋体" w:hAnsi="宋体" w:cs="宋体"/>
          <w:color w:val="auto"/>
          <w:sz w:val="24"/>
          <w:szCs w:val="24"/>
          <w:highlight w:val="none"/>
        </w:rPr>
        <w:t>（五）无论本合同是否变更、解除或终止，合同的保密条款不受其限制而继续有效，乙方都应继续承担保密条款约定的保密义务。保密义务的期限为永久。</w:t>
      </w:r>
    </w:p>
    <w:p w14:paraId="77BC09AB">
      <w:pPr>
        <w:pStyle w:val="18"/>
        <w:spacing w:line="360" w:lineRule="auto"/>
        <w:rPr>
          <w:color w:val="auto"/>
          <w:highlight w:val="none"/>
        </w:rPr>
      </w:pPr>
      <w:r>
        <w:rPr>
          <w:rFonts w:hint="eastAsia" w:cs="宋体"/>
          <w:color w:val="auto"/>
          <w:sz w:val="24"/>
          <w:szCs w:val="24"/>
          <w:highlight w:val="none"/>
        </w:rPr>
        <w:t>（六）无论基于何种原因，在合同履行过程中或合同履行完成时，当甲方向乙方发出返还全部保密信息资料的媒体、复印件、影印件、摘要的书面通知后，乙方应在书面通知送达后的5日内全部返还。本合同履行完成后，乙方及其所属员工也不得再为任何目的使用上述保密信息。</w:t>
      </w:r>
    </w:p>
    <w:p w14:paraId="1F86FEE7">
      <w:pPr>
        <w:pStyle w:val="18"/>
        <w:spacing w:line="360" w:lineRule="auto"/>
        <w:rPr>
          <w:rFonts w:cs="宋体"/>
          <w:b/>
          <w:bCs/>
          <w:color w:val="auto"/>
          <w:sz w:val="24"/>
          <w:szCs w:val="24"/>
          <w:highlight w:val="none"/>
        </w:rPr>
      </w:pPr>
      <w:r>
        <w:rPr>
          <w:rFonts w:hint="eastAsia" w:cs="宋体"/>
          <w:b/>
          <w:bCs/>
          <w:color w:val="auto"/>
          <w:sz w:val="24"/>
          <w:szCs w:val="24"/>
          <w:highlight w:val="none"/>
        </w:rPr>
        <w:t xml:space="preserve"> 十二、售后服务</w:t>
      </w:r>
    </w:p>
    <w:p w14:paraId="1947244C">
      <w:pPr>
        <w:pStyle w:val="18"/>
        <w:spacing w:line="360" w:lineRule="auto"/>
        <w:rPr>
          <w:rFonts w:cs="宋体"/>
          <w:color w:val="auto"/>
          <w:sz w:val="24"/>
          <w:szCs w:val="24"/>
          <w:highlight w:val="none"/>
        </w:rPr>
      </w:pPr>
      <w:r>
        <w:rPr>
          <w:rFonts w:hint="eastAsia" w:cs="宋体"/>
          <w:color w:val="auto"/>
          <w:sz w:val="24"/>
          <w:szCs w:val="24"/>
          <w:highlight w:val="none"/>
        </w:rPr>
        <w:t>（一）免费质保期内，乙方对于甲方提出的服务要求，应在【 】小时内响应并【 】小时内到达现场进行服务，【 】小时内修复故障；特殊情况经甲方书面同意后可延长故障修复时间1-3日。</w:t>
      </w:r>
    </w:p>
    <w:p w14:paraId="1602D37B">
      <w:pPr>
        <w:pStyle w:val="18"/>
        <w:spacing w:line="360" w:lineRule="auto"/>
        <w:rPr>
          <w:rFonts w:asciiTheme="minorEastAsia" w:hAnsiTheme="minorEastAsia" w:eastAsiaTheme="minorEastAsia" w:cstheme="minorEastAsia"/>
          <w:color w:val="auto"/>
          <w:sz w:val="24"/>
          <w:szCs w:val="24"/>
          <w:highlight w:val="none"/>
        </w:rPr>
      </w:pPr>
      <w:r>
        <w:rPr>
          <w:rFonts w:hint="eastAsia" w:cs="宋体"/>
          <w:color w:val="auto"/>
          <w:sz w:val="24"/>
          <w:szCs w:val="24"/>
          <w:highlight w:val="none"/>
        </w:rPr>
        <w:t>（二）乙方未能按前述约定提供售后服务的，甲方有权自行聘请第三方进行维修，因此产生的费用由乙方承担，甲方有权直接从未支付的费用中扣除。</w:t>
      </w:r>
      <w:r>
        <w:rPr>
          <w:rFonts w:hint="eastAsia" w:asciiTheme="minorEastAsia" w:hAnsiTheme="minorEastAsia" w:eastAsiaTheme="minorEastAsia" w:cstheme="minorEastAsia"/>
          <w:color w:val="auto"/>
          <w:sz w:val="24"/>
          <w:szCs w:val="24"/>
          <w:highlight w:val="none"/>
        </w:rPr>
        <w:t>同时，乙方应向甲方支付本合同总金额20%的违约金，并赔偿甲方因此产生的全部损失。</w:t>
      </w:r>
    </w:p>
    <w:p w14:paraId="563331B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（三）售后服务标准：</w:t>
      </w:r>
    </w:p>
    <w:p w14:paraId="6FDBDAB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1、乙方对甲方进行免费培训和技术支持，为本项目制定培训内容，培训内容包含但不限于培训人员设置、培训安排、培训周期等内容。</w:t>
      </w:r>
    </w:p>
    <w:p w14:paraId="7D5C2A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2、培训次数：每年不少于1次。</w:t>
      </w:r>
    </w:p>
    <w:p w14:paraId="5E7D4A3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3、质保期内，乙方需对设备及硬件</w:t>
      </w:r>
      <w:r>
        <w:rPr>
          <w:rFonts w:hint="eastAsia" w:asciiTheme="minorEastAsia" w:hAnsiTheme="minorEastAsia" w:eastAsiaTheme="minorEastAsia" w:cstheme="minorEastAsia"/>
          <w:color w:val="auto"/>
          <w:sz w:val="24"/>
          <w:szCs w:val="24"/>
          <w:highlight w:val="none"/>
          <w:lang w:val="en-US" w:eastAsia="zh-CN"/>
        </w:rPr>
        <w:t>运</w:t>
      </w:r>
      <w:r>
        <w:rPr>
          <w:rFonts w:hint="eastAsia" w:asciiTheme="minorEastAsia" w:hAnsiTheme="minorEastAsia" w:eastAsiaTheme="minorEastAsia" w:cstheme="minorEastAsia"/>
          <w:color w:val="auto"/>
          <w:sz w:val="24"/>
          <w:szCs w:val="24"/>
          <w:highlight w:val="none"/>
        </w:rPr>
        <w:t>行情况进行现场人工巡检工作，每半年一次，需制定巡检记录表。</w:t>
      </w:r>
    </w:p>
    <w:p w14:paraId="42D3B0A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4、质保期内提供备品备件服务。</w:t>
      </w:r>
    </w:p>
    <w:p w14:paraId="107DF34C">
      <w:pPr>
        <w:spacing w:line="360" w:lineRule="auto"/>
        <w:ind w:firstLine="48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5、在承诺的免费质保期内“急救箱”中配备的产品若出现过期或临保情况的，乙方需配合甲方及时更换成新鲜日期的产品，质保日期须与承诺的免费质保期同步。</w:t>
      </w:r>
    </w:p>
    <w:p w14:paraId="3A91AA9E">
      <w:pPr>
        <w:spacing w:line="360" w:lineRule="auto"/>
        <w:ind w:firstLine="48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十三、安全生产</w:t>
      </w:r>
    </w:p>
    <w:p w14:paraId="1414D2D0">
      <w:pPr>
        <w:spacing w:line="36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（一）在项目实施及质保期间，乙方应当配备必要的安全生产管理人员，负责项目实施期间人员安全教育和安全管理，如实施过程中存在人身安全风险的，乙方应当为实施人员购买必要的人身安全保险。</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（二）所有作业人员均需按照国家法律法规之规定，取得对应上岗资格证书、作业许可证书、特种作业证书等相关资格证书，方可上岗作业。</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三）乙方应按照法律法规制定安全作业规范，在项目实施过程中，乙方一方发生的一切安全事故或给第三方造成的损害，由乙方自行承担责任，甲方不对乙方项目实施人员负任何安全责任；若给甲方造成损失和伤害的，乙方应承担相应责任，赔偿一切直接、间接损失。</w:t>
      </w:r>
    </w:p>
    <w:p w14:paraId="2F6E13C2">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十四、违约责任</w:t>
      </w:r>
    </w:p>
    <w:p w14:paraId="0D5B742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合同一方不履行合同义务或者履行合同义务不符合约定的，应当承担继续履行、采取补救措施或赔偿损失等违约责任。</w:t>
      </w:r>
    </w:p>
    <w:p w14:paraId="376EF7E8">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（一）甲方违约责任</w:t>
      </w:r>
    </w:p>
    <w:p w14:paraId="1FD05BF9">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1、本合同生效后，甲方无正当理由要求退货的，应向乙方支付本合同总金额20%的违约金，违约金不足以弥补损失的，乙方有权要求甲方补足。</w:t>
      </w:r>
    </w:p>
    <w:p w14:paraId="4CD16F63">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2、甲方逾期支付合同价款的，每逾期1日，应向乙方支付逾期付款金额万分之四的违约金，</w:t>
      </w:r>
      <w:bookmarkStart w:id="44" w:name="_Hlk27642747"/>
      <w:r>
        <w:rPr>
          <w:rFonts w:hint="eastAsia" w:asciiTheme="minorEastAsia" w:hAnsiTheme="minorEastAsia" w:eastAsiaTheme="minorEastAsia" w:cstheme="minorEastAsia"/>
          <w:color w:val="auto"/>
          <w:sz w:val="24"/>
          <w:szCs w:val="24"/>
          <w:highlight w:val="none"/>
        </w:rPr>
        <w:t>但甲方支付的该项违约金总额以逾期付款金额的5%为限</w:t>
      </w:r>
      <w:bookmarkEnd w:id="44"/>
      <w:r>
        <w:rPr>
          <w:rFonts w:hint="eastAsia" w:asciiTheme="minorEastAsia" w:hAnsiTheme="minorEastAsia" w:eastAsiaTheme="minorEastAsia" w:cstheme="minorEastAsia"/>
          <w:color w:val="auto"/>
          <w:sz w:val="24"/>
          <w:szCs w:val="24"/>
          <w:highlight w:val="none"/>
        </w:rPr>
        <w:t>。</w:t>
      </w:r>
    </w:p>
    <w:p w14:paraId="76090CDC">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3、甲方违反本合同规定，无正当理由拒绝接收乙方交付的合格标的物的，应当承担因此给乙方造成的损失。</w:t>
      </w:r>
    </w:p>
    <w:p w14:paraId="502E09CF">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（二）乙方违约责任</w:t>
      </w:r>
    </w:p>
    <w:p w14:paraId="3A87D167">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1、乙方未能按本合同约定的期限交付质量符合本合同约定货物的，甲方有权按顺序采取以下措施：</w:t>
      </w:r>
    </w:p>
    <w:p w14:paraId="53D3CDDD">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（1）每逾期一日，要求乙方按照本合同总金额的万分之四向甲方支付违约金，并在甲方指定期限内交付符合本合同约定的货物。</w:t>
      </w:r>
    </w:p>
    <w:p w14:paraId="7AE3E537">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（2）逾期超过30日，仍不能按质按量交付的，甲方有权直接解除本合同，同时乙方应当立即退回已收取的全部款项并向甲方支付本合同总金额【20】%的违约金。</w:t>
      </w:r>
    </w:p>
    <w:p w14:paraId="09D013DE">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2、因乙方违约导致甲方解除合同的，甲方有权另行采购本合同约定的设备，乙方应当支付甲方因此额外支付的费用和受到的损失，包括但不限于： 采购费用以及因退货所产生的运输、存储费用，因乙方违约导致逾期交付的损失（损失参照合同约定的逾期交付违约金计算方式进行认定）等一切费用和损失。</w:t>
      </w:r>
    </w:p>
    <w:p w14:paraId="4ADB994E">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本合同另有约定以外，若乙方违反本合同约定的，且经甲方催告后【7】日内仍未改正的或该违约情形无法改正的，甲方有权要求乙方立即向甲方支付本合同总金额【20】%的违约金，且甲方有权解除本合同，要求乙方立即退回本合同项下已收取的全部款项。</w:t>
      </w:r>
    </w:p>
    <w:p w14:paraId="2FD6E079">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4、乙方因履行本合同而需向甲方支付款项的（包括但不限于违约赔偿、退款等），甲方有权直接自未付款项中予以抵扣，不足部分甲方有权要求乙方补足。</w:t>
      </w:r>
    </w:p>
    <w:p w14:paraId="429906B1">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5、乙方逾期支付本合同约定的任何款项（包括但不限于违约赔偿、退款等）的，每逾期一日，乙方应</w:t>
      </w:r>
      <w:r>
        <w:rPr>
          <w:rFonts w:hint="eastAsia" w:asciiTheme="minorEastAsia" w:hAnsiTheme="minorEastAsia" w:eastAsiaTheme="minorEastAsia" w:cstheme="minorEastAsia"/>
          <w:color w:val="auto"/>
          <w:sz w:val="24"/>
          <w:szCs w:val="24"/>
          <w:highlight w:val="none"/>
          <w:lang w:eastAsia="zh-CN"/>
        </w:rPr>
        <w:t>当向</w:t>
      </w:r>
      <w:r>
        <w:rPr>
          <w:rFonts w:hint="eastAsia" w:asciiTheme="minorEastAsia" w:hAnsiTheme="minorEastAsia" w:eastAsiaTheme="minorEastAsia" w:cstheme="minorEastAsia"/>
          <w:color w:val="auto"/>
          <w:sz w:val="24"/>
          <w:szCs w:val="24"/>
          <w:highlight w:val="none"/>
        </w:rPr>
        <w:t>甲方支付逾期金额万分之四的违约金。</w:t>
      </w:r>
    </w:p>
    <w:p w14:paraId="5444C01F">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6、本合同约定的乙方应付违约金不足以弥补甲方一切直接或间接损失的，乙方应当足额赔偿。</w:t>
      </w:r>
    </w:p>
    <w:p w14:paraId="474A6747">
      <w:pPr>
        <w:spacing w:line="360" w:lineRule="auto"/>
        <w:ind w:firstLine="480"/>
        <w:outlineLvl w:val="0"/>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7、</w:t>
      </w:r>
      <w:r>
        <w:rPr>
          <w:rFonts w:hint="eastAsia" w:ascii="宋体" w:hAnsi="宋体" w:cs="宋体"/>
          <w:color w:val="auto"/>
          <w:sz w:val="24"/>
          <w:highlight w:val="none"/>
        </w:rPr>
        <w:t>乙方对招投标文件中承诺函所承诺的内容未按约定提供，甲方有权终止合同，且乙方需向甲方支付本合同总金额【20】%的违约金。</w:t>
      </w:r>
    </w:p>
    <w:p w14:paraId="4D50B039">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8、乙方违反本合同第八条约定之情形的，除按相应条款承担违约责任外，甲方还有权依据本合同第十四条追究其违约责任。</w:t>
      </w:r>
    </w:p>
    <w:p w14:paraId="26C55804">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十五、不可抗力</w:t>
      </w:r>
    </w:p>
    <w:p w14:paraId="57F81E74">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（一）合同一方因不可抗力不能履行合同的，根据不可抗力的影响，部分或者全部免除责任。但合同一方延迟履行后发生不可抗力的，不能免除责任。</w:t>
      </w:r>
    </w:p>
    <w:p w14:paraId="3201DEA6">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（二）合同一方因不可抗力不能履行合同的，应当在不可抗力发生后3日内通知对方，以减轻可能给对方造成的损失，并应当</w:t>
      </w:r>
      <w:bookmarkStart w:id="45" w:name="_Hlk62832803"/>
      <w:r>
        <w:rPr>
          <w:rFonts w:hint="eastAsia" w:asciiTheme="minorEastAsia" w:hAnsiTheme="minorEastAsia" w:eastAsiaTheme="minorEastAsia" w:cstheme="minorEastAsia"/>
          <w:color w:val="auto"/>
          <w:sz w:val="24"/>
          <w:szCs w:val="24"/>
          <w:highlight w:val="none"/>
        </w:rPr>
        <w:t>在不可抗力通知发出后的7日</w:t>
      </w:r>
      <w:bookmarkEnd w:id="45"/>
      <w:r>
        <w:rPr>
          <w:rFonts w:hint="eastAsia" w:asciiTheme="minorEastAsia" w:hAnsiTheme="minorEastAsia" w:eastAsiaTheme="minorEastAsia" w:cstheme="minorEastAsia"/>
          <w:color w:val="auto"/>
          <w:sz w:val="24"/>
          <w:szCs w:val="24"/>
          <w:highlight w:val="none"/>
        </w:rPr>
        <w:t>内提供书面证明文件。</w:t>
      </w:r>
    </w:p>
    <w:p w14:paraId="5BFCB935">
      <w:pPr>
        <w:spacing w:line="360" w:lineRule="auto"/>
        <w:ind w:firstLine="480"/>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bookmarkStart w:id="46" w:name="_Hlk62832818"/>
      <w:r>
        <w:rPr>
          <w:rFonts w:hint="eastAsia" w:asciiTheme="minorEastAsia" w:hAnsiTheme="minorEastAsia" w:eastAsiaTheme="minorEastAsia" w:cstheme="minorEastAsia"/>
          <w:color w:val="auto"/>
          <w:sz w:val="24"/>
          <w:szCs w:val="24"/>
          <w:highlight w:val="none"/>
        </w:rPr>
        <w:t>不可抗力事由消除后，合同继续履行或解除等相关事宜，由合同双方协商解决。</w:t>
      </w:r>
      <w:bookmarkEnd w:id="46"/>
    </w:p>
    <w:p w14:paraId="76305A63">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十六、索赔</w:t>
      </w:r>
    </w:p>
    <w:p w14:paraId="48B7E9A7">
      <w:pPr>
        <w:tabs>
          <w:tab w:val="left" w:pos="251"/>
        </w:tabs>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w:t>
      </w:r>
      <w:bookmarkStart w:id="47" w:name="_Hlk62832834"/>
      <w:r>
        <w:rPr>
          <w:rFonts w:hint="eastAsia" w:asciiTheme="minorEastAsia" w:hAnsiTheme="minorEastAsia" w:eastAsiaTheme="minorEastAsia" w:cstheme="minorEastAsia"/>
          <w:color w:val="auto"/>
          <w:sz w:val="24"/>
          <w:szCs w:val="24"/>
          <w:highlight w:val="none"/>
        </w:rPr>
        <w:t>乙方交付的本合同货物的质量、数量、规格、性能等经检验（检测）、验收不合格的，</w:t>
      </w:r>
      <w:bookmarkEnd w:id="47"/>
      <w:r>
        <w:rPr>
          <w:rFonts w:hint="eastAsia" w:asciiTheme="minorEastAsia" w:hAnsiTheme="minorEastAsia" w:eastAsiaTheme="minorEastAsia" w:cstheme="minorEastAsia"/>
          <w:color w:val="auto"/>
          <w:sz w:val="24"/>
          <w:szCs w:val="24"/>
          <w:highlight w:val="none"/>
        </w:rPr>
        <w:t>甲方有权根据具有国家法定资质的第三方检验（检测）机构出具的检验（检测）结果、验收证书向乙方提出索赔。</w:t>
      </w:r>
    </w:p>
    <w:p w14:paraId="4AAC1CF9">
      <w:pPr>
        <w:tabs>
          <w:tab w:val="left" w:pos="251"/>
        </w:tabs>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（二）在本合同规定的检验（检测）期限和质量保证期内，如果乙方对甲方提出的索赔或异议有责任，则乙方应按甲方同意的下列一种或多种方式解决索赔事宜：</w:t>
      </w:r>
    </w:p>
    <w:p w14:paraId="679B0DAE">
      <w:pPr>
        <w:tabs>
          <w:tab w:val="left" w:pos="251"/>
        </w:tabs>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乙方同意退货，并按本合同规定的货币形式将货款退还给甲方，并且承担由此发生的一切直接、间接损失和费用，包括利息、银行手续费、运费、总包配合费、保险费、检验（检测）费、仓储费、装卸费以及为保护退回货物所需的其他必要费用。</w:t>
      </w:r>
    </w:p>
    <w:p w14:paraId="2E262C3B">
      <w:pPr>
        <w:tabs>
          <w:tab w:val="left" w:pos="0"/>
        </w:tabs>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2、根据货物的低劣程度、损坏程度以及甲方遭受损失的数额，经甲乙双方协商确定降低货物的价格。</w:t>
      </w:r>
    </w:p>
    <w:p w14:paraId="50A5D452">
      <w:pPr>
        <w:tabs>
          <w:tab w:val="left" w:pos="251"/>
        </w:tabs>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w:t>
      </w:r>
      <w:bookmarkStart w:id="48" w:name="_Hlk62832935"/>
      <w:r>
        <w:rPr>
          <w:rFonts w:hint="eastAsia" w:asciiTheme="minorEastAsia" w:hAnsiTheme="minorEastAsia" w:eastAsiaTheme="minorEastAsia" w:cstheme="minorEastAsia"/>
          <w:color w:val="auto"/>
          <w:sz w:val="24"/>
          <w:szCs w:val="24"/>
          <w:highlight w:val="none"/>
        </w:rPr>
        <w:t>乙方应在收到甲方书面索赔通知后7日内，</w:t>
      </w:r>
      <w:bookmarkEnd w:id="48"/>
      <w:r>
        <w:rPr>
          <w:rFonts w:hint="eastAsia" w:asciiTheme="minorEastAsia" w:hAnsiTheme="minorEastAsia" w:eastAsiaTheme="minorEastAsia" w:cstheme="minorEastAsia"/>
          <w:color w:val="auto"/>
          <w:sz w:val="24"/>
          <w:szCs w:val="24"/>
          <w:highlight w:val="none"/>
        </w:rPr>
        <w:t>负责采用符合规格、质量和性能要求的新零件、部件或货物来更换有缺陷的部分或修补缺陷部分或直接更换，乙方应承担由此产生的一切费用和风险，给甲方造成损失的，应赔偿甲方一切直接、间接损失。同时，乙方应按本合同规定，相应延长修补或被更换部件或货物的质量保证期。</w:t>
      </w:r>
    </w:p>
    <w:p w14:paraId="795D9B55">
      <w:pPr>
        <w:tabs>
          <w:tab w:val="left" w:pos="251"/>
        </w:tabs>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三）如果在甲方发出书面索赔通知后7日内，乙方未能答复的，上述索赔应视为已被乙方接受。若乙方未在甲方提出书面索赔通知后7日内或甲方同意的延长期限内，按照本合同规定的任何一种方法解决索赔事宜的，甲方有权从未支付的款项或乙方提供的履约保证金（如有）中扣除索赔金额，如果此金额不足以弥补甲方损失的，甲方有权要求乙方补足。 </w:t>
      </w:r>
    </w:p>
    <w:p w14:paraId="5F04AF30">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十七、合同的解除和转让</w:t>
      </w:r>
    </w:p>
    <w:p w14:paraId="199D90DD">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（一）除《</w:t>
      </w:r>
      <w:r>
        <w:rPr>
          <w:rFonts w:hint="eastAsia" w:asciiTheme="minorEastAsia" w:hAnsiTheme="minorEastAsia" w:eastAsiaTheme="minorEastAsia" w:cstheme="minorEastAsia"/>
          <w:color w:val="auto"/>
          <w:sz w:val="24"/>
          <w:szCs w:val="24"/>
          <w:highlight w:val="none"/>
          <w:lang w:eastAsia="zh-CN"/>
        </w:rPr>
        <w:t>中华人民共和国政府采购法</w:t>
      </w:r>
      <w:r>
        <w:rPr>
          <w:rFonts w:hint="eastAsia" w:asciiTheme="minorEastAsia" w:hAnsiTheme="minorEastAsia" w:eastAsiaTheme="minorEastAsia" w:cstheme="minorEastAsia"/>
          <w:color w:val="auto"/>
          <w:sz w:val="24"/>
          <w:szCs w:val="24"/>
          <w:highlight w:val="none"/>
        </w:rPr>
        <w:t>》第49条、第50条第二款规定的情形及本合同约定的情形外，本合同签订后，甲乙双方不得擅自变更、解除或终止本合同。</w:t>
      </w:r>
    </w:p>
    <w:p w14:paraId="1F27E6F9">
      <w:pPr>
        <w:spacing w:line="360" w:lineRule="auto"/>
        <w:outlineLvl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（二）有下列情形之一的，合同一方可以解除合同：</w:t>
      </w:r>
    </w:p>
    <w:p w14:paraId="2C467E5C">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1、因不可抗力致使不能实现合同目的的，未受不可抗力影响的一方有权解除合同；</w:t>
      </w:r>
    </w:p>
    <w:p w14:paraId="24965EE3">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2、因合同一方违约导致合同不能履行的，另一方有权解除合同；</w:t>
      </w:r>
    </w:p>
    <w:p w14:paraId="770E7E1D">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3、乙方存在违反本合同第八条之情形的，甲方有权解除合同。</w:t>
      </w:r>
    </w:p>
    <w:p w14:paraId="33134BD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4、有权解除合同的一方，应当在违约事实或不可抗力发生后30日内书面通知对方解除本合同，本合同在书面通知到达对方时解除。</w:t>
      </w:r>
    </w:p>
    <w:p w14:paraId="0AF8F8CC">
      <w:pPr>
        <w:spacing w:line="360" w:lineRule="auto"/>
        <w:rPr>
          <w:rFonts w:asciiTheme="minorEastAsia" w:hAnsiTheme="minorEastAsia" w:eastAsiaTheme="minorEastAsia" w:cstheme="minorEastAsia"/>
          <w:color w:val="auto"/>
          <w:sz w:val="24"/>
          <w:szCs w:val="24"/>
          <w:highlight w:val="none"/>
        </w:rPr>
      </w:pPr>
      <w:bookmarkStart w:id="49" w:name="_Toc13543222"/>
      <w:r>
        <w:rPr>
          <w:rFonts w:hint="eastAsia" w:asciiTheme="minorEastAsia" w:hAnsiTheme="minorEastAsia" w:eastAsiaTheme="minorEastAsia" w:cstheme="minorEastAsia"/>
          <w:b/>
          <w:bCs/>
          <w:color w:val="auto"/>
          <w:sz w:val="24"/>
          <w:szCs w:val="24"/>
          <w:highlight w:val="none"/>
        </w:rPr>
        <w:t xml:space="preserve"> 十八、合同的生效</w:t>
      </w:r>
      <w:bookmarkEnd w:id="49"/>
    </w:p>
    <w:p w14:paraId="59A97E04">
      <w:pPr>
        <w:spacing w:line="360" w:lineRule="auto"/>
        <w:ind w:firstLine="480"/>
        <w:rPr>
          <w:rFonts w:asciiTheme="minorEastAsia" w:hAnsiTheme="minorEastAsia" w:eastAsiaTheme="minorEastAsia" w:cstheme="minorEastAsia"/>
          <w:color w:val="auto"/>
          <w:sz w:val="24"/>
          <w:szCs w:val="24"/>
          <w:highlight w:val="none"/>
        </w:rPr>
      </w:pPr>
      <w:bookmarkStart w:id="50" w:name="_Toc13543223"/>
      <w:r>
        <w:rPr>
          <w:rFonts w:hint="eastAsia" w:asciiTheme="minorEastAsia" w:hAnsiTheme="minorEastAsia" w:eastAsiaTheme="minorEastAsia" w:cstheme="minorEastAsia"/>
          <w:color w:val="auto"/>
          <w:sz w:val="24"/>
          <w:szCs w:val="24"/>
          <w:highlight w:val="none"/>
          <w:lang w:val="zh-CN"/>
        </w:rPr>
        <w:t>本合同经甲乙双方法定代表人或授权代表人签字并加盖公章后即生效，</w:t>
      </w:r>
      <w:r>
        <w:rPr>
          <w:rFonts w:hint="eastAsia" w:asciiTheme="minorEastAsia" w:hAnsiTheme="minorEastAsia" w:eastAsiaTheme="minorEastAsia" w:cstheme="minorEastAsia"/>
          <w:color w:val="auto"/>
          <w:sz w:val="24"/>
          <w:szCs w:val="24"/>
          <w:highlight w:val="none"/>
        </w:rPr>
        <w:t>生效后须进行网上备案。</w:t>
      </w:r>
    </w:p>
    <w:p w14:paraId="49DFA7C6">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十九、争议解决</w:t>
      </w:r>
      <w:bookmarkEnd w:id="50"/>
    </w:p>
    <w:p w14:paraId="7D5EFB04">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甲乙双方因履行本合同或与本合同有关的一切事项发生争议的，应友好协商解决；协商不成的，任何一方均有权向甲方所在地人民法院起诉。</w:t>
      </w:r>
      <w:bookmarkStart w:id="51" w:name="_Hlk62833016"/>
      <w:r>
        <w:rPr>
          <w:rFonts w:hint="eastAsia" w:asciiTheme="minorEastAsia" w:hAnsiTheme="minorEastAsia" w:eastAsiaTheme="minorEastAsia" w:cstheme="minorEastAsia"/>
          <w:color w:val="auto"/>
          <w:sz w:val="24"/>
          <w:szCs w:val="24"/>
          <w:highlight w:val="none"/>
        </w:rPr>
        <w:t>因乙方违约或乙方追究甲方违约但不成立，导致甲方为处理此纠纷产生的费用由乙方承担，该费用包括但不限于诉讼费、保全费、鉴定费、执行费、律师费、差旅费等。</w:t>
      </w:r>
      <w:bookmarkEnd w:id="51"/>
      <w:bookmarkStart w:id="52" w:name="_Toc13543224"/>
      <w:bookmarkEnd w:id="52"/>
    </w:p>
    <w:p w14:paraId="3A3013C2">
      <w:pPr>
        <w:spacing w:line="360" w:lineRule="auto"/>
        <w:ind w:left="48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二十、其他附则</w:t>
      </w:r>
    </w:p>
    <w:p w14:paraId="6F1591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（一）合同份数：本合同一式【陆】份，甲方执【叁】份，乙方执【贰】份，采购代理机构执【壹】份，各份合同具有同等法律效力。</w:t>
      </w:r>
    </w:p>
    <w:p w14:paraId="0658A930">
      <w:pPr>
        <w:spacing w:line="360" w:lineRule="auto"/>
        <w:ind w:firstLine="48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（二）本合同未尽事宜应按《中华人民共和国民法典》《中华人民共和国政府采购法》</w:t>
      </w:r>
      <w:bookmarkStart w:id="53" w:name="_Hlk32483171"/>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其他</w:t>
      </w:r>
      <w:r>
        <w:rPr>
          <w:rFonts w:hint="eastAsia" w:asciiTheme="minorEastAsia" w:hAnsiTheme="minorEastAsia" w:eastAsiaTheme="minorEastAsia" w:cstheme="minorEastAsia"/>
          <w:color w:val="auto"/>
          <w:sz w:val="24"/>
          <w:szCs w:val="24"/>
          <w:highlight w:val="none"/>
        </w:rPr>
        <w:t>法律、法规</w:t>
      </w:r>
      <w:bookmarkEnd w:id="53"/>
      <w:r>
        <w:rPr>
          <w:rFonts w:hint="eastAsia" w:asciiTheme="minorEastAsia" w:hAnsiTheme="minorEastAsia" w:eastAsiaTheme="minorEastAsia" w:cstheme="minorEastAsia"/>
          <w:color w:val="auto"/>
          <w:sz w:val="24"/>
          <w:szCs w:val="24"/>
          <w:highlight w:val="none"/>
        </w:rPr>
        <w:t>之规定解释，</w:t>
      </w:r>
      <w:r>
        <w:rPr>
          <w:rFonts w:hint="eastAsia" w:asciiTheme="minorEastAsia" w:hAnsiTheme="minorEastAsia" w:eastAsiaTheme="minorEastAsia" w:cstheme="minorEastAsia"/>
          <w:bCs/>
          <w:color w:val="auto"/>
          <w:sz w:val="24"/>
          <w:szCs w:val="24"/>
          <w:highlight w:val="none"/>
        </w:rPr>
        <w:t>在执行过程中甲乙双方应在不违背本合同和采购文件的原则下协商解决，协商结果以书面形式盖章记录，作为本合同的附件，与本合同具有同等法律效力。</w:t>
      </w:r>
    </w:p>
    <w:p w14:paraId="55A781B4">
      <w:pPr>
        <w:spacing w:line="360" w:lineRule="auto"/>
        <w:ind w:firstLine="48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w:t>
      </w:r>
      <w:bookmarkStart w:id="54" w:name="_Hlk62833081"/>
      <w:r>
        <w:rPr>
          <w:rFonts w:hint="eastAsia" w:asciiTheme="minorEastAsia" w:hAnsiTheme="minorEastAsia" w:eastAsiaTheme="minorEastAsia" w:cstheme="minorEastAsia"/>
          <w:bCs/>
          <w:color w:val="auto"/>
          <w:sz w:val="24"/>
          <w:szCs w:val="24"/>
          <w:highlight w:val="none"/>
        </w:rPr>
        <w:t>本合同首部所载明的双方地址为甲乙双方认可的相关文件、法律文书送达地址，任何一方如更换通信地址应于3日内书面通知另一方，未通知的自行承担送达不能等不利后果。</w:t>
      </w:r>
    </w:p>
    <w:p w14:paraId="7F5158E2">
      <w:pPr>
        <w:spacing w:line="360" w:lineRule="auto"/>
        <w:ind w:firstLine="48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四）甲方根据本合同约定有权解除合同的，解除合同的通知自送达本合同首部填写的乙方地址后生效；若乙方拒绝签收或显示查无此人而导致解除合同的通知未能被乙方实际签收的，解除合同的通知自退回之日视为送达。</w:t>
      </w:r>
    </w:p>
    <w:p w14:paraId="30913B58">
      <w:pPr>
        <w:spacing w:line="360" w:lineRule="auto"/>
        <w:ind w:firstLine="48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（以下无正文）</w:t>
      </w:r>
      <w:bookmarkEnd w:id="54"/>
    </w:p>
    <w:p w14:paraId="6B05A2F3">
      <w:pPr>
        <w:spacing w:line="360" w:lineRule="auto"/>
        <w:ind w:firstLine="480"/>
        <w:rPr>
          <w:rFonts w:asciiTheme="minorEastAsia" w:hAnsiTheme="minorEastAsia" w:eastAsiaTheme="minorEastAsia" w:cstheme="minorEastAsia"/>
          <w:color w:val="auto"/>
          <w:sz w:val="24"/>
          <w:szCs w:val="24"/>
          <w:highlight w:val="none"/>
        </w:rPr>
      </w:pPr>
    </w:p>
    <w:p w14:paraId="642D851B">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甲方（盖章）：苏州市公安局               乙方（盖章）：</w:t>
      </w:r>
    </w:p>
    <w:p w14:paraId="307BCFAB">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法定（授权）代表人（签字）：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法定（授权）代表人（签字）：</w:t>
      </w:r>
    </w:p>
    <w:p w14:paraId="31A13D56">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     年    月   日                 日期：    年    月   日</w:t>
      </w:r>
    </w:p>
    <w:p w14:paraId="7EBB8AA5">
      <w:pPr>
        <w:spacing w:line="360" w:lineRule="auto"/>
        <w:ind w:firstLine="723"/>
        <w:rPr>
          <w:rFonts w:ascii="宋体" w:hAnsi="宋体" w:cs="宋体"/>
          <w:color w:val="auto"/>
          <w:sz w:val="24"/>
          <w:szCs w:val="24"/>
          <w:highlight w:val="none"/>
        </w:rPr>
      </w:pPr>
      <w:r>
        <w:rPr>
          <w:rFonts w:hint="eastAsia" w:ascii="宋体" w:hAnsi="宋体"/>
          <w:b/>
          <w:bCs/>
          <w:color w:val="auto"/>
          <w:sz w:val="36"/>
          <w:szCs w:val="36"/>
          <w:highlight w:val="none"/>
        </w:rPr>
        <w:br w:type="page" w:clear="all"/>
      </w:r>
    </w:p>
    <w:p w14:paraId="7FED7D1B">
      <w:pPr>
        <w:spacing w:line="360" w:lineRule="auto"/>
        <w:jc w:val="center"/>
        <w:outlineLvl w:val="0"/>
        <w:rPr>
          <w:rFonts w:ascii="宋体" w:hAnsi="宋体" w:cs="宋体"/>
          <w:bCs/>
          <w:color w:val="auto"/>
          <w:sz w:val="44"/>
          <w:szCs w:val="32"/>
          <w:highlight w:val="none"/>
        </w:rPr>
      </w:pPr>
      <w:r>
        <w:rPr>
          <w:rFonts w:hint="eastAsia" w:ascii="宋体" w:hAnsi="宋体" w:cs="宋体"/>
          <w:bCs/>
          <w:color w:val="auto"/>
          <w:sz w:val="44"/>
          <w:szCs w:val="32"/>
          <w:highlight w:val="none"/>
        </w:rPr>
        <w:t>第六章 评标方法、评分标准</w:t>
      </w:r>
    </w:p>
    <w:p w14:paraId="7DEB48AD">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一、评标方法：</w:t>
      </w:r>
    </w:p>
    <w:p w14:paraId="16975A10">
      <w:pPr>
        <w:pStyle w:val="258"/>
        <w:spacing w:line="360" w:lineRule="auto"/>
        <w:rPr>
          <w:rFonts w:hAnsi="宋体" w:eastAsia="宋体" w:cs="宋体"/>
          <w:color w:val="auto"/>
          <w:sz w:val="24"/>
          <w:szCs w:val="24"/>
          <w:highlight w:val="none"/>
        </w:rPr>
      </w:pPr>
      <w:r>
        <w:rPr>
          <w:rFonts w:hint="eastAsia" w:hAnsi="宋体" w:eastAsia="宋体" w:cs="宋体"/>
          <w:color w:val="auto"/>
          <w:sz w:val="24"/>
          <w:szCs w:val="24"/>
          <w:highlight w:val="none"/>
        </w:rPr>
        <w:t>1、本次招标评标采用综合评分法，即投标文件满足招标文件全部实质性要求，且按照评审因素的量化指标评审得分最高的投标人为中标候选人。</w:t>
      </w:r>
    </w:p>
    <w:p w14:paraId="0B95685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评标委员会各成员独立对每个进入打分程序的有效投标人的标书技术部分以打分的形式进行评审和评价。对评委的评分（除价格分外）进行统计汇总，直接算术平均计算得分（计算结果均四舍五入保留两位小数）。</w:t>
      </w:r>
    </w:p>
    <w:p w14:paraId="55A865E9">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二、综合评分标准：</w:t>
      </w:r>
    </w:p>
    <w:p w14:paraId="0F74C3DA">
      <w:pPr>
        <w:pStyle w:val="258"/>
        <w:spacing w:line="360" w:lineRule="auto"/>
        <w:rPr>
          <w:rFonts w:hAnsi="宋体" w:eastAsia="宋体"/>
          <w:b/>
          <w:color w:val="auto"/>
          <w:sz w:val="24"/>
          <w:szCs w:val="24"/>
          <w:highlight w:val="none"/>
        </w:rPr>
      </w:pPr>
      <w:r>
        <w:rPr>
          <w:rFonts w:hint="eastAsia" w:hAnsi="宋体" w:eastAsia="宋体"/>
          <w:b/>
          <w:color w:val="auto"/>
          <w:sz w:val="24"/>
          <w:szCs w:val="24"/>
          <w:highlight w:val="none"/>
        </w:rPr>
        <w:t>（一）价格基准分：50分</w:t>
      </w:r>
    </w:p>
    <w:p w14:paraId="699F8964">
      <w:pPr>
        <w:pStyle w:val="258"/>
        <w:spacing w:line="360" w:lineRule="auto"/>
        <w:ind w:firstLine="480"/>
        <w:rPr>
          <w:rFonts w:hAnsi="宋体" w:eastAsia="宋体"/>
          <w:color w:val="auto"/>
          <w:sz w:val="24"/>
          <w:szCs w:val="24"/>
          <w:highlight w:val="none"/>
        </w:rPr>
      </w:pPr>
      <w:r>
        <w:rPr>
          <w:rFonts w:hint="eastAsia" w:hAnsi="宋体" w:eastAsia="宋体"/>
          <w:color w:val="auto"/>
          <w:sz w:val="24"/>
          <w:szCs w:val="24"/>
          <w:highlight w:val="none"/>
        </w:rPr>
        <w:t>价格分采用低价优先法计算，即满足采购文件要求且投标价格最低的投标报价为评标基准价，其价格分为满分。</w:t>
      </w:r>
    </w:p>
    <w:p w14:paraId="249BAC4F">
      <w:pPr>
        <w:pStyle w:val="258"/>
        <w:spacing w:line="360" w:lineRule="auto"/>
        <w:ind w:firstLine="480"/>
        <w:rPr>
          <w:rFonts w:hAnsi="宋体" w:eastAsia="宋体"/>
          <w:color w:val="auto"/>
          <w:sz w:val="24"/>
          <w:szCs w:val="24"/>
          <w:highlight w:val="none"/>
        </w:rPr>
      </w:pPr>
      <w:r>
        <w:rPr>
          <w:rFonts w:hint="eastAsia" w:hAnsi="宋体" w:eastAsia="宋体"/>
          <w:color w:val="auto"/>
          <w:sz w:val="24"/>
          <w:szCs w:val="24"/>
          <w:highlight w:val="none"/>
        </w:rPr>
        <w:t>第一步：投标报价低于或等于财政预算价格的，为有效投标报价。超出此范围的投标报价为无效投标报价。无效投标报价的投标文件不进行评审，也不得标。</w:t>
      </w:r>
    </w:p>
    <w:p w14:paraId="5098600E">
      <w:pPr>
        <w:pStyle w:val="258"/>
        <w:spacing w:line="360" w:lineRule="auto"/>
        <w:ind w:firstLine="480"/>
        <w:rPr>
          <w:rFonts w:hAnsi="宋体" w:eastAsia="宋体"/>
          <w:color w:val="auto"/>
          <w:sz w:val="24"/>
          <w:szCs w:val="24"/>
          <w:highlight w:val="none"/>
        </w:rPr>
      </w:pPr>
      <w:r>
        <w:rPr>
          <w:rFonts w:hint="eastAsia" w:hAnsi="宋体" w:eastAsia="宋体"/>
          <w:color w:val="auto"/>
          <w:sz w:val="24"/>
          <w:szCs w:val="24"/>
          <w:highlight w:val="none"/>
        </w:rPr>
        <w:t>第二步：在所有有效投标报价中选择报价最低的确定为基准报价。</w:t>
      </w:r>
    </w:p>
    <w:p w14:paraId="1C478F7D">
      <w:pPr>
        <w:pStyle w:val="258"/>
        <w:spacing w:line="360" w:lineRule="auto"/>
        <w:ind w:firstLine="480"/>
        <w:rPr>
          <w:rFonts w:hAnsi="宋体" w:eastAsia="宋体"/>
          <w:color w:val="auto"/>
          <w:sz w:val="24"/>
          <w:szCs w:val="24"/>
          <w:highlight w:val="none"/>
        </w:rPr>
      </w:pPr>
      <w:r>
        <w:rPr>
          <w:rFonts w:hint="eastAsia" w:hAnsi="宋体" w:eastAsia="宋体"/>
          <w:color w:val="auto"/>
          <w:sz w:val="24"/>
          <w:szCs w:val="24"/>
          <w:highlight w:val="none"/>
        </w:rPr>
        <w:t>第三步：将所有有效报价与基准报价相比较：等于基准报价的得50分，其他投标人的价格分按照下列公式计算（计算结果四舍五入保留两位小数）：</w:t>
      </w:r>
    </w:p>
    <w:p w14:paraId="6EE9EE1F">
      <w:pPr>
        <w:pStyle w:val="272"/>
        <w:spacing w:line="360" w:lineRule="auto"/>
        <w:ind w:firstLine="480"/>
        <w:rPr>
          <w:rFonts w:hAnsi="宋体" w:eastAsia="宋体"/>
          <w:color w:val="auto"/>
          <w:sz w:val="24"/>
          <w:szCs w:val="24"/>
          <w:highlight w:val="none"/>
          <w:u w:val="single"/>
        </w:rPr>
      </w:pPr>
      <w:r>
        <w:rPr>
          <w:rFonts w:hint="eastAsia" w:hAnsi="宋体" w:eastAsia="宋体"/>
          <w:color w:val="auto"/>
          <w:sz w:val="24"/>
          <w:szCs w:val="24"/>
          <w:highlight w:val="none"/>
          <w:u w:val="single"/>
        </w:rPr>
        <w:t>投标报价得分＝（基准报价/投标报价）×50%×100</w:t>
      </w:r>
    </w:p>
    <w:p w14:paraId="2BF302E1">
      <w:pPr>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（二）技术参数（15分）</w:t>
      </w:r>
    </w:p>
    <w:p w14:paraId="4EE1202A">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技术参数中加“▲”项为重要指标，</w:t>
      </w:r>
      <w:r>
        <w:rPr>
          <w:rFonts w:hint="eastAsia" w:asciiTheme="minorEastAsia" w:hAnsiTheme="minorEastAsia" w:eastAsiaTheme="minorEastAsia" w:cstheme="minorEastAsia"/>
          <w:color w:val="auto"/>
          <w:sz w:val="24"/>
          <w:szCs w:val="24"/>
          <w:highlight w:val="none"/>
          <w:lang w:eastAsia="zh-CN"/>
        </w:rPr>
        <w:t>优于产品基本参数要求的</w:t>
      </w:r>
      <w:r>
        <w:rPr>
          <w:rFonts w:hint="eastAsia" w:asciiTheme="minorEastAsia" w:hAnsiTheme="minorEastAsia" w:eastAsiaTheme="minorEastAsia" w:cstheme="minorEastAsia"/>
          <w:color w:val="auto"/>
          <w:sz w:val="24"/>
          <w:szCs w:val="24"/>
          <w:highlight w:val="none"/>
        </w:rPr>
        <w:t>给予加分，</w:t>
      </w:r>
      <w:r>
        <w:rPr>
          <w:rFonts w:hint="eastAsia" w:asciiTheme="minorEastAsia" w:hAnsiTheme="minorEastAsia" w:eastAsiaTheme="minorEastAsia" w:cstheme="minorEastAsia"/>
          <w:color w:val="auto"/>
          <w:sz w:val="24"/>
          <w:szCs w:val="24"/>
          <w:highlight w:val="none"/>
          <w:lang w:eastAsia="zh-CN"/>
        </w:rPr>
        <w:t>得分只计一次不重复计分。</w:t>
      </w:r>
      <w:r>
        <w:rPr>
          <w:rFonts w:hint="eastAsia" w:asciiTheme="minorEastAsia" w:hAnsiTheme="minorEastAsia" w:eastAsiaTheme="minorEastAsia" w:cstheme="minorEastAsia"/>
          <w:color w:val="auto"/>
          <w:sz w:val="24"/>
          <w:szCs w:val="24"/>
          <w:highlight w:val="none"/>
        </w:rPr>
        <w:t>具体如下：（本项最高得15分）</w:t>
      </w:r>
    </w:p>
    <w:p w14:paraId="4837DBF7">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1、心电图机耐极化电压：550mv＜耐极化电压≤600mv得1分；600mv＜耐极化电压≤620mv得2分；耐极化电压＞620mv得3分。</w:t>
      </w:r>
    </w:p>
    <w:p w14:paraId="7894C49D">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2、心电图机采样率：1000Hz/通道＜采样率≤6000Hz/通道的得1分；6000Hz/通道＜采样率≤8000Hz/通道的得2分；采样率＞8000Hz/通道的得3分。</w:t>
      </w:r>
    </w:p>
    <w:p w14:paraId="752E2E1B">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3、心电图机12导联自动分析：200种＜分析结果≤240种的得1分；240种＜分析结果≤250种的得2分；分析结果＞250种的得3分。</w:t>
      </w:r>
    </w:p>
    <w:p w14:paraId="3A427379">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4、心电图机内置存储器：300件＜可存储≤400件得1分；400件＜可存储≤500件得2分；可存储＞500件得3分。</w:t>
      </w:r>
    </w:p>
    <w:p w14:paraId="0063CE4D">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5、心电图机屏幕尺寸：＞5.7英寸得1分；5.7英寸＜尺寸≤6.5英寸的得2分；6.5英寸＜尺寸≤7英寸得3分。</w:t>
      </w:r>
    </w:p>
    <w:p w14:paraId="0122E3D5">
      <w:pPr>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加“▲”项须在投标文件中提供以下任意一项证明材料（A.国家认可的第三方检测机构出具的合格检验报告书复印件并加盖投标单位公章；B.技术参数彩页复印件并加盖投标单位公章；C.产品说明书复印件并加盖投标单位公章）。未按要求提供、不提供证明材料的不得分。</w:t>
      </w:r>
    </w:p>
    <w:p w14:paraId="30B1ABE0">
      <w:pPr>
        <w:spacing w:line="360" w:lineRule="auto"/>
        <w:jc w:val="left"/>
        <w:rPr>
          <w:rFonts w:asciiTheme="minorEastAsia" w:hAnsiTheme="minorEastAsia" w:eastAsiaTheme="minorEastAsia" w:cstheme="minorEastAsia"/>
          <w:b/>
          <w:color w:val="auto"/>
          <w:sz w:val="24"/>
          <w:szCs w:val="24"/>
          <w:highlight w:val="none"/>
        </w:rPr>
      </w:pPr>
      <w:bookmarkStart w:id="55" w:name="OLE_LINK15"/>
      <w:bookmarkStart w:id="56" w:name="OLE_LINK22"/>
      <w:r>
        <w:rPr>
          <w:rFonts w:hint="eastAsia" w:asciiTheme="minorEastAsia" w:hAnsiTheme="minorEastAsia" w:eastAsiaTheme="minorEastAsia" w:cstheme="minorEastAsia"/>
          <w:b/>
          <w:color w:val="auto"/>
          <w:sz w:val="24"/>
          <w:szCs w:val="24"/>
          <w:highlight w:val="none"/>
        </w:rPr>
        <w:t>（三）服务实施方案（22分）</w:t>
      </w:r>
    </w:p>
    <w:p w14:paraId="22968EC9">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1、项目实施方案：6分</w:t>
      </w:r>
    </w:p>
    <w:p w14:paraId="6C4A890C">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投标单位须针对本项目的理解与分析，制定合理的项目实施方案，需包含：</w:t>
      </w:r>
    </w:p>
    <w:p w14:paraId="217262B0">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（1）货物质量保证措施（需包含服务承诺和规范的管理制度等内容）；</w:t>
      </w:r>
    </w:p>
    <w:p w14:paraId="78D4DDE9">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（2）安全送货保障方案（需包含货物的配送、安装与调试等内容）；</w:t>
      </w:r>
    </w:p>
    <w:p w14:paraId="201137D8">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（3）人员管理方案（需包含配备的相应的服务人员和相应的服务细则等内容）。</w:t>
      </w:r>
    </w:p>
    <w:p w14:paraId="0829EDCE">
      <w:pPr>
        <w:spacing w:line="360" w:lineRule="auto"/>
        <w:jc w:val="left"/>
        <w:rPr>
          <w:rFonts w:asciiTheme="minorEastAsia" w:hAnsiTheme="minorEastAsia" w:eastAsiaTheme="minorEastAsia" w:cstheme="minorEastAsia"/>
          <w:bCs/>
          <w:color w:val="auto"/>
          <w:sz w:val="24"/>
          <w:szCs w:val="24"/>
          <w:highlight w:val="none"/>
        </w:rPr>
      </w:pPr>
      <w:bookmarkStart w:id="57" w:name="OLE_LINK264"/>
      <w:bookmarkStart w:id="58" w:name="OLE_LINK263"/>
      <w:r>
        <w:rPr>
          <w:rFonts w:hint="eastAsia" w:asciiTheme="minorEastAsia" w:hAnsiTheme="minorEastAsia" w:eastAsiaTheme="minorEastAsia" w:cstheme="minorEastAsia"/>
          <w:bCs/>
          <w:color w:val="auto"/>
          <w:sz w:val="24"/>
          <w:szCs w:val="24"/>
          <w:highlight w:val="none"/>
        </w:rPr>
        <w:t>上述每项应逐条叙述，内容完整，条理清晰，每项得2分；内容有欠缺，方案不够清晰的得1分；每项叙述内容与采购需求偏差较大或未作完整叙述的，不得分。</w:t>
      </w:r>
      <w:bookmarkEnd w:id="57"/>
      <w:bookmarkEnd w:id="58"/>
    </w:p>
    <w:p w14:paraId="0F21A7B7">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2、售后服务方案：6分</w:t>
      </w:r>
    </w:p>
    <w:p w14:paraId="0BDD96C6">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投标单位须针对本项目的特点，制定完善的售后服务方案，需包含：</w:t>
      </w:r>
    </w:p>
    <w:p w14:paraId="67EFE2A5">
      <w:pP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（1）备品备件方案；</w:t>
      </w:r>
    </w:p>
    <w:p w14:paraId="3B28BC32">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（2）货物退换修及咨询（技术支持）方案；</w:t>
      </w:r>
    </w:p>
    <w:p w14:paraId="398A39FB">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（3）定期巡检方案。</w:t>
      </w:r>
    </w:p>
    <w:p w14:paraId="3B2354AF">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上述每项应逐条叙述，内容完整，条理清晰，每项得2分；内容有欠缺，方案不够清晰的得1分；每项叙述内容与采购需求偏差较大或未作完整叙述的，不得分。</w:t>
      </w:r>
    </w:p>
    <w:p w14:paraId="7DCC9B46">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3、培训方案：4分</w:t>
      </w:r>
    </w:p>
    <w:p w14:paraId="4A5D3800">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投标单位须针对本项目的特点，制定完善的培训方案，需包含：</w:t>
      </w:r>
    </w:p>
    <w:p w14:paraId="3209EABF">
      <w:pP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sz w:val="24"/>
          <w:szCs w:val="24"/>
          <w:highlight w:val="none"/>
        </w:rPr>
        <w:t>培训团队情况</w:t>
      </w:r>
      <w:r>
        <w:rPr>
          <w:rFonts w:hint="eastAsia" w:asciiTheme="minorEastAsia" w:hAnsiTheme="minorEastAsia" w:eastAsiaTheme="minorEastAsia" w:cstheme="minorEastAsia"/>
          <w:bCs/>
          <w:color w:val="auto"/>
          <w:sz w:val="24"/>
          <w:highlight w:val="none"/>
        </w:rPr>
        <w:t>；</w:t>
      </w:r>
    </w:p>
    <w:p w14:paraId="327B342D">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（2）培训内容及方法计划。</w:t>
      </w:r>
    </w:p>
    <w:p w14:paraId="4A33DEC9">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上述每项应逐条叙述，内容完整，条理清晰，每项得2分；内容有欠缺，方案不够清晰的得1分；每项叙述内容与采购需求偏差较大或未作完整叙述的，不得分。</w:t>
      </w:r>
    </w:p>
    <w:p w14:paraId="6E2D6FB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4、应急保障方案：6分</w:t>
      </w:r>
    </w:p>
    <w:p w14:paraId="30F5AF9F">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投标单位须针对本项目的特点，制定完善的应急保障方案，需包含：</w:t>
      </w:r>
    </w:p>
    <w:p w14:paraId="3D9F244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（1）故障特征假设及分析；</w:t>
      </w:r>
    </w:p>
    <w:p w14:paraId="6D01FD9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（2）应急组织与职责；</w:t>
      </w:r>
    </w:p>
    <w:p w14:paraId="24D5913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（3）故障应急处置程序及故障报告流程。</w:t>
      </w:r>
    </w:p>
    <w:p w14:paraId="59617A73">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上述每项应逐条叙述，内容完整，条理清晰，每项得2分；内容有欠缺，方案不够清晰的得1分；每项叙述内容与采购需求偏差较大或未作完整叙述的，不得分。</w:t>
      </w:r>
    </w:p>
    <w:p w14:paraId="3859F20D">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w:t>
      </w:r>
      <w:r>
        <w:rPr>
          <w:rFonts w:hint="eastAsia" w:asciiTheme="minorEastAsia" w:hAnsiTheme="minorEastAsia" w:eastAsiaTheme="minorEastAsia" w:cstheme="minorEastAsia"/>
          <w:b/>
          <w:color w:val="auto"/>
          <w:sz w:val="24"/>
          <w:szCs w:val="24"/>
          <w:highlight w:val="none"/>
          <w:lang w:val="zh-CN"/>
        </w:rPr>
        <w:t>项目免费质保期</w:t>
      </w:r>
      <w:r>
        <w:rPr>
          <w:rFonts w:hint="eastAsia" w:asciiTheme="minorEastAsia" w:hAnsiTheme="minorEastAsia" w:eastAsiaTheme="minorEastAsia" w:cstheme="minorEastAsia"/>
          <w:b/>
          <w:color w:val="auto"/>
          <w:sz w:val="24"/>
          <w:szCs w:val="24"/>
          <w:highlight w:val="none"/>
        </w:rPr>
        <w:t>及服务响应</w:t>
      </w:r>
      <w:r>
        <w:rPr>
          <w:rFonts w:hint="eastAsia" w:asciiTheme="minorEastAsia" w:hAnsiTheme="minorEastAsia" w:eastAsiaTheme="minorEastAsia" w:cstheme="minorEastAsia"/>
          <w:b/>
          <w:color w:val="auto"/>
          <w:sz w:val="24"/>
          <w:szCs w:val="24"/>
          <w:highlight w:val="none"/>
          <w:lang w:val="zh-CN"/>
        </w:rPr>
        <w:t>（</w:t>
      </w:r>
      <w:r>
        <w:rPr>
          <w:rFonts w:hint="eastAsia" w:asciiTheme="minorEastAsia" w:hAnsiTheme="minorEastAsia" w:eastAsiaTheme="minorEastAsia" w:cstheme="minorEastAsia"/>
          <w:b/>
          <w:color w:val="auto"/>
          <w:sz w:val="24"/>
          <w:szCs w:val="24"/>
          <w:highlight w:val="none"/>
        </w:rPr>
        <w:t>4</w:t>
      </w:r>
      <w:r>
        <w:rPr>
          <w:rFonts w:hint="eastAsia" w:asciiTheme="minorEastAsia" w:hAnsiTheme="minorEastAsia" w:eastAsiaTheme="minorEastAsia" w:cstheme="minorEastAsia"/>
          <w:b/>
          <w:color w:val="auto"/>
          <w:sz w:val="24"/>
          <w:szCs w:val="24"/>
          <w:highlight w:val="none"/>
          <w:lang w:val="zh-CN"/>
        </w:rPr>
        <w:t>分）</w:t>
      </w:r>
    </w:p>
    <w:p w14:paraId="35EA0BE3">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1、免费质保期：2分</w:t>
      </w:r>
    </w:p>
    <w:p w14:paraId="6D13776C">
      <w:pPr>
        <w:spacing w:line="360" w:lineRule="auto"/>
        <w:jc w:val="left"/>
        <w:rPr>
          <w:color w:val="auto"/>
          <w:highlight w:val="none"/>
        </w:rPr>
      </w:pPr>
      <w:r>
        <w:rPr>
          <w:rFonts w:hint="eastAsia" w:ascii="宋体" w:hAnsi="宋体"/>
          <w:bCs/>
          <w:color w:val="auto"/>
          <w:sz w:val="24"/>
          <w:highlight w:val="none"/>
        </w:rPr>
        <w:t>投标单位承诺免费质量保证期为4年，得0.5分；</w:t>
      </w:r>
    </w:p>
    <w:p w14:paraId="45EAE9D5">
      <w:pPr>
        <w:spacing w:line="360" w:lineRule="auto"/>
        <w:jc w:val="left"/>
        <w:rPr>
          <w:rFonts w:ascii="宋体" w:hAnsi="宋体"/>
          <w:bCs/>
          <w:color w:val="auto"/>
          <w:sz w:val="24"/>
          <w:highlight w:val="none"/>
        </w:rPr>
      </w:pPr>
      <w:r>
        <w:rPr>
          <w:rFonts w:hint="eastAsia" w:ascii="宋体" w:hAnsi="宋体"/>
          <w:bCs/>
          <w:color w:val="auto"/>
          <w:sz w:val="24"/>
          <w:highlight w:val="none"/>
        </w:rPr>
        <w:t>投标单位承诺免费质量保证期为5年，得1分；</w:t>
      </w:r>
    </w:p>
    <w:p w14:paraId="0A898E0E">
      <w:pPr>
        <w:spacing w:line="360" w:lineRule="auto"/>
        <w:jc w:val="left"/>
        <w:rPr>
          <w:rFonts w:ascii="宋体" w:hAnsi="宋体"/>
          <w:bCs/>
          <w:color w:val="auto"/>
          <w:sz w:val="24"/>
          <w:highlight w:val="none"/>
        </w:rPr>
      </w:pPr>
      <w:r>
        <w:rPr>
          <w:rFonts w:hint="eastAsia" w:ascii="宋体" w:hAnsi="宋体"/>
          <w:bCs/>
          <w:color w:val="auto"/>
          <w:sz w:val="24"/>
          <w:highlight w:val="none"/>
        </w:rPr>
        <w:t>投标单位承诺免费质量保证期为6年，得1.5分；</w:t>
      </w:r>
    </w:p>
    <w:p w14:paraId="72F54B5F">
      <w:pPr>
        <w:spacing w:line="360" w:lineRule="auto"/>
        <w:jc w:val="left"/>
        <w:rPr>
          <w:rFonts w:ascii="宋体" w:hAnsi="宋体"/>
          <w:bCs/>
          <w:color w:val="auto"/>
          <w:sz w:val="24"/>
          <w:highlight w:val="none"/>
        </w:rPr>
      </w:pPr>
      <w:r>
        <w:rPr>
          <w:rFonts w:hint="eastAsia" w:ascii="宋体" w:hAnsi="宋体"/>
          <w:bCs/>
          <w:color w:val="auto"/>
          <w:sz w:val="24"/>
          <w:highlight w:val="none"/>
        </w:rPr>
        <w:t>投标单位承诺免费质量保证期为7年，得2分。</w:t>
      </w:r>
    </w:p>
    <w:p w14:paraId="568F0E4E">
      <w:pPr>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注：投标文件中须提供投标单位承诺函并加盖投标单位公章，不提供不得分。</w:t>
      </w:r>
    </w:p>
    <w:p w14:paraId="2E2406FD">
      <w:pPr>
        <w:spacing w:line="360" w:lineRule="auto"/>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w:t>
      </w:r>
      <w:r>
        <w:rPr>
          <w:rFonts w:hint="eastAsia" w:asciiTheme="minorEastAsia" w:hAnsiTheme="minorEastAsia"/>
          <w:bCs/>
          <w:color w:val="auto"/>
          <w:sz w:val="24"/>
          <w:szCs w:val="24"/>
          <w:highlight w:val="none"/>
        </w:rPr>
        <w:t>服务响应能力：2分</w:t>
      </w:r>
    </w:p>
    <w:p w14:paraId="2E70E1A6">
      <w:pPr>
        <w:pStyle w:val="244"/>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如发生故障，投标单位承诺服务响应时间：</w:t>
      </w:r>
    </w:p>
    <w:p w14:paraId="216632B2">
      <w:pPr>
        <w:pStyle w:val="244"/>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（1）1.5小时＜响应时间＜2小时，且3小时＜到达现场时间＜4小时，得1分；</w:t>
      </w:r>
    </w:p>
    <w:p w14:paraId="2EB48A19">
      <w:pPr>
        <w:pStyle w:val="244"/>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（2）响应时间＜1小时，且到达现场时间＜2小时，得2分。</w:t>
      </w:r>
    </w:p>
    <w:p w14:paraId="1F5D3012">
      <w:pPr>
        <w:pStyle w:val="244"/>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注：投标文件中须提供投标单位承诺函并加盖</w:t>
      </w:r>
      <w:r>
        <w:rPr>
          <w:rFonts w:hint="eastAsia" w:asciiTheme="minorEastAsia" w:hAnsiTheme="minorEastAsia" w:eastAsiaTheme="minorEastAsia" w:cstheme="minorEastAsia"/>
          <w:b/>
          <w:color w:val="auto"/>
          <w:highlight w:val="none"/>
        </w:rPr>
        <w:t>投标</w:t>
      </w:r>
      <w:r>
        <w:rPr>
          <w:rFonts w:hint="eastAsia" w:asciiTheme="minorEastAsia" w:hAnsiTheme="minorEastAsia" w:eastAsiaTheme="minorEastAsia"/>
          <w:b/>
          <w:bCs/>
          <w:color w:val="auto"/>
          <w:highlight w:val="none"/>
        </w:rPr>
        <w:t>单位公章，不提供不得分。</w:t>
      </w:r>
      <w:bookmarkEnd w:id="55"/>
      <w:bookmarkEnd w:id="56"/>
    </w:p>
    <w:p w14:paraId="15EC327E">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w:t>
      </w:r>
      <w:r>
        <w:rPr>
          <w:rFonts w:hint="eastAsia" w:asciiTheme="minorEastAsia" w:hAnsiTheme="minorEastAsia" w:eastAsiaTheme="minorEastAsia" w:cstheme="minorEastAsia"/>
          <w:b/>
          <w:color w:val="auto"/>
          <w:sz w:val="24"/>
          <w:szCs w:val="24"/>
          <w:highlight w:val="none"/>
          <w:lang w:val="zh-CN"/>
        </w:rPr>
        <w:t>企业综合履约能力（</w:t>
      </w:r>
      <w:r>
        <w:rPr>
          <w:rFonts w:hint="eastAsia" w:asciiTheme="minorEastAsia" w:hAnsiTheme="minorEastAsia" w:eastAsiaTheme="minorEastAsia" w:cstheme="minorEastAsia"/>
          <w:b/>
          <w:color w:val="auto"/>
          <w:sz w:val="24"/>
          <w:szCs w:val="24"/>
          <w:highlight w:val="none"/>
        </w:rPr>
        <w:t>9</w:t>
      </w:r>
      <w:r>
        <w:rPr>
          <w:rFonts w:hint="eastAsia" w:asciiTheme="minorEastAsia" w:hAnsiTheme="minorEastAsia" w:eastAsiaTheme="minorEastAsia" w:cstheme="minorEastAsia"/>
          <w:b/>
          <w:color w:val="auto"/>
          <w:sz w:val="24"/>
          <w:szCs w:val="24"/>
          <w:highlight w:val="none"/>
          <w:lang w:val="zh-CN"/>
        </w:rPr>
        <w:t>分）</w:t>
      </w:r>
    </w:p>
    <w:p w14:paraId="207D386B">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1、投标单位或生产厂家具备有效期内的质量管理体系认证证书、环境管理体系认证证书、职业安全健康管理体系认证证书，每提供一个得1分，最高得3分。</w:t>
      </w:r>
    </w:p>
    <w:p w14:paraId="01C8AEC3">
      <w:pPr>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注：投标文件中须提供以上证书复印件并加盖投标单位公章或国家认证认可监督管理委员会官方网站上的查询截图并加盖投标单位公章，未按要求提供、不提供证明材料的不得分。</w:t>
      </w:r>
    </w:p>
    <w:p w14:paraId="1E627A04">
      <w:pPr>
        <w:spacing w:line="360" w:lineRule="auto"/>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2、投标单位提供2022年1月1日（以合同签订日期为准）起至今签订的类似业绩合同（合同中须包含与本次采购活动产品功能相同或类似的产品，同一</w:t>
      </w:r>
      <w:r>
        <w:rPr>
          <w:rFonts w:hint="eastAsia" w:ascii="宋体" w:hAnsi="宋体" w:cs="宋体" w:eastAsiaTheme="minorEastAsia"/>
          <w:color w:val="auto"/>
          <w:sz w:val="24"/>
          <w:highlight w:val="none"/>
        </w:rPr>
        <w:t>采购方的</w:t>
      </w:r>
      <w:r>
        <w:rPr>
          <w:rFonts w:hint="eastAsia" w:ascii="宋体" w:hAnsi="宋体" w:cs="宋体"/>
          <w:color w:val="auto"/>
          <w:sz w:val="24"/>
          <w:highlight w:val="none"/>
        </w:rPr>
        <w:t>合同只计一次，不重复得分</w:t>
      </w:r>
      <w:r>
        <w:rPr>
          <w:rFonts w:hint="eastAsia" w:asciiTheme="minorEastAsia" w:hAnsiTheme="minorEastAsia" w:eastAsiaTheme="minorEastAsia" w:cstheme="minorEastAsia"/>
          <w:bCs/>
          <w:color w:val="auto"/>
          <w:sz w:val="24"/>
          <w:szCs w:val="24"/>
          <w:highlight w:val="none"/>
        </w:rPr>
        <w:t>），每一份有效合同得3分，本项最高得6分。</w:t>
      </w:r>
    </w:p>
    <w:p w14:paraId="4A0B70C3">
      <w:pPr>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注：投标文件中须提供有效合同复印件以及合同对应的任意一期发票复印件并加盖投标单位公章，不提供或提供不齐全相关证明的不得分。</w:t>
      </w:r>
    </w:p>
    <w:p w14:paraId="2756BFF2">
      <w:pPr>
        <w:spacing w:line="360" w:lineRule="auto"/>
        <w:contextualSpacing/>
        <w:jc w:val="center"/>
        <w:rPr>
          <w:rFonts w:ascii="宋体" w:hAnsi="宋体" w:cs="宋体"/>
          <w:b/>
          <w:color w:val="auto"/>
          <w:sz w:val="24"/>
          <w:szCs w:val="24"/>
          <w:highlight w:val="none"/>
        </w:rPr>
      </w:pPr>
      <w:r>
        <w:rPr>
          <w:rFonts w:hint="eastAsia" w:ascii="宋体" w:hAnsi="宋体" w:cs="宋体"/>
          <w:b/>
          <w:color w:val="auto"/>
          <w:sz w:val="24"/>
          <w:szCs w:val="24"/>
          <w:highlight w:val="none"/>
        </w:rPr>
        <w:t>（全文完）</w:t>
      </w:r>
    </w:p>
    <w:sectPr>
      <w:headerReference r:id="rId17" w:type="first"/>
      <w:headerReference r:id="rId15" w:type="default"/>
      <w:footerReference r:id="rId18" w:type="default"/>
      <w:headerReference r:id="rId16" w:type="even"/>
      <w:pgSz w:w="11906" w:h="16838"/>
      <w:pgMar w:top="1440" w:right="1803" w:bottom="1440" w:left="1803" w:header="907"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2010609060101010101"/>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972C">
    <w:pPr>
      <w:pStyle w:val="260"/>
      <w:tabs>
        <w:tab w:val="left" w:pos="6702"/>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EF3E">
    <w:pPr>
      <w:pStyle w:val="2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46050"/>
              <wp:effectExtent l="0" t="0" r="0" b="0"/>
              <wp:wrapNone/>
              <wp:docPr id="5" name="文本框 2"/>
              <wp:cNvGraphicFramePr/>
              <a:graphic xmlns:a="http://schemas.openxmlformats.org/drawingml/2006/main">
                <a:graphicData uri="http://schemas.microsoft.com/office/word/2010/wordprocessingShape">
                  <wps:wsp>
                    <wps:cNvSpPr txBox="1"/>
                    <wps:spPr bwMode="auto">
                      <a:xfrm>
                        <a:off x="0" y="0"/>
                        <a:ext cx="64135" cy="146050"/>
                      </a:xfrm>
                      <a:prstGeom prst="rect">
                        <a:avLst/>
                      </a:prstGeom>
                      <a:noFill/>
                      <a:ln>
                        <a:noFill/>
                        <a:miter/>
                      </a:ln>
                    </wps:spPr>
                    <wps:txbx>
                      <w:txbxContent>
                        <w:p w14:paraId="6BFF1F9E">
                          <w:pPr>
                            <w:pStyle w:val="2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1.5pt;width:5.05pt;mso-position-horizontal:center;mso-position-horizontal-relative:margin;mso-wrap-style:none;z-index:251659264;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qy0ah0AAAAAMBAAAPAAAAAAAAAAEAIAAA&#10;ACIAAABkcnMvZG93bnJldi54bWxQSwECFAAUAAAACACHTuJAP3oUx9sBAACuAwAADgAAAAAAAAAB&#10;ACAAAAAfAQAAZHJzL2Uyb0RvYy54bWxQSwUGAAAAAAYABgBZAQAAbAUAAAAA&#10;">
              <v:fill on="f" focussize="0,0"/>
              <v:stroke on="f" joinstyle="miter"/>
              <v:imagedata o:title=""/>
              <o:lock v:ext="edit" aspectratio="f"/>
              <v:textbox inset="0mm,0mm,0mm,0mm" style="mso-fit-shape-to-text:t;">
                <w:txbxContent>
                  <w:p w14:paraId="6BFF1F9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0A39">
    <w:pPr>
      <w:pStyle w:val="2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6545" cy="146050"/>
              <wp:effectExtent l="0" t="0" r="0" b="0"/>
              <wp:wrapNone/>
              <wp:docPr id="6" name="文本框 3"/>
              <wp:cNvGraphicFramePr/>
              <a:graphic xmlns:a="http://schemas.openxmlformats.org/drawingml/2006/main">
                <a:graphicData uri="http://schemas.microsoft.com/office/word/2010/wordprocessingShape">
                  <wps:wsp>
                    <wps:cNvSpPr txBox="1"/>
                    <wps:spPr bwMode="auto">
                      <a:xfrm>
                        <a:off x="0" y="0"/>
                        <a:ext cx="296545" cy="146050"/>
                      </a:xfrm>
                      <a:prstGeom prst="rect">
                        <a:avLst/>
                      </a:prstGeom>
                      <a:noFill/>
                      <a:ln>
                        <a:noFill/>
                        <a:miter/>
                      </a:ln>
                    </wps:spPr>
                    <wps:txbx>
                      <w:txbxContent>
                        <w:p w14:paraId="1FD26086">
                          <w:pPr>
                            <w:pStyle w:val="24"/>
                          </w:pPr>
                          <w:r>
                            <w:fldChar w:fldCharType="begin"/>
                          </w:r>
                          <w:r>
                            <w:instrText xml:space="preserve"> PAGE  \* MERGEFORMAT </w:instrText>
                          </w:r>
                          <w:r>
                            <w:fldChar w:fldCharType="separate"/>
                          </w:r>
                          <w:r>
                            <w:t>23</w:t>
                          </w:r>
                          <w:r>
                            <w:fldChar w:fldCharType="end"/>
                          </w:r>
                        </w:p>
                      </w:txbxContent>
                    </wps:txbx>
                    <wps:bodyPr wrap="square" lIns="0" tIns="0" rIns="0" bIns="0" upright="1"/>
                  </wps:wsp>
                </a:graphicData>
              </a:graphic>
            </wp:anchor>
          </w:drawing>
        </mc:Choice>
        <mc:Fallback>
          <w:pict>
            <v:shape id="文本框 3" o:spid="_x0000_s1026" o:spt="202" type="#_x0000_t202" style="position:absolute;left:0pt;margin-top:0pt;height:11.5pt;width:23.35pt;mso-position-horizontal:center;mso-position-horizontal-relative:margin;z-index:251660288;mso-width-relative:page;mso-height-relative:page;" filled="f" stroked="f" coordsize="21600,21600" o:gfxdata="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xJeP3UAAAAAwEAAA8AAAAAAAAAAQAgAAAAIgAA&#10;AGRycy9kb3ducmV2LnhtbFBLAQIUABQAAAAIAIdO4kCs14YV0wEAAJcDAAAOAAAAAAAAAAEAIAAA&#10;ACMBAABkcnMvZTJvRG9jLnhtbFBLBQYAAAAABgAGAFkBAABoBQAAAAA=&#10;">
              <v:fill on="f" focussize="0,0"/>
              <v:stroke on="f" joinstyle="miter"/>
              <v:imagedata o:title=""/>
              <o:lock v:ext="edit" aspectratio="f"/>
              <v:textbox inset="0mm,0mm,0mm,0mm">
                <w:txbxContent>
                  <w:p w14:paraId="1FD26086">
                    <w:pPr>
                      <w:pStyle w:val="2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77F83">
    <w:pPr>
      <w:pStyle w:val="2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3840" cy="146050"/>
              <wp:effectExtent l="0" t="0" r="0" b="0"/>
              <wp:wrapNone/>
              <wp:docPr id="7" name="文本框 4"/>
              <wp:cNvGraphicFramePr/>
              <a:graphic xmlns:a="http://schemas.openxmlformats.org/drawingml/2006/main">
                <a:graphicData uri="http://schemas.microsoft.com/office/word/2010/wordprocessingShape">
                  <wps:wsp>
                    <wps:cNvSpPr txBox="1"/>
                    <wps:spPr bwMode="auto">
                      <a:xfrm>
                        <a:off x="0" y="0"/>
                        <a:ext cx="243840" cy="146050"/>
                      </a:xfrm>
                      <a:prstGeom prst="rect">
                        <a:avLst/>
                      </a:prstGeom>
                      <a:noFill/>
                      <a:ln>
                        <a:noFill/>
                        <a:miter/>
                      </a:ln>
                    </wps:spPr>
                    <wps:txbx>
                      <w:txbxContent>
                        <w:p w14:paraId="025B3833">
                          <w:pPr>
                            <w:pStyle w:val="24"/>
                          </w:pPr>
                          <w:r>
                            <w:fldChar w:fldCharType="begin"/>
                          </w:r>
                          <w:r>
                            <w:instrText xml:space="preserve"> PAGE  \* MERGEFORMAT </w:instrText>
                          </w:r>
                          <w:r>
                            <w:fldChar w:fldCharType="separate"/>
                          </w:r>
                          <w:r>
                            <w:t>39</w:t>
                          </w:r>
                          <w:r>
                            <w:fldChar w:fldCharType="end"/>
                          </w:r>
                        </w:p>
                      </w:txbxContent>
                    </wps:txbx>
                    <wps:bodyPr wrap="square" lIns="0" tIns="0" rIns="0" bIns="0" upright="1"/>
                  </wps:wsp>
                </a:graphicData>
              </a:graphic>
            </wp:anchor>
          </w:drawing>
        </mc:Choice>
        <mc:Fallback>
          <w:pict>
            <v:shape id="文本框 4" o:spid="_x0000_s1026" o:spt="202" type="#_x0000_t202" style="position:absolute;left:0pt;margin-top:0pt;height:11.5pt;width:19.2pt;mso-position-horizontal:center;mso-position-horizontal-relative:margin;z-index:251661312;mso-width-relative:page;mso-height-relative:page;" filled="f" stroked="f" coordsize="21600,21600" o:gfxdata="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IuZtNQAAAADAQAADwAAAAAAAAABACAAAAAiAAAA&#10;ZHJzL2Rvd25yZXYueG1sUEsBAhQAFAAAAAgAh07iQDeHbCnSAQAAlwMAAA4AAAAAAAAAAQAgAAAA&#10;IwEAAGRycy9lMm9Eb2MueG1sUEsFBgAAAAAGAAYAWQEAAGcFAAAAAA==&#10;">
              <v:fill on="f" focussize="0,0"/>
              <v:stroke on="f" joinstyle="miter"/>
              <v:imagedata o:title=""/>
              <o:lock v:ext="edit" aspectratio="f"/>
              <v:textbox inset="0mm,0mm,0mm,0mm">
                <w:txbxContent>
                  <w:p w14:paraId="025B3833">
                    <w:pPr>
                      <w:pStyle w:val="2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2599">
    <w:pPr>
      <w:pStyle w:val="259"/>
      <w:jc w:val="both"/>
    </w:pPr>
    <w:r>
      <w:rPr>
        <w:rFonts w:hint="eastAsia" w:ascii="宋体" w:hAnsi="宋体" w:cs="宋体"/>
        <w:b/>
        <w:bCs/>
        <w:sz w:val="24"/>
        <w:szCs w:val="24"/>
      </w:rPr>
      <w:t>政府采购文件</w:t>
    </w:r>
    <w:r>
      <w:rPr>
        <w:rFonts w:hint="eastAsia" w:ascii="宋体" w:hAnsi="宋体" w:cs="宋体"/>
        <w:b/>
        <w:bCs/>
        <w:sz w:val="24"/>
        <w:szCs w:val="24"/>
        <w:lang w:val="en-US" w:eastAsia="zh-CN"/>
      </w:rPr>
      <w:t xml:space="preserve">                                      </w:t>
    </w:r>
    <w:r>
      <w:rPr>
        <w:rFonts w:ascii="华文中宋" w:hAnsi="华文中宋" w:eastAsia="华文中宋"/>
        <w:b/>
        <w:sz w:val="24"/>
        <w:szCs w:val="24"/>
      </w:rPr>
      <w:drawing>
        <wp:inline distT="0" distB="0" distL="0" distR="0">
          <wp:extent cx="1513205" cy="282575"/>
          <wp:effectExtent l="0" t="0" r="10795" b="317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1513281" cy="282663"/>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2CFA">
    <w:pPr>
      <w:pStyle w:val="259"/>
      <w:jc w:val="both"/>
    </w:pPr>
    <w:r>
      <w:rPr>
        <w:rFonts w:hint="eastAsia" w:ascii="宋体" w:hAnsi="宋体" w:cs="宋体"/>
        <w:b/>
        <w:bCs/>
        <w:sz w:val="24"/>
        <w:szCs w:val="24"/>
      </w:rPr>
      <w:t>政府采购文件</w:t>
    </w:r>
    <w:r>
      <w:rPr>
        <w:rFonts w:hint="eastAsia" w:ascii="华文中宋" w:hAnsi="华文中宋" w:eastAsia="华文中宋"/>
        <w:b/>
        <w:bCs/>
        <w:sz w:val="24"/>
        <w:szCs w:val="24"/>
      </w:rPr>
      <w:t xml:space="preserve">                       </w:t>
    </w:r>
    <w:r>
      <w:rPr>
        <w:rFonts w:hint="eastAsia" w:ascii="华文中宋" w:hAnsi="华文中宋" w:eastAsia="华文中宋"/>
        <w:b/>
        <w:bCs/>
        <w:sz w:val="24"/>
        <w:szCs w:val="24"/>
        <w:lang w:val="en-US" w:eastAsia="zh-CN"/>
      </w:rPr>
      <w:t xml:space="preserve">  </w:t>
    </w:r>
    <w:r>
      <w:rPr>
        <w:rFonts w:hint="eastAsia" w:ascii="华文中宋" w:hAnsi="华文中宋" w:eastAsia="华文中宋"/>
        <w:b/>
        <w:bCs/>
        <w:sz w:val="24"/>
        <w:szCs w:val="24"/>
      </w:rPr>
      <w:t xml:space="preserve">  </w:t>
    </w:r>
    <w:r>
      <w:rPr>
        <w:rFonts w:hint="eastAsia" w:ascii="华文中宋" w:hAnsi="华文中宋" w:eastAsia="华文中宋"/>
        <w:b/>
        <w:bCs/>
        <w:sz w:val="24"/>
        <w:szCs w:val="24"/>
        <w:lang w:val="en-US" w:eastAsia="zh-CN"/>
      </w:rPr>
      <w:t xml:space="preserve">    </w:t>
    </w:r>
    <w:r>
      <w:rPr>
        <w:rFonts w:hint="eastAsia" w:ascii="华文中宋" w:hAnsi="华文中宋" w:eastAsia="华文中宋"/>
        <w:b/>
        <w:bCs/>
        <w:sz w:val="24"/>
        <w:szCs w:val="24"/>
      </w:rPr>
      <w:t xml:space="preserve">     </w:t>
    </w:r>
    <w:r>
      <w:rPr>
        <w:rFonts w:ascii="华文中宋" w:hAnsi="华文中宋" w:eastAsia="华文中宋"/>
        <w:b/>
        <w:sz w:val="24"/>
        <w:szCs w:val="24"/>
      </w:rPr>
      <w:drawing>
        <wp:inline distT="0" distB="0" distL="0" distR="0">
          <wp:extent cx="1513205" cy="282575"/>
          <wp:effectExtent l="0" t="0" r="10795" b="3175"/>
          <wp:docPr id="4" name="图片 7"/>
          <wp:cNvGraphicFramePr/>
          <a:graphic xmlns:a="http://schemas.openxmlformats.org/drawingml/2006/main">
            <a:graphicData uri="http://schemas.openxmlformats.org/drawingml/2006/picture">
              <pic:pic xmlns:pic="http://schemas.openxmlformats.org/drawingml/2006/picture">
                <pic:nvPicPr>
                  <pic:cNvPr id="4" name="图片 7"/>
                  <pic:cNvPicPr/>
                </pic:nvPicPr>
                <pic:blipFill>
                  <a:blip r:embed="rId1"/>
                  <a:stretch>
                    <a:fillRect/>
                  </a:stretch>
                </pic:blipFill>
                <pic:spPr>
                  <a:xfrm>
                    <a:off x="0" y="0"/>
                    <a:ext cx="1513281" cy="282663"/>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B3FB">
    <w:pPr>
      <w:pStyle w:val="2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DAFC">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18F0">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AA16">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B7AC">
    <w:pPr>
      <w:pStyle w:val="259"/>
      <w:jc w:val="both"/>
    </w:pPr>
    <w:r>
      <w:rPr>
        <w:rFonts w:hint="eastAsia" w:ascii="宋体" w:hAnsi="宋体" w:cs="宋体"/>
        <w:b/>
        <w:bCs/>
        <w:sz w:val="24"/>
        <w:szCs w:val="24"/>
      </w:rPr>
      <w:t>政府采购文件</w:t>
    </w:r>
    <w:r>
      <w:rPr>
        <w:rFonts w:hint="eastAsia" w:ascii="宋体" w:hAnsi="宋体" w:cs="宋体"/>
        <w:b/>
        <w:bCs/>
        <w:sz w:val="24"/>
        <w:szCs w:val="24"/>
        <w:lang w:val="en-US" w:eastAsia="zh-CN"/>
      </w:rPr>
      <w:t xml:space="preserve">                                      </w:t>
    </w:r>
    <w:r>
      <w:rPr>
        <w:rFonts w:ascii="华文中宋" w:hAnsi="华文中宋" w:eastAsia="华文中宋"/>
        <w:b/>
        <w:sz w:val="24"/>
        <w:szCs w:val="24"/>
      </w:rPr>
      <w:drawing>
        <wp:inline distT="0" distB="0" distL="0" distR="0">
          <wp:extent cx="1513205" cy="282575"/>
          <wp:effectExtent l="0" t="0" r="10795" b="3175"/>
          <wp:docPr id="2" name="图片 8"/>
          <wp:cNvGraphicFramePr/>
          <a:graphic xmlns:a="http://schemas.openxmlformats.org/drawingml/2006/main">
            <a:graphicData uri="http://schemas.openxmlformats.org/drawingml/2006/picture">
              <pic:pic xmlns:pic="http://schemas.openxmlformats.org/drawingml/2006/picture">
                <pic:nvPicPr>
                  <pic:cNvPr id="2" name="图片 8"/>
                  <pic:cNvPicPr/>
                </pic:nvPicPr>
                <pic:blipFill>
                  <a:blip r:embed="rId1"/>
                  <a:stretch>
                    <a:fillRect/>
                  </a:stretch>
                </pic:blipFill>
                <pic:spPr>
                  <a:xfrm>
                    <a:off x="0" y="0"/>
                    <a:ext cx="1513281" cy="282663"/>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3D94">
    <w:pPr>
      <w:pStyle w:val="2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0299">
    <w:pPr>
      <w:pStyle w:val="2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0DE5">
    <w:pPr>
      <w:pStyle w:val="259"/>
      <w:jc w:val="both"/>
      <w:rPr>
        <w:u w:val="single"/>
      </w:rPr>
    </w:pPr>
    <w:r>
      <w:rPr>
        <w:rFonts w:hint="eastAsia" w:ascii="宋体" w:hAnsi="宋体" w:cs="宋体"/>
        <w:b/>
        <w:bCs/>
        <w:sz w:val="24"/>
        <w:szCs w:val="24"/>
      </w:rPr>
      <w:t>政府采购文件</w:t>
    </w:r>
    <w:r>
      <w:rPr>
        <w:rFonts w:hint="eastAsia" w:ascii="华文中宋" w:hAnsi="华文中宋" w:eastAsia="华文中宋"/>
        <w:b/>
        <w:bCs/>
        <w:sz w:val="24"/>
        <w:szCs w:val="24"/>
      </w:rPr>
      <w:t xml:space="preserve">                       </w:t>
    </w:r>
    <w:r>
      <w:rPr>
        <w:rFonts w:hint="eastAsia" w:ascii="华文中宋" w:hAnsi="华文中宋" w:eastAsia="华文中宋"/>
        <w:b/>
        <w:bCs/>
        <w:sz w:val="24"/>
        <w:szCs w:val="24"/>
        <w:lang w:val="en-US" w:eastAsia="zh-CN"/>
      </w:rPr>
      <w:t xml:space="preserve">  </w:t>
    </w:r>
    <w:r>
      <w:rPr>
        <w:rFonts w:hint="eastAsia" w:ascii="华文中宋" w:hAnsi="华文中宋" w:eastAsia="华文中宋"/>
        <w:b/>
        <w:bCs/>
        <w:sz w:val="24"/>
        <w:szCs w:val="24"/>
      </w:rPr>
      <w:t xml:space="preserve">  </w:t>
    </w:r>
    <w:r>
      <w:rPr>
        <w:rFonts w:hint="eastAsia" w:ascii="华文中宋" w:hAnsi="华文中宋" w:eastAsia="华文中宋"/>
        <w:b/>
        <w:bCs/>
        <w:sz w:val="24"/>
        <w:szCs w:val="24"/>
        <w:lang w:val="en-US" w:eastAsia="zh-CN"/>
      </w:rPr>
      <w:t xml:space="preserve">    </w:t>
    </w:r>
    <w:r>
      <w:rPr>
        <w:rFonts w:hint="eastAsia" w:ascii="华文中宋" w:hAnsi="华文中宋" w:eastAsia="华文中宋"/>
        <w:b/>
        <w:bCs/>
        <w:sz w:val="24"/>
        <w:szCs w:val="24"/>
      </w:rPr>
      <w:t xml:space="preserve">      </w:t>
    </w:r>
    <w:r>
      <w:rPr>
        <w:rFonts w:ascii="华文中宋" w:hAnsi="华文中宋" w:eastAsia="华文中宋"/>
        <w:b/>
        <w:sz w:val="24"/>
        <w:szCs w:val="24"/>
      </w:rPr>
      <w:drawing>
        <wp:inline distT="0" distB="0" distL="0" distR="0">
          <wp:extent cx="1513205" cy="282575"/>
          <wp:effectExtent l="0" t="0" r="10795" b="3175"/>
          <wp:docPr id="3" name="图片 6"/>
          <wp:cNvGraphicFramePr/>
          <a:graphic xmlns:a="http://schemas.openxmlformats.org/drawingml/2006/main">
            <a:graphicData uri="http://schemas.openxmlformats.org/drawingml/2006/picture">
              <pic:pic xmlns:pic="http://schemas.openxmlformats.org/drawingml/2006/picture">
                <pic:nvPicPr>
                  <pic:cNvPr id="3" name="图片 6"/>
                  <pic:cNvPicPr/>
                </pic:nvPicPr>
                <pic:blipFill>
                  <a:blip r:embed="rId1"/>
                  <a:stretch>
                    <a:fillRect/>
                  </a:stretch>
                </pic:blipFill>
                <pic:spPr>
                  <a:xfrm>
                    <a:off x="0" y="0"/>
                    <a:ext cx="1513281" cy="282663"/>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8316">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B994">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bullet"/>
      <w:pStyle w:val="14"/>
      <w:lvlText w:val=""/>
      <w:lvlJc w:val="left"/>
      <w:pPr>
        <w:tabs>
          <w:tab w:val="left" w:pos="360"/>
        </w:tabs>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50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8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8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9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9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9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93"/>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94"/>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95"/>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96"/>
    <w:unhideWhenUsed/>
    <w:qFormat/>
    <w:uiPriority w:val="9"/>
    <w:pPr>
      <w:keepNext/>
      <w:keepLines/>
      <w:spacing w:before="320" w:after="200"/>
      <w:outlineLvl w:val="8"/>
    </w:pPr>
    <w:rPr>
      <w:rFonts w:ascii="Arial" w:hAnsi="Arial" w:eastAsia="Arial" w:cs="Arial"/>
      <w:i/>
      <w:iCs/>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next w:val="1"/>
    <w:qFormat/>
    <w:uiPriority w:val="0"/>
    <w:pPr>
      <w:ind w:left="420" w:firstLine="4772"/>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List Bullet"/>
    <w:basedOn w:val="2"/>
    <w:next w:val="1"/>
    <w:semiHidden/>
    <w:unhideWhenUsed/>
    <w:qFormat/>
    <w:uiPriority w:val="99"/>
    <w:pPr>
      <w:numPr>
        <w:ilvl w:val="0"/>
        <w:numId w:val="1"/>
      </w:numPr>
    </w:pPr>
  </w:style>
  <w:style w:type="paragraph" w:styleId="15">
    <w:name w:val="Document Map"/>
    <w:basedOn w:val="1"/>
    <w:semiHidden/>
    <w:unhideWhenUsed/>
    <w:qFormat/>
    <w:uiPriority w:val="99"/>
    <w:rPr>
      <w:rFonts w:ascii="Microsoft YaHei UI" w:eastAsia="Microsoft YaHei UI"/>
      <w:sz w:val="18"/>
      <w:szCs w:val="18"/>
    </w:rPr>
  </w:style>
  <w:style w:type="paragraph" w:styleId="16">
    <w:name w:val="annotation text"/>
    <w:basedOn w:val="1"/>
    <w:link w:val="267"/>
    <w:unhideWhenUsed/>
    <w:qFormat/>
    <w:uiPriority w:val="99"/>
    <w:pPr>
      <w:jc w:val="left"/>
    </w:pPr>
  </w:style>
  <w:style w:type="paragraph" w:styleId="17">
    <w:name w:val="Body Text"/>
    <w:basedOn w:val="1"/>
    <w:next w:val="1"/>
    <w:semiHidden/>
    <w:qFormat/>
    <w:uiPriority w:val="0"/>
    <w:rPr>
      <w:rFonts w:ascii="宋体" w:hAnsi="宋体" w:cs="宋体"/>
      <w:sz w:val="23"/>
      <w:szCs w:val="23"/>
    </w:rPr>
  </w:style>
  <w:style w:type="paragraph" w:styleId="18">
    <w:name w:val="Body Text Indent"/>
    <w:basedOn w:val="1"/>
    <w:qFormat/>
    <w:uiPriority w:val="0"/>
    <w:pPr>
      <w:spacing w:line="560" w:lineRule="exact"/>
      <w:ind w:firstLine="560"/>
    </w:pPr>
    <w:rPr>
      <w:rFonts w:ascii="宋体" w:hAnsi="宋体"/>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toc 8"/>
    <w:basedOn w:val="1"/>
    <w:next w:val="1"/>
    <w:unhideWhenUsed/>
    <w:qFormat/>
    <w:uiPriority w:val="39"/>
    <w:pPr>
      <w:spacing w:after="57"/>
      <w:ind w:left="1984"/>
    </w:pPr>
  </w:style>
  <w:style w:type="paragraph" w:styleId="22">
    <w:name w:val="endnote text"/>
    <w:basedOn w:val="1"/>
    <w:link w:val="233"/>
    <w:semiHidden/>
    <w:unhideWhenUsed/>
    <w:qFormat/>
    <w:uiPriority w:val="99"/>
    <w:rPr>
      <w:sz w:val="20"/>
    </w:rPr>
  </w:style>
  <w:style w:type="paragraph" w:styleId="23">
    <w:name w:val="Balloon Text"/>
    <w:basedOn w:val="1"/>
    <w:link w:val="266"/>
    <w:semiHidden/>
    <w:unhideWhenUsed/>
    <w:qFormat/>
    <w:uiPriority w:val="99"/>
    <w:rPr>
      <w:sz w:val="18"/>
      <w:szCs w:val="18"/>
    </w:rPr>
  </w:style>
  <w:style w:type="paragraph" w:styleId="24">
    <w:name w:val="footer"/>
    <w:unhideWhenUsed/>
    <w:qFormat/>
    <w:uiPriority w:val="99"/>
    <w:pPr>
      <w:tabs>
        <w:tab w:val="center" w:pos="7143"/>
        <w:tab w:val="right" w:pos="14287"/>
      </w:tabs>
    </w:pPr>
    <w:rPr>
      <w:rFonts w:hint="default" w:ascii="Times New Roman" w:hAnsi="Times New Roman" w:eastAsia="宋体" w:cs="Times New Roman"/>
      <w:lang w:val="en-US" w:eastAsia="zh-CN" w:bidi="ar-SA"/>
    </w:rPr>
  </w:style>
  <w:style w:type="paragraph" w:styleId="25">
    <w:name w:val="header"/>
    <w:basedOn w:val="1"/>
    <w:link w:val="104"/>
    <w:unhideWhenUsed/>
    <w:qFormat/>
    <w:uiPriority w:val="99"/>
    <w:pPr>
      <w:tabs>
        <w:tab w:val="center" w:pos="7143"/>
        <w:tab w:val="right" w:pos="14287"/>
      </w:tabs>
    </w:p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99"/>
    <w:qFormat/>
    <w:uiPriority w:val="11"/>
    <w:pPr>
      <w:spacing w:before="200" w:after="200"/>
    </w:pPr>
    <w:rPr>
      <w:sz w:val="24"/>
      <w:szCs w:val="24"/>
    </w:rPr>
  </w:style>
  <w:style w:type="paragraph" w:styleId="29">
    <w:name w:val="footnote text"/>
    <w:basedOn w:val="1"/>
    <w:link w:val="232"/>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Body Text Indent 3"/>
    <w:basedOn w:val="1"/>
    <w:qFormat/>
    <w:uiPriority w:val="0"/>
    <w:pPr>
      <w:ind w:left="420"/>
    </w:pPr>
    <w:rPr>
      <w:sz w:val="16"/>
      <w:szCs w:val="20"/>
    </w:rPr>
  </w:style>
  <w:style w:type="paragraph" w:styleId="32">
    <w:name w:val="table of figures"/>
    <w:basedOn w:val="1"/>
    <w:next w:val="1"/>
    <w:unhideWhenUsed/>
    <w:qFormat/>
    <w:uiPriority w:val="99"/>
  </w:style>
  <w:style w:type="paragraph" w:styleId="33">
    <w:name w:val="toc 2"/>
    <w:basedOn w:val="1"/>
    <w:next w:val="1"/>
    <w:unhideWhenUsed/>
    <w:qFormat/>
    <w:uiPriority w:val="39"/>
    <w:pPr>
      <w:spacing w:after="57"/>
      <w:ind w:left="283"/>
    </w:pPr>
  </w:style>
  <w:style w:type="paragraph" w:styleId="34">
    <w:name w:val="toc 9"/>
    <w:basedOn w:val="1"/>
    <w:next w:val="1"/>
    <w:unhideWhenUsed/>
    <w:qFormat/>
    <w:uiPriority w:val="39"/>
    <w:pPr>
      <w:spacing w:after="57"/>
      <w:ind w:left="2268"/>
    </w:pPr>
  </w:style>
  <w:style w:type="paragraph" w:styleId="35">
    <w:name w:val="Body Text 2"/>
    <w:basedOn w:val="2"/>
    <w:next w:val="14"/>
    <w:qFormat/>
    <w:uiPriority w:val="0"/>
    <w:pPr>
      <w:spacing w:after="120" w:line="480" w:lineRule="auto"/>
    </w:pPr>
    <w:rPr>
      <w:sz w:val="20"/>
      <w:szCs w:val="24"/>
    </w:rPr>
  </w:style>
  <w:style w:type="paragraph" w:styleId="36">
    <w:name w:val="Title"/>
    <w:basedOn w:val="1"/>
    <w:next w:val="1"/>
    <w:link w:val="98"/>
    <w:qFormat/>
    <w:uiPriority w:val="10"/>
    <w:pPr>
      <w:spacing w:before="300" w:after="200"/>
      <w:contextualSpacing/>
    </w:pPr>
    <w:rPr>
      <w:sz w:val="48"/>
      <w:szCs w:val="48"/>
    </w:rPr>
  </w:style>
  <w:style w:type="paragraph" w:styleId="37">
    <w:name w:val="annotation subject"/>
    <w:basedOn w:val="16"/>
    <w:next w:val="16"/>
    <w:link w:val="268"/>
    <w:semiHidden/>
    <w:unhideWhenUsed/>
    <w:qFormat/>
    <w:uiPriority w:val="99"/>
    <w:rPr>
      <w:b/>
      <w:bCs/>
    </w:rPr>
  </w:style>
  <w:style w:type="paragraph" w:styleId="38">
    <w:name w:val="Body Text First Indent 2"/>
    <w:basedOn w:val="18"/>
    <w:next w:val="1"/>
    <w:unhideWhenUsed/>
    <w:qFormat/>
    <w:uiPriority w:val="99"/>
    <w:pPr>
      <w:ind w:firstLine="420"/>
    </w:pPr>
  </w:style>
  <w:style w:type="table" w:styleId="4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22"/>
    <w:rPr>
      <w:b/>
      <w:bCs/>
    </w:rPr>
  </w:style>
  <w:style w:type="character" w:styleId="43">
    <w:name w:val="endnote reference"/>
    <w:basedOn w:val="41"/>
    <w:semiHidden/>
    <w:unhideWhenUsed/>
    <w:qFormat/>
    <w:uiPriority w:val="99"/>
    <w:rPr>
      <w:vertAlign w:val="superscript"/>
    </w:rPr>
  </w:style>
  <w:style w:type="character" w:styleId="44">
    <w:name w:val="Emphasis"/>
    <w:basedOn w:val="41"/>
    <w:qFormat/>
    <w:uiPriority w:val="20"/>
    <w:rPr>
      <w:i/>
    </w:rPr>
  </w:style>
  <w:style w:type="character" w:styleId="45">
    <w:name w:val="Hyperlink"/>
    <w:unhideWhenUsed/>
    <w:qFormat/>
    <w:uiPriority w:val="99"/>
    <w:rPr>
      <w:color w:val="0026E5" w:themeColor="hyperlink"/>
      <w:u w:val="single"/>
      <w14:textFill>
        <w14:solidFill>
          <w14:schemeClr w14:val="hlink"/>
        </w14:solidFill>
      </w14:textFill>
    </w:rPr>
  </w:style>
  <w:style w:type="character" w:styleId="46">
    <w:name w:val="annotation reference"/>
    <w:basedOn w:val="41"/>
    <w:semiHidden/>
    <w:unhideWhenUsed/>
    <w:qFormat/>
    <w:uiPriority w:val="99"/>
    <w:rPr>
      <w:sz w:val="21"/>
      <w:szCs w:val="21"/>
    </w:rPr>
  </w:style>
  <w:style w:type="character" w:styleId="47">
    <w:name w:val="footnote reference"/>
    <w:basedOn w:val="41"/>
    <w:unhideWhenUsed/>
    <w:qFormat/>
    <w:uiPriority w:val="99"/>
    <w:rPr>
      <w:vertAlign w:val="superscript"/>
    </w:rPr>
  </w:style>
  <w:style w:type="paragraph" w:customStyle="1" w:styleId="48">
    <w:name w:val="TOC Heading"/>
    <w:unhideWhenUsed/>
    <w:qFormat/>
    <w:uiPriority w:val="39"/>
    <w:rPr>
      <w:rFonts w:hint="default" w:ascii="Times New Roman" w:hAnsi="Times New Roman" w:eastAsia="宋体" w:cs="Times New Roman"/>
    </w:rPr>
  </w:style>
  <w:style w:type="character" w:customStyle="1" w:styleId="49">
    <w:name w:val="Heading 1 Char"/>
    <w:basedOn w:val="41"/>
    <w:qFormat/>
    <w:uiPriority w:val="9"/>
    <w:rPr>
      <w:rFonts w:ascii="Arial" w:hAnsi="Arial" w:eastAsia="Arial" w:cs="Arial"/>
      <w:sz w:val="40"/>
      <w:szCs w:val="40"/>
    </w:rPr>
  </w:style>
  <w:style w:type="character" w:customStyle="1" w:styleId="50">
    <w:name w:val="Heading 2 Char"/>
    <w:basedOn w:val="41"/>
    <w:qFormat/>
    <w:uiPriority w:val="9"/>
    <w:rPr>
      <w:rFonts w:ascii="Arial" w:hAnsi="Arial" w:eastAsia="Arial" w:cs="Arial"/>
      <w:sz w:val="34"/>
    </w:rPr>
  </w:style>
  <w:style w:type="character" w:customStyle="1" w:styleId="51">
    <w:name w:val="Heading 3 Char"/>
    <w:basedOn w:val="41"/>
    <w:qFormat/>
    <w:uiPriority w:val="9"/>
    <w:rPr>
      <w:rFonts w:ascii="Arial" w:hAnsi="Arial" w:eastAsia="Arial" w:cs="Arial"/>
      <w:sz w:val="30"/>
      <w:szCs w:val="30"/>
    </w:rPr>
  </w:style>
  <w:style w:type="character" w:customStyle="1" w:styleId="52">
    <w:name w:val="Heading 4 Char"/>
    <w:basedOn w:val="41"/>
    <w:qFormat/>
    <w:uiPriority w:val="9"/>
    <w:rPr>
      <w:rFonts w:ascii="Arial" w:hAnsi="Arial" w:eastAsia="Arial" w:cs="Arial"/>
      <w:b/>
      <w:bCs/>
      <w:sz w:val="26"/>
      <w:szCs w:val="26"/>
    </w:rPr>
  </w:style>
  <w:style w:type="character" w:customStyle="1" w:styleId="53">
    <w:name w:val="Heading 5 Char"/>
    <w:basedOn w:val="41"/>
    <w:qFormat/>
    <w:uiPriority w:val="9"/>
    <w:rPr>
      <w:rFonts w:ascii="Arial" w:hAnsi="Arial" w:eastAsia="Arial" w:cs="Arial"/>
      <w:b/>
      <w:bCs/>
      <w:sz w:val="24"/>
      <w:szCs w:val="24"/>
    </w:rPr>
  </w:style>
  <w:style w:type="character" w:customStyle="1" w:styleId="54">
    <w:name w:val="Heading 6 Char"/>
    <w:basedOn w:val="41"/>
    <w:qFormat/>
    <w:uiPriority w:val="9"/>
    <w:rPr>
      <w:rFonts w:ascii="Arial" w:hAnsi="Arial" w:eastAsia="Arial" w:cs="Arial"/>
      <w:b/>
      <w:bCs/>
      <w:sz w:val="22"/>
      <w:szCs w:val="22"/>
    </w:rPr>
  </w:style>
  <w:style w:type="character" w:customStyle="1" w:styleId="55">
    <w:name w:val="Heading 7 Char"/>
    <w:basedOn w:val="41"/>
    <w:qFormat/>
    <w:uiPriority w:val="9"/>
    <w:rPr>
      <w:rFonts w:ascii="Arial" w:hAnsi="Arial" w:eastAsia="Arial" w:cs="Arial"/>
      <w:b/>
      <w:bCs/>
      <w:i/>
      <w:iCs/>
      <w:sz w:val="22"/>
      <w:szCs w:val="22"/>
    </w:rPr>
  </w:style>
  <w:style w:type="character" w:customStyle="1" w:styleId="56">
    <w:name w:val="Heading 8 Char"/>
    <w:basedOn w:val="41"/>
    <w:qFormat/>
    <w:uiPriority w:val="9"/>
    <w:rPr>
      <w:rFonts w:ascii="Arial" w:hAnsi="Arial" w:eastAsia="Arial" w:cs="Arial"/>
      <w:i/>
      <w:iCs/>
      <w:sz w:val="22"/>
      <w:szCs w:val="22"/>
    </w:rPr>
  </w:style>
  <w:style w:type="character" w:customStyle="1" w:styleId="57">
    <w:name w:val="Heading 9 Char"/>
    <w:basedOn w:val="41"/>
    <w:qFormat/>
    <w:uiPriority w:val="9"/>
    <w:rPr>
      <w:rFonts w:ascii="Arial" w:hAnsi="Arial" w:eastAsia="Arial" w:cs="Arial"/>
      <w:i/>
      <w:iCs/>
      <w:sz w:val="21"/>
      <w:szCs w:val="21"/>
    </w:rPr>
  </w:style>
  <w:style w:type="character" w:customStyle="1" w:styleId="58">
    <w:name w:val="Title Char"/>
    <w:basedOn w:val="41"/>
    <w:qFormat/>
    <w:uiPriority w:val="10"/>
    <w:rPr>
      <w:sz w:val="48"/>
      <w:szCs w:val="48"/>
    </w:rPr>
  </w:style>
  <w:style w:type="character" w:customStyle="1" w:styleId="59">
    <w:name w:val="Subtitle Char"/>
    <w:basedOn w:val="41"/>
    <w:qFormat/>
    <w:uiPriority w:val="11"/>
    <w:rPr>
      <w:sz w:val="24"/>
      <w:szCs w:val="24"/>
    </w:rPr>
  </w:style>
  <w:style w:type="character" w:customStyle="1" w:styleId="60">
    <w:name w:val="Quote Char"/>
    <w:qFormat/>
    <w:uiPriority w:val="29"/>
    <w:rPr>
      <w:i/>
    </w:rPr>
  </w:style>
  <w:style w:type="character" w:customStyle="1" w:styleId="61">
    <w:name w:val="Intense Quote Char"/>
    <w:qFormat/>
    <w:uiPriority w:val="30"/>
    <w:rPr>
      <w:i/>
    </w:rPr>
  </w:style>
  <w:style w:type="character" w:customStyle="1" w:styleId="62">
    <w:name w:val="Header Char"/>
    <w:basedOn w:val="41"/>
    <w:qFormat/>
    <w:uiPriority w:val="99"/>
  </w:style>
  <w:style w:type="table" w:customStyle="1" w:styleId="63">
    <w:name w:val="Plain Table 1"/>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Plain Table 2"/>
    <w:basedOn w:val="3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Plain Table 3"/>
    <w:basedOn w:val="3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4"/>
    <w:basedOn w:val="3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5"/>
    <w:basedOn w:val="3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Grid Table 1 Light"/>
    <w:basedOn w:val="3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2"/>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3"/>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4"/>
    <w:basedOn w:val="3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5 Dark"/>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3">
    <w:name w:val="Grid Table 6 Colorful"/>
    <w:basedOn w:val="3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4">
    <w:name w:val="Grid Table 7 Colorful"/>
    <w:basedOn w:val="3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5">
    <w:name w:val="List Table 1 Light"/>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6">
    <w:name w:val="List Table 2"/>
    <w:basedOn w:val="3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7">
    <w:name w:val="List Table 3"/>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8">
    <w:name w:val="List Table 4"/>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9">
    <w:name w:val="List Table 5 Dark"/>
    <w:basedOn w:val="3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0">
    <w:name w:val="List Table 6 Colorful"/>
    <w:basedOn w:val="3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1">
    <w:name w:val="List Table 7 Colorful"/>
    <w:basedOn w:val="3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paragraph" w:customStyle="1" w:styleId="84">
    <w:name w:val="TOC 标题1"/>
    <w:unhideWhenUsed/>
    <w:qFormat/>
    <w:uiPriority w:val="39"/>
    <w:rPr>
      <w:rFonts w:hint="default" w:ascii="Times New Roman" w:hAnsi="Times New Roman" w:eastAsia="宋体" w:cs="Times New Roman"/>
      <w:lang w:val="en-US" w:eastAsia="zh-CN" w:bidi="ar-SA"/>
    </w:rPr>
  </w:style>
  <w:style w:type="paragraph" w:styleId="85">
    <w:name w:val="List Paragraph"/>
    <w:basedOn w:val="1"/>
    <w:qFormat/>
    <w:uiPriority w:val="34"/>
    <w:pPr>
      <w:ind w:left="720"/>
      <w:contextualSpacing/>
    </w:pPr>
  </w:style>
  <w:style w:type="paragraph" w:customStyle="1" w:styleId="86">
    <w:name w:val="xl91"/>
    <w:basedOn w:val="2"/>
    <w:next w:val="87"/>
    <w:qFormat/>
    <w:uiPriority w:val="0"/>
    <w:pPr>
      <w:spacing w:before="280" w:after="280"/>
      <w:ind w:firstLine="3584"/>
    </w:pPr>
  </w:style>
  <w:style w:type="paragraph" w:customStyle="1" w:styleId="87">
    <w:name w:val="xl76"/>
    <w:basedOn w:val="2"/>
    <w:next w:val="35"/>
    <w:qFormat/>
    <w:uiPriority w:val="0"/>
    <w:pPr>
      <w:spacing w:before="280" w:after="280"/>
      <w:ind w:firstLine="3584"/>
      <w:jc w:val="center"/>
    </w:pPr>
  </w:style>
  <w:style w:type="character" w:customStyle="1" w:styleId="88">
    <w:name w:val="标题 1 Char"/>
    <w:basedOn w:val="41"/>
    <w:link w:val="2"/>
    <w:qFormat/>
    <w:uiPriority w:val="9"/>
    <w:rPr>
      <w:rFonts w:ascii="Arial" w:hAnsi="Arial" w:eastAsia="Arial" w:cs="Arial"/>
      <w:sz w:val="40"/>
      <w:szCs w:val="40"/>
    </w:rPr>
  </w:style>
  <w:style w:type="character" w:customStyle="1" w:styleId="89">
    <w:name w:val="标题 2 Char"/>
    <w:basedOn w:val="41"/>
    <w:link w:val="3"/>
    <w:qFormat/>
    <w:uiPriority w:val="9"/>
    <w:rPr>
      <w:rFonts w:ascii="Arial" w:hAnsi="Arial" w:eastAsia="Arial" w:cs="Arial"/>
      <w:sz w:val="34"/>
    </w:rPr>
  </w:style>
  <w:style w:type="character" w:customStyle="1" w:styleId="90">
    <w:name w:val="标题 3 Char"/>
    <w:basedOn w:val="41"/>
    <w:link w:val="4"/>
    <w:qFormat/>
    <w:uiPriority w:val="9"/>
    <w:rPr>
      <w:rFonts w:ascii="Arial" w:hAnsi="Arial" w:eastAsia="Arial" w:cs="Arial"/>
      <w:sz w:val="30"/>
      <w:szCs w:val="30"/>
    </w:rPr>
  </w:style>
  <w:style w:type="character" w:customStyle="1" w:styleId="91">
    <w:name w:val="标题 4 Char"/>
    <w:basedOn w:val="41"/>
    <w:link w:val="5"/>
    <w:qFormat/>
    <w:uiPriority w:val="9"/>
    <w:rPr>
      <w:rFonts w:ascii="Arial" w:hAnsi="Arial" w:eastAsia="Arial" w:cs="Arial"/>
      <w:b/>
      <w:bCs/>
      <w:sz w:val="26"/>
      <w:szCs w:val="26"/>
    </w:rPr>
  </w:style>
  <w:style w:type="character" w:customStyle="1" w:styleId="92">
    <w:name w:val="标题 5 Char"/>
    <w:basedOn w:val="41"/>
    <w:link w:val="6"/>
    <w:qFormat/>
    <w:uiPriority w:val="9"/>
    <w:rPr>
      <w:rFonts w:ascii="Arial" w:hAnsi="Arial" w:eastAsia="Arial" w:cs="Arial"/>
      <w:b/>
      <w:bCs/>
      <w:sz w:val="24"/>
      <w:szCs w:val="24"/>
    </w:rPr>
  </w:style>
  <w:style w:type="character" w:customStyle="1" w:styleId="93">
    <w:name w:val="标题 6 Char"/>
    <w:basedOn w:val="41"/>
    <w:link w:val="7"/>
    <w:qFormat/>
    <w:uiPriority w:val="9"/>
    <w:rPr>
      <w:rFonts w:ascii="Arial" w:hAnsi="Arial" w:eastAsia="Arial" w:cs="Arial"/>
      <w:b/>
      <w:bCs/>
      <w:sz w:val="22"/>
      <w:szCs w:val="22"/>
    </w:rPr>
  </w:style>
  <w:style w:type="character" w:customStyle="1" w:styleId="94">
    <w:name w:val="标题 7 Char"/>
    <w:basedOn w:val="41"/>
    <w:link w:val="8"/>
    <w:qFormat/>
    <w:uiPriority w:val="9"/>
    <w:rPr>
      <w:rFonts w:ascii="Arial" w:hAnsi="Arial" w:eastAsia="Arial" w:cs="Arial"/>
      <w:b/>
      <w:bCs/>
      <w:i/>
      <w:iCs/>
      <w:sz w:val="22"/>
      <w:szCs w:val="22"/>
    </w:rPr>
  </w:style>
  <w:style w:type="character" w:customStyle="1" w:styleId="95">
    <w:name w:val="标题 8 Char"/>
    <w:basedOn w:val="41"/>
    <w:link w:val="9"/>
    <w:qFormat/>
    <w:uiPriority w:val="9"/>
    <w:rPr>
      <w:rFonts w:ascii="Arial" w:hAnsi="Arial" w:eastAsia="Arial" w:cs="Arial"/>
      <w:i/>
      <w:iCs/>
      <w:sz w:val="22"/>
      <w:szCs w:val="22"/>
    </w:rPr>
  </w:style>
  <w:style w:type="character" w:customStyle="1" w:styleId="96">
    <w:name w:val="标题 9 Char"/>
    <w:basedOn w:val="41"/>
    <w:link w:val="10"/>
    <w:qFormat/>
    <w:uiPriority w:val="9"/>
    <w:rPr>
      <w:rFonts w:ascii="Arial" w:hAnsi="Arial" w:eastAsia="Arial" w:cs="Arial"/>
      <w:i/>
      <w:iCs/>
      <w:sz w:val="21"/>
      <w:szCs w:val="21"/>
    </w:rPr>
  </w:style>
  <w:style w:type="paragraph" w:styleId="97">
    <w:name w:val="No Spacing"/>
    <w:qFormat/>
    <w:uiPriority w:val="1"/>
    <w:rPr>
      <w:rFonts w:hint="default" w:asciiTheme="minorHAnsi" w:hAnsiTheme="minorHAnsi" w:eastAsiaTheme="minorEastAsia" w:cstheme="minorBidi"/>
      <w:lang w:val="en-US" w:eastAsia="zh-CN" w:bidi="ar-SA"/>
    </w:rPr>
  </w:style>
  <w:style w:type="character" w:customStyle="1" w:styleId="98">
    <w:name w:val="标题 Char"/>
    <w:basedOn w:val="41"/>
    <w:link w:val="36"/>
    <w:qFormat/>
    <w:uiPriority w:val="10"/>
    <w:rPr>
      <w:sz w:val="48"/>
      <w:szCs w:val="48"/>
    </w:rPr>
  </w:style>
  <w:style w:type="character" w:customStyle="1" w:styleId="99">
    <w:name w:val="副标题 Char"/>
    <w:basedOn w:val="41"/>
    <w:link w:val="28"/>
    <w:qFormat/>
    <w:uiPriority w:val="11"/>
    <w:rPr>
      <w:sz w:val="24"/>
      <w:szCs w:val="24"/>
    </w:rPr>
  </w:style>
  <w:style w:type="paragraph" w:styleId="100">
    <w:name w:val="Quote"/>
    <w:basedOn w:val="1"/>
    <w:next w:val="1"/>
    <w:link w:val="101"/>
    <w:qFormat/>
    <w:uiPriority w:val="29"/>
    <w:pPr>
      <w:ind w:left="720" w:right="720"/>
    </w:pPr>
    <w:rPr>
      <w:i/>
    </w:rPr>
  </w:style>
  <w:style w:type="character" w:customStyle="1" w:styleId="101">
    <w:name w:val="引用 Char"/>
    <w:link w:val="100"/>
    <w:qFormat/>
    <w:uiPriority w:val="29"/>
    <w:rPr>
      <w:i/>
    </w:rPr>
  </w:style>
  <w:style w:type="paragraph" w:styleId="102">
    <w:name w:val="Intense Quote"/>
    <w:basedOn w:val="1"/>
    <w:next w:val="1"/>
    <w:link w:val="10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3">
    <w:name w:val="明显引用 Char"/>
    <w:link w:val="102"/>
    <w:qFormat/>
    <w:uiPriority w:val="30"/>
    <w:rPr>
      <w:i/>
    </w:rPr>
  </w:style>
  <w:style w:type="character" w:customStyle="1" w:styleId="104">
    <w:name w:val="页眉 Char"/>
    <w:basedOn w:val="41"/>
    <w:link w:val="25"/>
    <w:qFormat/>
    <w:uiPriority w:val="99"/>
  </w:style>
  <w:style w:type="character" w:customStyle="1" w:styleId="105">
    <w:name w:val="Footer Char"/>
    <w:basedOn w:val="41"/>
    <w:qFormat/>
    <w:uiPriority w:val="99"/>
  </w:style>
  <w:style w:type="character" w:customStyle="1" w:styleId="106">
    <w:name w:val="Caption Char"/>
    <w:qFormat/>
    <w:uiPriority w:val="99"/>
  </w:style>
  <w:style w:type="table" w:customStyle="1" w:styleId="107">
    <w:name w:val="Table Grid Light"/>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8">
    <w:name w:val="无格式表格 11"/>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9">
    <w:name w:val="无格式表格 21"/>
    <w:basedOn w:val="3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10">
    <w:name w:val="无格式表格 31"/>
    <w:basedOn w:val="3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1">
    <w:name w:val="无格式表格 41"/>
    <w:basedOn w:val="3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2">
    <w:name w:val="无格式表格 51"/>
    <w:basedOn w:val="3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3">
    <w:name w:val="网格表 1 浅色1"/>
    <w:basedOn w:val="3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4">
    <w:name w:val="Grid Table 1 Light - Accent 1"/>
    <w:basedOn w:val="39"/>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15">
    <w:name w:val="Grid Table 1 Light - Accent 2"/>
    <w:basedOn w:val="39"/>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16">
    <w:name w:val="Grid Table 1 Light - Accent 3"/>
    <w:basedOn w:val="39"/>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17">
    <w:name w:val="Grid Table 1 Light - Accent 4"/>
    <w:basedOn w:val="39"/>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18">
    <w:name w:val="Grid Table 1 Light - Accent 5"/>
    <w:basedOn w:val="39"/>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19">
    <w:name w:val="Grid Table 1 Light - Accent 6"/>
    <w:basedOn w:val="39"/>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20">
    <w:name w:val="网格表 2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1">
    <w:name w:val="Grid Table 2 - Accent 1"/>
    <w:basedOn w:val="39"/>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22">
    <w:name w:val="Grid Table 2 - Accent 2"/>
    <w:basedOn w:val="39"/>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23">
    <w:name w:val="Grid Table 2 - Accent 3"/>
    <w:basedOn w:val="39"/>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4">
    <w:name w:val="Grid Table 2 - Accent 4"/>
    <w:basedOn w:val="39"/>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5">
    <w:name w:val="Grid Table 2 - Accent 5"/>
    <w:basedOn w:val="39"/>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6">
    <w:name w:val="Grid Table 2 - Accent 6"/>
    <w:basedOn w:val="39"/>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7">
    <w:name w:val="网格表 3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8">
    <w:name w:val="Grid Table 3 - Accent 1"/>
    <w:basedOn w:val="39"/>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29">
    <w:name w:val="Grid Table 3 - Accent 2"/>
    <w:basedOn w:val="39"/>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30">
    <w:name w:val="Grid Table 3 - Accent 3"/>
    <w:basedOn w:val="39"/>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31">
    <w:name w:val="Grid Table 3 - Accent 4"/>
    <w:basedOn w:val="39"/>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32">
    <w:name w:val="Grid Table 3 - Accent 5"/>
    <w:basedOn w:val="39"/>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33">
    <w:name w:val="Grid Table 3 - Accent 6"/>
    <w:basedOn w:val="39"/>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34">
    <w:name w:val="网格表 41"/>
    <w:basedOn w:val="3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5">
    <w:name w:val="Grid Table 4 - Accent 1"/>
    <w:basedOn w:val="39"/>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36">
    <w:name w:val="Grid Table 4 - Accent 2"/>
    <w:basedOn w:val="39"/>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37">
    <w:name w:val="Grid Table 4 - Accent 3"/>
    <w:basedOn w:val="39"/>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38">
    <w:name w:val="Grid Table 4 - Accent 4"/>
    <w:basedOn w:val="39"/>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39">
    <w:name w:val="Grid Table 4 - Accent 5"/>
    <w:basedOn w:val="39"/>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40">
    <w:name w:val="Grid Table 4 - Accent 6"/>
    <w:basedOn w:val="39"/>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41">
    <w:name w:val="网格表 5 深色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42">
    <w:name w:val="Grid Table 5 Dark- Accent 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43">
    <w:name w:val="Grid Table 5 Dark - Accent 2"/>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44">
    <w:name w:val="Grid Table 5 Dark - Accent 3"/>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45">
    <w:name w:val="Grid Table 5 Dark- Accent 4"/>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46">
    <w:name w:val="Grid Table 5 Dark - Accent 5"/>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47">
    <w:name w:val="Grid Table 5 Dark - Accent 6"/>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48">
    <w:name w:val="网格表 6 彩色1"/>
    <w:basedOn w:val="3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9">
    <w:name w:val="Grid Table 6 Colorful - Accent 1"/>
    <w:basedOn w:val="39"/>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50">
    <w:name w:val="Grid Table 6 Colorful - Accent 2"/>
    <w:basedOn w:val="39"/>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1">
    <w:name w:val="Grid Table 6 Colorful - Accent 3"/>
    <w:basedOn w:val="39"/>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52">
    <w:name w:val="Grid Table 6 Colorful - Accent 4"/>
    <w:basedOn w:val="39"/>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3">
    <w:name w:val="Grid Table 6 Colorful - Accent 5"/>
    <w:basedOn w:val="39"/>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54">
    <w:name w:val="Grid Table 6 Colorful - Accent 6"/>
    <w:basedOn w:val="39"/>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55">
    <w:name w:val="网格表 7 彩色1"/>
    <w:basedOn w:val="3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Grid Table 7 Colorful - Accent 1"/>
    <w:basedOn w:val="39"/>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57">
    <w:name w:val="Grid Table 7 Colorful - Accent 2"/>
    <w:basedOn w:val="39"/>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8">
    <w:name w:val="Grid Table 7 Colorful - Accent 3"/>
    <w:basedOn w:val="39"/>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59">
    <w:name w:val="Grid Table 7 Colorful - Accent 4"/>
    <w:basedOn w:val="39"/>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60">
    <w:name w:val="Grid Table 7 Colorful - Accent 5"/>
    <w:basedOn w:val="39"/>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61">
    <w:name w:val="Grid Table 7 Colorful - Accent 6"/>
    <w:basedOn w:val="39"/>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62">
    <w:name w:val="清单表 1 浅色1"/>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63">
    <w:name w:val="List Table 1 Light - Accent 1"/>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64">
    <w:name w:val="List Table 1 Light - Accent 2"/>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65">
    <w:name w:val="List Table 1 Light - Accent 3"/>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66">
    <w:name w:val="List Table 1 Light - Accent 4"/>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67">
    <w:name w:val="List Table 1 Light - Accent 5"/>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68">
    <w:name w:val="List Table 1 Light - Accent 6"/>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69">
    <w:name w:val="清单表 21"/>
    <w:basedOn w:val="3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0">
    <w:name w:val="List Table 2 - Accent 1"/>
    <w:basedOn w:val="39"/>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71">
    <w:name w:val="List Table 2 - Accent 2"/>
    <w:basedOn w:val="39"/>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72">
    <w:name w:val="List Table 2 - Accent 3"/>
    <w:basedOn w:val="39"/>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73">
    <w:name w:val="List Table 2 - Accent 4"/>
    <w:basedOn w:val="39"/>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74">
    <w:name w:val="List Table 2 - Accent 5"/>
    <w:basedOn w:val="39"/>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75">
    <w:name w:val="List Table 2 - Accent 6"/>
    <w:basedOn w:val="39"/>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76">
    <w:name w:val="清单表 3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7">
    <w:name w:val="List Table 3 - Accent 1"/>
    <w:basedOn w:val="39"/>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78">
    <w:name w:val="List Table 3 - Accent 2"/>
    <w:basedOn w:val="39"/>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79">
    <w:name w:val="List Table 3 - Accent 3"/>
    <w:basedOn w:val="39"/>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80">
    <w:name w:val="List Table 3 - Accent 4"/>
    <w:basedOn w:val="39"/>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81">
    <w:name w:val="List Table 3 - Accent 5"/>
    <w:basedOn w:val="39"/>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82">
    <w:name w:val="List Table 3 - Accent 6"/>
    <w:basedOn w:val="39"/>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83">
    <w:name w:val="清单表 4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4">
    <w:name w:val="List Table 4 - Accent 1"/>
    <w:basedOn w:val="39"/>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85">
    <w:name w:val="List Table 4 - Accent 2"/>
    <w:basedOn w:val="39"/>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86">
    <w:name w:val="List Table 4 - Accent 3"/>
    <w:basedOn w:val="39"/>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87">
    <w:name w:val="List Table 4 - Accent 4"/>
    <w:basedOn w:val="39"/>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88">
    <w:name w:val="List Table 4 - Accent 5"/>
    <w:basedOn w:val="39"/>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89">
    <w:name w:val="List Table 4 - Accent 6"/>
    <w:basedOn w:val="39"/>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90">
    <w:name w:val="清单表 5 深色1"/>
    <w:basedOn w:val="3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91">
    <w:name w:val="List Table 5 Dark - Accent 1"/>
    <w:basedOn w:val="39"/>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92">
    <w:name w:val="List Table 5 Dark - Accent 2"/>
    <w:basedOn w:val="39"/>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93">
    <w:name w:val="List Table 5 Dark - Accent 3"/>
    <w:basedOn w:val="39"/>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94">
    <w:name w:val="List Table 5 Dark - Accent 4"/>
    <w:basedOn w:val="39"/>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95">
    <w:name w:val="List Table 5 Dark - Accent 5"/>
    <w:basedOn w:val="39"/>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96">
    <w:name w:val="List Table 5 Dark - Accent 6"/>
    <w:basedOn w:val="39"/>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97">
    <w:name w:val="清单表 6 彩色1"/>
    <w:basedOn w:val="3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8">
    <w:name w:val="List Table 6 Colorful - Accent 1"/>
    <w:basedOn w:val="39"/>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99">
    <w:name w:val="List Table 6 Colorful - Accent 2"/>
    <w:basedOn w:val="39"/>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200">
    <w:name w:val="List Table 6 Colorful - Accent 3"/>
    <w:basedOn w:val="39"/>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201">
    <w:name w:val="List Table 6 Colorful - Accent 4"/>
    <w:basedOn w:val="39"/>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02">
    <w:name w:val="List Table 6 Colorful - Accent 5"/>
    <w:basedOn w:val="39"/>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03">
    <w:name w:val="List Table 6 Colorful - Accent 6"/>
    <w:basedOn w:val="39"/>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04">
    <w:name w:val="清单表 7 彩色1"/>
    <w:basedOn w:val="3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5">
    <w:name w:val="List Table 7 Colorful - Accent 1"/>
    <w:basedOn w:val="39"/>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206">
    <w:name w:val="List Table 7 Colorful - Accent 2"/>
    <w:basedOn w:val="39"/>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207">
    <w:name w:val="List Table 7 Colorful - Accent 3"/>
    <w:basedOn w:val="39"/>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208">
    <w:name w:val="List Table 7 Colorful - Accent 4"/>
    <w:basedOn w:val="39"/>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09">
    <w:name w:val="List Table 7 Colorful - Accent 5"/>
    <w:basedOn w:val="39"/>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10">
    <w:name w:val="List Table 7 Colorful - Accent 6"/>
    <w:basedOn w:val="39"/>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11">
    <w:name w:val="Lined - Accent"/>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2">
    <w:name w:val="Lined - Accent 1"/>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13">
    <w:name w:val="Lined - Accent 2"/>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14">
    <w:name w:val="Lined - Accent 3"/>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15">
    <w:name w:val="Lined - Accent 4"/>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6">
    <w:name w:val="Lined - Accent 5"/>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7">
    <w:name w:val="Lined - Accent 6"/>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18">
    <w:name w:val="Bordered &amp; Lined - Accent"/>
    <w:basedOn w:val="3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9">
    <w:name w:val="Bordered &amp; Lined - Accent 1"/>
    <w:basedOn w:val="39"/>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20">
    <w:name w:val="Bordered &amp; Lined - Accent 2"/>
    <w:basedOn w:val="39"/>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21">
    <w:name w:val="Bordered &amp; Lined - Accent 3"/>
    <w:basedOn w:val="39"/>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22">
    <w:name w:val="Bordered &amp; Lined - Accent 4"/>
    <w:basedOn w:val="39"/>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23">
    <w:name w:val="Bordered &amp; Lined - Accent 5"/>
    <w:basedOn w:val="39"/>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24">
    <w:name w:val="Bordered &amp; Lined - Accent 6"/>
    <w:basedOn w:val="39"/>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25">
    <w:name w:val="Bordered"/>
    <w:basedOn w:val="3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6">
    <w:name w:val="Bordered - Accent 1"/>
    <w:basedOn w:val="39"/>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227">
    <w:name w:val="Bordered - Accent 2"/>
    <w:basedOn w:val="39"/>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28">
    <w:name w:val="Bordered - Accent 3"/>
    <w:basedOn w:val="39"/>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29">
    <w:name w:val="Bordered - Accent 4"/>
    <w:basedOn w:val="39"/>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30">
    <w:name w:val="Bordered - Accent 5"/>
    <w:basedOn w:val="39"/>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31">
    <w:name w:val="Bordered - Accent 6"/>
    <w:basedOn w:val="39"/>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32">
    <w:name w:val="脚注文本 Char"/>
    <w:link w:val="29"/>
    <w:qFormat/>
    <w:uiPriority w:val="99"/>
    <w:rPr>
      <w:sz w:val="18"/>
    </w:rPr>
  </w:style>
  <w:style w:type="character" w:customStyle="1" w:styleId="233">
    <w:name w:val="尾注文本 Char"/>
    <w:link w:val="22"/>
    <w:qFormat/>
    <w:uiPriority w:val="99"/>
    <w:rPr>
      <w:sz w:val="20"/>
    </w:rPr>
  </w:style>
  <w:style w:type="paragraph" w:customStyle="1" w:styleId="234">
    <w:name w:val="TOC 标题11"/>
    <w:unhideWhenUsed/>
    <w:qFormat/>
    <w:uiPriority w:val="39"/>
    <w:rPr>
      <w:rFonts w:hint="default" w:asciiTheme="minorHAnsi" w:hAnsiTheme="minorHAnsi" w:eastAsiaTheme="minorEastAsia" w:cstheme="minorBidi"/>
      <w:lang w:val="en-US" w:eastAsia="zh-CN" w:bidi="ar-SA"/>
    </w:rPr>
  </w:style>
  <w:style w:type="paragraph" w:customStyle="1" w:styleId="235">
    <w:name w:val="批注文字1"/>
    <w:basedOn w:val="1"/>
    <w:qFormat/>
    <w:uiPriority w:val="0"/>
    <w:pPr>
      <w:jc w:val="left"/>
    </w:pPr>
  </w:style>
  <w:style w:type="paragraph" w:customStyle="1" w:styleId="236">
    <w:name w:val="首行缩进"/>
    <w:basedOn w:val="1"/>
    <w:qFormat/>
    <w:uiPriority w:val="0"/>
    <w:pPr>
      <w:ind w:firstLine="480"/>
    </w:pPr>
    <w:rPr>
      <w:lang w:val="zh-CN"/>
    </w:rPr>
  </w:style>
  <w:style w:type="paragraph" w:customStyle="1" w:styleId="237">
    <w:name w:val="正文缩进1"/>
    <w:basedOn w:val="1"/>
    <w:next w:val="1"/>
    <w:qFormat/>
    <w:uiPriority w:val="0"/>
    <w:pPr>
      <w:ind w:firstLine="420"/>
      <w:jc w:val="left"/>
    </w:pPr>
    <w:rPr>
      <w:rFonts w:eastAsia="楷体_GB2312"/>
      <w:sz w:val="24"/>
      <w:szCs w:val="20"/>
    </w:rPr>
  </w:style>
  <w:style w:type="paragraph" w:customStyle="1" w:styleId="238">
    <w:name w:val="正文文本缩进 31"/>
    <w:basedOn w:val="1"/>
    <w:qFormat/>
    <w:uiPriority w:val="0"/>
    <w:pPr>
      <w:ind w:left="420"/>
    </w:pPr>
    <w:rPr>
      <w:sz w:val="16"/>
      <w:szCs w:val="20"/>
    </w:rPr>
  </w:style>
  <w:style w:type="character" w:customStyle="1" w:styleId="239">
    <w:name w:val="超链接1"/>
    <w:qFormat/>
    <w:uiPriority w:val="99"/>
    <w:rPr>
      <w:color w:val="333333"/>
      <w:u w:val="none"/>
    </w:rPr>
  </w:style>
  <w:style w:type="paragraph" w:customStyle="1" w:styleId="240">
    <w:name w:val="正文文本缩进1"/>
    <w:basedOn w:val="1"/>
    <w:next w:val="1"/>
    <w:qFormat/>
    <w:uiPriority w:val="0"/>
    <w:pPr>
      <w:spacing w:after="120"/>
      <w:ind w:left="420"/>
    </w:pPr>
  </w:style>
  <w:style w:type="paragraph" w:customStyle="1" w:styleId="241">
    <w:name w:val="寄信人地址1"/>
    <w:basedOn w:val="242"/>
    <w:qFormat/>
    <w:uiPriority w:val="0"/>
    <w:rPr>
      <w:rFonts w:ascii="Arial" w:hAnsi="Arial"/>
    </w:rPr>
  </w:style>
  <w:style w:type="paragraph" w:customStyle="1" w:styleId="242">
    <w:name w:val="正文1"/>
    <w:basedOn w:val="243"/>
    <w:next w:val="245"/>
    <w:qFormat/>
    <w:uiPriority w:val="0"/>
    <w:pPr>
      <w:spacing w:before="120" w:line="360" w:lineRule="auto"/>
      <w:ind w:left="420" w:firstLine="527"/>
    </w:pPr>
    <w:rPr>
      <w:rFonts w:ascii="宋体" w:hAnsi="宋体"/>
    </w:rPr>
  </w:style>
  <w:style w:type="paragraph" w:customStyle="1" w:styleId="243">
    <w:name w:val="正文12"/>
    <w:next w:val="24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4">
    <w:name w:val="Default"/>
    <w:next w:val="1"/>
    <w:qFormat/>
    <w:uiPriority w:val="0"/>
    <w:pPr>
      <w:widowControl w:val="0"/>
      <w:spacing w:line="360" w:lineRule="auto"/>
      <w:jc w:val="both"/>
    </w:pPr>
    <w:rPr>
      <w:rFonts w:hint="default" w:ascii="宋体" w:hAnsi="Times New Roman" w:eastAsia="宋体" w:cs="宋体"/>
      <w:color w:val="000000"/>
      <w:sz w:val="24"/>
      <w:szCs w:val="24"/>
      <w:lang w:val="en-US" w:eastAsia="zh-CN" w:bidi="ar-SA"/>
    </w:rPr>
  </w:style>
  <w:style w:type="paragraph" w:customStyle="1" w:styleId="245">
    <w:name w:val="正文首行缩进1"/>
    <w:basedOn w:val="246"/>
    <w:next w:val="248"/>
    <w:qFormat/>
    <w:uiPriority w:val="0"/>
    <w:pPr>
      <w:ind w:firstLine="420"/>
    </w:pPr>
  </w:style>
  <w:style w:type="paragraph" w:customStyle="1" w:styleId="246">
    <w:name w:val="正文文本1"/>
    <w:basedOn w:val="247"/>
    <w:qFormat/>
    <w:uiPriority w:val="0"/>
    <w:pPr>
      <w:spacing w:after="120"/>
    </w:pPr>
  </w:style>
  <w:style w:type="paragraph" w:customStyle="1" w:styleId="247">
    <w:name w:val="正文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8">
    <w:name w:val="正文首行缩进 21"/>
    <w:basedOn w:val="240"/>
    <w:next w:val="242"/>
    <w:unhideWhenUsed/>
    <w:qFormat/>
    <w:uiPriority w:val="99"/>
    <w:pPr>
      <w:ind w:firstLine="420"/>
    </w:pPr>
  </w:style>
  <w:style w:type="paragraph" w:customStyle="1" w:styleId="249">
    <w:name w:val="一级条标题"/>
    <w:basedOn w:val="250"/>
    <w:next w:val="25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50">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51">
    <w:name w:val="段"/>
    <w:basedOn w:val="242"/>
    <w:next w:val="1"/>
    <w:qFormat/>
    <w:uiPriority w:val="0"/>
    <w:pPr>
      <w:ind w:firstLine="200"/>
    </w:pPr>
    <w:rPr>
      <w:rFonts w:hAnsi="Times New Roman"/>
      <w:szCs w:val="22"/>
    </w:rPr>
  </w:style>
  <w:style w:type="paragraph" w:customStyle="1" w:styleId="252">
    <w:name w:val="无间隔11"/>
    <w:basedOn w:val="1"/>
    <w:qFormat/>
    <w:uiPriority w:val="0"/>
    <w:pPr>
      <w:spacing w:line="400" w:lineRule="exact"/>
    </w:pPr>
    <w:rPr>
      <w:sz w:val="24"/>
    </w:rPr>
  </w:style>
  <w:style w:type="paragraph" w:customStyle="1" w:styleId="253">
    <w:name w:val="正文文本11"/>
    <w:basedOn w:val="1"/>
    <w:unhideWhenUsed/>
    <w:qFormat/>
    <w:uiPriority w:val="0"/>
    <w:pPr>
      <w:spacing w:after="120"/>
    </w:pPr>
    <w:rPr>
      <w:sz w:val="20"/>
    </w:rPr>
  </w:style>
  <w:style w:type="paragraph" w:customStyle="1" w:styleId="254">
    <w:name w:val="脚注文本1"/>
    <w:basedOn w:val="255"/>
    <w:next w:val="256"/>
    <w:qFormat/>
    <w:uiPriority w:val="0"/>
    <w:pPr>
      <w:tabs>
        <w:tab w:val="left" w:pos="200"/>
      </w:tabs>
      <w:spacing w:line="312" w:lineRule="atLeast"/>
      <w:jc w:val="left"/>
    </w:pPr>
    <w:rPr>
      <w:rFonts w:ascii="Times New Roman" w:hAnsi="Times New Roman"/>
      <w:b w:val="0"/>
      <w:sz w:val="18"/>
    </w:rPr>
  </w:style>
  <w:style w:type="paragraph" w:customStyle="1" w:styleId="255">
    <w:name w:val="标题 11"/>
    <w:basedOn w:val="1"/>
    <w:next w:val="1"/>
    <w:qFormat/>
    <w:uiPriority w:val="0"/>
    <w:pPr>
      <w:keepNext/>
      <w:tabs>
        <w:tab w:val="left" w:pos="200"/>
      </w:tabs>
      <w:jc w:val="center"/>
      <w:outlineLvl w:val="0"/>
    </w:pPr>
    <w:rPr>
      <w:rFonts w:ascii="宋体" w:hAnsi="宋体"/>
      <w:b/>
      <w:sz w:val="36"/>
      <w:szCs w:val="20"/>
    </w:rPr>
  </w:style>
  <w:style w:type="paragraph" w:customStyle="1" w:styleId="256">
    <w:name w:val="文本块1"/>
    <w:basedOn w:val="255"/>
    <w:next w:val="1"/>
    <w:qFormat/>
    <w:uiPriority w:val="0"/>
    <w:pPr>
      <w:spacing w:line="360" w:lineRule="auto"/>
      <w:ind w:left="630" w:right="-609" w:firstLine="420"/>
    </w:pPr>
    <w:rPr>
      <w:rFonts w:hint="eastAsia" w:ascii="仿宋_GB2312" w:eastAsia="仿宋_GB2312"/>
    </w:rPr>
  </w:style>
  <w:style w:type="paragraph" w:customStyle="1" w:styleId="257">
    <w:name w:val="表格字体"/>
    <w:basedOn w:val="1"/>
    <w:qFormat/>
    <w:uiPriority w:val="0"/>
    <w:pPr>
      <w:widowControl/>
      <w:spacing w:line="400" w:lineRule="exact"/>
    </w:pPr>
    <w:rPr>
      <w:rFonts w:hint="eastAsia" w:cs="宋体"/>
      <w:bCs/>
      <w:color w:val="000000"/>
      <w:sz w:val="24"/>
      <w:szCs w:val="18"/>
    </w:rPr>
  </w:style>
  <w:style w:type="paragraph" w:customStyle="1" w:styleId="258">
    <w:name w:val="纯文本1"/>
    <w:basedOn w:val="1"/>
    <w:qFormat/>
    <w:uiPriority w:val="0"/>
    <w:rPr>
      <w:rFonts w:ascii="宋体" w:hAnsi="Courier New" w:eastAsia="楷体_GB2312"/>
      <w:sz w:val="28"/>
      <w:szCs w:val="20"/>
    </w:rPr>
  </w:style>
  <w:style w:type="paragraph" w:customStyle="1" w:styleId="259">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60">
    <w:name w:val="页脚1"/>
    <w:basedOn w:val="1"/>
    <w:unhideWhenUsed/>
    <w:qFormat/>
    <w:uiPriority w:val="99"/>
    <w:pPr>
      <w:tabs>
        <w:tab w:val="center" w:pos="4153"/>
        <w:tab w:val="right" w:pos="8306"/>
      </w:tabs>
      <w:jc w:val="left"/>
    </w:pPr>
    <w:rPr>
      <w:sz w:val="18"/>
      <w:szCs w:val="18"/>
    </w:rPr>
  </w:style>
  <w:style w:type="paragraph" w:customStyle="1" w:styleId="261">
    <w:name w:val="列出段落1"/>
    <w:basedOn w:val="1"/>
    <w:qFormat/>
    <w:uiPriority w:val="0"/>
    <w:pPr>
      <w:spacing w:line="360" w:lineRule="auto"/>
      <w:ind w:firstLine="200"/>
    </w:pPr>
    <w:rPr>
      <w:rFonts w:ascii="Calibri" w:hAnsi="Calibri"/>
      <w:sz w:val="22"/>
      <w:szCs w:val="20"/>
    </w:rPr>
  </w:style>
  <w:style w:type="paragraph" w:customStyle="1" w:styleId="262">
    <w:name w:val="_Style 5"/>
    <w:basedOn w:val="1"/>
    <w:qFormat/>
    <w:uiPriority w:val="34"/>
    <w:pPr>
      <w:widowControl/>
      <w:ind w:firstLine="420"/>
      <w:jc w:val="left"/>
    </w:pPr>
    <w:rPr>
      <w:sz w:val="24"/>
    </w:rPr>
  </w:style>
  <w:style w:type="character" w:customStyle="1" w:styleId="263">
    <w:name w:val="font01"/>
    <w:basedOn w:val="41"/>
    <w:qFormat/>
    <w:uiPriority w:val="0"/>
    <w:rPr>
      <w:rFonts w:hint="eastAsia" w:ascii="宋体" w:hAnsi="宋体" w:eastAsia="宋体" w:cs="宋体"/>
      <w:color w:val="000000"/>
      <w:sz w:val="22"/>
      <w:szCs w:val="22"/>
      <w:u w:val="none"/>
    </w:rPr>
  </w:style>
  <w:style w:type="character" w:customStyle="1" w:styleId="264">
    <w:name w:val="font11"/>
    <w:basedOn w:val="41"/>
    <w:qFormat/>
    <w:uiPriority w:val="0"/>
    <w:rPr>
      <w:rFonts w:hint="eastAsia" w:ascii="宋体" w:hAnsi="宋体" w:eastAsia="宋体" w:cs="宋体"/>
      <w:color w:val="000000"/>
      <w:sz w:val="19"/>
      <w:szCs w:val="19"/>
      <w:u w:val="none"/>
    </w:rPr>
  </w:style>
  <w:style w:type="character" w:customStyle="1" w:styleId="265">
    <w:name w:val="font41"/>
    <w:basedOn w:val="41"/>
    <w:qFormat/>
    <w:uiPriority w:val="0"/>
    <w:rPr>
      <w:rFonts w:hint="eastAsia" w:ascii="宋体" w:hAnsi="宋体" w:eastAsia="宋体" w:cs="宋体"/>
      <w:color w:val="000000"/>
      <w:sz w:val="18"/>
      <w:szCs w:val="18"/>
      <w:u w:val="none"/>
    </w:rPr>
  </w:style>
  <w:style w:type="character" w:customStyle="1" w:styleId="266">
    <w:name w:val="批注框文本 Char"/>
    <w:basedOn w:val="41"/>
    <w:link w:val="23"/>
    <w:semiHidden/>
    <w:qFormat/>
    <w:uiPriority w:val="99"/>
    <w:rPr>
      <w:sz w:val="18"/>
      <w:szCs w:val="18"/>
    </w:rPr>
  </w:style>
  <w:style w:type="character" w:customStyle="1" w:styleId="267">
    <w:name w:val="批注文字 Char"/>
    <w:basedOn w:val="41"/>
    <w:link w:val="16"/>
    <w:semiHidden/>
    <w:qFormat/>
    <w:uiPriority w:val="99"/>
    <w:rPr>
      <w:sz w:val="21"/>
      <w:szCs w:val="22"/>
    </w:rPr>
  </w:style>
  <w:style w:type="character" w:customStyle="1" w:styleId="268">
    <w:name w:val="批注主题 Char"/>
    <w:basedOn w:val="267"/>
    <w:link w:val="37"/>
    <w:semiHidden/>
    <w:qFormat/>
    <w:uiPriority w:val="99"/>
    <w:rPr>
      <w:b/>
      <w:bCs/>
      <w:sz w:val="21"/>
      <w:szCs w:val="22"/>
    </w:rPr>
  </w:style>
  <w:style w:type="paragraph" w:customStyle="1" w:styleId="269">
    <w:name w:val="_Style 3"/>
    <w:next w:val="238"/>
    <w:qFormat/>
    <w:uiPriority w:val="99"/>
    <w:pPr>
      <w:widowControl w:val="0"/>
      <w:jc w:val="both"/>
    </w:pPr>
    <w:rPr>
      <w:rFonts w:hint="default" w:ascii="Times New Roman" w:hAnsi="Times New Roman" w:eastAsia="宋体" w:cs="Times New Roman"/>
      <w:sz w:val="21"/>
      <w:szCs w:val="22"/>
      <w:lang w:val="en-US" w:eastAsia="zh-CN" w:bidi="ar-SA"/>
    </w:rPr>
  </w:style>
  <w:style w:type="paragraph" w:customStyle="1" w:styleId="270">
    <w:name w:val="普通(网站)1"/>
    <w:basedOn w:val="1"/>
    <w:unhideWhenUsed/>
    <w:qFormat/>
    <w:uiPriority w:val="0"/>
    <w:rPr>
      <w:sz w:val="24"/>
    </w:rPr>
  </w:style>
  <w:style w:type="character" w:customStyle="1" w:styleId="271">
    <w:name w:val="批注引用1"/>
    <w:qFormat/>
    <w:uiPriority w:val="0"/>
    <w:rPr>
      <w:rFonts w:ascii="Times New Roman" w:hAnsi="Times New Roman" w:eastAsia="宋体" w:cs="Times New Roman"/>
      <w:sz w:val="21"/>
      <w:szCs w:val="22"/>
      <w:lang w:val="en-US" w:eastAsia="zh-CN" w:bidi="ar-SA"/>
    </w:rPr>
  </w:style>
  <w:style w:type="paragraph" w:customStyle="1" w:styleId="272">
    <w:name w:val="纯文本11"/>
    <w:basedOn w:val="1"/>
    <w:qFormat/>
    <w:uiPriority w:val="0"/>
    <w:rPr>
      <w:rFonts w:ascii="宋体" w:hAnsi="Courier New" w:eastAsia="楷体_GB2312" w:cs="宋体"/>
      <w:sz w:val="28"/>
      <w:szCs w:val="28"/>
    </w:rPr>
  </w:style>
  <w:style w:type="paragraph" w:customStyle="1" w:styleId="273">
    <w:name w:val="列表段落"/>
    <w:basedOn w:val="1"/>
    <w:qFormat/>
    <w:uiPriority w:val="0"/>
    <w:pPr>
      <w:spacing w:line="360" w:lineRule="auto"/>
      <w:ind w:firstLine="420"/>
    </w:pPr>
    <w:rPr>
      <w:rFonts w:ascii="Calibri" w:hAnsi="Calibri" w:cs="宋体"/>
      <w:sz w:val="24"/>
      <w:szCs w:val="24"/>
    </w:rPr>
  </w:style>
  <w:style w:type="paragraph" w:customStyle="1" w:styleId="274">
    <w:name w:val="Normal_0_0_0"/>
    <w:qFormat/>
    <w:uiPriority w:val="0"/>
    <w:rPr>
      <w:rFonts w:hint="default"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2357B-B1DD-4E62-9818-01BF385D15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2634</Words>
  <Characters>3120</Characters>
  <TotalTime>0</TotalTime>
  <ScaleCrop>false</ScaleCrop>
  <LinksUpToDate>false</LinksUpToDate>
  <CharactersWithSpaces>3173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2025-05-07T07:20:00Z</dcterms:created>
  <dc:creator>苏州时代招投标有限公司</dc:creator>
  <cp:lastModifiedBy>Y</cp:lastModifiedBy>
  <dcterms:modified xsi:type="dcterms:W3CDTF">2025-12-03T08:46:37Z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171C167D83AD4DE5ADA1502AA6F5C680_13</vt:lpwstr>
  </property>
  <property fmtid="{D5CDD505-2E9C-101B-9397-08002B2CF9AE}" pid="4" name="KSOTemplateDocerSaveRecord">
    <vt:lpwstr>eyJoZGlkIjoiOTlhNDliM2I1ODI1ZDA2NDllOGVkY2I2ZTkwYjJiZTYiLCJ1c2VySWQiOiIzODU3NzkzMjgifQ==</vt:lpwstr>
  </property>
</Properties>
</file>