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line="360" w:lineRule="auto"/>
        <w:widowControl w:val="off"/>
        <w:rPr>
          <w:rFonts w:ascii="Times New Roman" w:hAnsi="Times New Roman" w:eastAsia="宋体"/>
          <w:color w:val="auto"/>
          <w:sz w:val="20"/>
          <w:szCs w:val="20"/>
          <w:highlight w:val="none"/>
          <w:lang w:eastAsia="zh-CN"/>
        </w:rPr>
      </w:pPr>
      <w:r>
        <w:rPr>
          <w:rFonts w:ascii="Times New Roman" w:hAnsi="Times New Roman" w:eastAsia="宋体"/>
          <w:color w:val="auto"/>
          <w:sz w:val="20"/>
          <w:szCs w:val="20"/>
          <w:highlight w:val="none"/>
          <w:lang w:eastAsia="zh-CN"/>
        </w:rPr>
      </w:r>
      <w:r/>
    </w:p>
    <w:p>
      <w:pPr>
        <w:ind w:left="0" w:right="0" w:firstLine="0"/>
        <w:keepLines w:val="0"/>
        <w:keepNext w:val="0"/>
        <w:pageBreakBefore w:val="0"/>
        <w:spacing w:line="360" w:lineRule="auto"/>
        <w:widowControl w:val="off"/>
        <w:rPr>
          <w:rFonts w:ascii="Times New Roman" w:hAnsi="Times New Roman" w:eastAsia="Times New Roman"/>
          <w:color w:val="auto"/>
          <w:sz w:val="21"/>
          <w:szCs w:val="21"/>
          <w:highlight w:val="none"/>
        </w:rPr>
      </w:pPr>
      <w:r>
        <w:rPr>
          <w:rFonts w:ascii="Times New Roman" w:hAnsi="Times New Roman" w:eastAsia="Times New Roman"/>
          <w:color w:val="auto"/>
          <w:sz w:val="21"/>
          <w:szCs w:val="21"/>
          <w:highlight w:val="none"/>
        </w:rPr>
      </w:r>
      <w:r/>
    </w:p>
    <w:p>
      <w:pPr>
        <w:ind w:left="0" w:right="0" w:firstLine="0"/>
        <w:jc w:val="center"/>
        <w:keepLines w:val="0"/>
        <w:keepNext w:val="0"/>
        <w:pageBreakBefore w:val="0"/>
        <w:spacing w:line="360" w:lineRule="auto"/>
        <w:widowControl w:val="off"/>
        <w:rPr>
          <w:rFonts w:ascii="宋体"/>
          <w:b/>
          <w:color w:val="auto"/>
          <w:sz w:val="48"/>
          <w:highlight w:val="none"/>
          <w:lang w:eastAsia="zh-CN"/>
        </w:rPr>
      </w:pPr>
      <w:r>
        <w:rPr>
          <w:rFonts w:ascii="宋体"/>
          <w:b/>
          <w:color w:val="auto"/>
          <w:sz w:val="48"/>
          <w:highlight w:val="none"/>
          <w:lang w:eastAsia="zh-CN"/>
        </w:rPr>
      </w:r>
      <w:r/>
    </w:p>
    <w:p>
      <w:pPr>
        <w:ind w:left="0" w:right="0" w:firstLine="0"/>
        <w:jc w:val="center"/>
        <w:keepLines w:val="0"/>
        <w:keepNext w:val="0"/>
        <w:pageBreakBefore w:val="0"/>
        <w:spacing w:line="360" w:lineRule="auto"/>
        <w:widowControl w:val="off"/>
        <w:rPr>
          <w:rFonts w:ascii="宋体" w:hAnsi="宋体" w:eastAsia="宋体"/>
          <w:b/>
          <w:bCs/>
          <w:color w:val="auto"/>
          <w:sz w:val="96"/>
          <w:szCs w:val="96"/>
          <w:highlight w:val="none"/>
          <w:lang w:eastAsia="zh-CN"/>
        </w:rPr>
        <w:outlineLvl w:val="0"/>
      </w:pPr>
      <w:r/>
      <w:bookmarkStart w:id="0" w:name="_Toc24584"/>
      <w:r>
        <w:rPr>
          <w:rFonts w:hint="eastAsia" w:ascii="宋体" w:hAnsi="宋体" w:eastAsia="宋体"/>
          <w:b/>
          <w:bCs/>
          <w:color w:val="auto"/>
          <w:sz w:val="96"/>
          <w:szCs w:val="96"/>
          <w:highlight w:val="none"/>
          <w:lang w:eastAsia="zh-CN"/>
        </w:rPr>
        <w:t xml:space="preserve">连云港市政府采购</w:t>
      </w:r>
      <w:bookmarkEnd w:id="0"/>
      <w:r/>
      <w:r/>
    </w:p>
    <w:p>
      <w:pPr>
        <w:ind w:left="0" w:right="0" w:firstLine="0"/>
        <w:jc w:val="center"/>
        <w:keepLines w:val="0"/>
        <w:keepNext w:val="0"/>
        <w:pageBreakBefore w:val="0"/>
        <w:spacing w:line="360" w:lineRule="auto"/>
        <w:widowControl w:val="off"/>
        <w:rPr>
          <w:rFonts w:ascii="宋体" w:hAnsi="宋体" w:eastAsia="宋体"/>
          <w:b/>
          <w:bCs/>
          <w:color w:val="auto"/>
          <w:sz w:val="36"/>
          <w:szCs w:val="36"/>
          <w:highlight w:val="none"/>
          <w:lang w:eastAsia="zh-CN"/>
        </w:rPr>
      </w:pPr>
      <w:r>
        <w:rPr>
          <w:rFonts w:ascii="宋体" w:hAnsi="宋体" w:eastAsia="宋体"/>
          <w:b/>
          <w:bCs/>
          <w:color w:val="auto"/>
          <w:sz w:val="36"/>
          <w:szCs w:val="36"/>
          <w:highlight w:val="none"/>
          <w:lang w:eastAsia="zh-CN"/>
        </w:rPr>
      </w:r>
      <w:r/>
    </w:p>
    <w:p>
      <w:pPr>
        <w:ind w:left="0" w:right="0" w:firstLine="0"/>
        <w:keepLines w:val="0"/>
        <w:keepNext w:val="0"/>
        <w:pageBreakBefore w:val="0"/>
        <w:spacing w:line="360" w:lineRule="auto"/>
        <w:widowControl w:val="off"/>
        <w:rPr>
          <w:rFonts w:ascii="宋体" w:hAnsi="宋体" w:eastAsia="宋体"/>
          <w:b/>
          <w:bCs/>
          <w:color w:val="auto"/>
          <w:sz w:val="36"/>
          <w:szCs w:val="36"/>
          <w:highlight w:val="none"/>
          <w:lang w:eastAsia="zh-CN"/>
        </w:rPr>
      </w:pPr>
      <w:r>
        <w:rPr>
          <w:rFonts w:ascii="宋体" w:hAnsi="宋体" w:eastAsia="宋体"/>
          <w:b/>
          <w:bCs/>
          <w:color w:val="auto"/>
          <w:sz w:val="36"/>
          <w:szCs w:val="36"/>
          <w:highlight w:val="none"/>
          <w:lang w:eastAsia="zh-CN"/>
        </w:rPr>
      </w:r>
      <w:r/>
    </w:p>
    <w:p>
      <w:pPr>
        <w:ind w:left="0" w:right="0" w:firstLine="0"/>
        <w:jc w:val="center"/>
        <w:keepLines w:val="0"/>
        <w:keepNext w:val="0"/>
        <w:pageBreakBefore w:val="0"/>
        <w:spacing w:line="360" w:lineRule="auto"/>
        <w:widowControl w:val="off"/>
        <w:rPr>
          <w:rFonts w:ascii="宋体" w:hAnsi="宋体" w:eastAsia="宋体"/>
          <w:b/>
          <w:bCs/>
          <w:color w:val="auto"/>
          <w:spacing w:val="2"/>
          <w:sz w:val="72"/>
          <w:szCs w:val="72"/>
          <w:highlight w:val="none"/>
          <w:lang w:eastAsia="zh-CN"/>
        </w:rPr>
      </w:pPr>
      <w:r>
        <w:rPr>
          <w:rFonts w:hint="eastAsia" w:ascii="宋体" w:hAnsi="宋体" w:eastAsia="宋体"/>
          <w:b/>
          <w:bCs/>
          <w:color w:val="auto"/>
          <w:spacing w:val="2"/>
          <w:sz w:val="72"/>
          <w:szCs w:val="72"/>
          <w:highlight w:val="none"/>
          <w:lang w:eastAsia="zh-CN"/>
        </w:rPr>
        <w:t xml:space="preserve">招标</w:t>
      </w:r>
      <w:r>
        <w:rPr>
          <w:rFonts w:ascii="宋体" w:hAnsi="宋体" w:eastAsia="宋体"/>
          <w:b/>
          <w:bCs/>
          <w:color w:val="auto"/>
          <w:spacing w:val="2"/>
          <w:sz w:val="72"/>
          <w:szCs w:val="72"/>
          <w:highlight w:val="none"/>
          <w:lang w:eastAsia="zh-CN"/>
        </w:rPr>
        <w:t xml:space="preserve">文件</w:t>
      </w:r>
      <w:r/>
    </w:p>
    <w:p>
      <w:pPr>
        <w:pStyle w:val="953"/>
        <w:ind w:left="0" w:right="0" w:firstLine="0"/>
        <w:keepLines w:val="0"/>
        <w:keepNext w:val="0"/>
        <w:pageBreakBefore w:val="0"/>
        <w:spacing w:line="360" w:lineRule="auto"/>
        <w:widowControl w:val="off"/>
        <w:rPr>
          <w:color w:val="auto"/>
          <w:highlight w:val="none"/>
          <w:lang w:eastAsia="zh-CN"/>
        </w:rPr>
      </w:pPr>
      <w:r>
        <w:rPr>
          <w:color w:val="auto"/>
          <w:highlight w:val="none"/>
          <w:lang w:eastAsia="zh-CN"/>
        </w:rPr>
      </w:r>
      <w:r/>
    </w:p>
    <w:tbl>
      <w:tblPr>
        <w:tblStyle w:val="920"/>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6"/>
      </w:tblGrid>
      <w:tr>
        <w:trPr>
          <w:jc w:val="center"/>
          <w:trHeight w:val="781"/>
        </w:trPr>
        <w:tc>
          <w:tcPr>
            <w:tcW w:w="7876" w:type="dxa"/>
            <w:vAlign w:val="center"/>
            <w:textDirection w:val="lrTb"/>
            <w:noWrap w:val="false"/>
          </w:tcPr>
          <w:p>
            <w:pPr>
              <w:ind w:left="1606" w:right="0" w:hanging="1606"/>
              <w:jc w:val="both"/>
              <w:keepLines w:val="0"/>
              <w:keepNext w:val="0"/>
              <w:pageBreakBefore w:val="0"/>
              <w:spacing w:line="360" w:lineRule="auto"/>
              <w:widowControl w:val="off"/>
              <w:rPr>
                <w:rFonts w:ascii="宋体" w:hAnsi="宋体" w:eastAsia="宋体"/>
                <w:b/>
                <w:bCs/>
                <w:color w:val="auto"/>
                <w:sz w:val="32"/>
                <w:szCs w:val="32"/>
                <w:highlight w:val="none"/>
                <w:lang w:eastAsia="zh-CN"/>
              </w:rPr>
            </w:pPr>
            <w:r/>
            <w:bookmarkStart w:id="1" w:name="OLE_LINK24"/>
            <w:r/>
            <w:bookmarkStart w:id="2" w:name="OLE_LINK1"/>
            <w:r/>
            <w:bookmarkStart w:id="3" w:name="OLE_LINK29"/>
            <w:r/>
            <w:bookmarkStart w:id="4" w:name="OLE_LINK14"/>
            <w:r/>
            <w:bookmarkStart w:id="5" w:name="OLE_LINK27"/>
            <w:r/>
            <w:bookmarkStart w:id="6" w:name="OLE_LINK17"/>
            <w:r/>
            <w:bookmarkStart w:id="7" w:name="OLE_LINK3"/>
            <w:r/>
            <w:bookmarkStart w:id="8" w:name="OLE_LINK13"/>
            <w:r>
              <w:rPr>
                <w:rFonts w:hint="eastAsia" w:ascii="宋体" w:hAnsi="宋体" w:eastAsia="宋体"/>
                <w:b/>
                <w:bCs/>
                <w:color w:val="auto"/>
                <w:sz w:val="32"/>
                <w:szCs w:val="32"/>
                <w:highlight w:val="none"/>
                <w:lang w:eastAsia="zh-CN"/>
              </w:rPr>
              <w:t xml:space="preserve">项目名称：</w:t>
            </w:r>
            <w:bookmarkEnd w:id="1"/>
            <w:r/>
            <w:bookmarkEnd w:id="2"/>
            <w:r/>
            <w:bookmarkEnd w:id="3"/>
            <w:r/>
            <w:bookmarkEnd w:id="4"/>
            <w:r/>
            <w:bookmarkEnd w:id="5"/>
            <w:r/>
            <w:bookmarkEnd w:id="6"/>
            <w:r/>
            <w:bookmarkEnd w:id="7"/>
            <w:r/>
            <w:bookmarkEnd w:id="8"/>
            <w:r>
              <w:rPr>
                <w:rFonts w:hint="eastAsia" w:ascii="宋体" w:hAnsi="宋体" w:eastAsia="宋体"/>
                <w:b/>
                <w:bCs/>
                <w:color w:val="auto"/>
                <w:sz w:val="32"/>
                <w:szCs w:val="32"/>
                <w:highlight w:val="none"/>
                <w:lang w:eastAsia="zh-CN"/>
              </w:rPr>
              <w:t xml:space="preserve">灌云县民政局2025年政府购买居家养老上门服务项目(专门面向中小微企业)</w:t>
            </w:r>
            <w:r/>
          </w:p>
        </w:tc>
      </w:tr>
      <w:tr>
        <w:trPr>
          <w:jc w:val="center"/>
          <w:trHeight w:val="940"/>
        </w:trPr>
        <w:tc>
          <w:tcPr>
            <w:tcW w:w="7876" w:type="dxa"/>
            <w:vAlign w:val="center"/>
            <w:textDirection w:val="lrTb"/>
            <w:noWrap w:val="false"/>
          </w:tcPr>
          <w:p>
            <w:pPr>
              <w:ind w:left="0" w:right="0" w:firstLine="0"/>
              <w:jc w:val="both"/>
              <w:keepLines w:val="0"/>
              <w:keepNext w:val="0"/>
              <w:pageBreakBefore w:val="0"/>
              <w:spacing w:line="360" w:lineRule="auto"/>
              <w:widowControl w:val="off"/>
              <w:rPr>
                <w:rFonts w:ascii="宋体" w:hAnsi="宋体" w:eastAsia="宋体"/>
                <w:b/>
                <w:bCs/>
                <w:color w:val="auto"/>
                <w:sz w:val="32"/>
                <w:szCs w:val="32"/>
                <w:highlight w:val="none"/>
                <w:lang w:eastAsia="zh-CN"/>
              </w:rPr>
            </w:pPr>
            <w:r>
              <w:rPr>
                <w:rFonts w:hint="eastAsia" w:ascii="宋体" w:hAnsi="宋体" w:eastAsia="宋体"/>
                <w:b/>
                <w:bCs/>
                <w:color w:val="auto"/>
                <w:sz w:val="32"/>
                <w:szCs w:val="32"/>
                <w:highlight w:val="none"/>
                <w:lang w:eastAsia="zh-CN"/>
              </w:rPr>
              <w:t xml:space="preserve">项目编号：JSZC-320723-BZGS-G2025-0003</w:t>
            </w:r>
            <w:r/>
          </w:p>
        </w:tc>
      </w:tr>
    </w:tbl>
    <w:p>
      <w:pPr>
        <w:ind w:left="0" w:right="0" w:firstLine="0"/>
        <w:jc w:val="center"/>
        <w:keepLines w:val="0"/>
        <w:keepNext w:val="0"/>
        <w:pageBreakBefore w:val="0"/>
        <w:spacing w:line="360" w:lineRule="auto"/>
        <w:widowControl w:val="off"/>
        <w:rPr>
          <w:rFonts w:ascii="宋体" w:hAnsi="宋体" w:eastAsia="宋体"/>
          <w:b/>
          <w:bCs/>
          <w:color w:val="auto"/>
          <w:sz w:val="32"/>
          <w:szCs w:val="32"/>
          <w:highlight w:val="none"/>
          <w:lang w:eastAsia="zh-CN"/>
        </w:rPr>
      </w:pPr>
      <w:r>
        <w:rPr>
          <w:rFonts w:ascii="宋体" w:hAnsi="宋体" w:eastAsia="宋体"/>
          <w:b/>
          <w:bCs/>
          <w:color w:val="auto"/>
          <w:sz w:val="32"/>
          <w:szCs w:val="32"/>
          <w:highlight w:val="none"/>
          <w:lang w:eastAsia="zh-CN"/>
        </w:rPr>
      </w:r>
      <w:r/>
    </w:p>
    <w:p>
      <w:pPr>
        <w:ind w:left="0" w:right="0" w:firstLine="0"/>
        <w:jc w:val="center"/>
        <w:keepLines w:val="0"/>
        <w:keepNext w:val="0"/>
        <w:pageBreakBefore w:val="0"/>
        <w:spacing w:line="360" w:lineRule="auto"/>
        <w:widowControl w:val="off"/>
        <w:rPr>
          <w:rFonts w:ascii="宋体" w:hAnsi="宋体" w:eastAsia="宋体"/>
          <w:b/>
          <w:bCs/>
          <w:color w:val="auto"/>
          <w:sz w:val="32"/>
          <w:szCs w:val="32"/>
          <w:highlight w:val="none"/>
          <w:lang w:eastAsia="zh-CN"/>
        </w:rPr>
      </w:pPr>
      <w:r>
        <w:rPr>
          <w:rFonts w:ascii="宋体" w:hAnsi="宋体" w:eastAsia="宋体"/>
          <w:b/>
          <w:bCs/>
          <w:color w:val="auto"/>
          <w:sz w:val="32"/>
          <w:szCs w:val="32"/>
          <w:highlight w:val="none"/>
          <w:lang w:eastAsia="zh-CN"/>
        </w:rPr>
      </w:r>
      <w:r/>
    </w:p>
    <w:p>
      <w:pPr>
        <w:pStyle w:val="953"/>
        <w:ind w:left="0" w:right="0" w:firstLine="0"/>
        <w:keepLines w:val="0"/>
        <w:keepNext w:val="0"/>
        <w:pageBreakBefore w:val="0"/>
        <w:spacing w:line="360" w:lineRule="auto"/>
        <w:widowControl w:val="off"/>
        <w:rPr>
          <w:rFonts w:ascii="宋体" w:hAnsi="宋体"/>
          <w:b/>
          <w:bCs/>
          <w:color w:val="auto"/>
          <w:sz w:val="32"/>
          <w:szCs w:val="32"/>
          <w:highlight w:val="none"/>
          <w:lang w:eastAsia="zh-CN"/>
        </w:rPr>
      </w:pPr>
      <w:r>
        <w:rPr>
          <w:rFonts w:ascii="宋体" w:hAnsi="宋体"/>
          <w:b/>
          <w:bCs/>
          <w:color w:val="auto"/>
          <w:sz w:val="32"/>
          <w:szCs w:val="32"/>
          <w:highlight w:val="none"/>
          <w:lang w:eastAsia="zh-CN"/>
        </w:rPr>
      </w:r>
      <w:r/>
    </w:p>
    <w:p>
      <w:pPr>
        <w:ind w:left="0" w:right="0" w:firstLine="0"/>
        <w:keepLines w:val="0"/>
        <w:keepNext w:val="0"/>
        <w:pageBreakBefore w:val="0"/>
        <w:spacing w:line="360" w:lineRule="auto"/>
        <w:widowControl w:val="off"/>
        <w:rPr>
          <w:rFonts w:ascii="Times New Roman" w:hAnsi="Times New Roman" w:eastAsia="Times New Roman"/>
          <w:b/>
          <w:bCs/>
          <w:color w:val="auto"/>
          <w:sz w:val="34"/>
          <w:szCs w:val="34"/>
          <w:highlight w:val="none"/>
        </w:rPr>
      </w:pPr>
      <w:r>
        <w:rPr>
          <w:rFonts w:ascii="Times New Roman" w:hAnsi="Times New Roman" w:eastAsia="Times New Roman"/>
          <w:b/>
          <w:bCs/>
          <w:color w:val="auto"/>
          <w:sz w:val="34"/>
          <w:szCs w:val="34"/>
          <w:highlight w:val="none"/>
        </w:rPr>
      </w:r>
      <w:r/>
    </w:p>
    <w:tbl>
      <w:tblPr>
        <w:tblStyle w:val="920"/>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7"/>
        <w:gridCol w:w="2694"/>
        <w:gridCol w:w="5386"/>
        <w:gridCol w:w="872"/>
      </w:tblGrid>
      <w:tr>
        <w:trPr>
          <w:trHeight w:val="750"/>
        </w:trPr>
        <w:tc>
          <w:tcPr>
            <w:tcW w:w="567" w:type="dxa"/>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24"/>
                <w:highlight w:val="none"/>
              </w:rPr>
            </w:pPr>
            <w:r/>
            <w:bookmarkStart w:id="9" w:name="OLE_LINK4"/>
            <w:r/>
            <w:bookmarkStart w:id="10" w:name="OLE_LINK31"/>
            <w:r/>
            <w:r/>
          </w:p>
        </w:tc>
        <w:tc>
          <w:tcPr>
            <w:tcW w:w="2694" w:type="dxa"/>
            <w:vAlign w:val="bottom"/>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24"/>
                <w:highlight w:val="none"/>
              </w:rPr>
            </w:pPr>
            <w:r>
              <w:rPr>
                <w:rFonts w:hint="eastAsia" w:ascii="宋体" w:hAnsi="宋体" w:eastAsia="宋体"/>
                <w:b/>
                <w:color w:val="auto"/>
                <w:sz w:val="32"/>
                <w:szCs w:val="24"/>
                <w:highlight w:val="none"/>
              </w:rPr>
              <w:t xml:space="preserve">采   购   人：   </w:t>
            </w:r>
            <w:bookmarkEnd w:id="9"/>
            <w:r/>
            <w:bookmarkEnd w:id="10"/>
            <w:r/>
            <w:r/>
          </w:p>
        </w:tc>
        <w:tc>
          <w:tcPr>
            <w:tcW w:w="5386" w:type="dxa"/>
            <w:vAlign w:val="bottom"/>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20"/>
                <w:highlight w:val="none"/>
                <w:lang w:eastAsia="zh-CN"/>
              </w:rPr>
            </w:pPr>
            <w:r>
              <w:rPr>
                <w:rFonts w:hint="eastAsia" w:ascii="宋体" w:hAnsi="宋体" w:eastAsia="宋体"/>
                <w:b/>
                <w:color w:val="auto"/>
                <w:sz w:val="32"/>
                <w:szCs w:val="20"/>
                <w:highlight w:val="none"/>
                <w:lang w:eastAsia="zh-CN"/>
              </w:rPr>
              <w:t xml:space="preserve"> 灌云县民政局</w:t>
            </w:r>
            <w:r/>
          </w:p>
        </w:tc>
        <w:tc>
          <w:tcPr>
            <w:tcW w:w="872" w:type="dxa"/>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32"/>
                <w:highlight w:val="none"/>
                <w:lang w:eastAsia="zh-CN"/>
              </w:rPr>
            </w:pPr>
            <w:r>
              <w:rPr>
                <w:rFonts w:ascii="宋体" w:hAnsi="宋体" w:eastAsia="宋体"/>
                <w:b/>
                <w:color w:val="auto"/>
                <w:sz w:val="32"/>
                <w:szCs w:val="32"/>
                <w:highlight w:val="none"/>
                <w:lang w:eastAsia="zh-CN"/>
              </w:rPr>
            </w:r>
            <w:r/>
          </w:p>
        </w:tc>
      </w:tr>
      <w:tr>
        <w:trPr>
          <w:trHeight w:val="843"/>
        </w:trPr>
        <w:tc>
          <w:tcPr>
            <w:tcW w:w="567" w:type="dxa"/>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24"/>
                <w:highlight w:val="none"/>
                <w:lang w:eastAsia="zh-CN"/>
              </w:rPr>
            </w:pPr>
            <w:r>
              <w:rPr>
                <w:rFonts w:ascii="宋体" w:hAnsi="宋体" w:eastAsia="宋体"/>
                <w:b/>
                <w:color w:val="auto"/>
                <w:sz w:val="32"/>
                <w:szCs w:val="24"/>
                <w:highlight w:val="none"/>
                <w:lang w:eastAsia="zh-CN"/>
              </w:rPr>
            </w:r>
            <w:r/>
          </w:p>
        </w:tc>
        <w:tc>
          <w:tcPr>
            <w:tcW w:w="2694" w:type="dxa"/>
            <w:vAlign w:val="center"/>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24"/>
                <w:highlight w:val="none"/>
              </w:rPr>
            </w:pPr>
            <w:r>
              <w:rPr>
                <w:rFonts w:hint="eastAsia" w:ascii="宋体" w:hAnsi="宋体" w:eastAsia="宋体"/>
                <w:b/>
                <w:color w:val="auto"/>
                <w:sz w:val="32"/>
                <w:szCs w:val="24"/>
                <w:highlight w:val="none"/>
              </w:rPr>
              <w:t xml:space="preserve">采购代理机构：</w:t>
            </w:r>
            <w:r/>
          </w:p>
        </w:tc>
        <w:tc>
          <w:tcPr>
            <w:tcW w:w="5386" w:type="dxa"/>
            <w:vAlign w:val="center"/>
            <w:textDirection w:val="lrTb"/>
            <w:noWrap w:val="false"/>
          </w:tcPr>
          <w:p>
            <w:pPr>
              <w:pStyle w:val="954"/>
              <w:ind w:left="0" w:right="0" w:firstLine="0"/>
              <w:keepLines w:val="0"/>
              <w:keepNext w:val="0"/>
              <w:pageBreakBefore w:val="0"/>
              <w:spacing w:line="360" w:lineRule="auto"/>
              <w:widowControl w:val="off"/>
              <w:rPr>
                <w:rFonts w:hAnsi="宋体"/>
                <w:b/>
                <w:color w:val="auto"/>
                <w:sz w:val="32"/>
                <w:highlight w:val="none"/>
                <w:lang w:eastAsia="zh-CN"/>
              </w:rPr>
            </w:pPr>
            <w:r>
              <w:rPr>
                <w:rFonts w:hint="eastAsia" w:hAnsi="宋体"/>
                <w:b/>
                <w:color w:val="auto"/>
                <w:sz w:val="32"/>
                <w:highlight w:val="none"/>
                <w:lang w:eastAsia="zh-CN"/>
              </w:rPr>
              <w:t xml:space="preserve">江苏博哲项目管理有限公司</w:t>
            </w:r>
            <w:r/>
          </w:p>
        </w:tc>
        <w:tc>
          <w:tcPr>
            <w:tcW w:w="872" w:type="dxa"/>
            <w:textDirection w:val="lrTb"/>
            <w:noWrap w:val="false"/>
          </w:tcPr>
          <w:p>
            <w:pPr>
              <w:pStyle w:val="954"/>
              <w:ind w:left="0" w:right="0" w:firstLine="0"/>
              <w:keepLines w:val="0"/>
              <w:keepNext w:val="0"/>
              <w:pageBreakBefore w:val="0"/>
              <w:spacing w:line="360" w:lineRule="auto"/>
              <w:widowControl w:val="off"/>
              <w:rPr>
                <w:rFonts w:hAnsi="宋体"/>
                <w:b/>
                <w:color w:val="auto"/>
                <w:sz w:val="32"/>
                <w:highlight w:val="none"/>
                <w:lang w:eastAsia="zh-CN"/>
              </w:rPr>
            </w:pPr>
            <w:r>
              <w:rPr>
                <w:rFonts w:hAnsi="宋体"/>
                <w:b/>
                <w:color w:val="auto"/>
                <w:sz w:val="32"/>
                <w:highlight w:val="none"/>
                <w:lang w:eastAsia="zh-CN"/>
              </w:rPr>
            </w:r>
            <w:r/>
          </w:p>
        </w:tc>
      </w:tr>
      <w:tr>
        <w:trPr>
          <w:trHeight w:val="693"/>
        </w:trPr>
        <w:tc>
          <w:tcPr>
            <w:tcW w:w="567" w:type="dxa"/>
            <w:textDirection w:val="lrTb"/>
            <w:noWrap w:val="false"/>
          </w:tcPr>
          <w:p>
            <w:pPr>
              <w:ind w:left="0" w:right="0" w:firstLine="0"/>
              <w:keepLines w:val="0"/>
              <w:keepNext w:val="0"/>
              <w:pageBreakBefore w:val="0"/>
              <w:spacing w:line="360" w:lineRule="auto"/>
              <w:widowControl w:val="off"/>
              <w:rPr>
                <w:rFonts w:ascii="宋体" w:hAnsi="宋体" w:eastAsia="宋体"/>
                <w:b/>
                <w:color w:val="auto"/>
                <w:sz w:val="32"/>
                <w:szCs w:val="24"/>
                <w:highlight w:val="none"/>
                <w:lang w:eastAsia="zh-CN"/>
              </w:rPr>
            </w:pPr>
            <w:r>
              <w:rPr>
                <w:rFonts w:ascii="宋体" w:hAnsi="宋体" w:eastAsia="宋体"/>
                <w:b/>
                <w:color w:val="auto"/>
                <w:sz w:val="32"/>
                <w:szCs w:val="24"/>
                <w:highlight w:val="none"/>
                <w:lang w:eastAsia="zh-CN"/>
              </w:rPr>
            </w:r>
            <w:r/>
          </w:p>
        </w:tc>
        <w:tc>
          <w:tcPr>
            <w:tcW w:w="2694" w:type="dxa"/>
            <w:vAlign w:val="center"/>
            <w:textDirection w:val="lrTb"/>
            <w:noWrap w:val="false"/>
          </w:tcPr>
          <w:p>
            <w:pPr>
              <w:ind w:left="0" w:right="0" w:firstLine="0"/>
              <w:keepLines w:val="0"/>
              <w:keepNext w:val="0"/>
              <w:pageBreakBefore w:val="0"/>
              <w:spacing w:line="360" w:lineRule="auto"/>
              <w:widowControl w:val="off"/>
              <w:rPr>
                <w:rFonts w:ascii="宋体" w:hAnsi="宋体" w:eastAsia="宋体"/>
                <w:b/>
                <w:bCs/>
                <w:color w:val="auto"/>
                <w:sz w:val="30"/>
                <w:szCs w:val="30"/>
                <w:highlight w:val="none"/>
              </w:rPr>
            </w:pPr>
            <w:r>
              <w:rPr>
                <w:rFonts w:ascii="宋体" w:hAnsi="宋体" w:eastAsia="宋体"/>
                <w:b/>
                <w:bCs/>
                <w:color w:val="auto"/>
                <w:sz w:val="30"/>
                <w:szCs w:val="30"/>
                <w:highlight w:val="none"/>
              </w:rPr>
              <w:t xml:space="preserve">日</w:t>
            </w:r>
            <w:r>
              <w:rPr>
                <w:rFonts w:ascii="宋体" w:hAnsi="宋体" w:eastAsia="宋体"/>
                <w:b/>
                <w:bCs/>
                <w:color w:val="auto"/>
                <w:sz w:val="30"/>
                <w:szCs w:val="30"/>
                <w:highlight w:val="none"/>
              </w:rPr>
              <w:tab/>
            </w:r>
            <w:r>
              <w:rPr>
                <w:rFonts w:ascii="宋体" w:hAnsi="宋体" w:eastAsia="宋体"/>
                <w:b/>
                <w:bCs/>
                <w:color w:val="auto"/>
                <w:sz w:val="30"/>
                <w:szCs w:val="30"/>
                <w:highlight w:val="none"/>
              </w:rPr>
              <w:t xml:space="preserve">期：</w:t>
            </w:r>
            <w:r/>
          </w:p>
        </w:tc>
        <w:tc>
          <w:tcPr>
            <w:tcW w:w="5386" w:type="dxa"/>
            <w:vAlign w:val="center"/>
            <w:textDirection w:val="lrTb"/>
            <w:noWrap w:val="false"/>
          </w:tcPr>
          <w:p>
            <w:pPr>
              <w:ind w:left="0" w:right="0" w:firstLine="0"/>
              <w:jc w:val="both"/>
              <w:keepLines w:val="0"/>
              <w:keepNext w:val="0"/>
              <w:pageBreakBefore w:val="0"/>
              <w:spacing w:line="360" w:lineRule="auto"/>
              <w:widowControl w:val="off"/>
              <w:tabs>
                <w:tab w:val="left" w:pos="2208" w:leader="none"/>
                <w:tab w:val="left" w:pos="3105" w:leader="none"/>
              </w:tabs>
              <w:rPr>
                <w:rFonts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lang w:eastAsia="zh-CN"/>
              </w:rPr>
              <w:t xml:space="preserve">二〇二</w:t>
            </w:r>
            <w:r>
              <w:rPr>
                <w:rFonts w:hint="eastAsia" w:ascii="宋体" w:hAnsi="宋体" w:eastAsia="宋体"/>
                <w:b/>
                <w:bCs/>
                <w:color w:val="auto"/>
                <w:sz w:val="30"/>
                <w:szCs w:val="30"/>
                <w:highlight w:val="none"/>
                <w:lang w:val="en-US" w:eastAsia="zh-CN"/>
              </w:rPr>
              <w:t xml:space="preserve">五</w:t>
            </w:r>
            <w:r>
              <w:rPr>
                <w:rFonts w:hint="eastAsia" w:ascii="宋体" w:hAnsi="宋体" w:eastAsia="宋体"/>
                <w:b/>
                <w:bCs/>
                <w:color w:val="auto"/>
                <w:sz w:val="30"/>
                <w:szCs w:val="30"/>
                <w:highlight w:val="none"/>
                <w:lang w:eastAsia="zh-CN"/>
              </w:rPr>
              <w:t xml:space="preserve">年</w:t>
            </w:r>
            <w:r>
              <w:rPr>
                <w:rFonts w:hint="eastAsia" w:ascii="宋体" w:hAnsi="宋体" w:eastAsia="宋体"/>
                <w:b/>
                <w:bCs/>
                <w:color w:val="auto"/>
                <w:sz w:val="30"/>
                <w:szCs w:val="30"/>
                <w:highlight w:val="none"/>
                <w:lang w:val="en-US" w:eastAsia="zh-CN"/>
              </w:rPr>
              <w:t xml:space="preserve">三</w:t>
            </w:r>
            <w:r>
              <w:rPr>
                <w:rFonts w:hint="eastAsia" w:ascii="宋体" w:hAnsi="宋体" w:eastAsia="宋体"/>
                <w:b/>
                <w:bCs/>
                <w:color w:val="auto"/>
                <w:sz w:val="30"/>
                <w:szCs w:val="30"/>
                <w:highlight w:val="none"/>
                <w:lang w:eastAsia="zh-CN"/>
              </w:rPr>
              <w:t xml:space="preserve">月</w:t>
            </w:r>
            <w:r/>
          </w:p>
        </w:tc>
        <w:tc>
          <w:tcPr>
            <w:tcW w:w="872" w:type="dxa"/>
            <w:textDirection w:val="lrTb"/>
            <w:noWrap w:val="false"/>
          </w:tcPr>
          <w:p>
            <w:pPr>
              <w:pStyle w:val="954"/>
              <w:ind w:left="0" w:right="0" w:firstLine="0"/>
              <w:keepLines w:val="0"/>
              <w:keepNext w:val="0"/>
              <w:pageBreakBefore w:val="0"/>
              <w:spacing w:line="360" w:lineRule="auto"/>
              <w:widowControl w:val="off"/>
              <w:rPr>
                <w:rFonts w:hAnsi="宋体"/>
                <w:b/>
                <w:color w:val="auto"/>
                <w:sz w:val="32"/>
                <w:highlight w:val="none"/>
              </w:rPr>
            </w:pPr>
            <w:r>
              <w:rPr>
                <w:rFonts w:hAnsi="宋体"/>
                <w:b/>
                <w:color w:val="auto"/>
                <w:sz w:val="32"/>
                <w:highlight w:val="none"/>
              </w:rPr>
            </w:r>
            <w:r/>
          </w:p>
        </w:tc>
      </w:tr>
    </w:tbl>
    <w:p>
      <w:pPr>
        <w:ind w:left="0" w:right="0" w:firstLine="0"/>
        <w:jc w:val="both"/>
        <w:keepLines w:val="0"/>
        <w:keepNext w:val="0"/>
        <w:pageBreakBefore w:val="0"/>
        <w:spacing w:line="360" w:lineRule="auto"/>
        <w:widowControl w:val="off"/>
        <w:rPr>
          <w:rFonts w:ascii="Times New Roman" w:hAnsi="Times New Roman" w:eastAsia="Times New Roman"/>
          <w:color w:val="auto"/>
          <w:sz w:val="18"/>
          <w:szCs w:val="18"/>
          <w:highlight w:val="none"/>
        </w:rPr>
        <w:sectPr>
          <w:footnotePr/>
          <w:endnotePr/>
          <w:type w:val="nextPage"/>
          <w:pgSz w:w="11910" w:h="16840" w:orient="portrait"/>
          <w:pgMar w:top="1440" w:right="1247" w:bottom="1440" w:left="1247" w:header="720" w:footer="720" w:gutter="0"/>
          <w:cols w:num="1" w:sep="0" w:space="720" w:equalWidth="1"/>
          <w:docGrid w:linePitch="360"/>
        </w:sectPr>
      </w:pPr>
      <w:r>
        <w:rPr>
          <w:rFonts w:ascii="Times New Roman" w:hAnsi="Times New Roman" w:eastAsia="Times New Roman"/>
          <w:color w:val="auto"/>
          <w:sz w:val="18"/>
          <w:szCs w:val="18"/>
          <w:highlight w:val="none"/>
        </w:rPr>
      </w:r>
      <w:r/>
    </w:p>
    <w:sdt>
      <w:sdtPr>
        <w15:appearance w15:val="boundingBox"/>
        <w15:color w:val="dbdbdb"/>
        <w:id w:val="147478182"/>
        <w:docPartObj>
          <w:docPartGallery w:val="Table of Contents"/>
          <w:docPartUnique w:val="true"/>
        </w:docPartObj>
        <w:rPr>
          <w:rFonts w:ascii="宋体" w:hAnsi="宋体" w:eastAsia="宋体" w:cstheme="minorBidi"/>
          <w:color w:val="auto"/>
          <w:sz w:val="21"/>
          <w:szCs w:val="22"/>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30"/>
              <w:szCs w:val="30"/>
              <w:highlight w:val="none"/>
            </w:rPr>
          </w:pPr>
          <w:r/>
          <w:bookmarkStart w:id="11" w:name="_Toc155796356"/>
          <w:r>
            <w:rPr>
              <w:rFonts w:hint="eastAsia" w:ascii="宋体" w:hAnsi="宋体" w:eastAsia="宋体" w:cs="宋体"/>
              <w:color w:val="auto"/>
              <w:sz w:val="30"/>
              <w:szCs w:val="30"/>
              <w:highlight w:val="none"/>
            </w:rPr>
            <w:t xml:space="preserve">目录</w:t>
          </w:r>
          <w:r/>
        </w:p>
        <w:p>
          <w:pPr>
            <w:pStyle w:val="957"/>
            <w:tabs>
              <w:tab w:val="right" w:pos="941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_Toc5591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  </w:t>
          </w:r>
          <w:r>
            <w:rPr>
              <w:rFonts w:hint="eastAsia" w:ascii="宋体" w:hAnsi="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_Toc5591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tabs>
              <w:tab w:val="right" w:pos="941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_Toc1435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_Toc1435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6</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tabs>
              <w:tab w:val="right" w:pos="941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_Toc17771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第三章  合同文本</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_Toc17771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tabs>
              <w:tab w:val="right" w:pos="941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_Toc20627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第四章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_Toc20627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tabs>
              <w:tab w:val="right" w:pos="941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_Toc10116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w:t>
          </w:r>
          <w:r>
            <w:rPr>
              <w:rFonts w:hint="eastAsia" w:ascii="宋体" w:hAnsi="宋体" w:eastAsia="宋体" w:cs="宋体"/>
              <w:color w:val="auto"/>
              <w:sz w:val="30"/>
              <w:szCs w:val="30"/>
              <w:highlight w:val="none"/>
              <w:lang w:val="en-US" w:eastAsia="zh-CN"/>
            </w:rPr>
            <w:t xml:space="preserve">五</w:t>
          </w:r>
          <w:r>
            <w:rPr>
              <w:rFonts w:hint="eastAsia" w:ascii="宋体" w:hAnsi="宋体" w:eastAsia="宋体" w:cs="宋体"/>
              <w:color w:val="auto"/>
              <w:sz w:val="30"/>
              <w:szCs w:val="30"/>
              <w:highlight w:val="none"/>
            </w:rPr>
            <w:t xml:space="preserve">章  评标方法与评标标准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_Toc10116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957"/>
            <w:tabs>
              <w:tab w:val="right" w:pos="941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_Toc28907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第六章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_Toc28907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rPr>
              <w:color w:val="auto"/>
              <w:highlight w:val="none"/>
            </w:rPr>
          </w:pPr>
          <w:r>
            <w:rPr>
              <w:rFonts w:hint="eastAsia" w:ascii="宋体" w:hAnsi="宋体" w:eastAsia="宋体" w:cs="宋体"/>
              <w:color w:val="auto"/>
              <w:sz w:val="30"/>
              <w:szCs w:val="30"/>
              <w:highlight w:val="none"/>
            </w:rPr>
            <w:fldChar w:fldCharType="end"/>
          </w:r>
          <w:r/>
        </w:p>
      </w:sdtContent>
    </w:sdt>
    <w:p>
      <w:pPr>
        <w:rPr>
          <w:color w:val="auto"/>
          <w:highlight w:val="none"/>
        </w:rPr>
      </w:pPr>
      <w:r>
        <w:rPr>
          <w:color w:val="auto"/>
          <w:highlight w:val="none"/>
        </w:rPr>
      </w:r>
      <w:r/>
    </w:p>
    <w:p>
      <w:pPr>
        <w:rPr>
          <w:rFonts w:hint="eastAsia" w:ascii="黑体" w:hAnsi="黑体" w:eastAsia="黑体"/>
          <w:b w:val="0"/>
          <w:color w:val="auto"/>
          <w:highlight w:val="none"/>
        </w:rPr>
      </w:pPr>
      <w:r/>
      <w:bookmarkStart w:id="12" w:name="_Toc5591"/>
      <w:r>
        <w:rPr>
          <w:rFonts w:hint="eastAsia" w:ascii="黑体" w:hAnsi="黑体" w:eastAsia="黑体"/>
          <w:b w:val="0"/>
          <w:color w:val="auto"/>
          <w:highlight w:val="none"/>
        </w:rPr>
        <w:br w:type="page" w:clear="all"/>
      </w:r>
      <w:r/>
    </w:p>
    <w:p>
      <w:pPr>
        <w:pStyle w:val="916"/>
        <w:ind w:left="0" w:right="0" w:firstLine="880"/>
        <w:jc w:val="center"/>
        <w:keepNext w:val="0"/>
        <w:pageBreakBefore w:val="0"/>
        <w:spacing w:before="0" w:after="0" w:line="360" w:lineRule="auto"/>
        <w:widowControl w:val="off"/>
        <w:rPr>
          <w:rFonts w:hint="default" w:ascii="黑体" w:hAnsi="黑体" w:eastAsia="黑体"/>
          <w:b w:val="0"/>
          <w:color w:val="auto"/>
          <w:highlight w:val="none"/>
          <w:lang w:val="en-US" w:eastAsia="zh-CN"/>
        </w:rPr>
      </w:pPr>
      <w:r>
        <w:rPr>
          <w:rFonts w:hint="eastAsia" w:ascii="黑体" w:hAnsi="黑体" w:eastAsia="黑体"/>
          <w:b w:val="0"/>
          <w:color w:val="auto"/>
          <w:highlight w:val="none"/>
        </w:rPr>
        <w:t xml:space="preserve">第一章  </w:t>
      </w:r>
      <w:bookmarkEnd w:id="11"/>
      <w:r/>
      <w:bookmarkEnd w:id="12"/>
      <w:r>
        <w:rPr>
          <w:rFonts w:hint="eastAsia" w:ascii="黑体" w:hAnsi="黑体" w:eastAsia="黑体"/>
          <w:b w:val="0"/>
          <w:color w:val="auto"/>
          <w:highlight w:val="none"/>
          <w:lang w:val="en-US" w:eastAsia="zh-CN"/>
        </w:rPr>
        <w:t xml:space="preserve">招标公告</w:t>
      </w:r>
      <w:r/>
    </w:p>
    <w:tbl>
      <w:tblPr>
        <w:tblStyle w:val="934"/>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0"/>
      </w:tblGrid>
      <w:tr>
        <w:trPr>
          <w:jc w:val="center"/>
          <w:trHeight w:val="480"/>
        </w:trPr>
        <w:tc>
          <w:tcPr>
            <w:tcW w:w="9360" w:type="dxa"/>
            <w:textDirection w:val="lrTb"/>
            <w:noWrap w:val="false"/>
          </w:tcPr>
          <w:p>
            <w:pPr>
              <w:ind w:left="0" w:right="0" w:firstLine="480"/>
              <w:jc w:val="left"/>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项目概况</w:t>
            </w:r>
            <w:r/>
          </w:p>
        </w:tc>
      </w:tr>
      <w:tr>
        <w:trPr>
          <w:jc w:val="center"/>
          <w:trHeight w:val="1428"/>
        </w:trPr>
        <w:tc>
          <w:tcPr>
            <w:tcW w:w="9360" w:type="dxa"/>
            <w:textDirection w:val="lrTb"/>
            <w:noWrap w:val="false"/>
          </w:tcPr>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灌云县民政局2025年政府购买居家养老上门服务项目(专门面向中小微企业)</w:t>
            </w:r>
            <w:r>
              <w:rPr>
                <w:rFonts w:hint="eastAsia" w:ascii="宋体" w:hAnsi="宋体" w:eastAsia="宋体" w:cs="宋体"/>
                <w:color w:val="auto"/>
                <w:sz w:val="24"/>
                <w:szCs w:val="24"/>
                <w:highlight w:val="none"/>
              </w:rPr>
              <w:t xml:space="preserve">的潜在投标人应在江苏政府采购网自行免费下载招标文件，并于202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:00:00（北京时间）前递交（上传）投标文件。</w:t>
            </w:r>
            <w:r/>
          </w:p>
        </w:tc>
      </w:tr>
    </w:tbl>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项目编号：JSZC-320723-BZGS-G2025-0003</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灌云县民政局2025年政府购买居家养老上门服务项目(专门面向中小微企业)</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本项目最高限价为594.852万</w:t>
      </w:r>
      <w:r>
        <w:rPr>
          <w:rFonts w:hint="eastAsia" w:ascii="宋体" w:hAnsi="宋体" w:eastAsia="宋体" w:cs="宋体"/>
          <w:color w:val="auto"/>
          <w:sz w:val="24"/>
          <w:szCs w:val="24"/>
          <w:highlight w:val="none"/>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本项目分为3个采购包（具体采购包划分详见第四章采购需求）其中：</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采购包1：最高限价为206.04</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高于</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的投标文件将作为无效标处理。</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w:t>
      </w:r>
      <w:r>
        <w:rPr>
          <w:rFonts w:hint="eastAsia" w:ascii="宋体" w:hAnsi="宋体" w:eastAsia="宋体" w:cs="宋体"/>
          <w:color w:val="auto"/>
          <w:sz w:val="24"/>
          <w:szCs w:val="24"/>
          <w:highlight w:val="none"/>
          <w:lang w:val="en-US" w:eastAsia="zh-CN"/>
        </w:rPr>
        <w:t xml:space="preserve">最高限价为210.324</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高于</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的投标文件将作为无效标处理。</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采购包3：</w:t>
      </w:r>
      <w:r>
        <w:rPr>
          <w:rFonts w:hint="eastAsia" w:ascii="宋体" w:hAnsi="宋体" w:eastAsia="宋体" w:cs="宋体"/>
          <w:color w:val="auto"/>
          <w:sz w:val="24"/>
          <w:szCs w:val="24"/>
          <w:highlight w:val="none"/>
          <w:lang w:val="en-US" w:eastAsia="zh-CN"/>
        </w:rPr>
        <w:t xml:space="preserve">最高限价为178.488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高于</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的投标文件将作为无效标处理。</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中标后费用不再另行增加，请投标人综合考虑。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采购方式：公开招标</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灌云县民政局购买居家养老上门服务项目，是根据省、市关于居家养老服务的建设要求，为我县老年人提供居家养老服务，尤其保障好特殊和困难老年人的居家养老服务需求，以政府购买服务的方式将线上服务、线下服务及服务站点运营打包委托给中标服务商运营。</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服务范围：为户籍在灌云县的常住老人提供居家养老服务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具体服务对象有:</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A类：当地低保对象中60周岁及以上的重度失能、完全失能的老年人</w:t>
      </w:r>
      <w:r>
        <w:rPr>
          <w:rFonts w:hint="eastAsia" w:ascii="宋体" w:hAnsi="宋体" w:eastAsia="宋体" w:cs="宋体"/>
          <w:strike w:val="0"/>
          <w:color w:val="auto"/>
          <w:sz w:val="24"/>
          <w:szCs w:val="24"/>
          <w:highlight w:val="none"/>
        </w:rPr>
        <w:t xml:space="preserve">；</w:t>
      </w:r>
      <w:r/>
    </w:p>
    <w:p>
      <w:pPr>
        <w:ind w:firstLine="48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B类：对当地低保对象和分散供养特困人员中80周岁及以上的高龄老年人</w:t>
      </w:r>
      <w:r>
        <w:rPr>
          <w:rFonts w:hint="eastAsia" w:ascii="宋体" w:hAnsi="宋体" w:eastAsia="宋体" w:cs="宋体"/>
          <w:color w:val="auto"/>
          <w:sz w:val="24"/>
          <w:szCs w:val="24"/>
          <w:highlight w:val="none"/>
          <w:lang w:eastAsia="zh-CN"/>
        </w:rPr>
        <w:t xml:space="preserve">；</w:t>
      </w:r>
      <w:r/>
    </w:p>
    <w:p>
      <w:pPr>
        <w:ind w:left="0" w:right="0" w:firstLine="48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C类：高龄（80周岁及以上）常住老年人</w:t>
      </w:r>
      <w:r>
        <w:rPr>
          <w:rFonts w:hint="eastAsia" w:ascii="宋体" w:hAnsi="宋体" w:eastAsia="宋体" w:cs="宋体"/>
          <w:color w:val="auto"/>
          <w:sz w:val="24"/>
          <w:szCs w:val="24"/>
          <w:highlight w:val="none"/>
          <w:lang w:eastAsia="zh-CN"/>
        </w:rPr>
        <w:t xml:space="preserve">。</w:t>
      </w:r>
      <w:r/>
    </w:p>
    <w:p>
      <w:pPr>
        <w:ind w:left="0" w:right="0" w:firstLine="48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lang w:val="en-US" w:eastAsia="zh-CN"/>
        </w:rPr>
        <w:t xml:space="preserve">具体内容详见第四章采购需求。</w:t>
      </w:r>
      <w:r>
        <w:rPr>
          <w:rFonts w:hint="eastAsia" w:ascii="宋体" w:hAnsi="宋体" w:eastAsia="宋体" w:cs="宋体"/>
          <w:strike w:val="0"/>
          <w:color w:val="auto"/>
          <w:sz w:val="24"/>
          <w:szCs w:val="24"/>
          <w:highlight w:val="none"/>
        </w:rPr>
        <w:t xml:space="preserve"> </w:t>
      </w:r>
      <w:r/>
    </w:p>
    <w:p>
      <w:pPr>
        <w:ind w:left="0" w:right="0" w:firstLine="482"/>
        <w:jc w:val="left"/>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自合同签订之日起一年；每年服务期满，采购人根据考核情况决定继续履行合同或终止合同，续签合同金额不变，服务期最多3年。</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本项目（是/否）接受联合体投标：不接受联合体。</w:t>
      </w:r>
      <w:r/>
    </w:p>
    <w:p>
      <w:pPr>
        <w:pStyle w:val="951"/>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rPr>
          <w:rFonts w:hint="eastAsia" w:ascii="宋体" w:hAnsi="宋体" w:eastAsia="宋体" w:cs="宋体"/>
          <w:color w:val="auto"/>
          <w:sz w:val="24"/>
          <w:szCs w:val="24"/>
          <w:highlight w:val="none"/>
        </w:rPr>
        <w:t xml:space="preserve">提供下列材料：</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法人或者其他组织的营业执照等证明文件，自然人的身份证明；</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上一年度的财务状况报告；（成立不满一年无需提供）</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（根据连财购〔2023〕4号文件精神，2、3项可以提供《财务状况报告及税收、社会保障资金缴纳情况承诺函》，详见第六章 投标文件格式）</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具备履行合同所必需的设备和专业技术能力的声明及证明材料；</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资格审查现场查询“信用中国”网站（www.creditchina.gov.cn），投标人被列入失信被执行人、税收违法黑名单、政府采购严重违法失信行为记录名单及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拒绝其参与政府采购活动。（投标文件中无需提供证明材料）</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（三）本项目的特定资格要求：无。</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left="0" w:right="0" w:firstLine="480"/>
        <w:jc w:val="left"/>
        <w:keepNext w:val="0"/>
        <w:pageBreakBefore w:val="0"/>
        <w:spacing w:line="360" w:lineRule="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时间：202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月22</w:t>
      </w:r>
      <w:r>
        <w:rPr>
          <w:rFonts w:hint="eastAsia" w:asciiTheme="minorEastAsia" w:hAnsiTheme="minorEastAsia"/>
          <w:color w:val="auto"/>
          <w:sz w:val="24"/>
          <w:szCs w:val="24"/>
          <w:highlight w:val="none"/>
        </w:rPr>
        <w:t xml:space="preserve">日至 202</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月31</w:t>
      </w:r>
      <w:r>
        <w:rPr>
          <w:rFonts w:hint="eastAsia" w:asciiTheme="minorEastAsia" w:hAnsiTheme="minorEastAsia"/>
          <w:color w:val="auto"/>
          <w:sz w:val="24"/>
          <w:szCs w:val="24"/>
          <w:highlight w:val="none"/>
        </w:rPr>
        <w:t xml:space="preserve">日，每天上午0:00-12:00，12:00-23:59（北京时间，法定节假日除外）</w:t>
      </w:r>
      <w:r>
        <w:rPr>
          <w:rFonts w:hint="eastAsia" w:asciiTheme="minorEastAsia" w:hAnsiTheme="minorEastAsia"/>
          <w:color w:val="auto"/>
          <w:sz w:val="24"/>
          <w:szCs w:val="24"/>
          <w:highlight w:val="none"/>
          <w:lang w:eastAsia="zh-CN"/>
        </w:rPr>
        <w:t xml:space="preserve">。</w:t>
      </w:r>
      <w:r/>
    </w:p>
    <w:p>
      <w:pPr>
        <w:ind w:left="0" w:right="0" w:firstLine="480"/>
        <w:jc w:val="left"/>
        <w:keepNext w:val="0"/>
        <w:pageBreakBefore w:val="0"/>
        <w:spacing w:line="360" w:lineRule="auto"/>
        <w:widowControl w:val="off"/>
        <w:rPr>
          <w:rFonts w:hint="eastAsia" w:eastAsiaTheme="minorEastAsia"/>
          <w:color w:val="auto"/>
          <w:sz w:val="24"/>
          <w:szCs w:val="24"/>
          <w:highlight w:val="none"/>
          <w:lang w:eastAsia="zh-CN"/>
        </w:rPr>
      </w:pPr>
      <w:r>
        <w:rPr>
          <w:rFonts w:hint="eastAsia"/>
          <w:color w:val="auto"/>
          <w:sz w:val="24"/>
          <w:szCs w:val="24"/>
          <w:highlight w:val="none"/>
        </w:rPr>
        <w:t xml:space="preserve">地点：江苏政府采购网</w:t>
      </w:r>
      <w:r>
        <w:rPr>
          <w:rFonts w:hint="eastAsia"/>
          <w:color w:val="auto"/>
          <w:sz w:val="24"/>
          <w:szCs w:val="24"/>
          <w:highlight w:val="none"/>
          <w:lang w:eastAsia="zh-CN"/>
        </w:rPr>
        <w:t xml:space="preserve">。</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售价：0.00元</w:t>
      </w:r>
      <w:r>
        <w:rPr>
          <w:rFonts w:hint="eastAsia" w:ascii="宋体" w:hAnsi="宋体" w:eastAsia="宋体" w:cs="宋体"/>
          <w:color w:val="auto"/>
          <w:sz w:val="24"/>
          <w:szCs w:val="24"/>
          <w:highlight w:val="none"/>
          <w:lang w:eastAsia="zh-CN"/>
        </w:rPr>
        <w:t xml:space="preserve">。</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提交投标文件截止时间：202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:00:00（北京时间）</w:t>
      </w:r>
      <w:r>
        <w:rPr>
          <w:rFonts w:hint="eastAsia" w:ascii="宋体" w:hAnsi="宋体" w:eastAsia="宋体" w:cs="宋体"/>
          <w:color w:val="auto"/>
          <w:sz w:val="24"/>
          <w:szCs w:val="24"/>
          <w:highlight w:val="none"/>
          <w:lang w:eastAsia="zh-CN"/>
        </w:rPr>
        <w:t xml:space="preserve">。</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开标时间：提交投标文件截止时间</w:t>
      </w:r>
      <w:r>
        <w:rPr>
          <w:rFonts w:hint="eastAsia" w:ascii="宋体" w:hAnsi="宋体" w:eastAsia="宋体" w:cs="宋体"/>
          <w:color w:val="auto"/>
          <w:sz w:val="24"/>
          <w:szCs w:val="24"/>
          <w:highlight w:val="none"/>
          <w:lang w:eastAsia="zh-CN"/>
        </w:rPr>
        <w:t xml:space="preserve">。</w:t>
      </w:r>
      <w:r/>
    </w:p>
    <w:p>
      <w:pPr>
        <w:ind w:left="0" w:right="0" w:firstLine="480"/>
        <w:jc w:val="left"/>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本次招标不收取投标保证金。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本招标文件中斜体且有下划线部分为实质性要求和条件，由采购人根据实际情况设置，投标人须逐条明确作出满足实质性要求和条件的响应，否则将按无效响应处理。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rPr>
        <w:t xml:space="preserve">提交失误，由此造成的一切损失由投标人自行承担。</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灌云县民政局</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连云港市灌云县</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骆科长</w:t>
      </w:r>
      <w:r/>
    </w:p>
    <w:p>
      <w:pPr>
        <w:ind w:left="0" w:right="0" w:firstLine="480"/>
        <w:jc w:val="left"/>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18005126055</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采购代理机构信息</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江苏博哲项目管理有限公司</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灌云县建设西路329号</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曾工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13815676958</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项目联系方式</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曾工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13815676958</w:t>
      </w:r>
      <w:r/>
    </w:p>
    <w:p>
      <w:pPr>
        <w:ind w:left="0" w:right="0" w:firstLine="422"/>
        <w:jc w:val="left"/>
        <w:keepNext w:val="0"/>
        <w:pageBreakBefore w:val="0"/>
        <w:spacing w:line="360" w:lineRule="auto"/>
        <w:widowControl w:val="off"/>
        <w:rPr>
          <w:rFonts w:ascii="黑体" w:hAnsi="黑体" w:eastAsia="黑体"/>
          <w:bCs/>
          <w:color w:val="auto"/>
          <w:sz w:val="44"/>
          <w:szCs w:val="44"/>
          <w:highlight w:val="none"/>
        </w:rPr>
      </w:pPr>
      <w:r/>
      <w:bookmarkStart w:id="13" w:name="_Toc155796357"/>
      <w:r>
        <w:rPr>
          <w:rFonts w:ascii="黑体" w:hAnsi="黑体" w:eastAsia="黑体"/>
          <w:b/>
          <w:color w:val="auto"/>
          <w:highlight w:val="none"/>
        </w:rPr>
        <w:br w:type="page" w:clear="all"/>
      </w:r>
      <w:bookmarkEnd w:id="13"/>
      <w:r/>
      <w:r/>
    </w:p>
    <w:p>
      <w:pPr>
        <w:pStyle w:val="916"/>
        <w:ind w:left="0" w:right="0" w:firstLine="880"/>
        <w:jc w:val="center"/>
        <w:keepNext w:val="0"/>
        <w:pageBreakBefore w:val="0"/>
        <w:spacing w:before="0" w:after="0" w:line="360" w:lineRule="auto"/>
        <w:widowControl w:val="off"/>
        <w:rPr>
          <w:rFonts w:ascii="黑体" w:hAnsi="黑体" w:eastAsia="黑体"/>
          <w:b w:val="0"/>
          <w:color w:val="auto"/>
          <w:highlight w:val="none"/>
        </w:rPr>
      </w:pPr>
      <w:r/>
      <w:bookmarkStart w:id="14" w:name="_Toc1435"/>
      <w:r/>
      <w:bookmarkStart w:id="15" w:name="_Toc155796358"/>
      <w:r>
        <w:rPr>
          <w:rFonts w:hint="eastAsia" w:ascii="黑体" w:hAnsi="黑体" w:eastAsia="黑体"/>
          <w:b w:val="0"/>
          <w:color w:val="auto"/>
          <w:highlight w:val="none"/>
        </w:rPr>
        <w:t xml:space="preserve">第二章  投标人须知</w:t>
      </w:r>
      <w:bookmarkEnd w:id="14"/>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1、采购方式</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2、合格的投标人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3、适用法律</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4、投标费用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投标人应自行承担所有与参与投标有关的费用，无论投标过程中的做法和结果如何，采购人和</w:t>
      </w:r>
      <w:r>
        <w:rPr>
          <w:rFonts w:hint="eastAsia" w:ascii="宋体" w:hAnsi="宋体" w:eastAsia="宋体" w:cs="宋体"/>
          <w:color w:val="auto"/>
          <w:sz w:val="24"/>
          <w:szCs w:val="24"/>
          <w:highlight w:val="none"/>
          <w:lang w:eastAsia="zh-CN"/>
        </w:rPr>
        <w:t xml:space="preserve">江苏博哲项目管理有限公司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不收取标书工本费。</w:t>
      </w:r>
      <w:r/>
    </w:p>
    <w:p>
      <w:pPr>
        <w:ind w:left="0" w:right="0" w:firstLine="480"/>
        <w:jc w:val="left"/>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4.3采购代理服务费：本项目的招标代理费根据各采购包的成交金额，按苏政采协[2024]20号文件规定的收费标准分别收取。以上均由供应商支付，供应商报价时均需考虑以上相关费用，不再单列。</w:t>
      </w:r>
      <w:r/>
    </w:p>
    <w:p>
      <w:pPr>
        <w:pStyle w:val="918"/>
        <w:ind w:left="0" w:right="0" w:firstLine="562"/>
        <w:jc w:val="left"/>
        <w:keepNext w:val="0"/>
        <w:pageBreakBefore w:val="0"/>
        <w:spacing w:before="0" w:after="0" w:line="360" w:lineRule="auto"/>
        <w:widowControl w:val="off"/>
        <w:rPr>
          <w:rFonts w:hint="eastAsia"/>
          <w:color w:val="auto"/>
          <w:sz w:val="28"/>
          <w:szCs w:val="28"/>
          <w:highlight w:val="none"/>
        </w:rPr>
      </w:pPr>
      <w:r>
        <w:rPr>
          <w:rFonts w:hint="eastAsia"/>
          <w:color w:val="auto"/>
          <w:sz w:val="28"/>
          <w:szCs w:val="28"/>
          <w:highlight w:val="none"/>
        </w:rPr>
        <w:t xml:space="preserve">5、招标文件的约束力</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6、招标文件的构成</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招标公告</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7、招标文件的澄清</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8、招标文件的修改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9、投标文件编写注意事项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10、投标文件的语言及度量衡单位</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11、投标文件的构成</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918"/>
        <w:ind w:left="0" w:right="0" w:firstLine="562"/>
        <w:jc w:val="left"/>
        <w:keepNext w:val="0"/>
        <w:pageBreakBefore w:val="0"/>
        <w:spacing w:before="0" w:after="0" w:line="360" w:lineRule="auto"/>
        <w:widowControl w:val="off"/>
        <w:rPr>
          <w:color w:val="auto"/>
          <w:highlight w:val="none"/>
        </w:rPr>
      </w:pPr>
      <w:r>
        <w:rPr>
          <w:rFonts w:hint="eastAsia"/>
          <w:color w:val="auto"/>
          <w:sz w:val="28"/>
          <w:szCs w:val="28"/>
          <w:highlight w:val="none"/>
        </w:rPr>
        <w:t xml:space="preserve">13、投标分项报价表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投标人应根据投标报价要求在投标分项报价表中列明各项投标单价、总价等，未全部列示的作无效响应处理。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投标文件中的单价和总价无特殊规定的采用人民币报价，以元为单位标注。招标文件中另有规定的按规定执行。</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14、技术要求响应及偏离表、商务要求响应及偏离表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15、服务承诺、培训计划、人员安排及其他</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投标人应根据招标文件要求提供所投标的的主要组成部分、功能设计、实现思路及关键技术等。</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16、投标函和开标一览表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17、投标有效期</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w:t>
      </w:r>
      <w:r>
        <w:rPr>
          <w:rFonts w:hint="eastAsia" w:ascii="宋体" w:hAnsi="宋体" w:eastAsia="宋体" w:cs="宋体"/>
          <w:color w:val="auto"/>
          <w:sz w:val="24"/>
          <w:szCs w:val="24"/>
          <w:highlight w:val="none"/>
          <w:lang w:val="en-US" w:eastAsia="zh-CN"/>
        </w:rPr>
        <w:t xml:space="preserve">投标文件截止之日起</w:t>
      </w:r>
      <w:r>
        <w:rPr>
          <w:rFonts w:hint="eastAsia" w:ascii="宋体" w:hAnsi="宋体" w:eastAsia="宋体" w:cs="宋体"/>
          <w:color w:val="auto"/>
          <w:sz w:val="24"/>
          <w:szCs w:val="24"/>
          <w:highlight w:val="none"/>
        </w:rPr>
        <w:t xml:space="preserve">六十（60）天。投标有效期比规定短的将被视为未实质性响应招标文件而予以拒绝。</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18、电子投标文件的递交</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19、投标截止时间</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20、投标文件的拒收</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21、投标文件的撤回和修改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22、开标</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采购人委托的采购代理机构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23、评标委员会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将组织评</w:t>
      </w:r>
      <w:r>
        <w:rPr>
          <w:rFonts w:hint="eastAsia" w:ascii="宋体" w:hAnsi="宋体" w:eastAsia="宋体" w:cs="宋体"/>
          <w:color w:val="auto"/>
          <w:sz w:val="24"/>
          <w:szCs w:val="24"/>
          <w:highlight w:val="none"/>
          <w:lang w:eastAsia="zh-CN"/>
        </w:rPr>
        <w:t xml:space="preserve">标</w:t>
      </w:r>
      <w:r>
        <w:rPr>
          <w:rFonts w:hint="eastAsia" w:ascii="宋体" w:hAnsi="宋体" w:eastAsia="宋体" w:cs="宋体"/>
          <w:color w:val="auto"/>
          <w:sz w:val="24"/>
          <w:szCs w:val="24"/>
          <w:highlight w:val="none"/>
        </w:rPr>
        <w:t xml:space="preserve">委</w:t>
      </w:r>
      <w:r>
        <w:rPr>
          <w:rFonts w:hint="eastAsia" w:ascii="宋体" w:hAnsi="宋体" w:eastAsia="宋体" w:cs="宋体"/>
          <w:color w:val="auto"/>
          <w:sz w:val="24"/>
          <w:szCs w:val="24"/>
          <w:highlight w:val="none"/>
          <w:lang w:eastAsia="zh-CN"/>
        </w:rPr>
        <w:t xml:space="preserve">员</w:t>
      </w:r>
      <w:r>
        <w:rPr>
          <w:rFonts w:hint="eastAsia" w:ascii="宋体" w:hAnsi="宋体" w:eastAsia="宋体" w:cs="宋体"/>
          <w:color w:val="auto"/>
          <w:sz w:val="24"/>
          <w:szCs w:val="24"/>
          <w:highlight w:val="none"/>
        </w:rPr>
        <w:t xml:space="preserve">会进行评标。</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24、评标过程的保密与公正</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25、投标文件的澄清</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26、对投标文件的初审</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采购人在进行资格审查的同时，将在信用中国网站（www.creditchina.gov.cn）查询投标人的信用记录，以确定投标人是否具备投标资格，查询结果留存并归档。</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27、无效投标条款和废标条款</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（8）不符合招标文件规定的实质性要求和条件的。（本招标文件中斜体且有下划线部分为实质性要求和条件）</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28、确定中标单位</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恶意串通的。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29、中标通知书</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各提供</w:t>
      </w:r>
      <w:r>
        <w:rPr>
          <w:rFonts w:hint="eastAsia" w:ascii="宋体" w:hAnsi="宋体" w:eastAsia="宋体" w:cs="宋体"/>
          <w:color w:val="auto"/>
          <w:sz w:val="24"/>
          <w:szCs w:val="24"/>
          <w:highlight w:val="none"/>
          <w:lang w:val="en-US" w:eastAsia="zh-CN"/>
        </w:rPr>
        <w:t xml:space="preserve">一正三副</w:t>
      </w:r>
      <w:r>
        <w:rPr>
          <w:rFonts w:hint="eastAsia" w:ascii="宋体" w:hAnsi="宋体" w:eastAsia="宋体" w:cs="宋体"/>
          <w:color w:val="auto"/>
          <w:sz w:val="24"/>
          <w:szCs w:val="24"/>
          <w:highlight w:val="none"/>
        </w:rPr>
        <w:t xml:space="preserve">与电子投标文件一致的纸质打印胶装投标文件，封面、骑缝需加盖公章。</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30、履约保证金</w:t>
      </w:r>
      <w:r/>
    </w:p>
    <w:p>
      <w:pPr>
        <w:pStyle w:val="924"/>
        <w:spacing w:line="360" w:lineRule="auto"/>
        <w:rPr>
          <w:rFonts w:hint="default" w:ascii="宋体" w:hAnsi="宋体" w:eastAsia="宋体" w:cs="宋体"/>
          <w:color w:val="auto"/>
          <w:spacing w:val="0"/>
          <w:sz w:val="24"/>
          <w:szCs w:val="24"/>
          <w:highlight w:val="none"/>
          <w:lang w:val="en-US" w:eastAsia="zh-CN" w:bidi="ar-SA"/>
        </w:rPr>
      </w:pPr>
      <w:r>
        <w:rPr>
          <w:rFonts w:hint="eastAsia" w:ascii="宋体" w:hAnsi="宋体" w:eastAsia="宋体" w:cs="宋体"/>
          <w:color w:val="auto"/>
          <w:sz w:val="24"/>
          <w:szCs w:val="24"/>
          <w:highlight w:val="none"/>
        </w:rPr>
        <w:t xml:space="preserve">30.1 </w:t>
      </w:r>
      <w:r>
        <w:rPr>
          <w:rFonts w:hint="default" w:ascii="宋体" w:hAnsi="宋体" w:eastAsia="宋体" w:cs="宋体"/>
          <w:color w:val="auto"/>
          <w:spacing w:val="0"/>
          <w:sz w:val="24"/>
          <w:szCs w:val="24"/>
          <w:highlight w:val="none"/>
          <w:lang w:val="en-US" w:eastAsia="zh-CN" w:bidi="ar-SA"/>
        </w:rPr>
        <w:t xml:space="preserve">.收取履约保证金金额：成交金额的10%   。</w:t>
      </w:r>
      <w:r/>
    </w:p>
    <w:p>
      <w:pPr>
        <w:pStyle w:val="924"/>
        <w:spacing w:line="360" w:lineRule="auto"/>
        <w:rPr>
          <w:rFonts w:hint="default" w:ascii="宋体" w:hAnsi="宋体" w:eastAsia="宋体" w:cs="宋体"/>
          <w:color w:val="auto"/>
          <w:spacing w:val="0"/>
          <w:sz w:val="24"/>
          <w:szCs w:val="24"/>
          <w:highlight w:val="none"/>
          <w:lang w:val="en-US" w:eastAsia="zh-CN" w:bidi="ar-SA"/>
        </w:rPr>
      </w:pPr>
      <w:r>
        <w:rPr>
          <w:rFonts w:hint="default" w:ascii="宋体" w:hAnsi="宋体" w:eastAsia="宋体" w:cs="宋体"/>
          <w:color w:val="auto"/>
          <w:spacing w:val="0"/>
          <w:sz w:val="24"/>
          <w:szCs w:val="24"/>
          <w:highlight w:val="none"/>
          <w:lang w:val="en-US" w:eastAsia="zh-CN" w:bidi="ar-SA"/>
        </w:rPr>
        <w:t xml:space="preserve">收取履约保证金形式：在合同签订前以支票、汇票、本票或者金融机构、担保机构出具的保函等非现金形式提交给采购人，成交供应商也可自愿使用履约保函（保险）代替交纳履约保证金，详情请见《关于在全省政府采购领域推行电子履约保函（保险）的通知》（苏财购〔2023〕150号）规定。</w:t>
      </w:r>
      <w:r/>
    </w:p>
    <w:p>
      <w:pPr>
        <w:pStyle w:val="924"/>
        <w:rPr>
          <w:rFonts w:hint="default"/>
          <w:color w:val="auto"/>
          <w:highlight w:val="none"/>
          <w:lang w:val="en-US" w:eastAsia="zh-CN"/>
        </w:rPr>
      </w:pPr>
      <w:r>
        <w:rPr>
          <w:rFonts w:hint="default"/>
          <w:color w:val="auto"/>
          <w:highlight w:val="none"/>
          <w:lang w:val="en-US" w:eastAsia="zh-CN"/>
        </w:rPr>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31、签订合同</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32、合同标的的追加</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33、政府采购履约资金扶持政策</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34、询问</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35、质疑提出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keepNext w:val="0"/>
        <w:pageBreakBefore w:val="0"/>
        <w:spacing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rPr>
          <w:rFonts w:hint="eastAsia"/>
          <w:color w:val="auto"/>
          <w:sz w:val="24"/>
          <w:szCs w:val="24"/>
          <w:highlight w:val="none"/>
        </w:rPr>
        <w:t xml:space="preserve">。</w:t>
      </w:r>
      <w:r/>
    </w:p>
    <w:p>
      <w:pPr>
        <w:pStyle w:val="918"/>
        <w:ind w:left="0" w:right="0" w:firstLine="562"/>
        <w:jc w:val="left"/>
        <w:keepNext w:val="0"/>
        <w:pageBreakBefore w:val="0"/>
        <w:spacing w:before="0" w:after="0" w:line="360" w:lineRule="auto"/>
        <w:widowControl w:val="off"/>
        <w:rPr>
          <w:color w:val="auto"/>
          <w:sz w:val="24"/>
          <w:szCs w:val="24"/>
          <w:highlight w:val="none"/>
        </w:rPr>
      </w:pPr>
      <w:r>
        <w:rPr>
          <w:rFonts w:hint="eastAsia"/>
          <w:color w:val="auto"/>
          <w:sz w:val="28"/>
          <w:szCs w:val="28"/>
          <w:highlight w:val="none"/>
        </w:rPr>
        <w:t xml:space="preserve">36、质疑函的受理和答复</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对符合法定要求的质疑，采购人、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有权要求其补充必要的证明材料，质疑供应商未在法定时间内补充必要的证明材料的，视同放弃质疑。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以下情形的质疑依法不予受理：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37、质疑处理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917"/>
        <w:ind w:left="0" w:right="0" w:firstLine="640"/>
        <w:keepNext w:val="0"/>
        <w:pageBreakBefore w:val="0"/>
        <w:spacing w:before="0" w:after="0"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918"/>
        <w:ind w:left="0" w:right="0" w:firstLine="562"/>
        <w:jc w:val="left"/>
        <w:keepNext w:val="0"/>
        <w:pageBreakBefore w:val="0"/>
        <w:spacing w:before="0" w:after="0" w:line="360" w:lineRule="auto"/>
        <w:widowControl w:val="off"/>
        <w:rPr>
          <w:rFonts w:hint="eastAsia"/>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8</w:t>
      </w:r>
      <w:r>
        <w:rPr>
          <w:rFonts w:hint="eastAsia"/>
          <w:color w:val="auto"/>
          <w:sz w:val="28"/>
          <w:szCs w:val="28"/>
          <w:highlight w:val="none"/>
        </w:rPr>
        <w:t xml:space="preserve">、促进中小企业发展</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享受扶持政策获得政府采购合同的，小微型企业不得将合同分包给大中型企业，中型企业不得将合同分包给大型企业。</w:t>
      </w:r>
      <w:r/>
    </w:p>
    <w:p>
      <w:pPr>
        <w:pStyle w:val="918"/>
        <w:ind w:left="0" w:right="0" w:firstLine="562"/>
        <w:jc w:val="left"/>
        <w:keepNext w:val="0"/>
        <w:pageBreakBefore w:val="0"/>
        <w:spacing w:before="0" w:after="0" w:line="360" w:lineRule="auto"/>
        <w:widowControl w:val="off"/>
        <w:rPr>
          <w:rFonts w:hint="eastAsia"/>
          <w:color w:val="auto"/>
          <w:sz w:val="28"/>
          <w:szCs w:val="28"/>
          <w:highlight w:val="none"/>
        </w:rPr>
      </w:pPr>
      <w:r>
        <w:rPr>
          <w:rFonts w:hint="eastAsia"/>
          <w:color w:val="auto"/>
          <w:sz w:val="28"/>
          <w:szCs w:val="28"/>
          <w:highlight w:val="none"/>
        </w:rPr>
        <w:t xml:space="preserve">39、支持绿色发展</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918"/>
        <w:ind w:left="0" w:right="0" w:firstLine="562"/>
        <w:jc w:val="left"/>
        <w:keepNext w:val="0"/>
        <w:pageBreakBefore w:val="0"/>
        <w:spacing w:before="0" w:after="0" w:line="360" w:lineRule="auto"/>
        <w:widowControl w:val="off"/>
        <w:rPr>
          <w:color w:val="auto"/>
          <w:sz w:val="28"/>
          <w:szCs w:val="28"/>
          <w:highlight w:val="none"/>
        </w:rPr>
      </w:pPr>
      <w:r>
        <w:rPr>
          <w:rFonts w:hint="eastAsia"/>
          <w:color w:val="auto"/>
          <w:sz w:val="28"/>
          <w:szCs w:val="28"/>
          <w:highlight w:val="none"/>
        </w:rPr>
        <w:t xml:space="preserve">40、政府采购需求标准</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562"/>
        <w:jc w:val="left"/>
        <w:keepNext w:val="0"/>
        <w:pageBreakBefore w:val="0"/>
        <w:spacing w:line="360" w:lineRule="auto"/>
        <w:widowControl w:val="off"/>
        <w:rPr>
          <w:rFonts w:hint="eastAsia" w:asciiTheme="minorHAnsi" w:hAnsiTheme="minorHAnsi" w:eastAsiaTheme="minorEastAsia" w:cstheme="minorBidi"/>
          <w:b/>
          <w:bCs/>
          <w:color w:val="auto"/>
          <w:sz w:val="28"/>
          <w:szCs w:val="28"/>
          <w:highlight w:val="none"/>
          <w:lang w:val="en-US" w:eastAsia="zh-CN" w:bidi="ar-SA"/>
        </w:rPr>
      </w:pPr>
      <w:r>
        <w:rPr>
          <w:rFonts w:hint="eastAsia" w:asciiTheme="minorHAnsi" w:hAnsiTheme="minorHAnsi" w:eastAsiaTheme="minorEastAsia" w:cstheme="minorBidi"/>
          <w:b/>
          <w:bCs/>
          <w:color w:val="auto"/>
          <w:sz w:val="28"/>
          <w:szCs w:val="28"/>
          <w:highlight w:val="none"/>
          <w:lang w:val="en-US" w:eastAsia="zh-CN" w:bidi="ar-SA"/>
        </w:rPr>
        <w:t xml:space="preserve">41解释权</w:t>
      </w:r>
      <w:r/>
    </w:p>
    <w:p>
      <w:pPr>
        <w:ind w:firstLine="480"/>
        <w:jc w:val="left"/>
        <w:spacing w:line="500" w:lineRule="exact"/>
        <w:rPr>
          <w:color w:val="auto"/>
          <w:sz w:val="24"/>
          <w:szCs w:val="24"/>
          <w:highlight w:val="none"/>
        </w:rPr>
      </w:pPr>
      <w:r>
        <w:rPr>
          <w:rFonts w:hint="eastAsia"/>
          <w:color w:val="auto"/>
          <w:sz w:val="24"/>
          <w:szCs w:val="24"/>
          <w:highlight w:val="none"/>
        </w:rPr>
        <w:t xml:space="preserve">本</w:t>
      </w:r>
      <w:r>
        <w:rPr>
          <w:rFonts w:hint="eastAsia"/>
          <w:color w:val="auto"/>
          <w:sz w:val="24"/>
          <w:szCs w:val="24"/>
          <w:highlight w:val="none"/>
          <w:lang w:val="en-US" w:eastAsia="zh-CN"/>
        </w:rPr>
        <w:t xml:space="preserve">招标文件</w:t>
      </w:r>
      <w:r>
        <w:rPr>
          <w:rFonts w:hint="eastAsia"/>
          <w:color w:val="auto"/>
          <w:sz w:val="24"/>
          <w:szCs w:val="24"/>
          <w:highlight w:val="none"/>
        </w:rPr>
        <w:t xml:space="preserve">是参照《中华人民共和国政府采购法》、《中华人民共和国政府采购法实施条例》及相关法律法规编制，解释权属采购人。</w:t>
      </w:r>
      <w:r/>
    </w:p>
    <w:p>
      <w:pPr>
        <w:ind w:left="0" w:right="0" w:firstLine="480"/>
        <w:jc w:val="left"/>
        <w:keepNext w:val="0"/>
        <w:pageBreakBefore w:val="0"/>
        <w:spacing w:line="360" w:lineRule="auto"/>
        <w:widowControl w:val="off"/>
        <w:rPr>
          <w:rFonts w:hint="eastAsia" w:asciiTheme="minorHAnsi" w:hAnsiTheme="minorHAnsi" w:eastAsiaTheme="minorEastAsia" w:cstheme="minorBidi"/>
          <w:b/>
          <w:bCs/>
          <w:color w:val="auto"/>
          <w:sz w:val="28"/>
          <w:szCs w:val="28"/>
          <w:highlight w:val="none"/>
          <w:lang w:val="en-US" w:eastAsia="zh-CN" w:bidi="ar-SA"/>
        </w:rPr>
      </w:pPr>
      <w:r>
        <w:rPr>
          <w:rFonts w:hint="eastAsia"/>
          <w:color w:val="auto"/>
          <w:sz w:val="24"/>
          <w:szCs w:val="24"/>
          <w:highlight w:val="none"/>
        </w:rPr>
        <w:t xml:space="preserve">构成本</w:t>
      </w:r>
      <w:r>
        <w:rPr>
          <w:rFonts w:hint="eastAsia"/>
          <w:color w:val="auto"/>
          <w:sz w:val="24"/>
          <w:szCs w:val="24"/>
          <w:highlight w:val="none"/>
          <w:lang w:val="en-US" w:eastAsia="zh-CN"/>
        </w:rPr>
        <w:t xml:space="preserve">招标文件</w:t>
      </w:r>
      <w:r>
        <w:rPr>
          <w:rFonts w:hint="eastAsia"/>
          <w:color w:val="auto"/>
          <w:sz w:val="24"/>
          <w:szCs w:val="24"/>
          <w:highlight w:val="none"/>
        </w:rPr>
        <w:t xml:space="preserve">的各个组成文件应互为解释，互为说明；如有不明确或不一致，构成合同文件组成内容的，以合同文件约定内容为准，且以专用合同条款约定的合同文件优先顺序解释；除</w:t>
      </w:r>
      <w:r>
        <w:rPr>
          <w:rFonts w:hint="eastAsia"/>
          <w:color w:val="auto"/>
          <w:sz w:val="24"/>
          <w:szCs w:val="24"/>
          <w:highlight w:val="none"/>
          <w:lang w:val="en-US" w:eastAsia="zh-CN"/>
        </w:rPr>
        <w:t xml:space="preserve">招标</w:t>
      </w:r>
      <w:r>
        <w:rPr>
          <w:rFonts w:hint="eastAsia"/>
          <w:color w:val="auto"/>
          <w:sz w:val="24"/>
          <w:szCs w:val="24"/>
          <w:highlight w:val="none"/>
        </w:rPr>
        <w:t xml:space="preserve">文件中有特别规定外，仅适用于政府采购阶段的规定，按</w:t>
      </w:r>
      <w:r>
        <w:rPr>
          <w:rFonts w:hint="eastAsia" w:eastAsiaTheme="minorEastAsia"/>
          <w:color w:val="auto"/>
          <w:sz w:val="24"/>
          <w:szCs w:val="24"/>
          <w:highlight w:val="none"/>
          <w:lang w:eastAsia="zh-CN"/>
        </w:rPr>
        <w:t xml:space="preserve">采购</w:t>
      </w:r>
      <w:r>
        <w:rPr>
          <w:rFonts w:hint="eastAsia"/>
          <w:color w:val="auto"/>
          <w:sz w:val="24"/>
          <w:szCs w:val="24"/>
          <w:highlight w:val="none"/>
        </w:rPr>
        <w:t xml:space="preserve">公告（投标邀请书）、供应商须知、评标办法、</w:t>
      </w:r>
      <w:r>
        <w:rPr>
          <w:rFonts w:hint="eastAsia" w:asciiTheme="minorHAnsi" w:eastAsiaTheme="minorEastAsia"/>
          <w:color w:val="auto"/>
          <w:sz w:val="24"/>
          <w:szCs w:val="24"/>
          <w:highlight w:val="none"/>
          <w:lang w:val="en-US" w:eastAsia="zh-CN"/>
        </w:rPr>
        <w:t xml:space="preserve">响应</w:t>
      </w:r>
      <w:r>
        <w:rPr>
          <w:rFonts w:hint="eastAsia"/>
          <w:color w:val="auto"/>
          <w:sz w:val="24"/>
          <w:szCs w:val="24"/>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480"/>
        <w:jc w:val="left"/>
        <w:keepNext w:val="0"/>
        <w:pageBreakBefore w:val="0"/>
        <w:spacing w:line="360" w:lineRule="auto"/>
        <w:widowControl w:val="off"/>
        <w:rPr>
          <w:color w:val="auto"/>
          <w:sz w:val="24"/>
          <w:szCs w:val="24"/>
          <w:highlight w:val="none"/>
        </w:rPr>
      </w:pPr>
      <w:r>
        <w:rPr>
          <w:color w:val="auto"/>
          <w:sz w:val="24"/>
          <w:szCs w:val="24"/>
          <w:highlight w:val="none"/>
        </w:rPr>
        <w:br w:type="page" w:clear="all"/>
      </w:r>
      <w:r/>
    </w:p>
    <w:p>
      <w:pPr>
        <w:pStyle w:val="916"/>
        <w:ind w:left="0" w:right="0" w:firstLine="880"/>
        <w:jc w:val="center"/>
        <w:keepNext w:val="0"/>
        <w:pageBreakBefore w:val="0"/>
        <w:spacing w:before="0" w:after="0" w:line="360" w:lineRule="auto"/>
        <w:widowControl w:val="off"/>
        <w:rPr>
          <w:color w:val="auto"/>
          <w:sz w:val="24"/>
          <w:szCs w:val="24"/>
          <w:highlight w:val="none"/>
        </w:rPr>
      </w:pPr>
      <w:r/>
      <w:bookmarkStart w:id="16" w:name="_Toc17771"/>
      <w:r>
        <w:rPr>
          <w:rFonts w:hint="eastAsia" w:ascii="黑体" w:hAnsi="黑体" w:eastAsia="黑体"/>
          <w:b w:val="0"/>
          <w:color w:val="auto"/>
          <w:highlight w:val="none"/>
        </w:rPr>
        <w:t xml:space="preserve">第三章  合同文本</w:t>
      </w:r>
      <w:bookmarkEnd w:id="15"/>
      <w:r/>
      <w:bookmarkEnd w:id="16"/>
      <w:r/>
      <w:r/>
    </w:p>
    <w:p>
      <w:pPr>
        <w:jc w:val="right"/>
        <w:spacing w:line="240" w:lineRule="exac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line="56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合同编号：</w:t>
      </w:r>
      <w:r/>
    </w:p>
    <w:p>
      <w:pPr>
        <w:jc w:val="both"/>
        <w:spacing w:line="56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项目名称：灌云县民政局2025年政府购买居家养老上门服务项目(专门面向中小微企业)（采购包</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w:t>
      </w:r>
      <w:r/>
    </w:p>
    <w:p>
      <w:pPr>
        <w:jc w:val="both"/>
        <w:spacing w:line="5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项目编号： </w:t>
      </w:r>
      <w:r/>
    </w:p>
    <w:p>
      <w:pPr>
        <w:jc w:val="both"/>
        <w:spacing w:line="24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420"/>
        <w:spacing w:line="372"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u w:val="single"/>
        </w:rPr>
        <w:t xml:space="preserve">（买方）   灌云县民政局            </w:t>
      </w:r>
      <w:r/>
    </w:p>
    <w:p>
      <w:pPr>
        <w:ind w:firstLine="420"/>
        <w:spacing w:line="372"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u w:val="single"/>
        </w:rPr>
        <w:t xml:space="preserve">（卖方）                           </w:t>
      </w:r>
      <w:r/>
    </w:p>
    <w:p>
      <w:pPr>
        <w:numPr>
          <w:ilvl w:val="0"/>
          <w:numId w:val="1"/>
        </w:numPr>
        <w:ind w:firstLine="420"/>
        <w:spacing w:line="37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乙双方根据 2025年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日灌云县政府采购项目的采购结果，甲方接收乙方为本项目</w:t>
      </w:r>
      <w:r>
        <w:rPr>
          <w:rFonts w:hint="eastAsia" w:ascii="宋体" w:hAnsi="宋体" w:eastAsia="宋体" w:cs="宋体"/>
          <w:color w:val="auto"/>
          <w:szCs w:val="21"/>
          <w:highlight w:val="none"/>
          <w:u w:val="single"/>
          <w:lang w:eastAsia="zh-CN"/>
        </w:rPr>
        <w:t xml:space="preserve">灌云县民政局2025年政府购买居家养老上门服务项目(专门面向中小微企业)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采购包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所做的投标文件，甲乙双方同意签署本合同（以下简称合同）。</w:t>
      </w:r>
      <w:r/>
    </w:p>
    <w:p>
      <w:pPr>
        <w:ind w:firstLine="422"/>
        <w:spacing w:line="372"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一、服务范围</w:t>
      </w:r>
      <w:r/>
    </w:p>
    <w:p>
      <w:pPr>
        <w:ind w:firstLine="420"/>
        <w:spacing w:line="372" w:lineRule="auto"/>
        <w:rPr>
          <w:rFonts w:ascii="Times New Roman" w:hAnsi="Times New Roman" w:eastAsia="宋体" w:cs="Times New Roman"/>
          <w:color w:val="auto"/>
          <w:szCs w:val="21"/>
          <w:highlight w:val="none"/>
        </w:rPr>
      </w:pPr>
      <w:r>
        <w:rPr>
          <w:rFonts w:ascii="宋体" w:hAnsi="宋体" w:eastAsia="宋体" w:cs="宋体"/>
          <w:color w:val="auto"/>
          <w:szCs w:val="21"/>
          <w:highlight w:val="none"/>
        </w:rPr>
        <w:t xml:space="preserve">为户籍在灌云县的常住老人提供居家养老服务具体服务对象有：</w:t>
      </w:r>
      <w:r/>
    </w:p>
    <w:p>
      <w:pPr>
        <w:ind w:firstLine="420"/>
        <w:spacing w:line="360" w:lineRule="auto"/>
        <w:tabs>
          <w:tab w:val="left" w:pos="90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A类：当地低保对象中60周岁及以上的重度失能、完全失能的老年人</w:t>
      </w:r>
      <w:r>
        <w:rPr>
          <w:rFonts w:ascii="宋体" w:hAnsi="宋体" w:eastAsia="宋体" w:cs="宋体"/>
          <w:color w:val="auto"/>
          <w:szCs w:val="21"/>
          <w:highlight w:val="none"/>
        </w:rPr>
        <w:t xml:space="preserve">；</w:t>
      </w:r>
      <w:r/>
    </w:p>
    <w:p>
      <w:pPr>
        <w:ind w:firstLine="420"/>
        <w:spacing w:line="360" w:lineRule="auto"/>
        <w:tabs>
          <w:tab w:val="left" w:pos="90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B类：对当地低保对象和分散供养特困人员中80周岁及以上的高龄老年人</w:t>
      </w:r>
      <w:r>
        <w:rPr>
          <w:rFonts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C类：</w:t>
      </w:r>
      <w:r>
        <w:rPr>
          <w:rFonts w:ascii="宋体" w:hAnsi="宋体" w:eastAsia="宋体" w:cs="宋体"/>
          <w:color w:val="auto"/>
          <w:szCs w:val="21"/>
          <w:highlight w:val="none"/>
        </w:rPr>
        <w:t xml:space="preserve">高龄（80周岁及以上）常住老年人。</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w:t>
      </w:r>
      <w:r>
        <w:rPr>
          <w:rFonts w:hint="eastAsia" w:ascii="宋体" w:hAnsi="宋体" w:eastAsia="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的服务地点及人数如下，最终以采购人通知的为准：</w:t>
      </w:r>
      <w:r/>
    </w:p>
    <w:tbl>
      <w:tblPr>
        <w:tblStyle w:val="920"/>
        <w:tblW w:w="4946" w:type="pct"/>
        <w:tblInd w:w="0" w:type="dxa"/>
        <w:tblLayout w:type="fixed"/>
        <w:tblCellMar>
          <w:left w:w="108" w:type="dxa"/>
          <w:top w:w="0" w:type="dxa"/>
          <w:right w:w="108" w:type="dxa"/>
          <w:bottom w:w="0" w:type="dxa"/>
        </w:tblCellMar>
        <w:tblLook w:val="04A0" w:firstRow="1" w:lastRow="0" w:firstColumn="1" w:lastColumn="0" w:noHBand="0" w:noVBand="1"/>
      </w:tblPr>
      <w:tblGrid>
        <w:gridCol w:w="1905"/>
        <w:gridCol w:w="1386"/>
        <w:gridCol w:w="1390"/>
        <w:gridCol w:w="1553"/>
        <w:gridCol w:w="1489"/>
        <w:gridCol w:w="1800"/>
      </w:tblGrid>
      <w:tr>
        <w:trPr>
          <w:trHeight w:val="270"/>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乡镇</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标段</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A类</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B类</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C类</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人数合计</w:t>
            </w:r>
            <w:r/>
          </w:p>
        </w:tc>
      </w:tr>
      <w:tr>
        <w:trPr>
          <w:trHeight w:val="270"/>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right w:val="single" w:color="000000" w:sz="4" w:space="0"/>
            </w:tcBorders>
            <w:tcW w:w="727" w:type="pct"/>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000000" w:sz="4" w:space="0"/>
              <w:right w:val="single" w:color="000000" w:sz="4" w:space="0"/>
            </w:tcBorders>
            <w:tcW w:w="727" w:type="pct"/>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000000" w:sz="4" w:space="0"/>
              <w:right w:val="single" w:color="000000" w:sz="4" w:space="0"/>
            </w:tcBorders>
            <w:tcW w:w="727" w:type="pct"/>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000000" w:sz="4" w:space="0"/>
              <w:bottom w:val="single" w:color="000000" w:sz="4" w:space="0"/>
              <w:right w:val="single" w:color="000000" w:sz="4" w:space="0"/>
            </w:tcBorders>
            <w:tcW w:w="727"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20"/>
        <w:spacing w:line="372"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政府购买服务对象根据民政部门审批确定的正式名单为准，如中标后采购人提供的名单无法全部核实并提供服务（原因包括：老人不愿接受服务、因搬迁或在子女处生活的原因无法根据名单找到老人、老人已离世名单未更新等），采购人可根据相应政策及实际运营情况对购买服务对象进行增补</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增补后的每人服务金额不高于本项目的预算单价。居家养老政府购买服务对象和标准，以及其享受的服务时间，可根据相应政策的调整而做出相应调整。</w:t>
      </w:r>
      <w:r/>
    </w:p>
    <w:p>
      <w:pPr>
        <w:ind w:firstLine="422"/>
        <w:spacing w:line="372"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二、服务项目、内容及要求</w:t>
      </w:r>
      <w:r/>
    </w:p>
    <w:p>
      <w:pPr>
        <w:ind w:firstLine="422"/>
        <w:spacing w:line="372"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1.服务项目：</w:t>
      </w:r>
      <w:r>
        <w:rPr>
          <w:rFonts w:hint="eastAsia" w:ascii="宋体" w:hAnsi="宋体" w:eastAsia="宋体" w:cs="宋体"/>
          <w:color w:val="auto"/>
          <w:szCs w:val="21"/>
          <w:highlight w:val="none"/>
        </w:rPr>
        <w:t xml:space="preserve">居家养老服务项目以满足老人养老服务需求、提升老人生活质量为目标，具体内容包括：生活照料、助餐服务、助浴服务、助洁服务、助洗服务、助行服务、代办服务、康复辅助（保健）、精神慰藉、助医服务、应急（安全）服务以及日间照料（短期托养）服务等。严禁以食物或生活用品代替服务。</w:t>
      </w:r>
      <w:r/>
    </w:p>
    <w:p>
      <w:pPr>
        <w:ind w:firstLine="422"/>
        <w:spacing w:line="380" w:lineRule="exact"/>
        <w:rPr>
          <w:rFonts w:hint="eastAsia" w:ascii="宋体" w:hAnsi="宋体" w:eastAsia="宋体" w:cs="宋体"/>
          <w:b/>
          <w:color w:val="auto"/>
          <w:spacing w:val="-8"/>
          <w:szCs w:val="21"/>
          <w:highlight w:val="none"/>
        </w:rPr>
      </w:pPr>
      <w:r>
        <w:rPr>
          <w:rFonts w:hint="eastAsia" w:ascii="宋体" w:hAnsi="宋体" w:eastAsia="宋体" w:cs="宋体"/>
          <w:b/>
          <w:bCs/>
          <w:color w:val="auto"/>
          <w:szCs w:val="21"/>
          <w:highlight w:val="none"/>
        </w:rPr>
        <w:t xml:space="preserve">2.服务内容、要求</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 生活照料</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2.1.1 卫生照料</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2.1.1.1 协助服务对象刷牙、洗脸、洗脚、洗头、梳头、修剪指（趾）甲、剃胡须。</w:t>
      </w:r>
      <w:r/>
    </w:p>
    <w:p>
      <w:pPr>
        <w:ind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2.1.1.2 为不能自理的服务对象清洗阴部、便后洁身。</w:t>
      </w:r>
      <w:r/>
    </w:p>
    <w:p>
      <w:pPr>
        <w:ind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2.1.1.3 服务对象生活用品的清洗和消毒。</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服务要求：</w:t>
      </w:r>
      <w:r/>
    </w:p>
    <w:p>
      <w:pPr>
        <w:numPr>
          <w:ilvl w:val="0"/>
          <w:numId w:val="2"/>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根据需要协助老年人刷牙、洗脸、洗脚、洗头、梳头、修剪指（趾）甲、剃胡须，动作适当，老人无不适现象，做到老人容貌整洁、指（趾）甲整洁、无异味。</w:t>
      </w:r>
      <w:r/>
    </w:p>
    <w:p>
      <w:pPr>
        <w:numPr>
          <w:ilvl w:val="0"/>
          <w:numId w:val="2"/>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征询不能自理老年人本人同意后为其清洗阴部，会阴部清洗无异味，便后清洗干净、无异味。</w:t>
      </w:r>
      <w:r/>
    </w:p>
    <w:p>
      <w:pPr>
        <w:numPr>
          <w:ilvl w:val="0"/>
          <w:numId w:val="2"/>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生活用品分类清洗和消毒，清洗消毒后清洁无异味。</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2.1.2 生活起居照料</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2.1.2.1为服务对象的居室通风，调节居室温度、湿度、光度。</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2.1.2.2为服务对象的居室保洁，整理服务对象衣物、床上用品，打扫室内卫生。</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2.1.2.3协助不能自理的服务对象穿脱衣服、如厕、翻身，清理生活垃圾和污秽。</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服务要求：</w:t>
      </w:r>
      <w:r/>
    </w:p>
    <w:p>
      <w:pPr>
        <w:numPr>
          <w:ilvl w:val="0"/>
          <w:numId w:val="3"/>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根据老年人要求和季节变化，调节适宜的居室温度、湿度、光度，保持居家无异味。</w:t>
      </w:r>
      <w:r/>
    </w:p>
    <w:p>
      <w:pPr>
        <w:numPr>
          <w:ilvl w:val="0"/>
          <w:numId w:val="4"/>
        </w:numPr>
        <w:ind w:firstLine="4"/>
        <w:spacing w:line="380" w:lineRule="exact"/>
        <w:rPr>
          <w:rFonts w:hint="eastAsia" w:ascii="宋体" w:hAnsi="宋体" w:eastAsia="宋体" w:cs="宋体"/>
          <w:b/>
          <w:color w:val="auto"/>
          <w:spacing w:val="-8"/>
          <w:szCs w:val="21"/>
          <w:highlight w:val="none"/>
        </w:rPr>
      </w:pPr>
      <w:r>
        <w:rPr>
          <w:rFonts w:hint="eastAsia" w:ascii="宋体" w:hAnsi="宋体" w:eastAsia="宋体" w:cs="宋体"/>
          <w:bCs/>
          <w:color w:val="auto"/>
          <w:szCs w:val="21"/>
          <w:highlight w:val="none"/>
        </w:rPr>
        <w:t xml:space="preserve">定时打扫室内外卫生，做到干净、整洁；根据季节变化和老年人实际服务需求整理服务对象衣物和床上用品，衣物和用品做到分类、分季、干净、平整。</w:t>
      </w:r>
      <w:r/>
    </w:p>
    <w:p>
      <w:pPr>
        <w:numPr>
          <w:ilvl w:val="0"/>
          <w:numId w:val="4"/>
        </w:numPr>
        <w:ind w:firstLine="4"/>
        <w:spacing w:line="380" w:lineRule="exact"/>
        <w:rPr>
          <w:rFonts w:hint="eastAsia" w:ascii="宋体" w:hAnsi="宋体" w:eastAsia="宋体" w:cs="宋体"/>
          <w:b/>
          <w:color w:val="auto"/>
          <w:spacing w:val="-8"/>
          <w:szCs w:val="21"/>
          <w:highlight w:val="none"/>
        </w:rPr>
      </w:pPr>
      <w:r>
        <w:rPr>
          <w:rFonts w:hint="eastAsia" w:ascii="宋体" w:hAnsi="宋体" w:eastAsia="宋体" w:cs="宋体"/>
          <w:bCs/>
          <w:color w:val="auto"/>
          <w:szCs w:val="21"/>
          <w:highlight w:val="none"/>
        </w:rPr>
        <w:t xml:space="preserve">协助穿脱衣物应保持动作轻柔，防止拉伤肢体；翻身时注意安全，做好必要的防护措施，完成后应根据实际情况为老年人盖好被子，清理用物；老年人如厕做好搀扶，注意老年人的保暖和隐私，协助老年人进行如厕后的清洁；清理生活垃圾和污秽及时、干净。</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 助餐服务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2.2.1协助服务对象用餐，清理餐后垃圾，清洗、消毒餐具。</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2.2.2为服务对象配制菜谱、制作营养餐。</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2.2.3为服务对象订餐、送餐。</w:t>
      </w:r>
      <w:r/>
    </w:p>
    <w:p>
      <w:pPr>
        <w:ind w:firstLine="420"/>
        <w:spacing w:line="380" w:lineRule="exact"/>
        <w:rPr>
          <w:rFonts w:ascii="金山简黑体" w:hAnsi="Courier New" w:eastAsia="金山简黑体" w:cs="Times New Roman"/>
          <w:bCs/>
          <w:color w:val="auto"/>
          <w:spacing w:val="-8"/>
          <w:szCs w:val="21"/>
          <w:highlight w:val="none"/>
        </w:rPr>
      </w:pPr>
      <w:r>
        <w:rPr>
          <w:rFonts w:hint="eastAsia" w:ascii="宋体" w:hAnsi="宋体" w:eastAsia="宋体" w:cs="宋体"/>
          <w:bCs/>
          <w:color w:val="auto"/>
          <w:szCs w:val="21"/>
          <w:highlight w:val="none"/>
        </w:rPr>
        <w:t xml:space="preserve">2.2.4 助餐体验。</w:t>
      </w:r>
      <w:r/>
    </w:p>
    <w:p>
      <w:pPr>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服务要求：</w:t>
      </w:r>
      <w:r/>
    </w:p>
    <w:p>
      <w:pPr>
        <w:numPr>
          <w:ilvl w:val="0"/>
          <w:numId w:val="5"/>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根据老年人身体状况协助其选择用餐体位，餐后及时清洗垃圾，保持餐厅内环境卫生整洁，餐具清洁并定期消毒，应符合GB 14934的要求。</w:t>
      </w:r>
      <w:r/>
    </w:p>
    <w:p>
      <w:pPr>
        <w:numPr>
          <w:ilvl w:val="0"/>
          <w:numId w:val="4"/>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洗菜、煮饭应干净、卫生，米饭松软、炒菜少盐少油，尊重老年人的饮食生活习惯及民族信仰，注意营养，合理配餐；上门助餐人员应持有健康合格证明。</w:t>
      </w:r>
      <w:r/>
    </w:p>
    <w:p>
      <w:pPr>
        <w:numPr>
          <w:ilvl w:val="0"/>
          <w:numId w:val="4"/>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根据老人要求准确配餐送餐，选择具有资质的餐饮机构提供的餐食，有必要的保温、保鲜设备。</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 助浴服务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2.3.1协助服务对象淋浴 、盆浴、擦洗身子。</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2.3.2协助服务对象进行足浴、药浴。</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2.3.3协助服务对象外出洗浴。</w:t>
      </w:r>
      <w:r/>
    </w:p>
    <w:p>
      <w:pPr>
        <w:ind w:left="420"/>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服务要求：</w:t>
      </w:r>
      <w:r/>
    </w:p>
    <w:p>
      <w:pPr>
        <w:numPr>
          <w:ilvl w:val="0"/>
          <w:numId w:val="5"/>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洗浴时，注意根据季节气候变化，保持浴室温度适宜、通风。</w:t>
      </w:r>
      <w:r/>
    </w:p>
    <w:p>
      <w:pPr>
        <w:numPr>
          <w:ilvl w:val="0"/>
          <w:numId w:val="5"/>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洗浴前，应进行老年人健康状况评估并有安全提示，地面应防滑，及时清理积水，保证老年人洗浴服务过程中的安全。</w:t>
      </w:r>
      <w:r/>
    </w:p>
    <w:p>
      <w:pPr>
        <w:numPr>
          <w:ilvl w:val="0"/>
          <w:numId w:val="5"/>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助浴服务过程中， 失能老人应有</w:t>
      </w:r>
      <w:r>
        <w:rPr>
          <w:rFonts w:hint="eastAsia" w:ascii="宋体" w:hAnsi="宋体" w:eastAsia="宋体" w:cs="宋体"/>
          <w:color w:val="auto"/>
          <w:szCs w:val="21"/>
          <w:highlight w:val="none"/>
        </w:rPr>
        <w:t xml:space="preserve">委托人、监护人或亲属</w:t>
      </w:r>
      <w:r>
        <w:rPr>
          <w:rFonts w:hint="eastAsia" w:ascii="宋体" w:hAnsi="宋体" w:eastAsia="宋体" w:cs="宋体"/>
          <w:bCs/>
          <w:color w:val="auto"/>
          <w:szCs w:val="21"/>
          <w:highlight w:val="none"/>
        </w:rPr>
        <w:t xml:space="preserve">在场协助。</w:t>
      </w:r>
      <w:r/>
    </w:p>
    <w:p>
      <w:pPr>
        <w:numPr>
          <w:ilvl w:val="0"/>
          <w:numId w:val="5"/>
        </w:numPr>
        <w:ind w:left="0" w:firstLine="42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外出助浴应选择具有助老设备的助浴场所，足浴、药浴要由专业人员进行服务且符合足浴、药浴有关行业要求和规范。</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 助洗服务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2.4.1为服务对象清洗 、熨烫衣服。</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2.4.2为服务对象定期清洗、更换床单、被褥。</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2.4.3为服务对象提供衣物的集中取送洗服务。</w:t>
      </w:r>
      <w:r/>
    </w:p>
    <w:p>
      <w:pPr>
        <w:ind w:left="420"/>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服务要求：</w:t>
      </w:r>
      <w:r/>
    </w:p>
    <w:p>
      <w:pPr>
        <w:numPr>
          <w:ilvl w:val="0"/>
          <w:numId w:val="6"/>
        </w:numPr>
        <w:ind w:left="0" w:firstLine="388"/>
        <w:spacing w:line="380" w:lineRule="exact"/>
        <w:rPr>
          <w:rFonts w:hint="eastAsia" w:ascii="宋体" w:hAnsi="宋体" w:eastAsia="宋体" w:cs="宋体"/>
          <w:bCs/>
          <w:color w:val="auto"/>
          <w:spacing w:val="-8"/>
          <w:szCs w:val="21"/>
          <w:highlight w:val="none"/>
        </w:rPr>
      </w:pPr>
      <w:r>
        <w:rPr>
          <w:rFonts w:hint="eastAsia" w:ascii="宋体" w:hAnsi="宋体" w:eastAsia="宋体" w:cs="宋体"/>
          <w:bCs/>
          <w:color w:val="auto"/>
          <w:spacing w:val="-8"/>
          <w:szCs w:val="21"/>
          <w:highlight w:val="none"/>
        </w:rPr>
        <w:t xml:space="preserve">收发</w:t>
      </w:r>
      <w:r>
        <w:rPr>
          <w:rFonts w:hint="eastAsia" w:ascii="宋体" w:hAnsi="宋体" w:eastAsia="宋体" w:cs="宋体"/>
          <w:bCs/>
          <w:color w:val="auto"/>
          <w:szCs w:val="21"/>
          <w:highlight w:val="none"/>
        </w:rPr>
        <w:t xml:space="preserve">清洗、熨烫</w:t>
      </w:r>
      <w:r>
        <w:rPr>
          <w:rFonts w:hint="eastAsia" w:ascii="宋体" w:hAnsi="宋体" w:eastAsia="宋体" w:cs="宋体"/>
          <w:bCs/>
          <w:color w:val="auto"/>
          <w:spacing w:val="-8"/>
          <w:szCs w:val="21"/>
          <w:highlight w:val="none"/>
        </w:rPr>
        <w:t xml:space="preserve">衣物，要当面清点并填写衣物交接单，衣物</w:t>
      </w:r>
      <w:r>
        <w:rPr>
          <w:rFonts w:hint="eastAsia" w:ascii="宋体" w:hAnsi="宋体" w:eastAsia="宋体" w:cs="宋体"/>
          <w:bCs/>
          <w:color w:val="auto"/>
          <w:szCs w:val="21"/>
          <w:highlight w:val="none"/>
        </w:rPr>
        <w:t xml:space="preserve">清洗、熨烫</w:t>
      </w:r>
      <w:r>
        <w:rPr>
          <w:rFonts w:hint="eastAsia" w:ascii="宋体" w:hAnsi="宋体" w:eastAsia="宋体" w:cs="宋体"/>
          <w:bCs/>
          <w:color w:val="auto"/>
          <w:spacing w:val="-8"/>
          <w:szCs w:val="21"/>
          <w:highlight w:val="none"/>
        </w:rPr>
        <w:t xml:space="preserve">应严格按照操作规程进行。</w:t>
      </w:r>
      <w:r/>
    </w:p>
    <w:p>
      <w:pPr>
        <w:numPr>
          <w:ilvl w:val="0"/>
          <w:numId w:val="6"/>
        </w:numPr>
        <w:ind w:left="0" w:firstLine="388"/>
        <w:spacing w:line="380" w:lineRule="exact"/>
        <w:rPr>
          <w:rFonts w:hint="eastAsia" w:ascii="宋体" w:hAnsi="宋体" w:eastAsia="宋体" w:cs="宋体"/>
          <w:bCs/>
          <w:color w:val="auto"/>
          <w:spacing w:val="-8"/>
          <w:szCs w:val="21"/>
          <w:highlight w:val="none"/>
        </w:rPr>
      </w:pPr>
      <w:r>
        <w:rPr>
          <w:rFonts w:hint="eastAsia" w:ascii="宋体" w:hAnsi="宋体" w:eastAsia="宋体" w:cs="宋体"/>
          <w:bCs/>
          <w:color w:val="auto"/>
          <w:spacing w:val="-8"/>
          <w:szCs w:val="21"/>
          <w:highlight w:val="none"/>
        </w:rPr>
        <w:t xml:space="preserve">分类清洗衣物、床单，被血液、体液污染的衣物、床单单独洗涤，先消毒，后清洗，</w:t>
      </w:r>
      <w:r>
        <w:rPr>
          <w:rFonts w:hint="eastAsia" w:ascii="宋体" w:hAnsi="宋体" w:eastAsia="宋体" w:cs="宋体"/>
          <w:bCs/>
          <w:color w:val="auto"/>
          <w:szCs w:val="21"/>
          <w:highlight w:val="none"/>
        </w:rPr>
        <w:t xml:space="preserve">清洗、熨烫</w:t>
      </w:r>
      <w:r>
        <w:rPr>
          <w:rFonts w:hint="eastAsia" w:ascii="宋体" w:hAnsi="宋体" w:eastAsia="宋体" w:cs="宋体"/>
          <w:bCs/>
          <w:color w:val="auto"/>
          <w:spacing w:val="-8"/>
          <w:szCs w:val="21"/>
          <w:highlight w:val="none"/>
        </w:rPr>
        <w:t xml:space="preserve">完成应折叠后送还给老年人，按照季度和老年实际需求更换被褥。</w:t>
      </w:r>
      <w:r/>
    </w:p>
    <w:p>
      <w:pPr>
        <w:numPr>
          <w:ilvl w:val="0"/>
          <w:numId w:val="7"/>
        </w:numPr>
        <w:ind w:left="0" w:firstLine="388"/>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pacing w:val="-8"/>
          <w:szCs w:val="21"/>
          <w:highlight w:val="none"/>
        </w:rPr>
        <w:t xml:space="preserve">清洗、熨烫前需检查被洗衣物的性状及是否遗留贵重物品并告知老人或家属，贵重衣物不在本清洗、熨烫服务范围之内。</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 助行服务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2.5.1陪同服务对象室外散步。</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2.5.2协助服务对象外出会友 购物等。</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2.5.3协助服务对象外出办理其他社会事务。</w:t>
      </w:r>
      <w:r/>
    </w:p>
    <w:p>
      <w:pPr>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服务要求：</w:t>
      </w:r>
      <w:r/>
    </w:p>
    <w:p>
      <w:pPr>
        <w:numPr>
          <w:ilvl w:val="0"/>
          <w:numId w:val="8"/>
        </w:numPr>
        <w:ind w:left="0" w:firstLine="388"/>
        <w:spacing w:line="380" w:lineRule="exact"/>
        <w:rPr>
          <w:rFonts w:ascii="宋体" w:hAnsi="宋体" w:eastAsia="宋体" w:cs="宋体"/>
          <w:bCs/>
          <w:color w:val="auto"/>
          <w:spacing w:val="-8"/>
          <w:szCs w:val="21"/>
          <w:highlight w:val="none"/>
        </w:rPr>
      </w:pPr>
      <w:r>
        <w:rPr>
          <w:rFonts w:ascii="宋体" w:hAnsi="宋体" w:eastAsia="宋体" w:cs="宋体"/>
          <w:bCs/>
          <w:color w:val="auto"/>
          <w:spacing w:val="-8"/>
          <w:szCs w:val="21"/>
          <w:highlight w:val="none"/>
        </w:rPr>
        <w:t xml:space="preserve">根据老年人的体力、 活动障碍程度，提供助行服务</w:t>
      </w:r>
      <w:r>
        <w:rPr>
          <w:rFonts w:hint="eastAsia" w:ascii="宋体" w:hAnsi="宋体" w:eastAsia="宋体" w:cs="宋体"/>
          <w:bCs/>
          <w:color w:val="auto"/>
          <w:spacing w:val="-8"/>
          <w:szCs w:val="21"/>
          <w:highlight w:val="none"/>
        </w:rPr>
        <w:t xml:space="preserve">。</w:t>
      </w:r>
      <w:r/>
    </w:p>
    <w:p>
      <w:pPr>
        <w:numPr>
          <w:ilvl w:val="0"/>
          <w:numId w:val="9"/>
        </w:numPr>
        <w:ind w:left="0" w:firstLine="388"/>
        <w:spacing w:line="380" w:lineRule="exact"/>
        <w:rPr>
          <w:rFonts w:ascii="宋体" w:hAnsi="宋体" w:eastAsia="宋体" w:cs="宋体"/>
          <w:bCs/>
          <w:color w:val="auto"/>
          <w:spacing w:val="-8"/>
          <w:szCs w:val="21"/>
          <w:highlight w:val="none"/>
        </w:rPr>
      </w:pPr>
      <w:r>
        <w:rPr>
          <w:rFonts w:ascii="宋体" w:hAnsi="宋体" w:eastAsia="宋体" w:cs="宋体"/>
          <w:bCs/>
          <w:color w:val="auto"/>
          <w:spacing w:val="-8"/>
          <w:szCs w:val="21"/>
          <w:highlight w:val="none"/>
        </w:rPr>
        <w:t xml:space="preserve">使用助行器具时应检查各部件是否完好完备，按助行器具的使用说明进行操作</w:t>
      </w:r>
      <w:r>
        <w:rPr>
          <w:rFonts w:hint="eastAsia" w:ascii="宋体" w:hAnsi="宋体" w:eastAsia="宋体" w:cs="宋体"/>
          <w:bCs/>
          <w:color w:val="auto"/>
          <w:spacing w:val="-8"/>
          <w:szCs w:val="21"/>
          <w:highlight w:val="none"/>
        </w:rPr>
        <w:t xml:space="preserve">。</w:t>
      </w:r>
      <w:r/>
    </w:p>
    <w:p>
      <w:pPr>
        <w:numPr>
          <w:ilvl w:val="0"/>
          <w:numId w:val="10"/>
        </w:numPr>
        <w:ind w:left="0" w:firstLine="388"/>
        <w:spacing w:line="380" w:lineRule="exact"/>
        <w:rPr>
          <w:rFonts w:ascii="宋体" w:hAnsi="宋体" w:eastAsia="宋体" w:cs="宋体"/>
          <w:bCs/>
          <w:color w:val="auto"/>
          <w:spacing w:val="-8"/>
          <w:szCs w:val="21"/>
          <w:highlight w:val="none"/>
        </w:rPr>
      </w:pPr>
      <w:r>
        <w:rPr>
          <w:rFonts w:ascii="宋体" w:hAnsi="宋体" w:eastAsia="宋体" w:cs="宋体"/>
          <w:bCs/>
          <w:color w:val="auto"/>
          <w:spacing w:val="-8"/>
          <w:szCs w:val="21"/>
          <w:highlight w:val="none"/>
        </w:rPr>
        <w:t xml:space="preserve">助行活动宜在老年人住宅周边区域内进行，注意途中安全，防止意外情况发生。</w:t>
      </w:r>
      <w:r/>
    </w:p>
    <w:p>
      <w:pPr>
        <w:numPr>
          <w:ilvl w:val="0"/>
          <w:numId w:val="10"/>
        </w:numPr>
        <w:ind w:left="0" w:firstLine="388"/>
        <w:spacing w:line="380" w:lineRule="exact"/>
        <w:rPr>
          <w:rFonts w:ascii="Times New Roman" w:hAnsi="Times New Roman" w:eastAsia="宋体" w:cs="Times New Roman"/>
          <w:color w:val="auto"/>
          <w:szCs w:val="21"/>
          <w:highlight w:val="none"/>
        </w:rPr>
      </w:pPr>
      <w:r>
        <w:rPr>
          <w:rFonts w:ascii="宋体" w:hAnsi="宋体" w:eastAsia="宋体" w:cs="宋体"/>
          <w:bCs/>
          <w:color w:val="auto"/>
          <w:spacing w:val="-8"/>
          <w:szCs w:val="21"/>
          <w:highlight w:val="none"/>
        </w:rPr>
        <w:t xml:space="preserve">根据老年人的合理要求，</w:t>
      </w:r>
      <w:r>
        <w:rPr>
          <w:rFonts w:hint="eastAsia" w:ascii="宋体" w:hAnsi="宋体" w:eastAsia="宋体" w:cs="宋体"/>
          <w:bCs/>
          <w:color w:val="auto"/>
          <w:spacing w:val="-8"/>
          <w:szCs w:val="21"/>
          <w:highlight w:val="none"/>
        </w:rPr>
        <w:t xml:space="preserve">协助老年人外出办理社会事务，同时须征得家属或其监护人同意后方可外出，外出时注意安全，防止意外情况发生。</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 代办服务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2.6.1为服务对象代领有价证券（如工资卡，现金等）和物品。</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2.6.2为服务对象代购物品和代理交的各种费用，</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2.6.3为服务对象代办处理信函、文件的收、发事务。</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服务要求：</w:t>
      </w:r>
      <w:r/>
    </w:p>
    <w:p>
      <w:pPr>
        <w:numPr>
          <w:ilvl w:val="0"/>
          <w:numId w:val="11"/>
        </w:numPr>
        <w:ind w:left="0" w:firstLine="420"/>
        <w:spacing w:line="38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对接受委托的代办事项，应按照口头或书面的约定，准确记录所代办事项的内容、要求。必要时，应向委托人口述一通委托事项，请委托人确认。</w:t>
      </w:r>
      <w:r/>
    </w:p>
    <w:p>
      <w:pPr>
        <w:numPr>
          <w:ilvl w:val="0"/>
          <w:numId w:val="11"/>
        </w:numPr>
        <w:ind w:left="0" w:firstLine="420"/>
        <w:spacing w:line="38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除即时清结外。涉及现金的，应当面清点并核实。</w:t>
      </w:r>
      <w:r/>
    </w:p>
    <w:p>
      <w:pPr>
        <w:numPr>
          <w:ilvl w:val="0"/>
          <w:numId w:val="11"/>
        </w:numPr>
        <w:ind w:left="0" w:firstLine="420"/>
        <w:spacing w:line="38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代办委托服务，应保护老年人隐私，不得向他人泄漏老年人个人信息。</w:t>
      </w:r>
      <w:r/>
    </w:p>
    <w:p>
      <w:pPr>
        <w:numPr>
          <w:ilvl w:val="0"/>
          <w:numId w:val="11"/>
        </w:numPr>
        <w:ind w:left="0" w:firstLine="420"/>
        <w:spacing w:line="38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代办购物时如有网上购物，应向老年人说明商品的全部信息，提示可能存在的风险，得到老年人明确授权。</w:t>
      </w:r>
      <w:r/>
    </w:p>
    <w:p>
      <w:pPr>
        <w:numPr>
          <w:ilvl w:val="0"/>
          <w:numId w:val="11"/>
        </w:numPr>
        <w:ind w:left="0" w:firstLine="420"/>
        <w:spacing w:line="38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使用老年人个人设备如手机、 计算机等提供代办服务时，应得到老年人或相关第三方同意，并保证信息安全。</w:t>
      </w:r>
      <w:r/>
    </w:p>
    <w:p>
      <w:pPr>
        <w:numPr>
          <w:ilvl w:val="0"/>
          <w:numId w:val="11"/>
        </w:numPr>
        <w:ind w:left="0" w:firstLine="420"/>
        <w:spacing w:line="38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应保留代办服务的相关记录。</w:t>
      </w:r>
      <w:r/>
    </w:p>
    <w:p>
      <w:pPr>
        <w:numPr>
          <w:ilvl w:val="0"/>
          <w:numId w:val="11"/>
        </w:numPr>
        <w:ind w:left="0" w:firstLine="420"/>
        <w:spacing w:line="38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做好反诈识别，如发现存在组织或个人有欺骗或诱导老年人购买不符合实际需求、支付能力或劣质产品，要及时劝阻，暂停代办，且及时将有关情况通知其</w:t>
      </w:r>
      <w:r>
        <w:rPr>
          <w:rFonts w:hint="eastAsia" w:ascii="宋体" w:hAnsi="宋体" w:eastAsia="宋体" w:cs="宋体"/>
          <w:color w:val="auto"/>
          <w:szCs w:val="21"/>
          <w:highlight w:val="none"/>
        </w:rPr>
        <w:t xml:space="preserve">委托人、监护人、亲属</w:t>
      </w:r>
      <w:r>
        <w:rPr>
          <w:rFonts w:hint="eastAsia" w:ascii="Times New Roman" w:hAnsi="Times New Roman" w:eastAsia="宋体" w:cs="Times New Roman"/>
          <w:color w:val="auto"/>
          <w:szCs w:val="21"/>
          <w:highlight w:val="none"/>
        </w:rPr>
        <w:t xml:space="preserve">和村干部，情节严重的及时通知公安机关。</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 康复辅助（保健）</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2.7.1为服务对象测血压、体温，提醒服务对象吃药。</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2.7.2为服务对象提供预防保健、康复护理及老年人营养、心理健康等知识。</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2.7.3协助老年人正确使用康复、保健仪器，协助老年人进行康复训练。</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 开展老年人健康能力评估。根据调查评估情况，作出评估意见，了解老年人在饮食上和行动上的注意事项，明确老年人接受服务的方式。</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服务要求：</w:t>
      </w:r>
      <w:r/>
    </w:p>
    <w:p>
      <w:pPr>
        <w:numPr>
          <w:ilvl w:val="0"/>
          <w:numId w:val="12"/>
        </w:numPr>
        <w:ind w:left="0" w:firstLine="420"/>
        <w:spacing w:line="38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定期为老年人测量血压、体温，并将测量结果当面告知老人，如发现异常情况立即通知其</w:t>
      </w:r>
      <w:r>
        <w:rPr>
          <w:rFonts w:hint="eastAsia" w:ascii="宋体" w:hAnsi="宋体" w:eastAsia="宋体" w:cs="宋体"/>
          <w:color w:val="auto"/>
          <w:szCs w:val="21"/>
          <w:highlight w:val="none"/>
        </w:rPr>
        <w:t xml:space="preserve">委托人、监护人或亲属</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应遵照医嘱及时提醒和督促老人按时服药。</w:t>
      </w:r>
      <w:r/>
    </w:p>
    <w:p>
      <w:pPr>
        <w:numPr>
          <w:ilvl w:val="0"/>
          <w:numId w:val="13"/>
        </w:numPr>
        <w:ind w:left="0" w:firstLine="42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服务人员应具备必</w:t>
      </w:r>
      <w:r>
        <w:rPr>
          <w:rFonts w:hint="eastAsia" w:ascii="宋体" w:hAnsi="宋体" w:eastAsia="宋体" w:cs="宋体"/>
          <w:color w:val="auto"/>
          <w:szCs w:val="21"/>
          <w:highlight w:val="none"/>
        </w:rPr>
        <w:t xml:space="preserve">要</w:t>
      </w:r>
      <w:r>
        <w:rPr>
          <w:rFonts w:ascii="宋体" w:hAnsi="宋体" w:eastAsia="宋体" w:cs="宋体"/>
          <w:color w:val="auto"/>
          <w:szCs w:val="21"/>
          <w:highlight w:val="none"/>
        </w:rPr>
        <w:t xml:space="preserve">的医疗护理和康复</w:t>
      </w:r>
      <w:r>
        <w:rPr>
          <w:rFonts w:hint="eastAsia" w:ascii="宋体" w:hAnsi="宋体" w:eastAsia="宋体" w:cs="宋体"/>
          <w:color w:val="auto"/>
          <w:szCs w:val="21"/>
          <w:highlight w:val="none"/>
        </w:rPr>
        <w:t xml:space="preserve">保健知识；</w:t>
      </w:r>
      <w:r>
        <w:rPr>
          <w:rFonts w:ascii="宋体" w:hAnsi="宋体" w:eastAsia="宋体" w:cs="宋体"/>
          <w:color w:val="auto"/>
          <w:szCs w:val="21"/>
          <w:highlight w:val="none"/>
        </w:rPr>
        <w:t xml:space="preserve">提供</w:t>
      </w:r>
      <w:r>
        <w:rPr>
          <w:rFonts w:hint="eastAsia" w:ascii="宋体" w:hAnsi="宋体" w:eastAsia="宋体" w:cs="宋体"/>
          <w:color w:val="auto"/>
          <w:szCs w:val="21"/>
          <w:highlight w:val="none"/>
        </w:rPr>
        <w:t xml:space="preserve">康复</w:t>
      </w:r>
      <w:r>
        <w:rPr>
          <w:rFonts w:ascii="宋体" w:hAnsi="宋体" w:eastAsia="宋体" w:cs="宋体"/>
          <w:color w:val="auto"/>
          <w:szCs w:val="21"/>
          <w:highlight w:val="none"/>
        </w:rPr>
        <w:t xml:space="preserve">服务应得到老年人本人及监护人的</w:t>
      </w:r>
      <w:r>
        <w:rPr>
          <w:rFonts w:hint="eastAsia" w:ascii="宋体" w:hAnsi="宋体" w:eastAsia="宋体" w:cs="宋体"/>
          <w:color w:val="auto"/>
          <w:szCs w:val="21"/>
          <w:highlight w:val="none"/>
        </w:rPr>
        <w:t xml:space="preserve">同意</w:t>
      </w:r>
      <w:r>
        <w:rPr>
          <w:rFonts w:ascii="宋体" w:hAnsi="宋体" w:eastAsia="宋体" w:cs="宋体"/>
          <w:color w:val="auto"/>
          <w:szCs w:val="21"/>
          <w:highlight w:val="none"/>
        </w:rPr>
        <w:t xml:space="preserve">，并在专业人员指导</w:t>
      </w:r>
      <w:r>
        <w:rPr>
          <w:rFonts w:hint="eastAsia" w:ascii="宋体" w:hAnsi="宋体" w:eastAsia="宋体" w:cs="宋体"/>
          <w:color w:val="auto"/>
          <w:szCs w:val="21"/>
          <w:highlight w:val="none"/>
        </w:rPr>
        <w:t xml:space="preserve">下</w:t>
      </w:r>
      <w:r>
        <w:rPr>
          <w:rFonts w:ascii="宋体" w:hAnsi="宋体" w:eastAsia="宋体" w:cs="宋体"/>
          <w:color w:val="auto"/>
          <w:szCs w:val="21"/>
          <w:highlight w:val="none"/>
        </w:rPr>
        <w:t xml:space="preserve">进行</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康复训练应进行评估，</w:t>
      </w:r>
      <w:r>
        <w:rPr>
          <w:rFonts w:hint="eastAsia" w:ascii="宋体" w:hAnsi="宋体" w:eastAsia="宋体" w:cs="宋体"/>
          <w:color w:val="auto"/>
          <w:szCs w:val="21"/>
          <w:highlight w:val="none"/>
        </w:rPr>
        <w:t xml:space="preserve">由</w:t>
      </w:r>
      <w:r>
        <w:rPr>
          <w:rFonts w:ascii="宋体" w:hAnsi="宋体" w:eastAsia="宋体" w:cs="宋体"/>
          <w:color w:val="auto"/>
          <w:szCs w:val="21"/>
          <w:highlight w:val="none"/>
        </w:rPr>
        <w:t xml:space="preserve">康复</w:t>
      </w:r>
      <w:r>
        <w:rPr>
          <w:rFonts w:hint="eastAsia" w:ascii="宋体" w:hAnsi="宋体" w:eastAsia="宋体" w:cs="宋体"/>
          <w:color w:val="auto"/>
          <w:szCs w:val="21"/>
          <w:highlight w:val="none"/>
        </w:rPr>
        <w:t xml:space="preserve">医</w:t>
      </w:r>
      <w:r>
        <w:rPr>
          <w:rFonts w:ascii="宋体" w:hAnsi="宋体" w:eastAsia="宋体" w:cs="宋体"/>
          <w:color w:val="auto"/>
          <w:szCs w:val="21"/>
          <w:highlight w:val="none"/>
        </w:rPr>
        <w:t xml:space="preserve">师提出康复方案并指导康复训练</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康复训练过程中</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应注意观察老年人的身体适应情况，防止损伤</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应有康复训练的安全措施</w:t>
      </w:r>
      <w:r>
        <w:rPr>
          <w:rFonts w:hint="eastAsia" w:ascii="宋体" w:hAnsi="宋体" w:eastAsia="宋体" w:cs="宋体"/>
          <w:color w:val="auto"/>
          <w:szCs w:val="21"/>
          <w:highlight w:val="none"/>
        </w:rPr>
        <w:t xml:space="preserve">，确保</w:t>
      </w:r>
      <w:r>
        <w:rPr>
          <w:rFonts w:ascii="宋体" w:hAnsi="宋体" w:eastAsia="宋体" w:cs="宋体"/>
          <w:color w:val="auto"/>
          <w:szCs w:val="21"/>
          <w:highlight w:val="none"/>
        </w:rPr>
        <w:t xml:space="preserve">康复设备安全有效</w:t>
      </w:r>
      <w:r>
        <w:rPr>
          <w:rFonts w:hint="eastAsia" w:ascii="宋体" w:hAnsi="宋体" w:eastAsia="宋体" w:cs="宋体"/>
          <w:color w:val="auto"/>
          <w:szCs w:val="21"/>
          <w:highlight w:val="none"/>
        </w:rPr>
        <w:t xml:space="preserve">下再进行服务</w:t>
      </w:r>
      <w:r>
        <w:rPr>
          <w:rFonts w:ascii="宋体" w:hAnsi="宋体" w:eastAsia="宋体" w:cs="宋体"/>
          <w:color w:val="auto"/>
          <w:szCs w:val="21"/>
          <w:highlight w:val="none"/>
        </w:rPr>
        <w:t xml:space="preserve">。</w:t>
      </w:r>
      <w:r/>
    </w:p>
    <w:p>
      <w:pPr>
        <w:numPr>
          <w:ilvl w:val="0"/>
          <w:numId w:val="14"/>
        </w:numPr>
        <w:ind w:left="0" w:firstLine="42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参照《</w:t>
      </w:r>
      <w:r>
        <w:rPr>
          <w:rFonts w:ascii="宋体" w:hAnsi="宋体" w:eastAsia="宋体" w:cs="宋体"/>
          <w:color w:val="auto"/>
          <w:szCs w:val="21"/>
          <w:highlight w:val="none"/>
        </w:rPr>
        <w:t xml:space="preserve">灌云县养老服务评估办法（试行）</w:t>
      </w:r>
      <w:r>
        <w:rPr>
          <w:rFonts w:hint="eastAsia" w:ascii="宋体" w:hAnsi="宋体" w:eastAsia="宋体" w:cs="宋体"/>
          <w:color w:val="auto"/>
          <w:szCs w:val="21"/>
          <w:highlight w:val="none"/>
        </w:rPr>
        <w:t xml:space="preserve">》（灌民发〔2016〕82 号）文件要求和 《老年人能力评估标准》（MZT039-2013）行业标准进行老年人健康能力评估。</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 精神慰藉</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2.8.1为服务对象读书读报，陪服务对象聊天。</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2.8.2根据服务对象心理特点和情绪变化进行心理疏导。</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 精神关爱服务，如协助老年人正确使用智能手机，进行网络视频、通话等。</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服务要求：</w:t>
      </w:r>
      <w:r/>
    </w:p>
    <w:p>
      <w:pPr>
        <w:numPr>
          <w:ilvl w:val="0"/>
          <w:numId w:val="15"/>
        </w:numPr>
        <w:ind w:left="0" w:firstLine="388"/>
        <w:spacing w:line="380" w:lineRule="exact"/>
        <w:rPr>
          <w:rFonts w:hint="eastAsia" w:ascii="金山简黑体" w:hAnsi="Courier New" w:eastAsia="金山简黑体" w:cs="Times New Roman"/>
          <w:b/>
          <w:color w:val="auto"/>
          <w:spacing w:val="-8"/>
          <w:szCs w:val="21"/>
          <w:highlight w:val="none"/>
        </w:rPr>
      </w:pPr>
      <w:r>
        <w:rPr>
          <w:rFonts w:hint="eastAsia" w:ascii="宋体" w:hAnsi="宋体" w:eastAsia="宋体" w:cs="宋体"/>
          <w:bCs/>
          <w:color w:val="auto"/>
          <w:spacing w:val="-8"/>
          <w:szCs w:val="21"/>
          <w:highlight w:val="none"/>
        </w:rPr>
        <w:t xml:space="preserve">掌握老年人心理特点和基本沟通技巧，根据老年人的精神需要，读书读报、谈心交流，耐心倾听，及时观察老年人的情绪变化，并通过心理干预手段调适老年人心理状态，尊重并保护老年人隐私。</w:t>
      </w:r>
      <w:r/>
    </w:p>
    <w:p>
      <w:pPr>
        <w:ind w:firstLine="422"/>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 助医服务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2.9.1 陪同服务对象就医。</w:t>
      </w:r>
      <w:r/>
    </w:p>
    <w:p>
      <w:pPr>
        <w:ind w:firstLine="420"/>
        <w:spacing w:line="380" w:lineRule="exact"/>
        <w:rPr>
          <w:rFonts w:ascii="金山简黑体" w:hAnsi="Courier New" w:eastAsia="金山简黑体" w:cs="Times New Roman"/>
          <w:color w:val="auto"/>
          <w:spacing w:val="-8"/>
          <w:szCs w:val="21"/>
          <w:highlight w:val="none"/>
        </w:rPr>
      </w:pPr>
      <w:r>
        <w:rPr>
          <w:rFonts w:hint="eastAsia" w:ascii="宋体" w:hAnsi="宋体" w:eastAsia="宋体" w:cs="宋体"/>
          <w:color w:val="auto"/>
          <w:szCs w:val="21"/>
          <w:highlight w:val="none"/>
        </w:rPr>
        <w:t xml:space="preserve">2.9.2 测量记录血压、脉搏、心率、体温、血糖。</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服务要求：</w:t>
      </w:r>
      <w:r/>
    </w:p>
    <w:p>
      <w:pPr>
        <w:numPr>
          <w:ilvl w:val="0"/>
          <w:numId w:val="16"/>
        </w:numPr>
        <w:ind w:left="0" w:firstLine="388"/>
        <w:spacing w:line="380" w:lineRule="exact"/>
        <w:rPr>
          <w:rFonts w:hint="eastAsia" w:ascii="宋体" w:hAnsi="宋体" w:eastAsia="宋体" w:cs="宋体"/>
          <w:color w:val="auto"/>
          <w:szCs w:val="21"/>
          <w:highlight w:val="none"/>
        </w:rPr>
      </w:pPr>
      <w:r>
        <w:rPr>
          <w:rFonts w:hint="eastAsia" w:ascii="宋体" w:hAnsi="宋体" w:eastAsia="宋体" w:cs="宋体"/>
          <w:bCs/>
          <w:color w:val="auto"/>
          <w:spacing w:val="-8"/>
          <w:szCs w:val="21"/>
          <w:highlight w:val="none"/>
        </w:rPr>
        <w:t xml:space="preserve">遵照医嘱及时提醒和监督老年人按时服药或陪同就医</w:t>
      </w:r>
      <w:r>
        <w:rPr>
          <w:rFonts w:hint="eastAsia" w:ascii="宋体" w:hAnsi="宋体" w:eastAsia="宋体" w:cs="宋体"/>
          <w:color w:val="auto"/>
          <w:szCs w:val="21"/>
          <w:highlight w:val="none"/>
        </w:rPr>
        <w:t xml:space="preserve">，协助检查药品保质期及有效期。</w:t>
      </w:r>
      <w:r/>
    </w:p>
    <w:p>
      <w:pPr>
        <w:numPr>
          <w:ilvl w:val="0"/>
          <w:numId w:val="17"/>
        </w:numPr>
        <w:ind w:left="0" w:firstLine="420"/>
        <w:spacing w:line="380" w:lineRule="exact"/>
        <w:rPr>
          <w:rFonts w:hint="eastAsia" w:ascii="Times New Roman" w:hAnsi="Times New Roman" w:eastAsia="宋体" w:cs="Times New Roman"/>
          <w:color w:val="auto"/>
          <w:szCs w:val="21"/>
          <w:highlight w:val="none"/>
        </w:rPr>
      </w:pPr>
      <w:r>
        <w:rPr>
          <w:rFonts w:hint="eastAsia" w:ascii="宋体" w:hAnsi="宋体" w:eastAsia="宋体" w:cs="宋体"/>
          <w:color w:val="auto"/>
          <w:szCs w:val="21"/>
          <w:highlight w:val="none"/>
        </w:rPr>
        <w:t xml:space="preserve">在需要就医情况下，应及时通知委托人、监护人或亲属陪同就医，紧急情况下先联系医院并协助送医。</w:t>
      </w:r>
      <w:r/>
    </w:p>
    <w:p>
      <w:pPr>
        <w:numPr>
          <w:ilvl w:val="0"/>
          <w:numId w:val="18"/>
        </w:numPr>
        <w:ind w:left="0" w:firstLine="388"/>
        <w:spacing w:line="380" w:lineRule="exact"/>
        <w:rPr>
          <w:rFonts w:hint="eastAsia" w:ascii="宋体" w:hAnsi="宋体" w:eastAsia="宋体" w:cs="宋体"/>
          <w:bCs/>
          <w:color w:val="auto"/>
          <w:spacing w:val="-8"/>
          <w:szCs w:val="21"/>
          <w:highlight w:val="none"/>
        </w:rPr>
      </w:pPr>
      <w:r>
        <w:rPr>
          <w:rFonts w:hint="eastAsia" w:ascii="宋体" w:hAnsi="宋体" w:eastAsia="宋体" w:cs="宋体"/>
          <w:bCs/>
          <w:color w:val="auto"/>
          <w:spacing w:val="-8"/>
          <w:szCs w:val="21"/>
          <w:highlight w:val="none"/>
        </w:rPr>
        <w:t xml:space="preserve">准备测量仪器并记录检查数据，</w:t>
      </w:r>
      <w:r>
        <w:rPr>
          <w:rFonts w:hint="eastAsia" w:ascii="Times New Roman" w:hAnsi="Times New Roman" w:eastAsia="宋体" w:cs="Times New Roman"/>
          <w:color w:val="auto"/>
          <w:szCs w:val="21"/>
          <w:highlight w:val="none"/>
        </w:rPr>
        <w:t xml:space="preserve">并将测量结果当面告知老人，</w:t>
      </w:r>
      <w:r>
        <w:rPr>
          <w:rFonts w:hint="eastAsia" w:ascii="宋体" w:hAnsi="宋体" w:eastAsia="宋体" w:cs="宋体"/>
          <w:bCs/>
          <w:color w:val="auto"/>
          <w:spacing w:val="-8"/>
          <w:szCs w:val="21"/>
          <w:highlight w:val="none"/>
        </w:rPr>
        <w:t xml:space="preserve">如发现异常情况立即通知其</w:t>
      </w:r>
      <w:r>
        <w:rPr>
          <w:rFonts w:hint="eastAsia" w:ascii="宋体" w:hAnsi="宋体" w:eastAsia="宋体" w:cs="宋体"/>
          <w:color w:val="auto"/>
          <w:szCs w:val="21"/>
          <w:highlight w:val="none"/>
        </w:rPr>
        <w:t xml:space="preserve">委托人、监护人或亲属</w:t>
      </w:r>
      <w:r>
        <w:rPr>
          <w:rFonts w:hint="eastAsia" w:ascii="宋体" w:hAnsi="宋体" w:eastAsia="宋体" w:cs="宋体"/>
          <w:bCs/>
          <w:color w:val="auto"/>
          <w:spacing w:val="-8"/>
          <w:szCs w:val="21"/>
          <w:highlight w:val="none"/>
        </w:rPr>
        <w:t xml:space="preserve">。</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3.0 应急（安全）服务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3.0.1 为服务对象提供紧急救援，服务过程中遇突发情况，及时联系家属及救援机构。</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3.0.2 生活助急服务，为有需要的老人提供生活紧急救援服务，如家电维修、管道疏通换液化气罐等。</w:t>
      </w:r>
      <w:r/>
    </w:p>
    <w:p>
      <w:pPr>
        <w:ind w:left="689" w:hanging="21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3.0.3协助服务对象家庭安装紧急呼叫器、求助门铃、远红外感应器等安全防护器材。</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3.0.4了解老年人家庭设施的安全状况，定期检查服务对象家庭的水 、电燃气、取暖等设施运行情况，排除安全隐患。</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服务要求：</w:t>
      </w:r>
      <w:r/>
    </w:p>
    <w:p>
      <w:pPr>
        <w:numPr>
          <w:ilvl w:val="0"/>
          <w:numId w:val="19"/>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定期通过打电话、走访等形式联系和帮扶，发现异常，及时上门查看助急。</w:t>
      </w:r>
      <w:r/>
    </w:p>
    <w:p>
      <w:pPr>
        <w:numPr>
          <w:ilvl w:val="0"/>
          <w:numId w:val="20"/>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建立居家老年人紧急救援预案，会同社区（村）建立专兼职救援队伍，快速对接110、120、 119等救援平台，做好紧急救援全过程记录。</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 日间照料（短期托养）服务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 为老人提供不过夜的短期托养服务。</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3.1.2 为短期托养老人提供生活照料，包括饮食、清洁、排泄等服务。</w:t>
      </w:r>
      <w:r/>
    </w:p>
    <w:p>
      <w:pPr>
        <w:ind w:firstLine="422"/>
        <w:spacing w:line="380" w:lineRule="exact"/>
        <w:rPr>
          <w:rFonts w:ascii="金山简黑体" w:hAnsi="Courier New" w:eastAsia="金山简黑体" w:cs="Times New Roman"/>
          <w:b/>
          <w:color w:val="auto"/>
          <w:spacing w:val="-8"/>
          <w:szCs w:val="21"/>
          <w:highlight w:val="none"/>
        </w:rPr>
      </w:pPr>
      <w:r>
        <w:rPr>
          <w:rFonts w:hint="eastAsia" w:ascii="宋体" w:hAnsi="宋体" w:eastAsia="宋体" w:cs="宋体"/>
          <w:b/>
          <w:bCs/>
          <w:color w:val="auto"/>
          <w:szCs w:val="21"/>
          <w:highlight w:val="none"/>
        </w:rPr>
        <w:t xml:space="preserve">服务要求：</w:t>
      </w:r>
      <w:r/>
    </w:p>
    <w:p>
      <w:pPr>
        <w:numPr>
          <w:ilvl w:val="0"/>
          <w:numId w:val="21"/>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办理日托手续前，应开展老年人能力评估。</w:t>
      </w:r>
      <w:r/>
    </w:p>
    <w:p>
      <w:pPr>
        <w:numPr>
          <w:ilvl w:val="0"/>
          <w:numId w:val="21"/>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日间照料（短期托养）服务需老年人亲属或者监护人办其理日托手续，签订服务协议和风险告知书。</w:t>
      </w:r>
      <w:r/>
    </w:p>
    <w:p>
      <w:pPr>
        <w:numPr>
          <w:ilvl w:val="0"/>
          <w:numId w:val="22"/>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提供与服务需求相匹配的服务项目。</w:t>
      </w:r>
      <w:r/>
    </w:p>
    <w:p>
      <w:pPr>
        <w:numPr>
          <w:ilvl w:val="0"/>
          <w:numId w:val="23"/>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休息室保持床位整洁，家具物品摆放整齐，定期清洗，室内无异味， 地面无水渍。</w:t>
      </w:r>
      <w:r/>
    </w:p>
    <w:p>
      <w:pPr>
        <w:numPr>
          <w:ilvl w:val="0"/>
          <w:numId w:val="24"/>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居室配备被褥应根据季节适时更换并应定期晾晒。</w:t>
      </w:r>
      <w:r/>
    </w:p>
    <w:p>
      <w:pPr>
        <w:numPr>
          <w:ilvl w:val="0"/>
          <w:numId w:val="25"/>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室内温、湿度适宜、通风良好，日光照时间不少于2小时。</w:t>
      </w:r>
      <w:r/>
    </w:p>
    <w:p>
      <w:pPr>
        <w:numPr>
          <w:ilvl w:val="0"/>
          <w:numId w:val="26"/>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电器等设施设备处于运行良好状态。</w:t>
      </w:r>
      <w:r/>
    </w:p>
    <w:p>
      <w:pPr>
        <w:numPr>
          <w:ilvl w:val="0"/>
          <w:numId w:val="27"/>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应配置夏季降温和冬季取暖设施，冬季室内温度不低于18℃，夏季室内温度不高于28℃：应协助行动不便的老年人如厕。</w:t>
      </w:r>
      <w:r/>
    </w:p>
    <w:p>
      <w:pPr>
        <w:numPr>
          <w:ilvl w:val="0"/>
          <w:numId w:val="28"/>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为行动不便的老年人提供手口清洁服务，协助老年人饭前饭后漱口。</w:t>
      </w:r>
      <w:r/>
    </w:p>
    <w:p>
      <w:pPr>
        <w:numPr>
          <w:ilvl w:val="0"/>
          <w:numId w:val="29"/>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自带服用药物的，应由老年人本人或家属书面委托，按时提示老年人服药并记录用药时间及服用后的反应，如发现异常及时处置。</w:t>
      </w:r>
      <w:r/>
    </w:p>
    <w:p>
      <w:pPr>
        <w:numPr>
          <w:ilvl w:val="0"/>
          <w:numId w:val="30"/>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不定时进行巡视，并做好值班记录。</w:t>
      </w:r>
      <w:r/>
    </w:p>
    <w:p>
      <w:pPr>
        <w:numPr>
          <w:ilvl w:val="0"/>
          <w:numId w:val="31"/>
        </w:numPr>
        <w:ind w:left="0"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为老年人提供短期托养服务除满足日托服务的基本要求外，还应符合短期托养服务安全应符合GB 38600的要求。</w:t>
      </w:r>
      <w:r/>
    </w:p>
    <w:p>
      <w:pPr>
        <w:ind w:firstLine="422"/>
        <w:spacing w:line="38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3.服务规范</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w:t>
      </w:r>
      <w:r>
        <w:rPr>
          <w:rFonts w:hint="eastAsia" w:ascii="宋体" w:hAnsi="宋体" w:eastAsia="宋体" w:cs="宋体"/>
          <w:color w:val="auto"/>
          <w:szCs w:val="21"/>
          <w:highlight w:val="none"/>
          <w:lang w:eastAsia="zh-CN"/>
        </w:rPr>
        <w:t xml:space="preserve">《居家养老上门服务基本规范》国家标准（GB/T 43153-2023）</w:t>
      </w:r>
      <w:r>
        <w:rPr>
          <w:rFonts w:hint="eastAsia" w:ascii="宋体" w:hAnsi="宋体" w:eastAsia="宋体" w:cs="宋体"/>
          <w:color w:val="auto"/>
          <w:szCs w:val="21"/>
          <w:highlight w:val="none"/>
        </w:rPr>
        <w:t xml:space="preserve">。</w:t>
      </w:r>
      <w:r/>
    </w:p>
    <w:p>
      <w:pPr>
        <w:ind w:firstLine="422"/>
        <w:spacing w:line="372"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三、服务和补贴标准</w:t>
      </w:r>
      <w:r/>
    </w:p>
    <w:p>
      <w:pPr>
        <w:ind w:firstLine="422"/>
        <w:spacing w:line="372"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1.服务标准</w:t>
      </w:r>
      <w:r/>
    </w:p>
    <w:p>
      <w:pPr>
        <w:ind w:firstLine="422"/>
        <w:spacing w:line="372"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（1）乙方为本次服务采购项目服务范围中的A类对象提供每人每月</w:t>
      </w:r>
      <w:r>
        <w:rPr>
          <w:rFonts w:hint="eastAsia" w:ascii="宋体" w:hAnsi="宋体" w:eastAsia="宋体" w:cs="宋体"/>
          <w:b/>
          <w:bCs/>
          <w:color w:val="auto"/>
          <w:szCs w:val="21"/>
          <w:highlight w:val="none"/>
          <w:lang w:val="en-US" w:eastAsia="zh-CN"/>
        </w:rPr>
        <w:t xml:space="preserve">3人次</w:t>
      </w:r>
      <w:r>
        <w:rPr>
          <w:rFonts w:hint="eastAsia" w:ascii="宋体" w:hAnsi="宋体" w:eastAsia="宋体" w:cs="宋体"/>
          <w:b/>
          <w:bCs/>
          <w:color w:val="auto"/>
          <w:szCs w:val="21"/>
          <w:highlight w:val="none"/>
        </w:rPr>
        <w:t xml:space="preserve">的线下养老实体服务</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B类对象提供每人每月</w:t>
      </w:r>
      <w:r>
        <w:rPr>
          <w:rFonts w:hint="eastAsia" w:ascii="宋体" w:hAnsi="宋体" w:eastAsia="宋体" w:cs="宋体"/>
          <w:b/>
          <w:bCs/>
          <w:color w:val="auto"/>
          <w:szCs w:val="21"/>
          <w:highlight w:val="none"/>
          <w:lang w:val="en-US" w:eastAsia="zh-CN"/>
        </w:rPr>
        <w:t xml:space="preserve">2人次</w:t>
      </w:r>
      <w:r>
        <w:rPr>
          <w:rFonts w:hint="eastAsia" w:ascii="宋体" w:hAnsi="宋体" w:eastAsia="宋体" w:cs="宋体"/>
          <w:b/>
          <w:bCs/>
          <w:color w:val="auto"/>
          <w:szCs w:val="21"/>
          <w:highlight w:val="none"/>
        </w:rPr>
        <w:t xml:space="preserve">的线下养老实体服务，C类对象提供每人</w:t>
      </w:r>
      <w:r>
        <w:rPr>
          <w:rFonts w:hint="eastAsia" w:ascii="宋体" w:hAnsi="宋体" w:eastAsia="宋体" w:cs="宋体"/>
          <w:b/>
          <w:bCs/>
          <w:color w:val="auto"/>
          <w:szCs w:val="21"/>
          <w:highlight w:val="none"/>
          <w:lang w:val="en-US" w:eastAsia="zh-CN"/>
        </w:rPr>
        <w:t xml:space="preserve">每季度1人次的</w:t>
      </w:r>
      <w:r>
        <w:rPr>
          <w:rFonts w:hint="eastAsia" w:ascii="宋体" w:hAnsi="宋体" w:eastAsia="宋体" w:cs="宋体"/>
          <w:b/>
          <w:bCs/>
          <w:color w:val="auto"/>
          <w:szCs w:val="21"/>
          <w:highlight w:val="none"/>
        </w:rPr>
        <w:t xml:space="preserve">线下养老实体服务。每次服务时间不得低于1个小时</w:t>
      </w:r>
      <w:r>
        <w:rPr>
          <w:rFonts w:hint="eastAsia" w:ascii="宋体" w:hAnsi="宋体" w:eastAsia="宋体" w:cs="宋体"/>
          <w:b/>
          <w:bCs/>
          <w:color w:val="auto"/>
          <w:szCs w:val="21"/>
          <w:highlight w:val="none"/>
          <w:lang w:eastAsia="zh-CN"/>
        </w:rPr>
        <w:t xml:space="preserve">。</w:t>
      </w:r>
      <w:r/>
    </w:p>
    <w:p>
      <w:pPr>
        <w:ind w:firstLine="420"/>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为了促进居家养老政府购买服务顺利推进和提高服务的运营效率和质量，政府所购买服务的老年人可自主选择服务套餐，乙</w:t>
      </w:r>
      <w:r>
        <w:rPr>
          <w:rFonts w:hint="eastAsia" w:ascii="宋体" w:hAnsi="宋体" w:eastAsia="宋体" w:cs="宋体"/>
          <w:bCs/>
          <w:color w:val="auto"/>
          <w:szCs w:val="21"/>
          <w:highlight w:val="none"/>
        </w:rPr>
        <w:t xml:space="preserve">方根据服务对象实际要求，安排服务人员进入家庭，为其提供相应服务。实体服务套餐中的服务内容由乙方与老人沟通后，由老人自行选择后形成可追溯的服务需求工单。具体服务内容以投标文件内容为准。</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szCs w:val="21"/>
          <w:highlight w:val="none"/>
        </w:rPr>
        <w:t xml:space="preserve">如服务对象选择服务内容超出</w:t>
      </w:r>
      <w:r>
        <w:rPr>
          <w:rFonts w:hint="eastAsia" w:ascii="宋体" w:hAnsi="宋体" w:eastAsia="宋体" w:cs="宋体"/>
          <w:color w:val="auto"/>
          <w:szCs w:val="21"/>
          <w:highlight w:val="none"/>
          <w:lang w:val="en-US" w:eastAsia="zh-CN"/>
        </w:rPr>
        <w:t xml:space="preserve">规定次数的</w:t>
      </w:r>
      <w:r>
        <w:rPr>
          <w:rFonts w:hint="eastAsia" w:ascii="宋体" w:hAnsi="宋体" w:eastAsia="宋体" w:cs="宋体"/>
          <w:color w:val="auto"/>
          <w:szCs w:val="21"/>
          <w:highlight w:val="none"/>
        </w:rPr>
        <w:t xml:space="preserve">线下养老实体服务，超过部分由乙方自行向服务对象收取。乙方承诺超出服务部分的收费不高于同类服务市场价格，且必须于服务前需向服务对象明示价格并征得同意后方可进行服务。</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（4）乙方需在服务所在区域甲方指定的养老睦邻点（居家服务站点）每月开展不少于一次的养老服务活动。</w:t>
      </w:r>
      <w:r/>
    </w:p>
    <w:p>
      <w:pPr>
        <w:numPr>
          <w:ilvl w:val="0"/>
          <w:numId w:val="32"/>
        </w:numPr>
        <w:ind w:firstLine="422"/>
        <w:spacing w:line="5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人员要求：</w:t>
      </w:r>
      <w:r/>
    </w:p>
    <w:p>
      <w:pPr>
        <w:ind w:firstLine="420"/>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配备养老服务队伍投标人应根据服务辖区的老年人数和实际需求，配备具有专业知识和技能的养老服务人员。主要承担入户登记老年人基本信息和服务需求、提供应急联动服务及信息化平台服务链接等事务、协助开展文化教育娱乐活动。同时，为维持平台日常运转应配备若干工作人员，包括：管理人员，主要负责服务管理、机构管理、调度协调、综合管理、投诉管理等；运营维护人员，主要负责开发运营维护、网站运营维护、设备运营维护、网络运营维护、技术支持等；客服座席员，主要负责接单、派单、调度、质量反馈等。 根据采购人要求安排最低人数。</w:t>
      </w:r>
      <w:r/>
    </w:p>
    <w:p>
      <w:pPr>
        <w:numPr>
          <w:ilvl w:val="0"/>
          <w:numId w:val="32"/>
        </w:numPr>
        <w:ind w:firstLine="422"/>
        <w:spacing w:line="372"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合同期限</w:t>
      </w:r>
      <w:r/>
    </w:p>
    <w:p>
      <w:pPr>
        <w:ind w:firstLine="420"/>
        <w:spacing w:line="380" w:lineRule="exact"/>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1.自合同签订之日起一年；每年服务期满，</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根据考核情况决定继续履行合同或终止合同，续签合同金额不变，服务期最多3年。</w:t>
      </w:r>
      <w:r>
        <w:rPr>
          <w:rFonts w:hint="eastAsia" w:ascii="宋体" w:hAnsi="宋体" w:eastAsia="宋体" w:cs="宋体"/>
          <w:bCs/>
          <w:color w:val="auto"/>
          <w:szCs w:val="21"/>
          <w:highlight w:val="none"/>
        </w:rPr>
        <w:t xml:space="preserve">（如遇相关政策调整，</w:t>
      </w:r>
      <w:r>
        <w:rPr>
          <w:rFonts w:hint="eastAsia" w:ascii="宋体" w:hAnsi="宋体" w:eastAsia="宋体" w:cs="宋体"/>
          <w:color w:val="auto"/>
          <w:szCs w:val="21"/>
          <w:highlight w:val="none"/>
          <w:lang w:val="en-US" w:eastAsia="zh-CN"/>
        </w:rPr>
        <w:t xml:space="preserve">甲方可</w:t>
      </w:r>
      <w:r>
        <w:rPr>
          <w:rFonts w:hint="eastAsia" w:ascii="宋体" w:hAnsi="宋体" w:eastAsia="宋体" w:cs="宋体"/>
          <w:bCs/>
          <w:color w:val="auto"/>
          <w:szCs w:val="21"/>
          <w:highlight w:val="none"/>
        </w:rPr>
        <w:t xml:space="preserve">适时调整合同期限）。</w:t>
      </w:r>
      <w:r/>
    </w:p>
    <w:p>
      <w:pPr>
        <w:ind w:firstLine="422"/>
        <w:spacing w:line="372"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六、合同价款</w:t>
      </w:r>
      <w:r/>
    </w:p>
    <w:p>
      <w:pPr>
        <w:ind w:firstLine="420"/>
        <w:spacing w:line="37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本合同金额为（大写）：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元）人民币，最终实际结算支付金额以实际服务人数乘以服务单价（单价按中标单价考核打分后的为准）进行结算居家上门服务费用；第三方验收机构验收费用独立结算。原则上不得超过中标价格。</w:t>
      </w:r>
      <w:r/>
    </w:p>
    <w:p>
      <w:pPr>
        <w:ind w:firstLine="420"/>
        <w:spacing w:line="37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服务费用主要包括但不限于项目服务期间产生的人员经费、 交通费、误餐费、 网络通讯费</w:t>
      </w:r>
      <w:r>
        <w:rPr>
          <w:rFonts w:hint="eastAsia" w:ascii="宋体" w:hAnsi="宋体" w:eastAsia="宋体" w:cs="Times New Roman"/>
          <w:color w:val="auto"/>
          <w:szCs w:val="21"/>
          <w:highlight w:val="none"/>
        </w:rPr>
        <w:t xml:space="preserve">、设备费（含所有配件）、材料费（含所有配件）、水费、电费、物业费、包装费、运输费（运抵指定地点）、装卸费、保险费、检测检验费、验收费、技术服务费、税金、利润、措施费、不可预见费及其他相关所有费用（包含所有隐含的内容）</w:t>
      </w:r>
      <w:r>
        <w:rPr>
          <w:rFonts w:hint="eastAsia" w:ascii="宋体" w:hAnsi="宋体" w:eastAsia="宋体" w:cs="Times New Roman"/>
          <w:bCs/>
          <w:color w:val="auto"/>
          <w:szCs w:val="24"/>
          <w:highlight w:val="none"/>
        </w:rPr>
        <w:t xml:space="preserve">等所有费用。</w:t>
      </w:r>
      <w:r/>
    </w:p>
    <w:p>
      <w:pPr>
        <w:ind w:firstLine="422"/>
        <w:spacing w:line="372"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七、支付方式</w:t>
      </w:r>
      <w:r/>
    </w:p>
    <w:p>
      <w:pPr>
        <w:ind w:firstLine="420"/>
        <w:jc w:val="left"/>
        <w:spacing w:line="560" w:lineRule="exact"/>
        <w:rPr>
          <w:rFonts w:ascii="Times New Roman" w:hAnsi="宋体" w:eastAsia="宋体" w:cs="Times New Roman"/>
          <w:color w:val="auto"/>
          <w:szCs w:val="21"/>
          <w:highlight w:val="none"/>
        </w:rPr>
      </w:pPr>
      <w:r>
        <w:rPr>
          <w:rFonts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rPr>
        <w:t xml:space="preserve">.</w:t>
      </w:r>
      <w:r>
        <w:rPr>
          <w:rFonts w:ascii="Times New Roman" w:hAnsi="宋体" w:eastAsia="宋体" w:cs="Times New Roman"/>
          <w:bCs/>
          <w:color w:val="auto"/>
          <w:szCs w:val="21"/>
          <w:highlight w:val="none"/>
        </w:rPr>
        <w:t xml:space="preserve">付款方式：</w:t>
      </w:r>
      <w:r>
        <w:rPr>
          <w:rFonts w:hint="eastAsia" w:ascii="Times New Roman" w:hAnsi="宋体" w:eastAsia="宋体" w:cs="Times New Roman"/>
          <w:bCs/>
          <w:color w:val="auto"/>
          <w:szCs w:val="21"/>
          <w:highlight w:val="none"/>
          <w:u w:val="single"/>
        </w:rPr>
        <w:t xml:space="preserve">由第三方评估机构每季度进行一次评估考核，根据考评结果支付一季度居家上门服务费用和独立第三方服务机构验收费用</w:t>
      </w:r>
      <w:r>
        <w:rPr>
          <w:rFonts w:ascii="Times New Roman" w:hAnsi="宋体" w:eastAsia="宋体" w:cs="Times New Roman"/>
          <w:color w:val="auto"/>
          <w:szCs w:val="21"/>
          <w:highlight w:val="none"/>
        </w:rPr>
        <w:t xml:space="preserve">。</w:t>
      </w:r>
      <w:r/>
    </w:p>
    <w:p>
      <w:pPr>
        <w:ind w:firstLine="420"/>
        <w:jc w:val="left"/>
        <w:spacing w:line="560" w:lineRule="exact"/>
        <w:rPr>
          <w:rFonts w:ascii="Times New Roman" w:hAnsi="宋体" w:eastAsia="宋体" w:cs="Times New Roman"/>
          <w:color w:val="auto"/>
          <w:szCs w:val="21"/>
          <w:highlight w:val="none"/>
        </w:rPr>
      </w:pPr>
      <w:r>
        <w:rPr>
          <w:rFonts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rPr>
        <w:t xml:space="preserve">.</w:t>
      </w:r>
      <w:r>
        <w:rPr>
          <w:rFonts w:ascii="Times New Roman" w:hAnsi="宋体" w:eastAsia="宋体" w:cs="Times New Roman"/>
          <w:color w:val="auto"/>
          <w:szCs w:val="21"/>
          <w:highlight w:val="none"/>
        </w:rPr>
        <w:t xml:space="preserve">当采购数量与实际使用数量不一致时，乙方根据实际使用量提供</w:t>
      </w:r>
      <w:r>
        <w:rPr>
          <w:rFonts w:ascii="宋体" w:hAnsi="宋体" w:eastAsia="宋体" w:cs="Times New Roman"/>
          <w:color w:val="auto"/>
          <w:szCs w:val="21"/>
          <w:highlight w:val="none"/>
        </w:rPr>
        <w:t xml:space="preserve">产品和服务</w:t>
      </w:r>
      <w:r>
        <w:rPr>
          <w:rFonts w:ascii="Times New Roman" w:hAnsi="宋体" w:eastAsia="宋体" w:cs="Times New Roman"/>
          <w:color w:val="auto"/>
          <w:szCs w:val="21"/>
          <w:highlight w:val="none"/>
        </w:rPr>
        <w:t xml:space="preserve">，合同的最终结算金额按实际使用量乘以中标单价进行计算。</w:t>
      </w:r>
      <w:r/>
    </w:p>
    <w:p>
      <w:pPr>
        <w:ind w:firstLine="420"/>
        <w:jc w:val="left"/>
        <w:spacing w:line="560" w:lineRule="exact"/>
        <w:rPr>
          <w:rFonts w:hint="eastAsia" w:ascii="宋体" w:hAnsi="宋体" w:eastAsia="宋体" w:cs="宋体"/>
          <w:color w:val="auto"/>
          <w:szCs w:val="21"/>
          <w:highlight w:val="none"/>
        </w:rPr>
      </w:pPr>
      <w:r>
        <w:rPr>
          <w:rFonts w:hint="eastAsia" w:ascii="Times New Roman" w:hAnsi="宋体" w:eastAsia="宋体" w:cs="Times New Roman"/>
          <w:color w:val="auto"/>
          <w:szCs w:val="21"/>
          <w:highlight w:val="none"/>
        </w:rPr>
        <w:t xml:space="preserve">3.按照第三方机构对乙方进行评估结果予以支付，如得分达85分（含）以上的，据实支付服务费用给乙方；如得分80（含）-85分的，甲方将在应据实支付乙方的费用基础上扣除5%；如得分为70（含）-80分的，甲方将在应据实支付</w:t>
      </w:r>
      <w:r>
        <w:rPr>
          <w:rFonts w:hint="eastAsia" w:ascii="宋体" w:hAnsi="宋体" w:eastAsia="宋体" w:cs="宋体"/>
          <w:color w:val="auto"/>
          <w:szCs w:val="21"/>
          <w:highlight w:val="none"/>
        </w:rPr>
        <w:t xml:space="preserve">乙方的费用基础上扣除10%；如得分低于70分的，甲方责令乙方进行整改，并按评估结果的分值比例进行实际支付。</w:t>
      </w:r>
      <w:r/>
    </w:p>
    <w:p>
      <w:pPr>
        <w:ind w:firstLine="422"/>
        <w:spacing w:line="372"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八、履约保证金</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 w:val="21"/>
          <w:szCs w:val="24"/>
          <w:highlight w:val="none"/>
          <w:lang w:val="en-US" w:eastAsia="zh-CN"/>
        </w:rPr>
        <w:t xml:space="preserve">收取履约保证金金额：</w:t>
      </w:r>
      <w:r>
        <w:rPr>
          <w:rFonts w:hint="eastAsia" w:ascii="宋体" w:hAnsi="宋体" w:eastAsia="宋体" w:cs="宋体"/>
          <w:color w:val="auto"/>
          <w:sz w:val="21"/>
          <w:szCs w:val="24"/>
          <w:highlight w:val="none"/>
          <w:u w:val="single"/>
          <w:lang w:val="en-US" w:eastAsia="zh-CN"/>
        </w:rPr>
        <w:t xml:space="preserve">成交金额的10%  </w:t>
      </w:r>
      <w:r>
        <w:rPr>
          <w:rFonts w:hint="eastAsia" w:ascii="宋体" w:hAnsi="宋体" w:eastAsia="宋体" w:cs="宋体"/>
          <w:color w:val="auto"/>
          <w:szCs w:val="21"/>
          <w:highlight w:val="none"/>
        </w:rPr>
        <w:t xml:space="preserve">。</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 xml:space="preserve">收取履约保证金形式：</w:t>
      </w:r>
      <w:r>
        <w:rPr>
          <w:rFonts w:hint="eastAsia" w:ascii="Times New Roman" w:hAnsi="Times New Roman" w:eastAsia="宋体" w:cs="Times New Roman"/>
          <w:color w:val="auto"/>
          <w:szCs w:val="24"/>
          <w:highlight w:val="none"/>
          <w:u w:val="single"/>
          <w:lang w:val="en-US" w:eastAsia="zh-CN"/>
        </w:rPr>
        <w:t xml:space="preserve">在合同签订前以支票、汇票、本票或者金融机构、担保机构出具的保函等非现金形式提交给采购人，成交供应商也可自愿使用履约保函（保险）代替交纳履约保证金，详情请见《关于在全省政府采购领域推行电子履约保函（保险）的通知》（苏财购〔2023〕150号）规定。</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2.如中标人未履行或未完全履行合同规定内容，采购人有权从履约保证金中取得补偿；履约保证金不足以赔偿损失的，按实际损失赔偿。</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3.中标人有下列情形之一的，不予退还其履约保证金： </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3.1在确定中标人后不与采购人签订合同的；</w:t>
      </w:r>
      <w:r/>
    </w:p>
    <w:p>
      <w:pPr>
        <w:pStyle w:val="923"/>
        <w:ind w:firstLine="420"/>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 xml:space="preserve">3.2拒绝履行合同义务的。</w:t>
      </w:r>
      <w:r/>
    </w:p>
    <w:p>
      <w:pPr>
        <w:ind w:firstLine="422"/>
        <w:spacing w:line="372"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九、合同的解除和终止</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1.合同解除</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出现以下情形，甲方可单方面解除协议，但需提前15天书面通知乙方。乙方在接到甲方通知后10天内配合甲方完成项目验收并与后续企业完成工作交接。</w:t>
      </w:r>
      <w:r/>
    </w:p>
    <w:p>
      <w:pPr>
        <w:ind w:firstLine="420"/>
        <w:jc w:val="left"/>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在第三方评估和甲方的不定期检查中发现乙方未按照合同约定的服务内容、服务要求、服务标准及补贴标准进行服务，检查合格率低于65%或评估结果得分低于65分的，同一个服务对象不按约定提供服务2次以上。</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（2）乙方服务能力丧失，致使服务无法正常进行的。</w:t>
      </w: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（3）发现乙方已不再具备招标文件中规定的承接主体应具备的条件，造成合同无法履行的。</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2.合同终止</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（1）合同期满，双方未续约的。</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（2）发生政策变化或者服务对象变化等不可抗力因素导致合同无法正常履行的。</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十、各方责任和义务</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1.甲方责任和义务：</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甲方有权自主选定第三方机构对乙方的服务进行</w:t>
      </w:r>
      <w:r>
        <w:rPr>
          <w:rFonts w:hint="eastAsia" w:ascii="宋体" w:hAnsi="宋体" w:eastAsia="宋体" w:cs="宋体"/>
          <w:bCs/>
          <w:color w:val="auto"/>
          <w:szCs w:val="21"/>
          <w:highlight w:val="none"/>
        </w:rPr>
        <w:t xml:space="preserve">监管，定期对乙方的服务工作进行考核，并对不符合有关规定的行为提出整改意见。</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甲方应定期更新服务对象花名册，并及时提供给乙方。</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甲方应积极协调辖区内社区居家养老服务设施，并将其无偿提供给乙方运营管理，甲方可综合已建成的居家养老服务站点，每镇街调剂1—2个居家养老服务站点供乙方选择运营。</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因乙方工作过失造成甲方损失的，甲方有权追究乙方的责任。</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（5）乙方需要相关死亡核对数据，甲方及时提供给乙方。</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（6）甲方有义务按合同规定时间和数额支付给乙方相关服务费用。</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2.乙方责任和义务：</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（1）乙方有权要求甲方按照合同约定按时足额支付项目资金。</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（2）乙方应自觉遵守国家法律法规和职业道德，按照约定的服务内容、服务要求、服务标准及补贴标准（详见本合同二、服务项目、内容及要求和三、服务和补贴标准），为服务对象提供优质服务。</w:t>
      </w:r>
      <w:r/>
    </w:p>
    <w:p>
      <w:pPr>
        <w:ind w:left="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（3）乙方应将《政府购买居家养老服务项目及服务要求》（见二、服务项目、内容及要求和三、服务和补贴标准）向服务对象介绍清楚，并按服务对象选定的项目提供服务。</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（4）乙方要及时、准确地记录服务信息，包括但不限于服务人数、服务次数、服务时间、服务项目、服务对象对服务质量的反馈和确认等内容，每月28日前向甲方递交服务信息报告。</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乙方不得再委托或者转包本合同所确定的服务项目。</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乙方应接受甲方的工作指导，对甲方提出的有关问题及时研究解决。</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乙方应定期组织开展服务人员职业道德、专业技能培训，了解和掌握政府购买居家养老服务有关政策，为服务对象做好解释工作。</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乙方应建设运营甲方辖区内13家以上居家养老服务站点，针对社区老年需求提供公益性以及低偿、有偿的养老服务，打造连锁经营、统一管理、连片辐射的特色服务品牌。</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乙方应加强队伍自身建设，建立和完善内部管理制度、服务人员培训制度、服务质量管理制度、服务承诺制度和服务反馈制度，设立公开的投诉电话。</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在甲方的指导下建设运营灌云县居家养老信息服务中心，利用现代信息技术手段搭建线上平台、整合线下优质服务资源，形成互联互通、全面覆盖的居家养老信息服务网络，为老年人提供高效便捷的居家养老服务。</w:t>
      </w:r>
      <w:r/>
    </w:p>
    <w:p>
      <w:pPr>
        <w:numPr>
          <w:ilvl w:val="0"/>
          <w:numId w:val="33"/>
        </w:num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配合甲方选定的第三方组织进行绩效服务评估，并及时根据评估结果改进服务措施、提升服务质量，同时乙方需按季度足额支付甲方选定的第三方组织进行服务评估验收的费用，即5万元每季度（预算暂定价格，以最终评估验收实际支付金额为准）。</w:t>
      </w:r>
      <w:r/>
    </w:p>
    <w:p>
      <w:pPr>
        <w:numPr>
          <w:ilvl w:val="0"/>
          <w:numId w:val="33"/>
        </w:numPr>
        <w:ind w:firstLine="420"/>
        <w:spacing w:line="46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乙方负责其人员及服务对象安全管理，所造成的</w:t>
      </w:r>
      <w:r>
        <w:rPr>
          <w:rFonts w:hint="eastAsia" w:ascii="宋体" w:hAnsi="宋体" w:eastAsia="宋体" w:cs="宋体"/>
          <w:color w:val="auto"/>
          <w:szCs w:val="21"/>
          <w:highlight w:val="none"/>
        </w:rPr>
        <w:t xml:space="preserve">任何损失和赔偿，由乙方负责解决，和甲方无关。</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十一、税费</w:t>
      </w:r>
      <w:r/>
    </w:p>
    <w:p>
      <w:pPr>
        <w:ind w:firstLine="630"/>
        <w:jc w:val="left"/>
        <w:spacing w:line="460" w:lineRule="exact"/>
        <w:rPr>
          <w:rFonts w:ascii="宋体" w:hAnsi="宋体" w:eastAsia="仿宋_GB2312" w:cs="Times New Roman"/>
          <w:color w:val="auto"/>
          <w:szCs w:val="21"/>
          <w:highlight w:val="none"/>
        </w:rPr>
      </w:pPr>
      <w:r>
        <w:rPr>
          <w:rFonts w:hint="eastAsia" w:ascii="宋体" w:hAnsi="宋体" w:eastAsia="宋体" w:cs="Times New Roman"/>
          <w:color w:val="auto"/>
          <w:szCs w:val="21"/>
          <w:highlight w:val="none"/>
        </w:rPr>
        <w:t xml:space="preserve">本合同执行中相关的一切税费均由乙方负担。</w:t>
      </w:r>
      <w:r/>
    </w:p>
    <w:p>
      <w:pPr>
        <w:ind w:firstLine="422"/>
        <w:jc w:val="left"/>
        <w:spacing w:line="460" w:lineRule="exact"/>
        <w:rPr>
          <w:rFonts w:ascii="宋体" w:hAnsi="宋体" w:eastAsia="宋体" w:cs="Times New Roman"/>
          <w:color w:val="auto"/>
          <w:szCs w:val="21"/>
          <w:highlight w:val="none"/>
        </w:rPr>
      </w:pPr>
      <w:r>
        <w:rPr>
          <w:rFonts w:ascii="宋体" w:hAnsi="宋体" w:eastAsia="宋体" w:cs="Times New Roman"/>
          <w:b/>
          <w:color w:val="auto"/>
          <w:szCs w:val="21"/>
          <w:highlight w:val="none"/>
        </w:rPr>
        <w:t xml:space="preserve">十</w:t>
      </w:r>
      <w:r>
        <w:rPr>
          <w:rFonts w:hint="eastAsia" w:ascii="宋体" w:hAnsi="宋体" w:eastAsia="宋体" w:cs="Times New Roman"/>
          <w:b/>
          <w:color w:val="auto"/>
          <w:szCs w:val="21"/>
          <w:highlight w:val="none"/>
        </w:rPr>
        <w:t xml:space="preserve">二</w:t>
      </w:r>
      <w:r>
        <w:rPr>
          <w:rFonts w:ascii="宋体" w:hAnsi="宋体" w:eastAsia="宋体" w:cs="Times New Roman"/>
          <w:b/>
          <w:color w:val="auto"/>
          <w:szCs w:val="21"/>
          <w:highlight w:val="none"/>
        </w:rPr>
        <w:t xml:space="preserve">、质量保证及售后服务</w:t>
      </w:r>
      <w:r/>
    </w:p>
    <w:p>
      <w:pPr>
        <w:ind w:firstLine="420"/>
        <w:jc w:val="left"/>
        <w:spacing w:line="4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乙方应按招标文件规定和</w:t>
      </w:r>
      <w:r>
        <w:rPr>
          <w:rFonts w:hint="eastAsia" w:ascii="宋体" w:hAnsi="宋体" w:eastAsia="宋体" w:cs="Times New Roman"/>
          <w:color w:val="auto"/>
          <w:szCs w:val="21"/>
          <w:highlight w:val="none"/>
        </w:rPr>
        <w:t xml:space="preserve">投标文件</w:t>
      </w:r>
      <w:r>
        <w:rPr>
          <w:rFonts w:ascii="宋体" w:hAnsi="宋体" w:eastAsia="宋体" w:cs="Times New Roman"/>
          <w:color w:val="auto"/>
          <w:szCs w:val="21"/>
          <w:highlight w:val="none"/>
        </w:rPr>
        <w:t xml:space="preserve">承诺的</w:t>
      </w:r>
      <w:r>
        <w:rPr>
          <w:rFonts w:hint="eastAsia" w:ascii="宋体" w:hAnsi="宋体" w:eastAsia="宋体" w:cs="Times New Roman"/>
          <w:color w:val="auto"/>
          <w:szCs w:val="21"/>
          <w:highlight w:val="none"/>
        </w:rPr>
        <w:t xml:space="preserve">服务</w:t>
      </w:r>
      <w:r>
        <w:rPr>
          <w:rFonts w:ascii="宋体" w:hAnsi="宋体" w:eastAsia="宋体" w:cs="Times New Roman"/>
          <w:color w:val="auto"/>
          <w:szCs w:val="21"/>
          <w:highlight w:val="none"/>
        </w:rPr>
        <w:t xml:space="preserve">要求、标准向甲方提供服务。</w:t>
      </w:r>
      <w:r/>
    </w:p>
    <w:p>
      <w:pPr>
        <w:ind w:firstLine="420"/>
        <w:jc w:val="left"/>
        <w:spacing w:line="4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乙方提供的服务在</w:t>
      </w:r>
      <w:r>
        <w:rPr>
          <w:rFonts w:hint="eastAsia" w:ascii="宋体" w:hAnsi="宋体" w:eastAsia="宋体" w:cs="Times New Roman"/>
          <w:color w:val="auto"/>
          <w:szCs w:val="21"/>
          <w:highlight w:val="none"/>
        </w:rPr>
        <w:t xml:space="preserve">服务</w:t>
      </w:r>
      <w:r>
        <w:rPr>
          <w:rFonts w:ascii="宋体" w:hAnsi="宋体" w:eastAsia="宋体" w:cs="Times New Roman"/>
          <w:color w:val="auto"/>
          <w:szCs w:val="21"/>
          <w:highlight w:val="none"/>
        </w:rPr>
        <w:t xml:space="preserve">期内因其本身出现</w:t>
      </w:r>
      <w:r>
        <w:rPr>
          <w:rFonts w:hint="eastAsia" w:ascii="宋体" w:hAnsi="宋体" w:eastAsia="宋体" w:cs="Times New Roman"/>
          <w:color w:val="auto"/>
          <w:szCs w:val="21"/>
          <w:highlight w:val="none"/>
        </w:rPr>
        <w:t xml:space="preserve">服务质量未达标等</w:t>
      </w:r>
      <w:r>
        <w:rPr>
          <w:rFonts w:ascii="宋体" w:hAnsi="宋体" w:eastAsia="宋体" w:cs="Times New Roman"/>
          <w:color w:val="auto"/>
          <w:szCs w:val="21"/>
          <w:highlight w:val="none"/>
        </w:rPr>
        <w:t xml:space="preserve">问题，根据实际情况，经双方协商，可按以下办法处理：</w:t>
      </w:r>
      <w:r/>
    </w:p>
    <w:p>
      <w:pPr>
        <w:ind w:firstLine="420"/>
        <w:jc w:val="left"/>
        <w:spacing w:line="4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整改</w:t>
      </w:r>
      <w:r>
        <w:rPr>
          <w:rFonts w:ascii="宋体" w:hAnsi="宋体" w:eastAsia="宋体" w:cs="Times New Roman"/>
          <w:color w:val="auto"/>
          <w:szCs w:val="21"/>
          <w:highlight w:val="none"/>
        </w:rPr>
        <w:t xml:space="preserve">：由乙方</w:t>
      </w:r>
      <w:r>
        <w:rPr>
          <w:rFonts w:hint="eastAsia" w:ascii="宋体" w:hAnsi="宋体" w:eastAsia="宋体" w:cs="Times New Roman"/>
          <w:color w:val="auto"/>
          <w:szCs w:val="21"/>
          <w:highlight w:val="none"/>
        </w:rPr>
        <w:t xml:space="preserve">限期内整改达标</w:t>
      </w:r>
      <w:r>
        <w:rPr>
          <w:rFonts w:ascii="宋体" w:hAnsi="宋体" w:eastAsia="宋体" w:cs="Times New Roman"/>
          <w:color w:val="auto"/>
          <w:szCs w:val="21"/>
          <w:highlight w:val="none"/>
        </w:rPr>
        <w:t xml:space="preserve">。</w:t>
      </w:r>
      <w:r/>
    </w:p>
    <w:p>
      <w:pPr>
        <w:ind w:firstLine="420"/>
        <w:jc w:val="left"/>
        <w:spacing w:line="4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（2）合同终止处理：合同终止，并退还甲方支付的合同款，同时应承担由此产生的所有费用，甲方不承担发生任何费用。</w:t>
      </w:r>
      <w:r/>
    </w:p>
    <w:p>
      <w:pPr>
        <w:ind w:firstLine="420"/>
        <w:jc w:val="left"/>
        <w:spacing w:line="4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 </w:t>
      </w:r>
      <w:r>
        <w:rPr>
          <w:rFonts w:ascii="宋体" w:hAnsi="宋体" w:eastAsia="宋体" w:cs="Times New Roman"/>
          <w:color w:val="auto"/>
          <w:szCs w:val="21"/>
          <w:highlight w:val="none"/>
        </w:rPr>
        <w:t xml:space="preserve">在</w:t>
      </w:r>
      <w:r>
        <w:rPr>
          <w:rFonts w:hint="eastAsia" w:ascii="宋体" w:hAnsi="宋体" w:eastAsia="宋体" w:cs="Times New Roman"/>
          <w:color w:val="auto"/>
          <w:szCs w:val="21"/>
          <w:highlight w:val="none"/>
        </w:rPr>
        <w:t xml:space="preserve">服务</w:t>
      </w:r>
      <w:r>
        <w:rPr>
          <w:rFonts w:ascii="宋体" w:hAnsi="宋体" w:eastAsia="宋体" w:cs="Times New Roman"/>
          <w:color w:val="auto"/>
          <w:szCs w:val="21"/>
          <w:highlight w:val="none"/>
        </w:rPr>
        <w:t xml:space="preserve">期内，乙方应对服务出现的质量及安全问题负责处理解决并承担一切费用。</w:t>
      </w:r>
      <w:r/>
    </w:p>
    <w:p>
      <w:pPr>
        <w:ind w:firstLine="422"/>
        <w:jc w:val="left"/>
        <w:spacing w:line="460" w:lineRule="exact"/>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十</w:t>
      </w:r>
      <w:r>
        <w:rPr>
          <w:rFonts w:hint="eastAsia" w:ascii="宋体" w:hAnsi="宋体" w:eastAsia="宋体" w:cs="Times New Roman"/>
          <w:b/>
          <w:color w:val="auto"/>
          <w:szCs w:val="21"/>
          <w:highlight w:val="none"/>
        </w:rPr>
        <w:t xml:space="preserve">三</w:t>
      </w:r>
      <w:r>
        <w:rPr>
          <w:rFonts w:ascii="宋体" w:hAnsi="宋体" w:eastAsia="宋体" w:cs="Times New Roman"/>
          <w:b/>
          <w:color w:val="auto"/>
          <w:szCs w:val="21"/>
          <w:highlight w:val="none"/>
        </w:rPr>
        <w:t xml:space="preserve">、验收</w:t>
      </w:r>
      <w:r/>
    </w:p>
    <w:p>
      <w:pPr>
        <w:ind w:firstLine="420"/>
        <w:jc w:val="left"/>
        <w:spacing w:line="4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甲方对乙方提交的服务依据招标文件上的项目需求要求、乙方</w:t>
      </w:r>
      <w:r>
        <w:rPr>
          <w:rFonts w:hint="eastAsia" w:ascii="宋体" w:hAnsi="宋体" w:eastAsia="宋体" w:cs="Times New Roman"/>
          <w:color w:val="auto"/>
          <w:szCs w:val="21"/>
          <w:highlight w:val="none"/>
        </w:rPr>
        <w:t xml:space="preserve">投标文件</w:t>
      </w:r>
      <w:r>
        <w:rPr>
          <w:rFonts w:ascii="宋体" w:hAnsi="宋体" w:eastAsia="宋体" w:cs="Times New Roman"/>
          <w:color w:val="auto"/>
          <w:szCs w:val="21"/>
          <w:highlight w:val="none"/>
        </w:rPr>
        <w:t xml:space="preserve">进行</w:t>
      </w:r>
      <w:r>
        <w:rPr>
          <w:rFonts w:hint="eastAsia" w:ascii="宋体" w:hAnsi="宋体" w:eastAsia="宋体" w:cs="Times New Roman"/>
          <w:color w:val="auto"/>
          <w:szCs w:val="21"/>
          <w:highlight w:val="none"/>
        </w:rPr>
        <w:t xml:space="preserve">考核（</w:t>
      </w:r>
      <w:r>
        <w:rPr>
          <w:rFonts w:ascii="宋体" w:hAnsi="宋体" w:eastAsia="宋体" w:cs="Times New Roman"/>
          <w:color w:val="auto"/>
          <w:szCs w:val="21"/>
          <w:highlight w:val="none"/>
        </w:rPr>
        <w:t xml:space="preserve">验收</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w:t>
      </w:r>
      <w:r/>
    </w:p>
    <w:p>
      <w:pPr>
        <w:ind w:firstLine="422"/>
        <w:jc w:val="left"/>
        <w:spacing w:line="460" w:lineRule="exact"/>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十</w:t>
      </w:r>
      <w:r>
        <w:rPr>
          <w:rFonts w:hint="eastAsia" w:ascii="宋体" w:hAnsi="宋体" w:eastAsia="宋体" w:cs="Times New Roman"/>
          <w:b/>
          <w:color w:val="auto"/>
          <w:szCs w:val="21"/>
          <w:highlight w:val="none"/>
        </w:rPr>
        <w:t xml:space="preserve">四</w:t>
      </w:r>
      <w:r>
        <w:rPr>
          <w:rFonts w:ascii="宋体" w:hAnsi="宋体" w:eastAsia="宋体" w:cs="Times New Roman"/>
          <w:b/>
          <w:color w:val="auto"/>
          <w:szCs w:val="21"/>
          <w:highlight w:val="none"/>
        </w:rPr>
        <w:t xml:space="preserve">、合同内容的交付</w:t>
      </w:r>
      <w:r/>
    </w:p>
    <w:p>
      <w:pPr>
        <w:ind w:firstLine="420"/>
        <w:jc w:val="left"/>
        <w:spacing w:line="4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1.乙方应按与甲方合同及投标文件的相关要求、标准完成居家养老上门服务。</w:t>
      </w:r>
      <w:r/>
    </w:p>
    <w:p>
      <w:pPr>
        <w:ind w:firstLine="420"/>
        <w:jc w:val="left"/>
        <w:spacing w:line="4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2.乙方应将项目服务内容向服务对象介绍清楚，并按服务对象选定的项目提供服务。</w:t>
      </w:r>
      <w:r/>
    </w:p>
    <w:p>
      <w:pPr>
        <w:ind w:firstLine="420"/>
        <w:jc w:val="left"/>
        <w:spacing w:line="4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3乙方要及时、准确地记录服务信息，包括但不限于服务内容、 服务次数、服务时间、服务项目及服务对象对服务质量的反馈和确认等内容，以便甲方了解服务进度及服务情况。</w:t>
      </w:r>
      <w:r/>
    </w:p>
    <w:p>
      <w:pPr>
        <w:ind w:firstLine="422"/>
        <w:spacing w:line="46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十五、违约责任</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1.甲方无正当理由拒收的，甲方向乙方偿付拒收服务款项总值的5%违约金。</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2.甲方无故逾期考核（验收）和办理合同款支付手续的，甲方应按逾期付款总额每日万分之五向乙方支付违约金。</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乙方在合同期内无法达到服务标准，对服务对象有谩骂虐待行为、虚报服务记录、套用（套取）服务资金或服务内容与实际需求不符，乙方须向甲方支付本年度已结算服务金额5%的违约金并返还已结算服务金额，相关法律后果由乙方自行承担。</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乙方逾期交付合同标的的，乙方应按逾期交付服务款项总额每日万分之五向甲方支付违约金，由甲方从待付会同款中扣除。逾期超过约定日期10个工作日不能交付的，甲方可解除本合同。乙方因逾期交付或因其他违约行为导致甲方解除合同的，乙方应向甲方支付合同总值5%的违约金，如造成甲 方损失超过违约金的，超出部分由乙方继续承担赔偿责任。</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乙方所提供服务不符合项目需求要求、乙方投标文件承诺的，甲方有权拒收，乙方愿意整改但逾期交付的，按乙方逾期交付处理。乙方拒绝整改的，甲方可单方面解除合同，并由乙方赔偿由此造成的甲方全部损失。</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6.其它违约责任按《中华人民共和国民法典》处理。</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十六、不可抗力事件处理</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1.在合同有效期内，任何一方因不可抗力事件导致不能履行合同，则合同履行期延长，其延长期与不可抗力影响期相同。</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2.不可抗力事件发生后，应文中通知对方，并寄送有关权威机构出具的证明。</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3不可抗力事件延续120天以上，双方应通过友好协商，确定是否继续履行合同。</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十七、争议解决</w:t>
      </w:r>
      <w:r/>
    </w:p>
    <w:p>
      <w:pPr>
        <w:ind w:firstLine="420"/>
        <w:spacing w:line="460" w:lineRule="exact"/>
        <w:rPr>
          <w:rFonts w:hint="eastAsia" w:ascii="Times New Roman" w:hAnsi="Times New Roman" w:eastAsia="宋体" w:cs="Times New Roman"/>
          <w:color w:val="auto"/>
          <w:szCs w:val="21"/>
          <w:highlight w:val="none"/>
        </w:rPr>
      </w:pPr>
      <w:r>
        <w:rPr>
          <w:rFonts w:hint="eastAsia" w:ascii="宋体" w:hAnsi="宋体" w:eastAsia="宋体" w:cs="宋体"/>
          <w:bCs/>
          <w:color w:val="auto"/>
          <w:szCs w:val="21"/>
          <w:highlight w:val="none"/>
        </w:rPr>
        <w:t xml:space="preserve">因本合同产生的纠纷，双方友好协商，协商不成，可向甲方所在地人民法院提起诉讼。</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十八、未尽事宜</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本合同未尽事宜由双方另行协商解决，商定的内容以补充协议形式确定，经双方签字盖章后与本合同具有同等效力。</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十九、合同效力</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本合同一式五份，具有同等法律效力，甲方执二份，乙方执二份，并报一份至有关部门备案。</w:t>
      </w:r>
      <w:r/>
    </w:p>
    <w:p>
      <w:pPr>
        <w:ind w:firstLine="422"/>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二十、生效日期</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本合同自签署之日起生效。</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20"/>
        <w:tblW w:w="8840" w:type="dxa"/>
        <w:tblInd w:w="0" w:type="dxa"/>
        <w:tblLayout w:type="fixed"/>
        <w:tblCellMar>
          <w:left w:w="108" w:type="dxa"/>
          <w:top w:w="0" w:type="dxa"/>
          <w:right w:w="108" w:type="dxa"/>
          <w:bottom w:w="0" w:type="dxa"/>
        </w:tblCellMar>
        <w:tblLook w:val="04A0" w:firstRow="1" w:lastRow="0" w:firstColumn="1" w:lastColumn="0" w:noHBand="0" w:noVBand="1"/>
      </w:tblPr>
      <w:tblGrid>
        <w:gridCol w:w="4420"/>
        <w:gridCol w:w="4420"/>
      </w:tblGrid>
      <w:tr>
        <w:trPr>
          <w:trHeight w:val="90"/>
        </w:trPr>
        <w:tc>
          <w:tcPr>
            <w:tcW w:w="4420" w:type="dxa"/>
            <w:vAlign w:val="top"/>
            <w:textDirection w:val="lrTb"/>
            <w:noWrap w:val="false"/>
          </w:tcPr>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rPr>
              <w:tab/>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left"/>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p>
          <w:p>
            <w:pPr>
              <w:ind w:firstLine="420"/>
              <w:jc w:val="left"/>
              <w:spacing w:line="365"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p>
          <w:p>
            <w:pPr>
              <w:ind w:firstLine="420"/>
              <w:jc w:val="left"/>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20" w:type="dxa"/>
            <w:vAlign w:val="top"/>
            <w:textDirection w:val="lrTb"/>
            <w:noWrap w:val="false"/>
          </w:tcPr>
          <w:p>
            <w:pPr>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p>
          <w:p>
            <w:pPr>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地址：                    </w:t>
            </w:r>
            <w:r>
              <w:rPr>
                <w:rFonts w:hint="eastAsia" w:ascii="宋体" w:hAnsi="宋体" w:eastAsia="宋体" w:cs="宋体"/>
                <w:color w:val="auto"/>
                <w:szCs w:val="21"/>
                <w:highlight w:val="none"/>
              </w:rPr>
              <w:tab/>
            </w:r>
            <w:r/>
          </w:p>
          <w:p>
            <w:pPr>
              <w:jc w:val="left"/>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rPr>
                <w:rFonts w:hint="eastAsia" w:ascii="宋体" w:hAnsi="宋体" w:eastAsia="宋体" w:cs="宋体"/>
                <w:color w:val="auto"/>
                <w:szCs w:val="21"/>
                <w:highlight w:val="none"/>
              </w:rPr>
              <w:tab/>
            </w:r>
            <w:r/>
          </w:p>
          <w:p>
            <w:pPr>
              <w:ind w:firstLine="420"/>
              <w:jc w:val="left"/>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w:t>
            </w:r>
            <w:r/>
          </w:p>
          <w:p>
            <w:pPr>
              <w:ind w:firstLine="420"/>
              <w:jc w:val="left"/>
              <w:spacing w:line="365"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p>
        </w:tc>
      </w:tr>
      <w:tr>
        <w:trPr>
          <w:trHeight w:val="90"/>
        </w:trPr>
        <w:tc>
          <w:tcPr>
            <w:tcW w:w="4420" w:type="dxa"/>
            <w:vAlign w:val="top"/>
            <w:textDirection w:val="lrTb"/>
            <w:noWrap w:val="false"/>
          </w:tcPr>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签订地点：灌云县</w:t>
            </w:r>
            <w:r/>
          </w:p>
        </w:tc>
        <w:tc>
          <w:tcPr>
            <w:tcW w:w="4420" w:type="dxa"/>
            <w:vAlign w:val="top"/>
            <w:textDirection w:val="lrTb"/>
            <w:noWrap w:val="false"/>
          </w:tcPr>
          <w:p>
            <w:pPr>
              <w:ind w:firstLine="420"/>
              <w:spacing w:line="36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tc>
      </w:tr>
    </w:tbl>
    <w:p>
      <w:pPr>
        <w:ind w:left="0" w:right="0" w:firstLine="464"/>
        <w:jc w:val="both"/>
        <w:keepNext w:val="0"/>
        <w:pageBreakBefore w:val="0"/>
        <w:spacing w:line="360" w:lineRule="auto"/>
        <w:widowControl w:val="off"/>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r>
      <w:r/>
    </w:p>
    <w:p>
      <w:pPr>
        <w:ind w:left="0" w:right="0" w:firstLine="464"/>
        <w:jc w:val="both"/>
        <w:keepNext w:val="0"/>
        <w:pageBreakBefore w:val="0"/>
        <w:spacing w:line="360" w:lineRule="auto"/>
        <w:widowControl w:val="off"/>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r>
      <w:r/>
    </w:p>
    <w:p>
      <w:pPr>
        <w:ind w:left="0" w:right="0" w:firstLine="482"/>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本合同格式条款仅供参考，具体根据双方协调后签订的合同为准。</w:t>
      </w:r>
      <w:r/>
    </w:p>
    <w:p>
      <w:pPr>
        <w:ind w:left="0" w:right="0" w:firstLine="480"/>
        <w:jc w:val="left"/>
        <w:keepNext w:val="0"/>
        <w:pageBreakBefore w:val="0"/>
        <w:spacing w:line="360" w:lineRule="auto"/>
        <w:widowControl w:val="off"/>
        <w:rPr>
          <w:color w:val="auto"/>
          <w:sz w:val="24"/>
          <w:szCs w:val="24"/>
          <w:highlight w:val="none"/>
        </w:rPr>
      </w:pPr>
      <w:r>
        <w:rPr>
          <w:color w:val="auto"/>
          <w:sz w:val="24"/>
          <w:szCs w:val="24"/>
          <w:highlight w:val="none"/>
        </w:rPr>
        <w:br w:type="page" w:clear="all"/>
      </w:r>
      <w:r/>
    </w:p>
    <w:p>
      <w:pPr>
        <w:pStyle w:val="916"/>
        <w:ind w:left="0" w:right="0" w:firstLine="880"/>
        <w:jc w:val="center"/>
        <w:keepNext w:val="0"/>
        <w:pageBreakBefore w:val="0"/>
        <w:spacing w:before="0" w:after="0" w:line="360" w:lineRule="auto"/>
        <w:widowControl w:val="off"/>
        <w:rPr>
          <w:rFonts w:hint="eastAsia" w:ascii="黑体" w:hAnsi="黑体" w:eastAsia="黑体"/>
          <w:b w:val="0"/>
          <w:color w:val="auto"/>
          <w:highlight w:val="none"/>
        </w:rPr>
      </w:pPr>
      <w:r/>
      <w:bookmarkStart w:id="17" w:name="_Toc20627"/>
      <w:r/>
      <w:bookmarkStart w:id="18" w:name="_Toc155796359"/>
      <w:r>
        <w:rPr>
          <w:rFonts w:hint="eastAsia" w:ascii="黑体" w:hAnsi="黑体" w:eastAsia="黑体"/>
          <w:b w:val="0"/>
          <w:color w:val="auto"/>
          <w:highlight w:val="none"/>
        </w:rPr>
        <w:t xml:space="preserve">第四章  采购需求</w:t>
      </w:r>
      <w:bookmarkEnd w:id="17"/>
      <w:r/>
      <w:bookmarkEnd w:id="18"/>
      <w:r/>
      <w:r/>
    </w:p>
    <w:p>
      <w:pPr>
        <w:ind w:left="0" w:right="0" w:firstLine="480"/>
        <w:jc w:val="left"/>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说明：本项目属性为</w:t>
      </w:r>
      <w:r>
        <w:rPr>
          <w:rFonts w:hint="eastAsia"/>
          <w:b/>
          <w:color w:val="auto"/>
          <w:sz w:val="24"/>
          <w:szCs w:val="24"/>
          <w:highlight w:val="none"/>
        </w:rPr>
        <w:t xml:space="preserve">服务</w:t>
      </w:r>
      <w:r>
        <w:rPr>
          <w:rFonts w:hint="eastAsia"/>
          <w:color w:val="auto"/>
          <w:sz w:val="24"/>
          <w:szCs w:val="24"/>
          <w:highlight w:val="none"/>
        </w:rPr>
        <w:t xml:space="preserve">，采购标的对应的中小企业划分标准所属行业为：</w:t>
      </w:r>
      <w:r>
        <w:rPr>
          <w:rFonts w:hint="eastAsia"/>
          <w:color w:val="auto"/>
          <w:sz w:val="24"/>
          <w:szCs w:val="24"/>
          <w:highlight w:val="none"/>
          <w:u w:val="single"/>
        </w:rPr>
        <w:t xml:space="preserve">其他未列明行业。</w:t>
      </w:r>
      <w:r/>
    </w:p>
    <w:p>
      <w:pPr>
        <w:ind w:firstLine="482"/>
        <w:spacing w:line="360" w:lineRule="auto"/>
        <w:rPr>
          <w:rFonts w:ascii="宋体" w:hAnsi="宋体" w:eastAsia="宋体" w:cs="宋体"/>
          <w:b/>
          <w:color w:val="auto"/>
          <w:sz w:val="24"/>
          <w:szCs w:val="24"/>
          <w:highlight w:val="none"/>
        </w:rPr>
        <w:outlineLvl w:val="2"/>
      </w:pPr>
      <w:r/>
      <w:bookmarkStart w:id="19" w:name="_Toc155796360"/>
      <w:r>
        <w:rPr>
          <w:rFonts w:hint="eastAsia" w:ascii="宋体" w:hAnsi="宋体" w:eastAsia="宋体" w:cs="宋体"/>
          <w:b/>
          <w:color w:val="auto"/>
          <w:sz w:val="24"/>
          <w:szCs w:val="24"/>
          <w:highlight w:val="none"/>
        </w:rPr>
        <w:t xml:space="preserve">一、采购项目概述</w:t>
      </w:r>
      <w:r/>
    </w:p>
    <w:p>
      <w:pPr>
        <w:ind w:firstLine="480"/>
        <w:spacing w:line="360" w:lineRule="auto"/>
        <w:rPr>
          <w:rFonts w:ascii="宋体" w:hAnsi="宋体" w:eastAsia="宋体" w:cs="宋体"/>
          <w:color w:val="auto"/>
          <w:sz w:val="24"/>
          <w:szCs w:val="24"/>
          <w:highlight w:val="none"/>
        </w:rPr>
      </w:pPr>
      <w:r/>
      <w:bookmarkStart w:id="20" w:name="_Toc26372"/>
      <w:r>
        <w:rPr>
          <w:rFonts w:hint="eastAsia"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lang w:eastAsia="zh-CN"/>
        </w:rPr>
        <w:t xml:space="preserve">灌云县民政局2025年政府购买居家养老上门服务项目(专门面向中小微企业)</w:t>
      </w:r>
      <w:r>
        <w:rPr>
          <w:rFonts w:hint="eastAsia" w:ascii="宋体" w:hAnsi="宋体" w:eastAsia="宋体" w:cs="宋体"/>
          <w:color w:val="auto"/>
          <w:sz w:val="24"/>
          <w:szCs w:val="24"/>
          <w:highlight w:val="none"/>
        </w:rPr>
        <w:t xml:space="preserve">。投标人配备养老服务队伍，为灌云县老年人提供多层次养老服务。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实现居家养老服务体系规范化、养老服务管理信息化、养老资源分配最优化，通过总体规划、分步实施的方式，逐级建立涵盖居家、社区为一体的养老服务新模式，充分利用社区公共服务信息、社会公共服务信息、社会化服务网点信息以及第三方企业服务信息，实施“</w:t>
      </w:r>
      <w:r>
        <w:rPr>
          <w:rFonts w:hint="eastAsia" w:ascii="宋体" w:hAnsi="宋体" w:eastAsia="宋体" w:cs="Times New Roman"/>
          <w:color w:val="auto"/>
          <w:sz w:val="24"/>
          <w:szCs w:val="24"/>
          <w:highlight w:val="none"/>
          <w:lang w:bidi="zh-TW"/>
        </w:rPr>
        <w:t xml:space="preserve">灌云县</w:t>
      </w:r>
      <w:r>
        <w:rPr>
          <w:rFonts w:hint="eastAsia" w:ascii="宋体" w:hAnsi="宋体" w:eastAsia="宋体" w:cs="Times New Roman"/>
          <w:color w:val="auto"/>
          <w:sz w:val="24"/>
          <w:szCs w:val="24"/>
          <w:highlight w:val="none"/>
          <w:lang w:val="zh-TW" w:eastAsia="zh-TW" w:bidi="zh-TW"/>
        </w:rPr>
        <w:t xml:space="preserve">民政局购买居家养老服务项目</w:t>
      </w:r>
      <w:r>
        <w:rPr>
          <w:rFonts w:hint="eastAsia" w:ascii="宋体" w:hAnsi="宋体" w:eastAsia="宋体" w:cs="宋体"/>
          <w:color w:val="auto"/>
          <w:sz w:val="24"/>
          <w:szCs w:val="24"/>
          <w:highlight w:val="none"/>
        </w:rPr>
        <w:t xml:space="preserve">”，为老年人提供全方位、多层次、多元化的养老服务。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本项目为户籍在灌云县的常住老人提供居家养老服务。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项目总预算金额为：</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万元，其中A类服务单价不得超出100元/月/人；B类服务单价不得超出</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元/月/人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C类服务单价不得超出30元/月/人。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采购包1：最高限价为206.04</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w:t>
      </w:r>
      <w:r>
        <w:rPr>
          <w:rFonts w:hint="eastAsia" w:ascii="宋体" w:hAnsi="宋体" w:eastAsia="宋体" w:cs="宋体"/>
          <w:color w:val="auto"/>
          <w:sz w:val="24"/>
          <w:szCs w:val="24"/>
          <w:highlight w:val="none"/>
          <w:lang w:val="en-US" w:eastAsia="zh-CN"/>
        </w:rPr>
        <w:t xml:space="preserve">最高限价为210.324</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采购包3：</w:t>
      </w:r>
      <w:r>
        <w:rPr>
          <w:rFonts w:hint="eastAsia" w:ascii="宋体" w:hAnsi="宋体" w:eastAsia="宋体" w:cs="宋体"/>
          <w:color w:val="auto"/>
          <w:sz w:val="24"/>
          <w:szCs w:val="24"/>
          <w:highlight w:val="none"/>
          <w:lang w:val="en-US" w:eastAsia="zh-CN"/>
        </w:rPr>
        <w:t xml:space="preserve">最高限价为178.488</w:t>
      </w:r>
      <w:r>
        <w:rPr>
          <w:rFonts w:hint="eastAsia" w:ascii="宋体" w:hAnsi="宋体" w:eastAsia="宋体" w:cs="宋体"/>
          <w:color w:val="auto"/>
          <w:sz w:val="24"/>
          <w:szCs w:val="24"/>
          <w:highlight w:val="none"/>
        </w:rPr>
        <w:t xml:space="preserve">万元。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合同履约期限</w:t>
      </w:r>
      <w:r>
        <w:rPr>
          <w:rFonts w:hint="eastAsia" w:ascii="宋体" w:hAnsi="宋体" w:eastAsia="宋体" w:cs="宋体"/>
          <w:color w:val="auto"/>
          <w:sz w:val="24"/>
          <w:szCs w:val="24"/>
          <w:highlight w:val="none"/>
        </w:rPr>
        <w:t xml:space="preserve">：自合同签订之日起一年；每年服务期满，采购人根据考核情况决定继续履行合同或终止合同，续签合同金额不变，服务期最多3年。</w:t>
      </w:r>
      <w:bookmarkEnd w:id="20"/>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二、采购项目内容</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（一）服务对象</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为户籍在灌云县的常住老人提供居家养老服务，具体服务对象有：</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A类：当地低保对象中60周岁及以上的重度失能、完全失能的老年</w:t>
      </w:r>
      <w:r>
        <w:rPr>
          <w:rFonts w:hint="eastAsia" w:ascii="宋体" w:hAnsi="宋体" w:eastAsia="宋体" w:cs="宋体"/>
          <w:strike w:val="0"/>
          <w:color w:val="auto"/>
          <w:sz w:val="24"/>
          <w:szCs w:val="24"/>
          <w:highlight w:val="none"/>
        </w:rPr>
        <w:t xml:space="preserve">人；</w:t>
      </w:r>
      <w:r/>
    </w:p>
    <w:p>
      <w:pPr>
        <w:ind w:firstLine="48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B类：对当地低保对象和分散供养特困人员中80周岁及以上的高龄老年人</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C类：高龄（80周岁及以上）常住老年人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的服务地点及人数如下，最终以采购人通知的为准：</w:t>
      </w:r>
      <w:r/>
    </w:p>
    <w:tbl>
      <w:tblPr>
        <w:tblStyle w:val="920"/>
        <w:tblW w:w="8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1440"/>
        <w:gridCol w:w="1440"/>
        <w:gridCol w:w="1440"/>
        <w:gridCol w:w="1440"/>
        <w:gridCol w:w="1440"/>
      </w:tblGrid>
      <w:tr>
        <w:trPr>
          <w:jc w:val="center"/>
          <w:trHeight w:val="4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户籍街道</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合计(人)</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南岗镇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2584</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杨集镇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2506</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东王集镇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1316</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侍庄街道</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1026</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1154</w:t>
            </w:r>
            <w:r/>
          </w:p>
        </w:tc>
      </w:tr>
      <w:tr>
        <w:trPr>
          <w:jc w:val="center"/>
          <w:trHeight w:val="400"/>
        </w:trPr>
        <w:tc>
          <w:tcPr>
            <w:tcBorders>
              <w:top w:val="single" w:color="000000" w:sz="4" w:space="0"/>
              <w:left w:val="single" w:color="000000" w:sz="4" w:space="0"/>
              <w:bottom w:val="single" w:color="000000" w:sz="4" w:space="0"/>
              <w:right w:val="single" w:color="auto"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汇总</w:t>
            </w:r>
            <w:r/>
          </w:p>
        </w:tc>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1005</w:t>
            </w:r>
            <w:r/>
          </w:p>
        </w:tc>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113</w:t>
            </w:r>
            <w:r/>
          </w:p>
        </w:tc>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6442</w:t>
            </w:r>
            <w:r/>
          </w:p>
        </w:tc>
        <w:tc>
          <w:tcPr>
            <w:tcBorders>
              <w:top w:val="single" w:color="auto" w:sz="4" w:space="0"/>
              <w:left w:val="single" w:color="000000" w:sz="4" w:space="0"/>
              <w:bottom w:val="single" w:color="auto" w:sz="4" w:space="0"/>
              <w:right w:val="single" w:color="auto"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7560</w:t>
            </w:r>
            <w:r/>
          </w:p>
        </w:tc>
      </w:tr>
    </w:tbl>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20"/>
        <w:tblW w:w="8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40"/>
        <w:gridCol w:w="1440"/>
        <w:gridCol w:w="1440"/>
        <w:gridCol w:w="1440"/>
        <w:gridCol w:w="1440"/>
      </w:tblGrid>
      <w:tr>
        <w:trPr>
          <w:jc w:val="center"/>
          <w:trHeight w:val="4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户籍街道</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合计(人)</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采购包2</w:t>
            </w:r>
            <w:r/>
          </w:p>
        </w:tc>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龙苴镇</w:t>
            </w:r>
            <w:r/>
          </w:p>
        </w:tc>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296</w:t>
            </w:r>
            <w:r/>
          </w:p>
        </w:tc>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2192</w:t>
            </w:r>
            <w:r/>
          </w:p>
        </w:tc>
        <w:tc>
          <w:tcPr>
            <w:tcBorders>
              <w:top w:val="non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2489</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伊山镇</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3627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3811</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下车镇</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2147</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小伊镇</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1593</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1760</w:t>
            </w:r>
            <w:r/>
          </w:p>
        </w:tc>
      </w:tr>
      <w:tr>
        <w:trPr>
          <w:jc w:val="center"/>
          <w:trHeight w:val="400"/>
        </w:trPr>
        <w:tc>
          <w:tcPr>
            <w:tcBorders>
              <w:top w:val="none" w:color="000000" w:sz="4" w:space="0"/>
              <w:left w:val="single" w:color="000000" w:sz="4" w:space="0"/>
              <w:bottom w:val="single" w:color="000000" w:sz="4" w:space="0"/>
              <w:right w:val="single" w:color="auto" w:sz="4" w:space="0"/>
            </w:tcBorders>
            <w:tcW w:w="1080" w:type="dxa"/>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汇总</w:t>
            </w:r>
            <w:r/>
          </w:p>
        </w:tc>
        <w:tc>
          <w:tcPr>
            <w:tcBorders>
              <w:top w:val="single" w:color="auto"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810</w:t>
            </w:r>
            <w:r/>
          </w:p>
        </w:tc>
        <w:tc>
          <w:tcPr>
            <w:tcBorders>
              <w:top w:val="single" w:color="auto"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w:t>
            </w:r>
            <w:r/>
          </w:p>
        </w:tc>
        <w:tc>
          <w:tcPr>
            <w:tcBorders>
              <w:top w:val="single" w:color="auto" w:sz="4" w:space="0"/>
              <w:left w:val="single" w:color="000000" w:sz="4" w:space="0"/>
              <w:bottom w:val="single" w:color="auto"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9391</w:t>
            </w:r>
            <w:r/>
          </w:p>
        </w:tc>
        <w:tc>
          <w:tcPr>
            <w:tcBorders>
              <w:top w:val="single" w:color="auto" w:sz="4" w:space="0"/>
              <w:left w:val="single" w:color="000000" w:sz="4" w:space="0"/>
              <w:bottom w:val="single" w:color="auto" w:sz="4" w:space="0"/>
              <w:right w:val="single" w:color="auto"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10207</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20"/>
        <w:tblW w:w="8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1440"/>
        <w:gridCol w:w="1440"/>
        <w:gridCol w:w="1440"/>
        <w:gridCol w:w="1440"/>
        <w:gridCol w:w="1440"/>
      </w:tblGrid>
      <w:tr>
        <w:trPr>
          <w:jc w:val="center"/>
          <w:trHeight w:val="4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户籍街道</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C类（人）</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合计(人)</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采购包3</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四队镇</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1541</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1783</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图河镇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1318</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同兴镇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1941</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圩丰镇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1201</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灌西盐场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252</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燕尾港镇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205</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五图河农场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245</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6060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6945</w:t>
            </w:r>
            <w:r/>
          </w:p>
        </w:tc>
      </w:tr>
    </w:tbl>
    <w:p>
      <w:pPr>
        <w:ind w:firstLine="301"/>
        <w:jc w:val="both"/>
        <w:spacing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本项目3个采购包采取兼投不兼中原则，投标人可参与3个采购包投标，开标、评标的顺序按采购包1-3的顺序进行，中标顺序根据评标顺序确定。投标人同时参与2个及以上采购包投标的，只可被确定为1个采购包的中标人。如投标人在参与的某1包中被确定为中标人，按照评标顺序，后续其他采购包将不再推荐为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对象根据民政部门审批确定的正式名单为准，如中标后采购人提供的名单无法全部核实并提供服务（原因包括：老人不愿接受服务、因搬迁或在子女处生活的原因无法根据名单找到老人、老人已离世名单未更新等），采购人可根据相应政策及实际运营情况对购买服务对象进行增补，增补后的每人服务金额不高于本项目的预算单价。居家养老政府购买服务对象和标准，以及其享受的服务时间，可根据相应政策的调整而做出相应调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（二）服务项目、内容及要求</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1.服务项目：</w:t>
      </w:r>
      <w:r>
        <w:rPr>
          <w:rFonts w:hint="eastAsia" w:ascii="宋体" w:hAnsi="宋体" w:eastAsia="宋体" w:cs="宋体"/>
          <w:color w:val="auto"/>
          <w:sz w:val="24"/>
          <w:szCs w:val="24"/>
          <w:highlight w:val="none"/>
        </w:rPr>
        <w:t xml:space="preserve">居家养老服务项目以满足老人养老服务需求、提升老人生活质量为目标，具体内容包括：生活照料、助餐服务、助浴服务、助洁服务、助洗服务、助行服务、代办服务、康复辅助（保健）、精神慰藉、助医服务、应急（安全）服务以及日间照料（短期托养）服务等。严禁以食物或生活用品代替服务。</w:t>
      </w:r>
      <w:r/>
    </w:p>
    <w:p>
      <w:pPr>
        <w:ind w:firstLine="482"/>
        <w:spacing w:line="360" w:lineRule="auto"/>
        <w:rPr>
          <w:rFonts w:hint="eastAsia" w:ascii="宋体" w:hAnsi="宋体" w:eastAsia="宋体" w:cs="宋体"/>
          <w:b/>
          <w:color w:val="auto"/>
          <w:spacing w:val="-8"/>
          <w:sz w:val="24"/>
          <w:szCs w:val="24"/>
          <w:highlight w:val="none"/>
        </w:rPr>
      </w:pPr>
      <w:r>
        <w:rPr>
          <w:rFonts w:hint="eastAsia" w:ascii="宋体" w:hAnsi="宋体" w:eastAsia="宋体" w:cs="宋体"/>
          <w:b/>
          <w:bCs/>
          <w:color w:val="auto"/>
          <w:sz w:val="24"/>
          <w:szCs w:val="24"/>
          <w:highlight w:val="none"/>
        </w:rPr>
        <w:t xml:space="preserve">2.服务内容、要求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生活照料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2.1.1 卫生照料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协助服务对象刷牙、洗脸、洗脚、洗头、梳头、修剪指（趾）甲、剃胡须。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2.1.1.2 为不能自理的服务对象清洗阴部、便后洁身。</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2.1.1.3 服务对象生活用品的清洗和消毒。</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服务要求：</w:t>
      </w:r>
      <w:r/>
    </w:p>
    <w:p>
      <w:pPr>
        <w:numPr>
          <w:ilvl w:val="0"/>
          <w:numId w:val="2"/>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根据需要协助老年人刷牙、洗脸、洗脚、洗头、梳头、修剪指（趾）甲、剃胡须，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动作适当，老人无不适现象，做到老人容貌整洁、指（趾）甲整洁、无异味。</w:t>
      </w:r>
      <w:r/>
    </w:p>
    <w:p>
      <w:pPr>
        <w:numPr>
          <w:ilvl w:val="0"/>
          <w:numId w:val="2"/>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征询不能自理老年人本人同意后为其清洗阴部，会阴部清洗无异味，便后清洗干净、无异味。</w:t>
      </w:r>
      <w:r/>
    </w:p>
    <w:p>
      <w:pPr>
        <w:numPr>
          <w:ilvl w:val="0"/>
          <w:numId w:val="2"/>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生活用品分类清洗和消毒，清洗消毒后清洁无异味。</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2.1.2 生活起居照料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2.1.2.1为服务对象的居室通风，调节居室温度、湿度、光度。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2.1.2.2为服务对象的居室保洁，整理服务对象衣物、床上用品，打扫室内卫生。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2.1.2.3协助不能自理的服务对象穿脱衣服、如厕、翻身，清理生活垃圾和污秽。</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服务要求：</w:t>
      </w:r>
      <w:r/>
    </w:p>
    <w:p>
      <w:pPr>
        <w:numPr>
          <w:ilvl w:val="0"/>
          <w:numId w:val="3"/>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根据老年人要求和季节变化，调节适宜的居室温度、湿度、光度，保持居家无异味。</w:t>
      </w:r>
      <w:r/>
    </w:p>
    <w:p>
      <w:pPr>
        <w:numPr>
          <w:ilvl w:val="0"/>
          <w:numId w:val="4"/>
        </w:numPr>
        <w:ind w:left="0" w:firstLine="480"/>
        <w:spacing w:line="360" w:lineRule="auto"/>
        <w:rPr>
          <w:rFonts w:hint="eastAsia" w:ascii="宋体" w:hAnsi="宋体" w:eastAsia="宋体" w:cs="宋体"/>
          <w:b/>
          <w:color w:val="auto"/>
          <w:spacing w:val="-8"/>
          <w:sz w:val="24"/>
          <w:szCs w:val="24"/>
          <w:highlight w:val="none"/>
        </w:rPr>
      </w:pPr>
      <w:r>
        <w:rPr>
          <w:rFonts w:hint="eastAsia" w:ascii="宋体" w:hAnsi="宋体" w:eastAsia="宋体" w:cs="宋体"/>
          <w:bCs/>
          <w:color w:val="auto"/>
          <w:sz w:val="24"/>
          <w:szCs w:val="24"/>
          <w:highlight w:val="none"/>
        </w:rPr>
        <w:t xml:space="preserve">定时打扫室内外卫生，做到干净、整洁；根据季节变化和老年人实际服务需求整理服务对象衣物和床上用品，衣物和用品做到分类、分季、干净、平整。</w:t>
      </w:r>
      <w:r/>
    </w:p>
    <w:p>
      <w:pPr>
        <w:numPr>
          <w:ilvl w:val="0"/>
          <w:numId w:val="4"/>
        </w:numPr>
        <w:ind w:left="0" w:firstLine="480"/>
        <w:spacing w:line="360" w:lineRule="auto"/>
        <w:rPr>
          <w:rFonts w:hint="eastAsia" w:ascii="宋体" w:hAnsi="宋体" w:eastAsia="宋体" w:cs="宋体"/>
          <w:b/>
          <w:color w:val="auto"/>
          <w:spacing w:val="-8"/>
          <w:sz w:val="24"/>
          <w:szCs w:val="24"/>
          <w:highlight w:val="none"/>
        </w:rPr>
      </w:pPr>
      <w:r>
        <w:rPr>
          <w:rFonts w:hint="eastAsia" w:ascii="宋体" w:hAnsi="宋体" w:eastAsia="宋体" w:cs="宋体"/>
          <w:bCs/>
          <w:color w:val="auto"/>
          <w:sz w:val="24"/>
          <w:szCs w:val="24"/>
          <w:highlight w:val="none"/>
        </w:rPr>
        <w:t xml:space="preserve">协助穿脱衣物应保持动作轻柔，防止拉伤肢体；翻身时注意安全，做好必要的防护措施，完成后应根据实际情况为老年人盖好被子，清理用物；老年人如厕做好搀扶，注意老年人的保暖和隐私，协助老年人进行如厕后的清洁；清理生活垃圾和污秽及时、干净。</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助餐服务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2.2.1协助服务对象用餐，清理餐后垃圾，清洗、消毒餐具。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2.2.2为服务对象配制菜谱、制作营养餐。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2.2.3为服务对象订餐、送餐。</w:t>
      </w:r>
      <w:r/>
    </w:p>
    <w:p>
      <w:pPr>
        <w:ind w:firstLine="480"/>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z w:val="24"/>
          <w:szCs w:val="24"/>
          <w:highlight w:val="none"/>
        </w:rPr>
        <w:t xml:space="preserve">2.2.4 助餐体验。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服务要求：</w:t>
      </w:r>
      <w:r/>
    </w:p>
    <w:p>
      <w:pPr>
        <w:numPr>
          <w:ilvl w:val="0"/>
          <w:numId w:val="5"/>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根据老年人身体状况协助其选择用餐体位，餐后及时清洗垃圾，保持餐厅内环境卫生整洁，餐具清洁并定期消毒，应符合GB 14934的要求。</w:t>
      </w:r>
      <w:r/>
    </w:p>
    <w:p>
      <w:pPr>
        <w:numPr>
          <w:ilvl w:val="0"/>
          <w:numId w:val="4"/>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洗菜、煮饭应干净、卫生，米饭松软、炒菜少盐少油，尊重老年人的饮食生活习惯及民族信仰，注意营养，合理配餐；上门助餐人员应持有健康合格证明。</w:t>
      </w:r>
      <w:r/>
    </w:p>
    <w:p>
      <w:pPr>
        <w:numPr>
          <w:ilvl w:val="0"/>
          <w:numId w:val="4"/>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根据老人要求准确配餐送餐，选择具有资质的餐饮机构提供的餐食，有必要的保温、保鲜设备。</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 助浴服务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2.3.1协助服务对象淋浴 、盆浴、擦洗身子。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2.3.2协助服务对象进行足浴、药浴。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2.3.3协助服务对象外出洗浴。</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5"/>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洗浴时， 注意根据季节气候变化，保持浴室温度适宜、通风。</w:t>
      </w:r>
      <w:r/>
    </w:p>
    <w:p>
      <w:pPr>
        <w:numPr>
          <w:ilvl w:val="0"/>
          <w:numId w:val="5"/>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洗浴前，应进行老年人健康状况评估并有安全提示，地面应防滑，及时清理积水，保证老年人洗浴服务过程中的安全。</w:t>
      </w:r>
      <w:r/>
    </w:p>
    <w:p>
      <w:pPr>
        <w:numPr>
          <w:ilvl w:val="0"/>
          <w:numId w:val="5"/>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助浴服务过程中， 失能老人应有</w:t>
      </w:r>
      <w:r>
        <w:rPr>
          <w:rFonts w:hint="eastAsia" w:ascii="宋体" w:hAnsi="宋体" w:eastAsia="宋体" w:cs="宋体"/>
          <w:color w:val="auto"/>
          <w:sz w:val="24"/>
          <w:szCs w:val="24"/>
          <w:highlight w:val="none"/>
        </w:rPr>
        <w:t xml:space="preserve">委托人、监护人或亲属</w:t>
      </w:r>
      <w:r>
        <w:rPr>
          <w:rFonts w:hint="eastAsia" w:ascii="宋体" w:hAnsi="宋体" w:eastAsia="宋体" w:cs="宋体"/>
          <w:bCs/>
          <w:color w:val="auto"/>
          <w:sz w:val="24"/>
          <w:szCs w:val="24"/>
          <w:highlight w:val="none"/>
        </w:rPr>
        <w:t xml:space="preserve">在场协助。</w:t>
      </w:r>
      <w:r/>
    </w:p>
    <w:p>
      <w:pPr>
        <w:numPr>
          <w:ilvl w:val="0"/>
          <w:numId w:val="5"/>
        </w:num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外出助浴应选择具有助老设备的助浴场所，足浴、药浴要由专业人员进行服务且符合足浴、药浴有关行业要求和规范。</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助洗服务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2.4.1为服务对象清洗 、熨烫衣服。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2.4.2为服务对象定期清洗、更换床单、被褥。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2.4.3为服务对象提供衣物的集中取送洗服务。</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6"/>
        </w:numPr>
        <w:ind w:left="0" w:firstLine="448"/>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pacing w:val="-8"/>
          <w:sz w:val="24"/>
          <w:szCs w:val="24"/>
          <w:highlight w:val="none"/>
        </w:rPr>
        <w:t xml:space="preserve">收发</w:t>
      </w:r>
      <w:r>
        <w:rPr>
          <w:rFonts w:hint="eastAsia" w:ascii="宋体" w:hAnsi="宋体" w:eastAsia="宋体" w:cs="宋体"/>
          <w:bCs/>
          <w:color w:val="auto"/>
          <w:sz w:val="24"/>
          <w:szCs w:val="24"/>
          <w:highlight w:val="none"/>
        </w:rPr>
        <w:t xml:space="preserve">清洗、熨烫</w:t>
      </w:r>
      <w:r>
        <w:rPr>
          <w:rFonts w:hint="eastAsia" w:ascii="宋体" w:hAnsi="宋体" w:eastAsia="宋体" w:cs="宋体"/>
          <w:bCs/>
          <w:color w:val="auto"/>
          <w:spacing w:val="-8"/>
          <w:sz w:val="24"/>
          <w:szCs w:val="24"/>
          <w:highlight w:val="none"/>
        </w:rPr>
        <w:t xml:space="preserve">衣物，要当面清点并填写衣物交接单，衣物</w:t>
      </w:r>
      <w:r>
        <w:rPr>
          <w:rFonts w:hint="eastAsia" w:ascii="宋体" w:hAnsi="宋体" w:eastAsia="宋体" w:cs="宋体"/>
          <w:bCs/>
          <w:color w:val="auto"/>
          <w:sz w:val="24"/>
          <w:szCs w:val="24"/>
          <w:highlight w:val="none"/>
        </w:rPr>
        <w:t xml:space="preserve">清洗、熨烫</w:t>
      </w:r>
      <w:r>
        <w:rPr>
          <w:rFonts w:hint="eastAsia" w:ascii="宋体" w:hAnsi="宋体" w:eastAsia="宋体" w:cs="宋体"/>
          <w:bCs/>
          <w:color w:val="auto"/>
          <w:spacing w:val="-8"/>
          <w:sz w:val="24"/>
          <w:szCs w:val="24"/>
          <w:highlight w:val="none"/>
        </w:rPr>
        <w:t xml:space="preserve">应严格按照操作规程进行。</w:t>
      </w:r>
      <w:r/>
    </w:p>
    <w:p>
      <w:pPr>
        <w:numPr>
          <w:ilvl w:val="0"/>
          <w:numId w:val="6"/>
        </w:numPr>
        <w:ind w:left="0" w:firstLine="448"/>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pacing w:val="-8"/>
          <w:sz w:val="24"/>
          <w:szCs w:val="24"/>
          <w:highlight w:val="none"/>
        </w:rPr>
        <w:t xml:space="preserve">分类清洗衣物、床单，被血液、体液污染的衣物、床单单独洗涤，先消毒，后清洗，</w:t>
      </w:r>
      <w:r>
        <w:rPr>
          <w:rFonts w:hint="eastAsia" w:ascii="宋体" w:hAnsi="宋体" w:eastAsia="宋体" w:cs="宋体"/>
          <w:bCs/>
          <w:color w:val="auto"/>
          <w:sz w:val="24"/>
          <w:szCs w:val="24"/>
          <w:highlight w:val="none"/>
        </w:rPr>
        <w:t xml:space="preserve">清洗、熨烫</w:t>
      </w:r>
      <w:r>
        <w:rPr>
          <w:rFonts w:hint="eastAsia" w:ascii="宋体" w:hAnsi="宋体" w:eastAsia="宋体" w:cs="宋体"/>
          <w:bCs/>
          <w:color w:val="auto"/>
          <w:spacing w:val="-8"/>
          <w:sz w:val="24"/>
          <w:szCs w:val="24"/>
          <w:highlight w:val="none"/>
        </w:rPr>
        <w:t xml:space="preserve">完成应折叠后送还给老年人，按照季度和老年实际需求更换被褥。</w:t>
      </w:r>
      <w:r/>
    </w:p>
    <w:p>
      <w:pPr>
        <w:numPr>
          <w:ilvl w:val="0"/>
          <w:numId w:val="7"/>
        </w:numPr>
        <w:ind w:left="0" w:firstLine="44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8"/>
          <w:sz w:val="24"/>
          <w:szCs w:val="24"/>
          <w:highlight w:val="none"/>
        </w:rPr>
        <w:t xml:space="preserve">清洗、熨烫前需检查被洗衣物的性状及是否遗留贵重物品并告知老人或家属，贵重衣物不在本清洗、熨烫服务范围之内。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 助行服务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2.5.1陪同服务对象室外散步。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2.5.2协助服务对象外出会友 购物等。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2.5.3协助服务对象外出办理其他社会事务。</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服务要求：</w:t>
      </w:r>
      <w:r/>
    </w:p>
    <w:p>
      <w:pPr>
        <w:numPr>
          <w:ilvl w:val="0"/>
          <w:numId w:val="8"/>
        </w:numPr>
        <w:ind w:left="0" w:firstLine="448"/>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pacing w:val="-8"/>
          <w:sz w:val="24"/>
          <w:szCs w:val="24"/>
          <w:highlight w:val="none"/>
        </w:rPr>
        <w:t xml:space="preserve">根据老年人的体力、 活动障碍程度，提供助行服务。</w:t>
      </w:r>
      <w:r/>
    </w:p>
    <w:p>
      <w:pPr>
        <w:numPr>
          <w:ilvl w:val="0"/>
          <w:numId w:val="9"/>
        </w:numPr>
        <w:ind w:left="0" w:firstLine="448"/>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pacing w:val="-8"/>
          <w:sz w:val="24"/>
          <w:szCs w:val="24"/>
          <w:highlight w:val="none"/>
        </w:rPr>
        <w:t xml:space="preserve">使用助行器具时应检查各部件是否完好完备，按助行器具的使用说明进行操作。</w:t>
      </w:r>
      <w:r/>
    </w:p>
    <w:p>
      <w:pPr>
        <w:numPr>
          <w:ilvl w:val="0"/>
          <w:numId w:val="10"/>
        </w:numPr>
        <w:ind w:left="0" w:firstLine="448"/>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pacing w:val="-8"/>
          <w:sz w:val="24"/>
          <w:szCs w:val="24"/>
          <w:highlight w:val="none"/>
        </w:rPr>
        <w:t xml:space="preserve">助行活动宜在老年人住宅周边区域内进行，注意途中安全，防止意外情况发生。</w:t>
      </w:r>
      <w:r/>
    </w:p>
    <w:p>
      <w:pPr>
        <w:numPr>
          <w:ilvl w:val="0"/>
          <w:numId w:val="10"/>
        </w:numPr>
        <w:ind w:left="0" w:firstLine="448"/>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8"/>
          <w:sz w:val="24"/>
          <w:szCs w:val="24"/>
          <w:highlight w:val="none"/>
        </w:rPr>
        <w:t xml:space="preserve">根据老年人的合理要求，协助老年人外出办理社会事务，同时须征得家属或其监护人同意后方可外出，外出时注意安全，防止意外情况发生。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 代办服务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2.6.1为服务对象代领有价证券（如工资卡，现金等）和物品。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2.6.2为服务对象代购物品和代理交的各种费用，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2.6.3为服务对象代办处理信函、文件的收、发事务。</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服务要求：</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对接受委托的代办事项，应按照口头或书面的约定，准确记录所代办事项的内容、要求。必要时，应向委托人口述一通委托事项，请委托人确认。</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除即时清结外。涉及现金的，应当面清点并核实。</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代办委托服务，应保护老年人隐私，不得向他人泄漏老年人个人信息。</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代办购物时如有网上购物，应向老年人说明商品的全部信息，提示可能存在的风险，得到老年人明确授权。</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使用老年人个人设备如手机、 计算机等提供代办服务时，应得到老年人或相关第三方同意，并保证信息安全。</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应保留代办服务的相关记录。</w:t>
      </w:r>
      <w:r/>
    </w:p>
    <w:p>
      <w:pPr>
        <w:numPr>
          <w:ilvl w:val="0"/>
          <w:numId w:val="1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反诈识别，如发现存在组织或个人有欺骗或诱导老年人购买不符合实际需求、支付能力或劣质产品，要及时劝阻，暂停代办，且及时将有关情况通知其委托人、监护人、亲属和村干部，情节严重的及时通知公安机关。</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 康复辅助（保健）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2.7.1为服务对象测血压、体温，提醒服务对象吃药。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2.7.2为服务对象提供预防保健、康复护理及老年人营养、心理健康等知识。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2.7.3协助老年人正确使用康复、保健仪器，协助老年人进行康复训练。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开展老年人健康能力评估。根据调查评估情况，作出评估意见，了解老年人在饮食上和行动上的注意事项，明确老年人接受服务的方式。</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12"/>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定期为老年人测量血压、体温，并将测量结果当面告知老人，如发现异常情况立即通知其委托人、监护人或亲属，应遵照医嘱及时提醒和督促老人按时服药。</w:t>
      </w:r>
      <w:r/>
    </w:p>
    <w:p>
      <w:pPr>
        <w:numPr>
          <w:ilvl w:val="0"/>
          <w:numId w:val="13"/>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应具备必要的医疗护理和康复保健知识；提供康复服务应得到老年人本人及监护人的同意，并在专业人员指导下进行；康复训练应进行评估，由康复医师提出康复方案并指导康复训练；康复训练过程中，应注意观察老年人的身体适应情况，防止损伤；应有康复训练的安全措施， 确保康复设备安全有效下再进行服务。</w:t>
      </w:r>
      <w:r/>
    </w:p>
    <w:p>
      <w:pPr>
        <w:numPr>
          <w:ilvl w:val="0"/>
          <w:numId w:val="14"/>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参照《灌云县养老服务评估办法（试行）》（灌民发〔2016〕82 号）文件要求和 《老年人能力评估标准》（MZT039-2013）行业标准进行老年人健康能力评估。</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 精神慰藉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2.8.1为服务对象读书读报，陪服务对象聊天。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2.8.2根据服务对象心理特点和情绪变化进行心理疏导。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精神关爱服务，如协助老年人正确使用智能手机，进行网络视频、通话等。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15"/>
        </w:numPr>
        <w:ind w:left="0" w:firstLine="448"/>
        <w:spacing w:line="360" w:lineRule="auto"/>
        <w:rPr>
          <w:rFonts w:hint="eastAsia" w:ascii="宋体" w:hAnsi="宋体" w:eastAsia="宋体" w:cs="宋体"/>
          <w:b/>
          <w:color w:val="auto"/>
          <w:spacing w:val="-8"/>
          <w:sz w:val="24"/>
          <w:szCs w:val="24"/>
          <w:highlight w:val="none"/>
        </w:rPr>
      </w:pPr>
      <w:r>
        <w:rPr>
          <w:rFonts w:hint="eastAsia" w:ascii="宋体" w:hAnsi="宋体" w:eastAsia="宋体" w:cs="宋体"/>
          <w:bCs/>
          <w:color w:val="auto"/>
          <w:spacing w:val="-8"/>
          <w:sz w:val="24"/>
          <w:szCs w:val="24"/>
          <w:highlight w:val="none"/>
        </w:rPr>
        <w:t xml:space="preserve">掌握老年人心理特点和基本沟通技巧，根据老年人的精神需要，读书读报、谈心交流，耐心倾听，及时观察老年人的情绪变化，并通过心理干预手段调适老年人心理状态，尊重并保护老年人隐私。</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 助医服务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陪同服务对象就医。</w:t>
      </w:r>
      <w:r/>
    </w:p>
    <w:p>
      <w:pPr>
        <w:ind w:firstLine="480"/>
        <w:spacing w:line="36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 xml:space="preserve">2.9.2 测量记录血压、脉搏、心率、体温、血糖。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16"/>
        </w:numPr>
        <w:ind w:left="0" w:firstLine="448"/>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pacing w:val="-8"/>
          <w:sz w:val="24"/>
          <w:szCs w:val="24"/>
          <w:highlight w:val="none"/>
        </w:rPr>
        <w:t xml:space="preserve">遵照医嘱及时提醒和监督老年人按时服药或陪同就医</w:t>
      </w:r>
      <w:r>
        <w:rPr>
          <w:rFonts w:hint="eastAsia" w:ascii="宋体" w:hAnsi="宋体" w:eastAsia="宋体" w:cs="宋体"/>
          <w:color w:val="auto"/>
          <w:sz w:val="24"/>
          <w:szCs w:val="24"/>
          <w:highlight w:val="none"/>
        </w:rPr>
        <w:t xml:space="preserve">，协助检查药品保质期及有效期。</w:t>
      </w:r>
      <w:r/>
    </w:p>
    <w:p>
      <w:pPr>
        <w:numPr>
          <w:ilvl w:val="0"/>
          <w:numId w:val="17"/>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在需要就医情况下，应及时通知委托人、监护人或亲属陪同就医，紧急情况下先联系医院并协助送医。</w:t>
      </w:r>
      <w:r/>
    </w:p>
    <w:p>
      <w:pPr>
        <w:numPr>
          <w:ilvl w:val="0"/>
          <w:numId w:val="18"/>
        </w:numPr>
        <w:ind w:left="0" w:firstLine="448"/>
        <w:spacing w:line="360" w:lineRule="auto"/>
        <w:rPr>
          <w:rFonts w:hint="eastAsia" w:ascii="宋体" w:hAnsi="宋体" w:eastAsia="宋体" w:cs="宋体"/>
          <w:bCs/>
          <w:color w:val="auto"/>
          <w:spacing w:val="-8"/>
          <w:sz w:val="24"/>
          <w:szCs w:val="24"/>
          <w:highlight w:val="none"/>
        </w:rPr>
      </w:pPr>
      <w:r>
        <w:rPr>
          <w:rFonts w:hint="eastAsia" w:ascii="宋体" w:hAnsi="宋体" w:eastAsia="宋体" w:cs="宋体"/>
          <w:bCs/>
          <w:color w:val="auto"/>
          <w:spacing w:val="-8"/>
          <w:sz w:val="24"/>
          <w:szCs w:val="24"/>
          <w:highlight w:val="none"/>
        </w:rPr>
        <w:t xml:space="preserve">准备测量仪器并记录检查数据，</w:t>
      </w:r>
      <w:r>
        <w:rPr>
          <w:rFonts w:hint="eastAsia" w:ascii="宋体" w:hAnsi="宋体" w:eastAsia="宋体" w:cs="宋体"/>
          <w:color w:val="auto"/>
          <w:sz w:val="24"/>
          <w:szCs w:val="24"/>
          <w:highlight w:val="none"/>
        </w:rPr>
        <w:t xml:space="preserve">并将测量结果当面告知老人，</w:t>
      </w:r>
      <w:r>
        <w:rPr>
          <w:rFonts w:hint="eastAsia" w:ascii="宋体" w:hAnsi="宋体" w:eastAsia="宋体" w:cs="宋体"/>
          <w:bCs/>
          <w:color w:val="auto"/>
          <w:spacing w:val="-8"/>
          <w:sz w:val="24"/>
          <w:szCs w:val="24"/>
          <w:highlight w:val="none"/>
        </w:rPr>
        <w:t xml:space="preserve">如发现异常情况立即通知其</w:t>
      </w:r>
      <w:r>
        <w:rPr>
          <w:rFonts w:hint="eastAsia" w:ascii="宋体" w:hAnsi="宋体" w:eastAsia="宋体" w:cs="宋体"/>
          <w:color w:val="auto"/>
          <w:sz w:val="24"/>
          <w:szCs w:val="24"/>
          <w:highlight w:val="none"/>
        </w:rPr>
        <w:t xml:space="preserve">委托人、监护人或亲属</w:t>
      </w:r>
      <w:r>
        <w:rPr>
          <w:rFonts w:hint="eastAsia" w:ascii="宋体" w:hAnsi="宋体" w:eastAsia="宋体" w:cs="宋体"/>
          <w:bCs/>
          <w:color w:val="auto"/>
          <w:spacing w:val="-8"/>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 应急（安全）服务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为服务对象提供紧急救援，服务过程中遇突发情况，及时联系家属及救援机构。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生活助急服务，为有需要的老人提供生活紧急救援服务，如家电维修、管道疏通换液化气罐等。</w:t>
      </w:r>
      <w:r/>
    </w:p>
    <w:p>
      <w:pPr>
        <w:ind w:left="719" w:hanging="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3.0.3协助服务对象家庭安装紧急呼叫器、求助门铃、远红外感应器等安全防护器材。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3.0.4了解老年人家庭设施的安全状况，定期检查服务对象家庭的水 、电燃气、取暖等设施运行情况，排除安全隐患。</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19"/>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定期通过打电话、走访等形式联系和帮扶，发现异常，及时上门查看助急。</w:t>
      </w:r>
      <w:r/>
    </w:p>
    <w:p>
      <w:pPr>
        <w:numPr>
          <w:ilvl w:val="0"/>
          <w:numId w:val="2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建立居家老年人紧急救援预案，会同社区（村）建立专兼职救援队伍，快速对接110、120、 119等救援平台，做好紧急救援全过程记录。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 日间照料（短期托养）服务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为老人提供不过夜的短期托养服务。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为短期托养老人提供生活照料，包括饮食、清洁、排泄等服务。</w:t>
      </w:r>
      <w:r/>
    </w:p>
    <w:p>
      <w:pPr>
        <w:ind w:firstLine="482"/>
        <w:spacing w:line="360" w:lineRule="auto"/>
        <w:rPr>
          <w:rFonts w:hint="eastAsia" w:ascii="宋体" w:hAnsi="宋体" w:eastAsia="宋体" w:cs="宋体"/>
          <w:b/>
          <w:color w:val="auto"/>
          <w:spacing w:val="-8"/>
          <w:sz w:val="24"/>
          <w:szCs w:val="24"/>
          <w:highlight w:val="none"/>
        </w:rPr>
      </w:pPr>
      <w:r>
        <w:rPr>
          <w:rFonts w:hint="eastAsia" w:ascii="宋体" w:hAnsi="宋体" w:eastAsia="宋体" w:cs="宋体"/>
          <w:b/>
          <w:bCs/>
          <w:color w:val="auto"/>
          <w:sz w:val="24"/>
          <w:szCs w:val="24"/>
          <w:highlight w:val="none"/>
        </w:rPr>
        <w:t xml:space="preserve">服务要求：</w:t>
      </w:r>
      <w:r/>
    </w:p>
    <w:p>
      <w:pPr>
        <w:numPr>
          <w:ilvl w:val="0"/>
          <w:numId w:val="2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办理日托手续前，应开展老年人能力评估。</w:t>
      </w:r>
      <w:r/>
    </w:p>
    <w:p>
      <w:pPr>
        <w:numPr>
          <w:ilvl w:val="0"/>
          <w:numId w:val="2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日间照料（短期托养）服务需老年人亲属或者监护人办其理日托手续，签订服务协议和风险告知书。</w:t>
      </w:r>
      <w:r/>
    </w:p>
    <w:p>
      <w:pPr>
        <w:numPr>
          <w:ilvl w:val="0"/>
          <w:numId w:val="22"/>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提供与服务需求相匹配的服务项目。</w:t>
      </w:r>
      <w:r/>
    </w:p>
    <w:p>
      <w:pPr>
        <w:numPr>
          <w:ilvl w:val="0"/>
          <w:numId w:val="23"/>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休息室保持床位整洁，家具物品摆放整齐，定期清洗，室内无异味，地面无水渍。</w:t>
      </w:r>
      <w:r/>
    </w:p>
    <w:p>
      <w:pPr>
        <w:numPr>
          <w:ilvl w:val="0"/>
          <w:numId w:val="24"/>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居室配备被褥应根据季节适时更换并应定期晾晒。</w:t>
      </w:r>
      <w:r/>
    </w:p>
    <w:p>
      <w:pPr>
        <w:numPr>
          <w:ilvl w:val="0"/>
          <w:numId w:val="25"/>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室内温、湿度适宜、通风良好，日光照时间不少于2小时。</w:t>
      </w:r>
      <w:r/>
    </w:p>
    <w:p>
      <w:pPr>
        <w:numPr>
          <w:ilvl w:val="0"/>
          <w:numId w:val="26"/>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电器等设施设备处于运行良好状态。</w:t>
      </w:r>
      <w:r/>
    </w:p>
    <w:p>
      <w:pPr>
        <w:numPr>
          <w:ilvl w:val="0"/>
          <w:numId w:val="27"/>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应配置夏季降温和冬季取暖设施，冬季室内温度不低于18℃，夏季室内温度不高于28℃：应协助行动不便的老年人如厕。</w:t>
      </w:r>
      <w:r/>
    </w:p>
    <w:p>
      <w:pPr>
        <w:numPr>
          <w:ilvl w:val="0"/>
          <w:numId w:val="28"/>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为行动不便的老年人提供手口清洁服务，协助老年人饭前饭后漱口。</w:t>
      </w:r>
      <w:r/>
    </w:p>
    <w:p>
      <w:pPr>
        <w:numPr>
          <w:ilvl w:val="0"/>
          <w:numId w:val="29"/>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自带服用药物的， 应由老年人本人或家属书面委托，按时提示老年人服药并记录用药时间及服用后的反应，如发现异常及时处置。</w:t>
      </w:r>
      <w:r/>
    </w:p>
    <w:p>
      <w:pPr>
        <w:numPr>
          <w:ilvl w:val="0"/>
          <w:numId w:val="3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不定时进行巡视，并做好值班记录。</w:t>
      </w:r>
      <w:r/>
    </w:p>
    <w:p>
      <w:pPr>
        <w:numPr>
          <w:ilvl w:val="0"/>
          <w:numId w:val="31"/>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为老年人提供短期托养服务除满足日托服务的基本要求外，还应符合短期托养服务安全应符合GB 38600的要求。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w:t>
      </w:r>
      <w:r>
        <w:rPr>
          <w:rFonts w:hint="eastAsia" w:ascii="宋体" w:hAnsi="宋体" w:eastAsia="宋体" w:cs="宋体"/>
          <w:color w:val="auto"/>
          <w:sz w:val="24"/>
          <w:szCs w:val="24"/>
          <w:highlight w:val="none"/>
          <w:lang w:eastAsia="zh-CN"/>
        </w:rPr>
        <w:t xml:space="preserve">《居家养老上门服务基本规范》国家标准（GB/T 43153-2023）</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（三）服务和补贴标准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1.服务标准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为本次服务采购项目服务范围中的A类对象提供每人每月3人次的线下养老实体服务，B类对象提供每人每月2人次的线下养老实体服务，C类对象提供每人每季度1人次的线下养老实体服务。</w:t>
      </w:r>
      <w:r>
        <w:rPr>
          <w:rFonts w:hint="eastAsia" w:ascii="宋体" w:hAnsi="宋体" w:eastAsia="宋体" w:cs="宋体"/>
          <w:color w:val="auto"/>
          <w:sz w:val="24"/>
          <w:szCs w:val="24"/>
          <w:highlight w:val="none"/>
          <w:lang w:val="en-US" w:eastAsia="zh-CN"/>
        </w:rPr>
        <w:t xml:space="preserve">每次服务时间不得低于1个小时。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（2）为了促进居家养老政府购买服务顺利推进和提高服务的运营效率和质量，政府所购买服务的老年人可自主选择服务套餐，</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根据服务对象实际要求，安排服务人员进入家庭，为其提供相应服务。实体服务套餐中的服务内容由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与老人沟通后，由老人自行选择后形成可追溯的服务需求工单。具体服务内容以投标文件内容为准。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（3）如服务对象选择服务内容超出规定次数的线下养老实体服务，超过部分由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自行向服务对象收取。</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承诺超出服务部分的收费不高于同类服务市场价格，且必须于服务前需向服务对象明示价格并征得同意后方可进行服务。</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供应商需在服务所在区域采购人指定的养老睦邻点（居家服务站点）每月开展不少于一次的养老服务活动。</w:t>
      </w:r>
      <w:r/>
    </w:p>
    <w:p>
      <w:pPr>
        <w:ind w:firstLine="480"/>
        <w:spacing w:line="360" w:lineRule="auto"/>
        <w:rPr>
          <w:rFonts w:hint="eastAsia" w:ascii="宋体" w:hAnsi="Courier New" w:eastAsia="宋体" w:cs="Times New Roman"/>
          <w:color w:val="auto"/>
          <w:spacing w:val="-4"/>
          <w:sz w:val="24"/>
          <w:szCs w:val="24"/>
          <w:highlight w:val="none"/>
        </w:rPr>
      </w:pPr>
      <w:r>
        <w:rPr>
          <w:rFonts w:hint="eastAsia" w:ascii="宋体" w:hAnsi="宋体" w:eastAsia="宋体" w:cs="宋体"/>
          <w:bCs/>
          <w:color w:val="auto"/>
          <w:sz w:val="24"/>
          <w:szCs w:val="24"/>
          <w:highlight w:val="none"/>
        </w:rPr>
        <w:t xml:space="preserve">中标后按中标单价及实际服务人数结算，但服务标准及内容不得低于本采购文件项目需求中服务项目、内容及要求。</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（四）人员要求：</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配备养老服务队伍投标人应根据服务辖区的老年人数和实际需求，配备具有专业知识和技能的养老服务人员。主要承担入户登记老年人基本信息和服务需求、提供应急联动服务及信息化平台服务链接等事务、协助开展文化教育娱乐活动。同时，为维持平台日常运转应配备若干工作人员，包括：管理人员，主要负责服务管理、机构管理、调度协调、综合管理、投诉管理等；运营维护人员，主要负责开发运营维护、网站运营维护、设备运营维护、网络运营维护、技术支持等；客服座席员，主要负责接单、派单、调度、质量反馈等。 根据采购人要求安排最低人数。</w:t>
      </w:r>
      <w:r/>
    </w:p>
    <w:p>
      <w:pPr>
        <w:numPr>
          <w:ilvl w:val="0"/>
          <w:numId w:val="3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合同履行期限：</w:t>
      </w:r>
      <w:r/>
    </w:p>
    <w:p>
      <w:pPr>
        <w:numPr>
          <w:ilvl w:val="0"/>
          <w:numId w:val="0"/>
        </w:num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自合同签订之日起一年；每年服务期满，采购人根据考核情况决定继续履行合同或终止合同，续签合同金额不变，服务期最多3年。</w:t>
      </w:r>
      <w:r/>
    </w:p>
    <w:p>
      <w:pPr>
        <w:ind w:firstLine="482"/>
        <w:jc w:val="left"/>
        <w:spacing w:line="360" w:lineRule="auto"/>
        <w:shd w:val="clear" w:color="auto" w:fill="ffffff"/>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四、验收：</w:t>
      </w:r>
      <w:bookmarkStart w:id="21" w:name="_Toc15392"/>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1、验收单位：由采购人负责组织验收。</w:t>
      </w:r>
      <w:bookmarkEnd w:id="21"/>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22" w:name="_Toc9554"/>
      <w:r>
        <w:rPr>
          <w:rFonts w:hint="eastAsia" w:ascii="宋体" w:hAnsi="宋体" w:eastAsia="宋体" w:cs="宋体"/>
          <w:color w:val="auto"/>
          <w:sz w:val="24"/>
          <w:szCs w:val="24"/>
          <w:highlight w:val="none"/>
        </w:rPr>
        <w:t xml:space="preserve">2、验收标准：</w:t>
      </w:r>
      <w:bookmarkEnd w:id="22"/>
      <w:r/>
      <w:bookmarkStart w:id="23" w:name="_Toc30853"/>
      <w:r>
        <w:rPr>
          <w:rFonts w:hint="eastAsia" w:ascii="宋体" w:hAnsi="宋体" w:eastAsia="宋体" w:cs="宋体"/>
          <w:color w:val="auto"/>
          <w:sz w:val="24"/>
          <w:szCs w:val="24"/>
          <w:highlight w:val="none"/>
        </w:rPr>
        <w:t xml:space="preserve">中标后由采购人提供</w:t>
      </w:r>
      <w:bookmarkEnd w:id="23"/>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验收过程执行《江苏省政府采履约验收管理办法》，验收费用由中标人支付。</w:t>
      </w:r>
      <w:r/>
    </w:p>
    <w:p>
      <w:pPr>
        <w:ind w:firstLine="482"/>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五、其他要求</w:t>
      </w:r>
      <w:r/>
    </w:p>
    <w:p>
      <w:pPr>
        <w:ind w:firstLine="482"/>
        <w:spacing w:line="360" w:lineRule="auto"/>
        <w:rPr>
          <w:rFonts w:hint="eastAsia" w:ascii="宋体" w:hAnsi="宋体" w:eastAsia="宋体" w:cs="宋体"/>
          <w:color w:val="auto"/>
          <w:sz w:val="24"/>
          <w:szCs w:val="24"/>
          <w:highlight w:val="none"/>
        </w:rPr>
      </w:pPr>
      <w:r/>
      <w:bookmarkStart w:id="24" w:name="_Toc469650003"/>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、投标人中标后，所需加盟商必须向采购人备案后方可实施，中标人承诺对加盟商的一切行为承担连带保证责任。</w:t>
      </w:r>
      <w:bookmarkEnd w:id="2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2、投标报价包含为完成合同最终成果而产生的一切附带服务费用等（包含所有隐含费用），中标后不再增加其他任何费用，一旦中标，投标总价不予调整；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必须遵守国家有关采购保密规定及采购方的要求，并不得对外泄漏服务对象的个人所有的信息。平台中录入的老年人服务所有信息属于秘密信息，中标人不得泄露，且不得私自保留，如因中标人原因导致信息泄露，应承担违约责任，并自行承担一切法律后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中标人必须建立本地法律援助站或法律援助站依托单位。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、中标人在履行合同期间，在灌云县辖区内进行本次采购外的服务内容，其服务标准应不低于本次招标要求且服务单价不高于本项目中标单价，且必须</w:t>
      </w:r>
      <w:r>
        <w:rPr>
          <w:rFonts w:hint="eastAsia" w:ascii="宋体" w:hAnsi="宋体" w:eastAsia="宋体" w:cs="宋体"/>
          <w:color w:val="auto"/>
          <w:sz w:val="24"/>
          <w:szCs w:val="24"/>
          <w:highlight w:val="none"/>
        </w:rPr>
        <w:t xml:space="preserve">向采购人备案后方可实施。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、中标方的养老服务信息平台应为政府机构监管预留端口，政府相关部门人员可以拥有相对应的权限登陆中标人的信息化平台，随时监管平台中的实时数据。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、合同履行期间，如遇国家、省、市相关部门出台相关文件，对本项目合同的履行有进一步要求的，中标人承诺无条件执行相关的要求。</w:t>
      </w:r>
      <w:r/>
    </w:p>
    <w:p>
      <w:pPr>
        <w:numPr>
          <w:ilvl w:val="0"/>
          <w:numId w:val="0"/>
        </w:numPr>
        <w:ind w:left="0" w:right="0" w:firstLine="562"/>
        <w:keepNext w:val="0"/>
        <w:pageBreakBefore w:val="0"/>
        <w:spacing w:line="360" w:lineRule="auto"/>
        <w:widowControl w:val="off"/>
        <w:rPr>
          <w:rFonts w:hint="eastAsia"/>
          <w:b/>
          <w:bCs/>
          <w:color w:val="auto"/>
          <w:sz w:val="28"/>
          <w:szCs w:val="28"/>
          <w:highlight w:val="none"/>
          <w:lang w:val="en-US" w:eastAsia="zh-CN"/>
        </w:rPr>
        <w:sectPr>
          <w:footerReference w:type="default" r:id="rId9"/>
          <w:footnotePr/>
          <w:endnotePr/>
          <w:type w:val="nextPage"/>
          <w:pgSz w:w="11906" w:h="16838" w:orient="portrait"/>
          <w:pgMar w:top="1440" w:right="1247" w:bottom="1440" w:left="1247" w:header="851" w:footer="992" w:gutter="0"/>
          <w:pgNumType w:start="1"/>
          <w:cols w:num="1" w:sep="0" w:space="425" w:equalWidth="1"/>
          <w:docGrid w:linePitch="360"/>
        </w:sectPr>
      </w:pPr>
      <w:r>
        <w:rPr>
          <w:rFonts w:hint="eastAsia"/>
          <w:b/>
          <w:bCs/>
          <w:color w:val="auto"/>
          <w:sz w:val="28"/>
          <w:szCs w:val="28"/>
          <w:highlight w:val="none"/>
          <w:lang w:val="en-US" w:eastAsia="zh-CN"/>
        </w:rPr>
      </w:r>
      <w:r/>
    </w:p>
    <w:p>
      <w:pPr>
        <w:pStyle w:val="916"/>
        <w:numPr>
          <w:ilvl w:val="0"/>
          <w:numId w:val="35"/>
        </w:numPr>
        <w:ind w:left="0" w:right="0" w:firstLine="880"/>
        <w:jc w:val="center"/>
        <w:keepNext w:val="0"/>
        <w:pageBreakBefore w:val="0"/>
        <w:spacing w:before="0" w:after="0" w:line="360" w:lineRule="auto"/>
        <w:widowControl w:val="off"/>
        <w:rPr>
          <w:rFonts w:hint="eastAsia" w:ascii="黑体" w:hAnsi="黑体" w:eastAsia="黑体"/>
          <w:b w:val="0"/>
          <w:color w:val="auto"/>
          <w:highlight w:val="none"/>
        </w:rPr>
      </w:pPr>
      <w:r/>
      <w:bookmarkStart w:id="25" w:name="_Toc10116"/>
      <w:r>
        <w:rPr>
          <w:rFonts w:hint="eastAsia" w:ascii="黑体" w:hAnsi="黑体" w:eastAsia="黑体"/>
          <w:b w:val="0"/>
          <w:color w:val="auto"/>
          <w:highlight w:val="none"/>
        </w:rPr>
        <w:t xml:space="preserve"> 评标方法与评标标准</w:t>
      </w:r>
      <w:bookmarkEnd w:id="19"/>
      <w:r/>
      <w:bookmarkEnd w:id="25"/>
      <w:r/>
      <w:r/>
    </w:p>
    <w:p>
      <w:pPr>
        <w:numPr>
          <w:ilvl w:val="0"/>
          <w:numId w:val="0"/>
        </w:numPr>
        <w:rPr>
          <w:color w:val="auto"/>
          <w:highlight w:val="none"/>
        </w:rPr>
      </w:pPr>
      <w:r>
        <w:rPr>
          <w:color w:val="auto"/>
          <w:highlight w:val="none"/>
        </w:rPr>
      </w:r>
      <w:r/>
    </w:p>
    <w:p>
      <w:pPr>
        <w:ind w:left="358" w:hanging="358"/>
        <w:jc w:val="both"/>
        <w:spacing w:line="460" w:lineRule="exact"/>
        <w:widowControl w:val="off"/>
        <w:rPr>
          <w:rFonts w:ascii="宋体" w:hAnsi="宋体" w:eastAsia="宋体" w:cs="Times New Roman"/>
          <w:color w:val="auto"/>
          <w:sz w:val="21"/>
          <w:szCs w:val="21"/>
          <w:highlight w:val="none"/>
          <w:lang w:val="en-US" w:eastAsia="zh-CN" w:bidi="ar-SA"/>
        </w:rPr>
      </w:pPr>
      <w:r/>
      <w:bookmarkStart w:id="26" w:name="_Toc155796361"/>
      <w:r>
        <w:rPr>
          <w:rFonts w:hint="eastAsia" w:ascii="宋体" w:hAnsi="宋体" w:eastAsia="宋体" w:cs="Times New Roman"/>
          <w:b/>
          <w:bCs/>
          <w:color w:val="auto"/>
          <w:sz w:val="21"/>
          <w:szCs w:val="20"/>
          <w:highlight w:val="none"/>
          <w:lang w:val="en-US" w:eastAsia="zh-CN" w:bidi="ar-SA"/>
        </w:rPr>
        <w:t xml:space="preserve">一</w:t>
      </w:r>
      <w:r>
        <w:rPr>
          <w:rFonts w:hint="eastAsia" w:ascii="宋体" w:hAnsi="宋体" w:eastAsia="宋体" w:cs="Times New Roman"/>
          <w:b/>
          <w:bCs/>
          <w:color w:val="auto"/>
          <w:sz w:val="21"/>
          <w:szCs w:val="21"/>
          <w:highlight w:val="none"/>
          <w:lang w:val="en-US" w:eastAsia="zh-CN" w:bidi="ar-SA"/>
        </w:rPr>
        <w:t xml:space="preserve">、评标委员会构成</w:t>
      </w:r>
      <w:r>
        <w:rPr>
          <w:rFonts w:hint="eastAsia" w:ascii="宋体" w:hAnsi="宋体" w:eastAsia="宋体" w:cs="Times New Roman"/>
          <w:color w:val="auto"/>
          <w:sz w:val="21"/>
          <w:szCs w:val="21"/>
          <w:highlight w:val="none"/>
          <w:lang w:val="en-US" w:eastAsia="zh-CN" w:bidi="ar-SA"/>
        </w:rPr>
        <w:t xml:space="preserve">：本采购项目评标委员会的评委由评审专家（采购人代表，如有）组成。</w:t>
      </w:r>
      <w:r/>
    </w:p>
    <w:p>
      <w:pPr>
        <w:ind w:left="358" w:hanging="358"/>
        <w:jc w:val="both"/>
        <w:spacing w:line="460" w:lineRule="exact"/>
        <w:widowControl w:val="off"/>
        <w:tabs>
          <w:tab w:val="left" w:pos="2472" w:leader="none"/>
        </w:tabs>
        <w:rPr>
          <w:rFonts w:ascii="宋体" w:hAnsi="宋体" w:eastAsia="宋体" w:cs="Times New Roman"/>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二、评标原则</w:t>
      </w:r>
      <w:r>
        <w:rPr>
          <w:rFonts w:hint="eastAsia" w:ascii="宋体" w:hAnsi="宋体" w:eastAsia="宋体" w:cs="Times New Roman"/>
          <w:color w:val="auto"/>
          <w:sz w:val="21"/>
          <w:szCs w:val="21"/>
          <w:highlight w:val="none"/>
          <w:lang w:val="en-US" w:eastAsia="zh-CN" w:bidi="ar-SA"/>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auto"/>
          <w:szCs w:val="21"/>
          <w:highlight w:val="none"/>
        </w:rPr>
      </w:pPr>
      <w:r>
        <w:rPr>
          <w:rFonts w:hint="eastAsia" w:ascii="宋体" w:hAnsi="宋体" w:eastAsia="宋体" w:cs="宋体"/>
          <w:b/>
          <w:bCs/>
          <w:color w:val="auto"/>
          <w:szCs w:val="21"/>
          <w:highlight w:val="none"/>
        </w:rPr>
        <w:t xml:space="preserve">三、评标办法</w:t>
      </w:r>
      <w:r>
        <w:rPr>
          <w:rFonts w:hint="eastAsia" w:ascii="宋体" w:hAnsi="宋体" w:eastAsia="宋体" w:cs="宋体"/>
          <w:color w:val="auto"/>
          <w:szCs w:val="21"/>
          <w:highlight w:val="none"/>
        </w:rPr>
        <w:t xml:space="preserve">：</w:t>
      </w:r>
      <w:r/>
    </w:p>
    <w:p>
      <w:pPr>
        <w:pStyle w:val="931"/>
        <w:ind w:left="1" w:firstLine="0"/>
        <w:keepLines w:val="0"/>
        <w:keepNext w:val="0"/>
        <w:pageBreakBefore w:val="0"/>
        <w:spacing w:line="520" w:lineRule="exact"/>
        <w:tabs>
          <w:tab w:val="left" w:pos="0" w:leader="none"/>
          <w:tab w:val="clear" w:pos="916" w:leader="none"/>
        </w:tabs>
        <w:rPr>
          <w:rFonts w:hint="eastAsia" w:eastAsia="宋体" w:cs="Times New Roman"/>
          <w:color w:val="auto"/>
          <w:sz w:val="21"/>
          <w:szCs w:val="21"/>
          <w:highlight w:val="none"/>
        </w:rPr>
      </w:pPr>
      <w:r>
        <w:rPr>
          <w:rFonts w:hint="eastAsia" w:eastAsia="宋体" w:cs="Times New Roman"/>
          <w:b/>
          <w:color w:val="auto"/>
          <w:sz w:val="21"/>
          <w:szCs w:val="21"/>
          <w:highlight w:val="none"/>
        </w:rPr>
        <w:t xml:space="preserve">采用综合评分法</w:t>
      </w:r>
      <w:r>
        <w:rPr>
          <w:rFonts w:hint="eastAsia" w:eastAsia="宋体" w:cs="Times New Roman"/>
          <w:color w:val="auto"/>
          <w:sz w:val="21"/>
          <w:szCs w:val="21"/>
          <w:highlight w:val="none"/>
        </w:rPr>
        <w:t xml:space="preserve">，评标结果按评审后得分由高到低顺序排列。评委将以采购文件为评标依据，对投标人的投标报价、技术部分及商务部分等三部分内容按百分制打分，分为：价格分A（10分）；技术分B（50分）；商务分C（40分）；最终得分=A+B+C。综合得分相同的，按投标报价由低到高顺序排列；综合得分且投标报价均相同的由采购人现场抽签决定。投标文件满足招标文件全部实质性要求，且按照评审因素的量化指标评审得分最高的投标人为排名第一的中标候选人。</w:t>
      </w:r>
      <w:r/>
    </w:p>
    <w:p>
      <w:pPr>
        <w:pStyle w:val="931"/>
        <w:ind w:left="1" w:firstLine="0"/>
        <w:keepLines w:val="0"/>
        <w:keepNext w:val="0"/>
        <w:pageBreakBefore w:val="0"/>
        <w:spacing w:line="520" w:lineRule="exact"/>
        <w:tabs>
          <w:tab w:val="left" w:pos="0" w:leader="none"/>
          <w:tab w:val="clear" w:pos="916"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r>
      <w:r/>
    </w:p>
    <w:tbl>
      <w:tblPr>
        <w:tblStyle w:val="920"/>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1701"/>
        <w:gridCol w:w="6833"/>
      </w:tblGrid>
      <w:tr>
        <w:trPr>
          <w:jc w:val="center"/>
          <w:trHeight w:val="57"/>
          <w:tblHeader/>
        </w:trPr>
        <w:tc>
          <w:tcPr>
            <w:tcW w:w="1217" w:type="dxa"/>
            <w:vAlign w:val="center"/>
            <w:textDirection w:val="lrTb"/>
            <w:noWrap w:val="false"/>
          </w:tcPr>
          <w:p>
            <w:pPr>
              <w:ind w:firstLine="0"/>
              <w:jc w:val="both"/>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评分项目</w:t>
            </w:r>
            <w:r/>
          </w:p>
        </w:tc>
        <w:tc>
          <w:tcPr>
            <w:tcW w:w="1701" w:type="dxa"/>
            <w:vAlign w:val="center"/>
            <w:textDirection w:val="lrTb"/>
            <w:noWrap w:val="false"/>
          </w:tcPr>
          <w:p>
            <w:pPr>
              <w:ind w:firstLine="0"/>
              <w:jc w:val="both"/>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分项</w:t>
            </w:r>
            <w:r/>
          </w:p>
        </w:tc>
        <w:tc>
          <w:tcPr>
            <w:tcW w:w="6833" w:type="dxa"/>
            <w:vAlign w:val="center"/>
            <w:textDirection w:val="lrTb"/>
            <w:noWrap w:val="false"/>
          </w:tcPr>
          <w:p>
            <w:pPr>
              <w:ind w:firstLine="0"/>
              <w:jc w:val="both"/>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评标要点及说明</w:t>
            </w:r>
            <w:r/>
          </w:p>
        </w:tc>
      </w:tr>
      <w:tr>
        <w:trPr>
          <w:jc w:val="center"/>
          <w:trHeight w:val="1641"/>
          <w:tblHeader/>
        </w:trPr>
        <w:tc>
          <w:tcPr>
            <w:tcW w:w="1217" w:type="dxa"/>
            <w:vAlign w:val="center"/>
            <w:textDirection w:val="lrTb"/>
            <w:noWrap w:val="false"/>
          </w:tcPr>
          <w:p>
            <w:pPr>
              <w:ind w:firstLine="0"/>
              <w:keepLines w:val="0"/>
              <w:keepNext w:val="0"/>
              <w:pageBreakBefore w:val="0"/>
              <w:spacing w:line="3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ind w:firstLine="0"/>
              <w:keepLines w:val="0"/>
              <w:keepNext w:val="0"/>
              <w:pageBreakBefore w:val="0"/>
              <w:spacing w:line="3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1701" w:type="dxa"/>
            <w:vAlign w:val="center"/>
            <w:textDirection w:val="lrTb"/>
            <w:noWrap w:val="false"/>
          </w:tcPr>
          <w:p>
            <w:pPr>
              <w:ind w:firstLine="0"/>
              <w:jc w:val="left"/>
              <w:keepLines w:val="0"/>
              <w:keepNext w:val="0"/>
              <w:pageBreakBefore w:val="0"/>
              <w:spacing w:line="3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报价（10分）</w:t>
            </w:r>
            <w:r/>
          </w:p>
        </w:tc>
        <w:tc>
          <w:tcPr>
            <w:tcW w:w="6833" w:type="dxa"/>
            <w:vAlign w:val="center"/>
            <w:textDirection w:val="lrTb"/>
            <w:noWrap w:val="false"/>
          </w:tcPr>
          <w:p>
            <w:pPr>
              <w:ind w:firstLine="0"/>
              <w:jc w:val="left"/>
              <w:keepLines w:val="0"/>
              <w:keepNext w:val="0"/>
              <w:pageBreakBefore w:val="0"/>
              <w:spacing w:line="3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采用低价优先法计算，即满足采购文件要求且投标价格最低的投标报价为评标基准价，其价格分为满分。其他投标人的价格分统一按照下列公式计算：</w:t>
            </w:r>
            <w:r/>
          </w:p>
          <w:p>
            <w:pPr>
              <w:ind w:firstLine="0"/>
              <w:jc w:val="left"/>
              <w:keepLines w:val="0"/>
              <w:keepNext w:val="0"/>
              <w:pageBreakBefore w:val="0"/>
              <w:spacing w:line="38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 (评标基准价/投标报价)×10。</w:t>
            </w:r>
            <w:r/>
          </w:p>
        </w:tc>
      </w:tr>
      <w:tr>
        <w:trPr>
          <w:jc w:val="center"/>
          <w:trHeight w:val="1016"/>
          <w:tblHeader/>
        </w:trPr>
        <w:tc>
          <w:tcPr>
            <w:tcW w:w="1217" w:type="dxa"/>
            <w:vAlign w:val="center"/>
            <w:vMerge w:val="restart"/>
            <w:textDirection w:val="lrTb"/>
            <w:noWrap w:val="false"/>
          </w:tcPr>
          <w:p>
            <w:pPr>
              <w:ind w:firstLine="0"/>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p>
          <w:p>
            <w:pPr>
              <w:ind w:firstLine="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（50分）</w:t>
            </w:r>
            <w:r/>
          </w:p>
        </w:tc>
        <w:tc>
          <w:tcPr>
            <w:tcW w:w="1701" w:type="dxa"/>
            <w:vAlign w:val="center"/>
            <w:textDirection w:val="lrTb"/>
            <w:noWrap w:val="false"/>
          </w:tcPr>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总体思路</w:t>
            </w:r>
            <w:r/>
          </w:p>
          <w:p>
            <w:pPr>
              <w:ind w:firstLine="0"/>
              <w:jc w:val="center"/>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分）</w:t>
            </w:r>
            <w:r/>
          </w:p>
        </w:tc>
        <w:tc>
          <w:tcPr>
            <w:tcW w:w="6833" w:type="dxa"/>
            <w:vAlign w:val="center"/>
            <w:textDirection w:val="lrTb"/>
            <w:noWrap w:val="false"/>
          </w:tcPr>
          <w:p>
            <w:pPr>
              <w:ind w:firstLine="420"/>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居家养老服务总体思路（主要针对目标定位、发展规划、对未来的市场化发展有专门的规划、服务宗旨、服务理念等方面内容）。评审小组根据方案的可读性、完整性进行打分得0-5分，无此内容描述的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内容全面完整、</w:t>
            </w:r>
            <w:r>
              <w:rPr>
                <w:rFonts w:hint="eastAsia" w:ascii="宋体" w:hAnsi="宋体" w:eastAsia="宋体" w:cs="Times New Roman"/>
                <w:color w:val="auto"/>
                <w:szCs w:val="21"/>
                <w:highlight w:val="none"/>
              </w:rPr>
              <w:t xml:space="preserve">可读性</w:t>
            </w:r>
            <w:r>
              <w:rPr>
                <w:rFonts w:hint="eastAsia" w:ascii="宋体" w:hAnsi="宋体" w:eastAsia="宋体" w:cs="宋体"/>
                <w:bCs/>
                <w:color w:val="auto"/>
                <w:szCs w:val="21"/>
                <w:highlight w:val="none"/>
              </w:rPr>
              <w:t xml:space="preserve">强、合理性强得3-5分；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内容较完整、</w:t>
            </w:r>
            <w:r>
              <w:rPr>
                <w:rFonts w:hint="eastAsia" w:ascii="宋体" w:hAnsi="宋体" w:eastAsia="宋体" w:cs="Times New Roman"/>
                <w:color w:val="auto"/>
                <w:szCs w:val="21"/>
                <w:highlight w:val="none"/>
              </w:rPr>
              <w:t xml:space="preserve">可读性</w:t>
            </w:r>
            <w:r>
              <w:rPr>
                <w:rFonts w:hint="eastAsia" w:ascii="宋体" w:hAnsi="宋体" w:eastAsia="宋体" w:cs="宋体"/>
                <w:bCs/>
                <w:color w:val="auto"/>
                <w:szCs w:val="21"/>
                <w:highlight w:val="none"/>
              </w:rPr>
              <w:t xml:space="preserve">较强、合理性较强得1-3分；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内容完整性差、</w:t>
            </w:r>
            <w:r>
              <w:rPr>
                <w:rFonts w:hint="eastAsia" w:ascii="宋体" w:hAnsi="宋体" w:eastAsia="宋体" w:cs="Times New Roman"/>
                <w:color w:val="auto"/>
                <w:szCs w:val="21"/>
                <w:highlight w:val="none"/>
              </w:rPr>
              <w:t xml:space="preserve">可读性</w:t>
            </w:r>
            <w:r>
              <w:rPr>
                <w:rFonts w:hint="eastAsia" w:ascii="宋体" w:hAnsi="宋体" w:eastAsia="宋体" w:cs="宋体"/>
                <w:bCs/>
                <w:color w:val="auto"/>
                <w:szCs w:val="21"/>
                <w:highlight w:val="none"/>
              </w:rPr>
              <w:t xml:space="preserve">差、合理性差得0-1分；</w:t>
            </w:r>
            <w:r/>
          </w:p>
          <w:p>
            <w:pPr>
              <w:ind w:firstLine="420"/>
              <w:keepLines w:val="0"/>
              <w:keepNext w:val="0"/>
              <w:pageBreakBefore w:val="0"/>
              <w:spacing w:line="440" w:lineRule="exact"/>
              <w:widowControl/>
              <w:rPr>
                <w:rFonts w:hint="eastAsia"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016"/>
          <w:tblHeader/>
        </w:trPr>
        <w:tc>
          <w:tcPr>
            <w:tcW w:w="1217" w:type="dxa"/>
            <w:vAlign w:val="center"/>
            <w:vMerge w:val="continue"/>
            <w:textDirection w:val="lrTb"/>
            <w:noWrap w:val="false"/>
          </w:tcPr>
          <w:p>
            <w:pPr>
              <w:ind w:firstLine="0"/>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vMerge w:val="restart"/>
            <w:textDirection w:val="lrTb"/>
            <w:noWrap w:val="false"/>
          </w:tcPr>
          <w:p>
            <w:pPr>
              <w:ind w:firstLine="0"/>
              <w:jc w:val="center"/>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服务方案</w:t>
            </w:r>
            <w:r/>
          </w:p>
          <w:p>
            <w:pPr>
              <w:ind w:firstLine="0"/>
              <w:jc w:val="center"/>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15</w:t>
            </w:r>
            <w:r>
              <w:rPr>
                <w:rFonts w:hint="eastAsia" w:ascii="宋体" w:hAnsi="宋体" w:eastAsia="宋体" w:cs="Times New Roman"/>
                <w:color w:val="auto"/>
                <w:szCs w:val="21"/>
                <w:highlight w:val="none"/>
              </w:rPr>
              <w:t xml:space="preserve">分）</w:t>
            </w:r>
            <w:r/>
          </w:p>
        </w:tc>
        <w:tc>
          <w:tcPr>
            <w:tcW w:w="6833" w:type="dxa"/>
            <w:vAlign w:val="center"/>
            <w:textDirection w:val="lrTb"/>
            <w:noWrap w:val="false"/>
          </w:tcPr>
          <w:p>
            <w:pPr>
              <w:ind w:firstLine="420"/>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针对不同类别老人，结合老人需要，制定专业的服务方案（含生活照料、助餐、助浴、助洁、助洗、助行、代办、康复辅助（保健）、精神慰藉、助医、应急（安全）以及日间照料（短期托养）等服务项目和市场化运营计划）。评审小组根据方案的完整性、科学性、规范性、合理性和可行性进行打分的0-5分，无此内容描述的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内容完整科学规范、可行性强、合理性强得3-5分；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内容较完整科学规范、可行性较强、合理性较强得1-3分；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内容不完整不科学不规范、可行性差、合理性差得0-1分；</w:t>
            </w:r>
            <w:r/>
          </w:p>
          <w:p>
            <w:pPr>
              <w:ind w:firstLine="420"/>
              <w:keepLines w:val="0"/>
              <w:keepNext w:val="0"/>
              <w:pageBreakBefore w:val="0"/>
              <w:spacing w:line="440" w:lineRule="exact"/>
              <w:widowControl/>
              <w:rPr>
                <w:rFonts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687"/>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6833" w:type="dxa"/>
            <w:vAlign w:val="center"/>
            <w:textDirection w:val="lrTb"/>
            <w:noWrap w:val="false"/>
          </w:tcPr>
          <w:p>
            <w:pPr>
              <w:ind w:firstLine="420"/>
              <w:jc w:val="left"/>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投标人提供保密制度、服务质量内部管理制度、服务承诺制度、服务反馈制度、工作人员守则、</w:t>
            </w:r>
            <w:r>
              <w:rPr>
                <w:rFonts w:ascii="宋体" w:hAnsi="宋体" w:eastAsia="宋体" w:cs="Times New Roman"/>
                <w:color w:val="auto"/>
                <w:szCs w:val="21"/>
                <w:highlight w:val="none"/>
              </w:rPr>
              <w:t xml:space="preserve">档案管理制度</w:t>
            </w:r>
            <w:r>
              <w:rPr>
                <w:rFonts w:hint="eastAsia" w:ascii="宋体" w:hAnsi="宋体" w:eastAsia="宋体" w:cs="Times New Roman"/>
                <w:color w:val="auto"/>
                <w:szCs w:val="21"/>
                <w:highlight w:val="none"/>
              </w:rPr>
              <w:t xml:space="preserve">等规章制度。评审小组根据制度的合理性、规范性、全面性进行打分得0-5分，无此内容描述不得分。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制度全面规范、合理性强得3-5分；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制度较全面规范、合理性较强得1-3分；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制度不全面不规范、合理性差得0-1分；</w:t>
            </w:r>
            <w:r/>
          </w:p>
          <w:p>
            <w:pPr>
              <w:ind w:firstLine="420"/>
              <w:keepLines w:val="0"/>
              <w:keepNext w:val="0"/>
              <w:pageBreakBefore w:val="0"/>
              <w:spacing w:line="440" w:lineRule="exact"/>
              <w:widowControl/>
              <w:rPr>
                <w:rFonts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549"/>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6833" w:type="dxa"/>
            <w:vAlign w:val="center"/>
            <w:textDirection w:val="lrTb"/>
            <w:noWrap w:val="false"/>
          </w:tcPr>
          <w:p>
            <w:pPr>
              <w:ind w:firstLine="420"/>
              <w:jc w:val="left"/>
              <w:keepLines w:val="0"/>
              <w:keepNext w:val="0"/>
              <w:pageBreakBefore w:val="0"/>
              <w:spacing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w:t>
            </w:r>
            <w:r>
              <w:rPr>
                <w:rFonts w:hint="eastAsia" w:ascii="宋体" w:hAnsi="宋体" w:eastAsia="宋体" w:cs="宋体"/>
                <w:color w:val="auto"/>
                <w:szCs w:val="21"/>
                <w:highlight w:val="none"/>
              </w:rPr>
              <w:t xml:space="preserve">服务管理方案，包括服务内容、服务流程、服务标准、服务响应时间、服务投诉及民政部门整改要求的处理措施。</w:t>
            </w:r>
            <w:r>
              <w:rPr>
                <w:rFonts w:hint="eastAsia" w:ascii="宋体" w:hAnsi="宋体" w:eastAsia="宋体" w:cs="Times New Roman"/>
                <w:color w:val="auto"/>
                <w:szCs w:val="21"/>
                <w:highlight w:val="none"/>
              </w:rPr>
              <w:t xml:space="preserve">评审小组根据方案的合理性、规范性、全面性</w:t>
            </w:r>
            <w:r>
              <w:rPr>
                <w:rFonts w:hint="eastAsia" w:ascii="宋体" w:hAnsi="宋体" w:eastAsia="宋体" w:cs="宋体"/>
                <w:color w:val="auto"/>
                <w:szCs w:val="21"/>
                <w:highlight w:val="none"/>
              </w:rPr>
              <w:t xml:space="preserve">进行打分</w:t>
            </w:r>
            <w:r>
              <w:rPr>
                <w:rFonts w:hint="eastAsia" w:ascii="宋体" w:hAnsi="宋体" w:eastAsia="宋体" w:cs="Times New Roman"/>
                <w:color w:val="auto"/>
                <w:szCs w:val="21"/>
                <w:highlight w:val="none"/>
              </w:rPr>
              <w:t xml:space="preserve">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不全面不规范、合理性差得0-1分；</w:t>
            </w:r>
            <w:r/>
          </w:p>
          <w:p>
            <w:pPr>
              <w:ind w:firstLine="420"/>
              <w:keepLines w:val="0"/>
              <w:keepNext w:val="0"/>
              <w:pageBreakBefore w:val="0"/>
              <w:spacing w:line="440" w:lineRule="exact"/>
              <w:widowControl/>
              <w:rPr>
                <w:rFonts w:hint="eastAsia"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549"/>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服务台账</w:t>
            </w:r>
            <w:r/>
          </w:p>
          <w:p>
            <w:pPr>
              <w:ind w:firstLine="0"/>
              <w:jc w:val="center"/>
              <w:keepLines w:val="0"/>
              <w:keepNext w:val="0"/>
              <w:pageBreakBefore w:val="0"/>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分）</w:t>
            </w:r>
            <w:r/>
          </w:p>
        </w:tc>
        <w:tc>
          <w:tcPr>
            <w:tcW w:w="6833" w:type="dxa"/>
            <w:vAlign w:val="top"/>
            <w:textDirection w:val="lrTb"/>
            <w:noWrap w:val="false"/>
          </w:tcPr>
          <w:p>
            <w:pPr>
              <w:ind w:firstLine="420"/>
              <w:keepLines w:val="0"/>
              <w:keepNext w:val="0"/>
              <w:pageBreakBefore w:val="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 2022 年 1 月 1 日至今任意居家养老服务档案台账摘要一份，内容包括但不限于服务工单记录、健康档案、老人意见反馈等。评审小组根据提供台账的合理性、规范性、全面性进行打分得0-5分，无此内容描述不得分。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台账</w:t>
            </w:r>
            <w:r>
              <w:rPr>
                <w:rFonts w:hint="eastAsia" w:ascii="宋体" w:hAnsi="宋体" w:eastAsia="宋体" w:cs="宋体"/>
                <w:bCs/>
                <w:color w:val="auto"/>
                <w:szCs w:val="21"/>
                <w:highlight w:val="none"/>
              </w:rPr>
              <w:t xml:space="preserve">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台账</w:t>
            </w:r>
            <w:r>
              <w:rPr>
                <w:rFonts w:hint="eastAsia" w:ascii="宋体" w:hAnsi="宋体" w:eastAsia="宋体" w:cs="宋体"/>
                <w:bCs/>
                <w:color w:val="auto"/>
                <w:szCs w:val="21"/>
                <w:highlight w:val="none"/>
              </w:rPr>
              <w:t xml:space="preserve">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台账</w:t>
            </w:r>
            <w:r>
              <w:rPr>
                <w:rFonts w:hint="eastAsia" w:ascii="宋体" w:hAnsi="宋体" w:eastAsia="宋体" w:cs="宋体"/>
                <w:bCs/>
                <w:color w:val="auto"/>
                <w:szCs w:val="21"/>
                <w:highlight w:val="none"/>
              </w:rPr>
              <w:t xml:space="preserve">不全面不规范、合理性差得0-1分；</w:t>
            </w:r>
            <w:r/>
          </w:p>
          <w:p>
            <w:pPr>
              <w:ind w:firstLine="420"/>
              <w:keepLines w:val="0"/>
              <w:keepNext w:val="0"/>
              <w:pageBreakBefore w:val="0"/>
              <w:spacing w:line="440" w:lineRule="exact"/>
              <w:widowControl/>
              <w:rPr>
                <w:rFonts w:hint="eastAsia"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2304"/>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人员管理及培训方案</w:t>
            </w:r>
            <w:r/>
          </w:p>
          <w:p>
            <w:pPr>
              <w:ind w:firstLine="0"/>
              <w:jc w:val="center"/>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Times New Roman"/>
                <w:bCs/>
                <w:color w:val="auto"/>
                <w:szCs w:val="24"/>
                <w:highlight w:val="none"/>
              </w:rPr>
              <w:t xml:space="preserve">（10分）</w:t>
            </w:r>
            <w:r/>
          </w:p>
        </w:tc>
        <w:tc>
          <w:tcPr>
            <w:tcW w:w="6833" w:type="dxa"/>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1、投标人提供项目人员管理方案。内容包括但不限于服务团队的管理制度方案、奖罚制度。评审小组根据方案的合理性、规范性、全面性</w:t>
            </w:r>
            <w:r>
              <w:rPr>
                <w:rFonts w:hint="eastAsia" w:ascii="宋体" w:hAnsi="宋体" w:eastAsia="宋体" w:cs="宋体"/>
                <w:color w:val="auto"/>
                <w:szCs w:val="21"/>
                <w:highlight w:val="none"/>
              </w:rPr>
              <w:t xml:space="preserve">进行打分</w:t>
            </w:r>
            <w:r>
              <w:rPr>
                <w:rFonts w:hint="eastAsia" w:ascii="宋体" w:hAnsi="宋体" w:eastAsia="宋体" w:cs="Times New Roman"/>
                <w:color w:val="auto"/>
                <w:szCs w:val="21"/>
                <w:highlight w:val="none"/>
              </w:rPr>
              <w:t xml:space="preserve">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不全面不规范、合理性差得0-1分；</w:t>
            </w:r>
            <w:r/>
          </w:p>
          <w:p>
            <w:pPr>
              <w:ind w:firstLine="420"/>
              <w:keepLines w:val="0"/>
              <w:keepNext w:val="0"/>
              <w:pageBreakBefore w:val="0"/>
              <w:spacing w:line="440" w:lineRule="exact"/>
              <w:widowControl/>
              <w:rPr>
                <w:rFonts w:hint="eastAsia"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p>
            <w:pPr>
              <w:ind w:firstLine="420"/>
              <w:jc w:val="left"/>
              <w:keepLines w:val="0"/>
              <w:keepNext w:val="0"/>
              <w:pageBreakBefore w:val="0"/>
              <w:spacing w:line="38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2、投标人提供项目人员培训方案。内容包括但不限于服务团队的考评与培训计划、养老护理员培训方案。评审小组根据方案的合理性、规范性、全面性</w:t>
            </w:r>
            <w:r>
              <w:rPr>
                <w:rFonts w:hint="eastAsia" w:ascii="宋体" w:hAnsi="宋体" w:eastAsia="宋体" w:cs="宋体"/>
                <w:color w:val="auto"/>
                <w:szCs w:val="21"/>
                <w:highlight w:val="none"/>
              </w:rPr>
              <w:t xml:space="preserve">进行打分</w:t>
            </w:r>
            <w:r>
              <w:rPr>
                <w:rFonts w:hint="eastAsia" w:ascii="宋体" w:hAnsi="宋体" w:eastAsia="宋体" w:cs="Times New Roman"/>
                <w:color w:val="auto"/>
                <w:szCs w:val="21"/>
                <w:highlight w:val="none"/>
              </w:rPr>
              <w:t xml:space="preserve">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不全面不规范、合理性差得0-1分；</w:t>
            </w:r>
            <w:r/>
          </w:p>
          <w:p>
            <w:pPr>
              <w:ind w:firstLine="420"/>
              <w:keepLines w:val="0"/>
              <w:keepNext w:val="0"/>
              <w:pageBreakBefore w:val="0"/>
              <w:spacing w:line="440" w:lineRule="exact"/>
              <w:widowControl/>
              <w:rPr>
                <w:rFonts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381"/>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综合协调解决方案（</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分）</w:t>
            </w:r>
            <w:r/>
          </w:p>
        </w:tc>
        <w:tc>
          <w:tcPr>
            <w:tcW w:w="6833" w:type="dxa"/>
            <w:vAlign w:val="center"/>
            <w:textDirection w:val="lrTb"/>
            <w:noWrap w:val="false"/>
          </w:tcPr>
          <w:p>
            <w:pPr>
              <w:ind w:firstLine="420"/>
              <w:keepLines w:val="0"/>
              <w:keepNext w:val="0"/>
              <w:pageBreakBefore w:val="0"/>
              <w:spacing w:line="38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投标人提供运营期间与其他单位、政府部门等的综合协调方案。评审小组根据方案的合理性、规范性、全面性进行打分得0-5分，无此内容描述不得分。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不全面不规范、合理性差得0-1分；</w:t>
            </w:r>
            <w:r/>
          </w:p>
          <w:p>
            <w:pPr>
              <w:ind w:firstLine="420"/>
              <w:keepLines w:val="0"/>
              <w:keepNext w:val="0"/>
              <w:pageBreakBefore w:val="0"/>
              <w:spacing w:line="440" w:lineRule="exact"/>
              <w:widowControl/>
              <w:rPr>
                <w:rFonts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240"/>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W w:w="1701"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突发事件应急预案（5分）</w:t>
            </w:r>
            <w:r/>
          </w:p>
        </w:tc>
        <w:tc>
          <w:tcPr>
            <w:shd w:val="clear" w:color="auto" w:fill="auto"/>
            <w:tcW w:w="6833" w:type="dxa"/>
            <w:vAlign w:val="center"/>
            <w:textDirection w:val="lrTb"/>
            <w:noWrap w:val="false"/>
          </w:tcPr>
          <w:p>
            <w:pPr>
              <w:ind w:firstLine="420"/>
              <w:keepLines w:val="0"/>
              <w:keepNext w:val="0"/>
              <w:pageBreakBefore w:val="0"/>
              <w:spacing w:line="38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投标人提供突发事件应急预案。内容包括但不限于在服务过程中老人出现意外情况及服务人员出现意外情况的应对方案。评审小组根据方案的合理性、规范性、全面性进行打分得0-5分，无此内容描述不得分。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全面规范、合理性强得3-5分；</w:t>
            </w:r>
            <w:r/>
          </w:p>
          <w:p>
            <w:pPr>
              <w:ind w:firstLine="420"/>
              <w:keepLines w:val="0"/>
              <w:keepNext w:val="0"/>
              <w:pageBreakBefore w:val="0"/>
              <w:spacing w:line="440" w:lineRule="exact"/>
              <w:widowControl/>
              <w:rPr>
                <w:rFonts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较全面规范、合理性较强得1-3分；</w:t>
            </w:r>
            <w:r/>
          </w:p>
          <w:p>
            <w:pPr>
              <w:ind w:firstLine="420"/>
              <w:keepLines w:val="0"/>
              <w:keepNext w:val="0"/>
              <w:pageBreakBefore w:val="0"/>
              <w:spacing w:line="440" w:lineRule="exact"/>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不全面不规范、合理性差得0-1分；</w:t>
            </w:r>
            <w:r/>
          </w:p>
          <w:p>
            <w:pPr>
              <w:ind w:firstLine="420"/>
              <w:keepLines w:val="0"/>
              <w:keepNext w:val="0"/>
              <w:pageBreakBefore w:val="0"/>
              <w:spacing w:line="440" w:lineRule="exact"/>
              <w:widowControl/>
              <w:rPr>
                <w:rFonts w:hint="eastAsia"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1240"/>
          <w:tblHeader/>
        </w:trPr>
        <w:tc>
          <w:tcPr>
            <w:tcW w:w="1217" w:type="dxa"/>
            <w:vAlign w:val="center"/>
            <w:vMerge w:val="continue"/>
            <w:textDirection w:val="lrTb"/>
            <w:noWrap w:val="false"/>
          </w:tcPr>
          <w:p>
            <w:pPr>
              <w:ind w:firstLine="0"/>
              <w:jc w:val="center"/>
              <w:keepLines w:val="0"/>
              <w:keepNext w:val="0"/>
              <w:pageBreakBefore w:val="0"/>
              <w:spacing w:line="3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widowControl/>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创新性、合理化建议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5分</w:t>
            </w:r>
            <w:r>
              <w:rPr>
                <w:rFonts w:hint="eastAsia" w:ascii="宋体" w:hAnsi="宋体" w:eastAsia="宋体" w:cs="Times New Roman"/>
                <w:color w:val="auto"/>
                <w:szCs w:val="21"/>
                <w:highlight w:val="none"/>
                <w:lang w:eastAsia="zh-CN"/>
              </w:rPr>
              <w:t xml:space="preserve">）</w:t>
            </w:r>
            <w:r/>
          </w:p>
        </w:tc>
        <w:tc>
          <w:tcPr>
            <w:tcW w:w="6833" w:type="dxa"/>
            <w:vAlign w:val="center"/>
            <w:textDirection w:val="lrTb"/>
            <w:noWrap w:val="false"/>
          </w:tcPr>
          <w:p>
            <w:pPr>
              <w:ind w:firstLine="420"/>
              <w:keepLines w:val="0"/>
              <w:keepNext w:val="0"/>
              <w:pageBreakBefore w:val="0"/>
              <w:spacing w:line="380" w:lineRule="exact"/>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投标人针对本项目实施提供创新性、合理化建议，包括但不限于创新性、特色的服务内容或想法建议等，实际有效、全面具体、具有前瞻性的。</w:t>
            </w:r>
            <w:r/>
          </w:p>
          <w:p>
            <w:pPr>
              <w:ind w:firstLine="420"/>
              <w:keepLines w:val="0"/>
              <w:keepNext w:val="0"/>
              <w:pageBreakBefore w:val="0"/>
              <w:spacing w:line="380" w:lineRule="exact"/>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全面规范、合理性强得</w:t>
            </w:r>
            <w:r>
              <w:rPr>
                <w:rFonts w:hint="eastAsia" w:ascii="宋体" w:hAnsi="宋体" w:eastAsia="宋体" w:cs="Times New Roman"/>
                <w:color w:val="auto"/>
                <w:szCs w:val="21"/>
                <w:highlight w:val="none"/>
                <w:lang w:val="en-US" w:eastAsia="zh-CN"/>
              </w:rPr>
              <w:t xml:space="preserve">3-5分；</w:t>
            </w:r>
            <w:r/>
          </w:p>
          <w:p>
            <w:pPr>
              <w:ind w:firstLine="420"/>
              <w:keepLines w:val="0"/>
              <w:keepNext w:val="0"/>
              <w:pageBreakBefore w:val="0"/>
              <w:spacing w:line="380" w:lineRule="exact"/>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较全面规范、合理性较强得</w:t>
            </w:r>
            <w:r>
              <w:rPr>
                <w:rFonts w:hint="eastAsia" w:ascii="宋体" w:hAnsi="宋体" w:eastAsia="宋体" w:cs="Times New Roman"/>
                <w:color w:val="auto"/>
                <w:szCs w:val="21"/>
                <w:highlight w:val="none"/>
                <w:lang w:val="en-US" w:eastAsia="zh-CN"/>
              </w:rPr>
              <w:t xml:space="preserve">1-3分；</w:t>
            </w:r>
            <w:r/>
          </w:p>
          <w:p>
            <w:pPr>
              <w:ind w:firstLine="420"/>
              <w:keepLines w:val="0"/>
              <w:keepNext w:val="0"/>
              <w:pageBreakBefore w:val="0"/>
              <w:spacing w:line="380" w:lineRule="exact"/>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方案</w:t>
            </w:r>
            <w:r>
              <w:rPr>
                <w:rFonts w:hint="eastAsia" w:ascii="宋体" w:hAnsi="宋体" w:eastAsia="宋体" w:cs="宋体"/>
                <w:bCs/>
                <w:color w:val="auto"/>
                <w:szCs w:val="21"/>
                <w:highlight w:val="none"/>
              </w:rPr>
              <w:t xml:space="preserve">不全面不规范、合理性差得</w:t>
            </w:r>
            <w:r>
              <w:rPr>
                <w:rFonts w:hint="eastAsia" w:ascii="宋体" w:hAnsi="宋体" w:eastAsia="宋体" w:cs="Times New Roman"/>
                <w:color w:val="auto"/>
                <w:szCs w:val="21"/>
                <w:highlight w:val="none"/>
                <w:lang w:val="en-US" w:eastAsia="zh-CN"/>
              </w:rPr>
              <w:t xml:space="preserve">0-1分；</w:t>
            </w:r>
            <w:r/>
          </w:p>
          <w:p>
            <w:pPr>
              <w:ind w:firstLine="420"/>
              <w:keepLines w:val="0"/>
              <w:keepNext w:val="0"/>
              <w:pageBreakBefore w:val="0"/>
              <w:spacing w:line="380" w:lineRule="exact"/>
              <w:widowControl/>
              <w:rPr>
                <w:rFonts w:hint="eastAsia" w:ascii="金山简黑体" w:hAnsi="Courier New" w:eastAsia="金山简黑体" w:cs="Times New Roman"/>
                <w:b/>
                <w:color w:val="auto"/>
                <w:spacing w:val="-8"/>
                <w:sz w:val="44"/>
                <w:szCs w:val="20"/>
                <w:highlight w:val="none"/>
                <w:lang w:val="en-US" w:eastAsia="zh-CN" w:bidi="ar-SA"/>
              </w:rPr>
            </w:pPr>
            <w:r>
              <w:rPr>
                <w:rFonts w:hint="eastAsia" w:ascii="宋体" w:hAnsi="宋体" w:eastAsia="宋体" w:cs="Times New Roman"/>
                <w:b w:val="0"/>
                <w:color w:val="auto"/>
                <w:spacing w:val="0"/>
                <w:sz w:val="21"/>
                <w:szCs w:val="21"/>
                <w:highlight w:val="none"/>
                <w:lang w:val="en-US" w:eastAsia="zh-CN" w:bidi="ar-SA"/>
              </w:rPr>
              <w:t xml:space="preserve">未见阐述不得分。</w:t>
            </w:r>
            <w:r/>
          </w:p>
        </w:tc>
      </w:tr>
      <w:tr>
        <w:trPr>
          <w:jc w:val="center"/>
          <w:trHeight w:val="3109"/>
          <w:tblHeader/>
        </w:trPr>
        <w:tc>
          <w:tcPr>
            <w:tcW w:w="1217" w:type="dxa"/>
            <w:vAlign w:val="center"/>
            <w:vMerge w:val="restart"/>
            <w:textDirection w:val="lrTb"/>
            <w:noWrap w:val="false"/>
          </w:tcPr>
          <w:p>
            <w:pPr>
              <w:ind w:firstLine="0"/>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商务部分</w:t>
            </w:r>
            <w:r/>
          </w:p>
          <w:p>
            <w:pPr>
              <w:ind w:firstLine="0"/>
              <w:keepLines w:val="0"/>
              <w:keepNext w:val="0"/>
              <w:pageBreakBefore w:val="0"/>
              <w:spacing w:line="3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40</w:t>
            </w:r>
            <w:r>
              <w:rPr>
                <w:rFonts w:hint="eastAsia" w:ascii="宋体" w:hAnsi="宋体" w:eastAsia="宋体" w:cs="宋体"/>
                <w:color w:val="auto"/>
                <w:szCs w:val="21"/>
                <w:highlight w:val="none"/>
              </w:rPr>
              <w:t xml:space="preserve">分）</w:t>
            </w:r>
            <w:r/>
          </w:p>
        </w:tc>
        <w:tc>
          <w:tcPr>
            <w:tcW w:w="1701" w:type="dxa"/>
            <w:vAlign w:val="center"/>
            <w:textDirection w:val="lrTb"/>
            <w:noWrap w:val="false"/>
          </w:tcPr>
          <w:p>
            <w:pPr>
              <w:ind w:firstLine="0"/>
              <w:jc w:val="center"/>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项目负责人</w:t>
            </w:r>
            <w:r/>
          </w:p>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w:t>
            </w:r>
            <w:r/>
          </w:p>
        </w:tc>
        <w:tc>
          <w:tcPr>
            <w:tcW w:w="6833" w:type="dxa"/>
            <w:vAlign w:val="center"/>
            <w:textDirection w:val="lrTb"/>
            <w:noWrap w:val="false"/>
          </w:tcPr>
          <w:p>
            <w:pPr>
              <w:ind w:firstLine="420"/>
              <w:jc w:val="left"/>
              <w:keepLines w:val="0"/>
              <w:keepNext w:val="0"/>
              <w:pageBreakBefore w:val="0"/>
              <w:spacing w:line="380" w:lineRule="exact"/>
              <w:rPr>
                <w:rFonts w:ascii="宋体" w:hAnsi="宋体" w:eastAsia="宋体" w:cs="Times New Roman"/>
                <w:color w:val="auto"/>
                <w:szCs w:val="24"/>
                <w:highlight w:val="none"/>
              </w:rPr>
            </w:pPr>
            <w:r>
              <w:rPr>
                <w:rFonts w:hint="eastAsia" w:ascii="宋体" w:hAnsi="宋体" w:eastAsia="宋体" w:cs="Times New Roman"/>
                <w:color w:val="auto"/>
                <w:szCs w:val="21"/>
                <w:highlight w:val="none"/>
                <w:lang w:val="en-US" w:eastAsia="zh-CN"/>
              </w:rPr>
              <w:t xml:space="preserve">1、</w:t>
            </w:r>
            <w:r>
              <w:rPr>
                <w:rFonts w:ascii="宋体" w:hAnsi="宋体" w:eastAsia="宋体" w:cs="Times New Roman"/>
                <w:color w:val="auto"/>
                <w:szCs w:val="24"/>
                <w:highlight w:val="none"/>
              </w:rPr>
              <w:t xml:space="preserve">投标人项目负责人具有民政部或人力资源和社会保障部颁发的《中华人民共和国社会工作者职业水平（资格）证书》社会工作师（社会工作者</w:t>
            </w:r>
            <w:r>
              <w:rPr>
                <w:rFonts w:hint="eastAsia" w:ascii="宋体" w:hAnsi="宋体" w:eastAsia="宋体" w:cs="Times New Roman"/>
                <w:color w:val="auto"/>
                <w:szCs w:val="24"/>
                <w:highlight w:val="none"/>
                <w:lang w:eastAsia="zh-CN"/>
              </w:rPr>
              <w:t xml:space="preserve">）</w:t>
            </w:r>
            <w:r>
              <w:rPr>
                <w:rFonts w:ascii="宋体" w:hAnsi="宋体" w:eastAsia="宋体" w:cs="Times New Roman"/>
                <w:color w:val="auto"/>
                <w:szCs w:val="24"/>
                <w:highlight w:val="none"/>
              </w:rPr>
              <w:t xml:space="preserve">中级</w:t>
            </w:r>
            <w:r>
              <w:rPr>
                <w:rFonts w:hint="eastAsia" w:ascii="宋体" w:hAnsi="宋体" w:eastAsia="宋体" w:cs="Times New Roman"/>
                <w:color w:val="auto"/>
                <w:szCs w:val="24"/>
                <w:highlight w:val="none"/>
                <w:lang w:val="en-US" w:eastAsia="zh-CN"/>
              </w:rPr>
              <w:t xml:space="preserve">（</w:t>
            </w:r>
            <w:r>
              <w:rPr>
                <w:rFonts w:ascii="宋体" w:hAnsi="宋体" w:eastAsia="宋体" w:cs="Times New Roman"/>
                <w:color w:val="auto"/>
                <w:szCs w:val="24"/>
                <w:highlight w:val="none"/>
              </w:rPr>
              <w:t xml:space="preserve">四级</w:t>
            </w:r>
            <w:r>
              <w:rPr>
                <w:rFonts w:hint="eastAsia" w:ascii="宋体" w:hAnsi="宋体" w:eastAsia="宋体" w:cs="Times New Roman"/>
                <w:color w:val="auto"/>
                <w:szCs w:val="24"/>
                <w:highlight w:val="none"/>
                <w:lang w:val="en-US" w:eastAsia="zh-CN"/>
              </w:rPr>
              <w:t xml:space="preserve">）</w:t>
            </w:r>
            <w:r>
              <w:rPr>
                <w:rFonts w:hint="eastAsia" w:ascii="宋体" w:hAnsi="宋体" w:eastAsia="宋体" w:cs="Times New Roman"/>
                <w:color w:val="auto"/>
                <w:szCs w:val="24"/>
                <w:highlight w:val="none"/>
              </w:rPr>
              <w:t xml:space="preserve">及以上资格</w:t>
            </w:r>
            <w:r>
              <w:rPr>
                <w:rFonts w:ascii="宋体" w:hAnsi="宋体" w:eastAsia="宋体" w:cs="Times New Roman"/>
                <w:color w:val="auto"/>
                <w:szCs w:val="24"/>
                <w:highlight w:val="none"/>
              </w:rPr>
              <w:t xml:space="preserve">的得</w:t>
            </w:r>
            <w:r>
              <w:rPr>
                <w:rFonts w:hint="eastAsia" w:ascii="宋体" w:hAnsi="宋体" w:eastAsia="宋体" w:cs="Times New Roman"/>
                <w:color w:val="auto"/>
                <w:szCs w:val="24"/>
                <w:highlight w:val="none"/>
                <w:lang w:val="en-US" w:eastAsia="zh-CN"/>
              </w:rPr>
              <w:t xml:space="preserve">2</w:t>
            </w:r>
            <w:r>
              <w:rPr>
                <w:rFonts w:ascii="宋体" w:hAnsi="宋体" w:eastAsia="宋体" w:cs="Times New Roman"/>
                <w:color w:val="auto"/>
                <w:szCs w:val="24"/>
                <w:highlight w:val="none"/>
              </w:rPr>
              <w:t xml:space="preserve">分，此项最高得</w:t>
            </w:r>
            <w:r>
              <w:rPr>
                <w:rFonts w:hint="eastAsia" w:ascii="宋体" w:hAnsi="宋体" w:eastAsia="宋体" w:cs="Times New Roman"/>
                <w:color w:val="auto"/>
                <w:szCs w:val="21"/>
                <w:highlight w:val="none"/>
                <w:lang w:val="en-US" w:eastAsia="zh-CN"/>
              </w:rPr>
              <w:t xml:space="preserve">2</w:t>
            </w:r>
            <w:r>
              <w:rPr>
                <w:rFonts w:ascii="宋体" w:hAnsi="宋体" w:eastAsia="宋体" w:cs="Times New Roman"/>
                <w:color w:val="auto"/>
                <w:szCs w:val="24"/>
                <w:highlight w:val="none"/>
              </w:rPr>
              <w:t xml:space="preserve">分（提供资格证</w:t>
            </w:r>
            <w:r>
              <w:rPr>
                <w:rFonts w:hint="eastAsia" w:ascii="宋体" w:hAnsi="宋体" w:eastAsia="宋体" w:cs="Times New Roman"/>
                <w:color w:val="auto"/>
                <w:szCs w:val="24"/>
                <w:highlight w:val="none"/>
                <w:lang w:val="en-US" w:eastAsia="zh-CN"/>
              </w:rPr>
              <w:t xml:space="preserve">书</w:t>
            </w:r>
            <w:r>
              <w:rPr>
                <w:rFonts w:ascii="宋体" w:hAnsi="宋体" w:eastAsia="宋体" w:cs="Times New Roman"/>
                <w:color w:val="auto"/>
                <w:szCs w:val="24"/>
                <w:highlight w:val="none"/>
              </w:rPr>
              <w:t xml:space="preserve">）。</w:t>
            </w:r>
            <w:r/>
          </w:p>
          <w:p>
            <w:pPr>
              <w:ind w:firstLine="420"/>
              <w:jc w:val="left"/>
              <w:keepLines w:val="0"/>
              <w:keepNext w:val="0"/>
              <w:pageBreakBefore w:val="0"/>
              <w:spacing w:line="380" w:lineRule="exact"/>
              <w:rPr>
                <w:rFonts w:ascii="宋体" w:hAnsi="宋体" w:eastAsia="宋体" w:cs="Times New Roman"/>
                <w:strike/>
                <w:color w:val="auto"/>
                <w:szCs w:val="24"/>
                <w:highlight w:val="none"/>
              </w:rPr>
            </w:pPr>
            <w:r>
              <w:rPr>
                <w:rFonts w:hint="eastAsia" w:ascii="宋体" w:hAnsi="宋体" w:eastAsia="宋体" w:cs="Times New Roman"/>
                <w:color w:val="auto"/>
                <w:szCs w:val="24"/>
                <w:highlight w:val="none"/>
                <w:lang w:val="en-US" w:eastAsia="zh-CN"/>
              </w:rPr>
              <w:t xml:space="preserve">2</w:t>
            </w:r>
            <w:r>
              <w:rPr>
                <w:rFonts w:hint="eastAsia" w:ascii="宋体" w:hAnsi="宋体" w:eastAsia="宋体" w:cs="Times New Roman"/>
                <w:color w:val="auto"/>
                <w:szCs w:val="24"/>
                <w:highlight w:val="none"/>
              </w:rPr>
              <w:t xml:space="preserve">.</w:t>
            </w:r>
            <w:r>
              <w:rPr>
                <w:rFonts w:ascii="宋体" w:hAnsi="宋体" w:eastAsia="宋体" w:cs="Times New Roman"/>
                <w:color w:val="auto"/>
                <w:szCs w:val="24"/>
                <w:highlight w:val="none"/>
              </w:rPr>
              <w:t xml:space="preserve">投标人项目负责人具有</w:t>
            </w:r>
            <w:r>
              <w:rPr>
                <w:rFonts w:hint="eastAsia" w:ascii="宋体" w:hAnsi="宋体" w:eastAsia="宋体" w:cs="Times New Roman"/>
                <w:color w:val="auto"/>
                <w:szCs w:val="21"/>
                <w:highlight w:val="none"/>
              </w:rPr>
              <w:t xml:space="preserve">民政部门或人力资源和社会保障部门或职业技能鉴定相关机构颁发的老年人能力评估师资格</w:t>
            </w:r>
            <w:r>
              <w:rPr>
                <w:rFonts w:hint="eastAsia" w:ascii="宋体" w:hAnsi="宋体" w:eastAsia="宋体" w:cs="Times New Roman"/>
                <w:color w:val="auto"/>
                <w:szCs w:val="21"/>
                <w:highlight w:val="none"/>
                <w:lang w:eastAsia="zh-CN"/>
              </w:rPr>
              <w:t xml:space="preserve">，中级（四级）</w:t>
            </w:r>
            <w:r>
              <w:rPr>
                <w:rFonts w:ascii="宋体" w:hAnsi="宋体" w:eastAsia="宋体" w:cs="Times New Roman"/>
                <w:color w:val="auto"/>
                <w:szCs w:val="24"/>
                <w:highlight w:val="none"/>
              </w:rPr>
              <w:t xml:space="preserve">的得</w:t>
            </w:r>
            <w:r>
              <w:rPr>
                <w:rFonts w:hint="eastAsia" w:ascii="宋体" w:hAnsi="宋体" w:eastAsia="宋体" w:cs="Times New Roman"/>
                <w:color w:val="auto"/>
                <w:szCs w:val="24"/>
                <w:highlight w:val="none"/>
              </w:rPr>
              <w:t xml:space="preserve">2</w:t>
            </w:r>
            <w:r>
              <w:rPr>
                <w:rFonts w:ascii="宋体" w:hAnsi="宋体" w:eastAsia="宋体" w:cs="Times New Roman"/>
                <w:color w:val="auto"/>
                <w:szCs w:val="24"/>
                <w:highlight w:val="none"/>
              </w:rPr>
              <w:t xml:space="preserve">分，</w:t>
            </w:r>
            <w:r>
              <w:rPr>
                <w:rFonts w:ascii="Helvetica" w:hAnsi="Helvetica" w:eastAsia="Helvetica" w:cs="Helvetica"/>
                <w:i w:val="0"/>
                <w:iCs w:val="0"/>
                <w:caps w:val="0"/>
                <w:color w:val="auto"/>
                <w:spacing w:val="0"/>
                <w:sz w:val="21"/>
                <w:szCs w:val="21"/>
                <w:highlight w:val="none"/>
                <w:shd w:val="clear" w:color="auto" w:fill="ffffff"/>
              </w:rPr>
              <w:t xml:space="preserve">高级（三级）</w:t>
            </w:r>
            <w:r>
              <w:rPr>
                <w:rFonts w:hint="eastAsia" w:ascii="Helvetica" w:hAnsi="Helvetica" w:eastAsia="宋体" w:cs="Helvetica"/>
                <w:i w:val="0"/>
                <w:iCs w:val="0"/>
                <w:caps w:val="0"/>
                <w:color w:val="auto"/>
                <w:spacing w:val="0"/>
                <w:sz w:val="21"/>
                <w:szCs w:val="21"/>
                <w:highlight w:val="none"/>
                <w:shd w:val="clear" w:color="auto" w:fill="ffffff"/>
                <w:lang w:val="en-US" w:eastAsia="zh-CN"/>
              </w:rPr>
              <w:t xml:space="preserve">的得</w:t>
            </w:r>
            <w:r>
              <w:rPr>
                <w:rFonts w:hint="eastAsia" w:ascii="宋体" w:hAnsi="宋体" w:eastAsia="宋体" w:cs="Times New Roman"/>
                <w:color w:val="auto"/>
                <w:szCs w:val="24"/>
                <w:highlight w:val="none"/>
                <w:lang w:val="en-US" w:eastAsia="zh-CN"/>
              </w:rPr>
              <w:t xml:space="preserve">4分</w:t>
            </w:r>
            <w:r>
              <w:rPr>
                <w:rFonts w:hint="eastAsia" w:ascii="Helvetica" w:hAnsi="Helvetica" w:eastAsia="宋体" w:cs="Helvetica"/>
                <w:i w:val="0"/>
                <w:iCs w:val="0"/>
                <w:caps w:val="0"/>
                <w:color w:val="auto"/>
                <w:spacing w:val="0"/>
                <w:sz w:val="21"/>
                <w:szCs w:val="21"/>
                <w:highlight w:val="none"/>
                <w:shd w:val="clear" w:color="auto" w:fill="ffffff"/>
                <w:lang w:val="en-US" w:eastAsia="zh-CN"/>
              </w:rPr>
              <w:t xml:space="preserve">，</w:t>
            </w:r>
            <w:r>
              <w:rPr>
                <w:rFonts w:ascii="宋体" w:hAnsi="宋体" w:eastAsia="宋体" w:cs="Times New Roman"/>
                <w:color w:val="auto"/>
                <w:szCs w:val="24"/>
                <w:highlight w:val="none"/>
              </w:rPr>
              <w:t xml:space="preserve">此项最高得</w:t>
            </w:r>
            <w:r>
              <w:rPr>
                <w:rFonts w:hint="eastAsia" w:ascii="宋体" w:hAnsi="宋体" w:eastAsia="宋体" w:cs="Times New Roman"/>
                <w:color w:val="auto"/>
                <w:szCs w:val="24"/>
                <w:highlight w:val="none"/>
                <w:lang w:val="en-US" w:eastAsia="zh-CN"/>
              </w:rPr>
              <w:t xml:space="preserve">4</w:t>
            </w:r>
            <w:r>
              <w:rPr>
                <w:rFonts w:ascii="宋体" w:hAnsi="宋体" w:eastAsia="宋体" w:cs="Times New Roman"/>
                <w:color w:val="auto"/>
                <w:szCs w:val="24"/>
                <w:highlight w:val="none"/>
              </w:rPr>
              <w:t xml:space="preserve">分（提供资格证</w:t>
            </w:r>
            <w:r>
              <w:rPr>
                <w:rFonts w:hint="eastAsia" w:ascii="宋体" w:hAnsi="宋体" w:eastAsia="宋体" w:cs="Times New Roman"/>
                <w:color w:val="auto"/>
                <w:szCs w:val="24"/>
                <w:highlight w:val="none"/>
                <w:lang w:val="en-US" w:eastAsia="zh-CN"/>
              </w:rPr>
              <w:t xml:space="preserve">书</w:t>
            </w:r>
            <w:r>
              <w:rPr>
                <w:rFonts w:ascii="宋体" w:hAnsi="宋体" w:eastAsia="宋体" w:cs="Times New Roman"/>
                <w:color w:val="auto"/>
                <w:szCs w:val="24"/>
                <w:highlight w:val="none"/>
              </w:rPr>
              <w:t xml:space="preserve">）。</w:t>
            </w:r>
            <w:r/>
          </w:p>
          <w:p>
            <w:pPr>
              <w:ind w:firstLine="420"/>
              <w:jc w:val="left"/>
              <w:keepLines w:val="0"/>
              <w:keepNext w:val="0"/>
              <w:pageBreakBefore w:val="0"/>
              <w:spacing w:line="380" w:lineRule="exact"/>
              <w:rPr>
                <w:rFonts w:hint="eastAsia" w:ascii="宋体" w:hAnsi="宋体" w:eastAsia="宋体" w:cs="Times New Roman"/>
                <w:color w:val="auto"/>
                <w:szCs w:val="21"/>
                <w:highlight w:val="none"/>
              </w:rPr>
            </w:pPr>
            <w:r>
              <w:rPr>
                <w:rFonts w:ascii="宋体" w:hAnsi="宋体" w:eastAsia="宋体" w:cs="Times New Roman"/>
                <w:color w:val="auto"/>
                <w:szCs w:val="24"/>
                <w:highlight w:val="none"/>
              </w:rPr>
              <w:t xml:space="preserve">注：项目负责人须为投标人正式员工，须在投标文件中提供项目负责人学历证书、资格证书、</w:t>
            </w:r>
            <w:r>
              <w:rPr>
                <w:rFonts w:hint="eastAsia" w:ascii="宋体" w:hAnsi="宋体" w:eastAsia="宋体" w:cs="Times New Roman"/>
                <w:strike w:val="0"/>
                <w:color w:val="auto"/>
                <w:szCs w:val="21"/>
                <w:highlight w:val="none"/>
              </w:rPr>
              <w:t xml:space="preserve">劳动合同</w:t>
            </w:r>
            <w:r>
              <w:rPr>
                <w:rFonts w:ascii="宋体" w:hAnsi="宋体" w:eastAsia="宋体" w:cs="Times New Roman"/>
                <w:color w:val="auto"/>
                <w:szCs w:val="24"/>
                <w:highlight w:val="none"/>
              </w:rPr>
              <w:t xml:space="preserve">等原件的扫描件，否则相应得分项不得分。</w:t>
            </w:r>
            <w:r/>
          </w:p>
        </w:tc>
      </w:tr>
      <w:tr>
        <w:trPr>
          <w:jc w:val="center"/>
          <w:trHeight w:val="3109"/>
          <w:tblHeader/>
        </w:trPr>
        <w:tc>
          <w:tcPr>
            <w:tcW w:w="1217" w:type="dxa"/>
            <w:vAlign w:val="center"/>
            <w:vMerge w:val="continue"/>
            <w:textDirection w:val="lrTb"/>
            <w:noWrap w:val="false"/>
          </w:tcPr>
          <w:p>
            <w:pPr>
              <w:ind w:firstLine="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服务团队配置</w:t>
            </w:r>
            <w:r/>
          </w:p>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11</w:t>
            </w:r>
            <w:r>
              <w:rPr>
                <w:rFonts w:hint="eastAsia" w:ascii="宋体" w:hAnsi="宋体" w:eastAsia="宋体" w:cs="Times New Roman"/>
                <w:color w:val="auto"/>
                <w:szCs w:val="21"/>
                <w:highlight w:val="none"/>
              </w:rPr>
              <w:t xml:space="preserve">分）</w:t>
            </w:r>
            <w:r/>
          </w:p>
        </w:tc>
        <w:tc>
          <w:tcPr>
            <w:tcW w:w="6833" w:type="dxa"/>
            <w:vAlign w:val="center"/>
            <w:textDirection w:val="lrTb"/>
            <w:noWrap w:val="false"/>
          </w:tcPr>
          <w:p>
            <w:pPr>
              <w:ind w:firstLine="0"/>
              <w:jc w:val="left"/>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投标人针对本项目的服务配置团队（不含项目负责人）要求如下：</w:t>
            </w:r>
            <w:r/>
          </w:p>
          <w:p>
            <w:pPr>
              <w:ind w:firstLine="420"/>
              <w:jc w:val="left"/>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1、服务团队中具有民政部或人力资源和社会保障部颁发的《中华人民共和国社会工作者职业水平（资格）证书》中级及以上证书的，每有一人得</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分；本项最高得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ind w:firstLine="420"/>
              <w:jc w:val="left"/>
              <w:keepLines w:val="0"/>
              <w:keepNext w:val="0"/>
              <w:pageBreakBefore w:val="0"/>
              <w:spacing w:line="3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、服务团队中具有民政部门或人力资源和社会保障部门或职业技能鉴定相关机构颁发的</w:t>
            </w:r>
            <w:r>
              <w:rPr>
                <w:rFonts w:hint="eastAsia" w:ascii="宋体" w:hAnsi="宋体" w:eastAsia="宋体" w:cs="Times New Roman"/>
                <w:color w:val="auto"/>
                <w:szCs w:val="21"/>
                <w:highlight w:val="none"/>
                <w:lang w:val="en-US" w:eastAsia="zh-CN"/>
              </w:rPr>
              <w:t xml:space="preserve">四</w:t>
            </w:r>
            <w:r>
              <w:rPr>
                <w:rFonts w:hint="eastAsia" w:ascii="宋体" w:hAnsi="宋体" w:eastAsia="宋体" w:cs="Times New Roman"/>
                <w:color w:val="auto"/>
                <w:szCs w:val="21"/>
                <w:highlight w:val="none"/>
              </w:rPr>
              <w:t xml:space="preserve">级（</w:t>
            </w:r>
            <w:r>
              <w:rPr>
                <w:rFonts w:hint="eastAsia" w:ascii="宋体" w:hAnsi="宋体" w:eastAsia="宋体" w:cs="Times New Roman"/>
                <w:color w:val="auto"/>
                <w:szCs w:val="21"/>
                <w:highlight w:val="none"/>
                <w:lang w:val="en-US" w:eastAsia="zh-CN"/>
              </w:rPr>
              <w:t xml:space="preserve">中</w:t>
            </w:r>
            <w:r>
              <w:rPr>
                <w:rFonts w:hint="eastAsia" w:ascii="宋体" w:hAnsi="宋体" w:eastAsia="宋体" w:cs="Times New Roman"/>
                <w:color w:val="auto"/>
                <w:szCs w:val="21"/>
                <w:highlight w:val="none"/>
              </w:rPr>
              <w:t xml:space="preserve">级）及以上老年人能力评估师证书，每有一人得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分，本项最高得</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w:t>
            </w:r>
            <w:r/>
          </w:p>
          <w:p>
            <w:pPr>
              <w:ind w:firstLine="420"/>
              <w:jc w:val="left"/>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、服务团队中具有卫健部门或医疗部门或人力资源和社会保障部门或职业技能鉴定相关机构颁发的医生或医师、</w:t>
            </w:r>
            <w:r>
              <w:rPr>
                <w:rFonts w:hint="eastAsia" w:ascii="宋体" w:hAnsi="宋体" w:eastAsia="宋体" w:cs="Times New Roman"/>
                <w:color w:val="auto"/>
                <w:szCs w:val="21"/>
                <w:highlight w:val="none"/>
                <w:lang w:val="en-US" w:eastAsia="zh-CN"/>
              </w:rPr>
              <w:t xml:space="preserve">护士</w:t>
            </w:r>
            <w:r>
              <w:rPr>
                <w:rFonts w:hint="eastAsia" w:ascii="宋体" w:hAnsi="宋体" w:eastAsia="宋体" w:cs="Times New Roman"/>
                <w:color w:val="auto"/>
                <w:szCs w:val="21"/>
                <w:highlight w:val="none"/>
              </w:rPr>
              <w:t xml:space="preserve">、心理咨询师、康复治疗师、健康管理师的证书的，每有一</w:t>
            </w:r>
            <w:r>
              <w:rPr>
                <w:rFonts w:hint="eastAsia" w:ascii="宋体" w:hAnsi="宋体" w:eastAsia="宋体" w:cs="Times New Roman"/>
                <w:color w:val="auto"/>
                <w:szCs w:val="21"/>
                <w:highlight w:val="none"/>
                <w:lang w:val="en-US" w:eastAsia="zh-CN"/>
              </w:rPr>
              <w:t xml:space="preserve">张</w:t>
            </w:r>
            <w:r>
              <w:rPr>
                <w:rFonts w:hint="eastAsia" w:ascii="宋体" w:hAnsi="宋体" w:eastAsia="宋体" w:cs="Times New Roman"/>
                <w:color w:val="auto"/>
                <w:szCs w:val="21"/>
                <w:highlight w:val="none"/>
              </w:rPr>
              <w:t xml:space="preserve">得</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分，本项满分</w:t>
            </w:r>
            <w:r>
              <w:rPr>
                <w:rFonts w:hint="eastAsia" w:ascii="宋体" w:hAnsi="宋体" w:eastAsia="宋体" w:cs="Times New Roman"/>
                <w:strike w:val="0"/>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p>
            <w:pPr>
              <w:ind w:firstLine="420"/>
              <w:jc w:val="left"/>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w:t>
            </w:r>
            <w:r>
              <w:rPr>
                <w:rFonts w:hint="eastAsia" w:ascii="宋体" w:hAnsi="宋体"/>
                <w:color w:val="auto"/>
                <w:szCs w:val="21"/>
                <w:highlight w:val="none"/>
              </w:rPr>
              <w:t xml:space="preserve">提供以上相应得分项人员的相关证书、劳动合同原件的扫描件，两者缺一不可，否则相应得分项不得分。服务团队配置中同一人持不同证书不重复计取得分。</w:t>
            </w:r>
            <w:r/>
          </w:p>
        </w:tc>
      </w:tr>
      <w:tr>
        <w:trPr>
          <w:jc w:val="center"/>
          <w:trHeight w:val="1691"/>
          <w:tblHeader/>
        </w:trPr>
        <w:tc>
          <w:tcPr>
            <w:tcW w:w="1217" w:type="dxa"/>
            <w:vAlign w:val="center"/>
            <w:vMerge w:val="continue"/>
            <w:textDirection w:val="lrTb"/>
            <w:noWrap w:val="false"/>
          </w:tcPr>
          <w:p>
            <w:pPr>
              <w:ind w:firstLine="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rPr>
                <w:rFonts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认证证书</w:t>
            </w:r>
            <w:r/>
          </w:p>
          <w:p>
            <w:pPr>
              <w:ind w:firstLine="0"/>
              <w:jc w:val="center"/>
              <w:keepLines w:val="0"/>
              <w:keepNext w:val="0"/>
              <w:pageBreakBefore w:val="0"/>
              <w:spacing w:line="380" w:lineRule="exact"/>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9</w:t>
            </w:r>
            <w:r>
              <w:rPr>
                <w:rFonts w:hint="eastAsia" w:ascii="宋体" w:hAnsi="宋体" w:eastAsia="宋体" w:cs="Times New Roman"/>
                <w:strike w:val="0"/>
                <w:color w:val="auto"/>
                <w:szCs w:val="21"/>
                <w:highlight w:val="none"/>
              </w:rPr>
              <w:t xml:space="preserve">分）</w:t>
            </w:r>
            <w:r/>
          </w:p>
        </w:tc>
        <w:tc>
          <w:tcPr>
            <w:tcW w:w="6833" w:type="dxa"/>
            <w:vAlign w:val="center"/>
            <w:textDirection w:val="lrTb"/>
            <w:noWrap w:val="false"/>
          </w:tcPr>
          <w:p>
            <w:pPr>
              <w:ind w:firstLine="0"/>
              <w:jc w:val="left"/>
              <w:keepLines w:val="0"/>
              <w:keepNext w:val="0"/>
              <w:pageBreakBefore w:val="0"/>
              <w:spacing w:line="380" w:lineRule="exact"/>
              <w:rPr>
                <w:rFonts w:ascii="宋体" w:hAnsi="宋体" w:eastAsia="宋体" w:cs="Times New Roman"/>
                <w:strike w:val="0"/>
                <w:color w:val="auto"/>
                <w:szCs w:val="21"/>
                <w:highlight w:val="none"/>
              </w:rPr>
            </w:pPr>
            <w:r>
              <w:rPr>
                <w:rFonts w:ascii="宋体" w:hAnsi="宋体" w:eastAsia="宋体" w:cs="Times New Roman"/>
                <w:strike w:val="0"/>
                <w:color w:val="auto"/>
                <w:szCs w:val="21"/>
                <w:highlight w:val="none"/>
              </w:rPr>
              <w:t xml:space="preserve">1.投标人具有限期内的质量管理体系认证证书、环境管理体系认证证书、职业健康安全管理体系认证证书的，</w:t>
            </w:r>
            <w:r>
              <w:rPr>
                <w:rFonts w:hint="eastAsia" w:ascii="宋体" w:hAnsi="宋体" w:eastAsia="宋体" w:cs="Times New Roman"/>
                <w:strike w:val="0"/>
                <w:color w:val="auto"/>
                <w:szCs w:val="21"/>
                <w:highlight w:val="none"/>
              </w:rPr>
              <w:t xml:space="preserve">每提供一项得</w:t>
            </w:r>
            <w:r>
              <w:rPr>
                <w:rFonts w:hint="eastAsia" w:ascii="宋体" w:hAnsi="宋体" w:eastAsia="宋体" w:cs="Times New Roman"/>
                <w:strike w:val="0"/>
                <w:color w:val="auto"/>
                <w:szCs w:val="21"/>
                <w:highlight w:val="none"/>
                <w:lang w:val="en-US" w:eastAsia="zh-CN"/>
              </w:rPr>
              <w:t xml:space="preserve">3</w:t>
            </w:r>
            <w:r>
              <w:rPr>
                <w:rFonts w:hint="eastAsia" w:ascii="宋体" w:hAnsi="宋体" w:eastAsia="宋体" w:cs="Times New Roman"/>
                <w:strike w:val="0"/>
                <w:color w:val="auto"/>
                <w:szCs w:val="21"/>
                <w:highlight w:val="none"/>
              </w:rPr>
              <w:t xml:space="preserve">分</w:t>
            </w:r>
            <w:r>
              <w:rPr>
                <w:rFonts w:hint="eastAsia" w:ascii="宋体" w:hAnsi="宋体" w:eastAsia="宋体" w:cs="Times New Roman"/>
                <w:strike w:val="0"/>
                <w:color w:val="auto"/>
                <w:szCs w:val="21"/>
                <w:highlight w:val="none"/>
                <w:lang w:eastAsia="zh-CN"/>
              </w:rPr>
              <w:t xml:space="preserve">，</w:t>
            </w:r>
            <w:r>
              <w:rPr>
                <w:rFonts w:hint="eastAsia" w:ascii="宋体" w:hAnsi="宋体" w:eastAsia="宋体" w:cs="Times New Roman"/>
                <w:strike w:val="0"/>
                <w:color w:val="auto"/>
                <w:szCs w:val="21"/>
                <w:highlight w:val="none"/>
                <w:lang w:val="en-US" w:eastAsia="zh-CN"/>
              </w:rPr>
              <w:t xml:space="preserve">最高得9分</w:t>
            </w:r>
            <w:r>
              <w:rPr>
                <w:rFonts w:ascii="宋体" w:hAnsi="宋体" w:eastAsia="宋体" w:cs="Times New Roman"/>
                <w:strike w:val="0"/>
                <w:color w:val="auto"/>
                <w:szCs w:val="21"/>
                <w:highlight w:val="none"/>
              </w:rPr>
              <w:t xml:space="preserve">。（投标人须提供相关证书原件扫描件，未提供的不得分）</w:t>
            </w:r>
            <w:r/>
          </w:p>
          <w:p>
            <w:pPr>
              <w:ind w:firstLine="0"/>
              <w:jc w:val="left"/>
              <w:keepLines w:val="0"/>
              <w:keepNext w:val="0"/>
              <w:pageBreakBefore w:val="0"/>
              <w:spacing w:line="380" w:lineRule="exact"/>
              <w:rPr>
                <w:rFonts w:hint="eastAsia" w:ascii="宋体" w:hAnsi="宋体" w:eastAsia="宋体" w:cs="Times New Roman"/>
                <w:strike w:val="0"/>
                <w:color w:val="auto"/>
                <w:szCs w:val="21"/>
                <w:highlight w:val="none"/>
              </w:rPr>
            </w:pPr>
            <w:r>
              <w:rPr>
                <w:rFonts w:ascii="宋体" w:hAnsi="宋体" w:eastAsia="宋体" w:cs="Times New Roman"/>
                <w:strike w:val="0"/>
                <w:color w:val="auto"/>
                <w:szCs w:val="24"/>
                <w:highlight w:val="none"/>
              </w:rPr>
              <w:t xml:space="preserve">注：</w:t>
            </w:r>
            <w:r>
              <w:rPr>
                <w:rFonts w:hint="eastAsia" w:ascii="宋体" w:hAnsi="宋体" w:eastAsia="宋体" w:cs="Times New Roman"/>
                <w:strike w:val="0"/>
                <w:color w:val="auto"/>
                <w:szCs w:val="21"/>
                <w:highlight w:val="none"/>
              </w:rPr>
              <w:t xml:space="preserve">提供证书原件的扫描件及国家认证认可监督管理委员会信息平台（http://cx.cnca.cn）查询截图加盖公章，否则不得分。</w:t>
            </w:r>
            <w:r/>
          </w:p>
        </w:tc>
      </w:tr>
      <w:tr>
        <w:trPr>
          <w:jc w:val="center"/>
          <w:trHeight w:val="2104"/>
          <w:tblHeader/>
        </w:trPr>
        <w:tc>
          <w:tcPr>
            <w:tcW w:w="1217" w:type="dxa"/>
            <w:vAlign w:val="center"/>
            <w:vMerge w:val="continue"/>
            <w:textDirection w:val="lrTb"/>
            <w:noWrap w:val="false"/>
          </w:tcPr>
          <w:p>
            <w:pPr>
              <w:ind w:firstLine="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智慧养老能力</w:t>
            </w:r>
            <w:r/>
          </w:p>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tc>
        <w:tc>
          <w:tcPr>
            <w:tcW w:w="6833" w:type="dxa"/>
            <w:vAlign w:val="center"/>
            <w:textDirection w:val="lrTb"/>
            <w:noWrap w:val="false"/>
          </w:tcPr>
          <w:p>
            <w:pPr>
              <w:ind w:firstLine="0"/>
              <w:jc w:val="left"/>
              <w:keepLines w:val="0"/>
              <w:keepNext w:val="0"/>
              <w:pageBreakBefore w:val="0"/>
              <w:spacing w:line="3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t xml:space="preserve">具有专业养老服务信息化平台，平台至少应包含开单、实时监管、定位、 照片上传等基本功能，投标人需提供相应的功能模块截图，此项最高得 5 分，缺项或未提供不得分。</w:t>
            </w:r>
            <w:bookmarkStart w:id="41" w:name="_GoBack"/>
            <w:r/>
            <w:bookmarkEnd w:id="41"/>
            <w:r/>
            <w:r/>
          </w:p>
          <w:p>
            <w:pPr>
              <w:ind w:firstLine="0"/>
              <w:jc w:val="left"/>
              <w:keepLines w:val="0"/>
              <w:keepNext w:val="0"/>
              <w:pageBreakBefore w:val="0"/>
              <w:spacing w:line="380" w:lineRule="exact"/>
              <w:rPr>
                <w:rFonts w:hint="eastAsia" w:ascii="宋体" w:hAnsi="宋体" w:eastAsia="宋体" w:cs="Times New Roman"/>
                <w:color w:val="auto"/>
                <w:szCs w:val="21"/>
                <w:highlight w:val="none"/>
              </w:rPr>
            </w:pPr>
            <w:r>
              <w:rPr>
                <w:rFonts w:ascii="宋体" w:hAnsi="宋体" w:eastAsia="宋体" w:cs="Times New Roman"/>
                <w:color w:val="auto"/>
                <w:szCs w:val="24"/>
                <w:highlight w:val="none"/>
              </w:rPr>
              <w:t xml:space="preserve">（投标人须提供相关功能截图，未提供的不得分）</w:t>
            </w:r>
            <w:r/>
          </w:p>
        </w:tc>
      </w:tr>
      <w:tr>
        <w:trPr>
          <w:jc w:val="center"/>
          <w:trHeight w:val="2104"/>
          <w:tblHeader/>
        </w:trPr>
        <w:tc>
          <w:tcPr>
            <w:tcW w:w="1217" w:type="dxa"/>
            <w:vAlign w:val="center"/>
            <w:vMerge w:val="continue"/>
            <w:textDirection w:val="lrTb"/>
            <w:noWrap w:val="false"/>
          </w:tcPr>
          <w:p>
            <w:pPr>
              <w:ind w:firstLine="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类似业绩</w:t>
            </w:r>
            <w:r/>
          </w:p>
          <w:p>
            <w:pPr>
              <w:ind w:firstLine="0"/>
              <w:jc w:val="center"/>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9</w:t>
            </w:r>
            <w:r>
              <w:rPr>
                <w:rFonts w:hint="eastAsia" w:ascii="宋体" w:hAnsi="宋体" w:eastAsia="宋体" w:cs="Times New Roman"/>
                <w:color w:val="auto"/>
                <w:szCs w:val="21"/>
                <w:highlight w:val="none"/>
              </w:rPr>
              <w:t xml:space="preserve">分）</w:t>
            </w:r>
            <w:r/>
          </w:p>
        </w:tc>
        <w:tc>
          <w:tcPr>
            <w:tcW w:w="6833" w:type="dxa"/>
            <w:vAlign w:val="center"/>
            <w:textDirection w:val="lrTb"/>
            <w:noWrap w:val="false"/>
          </w:tcPr>
          <w:p>
            <w:pPr>
              <w:ind w:firstLine="0"/>
              <w:jc w:val="left"/>
              <w:keepLines w:val="0"/>
              <w:keepNext w:val="0"/>
              <w:pageBreakBefore w:val="0"/>
              <w:spacing w:line="3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投标人自2022年1月1日</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合同签订时间</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以来提供类似养老项目相关业绩，提供1个得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分，本项最多</w:t>
            </w:r>
            <w:r>
              <w:rPr>
                <w:rFonts w:hint="eastAsia" w:ascii="宋体" w:hAnsi="宋体" w:eastAsia="宋体"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分。</w:t>
            </w:r>
            <w:r/>
          </w:p>
          <w:p>
            <w:pPr>
              <w:ind w:firstLine="0"/>
              <w:jc w:val="left"/>
              <w:keepLines w:val="0"/>
              <w:keepNext w:val="0"/>
              <w:pageBreakBefore w:val="0"/>
              <w:spacing w:line="38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（投标时须提供合同原件彩色扫描件，未提供或未按要求提供相关证明材料的不得分）</w:t>
            </w:r>
            <w:r/>
          </w:p>
        </w:tc>
      </w:tr>
    </w:tbl>
    <w:p>
      <w:pPr>
        <w:ind w:left="0" w:right="0" w:firstLine="420"/>
        <w:keepNext w:val="0"/>
        <w:pageBreakBefore w:val="0"/>
        <w:spacing w:line="360" w:lineRule="auto"/>
        <w:widowControl w:val="off"/>
        <w:rPr>
          <w:rFonts w:hint="eastAsia" w:ascii="黑体" w:hAnsi="黑体" w:eastAsia="黑体"/>
          <w:b w:val="0"/>
          <w:color w:val="auto"/>
          <w:highlight w:val="none"/>
        </w:rPr>
      </w:pPr>
      <w:r>
        <w:rPr>
          <w:rFonts w:hint="eastAsia" w:ascii="宋体" w:hAnsi="宋体" w:eastAsia="宋体" w:cs="Times New Roman"/>
          <w:color w:val="auto"/>
          <w:szCs w:val="21"/>
          <w:highlight w:val="none"/>
        </w:rPr>
        <w:t xml:space="preserve">注：总得分=价格分 + 商务分+ 技术分，评标办法涉及的所有内容均以系统中上传的以投标文件制作工具生成的电子标书内容为准，否则相应得分项不予计分。</w:t>
      </w:r>
      <w:r>
        <w:rPr>
          <w:rFonts w:hint="eastAsia" w:ascii="黑体" w:hAnsi="黑体" w:eastAsia="黑体"/>
          <w:b w:val="0"/>
          <w:color w:val="auto"/>
          <w:highlight w:val="none"/>
        </w:rPr>
        <w:br w:type="page" w:clear="all"/>
      </w:r>
      <w:r/>
    </w:p>
    <w:p>
      <w:pPr>
        <w:pStyle w:val="916"/>
        <w:ind w:left="0" w:right="0" w:firstLine="0"/>
        <w:jc w:val="center"/>
        <w:keepNext w:val="0"/>
        <w:pageBreakBefore w:val="0"/>
        <w:spacing w:before="0" w:after="0" w:line="360" w:lineRule="auto"/>
        <w:widowControl w:val="off"/>
        <w:rPr>
          <w:rFonts w:ascii="黑体" w:hAnsi="黑体" w:eastAsia="黑体"/>
          <w:b w:val="0"/>
          <w:color w:val="auto"/>
          <w:highlight w:val="none"/>
        </w:rPr>
      </w:pPr>
      <w:r/>
      <w:bookmarkStart w:id="27" w:name="_Toc28907"/>
      <w:r>
        <w:rPr>
          <w:rFonts w:hint="eastAsia" w:ascii="黑体" w:hAnsi="黑体" w:eastAsia="黑体"/>
          <w:b w:val="0"/>
          <w:color w:val="auto"/>
          <w:highlight w:val="none"/>
        </w:rPr>
        <w:t xml:space="preserve">第六章  投标文件格式</w:t>
      </w:r>
      <w:bookmarkEnd w:id="26"/>
      <w:r/>
      <w:bookmarkEnd w:id="27"/>
      <w:r/>
      <w:r/>
    </w:p>
    <w:p>
      <w:pPr>
        <w:ind w:left="0" w:right="0" w:firstLine="0"/>
        <w:keepNext w:val="0"/>
        <w:pageBreakBefore w:val="0"/>
        <w:spacing w:line="360" w:lineRule="auto"/>
        <w:widowControl w:val="off"/>
        <w:rPr>
          <w:color w:val="auto"/>
          <w:highlight w:val="none"/>
        </w:rPr>
      </w:pPr>
      <w:r>
        <w:rPr>
          <w:color w:val="auto"/>
          <w:highlight w:val="none"/>
        </w:rPr>
      </w:r>
      <w:r/>
    </w:p>
    <w:p>
      <w:pPr>
        <w:ind w:left="0" w:right="0" w:firstLine="0"/>
        <w:jc w:val="left"/>
        <w:keepNext w:val="0"/>
        <w:pageBreakBefore w:val="0"/>
        <w:spacing w:line="360" w:lineRule="auto"/>
        <w:widowControl w:val="off"/>
        <w:rPr>
          <w:color w:val="auto"/>
          <w:sz w:val="24"/>
          <w:szCs w:val="24"/>
          <w:highlight w:val="none"/>
        </w:rPr>
      </w:pPr>
      <w:r>
        <w:rPr>
          <w:color w:val="auto"/>
          <w:sz w:val="24"/>
          <w:szCs w:val="24"/>
          <w:highlight w:val="none"/>
        </w:rPr>
      </w:r>
      <w:r/>
    </w:p>
    <w:p>
      <w:pPr>
        <w:ind w:left="0" w:right="0" w:firstLine="0"/>
        <w:jc w:val="center"/>
        <w:keepNext w:val="0"/>
        <w:pageBreakBefore w:val="0"/>
        <w:spacing w:line="360" w:lineRule="auto"/>
        <w:widowControl w:val="off"/>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ind w:left="0" w:right="0" w:firstLine="0"/>
        <w:jc w:val="center"/>
        <w:keepNext w:val="0"/>
        <w:pageBreakBefore w:val="0"/>
        <w:spacing w:line="360" w:lineRule="auto"/>
        <w:widowControl w:val="off"/>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ind w:left="0" w:right="0" w:firstLine="0"/>
        <w:jc w:val="center"/>
        <w:keepNext w:val="0"/>
        <w:pageBreakBefore w:val="0"/>
        <w:spacing w:line="360" w:lineRule="auto"/>
        <w:widowControl w:val="off"/>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ind w:left="0" w:right="0" w:firstLine="0"/>
        <w:jc w:val="center"/>
        <w:keepNext w:val="0"/>
        <w:pageBreakBefore w:val="0"/>
        <w:spacing w:line="360" w:lineRule="auto"/>
        <w:widowControl w:val="off"/>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left="0" w:right="0" w:firstLine="0"/>
        <w:jc w:val="center"/>
        <w:keepNext w:val="0"/>
        <w:pageBreakBefore w:val="0"/>
        <w:spacing w:line="360" w:lineRule="auto"/>
        <w:widowControl w:val="off"/>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left="0" w:right="0" w:firstLine="0"/>
        <w:jc w:val="center"/>
        <w:keepNext w:val="0"/>
        <w:pageBreakBefore w:val="0"/>
        <w:spacing w:line="360" w:lineRule="auto"/>
        <w:widowControl w:val="off"/>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left="0" w:right="0" w:firstLine="0"/>
        <w:keepNext w:val="0"/>
        <w:pageBreakBefore w:val="0"/>
        <w:spacing w:line="360" w:lineRule="auto"/>
        <w:widowControl w:val="off"/>
        <w:rPr>
          <w:rFonts w:ascii="Arial" w:hAnsi="Arial" w:eastAsia="宋体" w:cs="Times New Roman"/>
          <w:b/>
          <w:bCs/>
          <w:color w:val="auto"/>
          <w:sz w:val="32"/>
          <w:szCs w:val="24"/>
          <w:highlight w:val="none"/>
        </w:rPr>
      </w:pPr>
      <w:r>
        <w:rPr>
          <w:rFonts w:hint="eastAsia" w:ascii="宋体" w:hAnsi="宋体" w:eastAsia="宋体" w:cs="Times New Roman"/>
          <w:b/>
          <w:color w:val="auto"/>
          <w:sz w:val="36"/>
          <w:szCs w:val="21"/>
          <w:highlight w:val="none"/>
        </w:rPr>
        <w:t xml:space="preserve">      项 目 名 称：</w:t>
      </w:r>
      <w:r>
        <w:rPr>
          <w:rFonts w:ascii="Arial" w:hAnsi="Arial" w:eastAsia="宋体" w:cs="Times New Roman"/>
          <w:b/>
          <w:bCs/>
          <w:color w:val="auto"/>
          <w:sz w:val="32"/>
          <w:szCs w:val="24"/>
          <w:highlight w:val="none"/>
        </w:rPr>
        <w:t xml:space="preserve"> </w:t>
      </w:r>
      <w:r/>
    </w:p>
    <w:p>
      <w:pPr>
        <w:ind w:left="0" w:right="0" w:firstLine="0"/>
        <w:keepNext w:val="0"/>
        <w:pageBreakBefore w:val="0"/>
        <w:spacing w:line="360" w:lineRule="auto"/>
        <w:widowControl w:val="off"/>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项 目 编 号：</w:t>
      </w:r>
      <w:r/>
    </w:p>
    <w:p>
      <w:pPr>
        <w:ind w:left="0" w:right="0" w:firstLine="0"/>
        <w:keepNext w:val="0"/>
        <w:pageBreakBefore w:val="0"/>
        <w:spacing w:line="360" w:lineRule="auto"/>
        <w:widowControl w:val="off"/>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ind w:left="0" w:right="0" w:firstLine="0"/>
        <w:keepNext w:val="0"/>
        <w:pageBreakBefore w:val="0"/>
        <w:spacing w:line="360" w:lineRule="auto"/>
        <w:widowControl w:val="off"/>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p>
    <w:p>
      <w:pPr>
        <w:ind w:left="0" w:right="0" w:firstLine="0"/>
        <w:jc w:val="center"/>
        <w:keepNext w:val="0"/>
        <w:pageBreakBefore w:val="0"/>
        <w:spacing w:line="360" w:lineRule="auto"/>
        <w:widowControl w:val="off"/>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ind w:left="0" w:right="0" w:firstLine="0"/>
        <w:keepNext w:val="0"/>
        <w:pageBreakBefore w:val="0"/>
        <w:spacing w:line="360" w:lineRule="auto"/>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left="0" w:right="0" w:firstLine="0"/>
        <w:jc w:val="left"/>
        <w:keepNext w:val="0"/>
        <w:pageBreakBefore w:val="0"/>
        <w:spacing w:line="360" w:lineRule="auto"/>
        <w:widowControl w:val="off"/>
        <w:rPr>
          <w:color w:val="auto"/>
          <w:sz w:val="24"/>
          <w:szCs w:val="24"/>
          <w:highlight w:val="none"/>
        </w:rPr>
      </w:pPr>
      <w:r>
        <w:rPr>
          <w:color w:val="auto"/>
          <w:sz w:val="24"/>
          <w:szCs w:val="24"/>
          <w:highlight w:val="none"/>
        </w:rPr>
      </w:r>
      <w:r/>
    </w:p>
    <w:p>
      <w:pPr>
        <w:ind w:left="0" w:right="0" w:firstLine="0"/>
        <w:jc w:val="left"/>
        <w:keepNext w:val="0"/>
        <w:pageBreakBefore w:val="0"/>
        <w:spacing w:line="360" w:lineRule="auto"/>
        <w:widowControl w:val="off"/>
        <w:rPr>
          <w:color w:val="auto"/>
          <w:sz w:val="24"/>
          <w:szCs w:val="24"/>
          <w:highlight w:val="none"/>
        </w:rPr>
      </w:pPr>
      <w:r>
        <w:rPr>
          <w:color w:val="auto"/>
          <w:sz w:val="24"/>
          <w:szCs w:val="24"/>
          <w:highlight w:val="none"/>
        </w:rPr>
      </w:r>
      <w:r/>
    </w:p>
    <w:p>
      <w:pPr>
        <w:ind w:left="0" w:right="0" w:firstLine="0"/>
        <w:jc w:val="left"/>
        <w:keepNext w:val="0"/>
        <w:pageBreakBefore w:val="0"/>
        <w:spacing w:line="360" w:lineRule="auto"/>
        <w:widowControl w:val="off"/>
        <w:rPr>
          <w:color w:val="auto"/>
          <w:sz w:val="24"/>
          <w:szCs w:val="24"/>
          <w:highlight w:val="none"/>
        </w:rPr>
      </w:pPr>
      <w:r>
        <w:rPr>
          <w:color w:val="auto"/>
          <w:sz w:val="24"/>
          <w:szCs w:val="24"/>
          <w:highlight w:val="none"/>
        </w:rPr>
        <w:br w:type="page" w:clear="all"/>
      </w:r>
      <w:r/>
    </w:p>
    <w:p>
      <w:pPr>
        <w:ind w:left="0" w:right="0" w:firstLine="720"/>
        <w:jc w:val="left"/>
        <w:keepLines/>
        <w:keepNext w:val="0"/>
        <w:pageBreakBefore w:val="0"/>
        <w:spacing w:line="360" w:lineRule="auto"/>
        <w:widowControl w:val="off"/>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left="0" w:right="0" w:firstLine="480"/>
        <w:jc w:val="left"/>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（成立不满一年无需提供）</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left="0" w:right="0" w:firstLine="480"/>
        <w:jc w:val="left"/>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center"/>
        <w:keepNext w:val="0"/>
        <w:pageBreakBefore w:val="0"/>
        <w:spacing w:line="360" w:lineRule="auto"/>
        <w:widowControl w:val="off"/>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ind w:left="0" w:right="0" w:firstLine="420"/>
        <w:jc w:val="left"/>
        <w:keepNext w:val="0"/>
        <w:pageBreakBefore w:val="0"/>
        <w:spacing w:line="360" w:lineRule="auto"/>
        <w:widowControl w:val="off"/>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ind w:left="0" w:right="0" w:firstLine="720"/>
        <w:jc w:val="center"/>
        <w:keepNext w:val="0"/>
        <w:pageBreakBefore w:val="0"/>
        <w:spacing w:line="360" w:lineRule="auto"/>
        <w:widowControl w:val="off"/>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left="0" w:right="0" w:firstLine="420"/>
        <w:jc w:val="left"/>
        <w:keepNext w:val="0"/>
        <w:pageBreakBefore w:val="0"/>
        <w:spacing w:line="360" w:lineRule="auto"/>
        <w:widowControl w:val="off"/>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left="0" w:right="0" w:firstLine="480"/>
        <w:jc w:val="left"/>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left="0" w:right="0" w:firstLine="480"/>
        <w:jc w:val="left"/>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ind w:left="0" w:right="0" w:firstLine="720"/>
        <w:jc w:val="center"/>
        <w:keepNext w:val="0"/>
        <w:pageBreakBefore w:val="0"/>
        <w:spacing w:line="360" w:lineRule="auto"/>
        <w:widowControl w:val="off"/>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left="0" w:right="0" w:firstLine="480"/>
        <w:jc w:val="left"/>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ind w:left="0" w:right="0" w:firstLine="723"/>
        <w:jc w:val="center"/>
        <w:keepNext w:val="0"/>
        <w:pageBreakBefore w:val="0"/>
        <w:spacing w:line="360" w:lineRule="auto"/>
        <w:widowControl w:val="off"/>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left="0" w:right="0" w:firstLine="480"/>
        <w:jc w:val="left"/>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left="0" w:right="0" w:firstLine="480"/>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92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92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left="0" w:right="0" w:firstLine="480"/>
        <w:jc w:val="left"/>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left="0" w:right="0" w:firstLine="480"/>
        <w:jc w:val="left"/>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3"/>
        <w:jc w:val="center"/>
        <w:keepNext w:val="0"/>
        <w:pageBreakBefore w:val="0"/>
        <w:spacing w:line="360" w:lineRule="auto"/>
        <w:widowControl w:val="off"/>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ind w:left="0" w:right="0" w:firstLine="400"/>
        <w:keepNext w:val="0"/>
        <w:pageBreakBefore w:val="0"/>
        <w:spacing w:line="360" w:lineRule="auto"/>
        <w:widowControl w:val="off"/>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ind w:left="0" w:right="0" w:firstLine="480"/>
        <w:keepNext w:val="0"/>
        <w:pageBreakBefore w:val="0"/>
        <w:spacing w:line="360" w:lineRule="auto"/>
        <w:widowControl w:val="off"/>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left="0" w:right="0" w:firstLine="48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ind w:left="0" w:right="0" w:firstLine="480"/>
        <w:keepNext w:val="0"/>
        <w:pageBreakBefore w:val="0"/>
        <w:spacing w:line="360" w:lineRule="auto"/>
        <w:widowControl w:val="off"/>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性别：年龄：职务：</w:t>
      </w:r>
      <w:r/>
    </w:p>
    <w:p>
      <w:pPr>
        <w:ind w:left="0" w:right="0" w:firstLine="48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ind w:left="0" w:right="0" w:firstLine="48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68"/>
        <w:keepNext w:val="0"/>
        <w:pageBreakBefore w:val="0"/>
        <w:spacing w:line="360" w:lineRule="auto"/>
        <w:widowControl w:val="off"/>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92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left="0" w:right="0" w:firstLine="480"/>
              <w:jc w:val="left"/>
              <w:keepNext w:val="0"/>
              <w:pageBreakBefore w:val="0"/>
              <w:spacing w:line="360" w:lineRule="auto"/>
              <w:widowControl w:val="off"/>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left="0" w:right="0" w:firstLine="468"/>
        <w:keepNext w:val="0"/>
        <w:pageBreakBefore w:val="0"/>
        <w:spacing w:line="360" w:lineRule="auto"/>
        <w:widowControl w:val="off"/>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ind w:left="0" w:right="0" w:firstLine="468"/>
        <w:keepNext w:val="0"/>
        <w:pageBreakBefore w:val="0"/>
        <w:spacing w:line="360" w:lineRule="auto"/>
        <w:widowControl w:val="off"/>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left="0" w:right="0" w:firstLine="480"/>
        <w:keepNext w:val="0"/>
        <w:pageBreakBefore w:val="0"/>
        <w:spacing w:line="360" w:lineRule="auto"/>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sectPr>
          <w:footnotePr/>
          <w:endnotePr/>
          <w:type w:val="nextPage"/>
          <w:pgSz w:w="11906" w:h="16838" w:orient="portrait"/>
          <w:pgMar w:top="1440" w:right="1247" w:bottom="1440" w:left="1247" w:header="851" w:footer="992" w:gutter="0"/>
          <w:cols w:num="1" w:sep="0" w:space="425" w:equalWidth="1"/>
          <w:docGrid w:linePitch="360"/>
        </w:sectPr>
        <w:outlineLvl w:val="9"/>
      </w:pPr>
      <w:r>
        <w:rPr>
          <w:rFonts w:hint="eastAsia" w:ascii="Arial" w:hAnsi="Arial" w:eastAsia="宋体" w:cs="Arial"/>
          <w:i/>
          <w:iCs/>
          <w:color w:val="auto"/>
          <w:sz w:val="36"/>
          <w:highlight w:val="none"/>
          <w:u w:val="single"/>
        </w:rPr>
      </w:r>
      <w:r/>
    </w:p>
    <w:p>
      <w:pPr>
        <w:ind w:left="0" w:right="0" w:firstLine="720"/>
        <w:jc w:val="left"/>
        <w:keepLines/>
        <w:keepNext w:val="0"/>
        <w:pageBreakBefore w:val="0"/>
        <w:spacing w:line="360" w:lineRule="auto"/>
        <w:widowControl w:val="off"/>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ind w:left="0" w:right="0" w:firstLine="720"/>
        <w:jc w:val="center"/>
        <w:keepNext w:val="0"/>
        <w:pageBreakBefore w:val="0"/>
        <w:spacing w:line="360" w:lineRule="auto"/>
        <w:widowControl w:val="off"/>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ind w:left="0" w:right="0" w:firstLine="480"/>
        <w:jc w:val="left"/>
        <w:keepNext w:val="0"/>
        <w:pageBreakBefore w:val="0"/>
        <w:spacing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江苏博哲项目管理有限公司</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left="0" w:right="0" w:firstLine="48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left="0" w:right="0" w:firstLine="48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十一、中小企业声明函（服务）</w:t>
      </w:r>
      <w:r/>
    </w:p>
    <w:p>
      <w:pPr>
        <w:ind w:left="0" w:right="0" w:firstLine="720"/>
        <w:jc w:val="center"/>
        <w:keepNext w:val="0"/>
        <w:pageBreakBefore w:val="0"/>
        <w:spacing w:line="360" w:lineRule="auto"/>
        <w:widowControl w:val="off"/>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left="0" w:right="0" w:firstLine="480"/>
        <w:keepNext w:val="0"/>
        <w:pageBreakBefore w:val="0"/>
        <w:spacing w:line="360" w:lineRule="auto"/>
        <w:widowControl w:val="off"/>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（项目编号：）采购活动，提供的</w:t>
      </w:r>
      <w:r>
        <w:rPr>
          <w:rFonts w:ascii="宋体" w:hAnsi="宋体"/>
          <w:color w:val="auto"/>
          <w:sz w:val="24"/>
          <w:highlight w:val="none"/>
        </w:rPr>
        <w:t xml:space="preserve">服务全部由符合政策要求的中小企业承接。</w:t>
      </w:r>
      <w:r/>
    </w:p>
    <w:p>
      <w:pPr>
        <w:ind w:left="0" w:right="0" w:firstLine="480"/>
        <w:keepNext w:val="0"/>
        <w:pageBreakBefore w:val="0"/>
        <w:spacing w:line="360" w:lineRule="auto"/>
        <w:widowControl w:val="off"/>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hint="eastAsia" w:ascii="Arial" w:hAnsi="Arial" w:eastAsia="宋体" w:cs="Arial"/>
          <w:color w:val="auto"/>
          <w:sz w:val="36"/>
          <w:highlight w:val="none"/>
        </w:rPr>
        <w:sectPr>
          <w:footnotePr/>
          <w:endnotePr/>
          <w:type w:val="nextPage"/>
          <w:pgSz w:w="11906" w:h="16838" w:orient="portrait"/>
          <w:pgMar w:top="1440" w:right="1247" w:bottom="1440" w:left="1247" w:header="851" w:footer="992" w:gutter="0"/>
          <w:cols w:num="1" w:sep="0" w:space="425" w:equalWidth="1"/>
          <w:docGrid w:linePitch="360"/>
        </w:sectPr>
        <w:outlineLvl w:val="9"/>
      </w:pPr>
      <w:r>
        <w:rPr>
          <w:rFonts w:hint="eastAsia" w:ascii="Arial" w:hAnsi="Arial" w:eastAsia="宋体" w:cs="Arial"/>
          <w:color w:val="auto"/>
          <w:sz w:val="36"/>
          <w:highlight w:val="none"/>
        </w:rPr>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十二、残疾人福利性单位声明函</w:t>
      </w:r>
      <w:r/>
    </w:p>
    <w:p>
      <w:pPr>
        <w:ind w:left="0" w:right="0" w:firstLine="720"/>
        <w:jc w:val="center"/>
        <w:keepNext w:val="0"/>
        <w:pageBreakBefore w:val="0"/>
        <w:spacing w:line="360" w:lineRule="auto"/>
        <w:widowControl w:val="off"/>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left="0" w:right="0" w:firstLine="480"/>
        <w:jc w:val="left"/>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141号）的规定，本单位为符合条件的残疾人福利性单位，且本单位参加单位的项目（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1"/>
          <w:highlight w:val="none"/>
        </w:rPr>
        <w:t xml:space="preserve">）采购活动由本单位提供全部服务。</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80"/>
        <w:keepNext w:val="0"/>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left="0" w:right="0" w:firstLine="480"/>
        <w:jc w:val="left"/>
        <w:keepNext w:val="0"/>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left="0" w:right="0" w:firstLine="480"/>
        <w:jc w:val="left"/>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jc w:val="left"/>
        <w:keepLines/>
        <w:keepNext w:val="0"/>
        <w:pageBreakBefore w:val="0"/>
        <w:spacing w:line="360" w:lineRule="auto"/>
        <w:widowControl w:val="off"/>
        <w:rPr>
          <w:rFonts w:hint="eastAsia" w:ascii="Arial" w:hAnsi="Arial" w:eastAsia="宋体" w:cs="Arial"/>
          <w:color w:val="auto"/>
          <w:sz w:val="36"/>
          <w:highlight w:val="none"/>
        </w:rPr>
        <w:sectPr>
          <w:footnotePr/>
          <w:endnotePr/>
          <w:type w:val="nextPage"/>
          <w:pgSz w:w="11906" w:h="16838" w:orient="portrait"/>
          <w:pgMar w:top="1440" w:right="1247" w:bottom="1440" w:left="1247" w:header="851" w:footer="992" w:gutter="0"/>
          <w:cols w:num="1" w:sep="0" w:space="425" w:equalWidth="1"/>
          <w:docGrid w:linePitch="360"/>
        </w:sectPr>
        <w:outlineLvl w:val="9"/>
      </w:pPr>
      <w:r>
        <w:rPr>
          <w:rFonts w:hint="eastAsia" w:ascii="Arial" w:hAnsi="Arial" w:eastAsia="宋体" w:cs="Arial"/>
          <w:color w:val="auto"/>
          <w:sz w:val="36"/>
          <w:highlight w:val="none"/>
        </w:rPr>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十三、联合体协议（参考格式）</w:t>
      </w:r>
      <w:r/>
    </w:p>
    <w:p>
      <w:pPr>
        <w:ind w:left="0" w:right="0" w:firstLine="720"/>
        <w:jc w:val="center"/>
        <w:keepNext w:val="0"/>
        <w:pageBreakBefore w:val="0"/>
        <w:spacing w:line="360" w:lineRule="auto"/>
        <w:widowControl w:val="off"/>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lang w:eastAsia="zh-CN"/>
        </w:rPr>
        <w:t xml:space="preserve">江苏博哲项目管理有限公司</w:t>
      </w:r>
      <w:r>
        <w:rPr>
          <w:rFonts w:hint="eastAsia" w:ascii="宋体" w:hAnsi="宋体" w:eastAsia="宋体" w:cs="Times New Roman"/>
          <w:color w:val="auto"/>
          <w:sz w:val="24"/>
          <w:szCs w:val="21"/>
          <w:highlight w:val="none"/>
        </w:rPr>
        <w:t xml:space="preserve">组织的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left="0" w:right="0" w:firstLine="48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numPr>
          <w:ilvl w:val="0"/>
          <w:numId w:val="36"/>
        </w:num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投标分项报价表</w:t>
      </w:r>
      <w:r/>
    </w:p>
    <w:p>
      <w:pPr>
        <w:numPr>
          <w:ilvl w:val="0"/>
          <w:numId w:val="0"/>
        </w:numPr>
        <w:ind w:right="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ind w:left="0" w:right="0" w:firstLine="720"/>
        <w:jc w:val="center"/>
        <w:keepNext w:val="0"/>
        <w:pageBreakBefore w:val="0"/>
        <w:spacing w:line="360" w:lineRule="auto"/>
        <w:widowControl w:val="off"/>
        <w:tabs>
          <w:tab w:val="left" w:pos="360" w:leader="none"/>
        </w:tabs>
        <w:rPr>
          <w:rFonts w:hint="eastAsia" w:ascii="黑体" w:hAnsi="黑体" w:eastAsia="黑体" w:cs="宋体"/>
          <w:bCs/>
          <w:color w:val="auto"/>
          <w:sz w:val="36"/>
          <w:szCs w:val="28"/>
          <w:highlight w:val="none"/>
          <w:lang w:eastAsia="zh-CN"/>
        </w:rPr>
      </w:pPr>
      <w:r>
        <w:rPr>
          <w:rFonts w:hint="eastAsia" w:ascii="黑体" w:hAnsi="黑体" w:eastAsia="黑体" w:cs="宋体"/>
          <w:bCs/>
          <w:color w:val="auto"/>
          <w:sz w:val="36"/>
          <w:szCs w:val="28"/>
          <w:highlight w:val="none"/>
        </w:rPr>
        <w:t xml:space="preserve">投标分项报价表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lang w:val="en-US" w:eastAsia="zh-CN"/>
        </w:rPr>
        <w:t xml:space="preserve">采购包1</w:t>
      </w:r>
      <w:r>
        <w:rPr>
          <w:rFonts w:hint="eastAsia" w:ascii="黑体" w:hAnsi="黑体" w:eastAsia="黑体" w:cs="宋体"/>
          <w:bCs/>
          <w:color w:val="auto"/>
          <w:sz w:val="36"/>
          <w:szCs w:val="28"/>
          <w:highlight w:val="none"/>
          <w:lang w:eastAsia="zh-CN"/>
        </w:rPr>
        <w:t xml:space="preserve">）</w:t>
      </w:r>
      <w:r/>
    </w:p>
    <w:p>
      <w:pPr>
        <w:ind w:left="0" w:right="0" w:firstLine="480"/>
        <w:jc w:val="left"/>
        <w:keepNext w:val="0"/>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20"/>
        <w:jc w:val="right"/>
        <w:keepNext w:val="0"/>
        <w:pageBreakBefore w:val="0"/>
        <w:spacing w:line="360" w:lineRule="auto"/>
        <w:widowControl w:val="off"/>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36"/>
        <w:gridCol w:w="1392"/>
        <w:gridCol w:w="1134"/>
        <w:gridCol w:w="1350"/>
        <w:gridCol w:w="1102"/>
        <w:gridCol w:w="1679"/>
        <w:gridCol w:w="8"/>
      </w:tblGrid>
      <w:tr>
        <w:trPr>
          <w:cantSplit/>
          <w:gridAfter w:val="1"/>
          <w:jc w:val="center"/>
          <w:trHeight w:val="867"/>
        </w:trPr>
        <w:tc>
          <w:tcPr>
            <w:tcW w:w="67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序号</w:t>
            </w:r>
            <w:r/>
          </w:p>
        </w:tc>
        <w:tc>
          <w:tcPr>
            <w:tcW w:w="123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服务类别</w:t>
            </w:r>
            <w:r/>
          </w:p>
        </w:tc>
        <w:tc>
          <w:tcPr>
            <w:tcW w:w="1392" w:type="dxa"/>
            <w:vAlign w:val="center"/>
            <w:textDirection w:val="lrTb"/>
            <w:noWrap w:val="false"/>
          </w:tcPr>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服务价格</w:t>
            </w:r>
            <w:r/>
          </w:p>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（元/月/人）</w:t>
            </w:r>
            <w:r/>
          </w:p>
        </w:tc>
        <w:tc>
          <w:tcPr>
            <w:tcW w:w="11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W w:w="1350" w:type="dxa"/>
            <w:vAlign w:val="center"/>
            <w:textDirection w:val="lrTb"/>
            <w:noWrap w:val="false"/>
          </w:tcPr>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（人数）</w:t>
            </w:r>
            <w:r/>
          </w:p>
        </w:tc>
        <w:tc>
          <w:tcPr>
            <w:tcW w:w="1102"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167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A类</w:t>
            </w:r>
            <w:r/>
          </w:p>
        </w:tc>
        <w:tc>
          <w:tcPr>
            <w:tcW w:w="1392" w:type="dxa"/>
            <w:vAlign w:val="center"/>
            <w:textDirection w:val="lrTb"/>
            <w:noWrap w:val="false"/>
          </w:tcPr>
          <w:p>
            <w:pPr>
              <w:jc w:val="center"/>
              <w:spacing w:line="32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134" w:type="dxa"/>
            <w:vAlign w:val="center"/>
            <w:textDirection w:val="lrTb"/>
            <w:noWrap w:val="false"/>
          </w:tcPr>
          <w:p>
            <w:pPr>
              <w:jc w:val="cente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shd w:val="clear" w:color="auto" w:fill="auto"/>
            <w:tcW w:w="1350" w:type="dxa"/>
            <w:vAlign w:val="center"/>
            <w:textDirection w:val="lrTb"/>
            <w:noWrap w:val="false"/>
          </w:tcPr>
          <w:p>
            <w:pPr>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1005</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B类</w:t>
            </w:r>
            <w:r/>
          </w:p>
        </w:tc>
        <w:tc>
          <w:tcPr>
            <w:tcW w:w="139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134"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shd w:val="clear" w:color="auto" w:fill="auto"/>
            <w:tcW w:w="1350" w:type="dxa"/>
            <w:vAlign w:val="center"/>
            <w:textDirection w:val="lrTb"/>
            <w:noWrap w:val="false"/>
          </w:tcPr>
          <w:p>
            <w:pPr>
              <w:jc w:val="cente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113</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C类</w:t>
            </w:r>
            <w:r/>
          </w:p>
        </w:tc>
        <w:tc>
          <w:tcPr>
            <w:tcW w:w="139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134"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350" w:type="dxa"/>
            <w:vAlign w:val="center"/>
            <w:textDirection w:val="lrTb"/>
            <w:noWrap w:val="false"/>
          </w:tcPr>
          <w:p>
            <w:pPr>
              <w:jc w:val="cente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6224</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501"/>
        </w:trPr>
        <w:tc>
          <w:tcPr>
            <w:gridSpan w:val="4"/>
            <w:tcW w:w="4432"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总计（元）</w:t>
            </w:r>
            <w:r>
              <w:rPr>
                <w:rFonts w:hint="eastAsia" w:ascii="宋体" w:hAnsi="宋体" w:eastAsia="宋体" w:cs="Times New Roman"/>
                <w:color w:val="auto"/>
                <w:sz w:val="24"/>
                <w:szCs w:val="22"/>
                <w:highlight w:val="none"/>
                <w:lang w:eastAsia="zh-CN"/>
              </w:rPr>
              <w:t xml:space="preserve">：</w:t>
            </w:r>
            <w:r/>
          </w:p>
        </w:tc>
        <w:tc>
          <w:tcPr>
            <w:gridSpan w:val="4"/>
            <w:tcW w:w="4139"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大写：</w:t>
            </w:r>
            <w:r/>
          </w:p>
        </w:tc>
      </w:tr>
    </w:tbl>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A类服务价格不得超出100元/月/人，B类服务价格不得超出</w:t>
      </w:r>
      <w:r>
        <w:rPr>
          <w:rFonts w:hint="eastAsia" w:ascii="宋体" w:hAnsi="宋体" w:eastAsia="宋体" w:cs="Times New Roman"/>
          <w:bCs/>
          <w:color w:val="auto"/>
          <w:sz w:val="24"/>
          <w:szCs w:val="24"/>
          <w:highlight w:val="none"/>
          <w:lang w:val="en-US" w:eastAsia="zh-CN"/>
        </w:rPr>
        <w:t xml:space="preserve">60</w:t>
      </w:r>
      <w:r>
        <w:rPr>
          <w:rFonts w:hint="eastAsia" w:ascii="宋体" w:hAnsi="宋体" w:eastAsia="宋体" w:cs="Times New Roman"/>
          <w:bCs/>
          <w:color w:val="auto"/>
          <w:sz w:val="24"/>
          <w:szCs w:val="24"/>
          <w:highlight w:val="none"/>
        </w:rPr>
        <w:t xml:space="preserve">元/月/人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C类服务价格不得超出</w:t>
      </w: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元/月/人。否则为无效标。</w:t>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left="0" w:right="0" w:firstLine="420"/>
        <w:keepNext w:val="0"/>
        <w:pageBreakBefore w:val="0"/>
        <w:spacing w:line="360" w:lineRule="auto"/>
        <w:widowControl w:val="off"/>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color w:val="auto"/>
          <w:highlight w:val="none"/>
        </w:rPr>
      </w:pPr>
      <w:r>
        <w:rPr>
          <w:color w:val="auto"/>
          <w:highlight w:val="none"/>
        </w:rPr>
        <w:br w:type="page" w:clear="all"/>
      </w:r>
      <w:r/>
    </w:p>
    <w:p>
      <w:pPr>
        <w:ind w:left="0" w:right="0" w:firstLine="720"/>
        <w:jc w:val="center"/>
        <w:keepNext w:val="0"/>
        <w:pageBreakBefore w:val="0"/>
        <w:spacing w:line="360" w:lineRule="auto"/>
        <w:widowControl w:val="off"/>
        <w:tabs>
          <w:tab w:val="left" w:pos="360" w:leader="none"/>
        </w:tabs>
        <w:rPr>
          <w:rFonts w:hint="eastAsia" w:ascii="黑体" w:hAnsi="黑体" w:eastAsia="黑体" w:cs="宋体"/>
          <w:bCs/>
          <w:color w:val="auto"/>
          <w:sz w:val="36"/>
          <w:szCs w:val="28"/>
          <w:highlight w:val="none"/>
          <w:lang w:eastAsia="zh-CN"/>
        </w:rPr>
      </w:pPr>
      <w:r>
        <w:rPr>
          <w:rFonts w:hint="eastAsia" w:ascii="黑体" w:hAnsi="黑体" w:eastAsia="黑体" w:cs="宋体"/>
          <w:bCs/>
          <w:color w:val="auto"/>
          <w:sz w:val="36"/>
          <w:szCs w:val="28"/>
          <w:highlight w:val="none"/>
        </w:rPr>
        <w:t xml:space="preserve">投标分项报价表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lang w:val="en-US" w:eastAsia="zh-CN"/>
        </w:rPr>
        <w:t xml:space="preserve">采购包2</w:t>
      </w:r>
      <w:r>
        <w:rPr>
          <w:rFonts w:hint="eastAsia" w:ascii="黑体" w:hAnsi="黑体" w:eastAsia="黑体" w:cs="宋体"/>
          <w:bCs/>
          <w:color w:val="auto"/>
          <w:sz w:val="36"/>
          <w:szCs w:val="28"/>
          <w:highlight w:val="none"/>
          <w:lang w:eastAsia="zh-CN"/>
        </w:rPr>
        <w:t xml:space="preserve">）</w:t>
      </w:r>
      <w:r/>
    </w:p>
    <w:p>
      <w:pPr>
        <w:ind w:left="0" w:right="0" w:firstLine="480"/>
        <w:jc w:val="left"/>
        <w:keepNext w:val="0"/>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20"/>
        <w:jc w:val="right"/>
        <w:keepNext w:val="0"/>
        <w:pageBreakBefore w:val="0"/>
        <w:spacing w:line="360" w:lineRule="auto"/>
        <w:widowControl w:val="off"/>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36"/>
        <w:gridCol w:w="1392"/>
        <w:gridCol w:w="1134"/>
        <w:gridCol w:w="1350"/>
        <w:gridCol w:w="1102"/>
        <w:gridCol w:w="1679"/>
        <w:gridCol w:w="8"/>
      </w:tblGrid>
      <w:tr>
        <w:trPr>
          <w:cantSplit/>
          <w:gridAfter w:val="1"/>
          <w:jc w:val="center"/>
          <w:trHeight w:val="867"/>
        </w:trPr>
        <w:tc>
          <w:tcPr>
            <w:tcW w:w="67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序号</w:t>
            </w:r>
            <w:r/>
          </w:p>
        </w:tc>
        <w:tc>
          <w:tcPr>
            <w:tcW w:w="123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服务类别</w:t>
            </w:r>
            <w:r/>
          </w:p>
        </w:tc>
        <w:tc>
          <w:tcPr>
            <w:tcW w:w="1392" w:type="dxa"/>
            <w:vAlign w:val="center"/>
            <w:textDirection w:val="lrTb"/>
            <w:noWrap w:val="false"/>
          </w:tcPr>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服务价格</w:t>
            </w:r>
            <w:r/>
          </w:p>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（元/月/人）</w:t>
            </w:r>
            <w:r/>
          </w:p>
        </w:tc>
        <w:tc>
          <w:tcPr>
            <w:tcW w:w="11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W w:w="1350" w:type="dxa"/>
            <w:vAlign w:val="center"/>
            <w:textDirection w:val="lrTb"/>
            <w:noWrap w:val="false"/>
          </w:tcPr>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（人数）</w:t>
            </w:r>
            <w:r/>
          </w:p>
        </w:tc>
        <w:tc>
          <w:tcPr>
            <w:tcW w:w="1102"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167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A类</w:t>
            </w:r>
            <w:r/>
          </w:p>
        </w:tc>
        <w:tc>
          <w:tcPr>
            <w:tcW w:w="1392" w:type="dxa"/>
            <w:vAlign w:val="center"/>
            <w:textDirection w:val="lrTb"/>
            <w:noWrap w:val="false"/>
          </w:tcPr>
          <w:p>
            <w:pPr>
              <w:jc w:val="center"/>
              <w:spacing w:line="32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134" w:type="dxa"/>
            <w:vAlign w:val="center"/>
            <w:textDirection w:val="lrTb"/>
            <w:noWrap w:val="false"/>
          </w:tcPr>
          <w:p>
            <w:pPr>
              <w:jc w:val="cente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shd w:val="clear" w:color="auto" w:fill="auto"/>
            <w:tcW w:w="13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810</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B类</w:t>
            </w:r>
            <w:r/>
          </w:p>
        </w:tc>
        <w:tc>
          <w:tcPr>
            <w:tcW w:w="139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134"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shd w:val="clear" w:color="auto" w:fill="auto"/>
            <w:tcW w:w="13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C类</w:t>
            </w:r>
            <w:r/>
          </w:p>
        </w:tc>
        <w:tc>
          <w:tcPr>
            <w:tcW w:w="139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134"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shd w:val="clear" w:color="auto" w:fill="auto"/>
            <w:tcW w:w="13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9391</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1147"/>
        </w:trPr>
        <w:tc>
          <w:tcPr>
            <w:gridSpan w:val="4"/>
            <w:tcW w:w="4432"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总计（元）</w:t>
            </w:r>
            <w:r>
              <w:rPr>
                <w:rFonts w:hint="eastAsia" w:ascii="宋体" w:hAnsi="宋体" w:eastAsia="宋体" w:cs="Times New Roman"/>
                <w:color w:val="auto"/>
                <w:sz w:val="24"/>
                <w:szCs w:val="22"/>
                <w:highlight w:val="none"/>
                <w:lang w:eastAsia="zh-CN"/>
              </w:rPr>
              <w:t xml:space="preserve">：</w:t>
            </w:r>
            <w:r/>
          </w:p>
        </w:tc>
        <w:tc>
          <w:tcPr>
            <w:gridSpan w:val="4"/>
            <w:tcW w:w="4139"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大写：</w:t>
            </w:r>
            <w:r/>
          </w:p>
        </w:tc>
      </w:tr>
    </w:tbl>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A类服务价格不得超出100元/月/人，B类服务价格不得超出</w:t>
      </w:r>
      <w:r>
        <w:rPr>
          <w:rFonts w:hint="eastAsia" w:ascii="宋体" w:hAnsi="宋体" w:eastAsia="宋体" w:cs="Times New Roman"/>
          <w:bCs/>
          <w:color w:val="auto"/>
          <w:sz w:val="24"/>
          <w:szCs w:val="24"/>
          <w:highlight w:val="none"/>
          <w:lang w:val="en-US" w:eastAsia="zh-CN"/>
        </w:rPr>
        <w:t xml:space="preserve">60</w:t>
      </w:r>
      <w:r>
        <w:rPr>
          <w:rFonts w:hint="eastAsia" w:ascii="宋体" w:hAnsi="宋体" w:eastAsia="宋体" w:cs="Times New Roman"/>
          <w:bCs/>
          <w:color w:val="auto"/>
          <w:sz w:val="24"/>
          <w:szCs w:val="24"/>
          <w:highlight w:val="none"/>
        </w:rPr>
        <w:t xml:space="preserve">元/月/人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C类服务价格不得超出</w:t>
      </w: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元/月/人。否则为无效标。</w:t>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left="0" w:right="0" w:firstLine="420"/>
        <w:keepNext w:val="0"/>
        <w:pageBreakBefore w:val="0"/>
        <w:spacing w:line="360" w:lineRule="auto"/>
        <w:widowControl w:val="off"/>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rPr>
          <w:color w:val="auto"/>
          <w:highlight w:val="none"/>
        </w:rPr>
      </w:pPr>
      <w:r>
        <w:rPr>
          <w:color w:val="auto"/>
          <w:highlight w:val="none"/>
        </w:rPr>
        <w:br w:type="page" w:clear="all"/>
      </w:r>
      <w:r/>
    </w:p>
    <w:p>
      <w:pPr>
        <w:ind w:left="0" w:right="0" w:firstLine="720"/>
        <w:jc w:val="center"/>
        <w:keepNext w:val="0"/>
        <w:pageBreakBefore w:val="0"/>
        <w:spacing w:line="360" w:lineRule="auto"/>
        <w:widowControl w:val="off"/>
        <w:tabs>
          <w:tab w:val="left" w:pos="360" w:leader="none"/>
        </w:tabs>
        <w:rPr>
          <w:rFonts w:hint="eastAsia" w:ascii="黑体" w:hAnsi="黑体" w:eastAsia="黑体" w:cs="宋体"/>
          <w:bCs/>
          <w:color w:val="auto"/>
          <w:sz w:val="36"/>
          <w:szCs w:val="28"/>
          <w:highlight w:val="none"/>
          <w:lang w:eastAsia="zh-CN"/>
        </w:rPr>
      </w:pPr>
      <w:r>
        <w:rPr>
          <w:rFonts w:hint="eastAsia" w:ascii="黑体" w:hAnsi="黑体" w:eastAsia="黑体" w:cs="宋体"/>
          <w:bCs/>
          <w:color w:val="auto"/>
          <w:sz w:val="36"/>
          <w:szCs w:val="28"/>
          <w:highlight w:val="none"/>
        </w:rPr>
        <w:t xml:space="preserve">投标分项报价表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lang w:val="en-US" w:eastAsia="zh-CN"/>
        </w:rPr>
        <w:t xml:space="preserve">采购包3</w:t>
      </w:r>
      <w:r>
        <w:rPr>
          <w:rFonts w:hint="eastAsia" w:ascii="黑体" w:hAnsi="黑体" w:eastAsia="黑体" w:cs="宋体"/>
          <w:bCs/>
          <w:color w:val="auto"/>
          <w:sz w:val="36"/>
          <w:szCs w:val="28"/>
          <w:highlight w:val="none"/>
          <w:lang w:eastAsia="zh-CN"/>
        </w:rPr>
        <w:t xml:space="preserve">）</w:t>
      </w:r>
      <w:r/>
    </w:p>
    <w:p>
      <w:pPr>
        <w:ind w:left="0" w:right="0" w:firstLine="480"/>
        <w:jc w:val="left"/>
        <w:keepNext w:val="0"/>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20"/>
        <w:jc w:val="right"/>
        <w:keepNext w:val="0"/>
        <w:pageBreakBefore w:val="0"/>
        <w:spacing w:line="360" w:lineRule="auto"/>
        <w:widowControl w:val="off"/>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9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36"/>
        <w:gridCol w:w="1392"/>
        <w:gridCol w:w="1134"/>
        <w:gridCol w:w="1350"/>
        <w:gridCol w:w="1102"/>
        <w:gridCol w:w="1679"/>
        <w:gridCol w:w="8"/>
      </w:tblGrid>
      <w:tr>
        <w:trPr>
          <w:cantSplit/>
          <w:gridAfter w:val="1"/>
          <w:jc w:val="center"/>
          <w:trHeight w:val="867"/>
        </w:trPr>
        <w:tc>
          <w:tcPr>
            <w:tcW w:w="67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序号</w:t>
            </w:r>
            <w:r/>
          </w:p>
        </w:tc>
        <w:tc>
          <w:tcPr>
            <w:tcW w:w="123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服务类别</w:t>
            </w:r>
            <w:r/>
          </w:p>
        </w:tc>
        <w:tc>
          <w:tcPr>
            <w:tcW w:w="1392" w:type="dxa"/>
            <w:vAlign w:val="center"/>
            <w:textDirection w:val="lrTb"/>
            <w:noWrap w:val="false"/>
          </w:tcPr>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服务价格</w:t>
            </w:r>
            <w:r/>
          </w:p>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（元/月/人）</w:t>
            </w:r>
            <w:r/>
          </w:p>
        </w:tc>
        <w:tc>
          <w:tcPr>
            <w:tcW w:w="11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W w:w="1350" w:type="dxa"/>
            <w:vAlign w:val="center"/>
            <w:textDirection w:val="lrTb"/>
            <w:noWrap w:val="false"/>
          </w:tcPr>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p>
            <w:pPr>
              <w:jc w:val="cente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（人数）</w:t>
            </w:r>
            <w:r/>
          </w:p>
        </w:tc>
        <w:tc>
          <w:tcPr>
            <w:tcW w:w="1102"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1679"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A类</w:t>
            </w:r>
            <w:r/>
          </w:p>
        </w:tc>
        <w:tc>
          <w:tcPr>
            <w:tcW w:w="1392" w:type="dxa"/>
            <w:vAlign w:val="center"/>
            <w:textDirection w:val="lrTb"/>
            <w:noWrap w:val="false"/>
          </w:tcPr>
          <w:p>
            <w:pPr>
              <w:jc w:val="center"/>
              <w:spacing w:line="32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134" w:type="dxa"/>
            <w:vAlign w:val="center"/>
            <w:textDirection w:val="lrTb"/>
            <w:noWrap w:val="false"/>
          </w:tcPr>
          <w:p>
            <w:pPr>
              <w:jc w:val="cente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shd w:val="clear" w:color="auto" w:fill="auto"/>
            <w:tcW w:w="13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876</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B类</w:t>
            </w:r>
            <w:r/>
          </w:p>
        </w:tc>
        <w:tc>
          <w:tcPr>
            <w:tcW w:w="139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134"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shd w:val="clear" w:color="auto" w:fill="auto"/>
            <w:tcW w:w="13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gridAfter w:val="1"/>
          <w:jc w:val="center"/>
          <w:trHeight w:val="501"/>
        </w:trPr>
        <w:tc>
          <w:tcPr>
            <w:tcW w:w="670"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1236"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C类</w:t>
            </w:r>
            <w:r/>
          </w:p>
        </w:tc>
        <w:tc>
          <w:tcPr>
            <w:tcW w:w="139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134"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shd w:val="clear" w:color="auto" w:fill="auto"/>
            <w:tcW w:w="135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6060</w:t>
            </w:r>
            <w:r/>
          </w:p>
        </w:tc>
        <w:tc>
          <w:tcPr>
            <w:tcW w:w="1102"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79" w:type="dxa"/>
            <w:vAlign w:val="center"/>
            <w:textDirection w:val="lrTb"/>
            <w:noWrap w:val="false"/>
          </w:tcPr>
          <w:p>
            <w:pPr>
              <w:jc w:val="center"/>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501"/>
        </w:trPr>
        <w:tc>
          <w:tcPr>
            <w:gridSpan w:val="4"/>
            <w:tcW w:w="4432"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总计（元）</w:t>
            </w:r>
            <w:r>
              <w:rPr>
                <w:rFonts w:hint="eastAsia" w:ascii="宋体" w:hAnsi="宋体" w:eastAsia="宋体" w:cs="Times New Roman"/>
                <w:color w:val="auto"/>
                <w:sz w:val="24"/>
                <w:szCs w:val="22"/>
                <w:highlight w:val="none"/>
                <w:lang w:eastAsia="zh-CN"/>
              </w:rPr>
              <w:t xml:space="preserve">：</w:t>
            </w:r>
            <w:r/>
          </w:p>
        </w:tc>
        <w:tc>
          <w:tcPr>
            <w:gridSpan w:val="4"/>
            <w:tcW w:w="4139"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大写：</w:t>
            </w:r>
            <w:r/>
          </w:p>
        </w:tc>
      </w:tr>
    </w:tbl>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A类服务价格不得超出100元/月/人，B类服务价格不得超出</w:t>
      </w:r>
      <w:r>
        <w:rPr>
          <w:rFonts w:hint="eastAsia" w:ascii="宋体" w:hAnsi="宋体" w:eastAsia="宋体" w:cs="Times New Roman"/>
          <w:bCs/>
          <w:color w:val="auto"/>
          <w:sz w:val="24"/>
          <w:szCs w:val="24"/>
          <w:highlight w:val="none"/>
          <w:lang w:val="en-US" w:eastAsia="zh-CN"/>
        </w:rPr>
        <w:t xml:space="preserve">60</w:t>
      </w:r>
      <w:r>
        <w:rPr>
          <w:rFonts w:hint="eastAsia" w:ascii="宋体" w:hAnsi="宋体" w:eastAsia="宋体" w:cs="Times New Roman"/>
          <w:bCs/>
          <w:color w:val="auto"/>
          <w:sz w:val="24"/>
          <w:szCs w:val="24"/>
          <w:highlight w:val="none"/>
        </w:rPr>
        <w:t xml:space="preserve">元/月/人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C类服务价格不得超出</w:t>
      </w: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元/月/人。否则为无效标。</w:t>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left="0" w:right="0" w:firstLine="420"/>
        <w:keepNext w:val="0"/>
        <w:pageBreakBefore w:val="0"/>
        <w:spacing w:line="360" w:lineRule="auto"/>
        <w:widowControl w:val="off"/>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left="0" w:right="0" w:firstLine="420"/>
        <w:keepNext w:val="0"/>
        <w:pageBreakBefore w:val="0"/>
        <w:spacing w:line="360" w:lineRule="auto"/>
        <w:widowControl w:val="off"/>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keepNext w:val="0"/>
        <w:pageBreakBefore w:val="0"/>
        <w:spacing w:line="360" w:lineRule="auto"/>
        <w:widowControl w:val="off"/>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w:t>
      </w:r>
      <w:r/>
    </w:p>
    <w:p>
      <w:pPr>
        <w:ind w:left="0" w:right="0" w:firstLine="720"/>
        <w:jc w:val="center"/>
        <w:keepNext w:val="0"/>
        <w:pageBreakBefore w:val="0"/>
        <w:spacing w:line="360" w:lineRule="auto"/>
        <w:widowControl w:val="off"/>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80"/>
        <w:jc w:val="left"/>
        <w:keepNext w:val="0"/>
        <w:pageBreakBefore w:val="0"/>
        <w:spacing w:line="360" w:lineRule="auto"/>
        <w:widowControl w:val="off"/>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采购包：</w:t>
      </w:r>
      <w:r/>
    </w:p>
    <w:tbl>
      <w:tblPr>
        <w:tblStyle w:val="92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keepNext w:val="0"/>
        <w:pageBreakBefore w:val="0"/>
        <w:spacing w:line="360" w:lineRule="auto"/>
        <w:widowControl w:val="off"/>
        <w:rPr>
          <w:rFonts w:hint="eastAsia" w:ascii="Arial" w:hAnsi="Arial" w:eastAsia="宋体" w:cs="Arial"/>
          <w:i/>
          <w:iCs/>
          <w:color w:val="auto"/>
          <w:sz w:val="36"/>
          <w:highlight w:val="none"/>
          <w:u w:val="single"/>
        </w:rPr>
      </w:pPr>
      <w:r/>
      <w:bookmarkStart w:id="28" w:name="_Hlt26955054"/>
      <w:r/>
      <w:bookmarkEnd w:id="28"/>
      <w:r>
        <w:rPr>
          <w:rFonts w:hint="eastAsia" w:ascii="Arial" w:hAnsi="Arial" w:eastAsia="宋体" w:cs="Arial"/>
          <w:i/>
          <w:iCs/>
          <w:color w:val="auto"/>
          <w:sz w:val="36"/>
          <w:highlight w:val="none"/>
          <w:u w:val="single"/>
        </w:rPr>
        <w:br w:type="page" w:clear="all"/>
      </w:r>
      <w:r/>
    </w:p>
    <w:p>
      <w:pPr>
        <w:ind w:left="0" w:right="0" w:firstLine="720"/>
        <w:jc w:val="left"/>
        <w:keepLines/>
        <w:keepNext w:val="0"/>
        <w:pageBreakBefore w:val="0"/>
        <w:spacing w:line="360" w:lineRule="auto"/>
        <w:widowControl w:val="off"/>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十六、商务要求响应及偏离表</w:t>
      </w:r>
      <w:r/>
    </w:p>
    <w:p>
      <w:pPr>
        <w:ind w:left="0" w:right="0" w:firstLine="720"/>
        <w:jc w:val="center"/>
        <w:keepNext w:val="0"/>
        <w:pageBreakBefore w:val="0"/>
        <w:spacing w:line="360" w:lineRule="auto"/>
        <w:widowControl w:val="off"/>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采购包：</w:t>
      </w:r>
      <w:r/>
    </w:p>
    <w:tbl>
      <w:tblPr>
        <w:tblStyle w:val="92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bookmarkStart w:id="29" w:name="_Hlt26609391"/>
            <w:r/>
            <w:bookmarkEnd w:id="29"/>
            <w:r/>
            <w:bookmarkStart w:id="30" w:name="_Hlt26955056"/>
            <w:r/>
            <w:bookmarkEnd w:id="30"/>
            <w:r/>
            <w:bookmarkStart w:id="31" w:name="_Hlt24879081"/>
            <w:r/>
            <w:bookmarkEnd w:id="31"/>
            <w:r/>
            <w:bookmarkStart w:id="32" w:name="_Hlt26671343"/>
            <w:r/>
            <w:bookmarkEnd w:id="32"/>
            <w:r/>
            <w:bookmarkStart w:id="33" w:name="_Hlt26955064"/>
            <w:r/>
            <w:bookmarkEnd w:id="33"/>
            <w:r/>
            <w:bookmarkStart w:id="34" w:name="_Hlt26580838"/>
            <w:r/>
            <w:bookmarkEnd w:id="34"/>
            <w:r/>
            <w:bookmarkStart w:id="35" w:name="_Hlt26782999"/>
            <w:r/>
            <w:bookmarkEnd w:id="35"/>
            <w:r/>
            <w:bookmarkStart w:id="36" w:name="_Hlt26671372"/>
            <w:r/>
            <w:bookmarkEnd w:id="36"/>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left="0" w:right="0" w:firstLine="420"/>
        <w:keepNext w:val="0"/>
        <w:pageBreakBefore w:val="0"/>
        <w:spacing w:line="360" w:lineRule="auto"/>
        <w:widowControl w:val="off"/>
        <w:rPr>
          <w:color w:val="auto"/>
          <w:highlight w:val="none"/>
        </w:rPr>
      </w:pPr>
      <w:r/>
      <w:bookmarkStart w:id="37" w:name="_格式2__法定代表人授权书"/>
      <w:r/>
      <w:bookmarkEnd w:id="37"/>
      <w:r/>
      <w:bookmarkStart w:id="38" w:name="_Hlt26955066"/>
      <w:r/>
      <w:bookmarkEnd w:id="38"/>
      <w:r/>
      <w:bookmarkStart w:id="39" w:name="_Hlt26609389"/>
      <w:r/>
      <w:bookmarkEnd w:id="39"/>
      <w:r/>
      <w:bookmarkStart w:id="40" w:name="_Hlt26671374"/>
      <w:r/>
      <w:bookmarkEnd w:id="40"/>
      <w:r/>
      <w:r/>
    </w:p>
    <w:p>
      <w:pPr>
        <w:ind w:left="0" w:right="0" w:firstLine="720"/>
        <w:keepNext w:val="0"/>
        <w:pageBreakBefore w:val="0"/>
        <w:spacing w:line="360" w:lineRule="auto"/>
        <w:widowControl w:val="off"/>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十七、类似项目业绩一览表</w:t>
      </w:r>
      <w:r/>
    </w:p>
    <w:p>
      <w:pPr>
        <w:ind w:left="0" w:right="0" w:firstLine="720"/>
        <w:jc w:val="center"/>
        <w:keepNext w:val="0"/>
        <w:pageBreakBefore w:val="0"/>
        <w:spacing w:line="360" w:lineRule="auto"/>
        <w:widowControl w:val="off"/>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采购包：</w:t>
      </w:r>
      <w:r/>
    </w:p>
    <w:tbl>
      <w:tblPr>
        <w:tblStyle w:val="92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keepNext w:val="0"/>
        <w:pageBreakBefore w:val="0"/>
        <w:spacing w:line="360" w:lineRule="auto"/>
        <w:widowControl w:val="off"/>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十八、项目团队人员一览表</w:t>
      </w:r>
      <w:r/>
    </w:p>
    <w:p>
      <w:pPr>
        <w:ind w:left="0" w:right="0" w:firstLine="720"/>
        <w:jc w:val="center"/>
        <w:keepNext w:val="0"/>
        <w:pageBreakBefore w:val="0"/>
        <w:spacing w:line="360" w:lineRule="auto"/>
        <w:widowControl w:val="off"/>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      项目编号：</w:t>
      </w:r>
      <w:r/>
    </w:p>
    <w:p>
      <w:pPr>
        <w:ind w:left="0" w:right="0" w:firstLine="480"/>
        <w:jc w:val="left"/>
        <w:keepNext w:val="0"/>
        <w:pageBreakBefore w:val="0"/>
        <w:spacing w:line="360" w:lineRule="auto"/>
        <w:widowControl w:val="off"/>
        <w:rPr>
          <w:color w:val="auto"/>
          <w:highlight w:val="none"/>
        </w:rPr>
      </w:pPr>
      <w:r>
        <w:rPr>
          <w:rFonts w:hint="eastAsia" w:ascii="宋体" w:hAnsi="宋体" w:eastAsia="宋体" w:cs="方正仿宋_GBK"/>
          <w:color w:val="auto"/>
          <w:sz w:val="24"/>
          <w:szCs w:val="24"/>
          <w:highlight w:val="none"/>
          <w:lang w:val="en-US" w:eastAsia="zh-CN"/>
        </w:rPr>
        <w:t xml:space="preserve">采购包：</w:t>
      </w:r>
      <w:r>
        <w:rPr>
          <w:rFonts w:hint="eastAsia" w:ascii="宋体" w:hAnsi="宋体" w:eastAsia="宋体" w:cs="方正仿宋_GBK"/>
          <w:color w:val="auto"/>
          <w:sz w:val="24"/>
          <w:szCs w:val="24"/>
          <w:highlight w:val="none"/>
        </w:rPr>
        <w:t xml:space="preserve">     </w:t>
      </w:r>
      <w:r/>
    </w:p>
    <w:tbl>
      <w:tblPr>
        <w:tblStyle w:val="92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ind w:left="0" w:right="0" w:firstLine="0"/>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left="0" w:right="0" w:firstLine="420"/>
        <w:keepNext w:val="0"/>
        <w:pageBreakBefore w:val="0"/>
        <w:spacing w:line="360" w:lineRule="auto"/>
        <w:widowControl w:val="off"/>
        <w:rPr>
          <w:color w:val="auto"/>
          <w:highlight w:val="none"/>
        </w:rPr>
      </w:pPr>
      <w:r>
        <w:rPr>
          <w:color w:val="auto"/>
          <w:highlight w:val="none"/>
        </w:rPr>
      </w:r>
      <w:r/>
    </w:p>
    <w:p>
      <w:pPr>
        <w:ind w:left="0" w:right="0" w:firstLine="720"/>
        <w:keepNext w:val="0"/>
        <w:pageBreakBefore w:val="0"/>
        <w:spacing w:line="360" w:lineRule="auto"/>
        <w:widowControl w:val="off"/>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ind w:left="0" w:right="0" w:firstLine="720"/>
        <w:jc w:val="left"/>
        <w:keepLines/>
        <w:keepNext w:val="0"/>
        <w:pageBreakBefore w:val="0"/>
        <w:spacing w:line="360" w:lineRule="auto"/>
        <w:widowControl w:val="off"/>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十九、开标一览表</w:t>
      </w:r>
      <w:r/>
    </w:p>
    <w:p>
      <w:pPr>
        <w:ind w:left="0" w:right="0" w:firstLine="480"/>
        <w:jc w:val="left"/>
        <w:keepNext w:val="0"/>
        <w:pageBreakBefore w:val="0"/>
        <w:spacing w:line="360" w:lineRule="auto"/>
        <w:widowControl w:val="off"/>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p>
    <w:p>
      <w:pPr>
        <w:ind w:left="0" w:right="0" w:firstLine="480"/>
        <w:jc w:val="left"/>
        <w:keepNext w:val="0"/>
        <w:pageBreakBefore w:val="0"/>
        <w:spacing w:line="360" w:lineRule="auto"/>
        <w:widowControl w:val="off"/>
        <w:rPr>
          <w:rFonts w:ascii="Arial" w:hAnsi="Arial" w:eastAsia="宋体" w:cs="Arial"/>
          <w:color w:val="auto"/>
          <w:sz w:val="36"/>
          <w:highlight w:val="none"/>
        </w:rPr>
      </w:pPr>
      <w:r>
        <w:rPr>
          <w:rFonts w:hint="eastAsia" w:ascii="宋体" w:hAnsi="宋体" w:eastAsia="宋体" w:cs="方正仿宋_GBK"/>
          <w:color w:val="auto"/>
          <w:sz w:val="24"/>
          <w:szCs w:val="24"/>
          <w:highlight w:val="none"/>
          <w:lang w:val="en-US" w:eastAsia="zh-CN"/>
        </w:rPr>
        <w:t xml:space="preserve">采购包：</w:t>
      </w:r>
      <w:r>
        <w:rPr>
          <w:rFonts w:hint="eastAsia" w:ascii="宋体" w:hAnsi="宋体" w:eastAsia="宋体" w:cs="方正仿宋_GBK"/>
          <w:color w:val="auto"/>
          <w:sz w:val="24"/>
          <w:szCs w:val="24"/>
          <w:highlight w:val="none"/>
        </w:rPr>
        <w:t xml:space="preserve">      </w:t>
      </w:r>
      <w:r/>
    </w:p>
    <w:p>
      <w:pPr>
        <w:ind w:left="0" w:right="0" w:firstLine="480"/>
        <w:jc w:val="right"/>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left="0" w:right="0" w:firstLine="48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left="0" w:right="0" w:firstLine="800"/>
        <w:jc w:val="left"/>
        <w:keepNext w:val="0"/>
        <w:pageBreakBefore w:val="0"/>
        <w:spacing w:line="360" w:lineRule="auto"/>
        <w:widowControl w:val="off"/>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r/>
    </w:p>
    <w:p>
      <w:pPr>
        <w:ind w:left="0" w:right="0" w:firstLine="800"/>
        <w:jc w:val="center"/>
        <w:keepNext w:val="0"/>
        <w:pageBreakBefore w:val="0"/>
        <w:spacing w:line="360" w:lineRule="auto"/>
        <w:widowControl w:val="off"/>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ind w:left="0" w:right="0" w:firstLine="480"/>
        <w:keepNext w:val="0"/>
        <w:pageBreakBefore w:val="0"/>
        <w:spacing w:line="360" w:lineRule="auto"/>
        <w:widowControl w:val="off"/>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p>
    <w:p>
      <w:pPr>
        <w:ind w:left="0" w:right="0" w:firstLine="480"/>
        <w:keepNext w:val="0"/>
        <w:pageBreakBefore w:val="0"/>
        <w:spacing w:line="360" w:lineRule="auto"/>
        <w:widowControl w:val="off"/>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ind w:left="0" w:right="0" w:firstLine="480"/>
        <w:keepNext w:val="0"/>
        <w:pageBreakBefore w:val="0"/>
        <w:spacing w:line="360" w:lineRule="auto"/>
        <w:widowControl w:val="off"/>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ind w:left="0" w:right="0" w:firstLine="480"/>
        <w:keepNext w:val="0"/>
        <w:pageBreakBefore w:val="0"/>
        <w:spacing w:line="360" w:lineRule="auto"/>
        <w:widowControl w:val="off"/>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ind w:left="0" w:right="0" w:firstLine="480"/>
        <w:keepNext w:val="0"/>
        <w:pageBreakBefore w:val="0"/>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ind w:left="0" w:right="0" w:firstLine="480"/>
        <w:keepNext w:val="0"/>
        <w:pageBreakBefore w:val="0"/>
        <w:spacing w:line="360" w:lineRule="auto"/>
        <w:widowControl w:val="off"/>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ind w:left="0" w:right="0" w:firstLine="480"/>
        <w:keepNext w:val="0"/>
        <w:pageBreakBefore w:val="0"/>
        <w:spacing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ind w:left="0" w:right="0" w:firstLine="48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ind w:left="0" w:right="0" w:firstLine="482"/>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left="0" w:right="0" w:firstLine="480"/>
        <w:jc w:val="left"/>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left="0" w:right="0" w:firstLine="480"/>
        <w:jc w:val="left"/>
        <w:keepNext w:val="0"/>
        <w:pageBreakBefore w:val="0"/>
        <w:spacing w:line="360" w:lineRule="auto"/>
        <w:widowControl w:val="off"/>
        <w:rPr>
          <w:b w:val="0"/>
          <w:bCs/>
          <w:color w:val="auto"/>
          <w:sz w:val="24"/>
          <w:szCs w:val="24"/>
          <w:highlight w:val="none"/>
        </w:rPr>
      </w:pPr>
      <w:r>
        <w:rPr>
          <w:rFonts w:hint="eastAsia" w:ascii="宋体" w:hAnsi="宋体" w:eastAsia="宋体" w:cs="Times New Roman"/>
          <w:b w:val="0"/>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247" w:bottom="1440"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MS Mincho">
    <w:panose1 w:val="02020603050405090304"/>
  </w:font>
  <w:font w:name="Calibri">
    <w:panose1 w:val="020F0502020204030204"/>
  </w:font>
  <w:font w:name="Courier New">
    <w:panose1 w:val="02070309020205020404"/>
  </w:font>
  <w:font w:name="金山简黑体">
    <w:panose1 w:val="020B0503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ideographTraditional"/>
      <w:isLgl w:val="false"/>
      <w:suff w:val="nothing"/>
      <w:lvlText w:val="%1、"/>
      <w:lvlJc w:val="left"/>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28"/>
  </w:num>
  <w:num w:numId="3">
    <w:abstractNumId w:val="9"/>
  </w:num>
  <w:num w:numId="4">
    <w:abstractNumId w:val="20"/>
  </w:num>
  <w:num w:numId="5">
    <w:abstractNumId w:val="19"/>
  </w:num>
  <w:num w:numId="6">
    <w:abstractNumId w:val="13"/>
  </w:num>
  <w:num w:numId="7">
    <w:abstractNumId w:val="8"/>
  </w:num>
  <w:num w:numId="8">
    <w:abstractNumId w:val="34"/>
  </w:num>
  <w:num w:numId="9">
    <w:abstractNumId w:val="7"/>
  </w:num>
  <w:num w:numId="10">
    <w:abstractNumId w:val="2"/>
  </w:num>
  <w:num w:numId="11">
    <w:abstractNumId w:val="1"/>
  </w:num>
  <w:num w:numId="12">
    <w:abstractNumId w:val="31"/>
  </w:num>
  <w:num w:numId="13">
    <w:abstractNumId w:val="21"/>
  </w:num>
  <w:num w:numId="14">
    <w:abstractNumId w:val="17"/>
  </w:num>
  <w:num w:numId="15">
    <w:abstractNumId w:val="35"/>
  </w:num>
  <w:num w:numId="16">
    <w:abstractNumId w:val="18"/>
  </w:num>
  <w:num w:numId="17">
    <w:abstractNumId w:val="23"/>
  </w:num>
  <w:num w:numId="18">
    <w:abstractNumId w:val="10"/>
  </w:num>
  <w:num w:numId="19">
    <w:abstractNumId w:val="24"/>
  </w:num>
  <w:num w:numId="20">
    <w:abstractNumId w:val="14"/>
  </w:num>
  <w:num w:numId="21">
    <w:abstractNumId w:val="11"/>
  </w:num>
  <w:num w:numId="22">
    <w:abstractNumId w:val="26"/>
  </w:num>
  <w:num w:numId="23">
    <w:abstractNumId w:val="22"/>
  </w:num>
  <w:num w:numId="24">
    <w:abstractNumId w:val="27"/>
  </w:num>
  <w:num w:numId="25">
    <w:abstractNumId w:val="25"/>
  </w:num>
  <w:num w:numId="26">
    <w:abstractNumId w:val="32"/>
  </w:num>
  <w:num w:numId="27">
    <w:abstractNumId w:val="33"/>
  </w:num>
  <w:num w:numId="28">
    <w:abstractNumId w:val="0"/>
  </w:num>
  <w:num w:numId="29">
    <w:abstractNumId w:val="30"/>
  </w:num>
  <w:num w:numId="30">
    <w:abstractNumId w:val="15"/>
  </w:num>
  <w:num w:numId="31">
    <w:abstractNumId w:val="3"/>
  </w:num>
  <w:num w:numId="32">
    <w:abstractNumId w:val="5"/>
  </w:num>
  <w:num w:numId="33">
    <w:abstractNumId w:val="12"/>
  </w:num>
  <w:num w:numId="34">
    <w:abstractNumId w:val="4"/>
  </w:num>
  <w:num w:numId="35">
    <w:abstractNumId w:val="6"/>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19"/>
    <w:link w:val="916"/>
    <w:uiPriority w:val="9"/>
    <w:rPr>
      <w:rFonts w:ascii="Arial" w:hAnsi="Arial" w:eastAsia="Arial" w:cs="Arial"/>
      <w:sz w:val="40"/>
      <w:szCs w:val="40"/>
    </w:rPr>
  </w:style>
  <w:style w:type="character" w:styleId="746">
    <w:name w:val="Heading 2 Char"/>
    <w:basedOn w:val="919"/>
    <w:link w:val="951"/>
    <w:uiPriority w:val="9"/>
    <w:rPr>
      <w:rFonts w:ascii="Arial" w:hAnsi="Arial" w:eastAsia="Arial" w:cs="Arial"/>
      <w:sz w:val="34"/>
    </w:rPr>
  </w:style>
  <w:style w:type="character" w:styleId="747">
    <w:name w:val="Heading 3 Char"/>
    <w:basedOn w:val="919"/>
    <w:link w:val="918"/>
    <w:uiPriority w:val="9"/>
    <w:rPr>
      <w:rFonts w:ascii="Arial" w:hAnsi="Arial" w:eastAsia="Arial" w:cs="Arial"/>
      <w:sz w:val="30"/>
      <w:szCs w:val="30"/>
    </w:rPr>
  </w:style>
  <w:style w:type="paragraph" w:styleId="748">
    <w:name w:val="Heading 4"/>
    <w:basedOn w:val="915"/>
    <w:next w:val="915"/>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basedOn w:val="919"/>
    <w:link w:val="748"/>
    <w:uiPriority w:val="9"/>
    <w:rPr>
      <w:rFonts w:ascii="Arial" w:hAnsi="Arial" w:eastAsia="Arial" w:cs="Arial"/>
      <w:b/>
      <w:bCs/>
      <w:sz w:val="26"/>
      <w:szCs w:val="26"/>
    </w:rPr>
  </w:style>
  <w:style w:type="paragraph" w:styleId="750">
    <w:name w:val="Heading 5"/>
    <w:basedOn w:val="915"/>
    <w:next w:val="915"/>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9"/>
    <w:link w:val="750"/>
    <w:uiPriority w:val="9"/>
    <w:rPr>
      <w:rFonts w:ascii="Arial" w:hAnsi="Arial" w:eastAsia="Arial" w:cs="Arial"/>
      <w:b/>
      <w:bCs/>
      <w:sz w:val="24"/>
      <w:szCs w:val="24"/>
    </w:rPr>
  </w:style>
  <w:style w:type="paragraph" w:styleId="752">
    <w:name w:val="Heading 6"/>
    <w:basedOn w:val="915"/>
    <w:next w:val="915"/>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9"/>
    <w:link w:val="752"/>
    <w:uiPriority w:val="9"/>
    <w:rPr>
      <w:rFonts w:ascii="Arial" w:hAnsi="Arial" w:eastAsia="Arial" w:cs="Arial"/>
      <w:b/>
      <w:bCs/>
      <w:sz w:val="22"/>
      <w:szCs w:val="22"/>
    </w:rPr>
  </w:style>
  <w:style w:type="paragraph" w:styleId="754">
    <w:name w:val="Heading 7"/>
    <w:basedOn w:val="915"/>
    <w:next w:val="915"/>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9"/>
    <w:link w:val="754"/>
    <w:uiPriority w:val="9"/>
    <w:rPr>
      <w:rFonts w:ascii="Arial" w:hAnsi="Arial" w:eastAsia="Arial" w:cs="Arial"/>
      <w:b/>
      <w:bCs/>
      <w:i/>
      <w:iCs/>
      <w:sz w:val="22"/>
      <w:szCs w:val="22"/>
    </w:rPr>
  </w:style>
  <w:style w:type="paragraph" w:styleId="756">
    <w:name w:val="Heading 8"/>
    <w:basedOn w:val="915"/>
    <w:next w:val="915"/>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9"/>
    <w:link w:val="756"/>
    <w:uiPriority w:val="9"/>
    <w:rPr>
      <w:rFonts w:ascii="Arial" w:hAnsi="Arial" w:eastAsia="Arial" w:cs="Arial"/>
      <w:i/>
      <w:iCs/>
      <w:sz w:val="22"/>
      <w:szCs w:val="22"/>
    </w:rPr>
  </w:style>
  <w:style w:type="paragraph" w:styleId="758">
    <w:name w:val="Heading 9"/>
    <w:basedOn w:val="915"/>
    <w:next w:val="915"/>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9"/>
    <w:link w:val="758"/>
    <w:uiPriority w:val="9"/>
    <w:rPr>
      <w:rFonts w:ascii="Arial" w:hAnsi="Arial" w:eastAsia="Arial" w:cs="Arial"/>
      <w:i/>
      <w:iCs/>
      <w:sz w:val="21"/>
      <w:szCs w:val="21"/>
    </w:rPr>
  </w:style>
  <w:style w:type="paragraph" w:styleId="760">
    <w:name w:val="List Paragraph"/>
    <w:basedOn w:val="915"/>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5"/>
    <w:next w:val="915"/>
    <w:link w:val="763"/>
    <w:uiPriority w:val="10"/>
    <w:qFormat/>
    <w:pPr>
      <w:contextualSpacing/>
      <w:spacing w:before="300" w:after="200"/>
    </w:pPr>
    <w:rPr>
      <w:sz w:val="48"/>
      <w:szCs w:val="48"/>
    </w:rPr>
  </w:style>
  <w:style w:type="character" w:styleId="763">
    <w:name w:val="Title Char"/>
    <w:basedOn w:val="919"/>
    <w:link w:val="762"/>
    <w:uiPriority w:val="10"/>
    <w:rPr>
      <w:sz w:val="48"/>
      <w:szCs w:val="48"/>
    </w:rPr>
  </w:style>
  <w:style w:type="paragraph" w:styleId="764">
    <w:name w:val="Subtitle"/>
    <w:basedOn w:val="915"/>
    <w:next w:val="915"/>
    <w:link w:val="765"/>
    <w:uiPriority w:val="11"/>
    <w:qFormat/>
    <w:pPr>
      <w:spacing w:before="200" w:after="200"/>
    </w:pPr>
    <w:rPr>
      <w:sz w:val="24"/>
      <w:szCs w:val="24"/>
    </w:rPr>
  </w:style>
  <w:style w:type="character" w:styleId="765">
    <w:name w:val="Subtitle Char"/>
    <w:basedOn w:val="919"/>
    <w:link w:val="764"/>
    <w:uiPriority w:val="11"/>
    <w:rPr>
      <w:sz w:val="24"/>
      <w:szCs w:val="24"/>
    </w:rPr>
  </w:style>
  <w:style w:type="paragraph" w:styleId="766">
    <w:name w:val="Quote"/>
    <w:basedOn w:val="915"/>
    <w:next w:val="915"/>
    <w:link w:val="767"/>
    <w:uiPriority w:val="29"/>
    <w:qFormat/>
    <w:pPr>
      <w:ind w:left="720" w:right="720"/>
    </w:pPr>
    <w:rPr>
      <w:i/>
    </w:rPr>
  </w:style>
  <w:style w:type="character" w:styleId="767">
    <w:name w:val="Quote Char"/>
    <w:link w:val="766"/>
    <w:uiPriority w:val="29"/>
    <w:rPr>
      <w:i/>
    </w:rPr>
  </w:style>
  <w:style w:type="paragraph" w:styleId="768">
    <w:name w:val="Intense Quote"/>
    <w:basedOn w:val="915"/>
    <w:next w:val="915"/>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9"/>
    <w:link w:val="929"/>
    <w:uiPriority w:val="99"/>
  </w:style>
  <w:style w:type="character" w:styleId="771">
    <w:name w:val="Footer Char"/>
    <w:basedOn w:val="919"/>
    <w:link w:val="928"/>
    <w:uiPriority w:val="99"/>
  </w:style>
  <w:style w:type="paragraph" w:styleId="772">
    <w:name w:val="Caption"/>
    <w:basedOn w:val="915"/>
    <w:next w:val="915"/>
    <w:uiPriority w:val="35"/>
    <w:semiHidden/>
    <w:unhideWhenUsed/>
    <w:qFormat/>
    <w:pPr>
      <w:spacing w:line="276" w:lineRule="auto"/>
    </w:pPr>
    <w:rPr>
      <w:b/>
      <w:bCs/>
      <w:color w:val="4f81bd" w:themeColor="accent1"/>
      <w:sz w:val="18"/>
      <w:szCs w:val="18"/>
    </w:rPr>
  </w:style>
  <w:style w:type="character" w:styleId="773">
    <w:name w:val="Caption Char"/>
    <w:basedOn w:val="772"/>
    <w:link w:val="928"/>
    <w:uiPriority w:val="99"/>
  </w:style>
  <w:style w:type="table" w:styleId="774">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9">
    <w:name w:val="footnote text"/>
    <w:basedOn w:val="915"/>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19"/>
    <w:uiPriority w:val="99"/>
    <w:unhideWhenUsed/>
    <w:rPr>
      <w:vertAlign w:val="superscript"/>
    </w:rPr>
  </w:style>
  <w:style w:type="paragraph" w:styleId="902">
    <w:name w:val="endnote text"/>
    <w:basedOn w:val="915"/>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19"/>
    <w:uiPriority w:val="99"/>
    <w:semiHidden/>
    <w:unhideWhenUsed/>
    <w:rPr>
      <w:vertAlign w:val="superscript"/>
    </w:r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16">
    <w:name w:val="Heading 1"/>
    <w:basedOn w:val="915"/>
    <w:next w:val="915"/>
    <w:link w:val="939"/>
    <w:uiPriority w:val="9"/>
    <w:qFormat/>
    <w:pPr>
      <w:keepLines/>
      <w:keepNext/>
      <w:spacing w:before="340" w:after="330" w:line="578" w:lineRule="auto"/>
      <w:outlineLvl w:val="0"/>
    </w:pPr>
    <w:rPr>
      <w:b/>
      <w:bCs/>
      <w:sz w:val="44"/>
      <w:szCs w:val="44"/>
    </w:rPr>
  </w:style>
  <w:style w:type="paragraph" w:styleId="917">
    <w:name w:val="Heading 2"/>
    <w:basedOn w:val="915"/>
    <w:next w:val="915"/>
    <w:link w:val="94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18">
    <w:name w:val="Heading 3"/>
    <w:basedOn w:val="915"/>
    <w:next w:val="915"/>
    <w:link w:val="942"/>
    <w:uiPriority w:val="9"/>
    <w:unhideWhenUsed/>
    <w:qFormat/>
    <w:pPr>
      <w:keepLines/>
      <w:keepNext/>
      <w:spacing w:before="260" w:after="260" w:line="416" w:lineRule="auto"/>
      <w:outlineLvl w:val="2"/>
    </w:pPr>
    <w:rPr>
      <w:b/>
      <w:bCs/>
      <w:sz w:val="32"/>
      <w:szCs w:val="32"/>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Document Map"/>
    <w:basedOn w:val="915"/>
    <w:link w:val="940"/>
    <w:uiPriority w:val="99"/>
    <w:semiHidden/>
    <w:unhideWhenUsed/>
    <w:qFormat/>
    <w:rPr>
      <w:rFonts w:ascii="宋体" w:eastAsia="宋体"/>
      <w:sz w:val="18"/>
      <w:szCs w:val="18"/>
    </w:rPr>
  </w:style>
  <w:style w:type="paragraph" w:styleId="922">
    <w:name w:val="annotation text"/>
    <w:basedOn w:val="915"/>
    <w:link w:val="944"/>
    <w:uiPriority w:val="0"/>
    <w:qFormat/>
    <w:pPr>
      <w:ind w:firstLine="922"/>
      <w:jc w:val="left"/>
      <w:spacing w:line="360" w:lineRule="auto"/>
    </w:pPr>
    <w:rPr>
      <w:rFonts w:ascii="Times New Roman" w:hAnsi="Times New Roman" w:eastAsia="宋体" w:cs="Times New Roman"/>
      <w:szCs w:val="24"/>
    </w:rPr>
  </w:style>
  <w:style w:type="paragraph" w:styleId="923">
    <w:name w:val="Body Text"/>
    <w:uiPriority w:val="0"/>
    <w:qFormat/>
    <w:pPr>
      <w:jc w:val="both"/>
      <w:widowControl w:val="off"/>
    </w:pPr>
    <w:rPr>
      <w:rFonts w:ascii="金山简黑体" w:hAnsi="Courier New" w:eastAsia="金山简黑体" w:cs="Times New Roman"/>
      <w:b/>
      <w:spacing w:val="-8"/>
      <w:sz w:val="44"/>
      <w:szCs w:val="20"/>
      <w:lang w:val="en-US" w:eastAsia="zh-CN" w:bidi="ar-SA"/>
    </w:rPr>
  </w:style>
  <w:style w:type="paragraph" w:styleId="924">
    <w:name w:val="Body Text Indent"/>
    <w:basedOn w:val="915"/>
    <w:uiPriority w:val="0"/>
    <w:qFormat/>
    <w:pPr>
      <w:ind w:firstLine="200"/>
      <w:jc w:val="both"/>
      <w:spacing w:line="200" w:lineRule="exact"/>
      <w:widowControl w:val="off"/>
    </w:pPr>
    <w:rPr>
      <w:rFonts w:ascii="宋体" w:hAnsi="Calibri" w:eastAsia="宋体" w:cs="Times New Roman"/>
      <w:spacing w:val="-4"/>
      <w:sz w:val="18"/>
      <w:szCs w:val="20"/>
      <w:lang w:val="en-US" w:eastAsia="zh-CN" w:bidi="ar-SA"/>
    </w:rPr>
  </w:style>
  <w:style w:type="paragraph" w:styleId="925">
    <w:name w:val="Plain Text"/>
    <w:basedOn w:val="915"/>
    <w:link w:val="948"/>
    <w:uiPriority w:val="0"/>
    <w:qFormat/>
    <w:rPr>
      <w:rFonts w:ascii="宋体" w:hAnsi="Courier New" w:eastAsia="宋体" w:cs="Times New Roman"/>
      <w:szCs w:val="20"/>
    </w:rPr>
  </w:style>
  <w:style w:type="paragraph" w:styleId="926">
    <w:name w:val="Date"/>
    <w:basedOn w:val="915"/>
    <w:next w:val="915"/>
    <w:link w:val="943"/>
    <w:uiPriority w:val="99"/>
    <w:semiHidden/>
    <w:unhideWhenUsed/>
    <w:qFormat/>
    <w:pPr>
      <w:ind w:left="100"/>
    </w:pPr>
  </w:style>
  <w:style w:type="paragraph" w:styleId="927">
    <w:name w:val="Balloon Text"/>
    <w:basedOn w:val="915"/>
    <w:link w:val="945"/>
    <w:uiPriority w:val="99"/>
    <w:semiHidden/>
    <w:unhideWhenUsed/>
    <w:qFormat/>
    <w:rPr>
      <w:sz w:val="18"/>
      <w:szCs w:val="18"/>
    </w:rPr>
  </w:style>
  <w:style w:type="paragraph" w:styleId="928">
    <w:name w:val="Footer"/>
    <w:basedOn w:val="915"/>
    <w:link w:val="938"/>
    <w:uiPriority w:val="99"/>
    <w:unhideWhenUsed/>
    <w:qFormat/>
    <w:pPr>
      <w:jc w:val="left"/>
      <w:tabs>
        <w:tab w:val="center" w:pos="4153" w:leader="none"/>
        <w:tab w:val="right" w:pos="8306" w:leader="none"/>
      </w:tabs>
    </w:pPr>
    <w:rPr>
      <w:sz w:val="18"/>
      <w:szCs w:val="18"/>
    </w:rPr>
  </w:style>
  <w:style w:type="paragraph" w:styleId="929">
    <w:name w:val="Header"/>
    <w:basedOn w:val="915"/>
    <w:link w:val="93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930">
    <w:name w:val="toc 1"/>
    <w:basedOn w:val="915"/>
    <w:next w:val="915"/>
    <w:uiPriority w:val="39"/>
    <w:unhideWhenUsed/>
    <w:qFormat/>
  </w:style>
  <w:style w:type="paragraph" w:styleId="931">
    <w:name w:val="HTML Preformatted"/>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val="en-US" w:eastAsia="zh-CN" w:bidi="ar-SA"/>
    </w:rPr>
  </w:style>
  <w:style w:type="paragraph" w:styleId="932">
    <w:name w:val="Normal (Web)"/>
    <w:basedOn w:val="91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933">
    <w:name w:val="annotation subject"/>
    <w:basedOn w:val="922"/>
    <w:next w:val="922"/>
    <w:link w:val="950"/>
    <w:uiPriority w:val="99"/>
    <w:semiHidden/>
    <w:unhideWhenUsed/>
    <w:qFormat/>
    <w:pPr>
      <w:ind w:firstLine="0"/>
      <w:spacing w:line="240" w:lineRule="auto"/>
    </w:pPr>
    <w:rPr>
      <w:rFonts w:asciiTheme="minorHAnsi" w:hAnsiTheme="minorHAnsi" w:eastAsiaTheme="minorEastAsia" w:cstheme="minorBidi"/>
      <w:b/>
      <w:bCs/>
      <w:szCs w:val="22"/>
    </w:rPr>
  </w:style>
  <w:style w:type="table" w:styleId="934">
    <w:name w:val="Table Grid"/>
    <w:basedOn w:val="9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Hyperlink"/>
    <w:uiPriority w:val="99"/>
    <w:qFormat/>
    <w:rPr>
      <w:color w:val="0000ff"/>
      <w:u w:val="none"/>
    </w:rPr>
  </w:style>
  <w:style w:type="character" w:styleId="936">
    <w:name w:val="annotation reference"/>
    <w:uiPriority w:val="0"/>
    <w:qFormat/>
    <w:rPr>
      <w:sz w:val="21"/>
      <w:szCs w:val="21"/>
    </w:rPr>
  </w:style>
  <w:style w:type="character" w:styleId="937" w:customStyle="1">
    <w:name w:val="页眉 Char"/>
    <w:basedOn w:val="919"/>
    <w:link w:val="929"/>
    <w:uiPriority w:val="99"/>
    <w:semiHidden/>
    <w:qFormat/>
    <w:rPr>
      <w:sz w:val="18"/>
      <w:szCs w:val="18"/>
    </w:rPr>
  </w:style>
  <w:style w:type="character" w:styleId="938" w:customStyle="1">
    <w:name w:val="页脚 Char"/>
    <w:basedOn w:val="919"/>
    <w:link w:val="928"/>
    <w:uiPriority w:val="99"/>
    <w:qFormat/>
    <w:rPr>
      <w:sz w:val="18"/>
      <w:szCs w:val="18"/>
    </w:rPr>
  </w:style>
  <w:style w:type="character" w:styleId="939" w:customStyle="1">
    <w:name w:val="标题 1 Char"/>
    <w:basedOn w:val="919"/>
    <w:link w:val="916"/>
    <w:uiPriority w:val="9"/>
    <w:qFormat/>
    <w:rPr>
      <w:b/>
      <w:bCs/>
      <w:sz w:val="44"/>
      <w:szCs w:val="44"/>
    </w:rPr>
  </w:style>
  <w:style w:type="character" w:styleId="940" w:customStyle="1">
    <w:name w:val="文档结构图 Char"/>
    <w:basedOn w:val="919"/>
    <w:link w:val="921"/>
    <w:uiPriority w:val="99"/>
    <w:semiHidden/>
    <w:qFormat/>
    <w:rPr>
      <w:rFonts w:ascii="宋体" w:eastAsia="宋体"/>
      <w:sz w:val="18"/>
      <w:szCs w:val="18"/>
    </w:rPr>
  </w:style>
  <w:style w:type="character" w:styleId="941" w:customStyle="1">
    <w:name w:val="标题 2 Char"/>
    <w:basedOn w:val="919"/>
    <w:link w:val="917"/>
    <w:uiPriority w:val="9"/>
    <w:qFormat/>
    <w:rPr>
      <w:rFonts w:asciiTheme="majorHAnsi" w:hAnsiTheme="majorHAnsi" w:eastAsiaTheme="majorEastAsia" w:cstheme="majorBidi"/>
      <w:b/>
      <w:bCs/>
      <w:sz w:val="32"/>
      <w:szCs w:val="32"/>
    </w:rPr>
  </w:style>
  <w:style w:type="character" w:styleId="942" w:customStyle="1">
    <w:name w:val="标题 3 Char"/>
    <w:basedOn w:val="919"/>
    <w:link w:val="918"/>
    <w:uiPriority w:val="9"/>
    <w:qFormat/>
    <w:rPr>
      <w:b/>
      <w:bCs/>
      <w:sz w:val="32"/>
      <w:szCs w:val="32"/>
    </w:rPr>
  </w:style>
  <w:style w:type="character" w:styleId="943" w:customStyle="1">
    <w:name w:val="日期 Char"/>
    <w:basedOn w:val="919"/>
    <w:link w:val="926"/>
    <w:uiPriority w:val="99"/>
    <w:semiHidden/>
    <w:qFormat/>
  </w:style>
  <w:style w:type="character" w:styleId="944" w:customStyle="1">
    <w:name w:val="批注文字 Char"/>
    <w:basedOn w:val="919"/>
    <w:link w:val="922"/>
    <w:uiPriority w:val="0"/>
    <w:qFormat/>
    <w:rPr>
      <w:rFonts w:ascii="Times New Roman" w:hAnsi="Times New Roman" w:eastAsia="宋体" w:cs="Times New Roman"/>
      <w:szCs w:val="24"/>
    </w:rPr>
  </w:style>
  <w:style w:type="character" w:styleId="945" w:customStyle="1">
    <w:name w:val="批注框文本 Char"/>
    <w:basedOn w:val="919"/>
    <w:link w:val="927"/>
    <w:uiPriority w:val="99"/>
    <w:semiHidden/>
    <w:qFormat/>
    <w:rPr>
      <w:sz w:val="18"/>
      <w:szCs w:val="18"/>
    </w:rPr>
  </w:style>
  <w:style w:type="paragraph" w:styleId="946" w:customStyle="1">
    <w:name w:val="Default"/>
    <w:link w:val="947"/>
    <w:uiPriority w:val="99"/>
    <w:qFormat/>
    <w:pPr>
      <w:widowControl w:val="off"/>
    </w:pPr>
    <w:rPr>
      <w:rFonts w:ascii="MS Mincho" w:hAnsi="Calibri" w:eastAsia="宋体" w:cs="Times New Roman"/>
      <w:color w:val="000000"/>
      <w:sz w:val="21"/>
      <w:szCs w:val="24"/>
      <w:lang w:val="en-US" w:eastAsia="zh-CN" w:bidi="ar-SA"/>
    </w:rPr>
  </w:style>
  <w:style w:type="character" w:styleId="947" w:customStyle="1">
    <w:name w:val="Default Char"/>
    <w:link w:val="946"/>
    <w:uiPriority w:val="99"/>
    <w:qFormat/>
    <w:rPr>
      <w:rFonts w:ascii="MS Mincho" w:hAnsi="Calibri" w:eastAsia="宋体" w:cs="Times New Roman"/>
      <w:color w:val="000000"/>
      <w:szCs w:val="24"/>
    </w:rPr>
  </w:style>
  <w:style w:type="character" w:styleId="948" w:customStyle="1">
    <w:name w:val="纯文本 Char"/>
    <w:basedOn w:val="919"/>
    <w:link w:val="925"/>
    <w:uiPriority w:val="0"/>
    <w:qFormat/>
    <w:rPr>
      <w:rFonts w:ascii="宋体" w:hAnsi="Courier New" w:eastAsia="宋体" w:cs="Times New Roman"/>
      <w:szCs w:val="20"/>
    </w:rPr>
  </w:style>
  <w:style w:type="paragraph" w:styleId="949" w:customStyle="1">
    <w:name w:val="Table Paragraph"/>
    <w:basedOn w:val="915"/>
    <w:uiPriority w:val="1"/>
    <w:qFormat/>
    <w:rPr>
      <w:rFonts w:ascii="宋体" w:hAnsi="宋体" w:eastAsia="宋体" w:cs="宋体"/>
      <w:lang w:val="zh-CN" w:bidi="zh-CN"/>
    </w:rPr>
  </w:style>
  <w:style w:type="character" w:styleId="950" w:customStyle="1">
    <w:name w:val="批注主题 Char"/>
    <w:basedOn w:val="944"/>
    <w:link w:val="933"/>
    <w:uiPriority w:val="99"/>
    <w:semiHidden/>
    <w:qFormat/>
    <w:rPr>
      <w:rFonts w:asciiTheme="minorHAnsi" w:hAnsiTheme="minorHAnsi" w:eastAsiaTheme="minorEastAsia" w:cstheme="minorBidi"/>
      <w:b/>
      <w:bCs/>
      <w:sz w:val="21"/>
      <w:szCs w:val="22"/>
    </w:rPr>
  </w:style>
  <w:style w:type="paragraph" w:styleId="951" w:customStyle="1">
    <w:name w:val="Heading 2"/>
    <w:basedOn w:val="915"/>
    <w:next w:val="91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52"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53" w:customStyle="1">
    <w:name w:val="无间隔1"/>
    <w:basedOn w:val="915"/>
    <w:uiPriority w:val="0"/>
    <w:qFormat/>
    <w:pPr>
      <w:widowControl/>
    </w:pPr>
    <w:rPr>
      <w:rFonts w:eastAsia="宋体"/>
    </w:rPr>
  </w:style>
  <w:style w:type="paragraph" w:styleId="954" w:customStyle="1">
    <w:name w:val="纯文本1"/>
    <w:basedOn w:val="915"/>
    <w:uiPriority w:val="0"/>
    <w:qFormat/>
    <w:rPr>
      <w:rFonts w:ascii="宋体" w:hAnsi="Courier New"/>
      <w:szCs w:val="20"/>
    </w:rPr>
  </w:style>
  <w:style w:type="character" w:styleId="955" w:customStyle="1">
    <w:name w:val="font41"/>
    <w:basedOn w:val="919"/>
    <w:uiPriority w:val="0"/>
    <w:qFormat/>
    <w:rPr>
      <w:rFonts w:hint="eastAsia" w:ascii="宋体" w:hAnsi="宋体" w:eastAsia="宋体" w:cs="宋体"/>
      <w:color w:val="000000"/>
      <w:sz w:val="22"/>
      <w:szCs w:val="22"/>
      <w:u w:val="none"/>
    </w:rPr>
  </w:style>
  <w:style w:type="character" w:styleId="956" w:customStyle="1">
    <w:name w:val="font61"/>
    <w:basedOn w:val="919"/>
    <w:uiPriority w:val="0"/>
    <w:qFormat/>
    <w:rPr>
      <w:rFonts w:hint="eastAsia" w:ascii="宋体" w:hAnsi="宋体" w:eastAsia="宋体" w:cs="宋体"/>
      <w:b/>
      <w:bCs/>
      <w:color w:val="000000"/>
      <w:sz w:val="22"/>
      <w:szCs w:val="22"/>
      <w:u w:val="none"/>
    </w:rPr>
  </w:style>
  <w:style w:type="paragraph" w:styleId="957" w:customStyle="1">
    <w:name w:val="WPSOffice手动目录 1"/>
    <w:uiPriority w:val="0"/>
    <w:qFormat/>
    <w:rPr>
      <w:rFonts w:ascii="Times New Roman" w:hAnsi="Times New Roman" w:eastAsia="宋体" w:cs="Times New Roman"/>
      <w:sz w:val="20"/>
      <w:szCs w:val="20"/>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E28F92-0D47-4117-A6F9-3496E21D61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曾宪尧</cp:lastModifiedBy>
  <cp:revision>4</cp:revision>
  <dcterms:created xsi:type="dcterms:W3CDTF">2024-06-03T03:23:00Z</dcterms:created>
  <dcterms:modified xsi:type="dcterms:W3CDTF">2025-03-21T02:15:26Z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D05319B931AD492AABC357BB6855954F_13</vt:lpwstr>
  </property>
  <property fmtid="{D5CDD505-2E9C-101B-9397-08002B2CF9AE}" pid="4" name="KSOTemplateDocerSaveRecord">
    <vt:lpwstr>eyJoZGlkIjoiMDI4MDI3MDc5YTdlNzY5ZjY1YWQ2NGMyZjJhMWMzZTQiLCJ1c2VySWQiOiIxMTY3ODc1MzUxIn0=</vt:lpwstr>
  </property>
</Properties>
</file>