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ind w:firstLine="0"/>
        <w:jc w:val="center"/>
        <w:rPr>
          <w:rFonts w:ascii="Times New Roman" w:hAnsi="Times New Roman" w:eastAsia="黑体"/>
          <w:b/>
          <w:bCs/>
          <w:color w:val="000000" w:themeColor="text1"/>
          <w:sz w:val="84"/>
          <w14:textFill>
            <w14:solidFill>
              <w14:schemeClr w14:val="tx1"/>
            </w14:solidFill>
          </w14:textFill>
        </w:rPr>
      </w:pPr>
      <w:r/>
      <w:bookmarkStart w:id="0" w:name="_Toc16938558"/>
      <w:r/>
      <w:bookmarkStart w:id="1" w:name="_Toc513029242"/>
      <w:r/>
      <w:bookmarkStart w:id="2" w:name="_Toc479757207"/>
      <w:r/>
      <w:bookmarkStart w:id="3" w:name="_Toc20823314"/>
      <w:r/>
      <w:bookmarkStart w:id="4" w:name="_Toc120614221"/>
      <w:r/>
      <w:r/>
    </w:p>
    <w:p>
      <w:pPr>
        <w:pStyle w:val="1018"/>
        <w:ind w:firstLine="0"/>
        <w:jc w:val="center"/>
        <w:rPr>
          <w:rFonts w:ascii="Times New Roman" w:hAnsi="Times New Roman" w:eastAsia="黑体"/>
          <w:b/>
          <w:bCs/>
          <w:color w:val="000000" w:themeColor="text1"/>
          <w:sz w:val="84"/>
          <w14:textFill>
            <w14:solidFill>
              <w14:schemeClr w14:val="tx1"/>
            </w14:solidFill>
          </w14:textFill>
        </w:rPr>
      </w:pPr>
      <w:r>
        <w:rPr>
          <w:rFonts w:ascii="Times New Roman" w:hAnsi="Times New Roman" w:eastAsia="黑体"/>
          <w:b/>
          <w:bCs/>
          <w:color w:val="000000" w:themeColor="text1"/>
          <w:sz w:val="84"/>
          <w14:textFill>
            <w14:solidFill>
              <w14:schemeClr w14:val="tx1"/>
            </w14:solidFill>
          </w14:textFill>
        </w:rPr>
        <w:t xml:space="preserve">招　标　文　件</w:t>
      </w:r>
      <w:r/>
    </w:p>
    <w:p>
      <w:pPr>
        <w:jc w:val="cente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t xml:space="preserve">项目名称：</w:t>
      </w:r>
      <w:r>
        <w:rPr>
          <w:rFonts w:hint="eastAsia"/>
          <w:b/>
          <w:bCs/>
          <w:color w:val="000000" w:themeColor="text1"/>
          <w:sz w:val="32"/>
          <w14:textFill>
            <w14:solidFill>
              <w14:schemeClr w14:val="tx1"/>
            </w14:solidFill>
          </w14:textFill>
        </w:rPr>
        <w:t xml:space="preserve">江苏省人民政府国有资产监督管理委员会2024年度信息化运维服务</w:t>
      </w:r>
      <w:r/>
    </w:p>
    <w:p>
      <w:pPr>
        <w:jc w:val="center"/>
        <w:rPr>
          <w:b/>
          <w:color w:val="000000" w:themeColor="text1"/>
          <w:sz w:val="30"/>
          <w:szCs w:val="30"/>
          <w14:textFill>
            <w14:solidFill>
              <w14:schemeClr w14:val="tx1"/>
            </w14:solidFill>
          </w14:textFill>
        </w:rPr>
      </w:pPr>
      <w:r>
        <w:rPr>
          <w:b/>
          <w:bCs/>
          <w:color w:val="000000" w:themeColor="text1"/>
          <w:sz w:val="32"/>
          <w14:textFill>
            <w14:solidFill>
              <w14:schemeClr w14:val="tx1"/>
            </w14:solidFill>
          </w14:textFill>
        </w:rPr>
        <w:t xml:space="preserve">项目</w:t>
      </w:r>
      <w:r>
        <w:rPr>
          <w:rFonts w:hint="eastAsia"/>
          <w:b/>
          <w:bCs/>
          <w:color w:val="000000" w:themeColor="text1"/>
          <w:sz w:val="32"/>
          <w14:textFill>
            <w14:solidFill>
              <w14:schemeClr w14:val="tx1"/>
            </w14:solidFill>
          </w14:textFill>
        </w:rPr>
        <w:t xml:space="preserve">编号：</w:t>
      </w:r>
      <w:r>
        <w:rPr>
          <w:b/>
          <w:bCs/>
          <w:color w:val="000000" w:themeColor="text1"/>
          <w:sz w:val="32"/>
          <w14:textFill>
            <w14:solidFill>
              <w14:schemeClr w14:val="tx1"/>
            </w14:solidFill>
          </w14:textFill>
        </w:rPr>
        <w:t xml:space="preserve">JSZC-320000-SCZX-G2024-0336</w:t>
      </w:r>
      <w:r/>
    </w:p>
    <w:p>
      <w:pPr>
        <w:pStyle w:val="1018"/>
        <w:ind w:firstLine="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1018"/>
        <w:ind w:firstLine="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1018"/>
        <w:ind w:firstLine="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1018"/>
        <w:ind w:firstLine="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1018"/>
        <w:ind w:firstLine="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1018"/>
        <w:ind w:firstLine="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1018"/>
        <w:ind w:firstLine="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1018"/>
        <w:ind w:firstLine="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1018"/>
        <w:ind w:firstLine="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1018"/>
        <w:ind w:firstLine="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1018"/>
        <w:ind w:firstLine="0"/>
        <w:jc w:val="center"/>
        <w:rPr>
          <w:rFonts w:ascii="Times New Roman" w:hAnsi="Times New Roman"/>
          <w:b/>
          <w:bCs/>
          <w:color w:val="000000" w:themeColor="text1"/>
          <w:sz w:val="32"/>
          <w14:textFill>
            <w14:solidFill>
              <w14:schemeClr w14:val="tx1"/>
            </w14:solidFill>
          </w14:textFill>
        </w:rPr>
      </w:pPr>
      <w:r>
        <w:rPr>
          <w:rFonts w:ascii="Times New Roman" w:hAnsi="Times New Roman"/>
          <w:b/>
          <w:bCs/>
          <w:color w:val="000000" w:themeColor="text1"/>
          <w:sz w:val="32"/>
          <w14:textFill>
            <w14:solidFill>
              <w14:schemeClr w14:val="tx1"/>
            </w14:solidFill>
          </w14:textFill>
        </w:rPr>
        <w:t xml:space="preserve">江苏省政府采购中心</w:t>
      </w:r>
      <w:r/>
    </w:p>
    <w:p>
      <w:pPr>
        <w:pStyle w:val="1018"/>
        <w:ind w:firstLine="0"/>
        <w:jc w:val="center"/>
        <w:rPr>
          <w:rFonts w:ascii="Times New Roman" w:hAnsi="Times New Roman"/>
          <w:b/>
          <w:bCs/>
          <w:color w:val="000000" w:themeColor="text1"/>
          <w:sz w:val="32"/>
          <w14:textFill>
            <w14:solidFill>
              <w14:schemeClr w14:val="tx1"/>
            </w14:solidFill>
          </w14:textFill>
        </w:rPr>
      </w:pPr>
      <w:r>
        <w:rPr>
          <w:rFonts w:ascii="Times New Roman" w:hAnsi="Times New Roman"/>
          <w:b/>
          <w:bCs/>
          <w:color w:val="000000" w:themeColor="text1"/>
          <w:sz w:val="32"/>
          <w14:textFill>
            <w14:solidFill>
              <w14:schemeClr w14:val="tx1"/>
            </w14:solidFill>
          </w14:textFill>
        </w:rPr>
        <w:t xml:space="preserve">2024年7月</w:t>
      </w:r>
      <w:r/>
    </w:p>
    <w:p>
      <w:pPr>
        <w:pStyle w:val="1018"/>
        <w:ind w:firstLine="0"/>
        <w:rPr>
          <w:rFonts w:ascii="Times New Roman" w:hAnsi="Times New Roman"/>
          <w:color w:val="000000" w:themeColor="text1"/>
          <w:u w:val="single"/>
          <w14:textFill>
            <w14:solidFill>
              <w14:schemeClr w14:val="tx1"/>
            </w14:solidFill>
          </w14:textFill>
        </w:rPr>
      </w:pPr>
      <w:r>
        <w:rPr>
          <w:rFonts w:ascii="Times New Roman" w:hAnsi="Times New Roman"/>
          <w:color w:val="000000" w:themeColor="text1"/>
          <w14:textFill>
            <w14:solidFill>
              <w14:schemeClr w14:val="tx1"/>
            </w14:solidFill>
          </w14:textFill>
        </w:rPr>
        <w:t xml:space="preserve">                        </w:t>
      </w:r>
      <w:r/>
    </w:p>
    <w:p>
      <w:pPr>
        <w:pStyle w:val="1018"/>
        <w:ind w:firstLine="0"/>
        <w:jc w:val="center"/>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jc w:val="center"/>
        <w:spacing w:line="480" w:lineRule="auto"/>
        <w:rPr>
          <w:rFonts w:eastAsia="黑体"/>
          <w:b/>
          <w:color w:val="000000" w:themeColor="text1"/>
          <w:sz w:val="44"/>
          <w14:textFill>
            <w14:solidFill>
              <w14:schemeClr w14:val="tx1"/>
            </w14:solidFill>
          </w14:textFill>
        </w:rPr>
        <w:outlineLvl w:val="0"/>
      </w:pPr>
      <w:r/>
      <w:bookmarkStart w:id="5" w:name="_Toc120614210"/>
      <w:r/>
      <w:bookmarkStart w:id="6" w:name="_Toc20823272"/>
      <w:r/>
      <w:bookmarkStart w:id="7" w:name="_Toc523127445"/>
      <w:r/>
      <w:bookmarkStart w:id="8" w:name="_Toc479757206"/>
      <w:r/>
      <w:bookmarkStart w:id="9" w:name="_Toc513029200"/>
      <w:r/>
      <w:bookmarkStart w:id="10" w:name="_Toc16938516"/>
      <w:r>
        <w:rPr>
          <w:color w:val="000000" w:themeColor="text1"/>
          <w14:textFill>
            <w14:solidFill>
              <w14:schemeClr w14:val="tx1"/>
            </w14:solidFill>
          </w14:textFill>
        </w:rPr>
        <w:br w:type="page" w:clear="all"/>
      </w:r>
      <w:r>
        <w:rPr>
          <w:rFonts w:eastAsia="黑体"/>
          <w:b/>
          <w:color w:val="000000" w:themeColor="text1"/>
          <w:sz w:val="44"/>
          <w14:textFill>
            <w14:solidFill>
              <w14:schemeClr w14:val="tx1"/>
            </w14:solidFill>
          </w14:textFill>
        </w:rPr>
        <w:t xml:space="preserve">总  目  录</w:t>
      </w:r>
      <w:r/>
    </w:p>
    <w:p>
      <w:pPr>
        <w:spacing w:line="480" w:lineRule="auto"/>
        <w:rPr>
          <w:rFonts w:eastAsia="仿宋_GB2312"/>
          <w:b/>
          <w:color w:val="000000" w:themeColor="text1"/>
          <w:sz w:val="28"/>
          <w14:textFill>
            <w14:solidFill>
              <w14:schemeClr w14:val="tx1"/>
            </w14:solidFill>
          </w14:textFill>
        </w:rPr>
      </w:pPr>
      <w:r>
        <w:rPr>
          <w:rFonts w:eastAsia="仿宋_GB2312"/>
          <w:b/>
          <w:color w:val="000000" w:themeColor="text1"/>
          <w:sz w:val="28"/>
          <w14:textFill>
            <w14:solidFill>
              <w14:schemeClr w14:val="tx1"/>
            </w14:solidFill>
          </w14:textFill>
        </w:rPr>
      </w:r>
      <w:r/>
    </w:p>
    <w:p>
      <w:pPr>
        <w:numPr>
          <w:ilvl w:val="0"/>
          <w:numId w:val="4"/>
        </w:numPr>
        <w:spacing w:line="480" w:lineRule="auto"/>
        <w:rPr>
          <w:rFonts w:eastAsia="黑体"/>
          <w:color w:val="000000" w:themeColor="text1"/>
          <w:sz w:val="28"/>
          <w:szCs w:val="28"/>
          <w14:textFill>
            <w14:solidFill>
              <w14:schemeClr w14:val="tx1"/>
            </w14:solidFill>
          </w14:textFill>
        </w:rPr>
        <w:outlineLvl w:val="0"/>
      </w:pPr>
      <w:r>
        <w:rPr>
          <w:rFonts w:eastAsia="黑体"/>
          <w:color w:val="000000" w:themeColor="text1"/>
          <w:sz w:val="28"/>
          <w:szCs w:val="28"/>
          <w14:textFill>
            <w14:solidFill>
              <w14:schemeClr w14:val="tx1"/>
            </w14:solidFill>
          </w14:textFill>
        </w:rPr>
        <w:t xml:space="preserve">投标邀请……………………………………………………… 1</w:t>
      </w:r>
      <w:r/>
    </w:p>
    <w:p>
      <w:pPr>
        <w:numPr>
          <w:ilvl w:val="0"/>
          <w:numId w:val="4"/>
        </w:numPr>
        <w:spacing w:line="480" w:lineRule="auto"/>
        <w:rPr>
          <w:rFonts w:eastAsia="黑体"/>
          <w:color w:val="000000" w:themeColor="text1"/>
          <w:sz w:val="28"/>
          <w:szCs w:val="28"/>
          <w14:textFill>
            <w14:solidFill>
              <w14:schemeClr w14:val="tx1"/>
            </w14:solidFill>
          </w14:textFill>
        </w:rPr>
        <w:outlineLvl w:val="0"/>
      </w:pPr>
      <w:r>
        <w:rPr>
          <w:rFonts w:eastAsia="黑体"/>
          <w:bCs/>
          <w:color w:val="000000" w:themeColor="text1"/>
          <w:sz w:val="28"/>
          <w:szCs w:val="28"/>
          <w14:textFill>
            <w14:solidFill>
              <w14:schemeClr w14:val="tx1"/>
            </w14:solidFill>
          </w14:textFill>
        </w:rPr>
        <w:t xml:space="preserve">投标人须知</w:t>
      </w:r>
      <w:r>
        <w:rPr>
          <w:rFonts w:eastAsia="黑体"/>
          <w:color w:val="000000" w:themeColor="text1"/>
          <w:sz w:val="28"/>
          <w:szCs w:val="28"/>
          <w14:textFill>
            <w14:solidFill>
              <w14:schemeClr w14:val="tx1"/>
            </w14:solidFill>
          </w14:textFill>
        </w:rPr>
        <w:t xml:space="preserve">…………………………………………………… 4 </w:t>
      </w:r>
      <w:r/>
    </w:p>
    <w:p>
      <w:pPr>
        <w:numPr>
          <w:ilvl w:val="0"/>
          <w:numId w:val="4"/>
        </w:numPr>
        <w:spacing w:line="480" w:lineRule="auto"/>
        <w:rPr>
          <w:rFonts w:eastAsia="黑体"/>
          <w:color w:val="000000" w:themeColor="text1"/>
          <w:sz w:val="28"/>
          <w:szCs w:val="28"/>
          <w14:textFill>
            <w14:solidFill>
              <w14:schemeClr w14:val="tx1"/>
            </w14:solidFill>
          </w14:textFill>
        </w:rPr>
        <w:outlineLvl w:val="0"/>
      </w:pPr>
      <w:r>
        <w:rPr>
          <w:rFonts w:eastAsia="黑体"/>
          <w:color w:val="000000" w:themeColor="text1"/>
          <w:sz w:val="28"/>
          <w:szCs w:val="28"/>
          <w14:textFill>
            <w14:solidFill>
              <w14:schemeClr w14:val="tx1"/>
            </w14:solidFill>
          </w14:textFill>
        </w:rPr>
        <w:t xml:space="preserve">合同文本………………………………………………………15</w:t>
      </w:r>
      <w:r/>
    </w:p>
    <w:p>
      <w:pPr>
        <w:numPr>
          <w:ilvl w:val="0"/>
          <w:numId w:val="4"/>
        </w:numPr>
        <w:spacing w:line="480" w:lineRule="auto"/>
        <w:rPr>
          <w:rFonts w:eastAsia="黑体"/>
          <w:color w:val="000000" w:themeColor="text1"/>
          <w:sz w:val="28"/>
          <w:szCs w:val="28"/>
          <w14:textFill>
            <w14:solidFill>
              <w14:schemeClr w14:val="tx1"/>
            </w14:solidFill>
          </w14:textFill>
        </w:rPr>
        <w:outlineLvl w:val="0"/>
      </w:pPr>
      <w:r>
        <w:rPr>
          <w:rFonts w:eastAsia="黑体"/>
          <w:color w:val="000000" w:themeColor="text1"/>
          <w:sz w:val="28"/>
          <w:szCs w:val="28"/>
          <w14:textFill>
            <w14:solidFill>
              <w14:schemeClr w14:val="tx1"/>
            </w14:solidFill>
          </w14:textFill>
        </w:rPr>
        <w:t xml:space="preserve">项目需求………………………………………………………19</w:t>
      </w:r>
      <w:r/>
    </w:p>
    <w:p>
      <w:pPr>
        <w:numPr>
          <w:ilvl w:val="0"/>
          <w:numId w:val="4"/>
        </w:numPr>
        <w:spacing w:line="480" w:lineRule="auto"/>
        <w:rPr>
          <w:rFonts w:eastAsia="黑体"/>
          <w:color w:val="000000" w:themeColor="text1"/>
          <w:sz w:val="28"/>
          <w:szCs w:val="28"/>
          <w14:textFill>
            <w14:solidFill>
              <w14:schemeClr w14:val="tx1"/>
            </w14:solidFill>
          </w14:textFill>
        </w:rPr>
        <w:outlineLvl w:val="0"/>
      </w:pPr>
      <w:r>
        <w:rPr>
          <w:rFonts w:eastAsia="黑体"/>
          <w:bCs/>
          <w:color w:val="000000" w:themeColor="text1"/>
          <w:sz w:val="28"/>
          <w:szCs w:val="28"/>
          <w14:textFill>
            <w14:solidFill>
              <w14:schemeClr w14:val="tx1"/>
            </w14:solidFill>
          </w14:textFill>
        </w:rPr>
        <w:t xml:space="preserve">评标方法与评标标准</w:t>
      </w:r>
      <w:r>
        <w:rPr>
          <w:rFonts w:eastAsia="黑体"/>
          <w:color w:val="000000" w:themeColor="text1"/>
          <w:sz w:val="28"/>
          <w:szCs w:val="28"/>
          <w14:textFill>
            <w14:solidFill>
              <w14:schemeClr w14:val="tx1"/>
            </w14:solidFill>
          </w14:textFill>
        </w:rPr>
        <w:t xml:space="preserve">…………………………………………45</w:t>
      </w:r>
      <w:r/>
    </w:p>
    <w:p>
      <w:pPr>
        <w:numPr>
          <w:ilvl w:val="0"/>
          <w:numId w:val="4"/>
        </w:numPr>
        <w:spacing w:line="480" w:lineRule="auto"/>
        <w:rPr>
          <w:rFonts w:eastAsia="黑体"/>
          <w:color w:val="000000" w:themeColor="text1"/>
          <w:sz w:val="28"/>
          <w:szCs w:val="28"/>
          <w14:textFill>
            <w14:solidFill>
              <w14:schemeClr w14:val="tx1"/>
            </w14:solidFill>
          </w14:textFill>
        </w:rPr>
        <w:outlineLvl w:val="0"/>
      </w:pPr>
      <w:r>
        <w:rPr>
          <w:rFonts w:eastAsia="黑体"/>
          <w:color w:val="000000" w:themeColor="text1"/>
          <w:sz w:val="28"/>
          <w:szCs w:val="28"/>
          <w14:textFill>
            <w14:solidFill>
              <w14:schemeClr w14:val="tx1"/>
            </w14:solidFill>
          </w14:textFill>
        </w:rPr>
        <w:t xml:space="preserve">投标文件格式…………………………………………………51</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57"/>
        <w:rPr>
          <w:rFonts w:ascii="Times New Roman"/>
          <w:color w:val="000000" w:themeColor="text1"/>
          <w14:textFill>
            <w14:solidFill>
              <w14:schemeClr w14:val="tx1"/>
            </w14:solidFill>
          </w14:textFill>
        </w:rPr>
        <w:sectPr>
          <w:footerReference w:type="default" r:id="rId11"/>
          <w:footnotePr/>
          <w:endnotePr/>
          <w:type w:val="nextPage"/>
          <w:pgSz w:w="11906" w:h="16838" w:orient="portrait"/>
          <w:pgMar w:top="1418" w:right="1588" w:bottom="1418" w:left="1365" w:header="851" w:footer="907" w:gutter="0"/>
          <w:pgNumType w:start="1"/>
          <w:cols w:num="1" w:sep="0" w:space="720" w:equalWidth="1"/>
          <w:docGrid w:linePitch="360"/>
        </w:sectPr>
      </w:pPr>
      <w:r>
        <w:rPr>
          <w:rFonts w:ascii="Times New Roman"/>
          <w:color w:val="000000" w:themeColor="text1"/>
          <w14:textFill>
            <w14:solidFill>
              <w14:schemeClr w14:val="tx1"/>
            </w14:solidFill>
          </w14:textFill>
        </w:rPr>
      </w:r>
      <w:r/>
    </w:p>
    <w:p>
      <w:pPr>
        <w:pStyle w:val="957"/>
        <w:rPr>
          <w:rFonts w:ascii="Times New Roman" w:eastAsia="黑体"/>
          <w:bCs/>
          <w:color w:val="000000" w:themeColor="text1"/>
          <w:sz w:val="44"/>
          <w:szCs w:val="44"/>
          <w14:textFill>
            <w14:solidFill>
              <w14:schemeClr w14:val="tx1"/>
            </w14:solidFill>
          </w14:textFill>
        </w:rPr>
      </w:pPr>
      <w:r>
        <w:rPr>
          <w:rFonts w:ascii="Times New Roman" w:eastAsia="黑体"/>
          <w:color w:val="000000" w:themeColor="text1"/>
          <w:sz w:val="44"/>
          <w:szCs w:val="44"/>
          <w14:textFill>
            <w14:solidFill>
              <w14:schemeClr w14:val="tx1"/>
            </w14:solidFill>
          </w14:textFill>
        </w:rPr>
        <w:t xml:space="preserve">第一章  </w:t>
      </w:r>
      <w:bookmarkEnd w:id="5"/>
      <w:r>
        <w:rPr>
          <w:rFonts w:ascii="Times New Roman" w:eastAsia="黑体"/>
          <w:color w:val="000000" w:themeColor="text1"/>
          <w:sz w:val="44"/>
          <w:szCs w:val="44"/>
          <w14:textFill>
            <w14:solidFill>
              <w14:schemeClr w14:val="tx1"/>
            </w14:solidFill>
          </w14:textFill>
        </w:rPr>
        <w:t xml:space="preserve">投标邀请</w:t>
      </w:r>
      <w:r/>
    </w:p>
    <w:p>
      <w:pPr>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受</w:t>
      </w:r>
      <w:r>
        <w:rPr>
          <w:rFonts w:hint="eastAsia" w:ascii="宋体" w:hAnsi="宋体"/>
          <w:color w:val="000000" w:themeColor="text1"/>
          <w:szCs w:val="24"/>
          <w14:textFill>
            <w14:solidFill>
              <w14:schemeClr w14:val="tx1"/>
            </w14:solidFill>
          </w14:textFill>
        </w:rPr>
        <w:t xml:space="preserve">江苏省人民政府国有资产监督管理委员会</w:t>
      </w:r>
      <w:r>
        <w:rPr>
          <w:color w:val="000000" w:themeColor="text1"/>
          <w:szCs w:val="24"/>
          <w14:textFill>
            <w14:solidFill>
              <w14:schemeClr w14:val="tx1"/>
            </w14:solidFill>
          </w14:textFill>
        </w:rPr>
        <w:t xml:space="preserve">的委托，江苏省政府采购中心就</w:t>
      </w:r>
      <w:r>
        <w:rPr>
          <w:rFonts w:hint="eastAsia"/>
          <w:color w:val="000000" w:themeColor="text1"/>
          <w:szCs w:val="24"/>
          <w14:textFill>
            <w14:solidFill>
              <w14:schemeClr w14:val="tx1"/>
            </w14:solidFill>
          </w14:textFill>
        </w:rPr>
        <w:t xml:space="preserve">江苏省人民政府国有资产监督管理委员会2024年度信息化运维服务</w:t>
      </w:r>
      <w:r>
        <w:rPr>
          <w:rFonts w:hint="eastAsia" w:ascii="宋体" w:hAnsi="宋体"/>
          <w:color w:val="000000" w:themeColor="text1"/>
          <w:szCs w:val="24"/>
          <w14:textFill>
            <w14:solidFill>
              <w14:schemeClr w14:val="tx1"/>
            </w14:solidFill>
          </w14:textFill>
        </w:rPr>
        <w:t xml:space="preserve"> (</w:t>
      </w:r>
      <w:r>
        <w:rPr>
          <w:rFonts w:ascii="宋体" w:hAnsi="宋体"/>
          <w:color w:val="000000" w:themeColor="text1"/>
          <w:szCs w:val="24"/>
          <w14:textFill>
            <w14:solidFill>
              <w14:schemeClr w14:val="tx1"/>
            </w14:solidFill>
          </w14:textFill>
        </w:rPr>
        <w:t xml:space="preserve">JSZC-320000-SCZX-G2024-0336</w:t>
      </w:r>
      <w:r>
        <w:rPr>
          <w:rFonts w:hint="eastAsia" w:ascii="宋体" w:hAnsi="宋体"/>
          <w:color w:val="000000" w:themeColor="text1"/>
          <w:szCs w:val="24"/>
          <w14:textFill>
            <w14:solidFill>
              <w14:schemeClr w14:val="tx1"/>
            </w14:solidFill>
          </w14:textFill>
        </w:rPr>
        <w:t xml:space="preserve">)项目</w:t>
      </w:r>
      <w:r>
        <w:rPr>
          <w:color w:val="000000" w:themeColor="text1"/>
          <w:szCs w:val="24"/>
          <w14:textFill>
            <w14:solidFill>
              <w14:schemeClr w14:val="tx1"/>
            </w14:solidFill>
          </w14:textFill>
        </w:rPr>
        <w:t xml:space="preserve">进行公开招标采购，欢迎符合条件的供应商投标。</w:t>
      </w:r>
      <w:r/>
    </w:p>
    <w:p>
      <w:pPr>
        <w:ind w:firstLine="480"/>
        <w:spacing w:line="440" w:lineRule="exact"/>
        <w:rPr>
          <w:color w:val="000000" w:themeColor="text1"/>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color w:val="000000" w:themeColor="text1"/>
          <w:szCs w:val="24"/>
          <w14:textFill>
            <w14:solidFill>
              <w14:schemeClr w14:val="tx1"/>
            </w14:solidFill>
          </w14:textFill>
        </w:rPr>
        <w:t xml:space="preserve">项目概况</w:t>
      </w:r>
      <w:r/>
    </w:p>
    <w:p>
      <w:pPr>
        <w:ind w:firstLine="480"/>
        <w:spacing w:line="440" w:lineRule="exact"/>
        <w:rPr>
          <w:color w:val="000000" w:themeColor="text1"/>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Cs w:val="24"/>
          <w14:textFill>
            <w14:solidFill>
              <w14:schemeClr w14:val="tx1"/>
            </w14:solidFill>
          </w14:textFill>
        </w:rPr>
        <w:t xml:space="preserve">2024年度信息化运维服务</w:t>
      </w:r>
      <w:r>
        <w:rPr>
          <w:color w:val="000000" w:themeColor="text1"/>
          <w:szCs w:val="24"/>
          <w14:textFill>
            <w14:solidFill>
              <w14:schemeClr w14:val="tx1"/>
            </w14:solidFill>
          </w14:textFill>
        </w:rPr>
        <w:t xml:space="preserve">项目的潜在投标人可在“江苏政府采购网”自行免费下载招标文件，并于</w:t>
      </w:r>
      <w:r>
        <w:rPr>
          <w:rFonts w:ascii="宋体" w:hAnsi="宋体"/>
          <w:color w:val="000000" w:themeColor="text1"/>
          <w:szCs w:val="24"/>
          <w:u w:val="single"/>
          <w14:textFill>
            <w14:solidFill>
              <w14:schemeClr w14:val="tx1"/>
            </w14:solidFill>
          </w14:textFill>
        </w:rPr>
        <w:t xml:space="preserve"> </w:t>
      </w:r>
      <w:r>
        <w:rPr>
          <w:rFonts w:hint="eastAsia" w:ascii="宋体" w:hAnsi="宋体"/>
          <w:color w:val="000000" w:themeColor="text1"/>
          <w:szCs w:val="24"/>
          <w:u w:val="single"/>
          <w14:textFill>
            <w14:solidFill>
              <w14:schemeClr w14:val="tx1"/>
            </w14:solidFill>
          </w14:textFill>
        </w:rPr>
        <w:t xml:space="preserve">2024</w:t>
      </w:r>
      <w:r>
        <w:rPr>
          <w:rFonts w:hint="eastAsia" w:ascii="宋体" w:hAnsi="宋体"/>
          <w:bCs/>
          <w:color w:val="000000" w:themeColor="text1"/>
          <w:szCs w:val="24"/>
          <w:u w:val="single"/>
          <w14:textFill>
            <w14:solidFill>
              <w14:schemeClr w14:val="tx1"/>
            </w14:solidFill>
          </w14:textFill>
        </w:rPr>
        <w:t xml:space="preserve">年8</w:t>
      </w:r>
      <w:r>
        <w:rPr>
          <w:rFonts w:hint="eastAsia" w:ascii="宋体" w:hAnsi="宋体"/>
          <w:bCs/>
          <w:color w:val="000000" w:themeColor="text1"/>
          <w:szCs w:val="24"/>
          <w:u w:val="single"/>
          <w14:textFill>
            <w14:solidFill>
              <w14:schemeClr w14:val="tx1"/>
            </w14:solidFill>
          </w14:textFill>
        </w:rPr>
        <w:t xml:space="preserve">月12</w:t>
      </w:r>
      <w:r>
        <w:rPr>
          <w:rFonts w:hint="eastAsia" w:ascii="宋体" w:hAnsi="宋体"/>
          <w:bCs/>
          <w:color w:val="000000" w:themeColor="text1"/>
          <w:szCs w:val="24"/>
          <w:u w:val="single"/>
          <w14:textFill>
            <w14:solidFill>
              <w14:schemeClr w14:val="tx1"/>
            </w14:solidFill>
          </w14:textFill>
        </w:rPr>
        <w:t xml:space="preserve">日14</w:t>
      </w:r>
      <w:r>
        <w:rPr>
          <w:rFonts w:hint="eastAsia" w:ascii="宋体" w:hAnsi="宋体"/>
          <w:bCs/>
          <w:color w:val="000000" w:themeColor="text1"/>
          <w:szCs w:val="24"/>
          <w:u w:val="single"/>
          <w14:textFill>
            <w14:solidFill>
              <w14:schemeClr w14:val="tx1"/>
            </w14:solidFill>
          </w14:textFill>
        </w:rPr>
        <w:t xml:space="preserve">点30</w:t>
      </w:r>
      <w:r>
        <w:rPr>
          <w:rFonts w:hint="eastAsia" w:ascii="宋体" w:hAnsi="宋体"/>
          <w:bCs/>
          <w:color w:val="000000" w:themeColor="text1"/>
          <w:szCs w:val="24"/>
          <w:u w:val="single"/>
          <w14:textFill>
            <w14:solidFill>
              <w14:schemeClr w14:val="tx1"/>
            </w14:solidFill>
          </w14:textFill>
        </w:rPr>
        <w:t xml:space="preserve">分</w:t>
      </w:r>
      <w:r>
        <w:rPr>
          <w:bCs/>
          <w:color w:val="000000" w:themeColor="text1"/>
          <w:szCs w:val="24"/>
          <w:u w:val="single"/>
          <w14:textFill>
            <w14:solidFill>
              <w14:schemeClr w14:val="tx1"/>
            </w14:solidFill>
          </w14:textFill>
        </w:rPr>
        <w:t xml:space="preserve">（</w:t>
      </w:r>
      <w:r>
        <w:rPr>
          <w:bCs/>
          <w:color w:val="000000" w:themeColor="text1"/>
          <w:szCs w:val="24"/>
          <w14:textFill>
            <w14:solidFill>
              <w14:schemeClr w14:val="tx1"/>
            </w14:solidFill>
          </w14:textFill>
        </w:rPr>
        <w:t xml:space="preserve">北京时间）前递交投标文件</w:t>
      </w:r>
      <w:r>
        <w:rPr>
          <w:color w:val="000000" w:themeColor="text1"/>
          <w:szCs w:val="24"/>
          <w14:textFill>
            <w14:solidFill>
              <w14:schemeClr w14:val="tx1"/>
            </w14:solidFill>
          </w14:textFill>
        </w:rPr>
        <w:t xml:space="preserve">。</w:t>
      </w:r>
      <w:r/>
    </w:p>
    <w:p>
      <w:pPr>
        <w:pStyle w:val="959"/>
        <w:ind w:firstLine="498"/>
        <w:spacing w:before="163" w:after="163" w:line="440" w:lineRule="exact"/>
        <w:rPr>
          <w:color w:val="000000" w:themeColor="text1"/>
          <w14:textFill>
            <w14:solidFill>
              <w14:schemeClr w14:val="tx1"/>
            </w14:solidFill>
          </w14:textFill>
        </w:rPr>
      </w:pPr>
      <w:r/>
      <w:bookmarkStart w:id="11" w:name="_Toc35393790"/>
      <w:r/>
      <w:bookmarkStart w:id="12" w:name="_Toc38985263"/>
      <w:r/>
      <w:bookmarkStart w:id="13" w:name="_Toc28359002"/>
      <w:r/>
      <w:bookmarkStart w:id="14" w:name="_Toc28359079"/>
      <w:r/>
      <w:bookmarkStart w:id="15" w:name="_Toc35393621"/>
      <w:r/>
      <w:bookmarkStart w:id="16" w:name="_Hlk24379207"/>
      <w:r>
        <w:rPr>
          <w:color w:val="000000" w:themeColor="text1"/>
          <w14:textFill>
            <w14:solidFill>
              <w14:schemeClr w14:val="tx1"/>
            </w14:solidFill>
          </w14:textFill>
        </w:rPr>
        <w:t xml:space="preserve">一、项目基本情况</w:t>
      </w:r>
      <w:bookmarkEnd w:id="11"/>
      <w:r/>
      <w:bookmarkEnd w:id="12"/>
      <w:r/>
      <w:bookmarkEnd w:id="13"/>
      <w:r/>
      <w:bookmarkEnd w:id="14"/>
      <w:r/>
      <w:bookmarkEnd w:id="15"/>
      <w:r/>
      <w:r/>
    </w:p>
    <w:p>
      <w:pPr>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1.项目编号：JSZC-320000-SCZX-G2024-0336</w:t>
      </w:r>
      <w:r>
        <w:rPr>
          <w:rFonts w:hint="eastAsia"/>
          <w:color w:val="000000" w:themeColor="text1"/>
          <w:szCs w:val="24"/>
          <w14:textFill>
            <w14:solidFill>
              <w14:schemeClr w14:val="tx1"/>
            </w14:solidFill>
          </w14:textFill>
        </w:rPr>
        <w:t xml:space="preserve"> </w:t>
      </w:r>
      <w:r/>
    </w:p>
    <w:p>
      <w:pPr>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2.项目名称：</w:t>
      </w:r>
      <w:bookmarkEnd w:id="16"/>
      <w:r>
        <w:rPr>
          <w:rFonts w:hint="eastAsia"/>
          <w:color w:val="000000" w:themeColor="text1"/>
          <w:szCs w:val="24"/>
          <w14:textFill>
            <w14:solidFill>
              <w14:schemeClr w14:val="tx1"/>
            </w14:solidFill>
          </w14:textFill>
        </w:rPr>
        <w:t xml:space="preserve">江苏省人民政府国有资产监督管理委员会2024年度信息化运维服务项目</w:t>
      </w:r>
      <w:r/>
    </w:p>
    <w:p>
      <w:pPr>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3.预算金额：382</w:t>
      </w:r>
      <w:r>
        <w:rPr>
          <w:rFonts w:hint="eastAsia"/>
          <w:color w:val="000000" w:themeColor="text1"/>
          <w:szCs w:val="24"/>
          <w14:textFill>
            <w14:solidFill>
              <w14:schemeClr w14:val="tx1"/>
            </w14:solidFill>
          </w14:textFill>
        </w:rPr>
        <w:t xml:space="preserve">万元</w:t>
      </w:r>
      <w:r/>
    </w:p>
    <w:p>
      <w:pPr>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4.本项目设定最高限价，最高限价为预算金额。</w:t>
      </w:r>
      <w:r/>
    </w:p>
    <w:p>
      <w:pPr>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5.采购需求：详见招标文件第四章内容。</w:t>
      </w:r>
      <w:r/>
    </w:p>
    <w:p>
      <w:pPr>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6.合同履行期限：</w:t>
      </w:r>
      <w:r>
        <w:rPr>
          <w:rFonts w:hint="eastAsia"/>
          <w:color w:val="000000" w:themeColor="text1"/>
          <w:szCs w:val="24"/>
          <w14:textFill>
            <w14:solidFill>
              <w14:schemeClr w14:val="tx1"/>
            </w14:solidFill>
          </w14:textFill>
        </w:rPr>
      </w:r>
      <w:r>
        <w:rPr>
          <w:color w:val="000000" w:themeColor="text1"/>
          <w:szCs w:val="24"/>
          <w14:textFill>
            <w14:solidFill>
              <w14:schemeClr w14:val="tx1"/>
            </w14:solidFill>
          </w14:textFill>
        </w:rPr>
        <w:t xml:space="preserve">详见招标文件第四章内容。</w:t>
      </w:r>
      <w:r/>
      <w:r>
        <w:rPr>
          <w:rFonts w:hint="eastAsia"/>
          <w:color w:val="000000" w:themeColor="text1"/>
          <w:szCs w:val="24"/>
          <w14:textFill>
            <w14:solidFill>
              <w14:schemeClr w14:val="tx1"/>
            </w14:solidFill>
          </w14:textFill>
        </w:rPr>
      </w:r>
      <w:r>
        <w:rPr>
          <w:color w:val="000000" w:themeColor="text1"/>
          <w:szCs w:val="24"/>
          <w14:textFill>
            <w14:solidFill>
              <w14:schemeClr w14:val="tx1"/>
            </w14:solidFill>
          </w14:textFill>
        </w:rPr>
      </w:r>
      <w:r/>
    </w:p>
    <w:p>
      <w:pPr>
        <w:pStyle w:val="959"/>
        <w:ind w:firstLine="498"/>
        <w:spacing w:before="163" w:after="163" w:line="440" w:lineRule="exact"/>
        <w:rPr>
          <w:color w:val="000000" w:themeColor="text1"/>
          <w14:textFill>
            <w14:solidFill>
              <w14:schemeClr w14:val="tx1"/>
            </w14:solidFill>
          </w14:textFill>
        </w:rPr>
      </w:pPr>
      <w:r/>
      <w:bookmarkStart w:id="17" w:name="_Toc28359003"/>
      <w:r/>
      <w:bookmarkStart w:id="18" w:name="_Toc35393622"/>
      <w:r/>
      <w:bookmarkStart w:id="19" w:name="_Toc38985264"/>
      <w:r/>
      <w:bookmarkStart w:id="20" w:name="_Toc28359080"/>
      <w:r/>
      <w:bookmarkStart w:id="21" w:name="_Toc35393791"/>
      <w:r>
        <w:rPr>
          <w:color w:val="000000" w:themeColor="text1"/>
          <w14:textFill>
            <w14:solidFill>
              <w14:schemeClr w14:val="tx1"/>
            </w14:solidFill>
          </w14:textFill>
        </w:rPr>
        <w:t xml:space="preserve">二、申请人的资格要求：</w:t>
      </w:r>
      <w:bookmarkEnd w:id="17"/>
      <w:r/>
      <w:bookmarkEnd w:id="18"/>
      <w:r/>
      <w:bookmarkEnd w:id="19"/>
      <w:r/>
      <w:bookmarkEnd w:id="20"/>
      <w:r/>
      <w:bookmarkEnd w:id="21"/>
      <w:r/>
      <w:r/>
    </w:p>
    <w:p>
      <w:pPr>
        <w:ind w:firstLine="480"/>
        <w:spacing w:line="440" w:lineRule="exact"/>
        <w:rPr>
          <w:color w:val="000000" w:themeColor="text1"/>
          <w:szCs w:val="24"/>
          <w14:textFill>
            <w14:solidFill>
              <w14:schemeClr w14:val="tx1"/>
            </w14:solidFill>
          </w14:textFill>
        </w:rPr>
      </w:pPr>
      <w:r/>
      <w:bookmarkStart w:id="22" w:name="_Toc28359004"/>
      <w:r/>
      <w:bookmarkStart w:id="23" w:name="_Toc35393623"/>
      <w:r/>
      <w:bookmarkStart w:id="24" w:name="_Toc35393792"/>
      <w:r/>
      <w:bookmarkStart w:id="25" w:name="_Toc28359081"/>
      <w:r/>
      <w:bookmarkStart w:id="26" w:name="_Toc38985265"/>
      <w:r>
        <w:rPr>
          <w:color w:val="000000" w:themeColor="text1"/>
          <w:szCs w:val="24"/>
          <w14:textFill>
            <w14:solidFill>
              <w14:schemeClr w14:val="tx1"/>
            </w14:solidFill>
          </w14:textFill>
        </w:rPr>
        <w:t xml:space="preserve">（一）通用资格要求</w:t>
      </w:r>
      <w:r/>
    </w:p>
    <w:p>
      <w:pPr>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1.满足《中华人民共和国政府采购法》第二十二条规定，并提供下列材料：</w:t>
      </w:r>
      <w:r/>
    </w:p>
    <w:p>
      <w:pPr>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 法人或者其他组织的营业执照等证明文件，自然人的身份证明；</w:t>
      </w:r>
      <w:r/>
    </w:p>
    <w:p>
      <w:pPr>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1.2上一年度的财务状况报告（成立不满一年无需提供）；</w:t>
      </w:r>
      <w:r/>
    </w:p>
    <w:p>
      <w:pPr>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1.4具备履行合同所必需的设备和专业技术能力的书面声明；</w:t>
      </w:r>
      <w:r/>
    </w:p>
    <w:p>
      <w:pPr>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1.5参加政府采购活动前3年内在经营活动中没有重大违法记录的书面声明。</w:t>
      </w:r>
      <w:r/>
    </w:p>
    <w:p>
      <w:pPr>
        <w:contextualSpacing/>
        <w:ind w:firstLine="480"/>
        <w:spacing w:line="440" w:lineRule="exact"/>
        <w:rPr>
          <w:rFonts w:eastAsia="华文新魏"/>
          <w:color w:val="000000" w:themeColor="text1"/>
          <w:sz w:val="36"/>
          <w:szCs w:val="36"/>
          <w14:textFill>
            <w14:solidFill>
              <w14:schemeClr w14:val="tx1"/>
            </w14:solidFill>
          </w14:textFill>
        </w:rPr>
      </w:pPr>
      <w:r>
        <w:rPr>
          <w:color w:val="000000" w:themeColor="text1"/>
          <w:szCs w:val="24"/>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contextualSpacing/>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3.落实政府采购政策需满足的资格要求：无。</w:t>
      </w:r>
      <w:r/>
    </w:p>
    <w:p>
      <w:pPr>
        <w:contextualSpacing/>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4.本项目</w:t>
      </w:r>
      <w:r>
        <w:rPr>
          <w:rFonts w:hint="eastAsia"/>
          <w:color w:val="000000" w:themeColor="text1"/>
          <w:szCs w:val="24"/>
          <w14:textFill>
            <w14:solidFill>
              <w14:schemeClr w14:val="tx1"/>
            </w14:solidFill>
          </w14:textFill>
        </w:rPr>
        <w:t xml:space="preserve">不</w:t>
      </w:r>
      <w:r>
        <w:rPr>
          <w:color w:val="000000" w:themeColor="text1"/>
          <w:szCs w:val="24"/>
          <w14:textFill>
            <w14:solidFill>
              <w14:schemeClr w14:val="tx1"/>
            </w14:solidFill>
          </w14:textFill>
        </w:rPr>
        <w:t xml:space="preserve">接受联合体投标。</w:t>
      </w:r>
      <w:r/>
    </w:p>
    <w:p>
      <w:pPr>
        <w:contextualSpacing/>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（二）本项目的特定资格要求</w:t>
      </w:r>
      <w:r/>
    </w:p>
    <w:p>
      <w:pPr>
        <w:contextualSpacing/>
        <w:ind w:firstLine="48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无。</w:t>
      </w:r>
      <w:r/>
    </w:p>
    <w:p>
      <w:pPr>
        <w:pStyle w:val="959"/>
        <w:ind w:firstLine="498"/>
        <w:spacing w:before="163" w:after="163"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三、获取招标文件</w:t>
      </w:r>
      <w:bookmarkEnd w:id="22"/>
      <w:r/>
      <w:bookmarkEnd w:id="23"/>
      <w:r/>
      <w:bookmarkEnd w:id="24"/>
      <w:r/>
      <w:bookmarkEnd w:id="25"/>
      <w:r/>
      <w:bookmarkEnd w:id="26"/>
      <w:r/>
      <w:r/>
    </w:p>
    <w:p>
      <w:pPr>
        <w:ind w:firstLine="540"/>
        <w:spacing w:line="360" w:lineRule="auto"/>
        <w:rPr>
          <w:color w:val="000000" w:themeColor="text1"/>
          <w:szCs w:val="24"/>
          <w14:textFill>
            <w14:solidFill>
              <w14:schemeClr w14:val="tx1"/>
            </w14:solidFill>
          </w14:textFill>
        </w:rPr>
      </w:pPr>
      <w:r/>
      <w:bookmarkStart w:id="27" w:name="_Toc28359082"/>
      <w:r/>
      <w:bookmarkStart w:id="28" w:name="_Toc28359005"/>
      <w:r/>
      <w:bookmarkStart w:id="29" w:name="_Toc35393624"/>
      <w:r/>
      <w:bookmarkStart w:id="30" w:name="_Toc38985266"/>
      <w:r/>
      <w:bookmarkStart w:id="31" w:name="_Toc35393793"/>
      <w:r>
        <w:rPr>
          <w:color w:val="000000" w:themeColor="text1"/>
          <w:szCs w:val="24"/>
          <w14:textFill>
            <w14:solidFill>
              <w14:schemeClr w14:val="tx1"/>
            </w14:solidFill>
          </w14:textFill>
        </w:rPr>
        <w:t xml:space="preserve">1.时间：自招标文件公告发布之日起5个工作日。</w:t>
      </w:r>
      <w:r/>
    </w:p>
    <w:p>
      <w:pPr>
        <w:ind w:firstLine="540"/>
        <w:spacing w:line="360" w:lineRule="auto"/>
        <w:rPr>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2.方式：在“江苏政府采购网”自行免费下载招标文件。</w:t>
      </w:r>
      <w:r/>
    </w:p>
    <w:p>
      <w:pPr>
        <w:pStyle w:val="959"/>
        <w:ind w:firstLine="498"/>
        <w:spacing w:before="163" w:after="163"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四、提交投标文件</w:t>
      </w:r>
      <w:bookmarkEnd w:id="27"/>
      <w:r/>
      <w:bookmarkEnd w:id="28"/>
      <w:r>
        <w:rPr>
          <w:color w:val="000000" w:themeColor="text1"/>
          <w14:textFill>
            <w14:solidFill>
              <w14:schemeClr w14:val="tx1"/>
            </w14:solidFill>
          </w14:textFill>
        </w:rPr>
        <w:t xml:space="preserve">截止时间、开标时间和地点</w:t>
      </w:r>
      <w:bookmarkEnd w:id="29"/>
      <w:r/>
      <w:bookmarkEnd w:id="30"/>
      <w:r/>
      <w:bookmarkEnd w:id="31"/>
      <w:r/>
      <w:r/>
    </w:p>
    <w:p>
      <w:pPr>
        <w:ind w:firstLine="540"/>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w:t>
      </w:r>
      <w:r>
        <w:rPr>
          <w:color w:val="000000" w:themeColor="text1"/>
          <w:szCs w:val="24"/>
          <w:u w:val="single"/>
          <w14:textFill>
            <w14:solidFill>
              <w14:schemeClr w14:val="tx1"/>
            </w14:solidFill>
          </w14:textFill>
        </w:rPr>
        <w:t xml:space="preserve">2024年8月12日14点30分</w:t>
      </w:r>
      <w:r>
        <w:rPr>
          <w:color w:val="000000" w:themeColor="text1"/>
          <w:szCs w:val="24"/>
          <w14:textFill>
            <w14:solidFill>
              <w14:schemeClr w14:val="tx1"/>
            </w14:solidFill>
          </w14:textFill>
        </w:rPr>
        <w:t xml:space="preserve">（北京时间）。</w:t>
      </w:r>
      <w:r/>
    </w:p>
    <w:p>
      <w:pPr>
        <w:ind w:firstLine="540"/>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2.地点：“苏采云”政府采购交易系统网上开标大厅。</w:t>
      </w:r>
      <w:r/>
    </w:p>
    <w:p>
      <w:pPr>
        <w:pStyle w:val="959"/>
        <w:ind w:firstLine="498"/>
        <w:spacing w:before="163" w:after="163" w:line="360" w:lineRule="auto"/>
        <w:rPr>
          <w:color w:val="000000" w:themeColor="text1"/>
          <w14:textFill>
            <w14:solidFill>
              <w14:schemeClr w14:val="tx1"/>
            </w14:solidFill>
          </w14:textFill>
        </w:rPr>
      </w:pPr>
      <w:r/>
      <w:bookmarkStart w:id="32" w:name="_Toc35393794"/>
      <w:r/>
      <w:bookmarkStart w:id="33" w:name="_Toc38985267"/>
      <w:r/>
      <w:bookmarkStart w:id="34" w:name="_Toc28359007"/>
      <w:r/>
      <w:bookmarkStart w:id="35" w:name="_Toc35393625"/>
      <w:r/>
      <w:bookmarkStart w:id="36" w:name="_Toc28359084"/>
      <w:r>
        <w:rPr>
          <w:color w:val="000000" w:themeColor="text1"/>
          <w14:textFill>
            <w14:solidFill>
              <w14:schemeClr w14:val="tx1"/>
            </w14:solidFill>
          </w14:textFill>
        </w:rPr>
        <w:t xml:space="preserve">五、公告期限</w:t>
      </w:r>
      <w:bookmarkEnd w:id="32"/>
      <w:r/>
      <w:bookmarkEnd w:id="33"/>
      <w:r/>
      <w:bookmarkEnd w:id="34"/>
      <w:r/>
      <w:bookmarkEnd w:id="35"/>
      <w:r/>
      <w:bookmarkEnd w:id="36"/>
      <w:r/>
      <w:r/>
    </w:p>
    <w:p>
      <w:pPr>
        <w:ind w:firstLine="480"/>
        <w:rPr>
          <w:color w:val="000000" w:themeColor="text1"/>
          <w:szCs w:val="24"/>
          <w14:textFill>
            <w14:solidFill>
              <w14:schemeClr w14:val="tx1"/>
            </w14:solidFill>
          </w14:textFill>
        </w:rPr>
      </w:pPr>
      <w:r/>
      <w:bookmarkStart w:id="37" w:name="_Toc38985268"/>
      <w:r/>
      <w:bookmarkStart w:id="38" w:name="_Toc35393626"/>
      <w:r/>
      <w:bookmarkStart w:id="39" w:name="_Toc35393795"/>
      <w:r>
        <w:rPr>
          <w:color w:val="000000" w:themeColor="text1"/>
          <w:szCs w:val="24"/>
          <w14:textFill>
            <w14:solidFill>
              <w14:schemeClr w14:val="tx1"/>
            </w14:solidFill>
          </w14:textFill>
        </w:rPr>
        <w:t xml:space="preserve">招标公告及招标文件公告期限为自本公告发布之日起5个工作日。</w:t>
      </w:r>
      <w:r/>
    </w:p>
    <w:p>
      <w:pPr>
        <w:pStyle w:val="959"/>
        <w:ind w:firstLine="498"/>
        <w:spacing w:before="163" w:after="163"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六、其他补充事宜</w:t>
      </w:r>
      <w:bookmarkEnd w:id="37"/>
      <w:r/>
      <w:bookmarkEnd w:id="38"/>
      <w:r/>
      <w:bookmarkEnd w:id="39"/>
      <w:r/>
      <w:r/>
    </w:p>
    <w:p>
      <w:pPr>
        <w:ind w:firstLine="480"/>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无</w:t>
      </w:r>
      <w:r/>
    </w:p>
    <w:p>
      <w:pPr>
        <w:pStyle w:val="959"/>
        <w:ind w:firstLine="498"/>
        <w:spacing w:before="163" w:after="163" w:line="360" w:lineRule="auto"/>
        <w:rPr>
          <w:color w:val="000000" w:themeColor="text1"/>
          <w14:textFill>
            <w14:solidFill>
              <w14:schemeClr w14:val="tx1"/>
            </w14:solidFill>
          </w14:textFill>
        </w:rPr>
      </w:pPr>
      <w:r/>
      <w:bookmarkStart w:id="40" w:name="_Toc28359085"/>
      <w:r/>
      <w:bookmarkStart w:id="41" w:name="_Toc35393627"/>
      <w:r/>
      <w:bookmarkStart w:id="42" w:name="_Toc38985269"/>
      <w:r/>
      <w:bookmarkStart w:id="43" w:name="_Toc35393796"/>
      <w:r/>
      <w:bookmarkStart w:id="44" w:name="_Toc28359008"/>
      <w:r>
        <w:rPr>
          <w:color w:val="000000" w:themeColor="text1"/>
          <w14:textFill>
            <w14:solidFill>
              <w14:schemeClr w14:val="tx1"/>
            </w14:solidFill>
          </w14:textFill>
        </w:rPr>
        <w:t xml:space="preserve">七、本次招标联系方式</w:t>
      </w:r>
      <w:bookmarkEnd w:id="40"/>
      <w:r/>
      <w:bookmarkEnd w:id="41"/>
      <w:r/>
      <w:bookmarkEnd w:id="42"/>
      <w:r/>
      <w:bookmarkEnd w:id="43"/>
      <w:r/>
      <w:bookmarkEnd w:id="44"/>
      <w:r/>
      <w:r/>
    </w:p>
    <w:p>
      <w:pPr>
        <w:contextualSpacing/>
        <w:ind w:firstLine="480"/>
        <w:spacing w:line="360" w:lineRule="auto"/>
        <w:rPr>
          <w:color w:val="000000" w:themeColor="text1"/>
          <w:szCs w:val="24"/>
          <w14:textFill>
            <w14:solidFill>
              <w14:schemeClr w14:val="tx1"/>
            </w14:solidFill>
          </w14:textFill>
        </w:rPr>
      </w:pPr>
      <w:r/>
      <w:bookmarkStart w:id="45" w:name="_Toc28359087"/>
      <w:r/>
      <w:bookmarkStart w:id="46" w:name="_Toc28359010"/>
      <w:r>
        <w:rPr>
          <w:color w:val="000000" w:themeColor="text1"/>
          <w:szCs w:val="24"/>
          <w14:textFill>
            <w14:solidFill>
              <w14:schemeClr w14:val="tx1"/>
            </w14:solidFill>
          </w14:textFill>
        </w:rPr>
        <w:t xml:space="preserve">1.采购人信息</w:t>
      </w:r>
      <w:r/>
    </w:p>
    <w:p>
      <w:pPr>
        <w:contextualSpacing/>
        <w:ind w:firstLine="480"/>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名  称：</w:t>
      </w:r>
      <w:r>
        <w:rPr>
          <w:rFonts w:hint="eastAsia" w:ascii="宋体" w:hAnsi="宋体"/>
          <w:color w:val="000000" w:themeColor="text1"/>
          <w:szCs w:val="24"/>
          <w14:textFill>
            <w14:solidFill>
              <w14:schemeClr w14:val="tx1"/>
            </w14:solidFill>
          </w14:textFill>
        </w:rPr>
        <w:t xml:space="preserve">江苏省人民政府国有资产监督管理委员会</w:t>
      </w:r>
      <w:r/>
    </w:p>
    <w:p>
      <w:pPr>
        <w:contextualSpacing/>
        <w:ind w:firstLine="480"/>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地  址：</w:t>
      </w:r>
      <w:r>
        <w:rPr>
          <w:rFonts w:hint="eastAsia" w:ascii="宋体" w:hAnsi="宋体"/>
          <w:color w:val="000000" w:themeColor="text1"/>
          <w:szCs w:val="24"/>
          <w:u w:val="single"/>
          <w14:textFill>
            <w14:solidFill>
              <w14:schemeClr w14:val="tx1"/>
            </w14:solidFill>
          </w14:textFill>
        </w:rPr>
        <w:t xml:space="preserve">南京市鼓楼区苏粮国际大厦</w:t>
      </w:r>
      <w:r/>
    </w:p>
    <w:p>
      <w:pPr>
        <w:contextualSpacing/>
        <w:ind w:firstLine="480"/>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联系人：</w:t>
      </w:r>
      <w:r>
        <w:rPr>
          <w:rFonts w:hint="eastAsia"/>
          <w:color w:val="000000" w:themeColor="text1"/>
          <w:szCs w:val="24"/>
          <w14:textFill>
            <w14:solidFill>
              <w14:schemeClr w14:val="tx1"/>
            </w14:solidFill>
          </w14:textFill>
        </w:rPr>
        <w:t xml:space="preserve">何志刚</w:t>
      </w:r>
      <w:r/>
    </w:p>
    <w:p>
      <w:pPr>
        <w:contextualSpacing/>
        <w:ind w:firstLine="480"/>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联系方式：025-</w:t>
      </w:r>
      <w:r>
        <w:t xml:space="preserve"> </w:t>
      </w:r>
      <w:r>
        <w:rPr>
          <w:color w:val="000000" w:themeColor="text1"/>
          <w:szCs w:val="24"/>
          <w14:textFill>
            <w14:solidFill>
              <w14:schemeClr w14:val="tx1"/>
            </w14:solidFill>
          </w14:textFill>
        </w:rPr>
        <w:t xml:space="preserve">83516062</w:t>
      </w:r>
      <w:r/>
    </w:p>
    <w:p>
      <w:pPr>
        <w:contextualSpacing/>
        <w:ind w:firstLine="480"/>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2.江苏省政府采购中心信息</w:t>
      </w:r>
      <w:r/>
    </w:p>
    <w:p>
      <w:pPr>
        <w:contextualSpacing/>
        <w:ind w:firstLine="480"/>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地  址：南京市汉中门大街145号省政务中心二期3楼</w:t>
      </w:r>
      <w:r/>
    </w:p>
    <w:p>
      <w:pPr>
        <w:contextualSpacing/>
        <w:ind w:firstLine="480"/>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联系人：王建浩</w:t>
      </w:r>
      <w:r/>
    </w:p>
    <w:p>
      <w:pPr>
        <w:contextualSpacing/>
        <w:ind w:firstLine="480"/>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联系方式：025-83668513</w:t>
      </w:r>
      <w:bookmarkEnd w:id="45"/>
      <w:bookmarkEnd w:id="46"/>
      <w:r/>
    </w:p>
    <w:p>
      <w:pPr>
        <w:ind w:firstLine="720"/>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pStyle w:val="959"/>
        <w:ind w:firstLine="498"/>
        <w:spacing w:before="163" w:after="163"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八、其他</w:t>
      </w:r>
      <w:r/>
    </w:p>
    <w:p>
      <w:pPr>
        <w:ind w:firstLine="480"/>
        <w:spacing w:line="560" w:lineRule="exact"/>
        <w:tabs>
          <w:tab w:val="left" w:pos="900" w:leader="none"/>
        </w:tabs>
        <w:rPr>
          <w:bCs/>
          <w:color w:val="000000" w:themeColor="text1"/>
          <w:szCs w:val="24"/>
          <w14:textFill>
            <w14:solidFill>
              <w14:schemeClr w14:val="tx1"/>
            </w14:solidFill>
          </w14:textFill>
        </w:rPr>
      </w:pPr>
      <w:r>
        <w:rPr>
          <w:color w:val="000000" w:themeColor="text1"/>
          <w14:textFill>
            <w14:solidFill>
              <w14:schemeClr w14:val="tx1"/>
            </w14:solidFill>
          </w14:textFill>
        </w:rPr>
        <w:t xml:space="preserve">1.</w:t>
      </w:r>
      <w:r>
        <w:rPr>
          <w:bCs/>
          <w:color w:val="000000" w:themeColor="text1"/>
          <w:szCs w:val="24"/>
          <w14:textFill>
            <w14:solidFill>
              <w14:schemeClr w14:val="tx1"/>
            </w14:solidFill>
          </w14:textFill>
        </w:rPr>
        <w:t xml:space="preserve"> 根据省财政厅《关于更换全省政府采购交易系统C A数字证书和电子签章的通知》（苏财购〔2023〕101号），</w:t>
      </w:r>
      <w:r>
        <w:rPr>
          <w:color w:val="000000" w:themeColor="text1"/>
          <w:szCs w:val="24"/>
          <w14:textFill>
            <w14:solidFill>
              <w14:schemeClr w14:val="tx1"/>
            </w14:solidFill>
          </w14:textFill>
        </w:rPr>
        <w:t xml:space="preserve">“苏采云”政府采购交易系统（以下简称苏采云系统）</w:t>
      </w:r>
      <w:r>
        <w:rPr>
          <w:bCs/>
          <w:color w:val="000000" w:themeColor="text1"/>
          <w:szCs w:val="24"/>
          <w14:textFill>
            <w14:solidFill>
              <w14:schemeClr w14:val="tx1"/>
            </w14:solidFill>
          </w14:textFill>
        </w:rPr>
        <w:t xml:space="preserve">的CA数字证书、电子签章已更换为江苏省电子政务证书认证中心C A和方正国际软件（北京）有限公司电子签章。如果投标人通过</w:t>
      </w:r>
      <w:r>
        <w:rPr>
          <w:color w:val="000000" w:themeColor="text1"/>
          <w:szCs w:val="24"/>
          <w14:textFill>
            <w14:solidFill>
              <w14:schemeClr w14:val="tx1"/>
            </w14:solidFill>
          </w14:textFill>
        </w:rPr>
        <w:t xml:space="preserve">苏采云系统</w:t>
      </w:r>
      <w:r>
        <w:rPr>
          <w:bCs/>
          <w:color w:val="000000" w:themeColor="text1"/>
          <w:szCs w:val="24"/>
          <w14:textFill>
            <w14:solidFill>
              <w14:schemeClr w14:val="tx1"/>
            </w14:solidFill>
          </w14:textFill>
        </w:rPr>
        <w:t xml:space="preserve">参与政府采购项目，需要更换CA数字证书和电子签章。具体办理指南和操作手册见链接：</w:t>
      </w:r>
      <w:r>
        <w:rPr>
          <w:bCs/>
          <w:color w:val="000000" w:themeColor="text1"/>
          <w:spacing w:val="-1"/>
          <w:szCs w:val="24"/>
          <w14:textFill>
            <w14:solidFill>
              <w14:schemeClr w14:val="tx1"/>
            </w14:solidFill>
          </w14:textFill>
        </w:rPr>
        <w:t xml:space="preserve">http://www.ccgp-jiangsu.gov.cn/jiangsu/zlxz/ee/ee3a4bc5a3454aa2b0d9312230633ce9.html。</w:t>
      </w:r>
      <w:r/>
    </w:p>
    <w:p>
      <w:pPr>
        <w:ind w:firstLine="480"/>
        <w:spacing w:line="560" w:lineRule="exact"/>
        <w:tabs>
          <w:tab w:val="left" w:pos="900" w:leader="none"/>
        </w:tabs>
        <w:rPr>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领取CA和办理电子签章（请至南京汉中门大街145号江苏省政务服务中心二期3楼大厅CA办理窗口办理，具体联系方式见《苏采云系统供应商操作手册》（以下简称《操作手册》））进行注册并按《操作手册》要求制作、上传电子投标文件。</w:t>
      </w:r>
      <w:r/>
    </w:p>
    <w:p>
      <w:pPr>
        <w:ind w:firstLine="480"/>
        <w:spacing w:line="560" w:lineRule="exact"/>
        <w:tabs>
          <w:tab w:val="left" w:pos="900" w:leader="none"/>
        </w:tabs>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2. 有关本次招标的事项若存在变动或修改，敬请及时关注江苏省政府采购中心在“江苏政府采购网”发布的更正公告。</w:t>
      </w:r>
      <w:r/>
    </w:p>
    <w:p>
      <w:pPr>
        <w:ind w:firstLine="480"/>
        <w:jc w:val="left"/>
        <w:spacing w:line="560" w:lineRule="exact"/>
        <w:tabs>
          <w:tab w:val="left" w:pos="900" w:leader="none"/>
        </w:tabs>
        <w:rPr>
          <w:bCs/>
          <w:color w:val="000000" w:themeColor="text1"/>
          <w:szCs w:val="24"/>
          <w14:textFill>
            <w14:solidFill>
              <w14:schemeClr w14:val="tx1"/>
            </w14:solidFill>
          </w14:textFill>
        </w:rPr>
        <w:sectPr>
          <w:footerReference w:type="default" r:id="rId12"/>
          <w:footerReference w:type="even" r:id="rId13"/>
          <w:footnotePr/>
          <w:endnotePr/>
          <w:type w:val="nextPage"/>
          <w:pgSz w:w="11906" w:h="16838" w:orient="portrait"/>
          <w:pgMar w:top="1418" w:right="1588" w:bottom="1418" w:left="1365" w:header="851" w:footer="907" w:gutter="0"/>
          <w:pgNumType w:start="1"/>
          <w:cols w:num="1" w:sep="0" w:space="720" w:equalWidth="1"/>
          <w:docGrid w:linePitch="360"/>
        </w:sectPr>
      </w:pPr>
      <w:r>
        <w:rPr>
          <w:bCs/>
          <w:color w:val="000000" w:themeColor="text1"/>
          <w:szCs w:val="24"/>
          <w14:textFill>
            <w14:solidFill>
              <w14:schemeClr w14:val="tx1"/>
            </w14:solidFill>
          </w14:textFill>
        </w:rPr>
        <w:t xml:space="preserve">3. 本次招标不收取投标保证金。</w:t>
      </w:r>
      <w:r/>
    </w:p>
    <w:p>
      <w:pPr>
        <w:pStyle w:val="957"/>
        <w:rPr>
          <w:rFonts w:ascii="Times New Roman" w:eastAsia="黑体"/>
          <w:color w:val="000000" w:themeColor="text1"/>
          <w:sz w:val="44"/>
          <w:szCs w:val="44"/>
          <w14:textFill>
            <w14:solidFill>
              <w14:schemeClr w14:val="tx1"/>
            </w14:solidFill>
          </w14:textFill>
        </w:rPr>
      </w:pPr>
      <w:r/>
      <w:bookmarkStart w:id="47" w:name="_Toc120614211"/>
      <w:r>
        <w:rPr>
          <w:rFonts w:ascii="Times New Roman" w:eastAsia="黑体"/>
          <w:color w:val="000000" w:themeColor="text1"/>
          <w:sz w:val="44"/>
          <w:szCs w:val="44"/>
          <w14:textFill>
            <w14:solidFill>
              <w14:schemeClr w14:val="tx1"/>
            </w14:solidFill>
          </w14:textFill>
        </w:rPr>
        <w:t xml:space="preserve">第二章  </w:t>
      </w:r>
      <w:bookmarkEnd w:id="6"/>
      <w:r/>
      <w:bookmarkEnd w:id="7"/>
      <w:r/>
      <w:bookmarkEnd w:id="8"/>
      <w:r/>
      <w:bookmarkEnd w:id="9"/>
      <w:r/>
      <w:bookmarkEnd w:id="10"/>
      <w:r/>
      <w:bookmarkEnd w:id="47"/>
      <w:r/>
      <w:bookmarkStart w:id="48" w:name="_Toc16938518"/>
      <w:r/>
      <w:bookmarkStart w:id="49" w:name="_Toc513029202"/>
      <w:r/>
      <w:bookmarkStart w:id="50" w:name="_Toc120614213"/>
      <w:r/>
      <w:bookmarkStart w:id="51" w:name="_Toc20823274"/>
      <w:r>
        <w:rPr>
          <w:rFonts w:ascii="Times New Roman" w:eastAsia="黑体"/>
          <w:color w:val="000000" w:themeColor="text1"/>
          <w:sz w:val="44"/>
          <w:szCs w:val="44"/>
          <w14:textFill>
            <w14:solidFill>
              <w14:schemeClr w14:val="tx1"/>
            </w14:solidFill>
          </w14:textFill>
        </w:rPr>
        <w:t xml:space="preserve">投标人须知</w:t>
      </w:r>
      <w:bookmarkEnd w:id="48"/>
      <w:r/>
      <w:bookmarkEnd w:id="49"/>
      <w:r/>
      <w:bookmarkEnd w:id="50"/>
      <w:r/>
      <w:bookmarkEnd w:id="51"/>
      <w:r/>
      <w:r/>
    </w:p>
    <w:p>
      <w:pPr>
        <w:pStyle w:val="959"/>
        <w:ind w:firstLine="498"/>
        <w:spacing w:before="145" w:after="145" w:line="360" w:lineRule="auto"/>
        <w:rPr>
          <w:color w:val="000000" w:themeColor="text1"/>
          <w14:textFill>
            <w14:solidFill>
              <w14:schemeClr w14:val="tx1"/>
            </w14:solidFill>
          </w14:textFill>
        </w:rPr>
      </w:pPr>
      <w:r/>
      <w:bookmarkStart w:id="52" w:name="_Toc513029203"/>
      <w:r/>
      <w:bookmarkStart w:id="53" w:name="_Toc20823275"/>
      <w:r/>
      <w:bookmarkStart w:id="54" w:name="_Toc120614214"/>
      <w:r/>
      <w:bookmarkStart w:id="55" w:name="_Toc16938519"/>
      <w:r>
        <w:rPr>
          <w:color w:val="000000" w:themeColor="text1"/>
          <w14:textFill>
            <w14:solidFill>
              <w14:schemeClr w14:val="tx1"/>
            </w14:solidFill>
          </w14:textFill>
        </w:rPr>
        <w:t xml:space="preserve">一、总则</w:t>
      </w:r>
      <w:bookmarkEnd w:id="52"/>
      <w:r/>
      <w:bookmarkEnd w:id="53"/>
      <w:r/>
      <w:bookmarkEnd w:id="54"/>
      <w:r/>
      <w:bookmarkEnd w:id="55"/>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56" w:name="_Hlt16619475"/>
      <w:r/>
      <w:bookmarkEnd w:id="56"/>
      <w:r/>
      <w:bookmarkStart w:id="57" w:name="_Toc458694821"/>
      <w:r/>
      <w:bookmarkStart w:id="58" w:name="_Toc16938520"/>
      <w:r/>
      <w:bookmarkStart w:id="59" w:name="_Toc20823276"/>
      <w:r/>
      <w:bookmarkStart w:id="60" w:name="_Toc513029204"/>
      <w:r>
        <w:rPr>
          <w:rFonts w:ascii="Times New Roman" w:hAnsi="Times New Roman"/>
          <w:b w:val="0"/>
          <w:bCs w:val="0"/>
          <w:color w:val="000000" w:themeColor="text1"/>
          <w14:textFill>
            <w14:solidFill>
              <w14:schemeClr w14:val="tx1"/>
            </w14:solidFill>
          </w14:textFill>
        </w:rPr>
        <w:t xml:space="preserve">1</w:t>
      </w:r>
      <w:bookmarkEnd w:id="57"/>
      <w:r>
        <w:rPr>
          <w:rFonts w:ascii="Times New Roman" w:hAnsi="Times New Roman"/>
          <w:b w:val="0"/>
          <w:bCs w:val="0"/>
          <w:color w:val="000000" w:themeColor="text1"/>
          <w14:textFill>
            <w14:solidFill>
              <w14:schemeClr w14:val="tx1"/>
            </w14:solidFill>
          </w14:textFill>
        </w:rPr>
        <w:t xml:space="preserve">、招标方式</w:t>
      </w:r>
      <w:bookmarkEnd w:id="58"/>
      <w:r/>
      <w:bookmarkEnd w:id="59"/>
      <w:r/>
      <w:bookmarkEnd w:id="60"/>
      <w:r/>
      <w:r/>
    </w:p>
    <w:p>
      <w:pPr>
        <w:ind w:firstLine="480"/>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1.1 本次招标采取公开招标方式，本招标文件仅适用于招标公告中所述项目。</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61" w:name="_Toc513029205"/>
      <w:r/>
      <w:bookmarkStart w:id="62" w:name="_Toc16938521"/>
      <w:r/>
      <w:bookmarkStart w:id="63" w:name="_Toc20823277"/>
      <w:r>
        <w:rPr>
          <w:rFonts w:ascii="Times New Roman" w:hAnsi="Times New Roman"/>
          <w:b w:val="0"/>
          <w:bCs w:val="0"/>
          <w:color w:val="000000" w:themeColor="text1"/>
          <w14:textFill>
            <w14:solidFill>
              <w14:schemeClr w14:val="tx1"/>
            </w14:solidFill>
          </w14:textFill>
        </w:rPr>
        <w:t xml:space="preserve">2、合格的投标人</w:t>
      </w:r>
      <w:bookmarkEnd w:id="61"/>
      <w:r/>
      <w:bookmarkEnd w:id="62"/>
      <w:r/>
      <w:bookmarkEnd w:id="63"/>
      <w:r/>
      <w:r/>
    </w:p>
    <w:p>
      <w:pPr>
        <w:ind w:firstLine="48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2.1满足招标公告中供应商的资格要求的规定。</w:t>
      </w:r>
      <w:r/>
    </w:p>
    <w:p>
      <w:pPr>
        <w:ind w:firstLine="48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2.2 满足本文件实质性要求的规定。</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64" w:name="_Toc20823278"/>
      <w:r/>
      <w:bookmarkStart w:id="65" w:name="_Toc16938522"/>
      <w:r/>
      <w:bookmarkStart w:id="66" w:name="_Toc513029206"/>
      <w:r>
        <w:rPr>
          <w:rFonts w:ascii="Times New Roman" w:hAnsi="Times New Roman"/>
          <w:b w:val="0"/>
          <w:bCs w:val="0"/>
          <w:color w:val="000000" w:themeColor="text1"/>
          <w14:textFill>
            <w14:solidFill>
              <w14:schemeClr w14:val="tx1"/>
            </w14:solidFill>
          </w14:textFill>
        </w:rPr>
        <w:t xml:space="preserve">3、适用法律</w:t>
      </w:r>
      <w:bookmarkEnd w:id="64"/>
      <w:r/>
      <w:bookmarkEnd w:id="65"/>
      <w:r/>
      <w:bookmarkEnd w:id="66"/>
      <w:r/>
      <w:r/>
    </w:p>
    <w:p>
      <w:pPr>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3.1 本次招标及由此产生的合同受中华人民共和国有关的法律法规制约和保护。</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67" w:name="_Toc16938523"/>
      <w:r/>
      <w:bookmarkStart w:id="68" w:name="_Toc462564067"/>
      <w:r/>
      <w:bookmarkStart w:id="69" w:name="_Toc20823279"/>
      <w:r/>
      <w:bookmarkStart w:id="70" w:name="_Toc513029207"/>
      <w:r>
        <w:rPr>
          <w:rFonts w:ascii="Times New Roman" w:hAnsi="Times New Roman"/>
          <w:b w:val="0"/>
          <w:bCs w:val="0"/>
          <w:color w:val="000000" w:themeColor="text1"/>
          <w14:textFill>
            <w14:solidFill>
              <w14:schemeClr w14:val="tx1"/>
            </w14:solidFill>
          </w14:textFill>
        </w:rPr>
        <w:t xml:space="preserve">4、投标费用</w:t>
      </w:r>
      <w:bookmarkEnd w:id="67"/>
      <w:r/>
      <w:bookmarkEnd w:id="68"/>
      <w:r/>
      <w:bookmarkEnd w:id="69"/>
      <w:r/>
      <w:bookmarkEnd w:id="70"/>
      <w:r/>
      <w:r/>
    </w:p>
    <w:p>
      <w:pPr>
        <w:ind w:firstLine="480"/>
        <w:spacing w:line="500" w:lineRule="exact"/>
        <w:rPr>
          <w:color w:val="000000" w:themeColor="text1"/>
          <w14:textFill>
            <w14:solidFill>
              <w14:schemeClr w14:val="tx1"/>
            </w14:solidFill>
          </w14:textFill>
        </w:rPr>
      </w:pPr>
      <w:r>
        <w:rPr>
          <w:bCs/>
          <w:color w:val="000000" w:themeColor="text1"/>
          <w14:textFill>
            <w14:solidFill>
              <w14:schemeClr w14:val="tx1"/>
            </w14:solidFill>
          </w14:textFill>
        </w:rPr>
        <w:t xml:space="preserve">4.1</w:t>
      </w:r>
      <w:r>
        <w:rPr>
          <w:color w:val="000000" w:themeColor="text1"/>
          <w14:textFill>
            <w14:solidFill>
              <w14:schemeClr w14:val="tx1"/>
            </w14:solidFill>
          </w14:textFill>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4.2本次招标采购中心和采购人不收取标书工本费与中标服务费。</w:t>
      </w:r>
      <w:r/>
    </w:p>
    <w:p>
      <w:pPr>
        <w:pStyle w:val="960"/>
        <w:ind w:firstLine="420"/>
        <w:spacing w:before="0" w:after="0" w:line="480" w:lineRule="exact"/>
        <w:rPr>
          <w:rFonts w:ascii="Times New Roman" w:hAnsi="Times New Roman"/>
          <w:b w:val="0"/>
          <w:bCs w:val="0"/>
          <w:color w:val="000000" w:themeColor="text1"/>
          <w14:textFill>
            <w14:solidFill>
              <w14:schemeClr w14:val="tx1"/>
            </w14:solidFill>
          </w14:textFill>
        </w:rPr>
      </w:pPr>
      <w:r>
        <w:rPr>
          <w:rFonts w:ascii="Times New Roman" w:hAnsi="Times New Roman"/>
          <w:color w:val="000000" w:themeColor="text1"/>
          <w:sz w:val="30"/>
          <w14:textFill>
            <w14:solidFill>
              <w14:schemeClr w14:val="tx1"/>
            </w14:solidFill>
          </w14:textFill>
        </w:rPr>
        <w:t xml:space="preserve">5、</w:t>
      </w:r>
      <w:r>
        <w:rPr>
          <w:rFonts w:ascii="Times New Roman" w:hAnsi="Times New Roman"/>
          <w:b w:val="0"/>
          <w:bCs w:val="0"/>
          <w:color w:val="000000" w:themeColor="text1"/>
          <w14:textFill>
            <w14:solidFill>
              <w14:schemeClr w14:val="tx1"/>
            </w14:solidFill>
          </w14:textFill>
        </w:rPr>
        <w:t xml:space="preserve">招标文件的约束力</w:t>
      </w:r>
      <w:r/>
    </w:p>
    <w:p>
      <w:pPr>
        <w:ind w:firstLine="480"/>
        <w:spacing w:line="480" w:lineRule="exact"/>
        <w:rPr>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5.1</w:t>
      </w:r>
      <w:r>
        <w:rPr>
          <w:color w:val="000000" w:themeColor="text1"/>
          <w:szCs w:val="24"/>
          <w14:textFill>
            <w14:solidFill>
              <w14:schemeClr w14:val="tx1"/>
            </w14:solidFill>
          </w14:textFill>
        </w:rPr>
        <w:t xml:space="preserve"> 投标人一旦参加本项目采购活动，即被认为接受了本招标文件的规定和约束。</w:t>
      </w:r>
      <w:r/>
    </w:p>
    <w:p>
      <w:pPr>
        <w:pStyle w:val="959"/>
        <w:ind w:firstLine="321"/>
        <w:spacing w:before="145" w:after="145" w:line="360" w:lineRule="auto"/>
        <w:rPr>
          <w:color w:val="000000" w:themeColor="text1"/>
          <w14:textFill>
            <w14:solidFill>
              <w14:schemeClr w14:val="tx1"/>
            </w14:solidFill>
          </w14:textFill>
        </w:rPr>
      </w:pPr>
      <w:r/>
      <w:bookmarkStart w:id="71" w:name="_Toc120614215"/>
      <w:r/>
      <w:bookmarkStart w:id="72" w:name="_Toc20823281"/>
      <w:r/>
      <w:bookmarkStart w:id="73" w:name="_Toc16938525"/>
      <w:r/>
      <w:bookmarkStart w:id="74" w:name="_Toc513029209"/>
      <w:r>
        <w:rPr>
          <w:color w:val="000000" w:themeColor="text1"/>
          <w14:textFill>
            <w14:solidFill>
              <w14:schemeClr w14:val="tx1"/>
            </w14:solidFill>
          </w14:textFill>
        </w:rPr>
        <w:t xml:space="preserve">二、招标文件</w:t>
      </w:r>
      <w:bookmarkEnd w:id="71"/>
      <w:r/>
      <w:bookmarkEnd w:id="72"/>
      <w:r/>
      <w:bookmarkEnd w:id="73"/>
      <w:r/>
      <w:bookmarkEnd w:id="74"/>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75" w:name="_Toc16938526"/>
      <w:r/>
      <w:bookmarkStart w:id="76" w:name="_Toc513029210"/>
      <w:r/>
      <w:bookmarkStart w:id="77" w:name="_Toc20823282"/>
      <w:r>
        <w:rPr>
          <w:rFonts w:ascii="Times New Roman" w:hAnsi="Times New Roman"/>
          <w:b w:val="0"/>
          <w:bCs w:val="0"/>
          <w:color w:val="000000" w:themeColor="text1"/>
          <w14:textFill>
            <w14:solidFill>
              <w14:schemeClr w14:val="tx1"/>
            </w14:solidFill>
          </w14:textFill>
        </w:rPr>
        <w:t xml:space="preserve">6、招标文件构成</w:t>
      </w:r>
      <w:bookmarkEnd w:id="75"/>
      <w:r/>
      <w:bookmarkEnd w:id="76"/>
      <w:r/>
      <w:bookmarkEnd w:id="77"/>
      <w:r/>
      <w:r/>
    </w:p>
    <w:p>
      <w:pPr>
        <w:ind w:firstLine="480"/>
        <w:spacing w:line="500" w:lineRule="exact"/>
        <w:rPr>
          <w:color w:val="000000" w:themeColor="text1"/>
          <w14:textFill>
            <w14:solidFill>
              <w14:schemeClr w14:val="tx1"/>
            </w14:solidFill>
          </w14:textFill>
        </w:rPr>
      </w:pPr>
      <w:r>
        <w:rPr>
          <w:bCs/>
          <w:color w:val="000000" w:themeColor="text1"/>
          <w14:textFill>
            <w14:solidFill>
              <w14:schemeClr w14:val="tx1"/>
            </w14:solidFill>
          </w14:textFill>
        </w:rPr>
        <w:t xml:space="preserve">6.1</w:t>
      </w:r>
      <w:r>
        <w:rPr>
          <w:color w:val="000000" w:themeColor="text1"/>
          <w14:textFill>
            <w14:solidFill>
              <w14:schemeClr w14:val="tx1"/>
            </w14:solidFill>
          </w14:textFill>
        </w:rPr>
        <w:t xml:space="preserve"> 招标文件由以下部分组成：</w:t>
      </w:r>
      <w:r/>
    </w:p>
    <w:p>
      <w:pPr>
        <w:ind w:firstLine="36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（1）投标邀请</w:t>
      </w:r>
      <w:r/>
    </w:p>
    <w:p>
      <w:pPr>
        <w:ind w:firstLine="36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（2）投标人须知</w:t>
      </w:r>
      <w:r/>
    </w:p>
    <w:p>
      <w:pPr>
        <w:ind w:firstLine="36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（3）合同文本</w:t>
      </w:r>
      <w:r/>
    </w:p>
    <w:p>
      <w:pPr>
        <w:ind w:firstLine="36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（4）采购需求</w:t>
      </w:r>
      <w:r/>
    </w:p>
    <w:p>
      <w:pPr>
        <w:ind w:firstLine="36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（5）评标方法与评标标准</w:t>
      </w:r>
      <w:r/>
    </w:p>
    <w:p>
      <w:pPr>
        <w:ind w:firstLine="36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（6）投标文件格式</w:t>
      </w:r>
      <w:r/>
    </w:p>
    <w:p>
      <w:pPr>
        <w:ind w:firstLine="480"/>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请仔细检查招标文件是否齐全，如有缺漏请立即与采购中心联系解决。</w:t>
      </w:r>
      <w:r/>
    </w:p>
    <w:p>
      <w:pPr>
        <w:ind w:firstLine="480"/>
        <w:spacing w:line="500" w:lineRule="exact"/>
        <w:rPr>
          <w:color w:val="000000" w:themeColor="text1"/>
          <w14:textFill>
            <w14:solidFill>
              <w14:schemeClr w14:val="tx1"/>
            </w14:solidFill>
          </w14:textFill>
        </w:rPr>
      </w:pPr>
      <w:r>
        <w:rPr>
          <w:bCs/>
          <w:color w:val="000000" w:themeColor="text1"/>
          <w14:textFill>
            <w14:solidFill>
              <w14:schemeClr w14:val="tx1"/>
            </w14:solidFill>
          </w14:textFill>
        </w:rPr>
        <w:t xml:space="preserve">6.2</w:t>
      </w:r>
      <w:r>
        <w:rPr>
          <w:color w:val="000000" w:themeColor="text1"/>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0"/>
        <w:ind w:firstLine="560"/>
        <w:spacing w:before="0" w:after="0" w:line="240" w:lineRule="auto"/>
        <w:rPr>
          <w:rFonts w:ascii="Times New Roman" w:hAnsi="Times New Roman"/>
          <w:b w:val="0"/>
          <w:bCs w:val="0"/>
          <w:color w:val="000000" w:themeColor="text1"/>
          <w14:textFill>
            <w14:solidFill>
              <w14:schemeClr w14:val="tx1"/>
            </w14:solidFill>
          </w14:textFill>
        </w:rPr>
      </w:pPr>
      <w:r/>
      <w:bookmarkStart w:id="78" w:name="_Toc16938527"/>
      <w:r/>
      <w:bookmarkStart w:id="79" w:name="_Toc462564070"/>
      <w:r/>
      <w:bookmarkStart w:id="80" w:name="_Toc20823283"/>
      <w:r/>
      <w:bookmarkStart w:id="81" w:name="_Toc513029211"/>
      <w:r>
        <w:rPr>
          <w:rFonts w:ascii="Times New Roman" w:hAnsi="Times New Roman"/>
          <w:b w:val="0"/>
          <w:bCs w:val="0"/>
          <w:color w:val="000000" w:themeColor="text1"/>
          <w14:textFill>
            <w14:solidFill>
              <w14:schemeClr w14:val="tx1"/>
            </w14:solidFill>
          </w14:textFill>
        </w:rPr>
        <w:t xml:space="preserve">7、招标文件的澄清</w:t>
      </w:r>
      <w:bookmarkEnd w:id="78"/>
      <w:r/>
      <w:bookmarkEnd w:id="79"/>
      <w:r/>
      <w:bookmarkEnd w:id="80"/>
      <w:r/>
      <w:bookmarkEnd w:id="81"/>
      <w:r/>
      <w:r/>
    </w:p>
    <w:p>
      <w:pPr>
        <w:ind w:firstLine="480"/>
        <w:spacing w:line="480" w:lineRule="exact"/>
        <w:rPr>
          <w:color w:val="000000" w:themeColor="text1"/>
          <w:szCs w:val="24"/>
          <w14:textFill>
            <w14:solidFill>
              <w14:schemeClr w14:val="tx1"/>
            </w14:solidFill>
          </w14:textFill>
        </w:rPr>
      </w:pPr>
      <w:r>
        <w:rPr>
          <w:bCs/>
          <w:color w:val="000000" w:themeColor="text1"/>
          <w14:textFill>
            <w14:solidFill>
              <w14:schemeClr w14:val="tx1"/>
            </w14:solidFill>
          </w14:textFill>
        </w:rPr>
        <w:t xml:space="preserve">7.1</w:t>
      </w:r>
      <w:r>
        <w:rPr>
          <w:color w:val="000000" w:themeColor="text1"/>
          <w14:textFill>
            <w14:solidFill>
              <w14:schemeClr w14:val="tx1"/>
            </w14:solidFill>
          </w14:textFill>
        </w:rPr>
        <w:t xml:space="preserve"> 任何要求对招标文件进行澄清的投标人，应在投标截止期</w:t>
      </w:r>
      <w:r>
        <w:rPr>
          <w:b/>
          <w:color w:val="000000" w:themeColor="text1"/>
          <w:szCs w:val="24"/>
          <w14:textFill>
            <w14:solidFill>
              <w14:schemeClr w14:val="tx1"/>
            </w14:solidFill>
          </w14:textFill>
        </w:rPr>
        <w:t xml:space="preserve">十日</w:t>
      </w:r>
      <w:r>
        <w:rPr>
          <w:color w:val="000000" w:themeColor="text1"/>
          <w:szCs w:val="24"/>
          <w14:textFill>
            <w14:solidFill>
              <w14:schemeClr w14:val="tx1"/>
            </w14:solidFill>
          </w14:textFill>
        </w:rPr>
        <w:t xml:space="preserve">前</w:t>
      </w:r>
      <w:r>
        <w:rPr>
          <w:color w:val="000000" w:themeColor="text1"/>
          <w14:textFill>
            <w14:solidFill>
              <w14:schemeClr w14:val="tx1"/>
            </w14:solidFill>
          </w14:textFill>
        </w:rPr>
        <w:t xml:space="preserve">按招标公告中的通讯地址，以书面形式通知采购中心。</w:t>
      </w:r>
      <w:r/>
    </w:p>
    <w:p>
      <w:pPr>
        <w:pStyle w:val="960"/>
        <w:ind w:firstLine="560"/>
        <w:spacing w:before="0" w:after="0" w:line="240" w:lineRule="auto"/>
        <w:rPr>
          <w:rFonts w:ascii="Times New Roman" w:hAnsi="Times New Roman"/>
          <w:b w:val="0"/>
          <w:bCs w:val="0"/>
          <w:color w:val="000000" w:themeColor="text1"/>
          <w14:textFill>
            <w14:solidFill>
              <w14:schemeClr w14:val="tx1"/>
            </w14:solidFill>
          </w14:textFill>
        </w:rPr>
      </w:pPr>
      <w:r/>
      <w:bookmarkStart w:id="82" w:name="_Toc16938528"/>
      <w:r/>
      <w:bookmarkStart w:id="83" w:name="_Toc462564071"/>
      <w:r/>
      <w:bookmarkStart w:id="84" w:name="_Toc20823284"/>
      <w:r/>
      <w:bookmarkStart w:id="85" w:name="_Toc513029212"/>
      <w:r>
        <w:rPr>
          <w:rFonts w:ascii="Times New Roman" w:hAnsi="Times New Roman"/>
          <w:b w:val="0"/>
          <w:bCs w:val="0"/>
          <w:color w:val="000000" w:themeColor="text1"/>
          <w14:textFill>
            <w14:solidFill>
              <w14:schemeClr w14:val="tx1"/>
            </w14:solidFill>
          </w14:textFill>
        </w:rPr>
        <w:t xml:space="preserve">8、招标文件的修改</w:t>
      </w:r>
      <w:bookmarkEnd w:id="82"/>
      <w:r/>
      <w:bookmarkEnd w:id="83"/>
      <w:r/>
      <w:bookmarkEnd w:id="84"/>
      <w:r/>
      <w:bookmarkEnd w:id="85"/>
      <w:r/>
      <w:r/>
    </w:p>
    <w:p>
      <w:pPr>
        <w:ind w:firstLine="480"/>
        <w:spacing w:line="500" w:lineRule="exact"/>
        <w:rPr>
          <w:color w:val="000000" w:themeColor="text1"/>
          <w14:textFill>
            <w14:solidFill>
              <w14:schemeClr w14:val="tx1"/>
            </w14:solidFill>
          </w14:textFill>
        </w:rPr>
      </w:pPr>
      <w:r>
        <w:rPr>
          <w:bCs/>
          <w:color w:val="000000" w:themeColor="text1"/>
          <w14:textFill>
            <w14:solidFill>
              <w14:schemeClr w14:val="tx1"/>
            </w14:solidFill>
          </w14:textFill>
        </w:rPr>
        <w:t xml:space="preserve">8.1</w:t>
      </w:r>
      <w:r>
        <w:rPr>
          <w:color w:val="000000" w:themeColor="text1"/>
          <w14:textFill>
            <w14:solidFill>
              <w14:schemeClr w14:val="tx1"/>
            </w14:solidFill>
          </w14:textFill>
        </w:rPr>
        <w:t xml:space="preserve"> 在投标截止时间前，采购中心可以对招标文件进行修改。</w:t>
      </w:r>
      <w:r/>
    </w:p>
    <w:p>
      <w:pPr>
        <w:ind w:firstLine="480"/>
        <w:spacing w:line="500" w:lineRule="exact"/>
        <w:rPr>
          <w:color w:val="000000" w:themeColor="text1"/>
          <w:sz w:val="28"/>
          <w14:textFill>
            <w14:solidFill>
              <w14:schemeClr w14:val="tx1"/>
            </w14:solidFill>
          </w14:textFill>
        </w:rPr>
      </w:pPr>
      <w:r>
        <w:rPr>
          <w:bCs/>
          <w:color w:val="000000" w:themeColor="text1"/>
          <w14:textFill>
            <w14:solidFill>
              <w14:schemeClr w14:val="tx1"/>
            </w14:solidFill>
          </w14:textFill>
        </w:rPr>
        <w:t xml:space="preserve">8.2 </w:t>
      </w:r>
      <w:r>
        <w:rPr>
          <w:color w:val="000000" w:themeColor="text1"/>
          <w14:textFill>
            <w14:solidFill>
              <w14:schemeClr w14:val="tx1"/>
            </w14:solidFill>
          </w14:textFill>
        </w:rPr>
        <w:t xml:space="preserve">采购中心</w:t>
      </w:r>
      <w:r>
        <w:rPr>
          <w:color w:val="000000" w:themeColor="text1"/>
          <w:szCs w:val="24"/>
          <w14:textFill>
            <w14:solidFill>
              <w14:schemeClr w14:val="tx1"/>
            </w14:solidFill>
          </w14:textFill>
        </w:rPr>
        <w:t xml:space="preserve">有权按照法定的要求</w:t>
      </w:r>
      <w:r>
        <w:rPr>
          <w:color w:val="000000" w:themeColor="text1"/>
          <w14:textFill>
            <w14:solidFill>
              <w14:schemeClr w14:val="tx1"/>
            </w14:solidFill>
          </w14:textFill>
        </w:rPr>
        <w:t xml:space="preserve">推迟投标截止日期和开标日期。</w:t>
      </w:r>
      <w:r/>
    </w:p>
    <w:p>
      <w:pPr>
        <w:ind w:firstLine="480"/>
        <w:spacing w:line="500" w:lineRule="exact"/>
        <w:rPr>
          <w:color w:val="000000" w:themeColor="text1"/>
          <w14:textFill>
            <w14:solidFill>
              <w14:schemeClr w14:val="tx1"/>
            </w14:solidFill>
          </w14:textFill>
        </w:rPr>
      </w:pPr>
      <w:r>
        <w:rPr>
          <w:bCs/>
          <w:color w:val="000000" w:themeColor="text1"/>
          <w14:textFill>
            <w14:solidFill>
              <w14:schemeClr w14:val="tx1"/>
            </w14:solidFill>
          </w14:textFill>
        </w:rPr>
        <w:t xml:space="preserve">8.3 </w:t>
      </w:r>
      <w:r>
        <w:rPr>
          <w:color w:val="000000" w:themeColor="text1"/>
          <w14:textFill>
            <w14:solidFill>
              <w14:schemeClr w14:val="tx1"/>
            </w14:solidFill>
          </w14:textFill>
        </w:rPr>
        <w:t xml:space="preserve">招标文件的修改将在江苏政府采购网公布，</w:t>
      </w:r>
      <w:r>
        <w:rPr>
          <w:color w:val="000000" w:themeColor="text1"/>
          <w:szCs w:val="24"/>
          <w14:textFill>
            <w14:solidFill>
              <w14:schemeClr w14:val="tx1"/>
            </w14:solidFill>
          </w14:textFill>
        </w:rPr>
        <w:t xml:space="preserve">补充文件将作为招标文件的组成部分，</w:t>
      </w:r>
      <w:r>
        <w:rPr>
          <w:color w:val="000000" w:themeColor="text1"/>
          <w14:textFill>
            <w14:solidFill>
              <w14:schemeClr w14:val="tx1"/>
            </w14:solidFill>
          </w14:textFill>
        </w:rPr>
        <w:t xml:space="preserve">并对投标人具有约束力。</w:t>
      </w:r>
      <w:r/>
    </w:p>
    <w:p>
      <w:pPr>
        <w:pStyle w:val="959"/>
        <w:ind w:firstLine="482"/>
        <w:spacing w:before="145" w:after="145" w:line="360" w:lineRule="auto"/>
        <w:rPr>
          <w:color w:val="000000" w:themeColor="text1"/>
          <w14:textFill>
            <w14:solidFill>
              <w14:schemeClr w14:val="tx1"/>
            </w14:solidFill>
          </w14:textFill>
        </w:rPr>
      </w:pPr>
      <w:r/>
      <w:bookmarkStart w:id="86" w:name="_Toc513029213"/>
      <w:r/>
      <w:bookmarkStart w:id="87" w:name="_Toc462564072"/>
      <w:r/>
      <w:bookmarkStart w:id="88" w:name="_Toc16938529"/>
      <w:r/>
      <w:bookmarkStart w:id="89" w:name="_Toc20823285"/>
      <w:r/>
      <w:bookmarkStart w:id="90" w:name="_Toc120614216"/>
      <w:r>
        <w:rPr>
          <w:color w:val="000000" w:themeColor="text1"/>
          <w14:textFill>
            <w14:solidFill>
              <w14:schemeClr w14:val="tx1"/>
            </w14:solidFill>
          </w14:textFill>
        </w:rPr>
        <w:t xml:space="preserve">三、投标文件的编制</w:t>
      </w:r>
      <w:bookmarkEnd w:id="86"/>
      <w:r/>
      <w:bookmarkEnd w:id="87"/>
      <w:r/>
      <w:bookmarkEnd w:id="88"/>
      <w:r/>
      <w:bookmarkEnd w:id="89"/>
      <w:r/>
      <w:bookmarkEnd w:id="90"/>
      <w:r/>
      <w:r/>
    </w:p>
    <w:p>
      <w:pPr>
        <w:pStyle w:val="960"/>
        <w:ind w:firstLine="560"/>
        <w:spacing w:before="0" w:after="0" w:line="240" w:lineRule="auto"/>
        <w:rPr>
          <w:rFonts w:ascii="Times New Roman" w:hAnsi="Times New Roman"/>
          <w:bCs w:val="0"/>
          <w:color w:val="000000" w:themeColor="text1"/>
          <w14:textFill>
            <w14:solidFill>
              <w14:schemeClr w14:val="tx1"/>
            </w14:solidFill>
          </w14:textFill>
        </w:rPr>
      </w:pPr>
      <w:r/>
      <w:bookmarkStart w:id="91" w:name="_Toc20823286"/>
      <w:r/>
      <w:bookmarkStart w:id="92" w:name="_Toc16938530"/>
      <w:r/>
      <w:bookmarkStart w:id="93" w:name="_Toc462564073"/>
      <w:r/>
      <w:bookmarkStart w:id="94" w:name="_Toc513029214"/>
      <w:r>
        <w:rPr>
          <w:rFonts w:ascii="Times New Roman" w:hAnsi="Times New Roman"/>
          <w:b w:val="0"/>
          <w:bCs w:val="0"/>
          <w:color w:val="000000" w:themeColor="text1"/>
          <w14:textFill>
            <w14:solidFill>
              <w14:schemeClr w14:val="tx1"/>
            </w14:solidFill>
          </w14:textFill>
        </w:rPr>
        <w:t xml:space="preserve">9、投标文件的语言及度量衡单位</w:t>
      </w:r>
      <w:bookmarkEnd w:id="91"/>
      <w:r/>
      <w:bookmarkEnd w:id="92"/>
      <w:r/>
      <w:bookmarkEnd w:id="93"/>
      <w:r/>
      <w:bookmarkEnd w:id="94"/>
      <w:r/>
      <w:r/>
    </w:p>
    <w:p>
      <w:pPr>
        <w:ind w:firstLine="480"/>
        <w:spacing w:line="500" w:lineRule="exact"/>
        <w:rPr>
          <w:color w:val="000000" w:themeColor="text1"/>
          <w14:textFill>
            <w14:solidFill>
              <w14:schemeClr w14:val="tx1"/>
            </w14:solidFill>
          </w14:textFill>
        </w:rPr>
      </w:pPr>
      <w:r>
        <w:rPr>
          <w:bCs/>
          <w:color w:val="000000" w:themeColor="text1"/>
          <w14:textFill>
            <w14:solidFill>
              <w14:schemeClr w14:val="tx1"/>
            </w14:solidFill>
          </w14:textFill>
        </w:rPr>
        <w:t xml:space="preserve">9.1</w:t>
      </w:r>
      <w:r>
        <w:rPr>
          <w:color w:val="000000" w:themeColor="text1"/>
          <w14:textFill>
            <w14:solidFill>
              <w14:schemeClr w14:val="tx1"/>
            </w14:solidFill>
          </w14:textFill>
        </w:rPr>
        <w:t xml:space="preserve"> 投标人提交的投标文件以及投标人与采购中心就有关投标的所有来往通知、函件和文件均应使用</w:t>
      </w:r>
      <w:r>
        <w:rPr>
          <w:b/>
          <w:bCs/>
          <w:color w:val="000000" w:themeColor="text1"/>
          <w14:textFill>
            <w14:solidFill>
              <w14:schemeClr w14:val="tx1"/>
            </w14:solidFill>
          </w14:textFill>
        </w:rPr>
        <w:t xml:space="preserve">简体中文</w:t>
      </w:r>
      <w:r>
        <w:rPr>
          <w:color w:val="000000" w:themeColor="text1"/>
          <w14:textFill>
            <w14:solidFill>
              <w14:schemeClr w14:val="tx1"/>
            </w14:solidFill>
          </w14:textFill>
        </w:rPr>
        <w:t xml:space="preserve">。</w:t>
      </w:r>
      <w:r/>
    </w:p>
    <w:p>
      <w:pPr>
        <w:ind w:firstLine="480"/>
        <w:spacing w:line="500" w:lineRule="exact"/>
        <w:rPr>
          <w:color w:val="000000" w:themeColor="text1"/>
          <w14:textFill>
            <w14:solidFill>
              <w14:schemeClr w14:val="tx1"/>
            </w14:solidFill>
          </w14:textFill>
        </w:rPr>
      </w:pPr>
      <w:r>
        <w:rPr>
          <w:bCs/>
          <w:color w:val="000000" w:themeColor="text1"/>
          <w14:textFill>
            <w14:solidFill>
              <w14:schemeClr w14:val="tx1"/>
            </w14:solidFill>
          </w14:textFill>
        </w:rPr>
        <w:t xml:space="preserve">9.2</w:t>
      </w:r>
      <w:r>
        <w:rPr>
          <w:color w:val="000000" w:themeColor="text1"/>
          <w14:textFill>
            <w14:solidFill>
              <w14:schemeClr w14:val="tx1"/>
            </w14:solidFill>
          </w14:textFill>
        </w:rPr>
        <w:t xml:space="preserve"> 除技术性能另有规定外，投标文件所使用的度量衡单位，均须采用国家法定计量单位。</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95" w:name="_Toc462564074"/>
      <w:r/>
      <w:bookmarkStart w:id="96" w:name="_Toc513029215"/>
      <w:r/>
      <w:bookmarkStart w:id="97" w:name="_Toc20823287"/>
      <w:r/>
      <w:bookmarkStart w:id="98" w:name="_Toc16938531"/>
      <w:r>
        <w:rPr>
          <w:rFonts w:ascii="Times New Roman" w:hAnsi="Times New Roman"/>
          <w:b w:val="0"/>
          <w:bCs w:val="0"/>
          <w:color w:val="000000" w:themeColor="text1"/>
          <w14:textFill>
            <w14:solidFill>
              <w14:schemeClr w14:val="tx1"/>
            </w14:solidFill>
          </w14:textFill>
        </w:rPr>
        <w:t xml:space="preserve">10、投标文件构成</w:t>
      </w:r>
      <w:bookmarkEnd w:id="95"/>
      <w:r/>
      <w:bookmarkEnd w:id="96"/>
      <w:r/>
      <w:bookmarkEnd w:id="97"/>
      <w:r/>
      <w:bookmarkEnd w:id="98"/>
      <w:r/>
      <w:r/>
    </w:p>
    <w:p>
      <w:pPr>
        <w:ind w:firstLine="480"/>
        <w:spacing w:line="440" w:lineRule="exact"/>
        <w:rPr>
          <w:color w:val="000000" w:themeColor="text1"/>
          <w14:textFill>
            <w14:solidFill>
              <w14:schemeClr w14:val="tx1"/>
            </w14:solidFill>
          </w14:textFill>
        </w:rPr>
      </w:pPr>
      <w:r>
        <w:rPr>
          <w:bCs/>
          <w:color w:val="000000" w:themeColor="text1"/>
          <w14:textFill>
            <w14:solidFill>
              <w14:schemeClr w14:val="tx1"/>
            </w14:solidFill>
          </w14:textFill>
        </w:rPr>
        <w:t xml:space="preserve">10.1</w:t>
      </w:r>
      <w:r>
        <w:rPr>
          <w:color w:val="000000" w:themeColor="text1"/>
          <w14:textFill>
            <w14:solidFill>
              <w14:schemeClr w14:val="tx1"/>
            </w14:solidFill>
          </w14:textFill>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10.2 如标书制作工具中格式和内容与“江苏政府采购网”发布的招标文件不一致，请以“江苏政府采购网”发布的招标文件为准。</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99" w:name="_Hlt26670360"/>
      <w:r/>
      <w:bookmarkEnd w:id="99"/>
      <w:r/>
      <w:bookmarkStart w:id="100" w:name="_Hlt26954838"/>
      <w:r/>
      <w:bookmarkEnd w:id="100"/>
      <w:r/>
      <w:bookmarkStart w:id="101" w:name="_Hlt26668975"/>
      <w:r/>
      <w:bookmarkEnd w:id="101"/>
      <w:r/>
      <w:bookmarkStart w:id="102" w:name="_Toc513029219"/>
      <w:r/>
      <w:bookmarkStart w:id="103" w:name="_Toc49090507"/>
      <w:r/>
      <w:bookmarkStart w:id="104" w:name="_Toc14577354"/>
      <w:r/>
      <w:bookmarkStart w:id="105" w:name="_Toc513029216"/>
      <w:r/>
      <w:bookmarkStart w:id="106" w:name="_Toc49090509"/>
      <w:r/>
      <w:bookmarkStart w:id="107" w:name="_Toc14577357"/>
      <w:r>
        <w:rPr>
          <w:rFonts w:ascii="Times New Roman" w:hAnsi="Times New Roman"/>
          <w:b w:val="0"/>
          <w:bCs w:val="0"/>
          <w:color w:val="000000" w:themeColor="text1"/>
          <w14:textFill>
            <w14:solidFill>
              <w14:schemeClr w14:val="tx1"/>
            </w14:solidFill>
          </w14:textFill>
        </w:rPr>
        <w:t xml:space="preserve">11、证明投标人及投标标的符合招标文件规定的文件</w:t>
      </w:r>
      <w:bookmarkEnd w:id="102"/>
      <w:r/>
      <w:bookmarkEnd w:id="103"/>
      <w:r/>
      <w:bookmarkEnd w:id="104"/>
      <w:r/>
      <w:bookmarkEnd w:id="105"/>
      <w:r/>
      <w:bookmarkEnd w:id="106"/>
      <w:r/>
      <w:bookmarkEnd w:id="107"/>
      <w:r/>
      <w:r/>
    </w:p>
    <w:p>
      <w:pPr>
        <w:spacing w:line="480" w:lineRule="exact"/>
        <w:rPr>
          <w:color w:val="000000" w:themeColor="text1"/>
          <w:szCs w:val="24"/>
          <w14:textFill>
            <w14:solidFill>
              <w14:schemeClr w14:val="tx1"/>
            </w14:solidFill>
          </w14:textFill>
        </w:rPr>
      </w:pPr>
      <w:r/>
      <w:bookmarkStart w:id="108" w:name="_Toc14577355"/>
      <w:r/>
      <w:bookmarkStart w:id="109" w:name="_Toc49090508"/>
      <w:r>
        <w:rPr>
          <w:color w:val="000000" w:themeColor="text1"/>
          <w:szCs w:val="24"/>
          <w14:textFill>
            <w14:solidFill>
              <w14:schemeClr w14:val="tx1"/>
            </w14:solidFill>
          </w14:textFill>
        </w:rPr>
        <w:t xml:space="preserve">    11.1 投标人应按照法律、法规、规章和规范性文件以及招标文件要求提交证明文件，证明其及投标标的符合招标文件规定。</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11.2招标文件对证明文件无明确形式要求的，证明文件可以以文字资料、图纸和数据等形式提交。</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rPr>
          <w:rFonts w:ascii="Times New Roman" w:hAnsi="Times New Roman"/>
          <w:b w:val="0"/>
          <w:bCs w:val="0"/>
          <w:color w:val="000000" w:themeColor="text1"/>
          <w14:textFill>
            <w14:solidFill>
              <w14:schemeClr w14:val="tx1"/>
            </w14:solidFill>
          </w14:textFill>
        </w:rPr>
        <w:t xml:space="preserve">12、投标分项报价</w:t>
      </w:r>
      <w:bookmarkEnd w:id="108"/>
      <w:r/>
      <w:bookmarkStart w:id="110" w:name="_Hlt26670373"/>
      <w:r/>
      <w:bookmarkEnd w:id="110"/>
      <w:r>
        <w:rPr>
          <w:rFonts w:ascii="Times New Roman" w:hAnsi="Times New Roman"/>
          <w:b w:val="0"/>
          <w:bCs w:val="0"/>
          <w:color w:val="000000" w:themeColor="text1"/>
          <w14:textFill>
            <w14:solidFill>
              <w14:schemeClr w14:val="tx1"/>
            </w14:solidFill>
          </w14:textFill>
        </w:rPr>
        <w:t xml:space="preserve">表</w:t>
      </w:r>
      <w:bookmarkEnd w:id="109"/>
      <w:r/>
      <w:r/>
    </w:p>
    <w:p>
      <w:pPr>
        <w:ind w:firstLine="480"/>
        <w:spacing w:line="50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12.1</w:t>
      </w:r>
      <w:r>
        <w:rPr>
          <w:color w:val="000000" w:themeColor="text1"/>
          <w14:textFill>
            <w14:solidFill>
              <w14:schemeClr w14:val="tx1"/>
            </w14:solidFill>
          </w14:textFill>
        </w:rPr>
        <w:t xml:space="preserve"> 投</w:t>
      </w:r>
      <w:bookmarkStart w:id="111" w:name="_Hlt26954840"/>
      <w:r/>
      <w:bookmarkEnd w:id="111"/>
      <w:r>
        <w:rPr>
          <w:color w:val="000000" w:themeColor="text1"/>
          <w14:textFill>
            <w14:solidFill>
              <w14:schemeClr w14:val="tx1"/>
            </w14:solidFill>
          </w14:textFill>
        </w:rPr>
        <w:t xml:space="preserve">标人按照招标文件规定格式填报投标分项报价表</w:t>
      </w:r>
      <w:bookmarkStart w:id="112" w:name="_Hlt26670399"/>
      <w:r/>
      <w:bookmarkEnd w:id="112"/>
      <w:r>
        <w:rPr>
          <w:color w:val="000000" w:themeColor="text1"/>
          <w14:textFill>
            <w14:solidFill>
              <w14:schemeClr w14:val="tx1"/>
            </w14:solidFill>
          </w14:textFill>
        </w:rPr>
        <w:t xml:space="preserve">。</w:t>
      </w:r>
      <w:r/>
    </w:p>
    <w:p>
      <w:pPr>
        <w:ind w:firstLine="480"/>
        <w:spacing w:line="500" w:lineRule="exact"/>
        <w:rPr>
          <w:bCs/>
          <w:color w:val="000000" w:themeColor="text1"/>
          <w14:textFill>
            <w14:solidFill>
              <w14:schemeClr w14:val="tx1"/>
            </w14:solidFill>
          </w14:textFill>
        </w:rPr>
      </w:pPr>
      <w:r>
        <w:rPr>
          <w:color w:val="000000" w:themeColor="text1"/>
          <w14:textFill>
            <w14:solidFill>
              <w14:schemeClr w14:val="tx1"/>
            </w14:solidFill>
          </w14:textFill>
        </w:rPr>
        <w:t xml:space="preserve">12.2</w:t>
      </w:r>
      <w:r>
        <w:rPr>
          <w:bCs/>
          <w:color w:val="000000" w:themeColor="text1"/>
          <w14:textFill>
            <w14:solidFill>
              <w14:schemeClr w14:val="tx1"/>
            </w14:solidFill>
          </w14:textFill>
        </w:rPr>
        <w:t xml:space="preserve">投标货币。投标文件中的单价和总价无特殊规定的采用人民币报价，以元为单位标注。</w:t>
      </w:r>
      <w:r>
        <w:rPr>
          <w:color w:val="000000" w:themeColor="text1"/>
          <w14:textFill>
            <w14:solidFill>
              <w14:schemeClr w14:val="tx1"/>
            </w14:solidFill>
          </w14:textFill>
        </w:rPr>
        <w:t xml:space="preserve">招标文件中另有规定的按规定执行。</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113" w:name="_Hlt26954844"/>
      <w:r/>
      <w:bookmarkEnd w:id="113"/>
      <w:r/>
      <w:bookmarkStart w:id="114" w:name="_Hlt26670486"/>
      <w:r/>
      <w:bookmarkEnd w:id="114"/>
      <w:r/>
      <w:bookmarkStart w:id="115" w:name="_Hlt26668983"/>
      <w:r/>
      <w:bookmarkEnd w:id="115"/>
      <w:r/>
      <w:bookmarkStart w:id="116" w:name="_Hlt26670482"/>
      <w:r/>
      <w:bookmarkEnd w:id="116"/>
      <w:r/>
      <w:bookmarkStart w:id="117" w:name="_Hlt26954848"/>
      <w:r/>
      <w:bookmarkEnd w:id="117"/>
      <w:r/>
      <w:bookmarkStart w:id="118" w:name="_Hlt26954846"/>
      <w:r/>
      <w:bookmarkEnd w:id="118"/>
      <w:r/>
      <w:bookmarkStart w:id="119" w:name="_Hlt26954731"/>
      <w:r/>
      <w:bookmarkEnd w:id="119"/>
      <w:r/>
      <w:bookmarkStart w:id="120" w:name="_Hlt26954842"/>
      <w:r/>
      <w:bookmarkEnd w:id="120"/>
      <w:r/>
      <w:bookmarkStart w:id="121" w:name="_Hlt26670403"/>
      <w:r/>
      <w:bookmarkEnd w:id="121"/>
      <w:r/>
      <w:bookmarkStart w:id="122" w:name="_Hlt26670425"/>
      <w:r/>
      <w:bookmarkEnd w:id="122"/>
      <w:r>
        <w:rPr>
          <w:rFonts w:ascii="Times New Roman" w:hAnsi="Times New Roman"/>
          <w:b w:val="0"/>
          <w:bCs w:val="0"/>
          <w:color w:val="000000" w:themeColor="text1"/>
          <w14:textFill>
            <w14:solidFill>
              <w14:schemeClr w14:val="tx1"/>
            </w14:solidFill>
          </w14:textFill>
        </w:rPr>
        <w:t xml:space="preserve">13、技术要求响应及偏离表、商务要求响应及偏离表</w:t>
      </w:r>
      <w:r/>
    </w:p>
    <w:p>
      <w:pPr>
        <w:ind w:firstLine="480"/>
        <w:spacing w:line="500" w:lineRule="exact"/>
        <w:rPr>
          <w:color w:val="000000" w:themeColor="text1"/>
          <w14:textFill>
            <w14:solidFill>
              <w14:schemeClr w14:val="tx1"/>
            </w14:solidFill>
          </w14:textFill>
        </w:rPr>
      </w:pPr>
      <w:r>
        <w:rPr>
          <w:bCs/>
          <w:color w:val="000000" w:themeColor="text1"/>
          <w:lang w:val="zh-CN"/>
          <w14:textFill>
            <w14:solidFill>
              <w14:schemeClr w14:val="tx1"/>
            </w14:solidFill>
          </w14:textFill>
        </w:rPr>
        <w:t xml:space="preserve">13.1</w:t>
      </w:r>
      <w:r>
        <w:rPr>
          <w:color w:val="000000" w:themeColor="text1"/>
          <w:lang w:val="zh-CN"/>
          <w14:textFill>
            <w14:solidFill>
              <w14:schemeClr w14:val="tx1"/>
            </w14:solidFill>
          </w14:textFill>
        </w:rPr>
        <w:t xml:space="preserve"> 投标人需对招标文件中的技术要求与商务要求逐项作出响应或偏离，并说明原因。</w:t>
      </w:r>
      <w:r/>
    </w:p>
    <w:p>
      <w:pPr>
        <w:contextualSpacing/>
        <w:ind w:firstLine="480"/>
        <w:spacing w:line="360" w:lineRule="auto"/>
        <w:tabs>
          <w:tab w:val="left" w:pos="900" w:leader="none"/>
        </w:tabs>
        <w:rPr>
          <w:color w:val="000000" w:themeColor="text1"/>
          <w14:textFill>
            <w14:solidFill>
              <w14:schemeClr w14:val="tx1"/>
            </w14:solidFill>
          </w14:textFill>
        </w:rPr>
      </w:pPr>
      <w:r/>
      <w:bookmarkStart w:id="123" w:name="_Toc14577359"/>
      <w:r/>
      <w:bookmarkStart w:id="124" w:name="_Toc49090510"/>
      <w:r>
        <w:rPr>
          <w:color w:val="000000" w:themeColor="text1"/>
          <w14:textFill>
            <w14:solidFill>
              <w14:schemeClr w14:val="tx1"/>
            </w14:solidFill>
          </w14:textFill>
        </w:rPr>
        <w:t xml:space="preserve">13.2 投标人可在投标文件中提供认为需要的其他技术文件或说明。</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rPr>
          <w:rFonts w:ascii="Times New Roman" w:hAnsi="Times New Roman"/>
          <w:b w:val="0"/>
          <w:bCs w:val="0"/>
          <w:color w:val="000000" w:themeColor="text1"/>
          <w14:textFill>
            <w14:solidFill>
              <w14:schemeClr w14:val="tx1"/>
            </w14:solidFill>
          </w14:textFill>
        </w:rPr>
        <w:t xml:space="preserve">14、投标函和开标一览表</w:t>
      </w:r>
      <w:r/>
    </w:p>
    <w:p>
      <w:pPr>
        <w:ind w:firstLine="480"/>
        <w:spacing w:line="500" w:lineRule="exact"/>
        <w:rPr>
          <w:color w:val="000000" w:themeColor="text1"/>
          <w14:textFill>
            <w14:solidFill>
              <w14:schemeClr w14:val="tx1"/>
            </w14:solidFill>
          </w14:textFill>
        </w:rPr>
      </w:pPr>
      <w:r>
        <w:rPr>
          <w:bCs/>
          <w:color w:val="000000" w:themeColor="text1"/>
          <w14:textFill>
            <w14:solidFill>
              <w14:schemeClr w14:val="tx1"/>
            </w14:solidFill>
          </w14:textFill>
        </w:rPr>
        <w:t xml:space="preserve">14.1</w:t>
      </w:r>
      <w:r>
        <w:rPr>
          <w:color w:val="000000" w:themeColor="text1"/>
          <w14:textFill>
            <w14:solidFill>
              <w14:schemeClr w14:val="tx1"/>
            </w14:solidFill>
          </w14:textFill>
        </w:rPr>
        <w:t xml:space="preserve"> 投标人应按照招标文件中提供的格式完整、正确填写投标函、开标一览表。</w:t>
      </w:r>
      <w:r/>
    </w:p>
    <w:p>
      <w:pPr>
        <w:ind w:firstLine="480"/>
        <w:spacing w:line="500" w:lineRule="exact"/>
        <w:rPr>
          <w:color w:val="000000" w:themeColor="text1"/>
          <w14:textFill>
            <w14:solidFill>
              <w14:schemeClr w14:val="tx1"/>
            </w14:solidFill>
          </w14:textFill>
        </w:rPr>
      </w:pPr>
      <w:r>
        <w:rPr>
          <w:bCs/>
          <w:color w:val="000000" w:themeColor="text1"/>
          <w14:textFill>
            <w14:solidFill>
              <w14:schemeClr w14:val="tx1"/>
            </w14:solidFill>
          </w14:textFill>
        </w:rPr>
        <w:t xml:space="preserve">14.2</w:t>
      </w:r>
      <w:r>
        <w:rPr>
          <w:color w:val="000000" w:themeColor="text1"/>
          <w14:textFill>
            <w14:solidFill>
              <w14:schemeClr w14:val="tx1"/>
            </w14:solidFill>
          </w14:textFill>
        </w:rPr>
        <w:t xml:space="preserve"> 对于采用货币报价的项目，</w:t>
      </w:r>
      <w:r>
        <w:rPr>
          <w:bCs/>
          <w:color w:val="000000" w:themeColor="text1"/>
          <w14:textFill>
            <w14:solidFill>
              <w14:schemeClr w14:val="tx1"/>
            </w14:solidFill>
          </w14:textFill>
        </w:rPr>
        <w:t xml:space="preserve">开标一览表中的投标总报价应与投标分项报价表中的投标总报价一致，如不一致，</w:t>
      </w:r>
      <w:r>
        <w:rPr>
          <w:color w:val="000000" w:themeColor="text1"/>
          <w:szCs w:val="24"/>
          <w14:textFill>
            <w14:solidFill>
              <w14:schemeClr w14:val="tx1"/>
            </w14:solidFill>
          </w14:textFill>
        </w:rPr>
        <w:t xml:space="preserve">不作为无效投标处理</w:t>
      </w:r>
      <w:r>
        <w:rPr>
          <w:bCs/>
          <w:color w:val="000000" w:themeColor="text1"/>
          <w14:textFill>
            <w14:solidFill>
              <w14:schemeClr w14:val="tx1"/>
            </w14:solidFill>
          </w14:textFill>
        </w:rPr>
        <w:t xml:space="preserve">，但评标时按开标一览表中价格为准</w:t>
      </w:r>
      <w:r>
        <w:rPr>
          <w:b/>
          <w:bCs/>
          <w:color w:val="000000" w:themeColor="text1"/>
          <w14:textFill>
            <w14:solidFill>
              <w14:schemeClr w14:val="tx1"/>
            </w14:solidFill>
          </w14:textFill>
        </w:rPr>
        <w:t xml:space="preserve">。</w:t>
      </w:r>
      <w:bookmarkEnd w:id="123"/>
      <w:r/>
      <w:bookmarkEnd w:id="124"/>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ascii="Times New Roman" w:hAnsi="Times New Roman"/>
          <w:b w:val="0"/>
          <w:bCs w:val="0"/>
          <w:color w:val="000000" w:themeColor="text1"/>
          <w14:textFill>
            <w14:solidFill>
              <w14:schemeClr w14:val="tx1"/>
            </w14:solidFill>
          </w14:textFill>
        </w:rPr>
        <w:t xml:space="preserve">15、投标有效期</w:t>
      </w:r>
      <w:bookmarkEnd w:id="128"/>
      <w:r/>
      <w:bookmarkEnd w:id="129"/>
      <w:r/>
      <w:r/>
    </w:p>
    <w:p>
      <w:pPr>
        <w:ind w:firstLine="480"/>
        <w:spacing w:line="500" w:lineRule="exact"/>
        <w:rPr>
          <w:bCs/>
          <w:color w:val="000000" w:themeColor="text1"/>
          <w14:textFill>
            <w14:solidFill>
              <w14:schemeClr w14:val="tx1"/>
            </w14:solidFill>
          </w14:textFill>
        </w:rPr>
      </w:pPr>
      <w:r>
        <w:rPr>
          <w:color w:val="000000" w:themeColor="text1"/>
          <w14:textFill>
            <w14:solidFill>
              <w14:schemeClr w14:val="tx1"/>
            </w14:solidFill>
          </w14:textFill>
        </w:rPr>
        <w:t xml:space="preserve">15.1</w:t>
      </w:r>
      <w:r>
        <w:rPr>
          <w:bCs/>
          <w:color w:val="000000" w:themeColor="text1"/>
          <w14:textFill>
            <w14:solidFill>
              <w14:schemeClr w14:val="tx1"/>
            </w14:solidFill>
          </w14:textFill>
        </w:rPr>
        <w:t xml:space="preserve"> 投标有效期为采购中心规定的开标之日后</w:t>
      </w:r>
      <w:r>
        <w:rPr>
          <w:b/>
          <w:color w:val="000000" w:themeColor="text1"/>
          <w:u w:val="single"/>
          <w14:textFill>
            <w14:solidFill>
              <w14:schemeClr w14:val="tx1"/>
            </w14:solidFill>
          </w14:textFill>
        </w:rPr>
        <w:t xml:space="preserve">六十（60）天</w:t>
      </w:r>
      <w:r>
        <w:rPr>
          <w:bCs/>
          <w:color w:val="000000" w:themeColor="text1"/>
          <w14:textFill>
            <w14:solidFill>
              <w14:schemeClr w14:val="tx1"/>
            </w14:solidFill>
          </w14:textFill>
        </w:rPr>
        <w:t xml:space="preserve">。投标有效期比规定短的将被视为未实质性响应招标文件而予以拒绝。</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rPr>
          <w:rFonts w:ascii="Times New Roman" w:hAnsi="Times New Roman"/>
          <w:b w:val="0"/>
          <w:bCs w:val="0"/>
          <w:color w:val="000000" w:themeColor="text1"/>
          <w14:textFill>
            <w14:solidFill>
              <w14:schemeClr w14:val="tx1"/>
            </w14:solidFill>
          </w14:textFill>
        </w:rPr>
        <w:t xml:space="preserve">16、投标有效期的延长</w:t>
      </w:r>
      <w:r/>
    </w:p>
    <w:p>
      <w:pPr>
        <w:ind w:firstLine="480"/>
        <w:spacing w:line="500" w:lineRule="exact"/>
        <w:rPr>
          <w:bCs/>
          <w:color w:val="000000" w:themeColor="text1"/>
          <w14:textFill>
            <w14:solidFill>
              <w14:schemeClr w14:val="tx1"/>
            </w14:solidFill>
          </w14:textFill>
        </w:rPr>
      </w:pPr>
      <w:r>
        <w:rPr>
          <w:color w:val="000000" w:themeColor="text1"/>
          <w14:textFill>
            <w14:solidFill>
              <w14:schemeClr w14:val="tx1"/>
            </w14:solidFill>
          </w14:textFill>
        </w:rPr>
        <w:t xml:space="preserve">16.1</w:t>
      </w:r>
      <w:r>
        <w:rPr>
          <w:bCs/>
          <w:color w:val="000000" w:themeColor="text1"/>
          <w14:textFill>
            <w14:solidFill>
              <w14:schemeClr w14:val="tx1"/>
            </w14:solidFill>
          </w14:textFill>
        </w:rPr>
        <w:t xml:space="preserve"> 在特殊情况下，采购中心于原投标有效期满之前，可向投标人提出延长投标有效期的要求。这种要求与答复均应采用书面形式。投标人可以拒绝采购中心的这一要求而放弃投标</w:t>
      </w:r>
      <w:r>
        <w:rPr>
          <w:color w:val="000000" w:themeColor="text1"/>
          <w:szCs w:val="24"/>
          <w14:textFill>
            <w14:solidFill>
              <w14:schemeClr w14:val="tx1"/>
            </w14:solidFill>
          </w14:textFill>
        </w:rPr>
        <w:t xml:space="preserve">。</w:t>
      </w:r>
      <w:r>
        <w:rPr>
          <w:bCs/>
          <w:color w:val="000000" w:themeColor="text1"/>
          <w14:textFill>
            <w14:solidFill>
              <w14:schemeClr w14:val="tx1"/>
            </w14:solidFill>
          </w14:textFill>
        </w:rPr>
        <w:t xml:space="preserve">同意延长投标有效期的投标人既不能要求也不允许修改其投标文件</w:t>
      </w:r>
      <w:r>
        <w:rPr>
          <w:color w:val="000000" w:themeColor="text1"/>
          <w:szCs w:val="24"/>
          <w14:textFill>
            <w14:solidFill>
              <w14:schemeClr w14:val="tx1"/>
            </w14:solidFill>
          </w14:textFill>
        </w:rPr>
        <w:t xml:space="preserve">，同时受投标有效期约束的所有权利与义务均延长至新的有效期</w:t>
      </w:r>
      <w:r>
        <w:rPr>
          <w:bCs/>
          <w:color w:val="000000" w:themeColor="text1"/>
          <w14:textFill>
            <w14:solidFill>
              <w14:schemeClr w14:val="tx1"/>
            </w14:solidFill>
          </w14:textFill>
        </w:rPr>
        <w:t xml:space="preserve">。</w:t>
      </w:r>
      <w:r/>
    </w:p>
    <w:p>
      <w:pPr>
        <w:pStyle w:val="959"/>
        <w:ind w:firstLine="482"/>
        <w:spacing w:before="145" w:after="145" w:line="360" w:lineRule="auto"/>
        <w:rPr>
          <w:color w:val="000000" w:themeColor="text1"/>
          <w14:textFill>
            <w14:solidFill>
              <w14:schemeClr w14:val="tx1"/>
            </w14:solidFill>
          </w14:textFill>
        </w:rPr>
      </w:pPr>
      <w:r/>
      <w:bookmarkStart w:id="130" w:name="_Hlt26954852"/>
      <w:r/>
      <w:bookmarkEnd w:id="130"/>
      <w:r/>
      <w:bookmarkStart w:id="131" w:name="_Hlt26954739"/>
      <w:r/>
      <w:bookmarkEnd w:id="131"/>
      <w:r/>
      <w:bookmarkStart w:id="132" w:name="_Toc513029224"/>
      <w:r/>
      <w:bookmarkStart w:id="133" w:name="_Toc20823296"/>
      <w:r/>
      <w:bookmarkStart w:id="134" w:name="_Toc16938540"/>
      <w:r/>
      <w:bookmarkStart w:id="135" w:name="_Toc120614217"/>
      <w:r>
        <w:rPr>
          <w:color w:val="000000" w:themeColor="text1"/>
          <w14:textFill>
            <w14:solidFill>
              <w14:schemeClr w14:val="tx1"/>
            </w14:solidFill>
          </w14:textFill>
        </w:rPr>
        <w:t xml:space="preserve">四、投标文件的递交</w:t>
      </w:r>
      <w:bookmarkEnd w:id="132"/>
      <w:r/>
      <w:bookmarkEnd w:id="133"/>
      <w:r/>
      <w:bookmarkEnd w:id="134"/>
      <w:r/>
      <w:bookmarkEnd w:id="135"/>
      <w:r/>
      <w:r/>
    </w:p>
    <w:p>
      <w:pPr>
        <w:pStyle w:val="960"/>
        <w:ind w:firstLine="560"/>
        <w:spacing w:before="0" w:after="0" w:line="240" w:lineRule="auto"/>
        <w:rPr>
          <w:rFonts w:ascii="Times New Roman" w:hAnsi="Times New Roman"/>
          <w:b w:val="0"/>
          <w:bCs w:val="0"/>
          <w:color w:val="000000" w:themeColor="text1"/>
          <w14:textFill>
            <w14:solidFill>
              <w14:schemeClr w14:val="tx1"/>
            </w14:solidFill>
          </w14:textFill>
        </w:rPr>
      </w:pPr>
      <w:r/>
      <w:bookmarkStart w:id="136" w:name="_Toc513029225"/>
      <w:r/>
      <w:bookmarkStart w:id="137" w:name="_Toc462564084"/>
      <w:r/>
      <w:bookmarkStart w:id="138" w:name="_Toc16938541"/>
      <w:r/>
      <w:bookmarkStart w:id="139" w:name="_Toc20823297"/>
      <w:r>
        <w:rPr>
          <w:rFonts w:ascii="Times New Roman" w:hAnsi="Times New Roman"/>
          <w:b w:val="0"/>
          <w:bCs w:val="0"/>
          <w:color w:val="000000" w:themeColor="text1"/>
          <w14:textFill>
            <w14:solidFill>
              <w14:schemeClr w14:val="tx1"/>
            </w14:solidFill>
          </w14:textFill>
        </w:rPr>
        <w:t xml:space="preserve">17、投标文件</w:t>
      </w:r>
      <w:bookmarkEnd w:id="136"/>
      <w:r/>
      <w:bookmarkEnd w:id="137"/>
      <w:r/>
      <w:bookmarkEnd w:id="138"/>
      <w:r/>
      <w:bookmarkEnd w:id="139"/>
      <w:r>
        <w:rPr>
          <w:rFonts w:ascii="Times New Roman" w:hAnsi="Times New Roman"/>
          <w:b w:val="0"/>
          <w:bCs w:val="0"/>
          <w:color w:val="000000" w:themeColor="text1"/>
          <w14:textFill>
            <w14:solidFill>
              <w14:schemeClr w14:val="tx1"/>
            </w14:solidFill>
          </w14:textFill>
        </w:rPr>
        <w:t xml:space="preserve">的递交</w:t>
      </w:r>
      <w:r/>
    </w:p>
    <w:p>
      <w:pPr>
        <w:ind w:firstLine="480"/>
        <w:spacing w:line="500" w:lineRule="exact"/>
        <w:rPr>
          <w:bCs/>
          <w:color w:val="000000" w:themeColor="text1"/>
          <w14:textFill>
            <w14:solidFill>
              <w14:schemeClr w14:val="tx1"/>
            </w14:solidFill>
          </w14:textFill>
        </w:rPr>
      </w:pPr>
      <w:r>
        <w:rPr>
          <w:color w:val="000000" w:themeColor="text1"/>
          <w14:textFill>
            <w14:solidFill>
              <w14:schemeClr w14:val="tx1"/>
            </w14:solidFill>
          </w14:textFill>
        </w:rPr>
        <w:t xml:space="preserve">17.1</w:t>
      </w:r>
      <w:r>
        <w:rPr>
          <w:bCs/>
          <w:color w:val="000000" w:themeColor="text1"/>
          <w14:textFill>
            <w14:solidFill>
              <w14:schemeClr w14:val="tx1"/>
            </w14:solidFill>
          </w14:textFill>
        </w:rPr>
        <w:t xml:space="preserve"> 电子投标文件的递交</w:t>
      </w:r>
      <w:r/>
    </w:p>
    <w:p>
      <w:pPr>
        <w:pStyle w:val="1008"/>
        <w:ind w:left="6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投标人应当按照《操作手册》规定，在投标截止时间前制作并上传电子投标文件。</w:t>
      </w:r>
      <w:bookmarkStart w:id="140" w:name="_Toc20823298"/>
      <w:r/>
      <w:bookmarkStart w:id="141" w:name="_Toc513029226"/>
      <w:r/>
      <w:bookmarkStart w:id="142" w:name="_Toc16938542"/>
      <w:r/>
      <w:r/>
    </w:p>
    <w:p>
      <w:pPr>
        <w:pStyle w:val="960"/>
        <w:ind w:firstLine="422"/>
        <w:spacing w:before="0" w:after="0" w:line="240" w:lineRule="auto"/>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18、投标截止</w:t>
      </w:r>
      <w:bookmarkEnd w:id="140"/>
      <w:r/>
      <w:bookmarkEnd w:id="141"/>
      <w:r/>
      <w:bookmarkEnd w:id="142"/>
      <w:r>
        <w:rPr>
          <w:rFonts w:ascii="Times New Roman" w:hAnsi="Times New Roman"/>
          <w:color w:val="000000" w:themeColor="text1"/>
          <w14:textFill>
            <w14:solidFill>
              <w14:schemeClr w14:val="tx1"/>
            </w14:solidFill>
          </w14:textFill>
        </w:rPr>
        <w:t xml:space="preserve">时间</w:t>
      </w:r>
      <w:r/>
    </w:p>
    <w:p>
      <w:pPr>
        <w:ind w:firstLine="480"/>
        <w:rPr>
          <w:bCs/>
          <w:color w:val="000000" w:themeColor="text1"/>
          <w14:textFill>
            <w14:solidFill>
              <w14:schemeClr w14:val="tx1"/>
            </w14:solidFill>
          </w14:textFill>
        </w:rPr>
      </w:pPr>
      <w:r>
        <w:rPr>
          <w:color w:val="000000" w:themeColor="text1"/>
          <w14:textFill>
            <w14:solidFill>
              <w14:schemeClr w14:val="tx1"/>
            </w14:solidFill>
          </w14:textFill>
        </w:rPr>
        <w:t xml:space="preserve">18.1</w:t>
      </w:r>
      <w:r>
        <w:rPr>
          <w:bCs/>
          <w:color w:val="000000" w:themeColor="text1"/>
          <w14:textFill>
            <w14:solidFill>
              <w14:schemeClr w14:val="tx1"/>
            </w14:solidFill>
          </w14:textFill>
        </w:rPr>
        <w:t xml:space="preserve"> 投标人上传电子投标文件的时间不得迟于招标公告中规定的投标截止时间。</w:t>
      </w:r>
      <w:r/>
    </w:p>
    <w:p>
      <w:pPr>
        <w:ind w:firstLine="480"/>
        <w:spacing w:line="50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bCs/>
          <w:color w:val="000000" w:themeColor="text1"/>
          <w14:textFill>
            <w14:solidFill>
              <w14:schemeClr w14:val="tx1"/>
            </w14:solidFill>
          </w14:textFill>
        </w:rPr>
      </w:pPr>
      <w:r>
        <w:rPr>
          <w:color w:val="000000" w:themeColor="text1"/>
          <w14:textFill>
            <w14:solidFill>
              <w14:schemeClr w14:val="tx1"/>
            </w14:solidFill>
          </w14:textFill>
        </w:rPr>
        <w:t xml:space="preserve">18.2</w:t>
      </w:r>
      <w:r>
        <w:rPr>
          <w:bCs/>
          <w:color w:val="000000" w:themeColor="text1"/>
          <w14:textFill>
            <w14:solidFill>
              <w14:schemeClr w14:val="tx1"/>
            </w14:solidFill>
          </w14:textFill>
        </w:rPr>
        <w:t xml:space="preserve"> 采购中心可以按照规定，通过修改招标文件酌情延长投标截止时间，在此情况下，投标人的所有权利和义务以及投标人受制的截止时间均应以延长后新的截止时间为准。</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143" w:name="_Toc20823299"/>
      <w:r/>
      <w:bookmarkStart w:id="144" w:name="_Toc16938543"/>
      <w:r/>
      <w:bookmarkStart w:id="145" w:name="_Toc513029227"/>
      <w:r>
        <w:rPr>
          <w:rFonts w:ascii="Times New Roman" w:hAnsi="Times New Roman"/>
          <w:b w:val="0"/>
          <w:bCs w:val="0"/>
          <w:color w:val="000000" w:themeColor="text1"/>
          <w14:textFill>
            <w14:solidFill>
              <w14:schemeClr w14:val="tx1"/>
            </w14:solidFill>
          </w14:textFill>
        </w:rPr>
        <w:t xml:space="preserve">19、投标文件</w:t>
      </w:r>
      <w:bookmarkEnd w:id="143"/>
      <w:r/>
      <w:bookmarkEnd w:id="144"/>
      <w:r/>
      <w:bookmarkEnd w:id="145"/>
      <w:r>
        <w:rPr>
          <w:rFonts w:ascii="Times New Roman" w:hAnsi="Times New Roman"/>
          <w:b w:val="0"/>
          <w:bCs w:val="0"/>
          <w:color w:val="000000" w:themeColor="text1"/>
          <w14:textFill>
            <w14:solidFill>
              <w14:schemeClr w14:val="tx1"/>
            </w14:solidFill>
          </w14:textFill>
        </w:rPr>
        <w:t xml:space="preserve">的拒收</w:t>
      </w:r>
      <w:r/>
    </w:p>
    <w:p>
      <w:pPr>
        <w:ind w:firstLine="480"/>
        <w:spacing w:line="500" w:lineRule="exact"/>
        <w:rPr>
          <w:bCs/>
          <w:color w:val="000000" w:themeColor="text1"/>
          <w14:textFill>
            <w14:solidFill>
              <w14:schemeClr w14:val="tx1"/>
            </w14:solidFill>
          </w14:textFill>
        </w:rPr>
      </w:pPr>
      <w:r>
        <w:rPr>
          <w:color w:val="000000" w:themeColor="text1"/>
          <w14:textFill>
            <w14:solidFill>
              <w14:schemeClr w14:val="tx1"/>
            </w14:solidFill>
          </w14:textFill>
        </w:rPr>
        <w:t xml:space="preserve">19.1</w:t>
      </w:r>
      <w:r>
        <w:rPr>
          <w:bCs/>
          <w:color w:val="000000" w:themeColor="text1"/>
          <w14:textFill>
            <w14:solidFill>
              <w14:schemeClr w14:val="tx1"/>
            </w14:solidFill>
          </w14:textFill>
        </w:rPr>
        <w:t xml:space="preserve">采购中心拒绝接收在其规定的投标截止时间后上传的任何投标文件。</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146" w:name="_Toc20823300"/>
      <w:r/>
      <w:bookmarkStart w:id="147" w:name="_Toc16938544"/>
      <w:r/>
      <w:bookmarkStart w:id="148" w:name="_Toc513029228"/>
      <w:r>
        <w:rPr>
          <w:rFonts w:ascii="Times New Roman" w:hAnsi="Times New Roman"/>
          <w:b w:val="0"/>
          <w:bCs w:val="0"/>
          <w:color w:val="000000" w:themeColor="text1"/>
          <w14:textFill>
            <w14:solidFill>
              <w14:schemeClr w14:val="tx1"/>
            </w14:solidFill>
          </w14:textFill>
        </w:rPr>
        <w:t xml:space="preserve">20、投标文件的撤回和修改</w:t>
      </w:r>
      <w:bookmarkEnd w:id="146"/>
      <w:r/>
      <w:bookmarkEnd w:id="147"/>
      <w:r/>
      <w:bookmarkEnd w:id="148"/>
      <w:r/>
      <w:r/>
    </w:p>
    <w:p>
      <w:pPr>
        <w:ind w:firstLine="480"/>
        <w:spacing w:line="48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20.1 投标文件的撤回</w:t>
      </w:r>
      <w:r/>
    </w:p>
    <w:p>
      <w:pPr>
        <w:ind w:firstLine="480"/>
        <w:spacing w:line="48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21.1.1 电子投标文件的撤回</w:t>
      </w:r>
      <w:r/>
    </w:p>
    <w:p>
      <w:pPr>
        <w:ind w:firstLine="480"/>
        <w:spacing w:line="48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投标人可在投标截止时间前，撤回其电子投标文件，具体操作方法见《操作手册》。</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21.1.2 投标人撤回电子投标文件，则认为其不再参与本项目投标活动。</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20.2 投标文件的修改</w:t>
      </w:r>
      <w:r/>
    </w:p>
    <w:p>
      <w:pPr>
        <w:ind w:firstLine="480"/>
        <w:spacing w:line="48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bCs/>
          <w:color w:val="000000" w:themeColor="text1"/>
          <w14:textFill>
            <w14:solidFill>
              <w14:schemeClr w14:val="tx1"/>
            </w14:solidFill>
          </w14:textFill>
        </w:rPr>
      </w:pPr>
      <w:r>
        <w:rPr>
          <w:color w:val="000000" w:themeColor="text1"/>
          <w14:textFill>
            <w14:solidFill>
              <w14:schemeClr w14:val="tx1"/>
            </w14:solidFill>
          </w14:textFill>
        </w:rPr>
        <w:t xml:space="preserve">20.2.2</w:t>
      </w:r>
      <w:r>
        <w:rPr>
          <w:bCs/>
          <w:color w:val="000000" w:themeColor="text1"/>
          <w14:textFill>
            <w14:solidFill>
              <w14:schemeClr w14:val="tx1"/>
            </w14:solidFill>
          </w14:textFill>
        </w:rPr>
        <w:t xml:space="preserve"> 在投标截止时间之后，投标人不得对其电子投标文件作任何修改。</w:t>
      </w:r>
      <w:r/>
    </w:p>
    <w:p>
      <w:pPr>
        <w:ind w:firstLine="480"/>
        <w:spacing w:line="500" w:lineRule="exact"/>
        <w:rPr>
          <w:bCs/>
          <w:color w:val="000000" w:themeColor="text1"/>
          <w14:textFill>
            <w14:solidFill>
              <w14:schemeClr w14:val="tx1"/>
            </w14:solidFill>
          </w14:textFill>
        </w:rPr>
      </w:pPr>
      <w:r>
        <w:rPr>
          <w:color w:val="000000" w:themeColor="text1"/>
          <w14:textFill>
            <w14:solidFill>
              <w14:schemeClr w14:val="tx1"/>
            </w14:solidFill>
          </w14:textFill>
        </w:rPr>
        <w:t xml:space="preserve">20.3</w:t>
      </w:r>
      <w:r>
        <w:rPr>
          <w:bCs/>
          <w:color w:val="000000" w:themeColor="text1"/>
          <w14:textFill>
            <w14:solidFill>
              <w14:schemeClr w14:val="tx1"/>
            </w14:solidFill>
          </w14:textFill>
        </w:rPr>
        <w:t xml:space="preserve"> 在投标截止时间至招标文件中规定的投标有效期满之间的这段时间内，投标人不得撤回其投标。</w:t>
      </w:r>
      <w:r/>
    </w:p>
    <w:p>
      <w:pPr>
        <w:pStyle w:val="959"/>
        <w:ind w:firstLine="482"/>
        <w:spacing w:before="145" w:after="145" w:line="360" w:lineRule="auto"/>
        <w:rPr>
          <w:color w:val="000000" w:themeColor="text1"/>
          <w14:textFill>
            <w14:solidFill>
              <w14:schemeClr w14:val="tx1"/>
            </w14:solidFill>
          </w14:textFill>
        </w:rPr>
      </w:pPr>
      <w:r/>
      <w:bookmarkStart w:id="149" w:name="_Toc20823301"/>
      <w:r/>
      <w:bookmarkStart w:id="150" w:name="_Toc513029229"/>
      <w:r/>
      <w:bookmarkStart w:id="151" w:name="_Toc120614218"/>
      <w:r/>
      <w:bookmarkStart w:id="152" w:name="_Toc16938545"/>
      <w:r>
        <w:rPr>
          <w:color w:val="000000" w:themeColor="text1"/>
          <w14:textFill>
            <w14:solidFill>
              <w14:schemeClr w14:val="tx1"/>
            </w14:solidFill>
          </w14:textFill>
        </w:rPr>
        <w:t xml:space="preserve">五、开标与评标</w:t>
      </w:r>
      <w:bookmarkEnd w:id="149"/>
      <w:r/>
      <w:bookmarkEnd w:id="150"/>
      <w:r/>
      <w:bookmarkEnd w:id="151"/>
      <w:r/>
      <w:bookmarkEnd w:id="152"/>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153" w:name="_Toc20823302"/>
      <w:r/>
      <w:bookmarkStart w:id="154" w:name="_Toc16938546"/>
      <w:r/>
      <w:bookmarkStart w:id="155" w:name="_Toc513029230"/>
      <w:r>
        <w:rPr>
          <w:rFonts w:ascii="Times New Roman" w:hAnsi="Times New Roman"/>
          <w:b w:val="0"/>
          <w:bCs w:val="0"/>
          <w:color w:val="000000" w:themeColor="text1"/>
          <w14:textFill>
            <w14:solidFill>
              <w14:schemeClr w14:val="tx1"/>
            </w14:solidFill>
          </w14:textFill>
        </w:rPr>
        <w:t xml:space="preserve">21、开标</w:t>
      </w:r>
      <w:bookmarkEnd w:id="153"/>
      <w:r/>
      <w:bookmarkEnd w:id="154"/>
      <w:r/>
      <w:bookmarkEnd w:id="155"/>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21.1</w:t>
      </w:r>
      <w:r>
        <w:rPr>
          <w:bCs/>
          <w:color w:val="000000" w:themeColor="text1"/>
          <w14:textFill>
            <w14:solidFill>
              <w14:schemeClr w14:val="tx1"/>
            </w14:solidFill>
          </w14:textFill>
        </w:rPr>
        <w:t xml:space="preserve"> 采购中心将在招标公告中规定的时间和地点组织公开开标</w:t>
      </w:r>
      <w:r>
        <w:rPr>
          <w:color w:val="000000" w:themeColor="text1"/>
          <w:szCs w:val="24"/>
          <w14:textFill>
            <w14:solidFill>
              <w14:schemeClr w14:val="tx1"/>
            </w14:solidFill>
          </w14:textFill>
        </w:rPr>
        <w:t xml:space="preserve">。投标人应当按照《操作手册》规定，参加开标活动和在苏采云系统规定的时间内对投标文件进行解密。</w:t>
      </w:r>
      <w:r/>
    </w:p>
    <w:p>
      <w:pPr>
        <w:ind w:firstLine="480"/>
        <w:spacing w:line="480" w:lineRule="exact"/>
        <w:rPr>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21.2</w:t>
      </w:r>
      <w:r>
        <w:rPr>
          <w:color w:val="000000" w:themeColor="text1"/>
          <w:szCs w:val="24"/>
          <w14:textFill>
            <w14:solidFill>
              <w14:schemeClr w14:val="tx1"/>
            </w14:solidFill>
          </w14:textFill>
        </w:rPr>
        <w:t xml:space="preserve">开标仪式由采购中心组织。苏采云系统将自动对项目进行开标，并宣布各投标人名称和投标价格。</w:t>
      </w:r>
      <w:r/>
    </w:p>
    <w:p>
      <w:pPr>
        <w:ind w:firstLine="480"/>
        <w:spacing w:line="500" w:lineRule="exact"/>
        <w:rPr>
          <w:color w:val="000000" w:themeColor="text1"/>
          <w:szCs w:val="24"/>
          <w14:textFill>
            <w14:solidFill>
              <w14:schemeClr w14:val="tx1"/>
            </w14:solidFill>
          </w14:textFill>
        </w:rPr>
      </w:pPr>
      <w:r>
        <w:rPr>
          <w:bCs/>
          <w:color w:val="000000" w:themeColor="text1"/>
          <w14:textFill>
            <w14:solidFill>
              <w14:schemeClr w14:val="tx1"/>
            </w14:solidFill>
          </w14:textFill>
        </w:rPr>
        <w:t xml:space="preserve">21.3投标人在开标过程中涉及到的投标文件解密、开标结果确认等工作，应按照《操作手册》规定执行。</w:t>
      </w:r>
      <w:r/>
    </w:p>
    <w:p>
      <w:pPr>
        <w:ind w:firstLine="480"/>
        <w:spacing w:line="5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156" w:name="_Toc16938547"/>
      <w:r/>
      <w:bookmarkStart w:id="157" w:name="_Toc513029231"/>
      <w:r/>
      <w:bookmarkStart w:id="158" w:name="_Toc20823303"/>
      <w:r>
        <w:rPr>
          <w:rFonts w:ascii="Times New Roman" w:hAnsi="Times New Roman"/>
          <w:b w:val="0"/>
          <w:bCs w:val="0"/>
          <w:color w:val="000000" w:themeColor="text1"/>
          <w14:textFill>
            <w14:solidFill>
              <w14:schemeClr w14:val="tx1"/>
            </w14:solidFill>
          </w14:textFill>
        </w:rPr>
        <w:t xml:space="preserve">22、评标委员会</w:t>
      </w:r>
      <w:r/>
    </w:p>
    <w:p>
      <w:pPr>
        <w:spacing w:line="480" w:lineRule="exact"/>
        <w:rPr>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 xml:space="preserve"> 22.1</w:t>
      </w: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 xml:space="preserve">开标后，采购中心将立即组织评标委员会（以下简称评委会）进行评标。</w:t>
      </w:r>
      <w:r/>
    </w:p>
    <w:p>
      <w:pPr>
        <w:spacing w:line="480" w:lineRule="exact"/>
        <w:rPr>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 xml:space="preserve"> 22.2 评委会由采购人代表和有关技术、经济等方面的专家组成，且人员构成符合政府采购有关规定。</w:t>
      </w:r>
      <w:r/>
    </w:p>
    <w:p>
      <w:pPr>
        <w:spacing w:line="480" w:lineRule="exact"/>
        <w:rPr>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 xml:space="preserve"> 22.3评委会独立工作，负责评审所有投标文件并确定中标候选人。</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rPr>
          <w:rFonts w:ascii="Times New Roman" w:hAnsi="Times New Roman"/>
          <w:b w:val="0"/>
          <w:bCs w:val="0"/>
          <w:color w:val="000000" w:themeColor="text1"/>
          <w14:textFill>
            <w14:solidFill>
              <w14:schemeClr w14:val="tx1"/>
            </w14:solidFill>
          </w14:textFill>
        </w:rPr>
        <w:t xml:space="preserve">23、评标过程的保密与公正</w:t>
      </w:r>
      <w:bookmarkEnd w:id="156"/>
      <w:r/>
      <w:bookmarkEnd w:id="157"/>
      <w:r/>
      <w:bookmarkEnd w:id="158"/>
      <w:r/>
      <w:r/>
    </w:p>
    <w:p>
      <w:pPr>
        <w:ind w:firstLine="480"/>
        <w:spacing w:line="500" w:lineRule="exact"/>
        <w:rPr>
          <w:bCs/>
          <w:color w:val="000000" w:themeColor="text1"/>
          <w14:textFill>
            <w14:solidFill>
              <w14:schemeClr w14:val="tx1"/>
            </w14:solidFill>
          </w14:textFill>
        </w:rPr>
      </w:pPr>
      <w:r>
        <w:rPr>
          <w:color w:val="000000" w:themeColor="text1"/>
          <w14:textFill>
            <w14:solidFill>
              <w14:schemeClr w14:val="tx1"/>
            </w14:solidFill>
          </w14:textFill>
        </w:rPr>
        <w:t xml:space="preserve">23.1</w:t>
      </w:r>
      <w:r>
        <w:rPr>
          <w:bCs/>
          <w:color w:val="000000" w:themeColor="text1"/>
          <w14:textFill>
            <w14:solidFill>
              <w14:schemeClr w14:val="tx1"/>
            </w14:solidFill>
          </w14:textFill>
        </w:rPr>
        <w:t xml:space="preserve">凡是与审查、澄清、评价和比较投标的有关资料以及授标建议等，采购人、评委、采购中心均不得向投标人或与评标无关的其他人员透露。</w:t>
      </w:r>
      <w:r/>
    </w:p>
    <w:p>
      <w:pPr>
        <w:ind w:firstLine="480"/>
        <w:spacing w:line="480" w:lineRule="exact"/>
        <w:rPr>
          <w:color w:val="000000" w:themeColor="text1"/>
          <w:szCs w:val="24"/>
          <w14:textFill>
            <w14:solidFill>
              <w14:schemeClr w14:val="tx1"/>
            </w14:solidFill>
          </w14:textFill>
        </w:rPr>
      </w:pPr>
      <w:r>
        <w:rPr>
          <w:color w:val="000000" w:themeColor="text1"/>
          <w14:textFill>
            <w14:solidFill>
              <w14:schemeClr w14:val="tx1"/>
            </w14:solidFill>
          </w14:textFill>
        </w:rPr>
        <w:t xml:space="preserve">23.2</w:t>
      </w:r>
      <w:r>
        <w:rPr>
          <w:color w:val="000000" w:themeColor="text1"/>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23.3 采购中心和评标委员会不向未中标的投标人解释未中标原因，也不公布评标过程中的相关细节。</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159" w:name="_Toc513029232"/>
      <w:r/>
      <w:bookmarkStart w:id="160" w:name="_Toc16938548"/>
      <w:r/>
      <w:bookmarkStart w:id="161" w:name="_Toc20823304"/>
      <w:r>
        <w:rPr>
          <w:rFonts w:ascii="Times New Roman" w:hAnsi="Times New Roman"/>
          <w:b w:val="0"/>
          <w:bCs w:val="0"/>
          <w:color w:val="000000" w:themeColor="text1"/>
          <w14:textFill>
            <w14:solidFill>
              <w14:schemeClr w14:val="tx1"/>
            </w14:solidFill>
          </w14:textFill>
        </w:rPr>
        <w:t xml:space="preserve">24、投标文件的澄清</w:t>
      </w:r>
      <w:bookmarkEnd w:id="159"/>
      <w:r/>
      <w:bookmarkEnd w:id="160"/>
      <w:r/>
      <w:bookmarkEnd w:id="161"/>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投标人的澄清、说明或者补正不得超出投标文件的范围或者改变投标文件的实质性内容。</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评标委员会并非对每个投标人都做澄清要求。</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    24.3 接到评委会澄清、说明和补正要求的投标人如未按规定做出澄清、说明和补正，其风险由投标人自行承担。</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bookmarkStart w:id="162" w:name="_Toc513029233"/>
      <w:r/>
      <w:bookmarkStart w:id="163" w:name="_Toc20823305"/>
      <w:r/>
      <w:bookmarkStart w:id="164" w:name="_Toc16938549"/>
      <w:r>
        <w:rPr>
          <w:rFonts w:ascii="Times New Roman" w:hAnsi="Times New Roman"/>
          <w:b w:val="0"/>
          <w:bCs w:val="0"/>
          <w:color w:val="000000" w:themeColor="text1"/>
          <w14:textFill>
            <w14:solidFill>
              <w14:schemeClr w14:val="tx1"/>
            </w14:solidFill>
          </w14:textFill>
        </w:rPr>
        <w:t xml:space="preserve">25、对投标文件的初审</w:t>
      </w:r>
      <w:bookmarkEnd w:id="162"/>
      <w:r/>
      <w:bookmarkEnd w:id="163"/>
      <w:r/>
      <w:bookmarkEnd w:id="164"/>
      <w:r/>
      <w:r/>
    </w:p>
    <w:p>
      <w:pPr>
        <w:ind w:firstLine="480"/>
        <w:spacing w:line="460" w:lineRule="exact"/>
        <w:rPr>
          <w:bCs/>
          <w:color w:val="000000" w:themeColor="text1"/>
          <w14:textFill>
            <w14:solidFill>
              <w14:schemeClr w14:val="tx1"/>
            </w14:solidFill>
          </w14:textFill>
        </w:rPr>
      </w:pPr>
      <w:r>
        <w:rPr>
          <w:color w:val="000000" w:themeColor="text1"/>
          <w14:textFill>
            <w14:solidFill>
              <w14:schemeClr w14:val="tx1"/>
            </w14:solidFill>
          </w14:textFill>
        </w:rPr>
        <w:t xml:space="preserve">25.1</w:t>
      </w:r>
      <w:r>
        <w:rPr>
          <w:bCs/>
          <w:color w:val="000000" w:themeColor="text1"/>
          <w14:textFill>
            <w14:solidFill>
              <w14:schemeClr w14:val="tx1"/>
            </w14:solidFill>
          </w14:textFill>
        </w:rPr>
        <w:t xml:space="preserve">投标文件初审分为资格审查和符合性审查。</w:t>
      </w:r>
      <w:r/>
    </w:p>
    <w:p>
      <w:pPr>
        <w:ind w:firstLine="480"/>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采购人在进行资格性审查的同时，将在“信用中国”网站（www.creditchina.gov.cn）查询投标人的信用记录，以确定投标人是否具备投标资格</w:t>
      </w:r>
      <w:r>
        <w:rPr>
          <w:color w:val="000000" w:themeColor="text1"/>
          <w14:textFill>
            <w14:solidFill>
              <w14:schemeClr w14:val="tx1"/>
            </w14:solidFill>
          </w14:textFill>
        </w:rPr>
        <w:t xml:space="preserve">，</w:t>
      </w:r>
      <w:r>
        <w:rPr>
          <w:bCs/>
          <w:color w:val="000000" w:themeColor="text1"/>
          <w14:textFill>
            <w14:solidFill>
              <w14:schemeClr w14:val="tx1"/>
            </w14:solidFill>
          </w14:textFill>
        </w:rPr>
        <w:t xml:space="preserve">查询结果留存并归档。</w:t>
      </w:r>
      <w:r/>
    </w:p>
    <w:p>
      <w:pPr>
        <w:ind w:firstLine="480"/>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25.1.3 未通过资格审查或符合性审查的投标人，采购中心将在</w:t>
      </w:r>
      <w:r>
        <w:rPr>
          <w:color w:val="000000" w:themeColor="text1"/>
          <w:szCs w:val="24"/>
          <w14:textFill>
            <w14:solidFill>
              <w14:schemeClr w14:val="tx1"/>
            </w14:solidFill>
          </w14:textFill>
        </w:rPr>
        <w:t xml:space="preserve">苏采云系统</w:t>
      </w:r>
      <w:r>
        <w:rPr>
          <w:bCs/>
          <w:color w:val="000000" w:themeColor="text1"/>
          <w14:textFill>
            <w14:solidFill>
              <w14:schemeClr w14:val="tx1"/>
            </w14:solidFill>
          </w14:textFill>
        </w:rPr>
        <w:t xml:space="preserve">中告知未通过资格审查或符合性审查的原因，评标结束后，采购中心将不再告知未通过资格审查和符合性审查的原因。</w:t>
      </w:r>
      <w:r/>
    </w:p>
    <w:p>
      <w:pPr>
        <w:ind w:firstLine="480"/>
        <w:spacing w:line="46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bCs/>
          <w:color w:val="000000" w:themeColor="text1"/>
          <w14:textFill>
            <w14:solidFill>
              <w14:schemeClr w14:val="tx1"/>
            </w14:solidFill>
          </w14:textFill>
        </w:rPr>
      </w:pPr>
      <w:r>
        <w:rPr>
          <w:color w:val="000000" w:themeColor="text1"/>
          <w14:textFill>
            <w14:solidFill>
              <w14:schemeClr w14:val="tx1"/>
            </w14:solidFill>
          </w14:textFill>
        </w:rPr>
        <w:t xml:space="preserve">25.4</w:t>
      </w:r>
      <w:r>
        <w:rPr>
          <w:bCs/>
          <w:color w:val="000000" w:themeColor="text1"/>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（1）投标文件中开标一览表内容与投标文件中相应内容不一致的，以开标一览表为准。</w:t>
      </w:r>
      <w:r/>
    </w:p>
    <w:p>
      <w:pPr>
        <w:ind w:firstLine="480"/>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（2）大写金额和小写金额不一致的，以大写金额为准。</w:t>
      </w:r>
      <w:r/>
    </w:p>
    <w:p>
      <w:pPr>
        <w:ind w:firstLine="480"/>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（3）单价金额小数点或者百分比有明显错位的，以开标一览表的总价为准，并修改单价。</w:t>
      </w:r>
      <w:r/>
    </w:p>
    <w:p>
      <w:pPr>
        <w:ind w:firstLine="480"/>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（4）总价金额与按单价汇总金额不一致的，以单价金额计算结果为准。</w:t>
      </w:r>
      <w:r/>
    </w:p>
    <w:p>
      <w:pPr>
        <w:ind w:firstLine="480"/>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同时出现两种以上错误的，按照前款规定的顺序修正。</w:t>
      </w:r>
      <w:r/>
    </w:p>
    <w:p>
      <w:pPr>
        <w:ind w:firstLine="480"/>
        <w:spacing w:line="460" w:lineRule="exact"/>
        <w:rPr>
          <w:bCs/>
          <w:color w:val="000000" w:themeColor="text1"/>
          <w14:textFill>
            <w14:solidFill>
              <w14:schemeClr w14:val="tx1"/>
            </w14:solidFill>
          </w14:textFill>
        </w:rPr>
      </w:pPr>
      <w:r>
        <w:rPr>
          <w:color w:val="000000" w:themeColor="text1"/>
          <w14:textFill>
            <w14:solidFill>
              <w14:schemeClr w14:val="tx1"/>
            </w14:solidFill>
          </w14:textFill>
        </w:rPr>
        <w:t xml:space="preserve">25.5 </w:t>
      </w:r>
      <w:r>
        <w:rPr>
          <w:bCs/>
          <w:color w:val="000000" w:themeColor="text1"/>
          <w14:textFill>
            <w14:solidFill>
              <w14:schemeClr w14:val="tx1"/>
            </w14:solidFill>
          </w14:textFill>
        </w:rPr>
        <w:t xml:space="preserve">评委会将按上述修正错误的方法调整投标文件中的投标报价，并通过</w:t>
      </w:r>
      <w:r>
        <w:rPr>
          <w:color w:val="000000" w:themeColor="text1"/>
          <w:szCs w:val="24"/>
          <w14:textFill>
            <w14:solidFill>
              <w14:schemeClr w14:val="tx1"/>
            </w14:solidFill>
          </w14:textFill>
        </w:rPr>
        <w:t xml:space="preserve">苏采云系统</w:t>
      </w:r>
      <w:r>
        <w:rPr>
          <w:bCs/>
          <w:color w:val="000000" w:themeColor="text1"/>
          <w14:textFill>
            <w14:solidFill>
              <w14:schemeClr w14:val="tx1"/>
            </w14:solidFill>
          </w14:textFill>
        </w:rPr>
        <w:t xml:space="preserve">告知投标人，调整后的价格应对投标人具有约束力。如果投标人不接受修正后的价格，则其投标将被拒绝。</w:t>
      </w:r>
      <w:r/>
    </w:p>
    <w:p>
      <w:pPr>
        <w:ind w:firstLine="420"/>
        <w:spacing w:line="460" w:lineRule="exact"/>
        <w:rPr>
          <w:color w:val="000000" w:themeColor="text1"/>
          <w14:textFill>
            <w14:solidFill>
              <w14:schemeClr w14:val="tx1"/>
            </w14:solidFill>
          </w14:textFill>
        </w:rPr>
      </w:pPr>
      <w:r/>
      <w:bookmarkStart w:id="165" w:name="_Toc16938550"/>
      <w:r/>
      <w:bookmarkStart w:id="166" w:name="_Toc513029234"/>
      <w:r/>
      <w:bookmarkStart w:id="167" w:name="_Toc20823306"/>
      <w:r>
        <w:rPr>
          <w:color w:val="000000" w:themeColor="text1"/>
          <w14:textFill>
            <w14:solidFill>
              <w14:schemeClr w14:val="tx1"/>
            </w14:solidFill>
          </w14:textFill>
        </w:rPr>
        <w:t xml:space="preserve">25.6投标人在开、评标全过程中应保持通讯畅通，及时登录</w:t>
      </w:r>
      <w:r>
        <w:rPr>
          <w:color w:val="000000" w:themeColor="text1"/>
          <w:szCs w:val="24"/>
          <w14:textFill>
            <w14:solidFill>
              <w14:schemeClr w14:val="tx1"/>
            </w14:solidFill>
          </w14:textFill>
        </w:rPr>
        <w:t xml:space="preserve">苏采云系统</w:t>
      </w:r>
      <w:r>
        <w:rPr>
          <w:color w:val="000000" w:themeColor="text1"/>
          <w14:textFill>
            <w14:solidFill>
              <w14:schemeClr w14:val="tx1"/>
            </w14:solidFill>
          </w14:textFill>
        </w:rPr>
        <w:t xml:space="preserve">查阅、答复相关信息，并安排专人与采购中心及评标委员会联系。</w:t>
      </w:r>
      <w:r/>
    </w:p>
    <w:p>
      <w:pPr>
        <w:pStyle w:val="960"/>
        <w:ind w:firstLine="420"/>
        <w:spacing w:before="0" w:after="0" w:line="240" w:lineRule="auto"/>
        <w:rPr>
          <w:rFonts w:ascii="Times New Roman" w:hAnsi="Times New Roman"/>
          <w:b w:val="0"/>
          <w:bCs w:val="0"/>
          <w:color w:val="000000" w:themeColor="text1"/>
          <w14:textFill>
            <w14:solidFill>
              <w14:schemeClr w14:val="tx1"/>
            </w14:solidFill>
          </w14:textFill>
        </w:rPr>
      </w:pPr>
      <w:r>
        <w:rPr>
          <w:rFonts w:ascii="Times New Roman" w:hAnsi="Times New Roman"/>
          <w:b w:val="0"/>
          <w:bCs w:val="0"/>
          <w:color w:val="000000" w:themeColor="text1"/>
          <w14:textFill>
            <w14:solidFill>
              <w14:schemeClr w14:val="tx1"/>
            </w14:solidFill>
          </w14:textFill>
        </w:rPr>
        <w:t xml:space="preserve">26、</w:t>
      </w:r>
      <w:bookmarkEnd w:id="165"/>
      <w:r/>
      <w:bookmarkEnd w:id="166"/>
      <w:r/>
      <w:bookmarkEnd w:id="167"/>
      <w:r>
        <w:rPr>
          <w:rFonts w:ascii="Times New Roman" w:hAnsi="Times New Roman"/>
          <w:b w:val="0"/>
          <w:bCs w:val="0"/>
          <w:color w:val="000000" w:themeColor="text1"/>
          <w14:textFill>
            <w14:solidFill>
              <w14:schemeClr w14:val="tx1"/>
            </w14:solidFill>
          </w14:textFill>
        </w:rPr>
        <w:t xml:space="preserve">无效投标条款和废标条款</w:t>
      </w:r>
      <w:r/>
    </w:p>
    <w:p>
      <w:pPr>
        <w:ind w:left="547"/>
        <w:spacing w:line="440" w:lineRule="exact"/>
        <w:rPr>
          <w:bCs/>
          <w:color w:val="000000" w:themeColor="text1"/>
          <w14:textFill>
            <w14:solidFill>
              <w14:schemeClr w14:val="tx1"/>
            </w14:solidFill>
          </w14:textFill>
        </w:rPr>
      </w:pPr>
      <w:r/>
      <w:bookmarkStart w:id="168" w:name="_Toc16938551"/>
      <w:r/>
      <w:bookmarkStart w:id="169" w:name="_Toc513029235"/>
      <w:r/>
      <w:bookmarkStart w:id="170" w:name="_Toc20823307"/>
      <w:r>
        <w:rPr>
          <w:bCs/>
          <w:color w:val="000000" w:themeColor="text1"/>
          <w14:textFill>
            <w14:solidFill>
              <w14:schemeClr w14:val="tx1"/>
            </w14:solidFill>
          </w14:textFill>
        </w:rPr>
        <w:t xml:space="preserve">26.1无效投标条款</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26.1.1 投标人在苏采云系统规定的时间内未成功解密电子投标文件的。</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26.1.2 投标人未按照招标文件要求上传电子投标文件的。</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26.1.3 同一投标人提交两个（含两个）以上不同的投标报价的。</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26.1.4投标人不具备招标文件中规定资格要求的。</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26.1.5投标人的报价超过了采购预算或最高限价的。</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26.1.6未通过符合性审查的。</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26.1.7不符合招标文件中规定的实质性要求的（本招标文件中斜体且有下划线部分为实质性要求）。</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26.1.9 投标文件含有采购人不能接受的附加条件的。</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26.1.11 投标文件未按照招标文件要求加盖CA电子公章的。</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26.1.12其他法律、法规及本招标文件规定的属无效投标的情形。</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26.2废标条款</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26.2.1符合专业条件的供应商或者对招标文件作实质响应的供应商不足三家的。26.2.2出现影响采购公正的违法、违规行为的。</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26.2.3因重大变故，采购任务取消的。</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26.2.4评标委员会认定招标文件存在歧义、重大缺陷导致评审工作无法进行。</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26.2.5 因</w:t>
      </w:r>
      <w:r>
        <w:rPr>
          <w:color w:val="000000" w:themeColor="text1"/>
          <w:szCs w:val="24"/>
          <w14:textFill>
            <w14:solidFill>
              <w14:schemeClr w14:val="tx1"/>
            </w14:solidFill>
          </w14:textFill>
        </w:rPr>
        <w:t xml:space="preserve">苏采云系统</w:t>
      </w:r>
      <w:r>
        <w:rPr>
          <w:bCs/>
          <w:color w:val="000000" w:themeColor="text1"/>
          <w14:textFill>
            <w14:solidFill>
              <w14:schemeClr w14:val="tx1"/>
            </w14:solidFill>
          </w14:textFill>
        </w:rPr>
        <w:t xml:space="preserve">系统故障原因造成开标不成功的。</w:t>
      </w:r>
      <w:r/>
    </w:p>
    <w:p>
      <w:pPr>
        <w:ind w:left="547"/>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26.3 投标截止时间结束后参加投标的供应商不足三家的处理：</w:t>
      </w:r>
      <w:r/>
    </w:p>
    <w:p>
      <w:pPr>
        <w:ind w:firstLine="480"/>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9"/>
        <w:ind w:firstLine="482"/>
        <w:spacing w:before="145" w:after="145" w:line="360" w:lineRule="auto"/>
        <w:rPr>
          <w:color w:val="000000" w:themeColor="text1"/>
          <w14:textFill>
            <w14:solidFill>
              <w14:schemeClr w14:val="tx1"/>
            </w14:solidFill>
          </w14:textFill>
        </w:rPr>
      </w:pPr>
      <w:r/>
      <w:bookmarkStart w:id="171" w:name="_Toc120614219"/>
      <w:r>
        <w:rPr>
          <w:color w:val="000000" w:themeColor="text1"/>
          <w14:textFill>
            <w14:solidFill>
              <w14:schemeClr w14:val="tx1"/>
            </w14:solidFill>
          </w14:textFill>
        </w:rPr>
        <w:t xml:space="preserve">六、</w:t>
      </w:r>
      <w:bookmarkEnd w:id="168"/>
      <w:r/>
      <w:bookmarkEnd w:id="169"/>
      <w:r/>
      <w:bookmarkEnd w:id="170"/>
      <w:r>
        <w:rPr>
          <w:color w:val="000000" w:themeColor="text1"/>
          <w14:textFill>
            <w14:solidFill>
              <w14:schemeClr w14:val="tx1"/>
            </w14:solidFill>
          </w14:textFill>
        </w:rPr>
        <w:t xml:space="preserve">定标</w:t>
      </w:r>
      <w:bookmarkEnd w:id="171"/>
      <w:r/>
      <w:r/>
    </w:p>
    <w:p>
      <w:pPr>
        <w:pStyle w:val="960"/>
        <w:ind w:firstLine="600"/>
        <w:spacing w:before="0" w:after="0" w:line="240" w:lineRule="auto"/>
        <w:rPr>
          <w:rFonts w:ascii="Times New Roman" w:hAnsi="Times New Roman"/>
          <w:b w:val="0"/>
          <w:color w:val="000000" w:themeColor="text1"/>
          <w:sz w:val="30"/>
          <w:szCs w:val="30"/>
          <w14:textFill>
            <w14:solidFill>
              <w14:schemeClr w14:val="tx1"/>
            </w14:solidFill>
          </w14:textFill>
        </w:rPr>
      </w:pPr>
      <w:r/>
      <w:bookmarkStart w:id="172" w:name="_Toc513029238"/>
      <w:r/>
      <w:bookmarkStart w:id="173" w:name="_Toc20823310"/>
      <w:r/>
      <w:bookmarkStart w:id="174" w:name="_Toc16938554"/>
      <w:r>
        <w:rPr>
          <w:rFonts w:ascii="Times New Roman" w:hAnsi="Times New Roman"/>
          <w:b w:val="0"/>
          <w:color w:val="000000" w:themeColor="text1"/>
          <w:sz w:val="30"/>
          <w:szCs w:val="30"/>
          <w14:textFill>
            <w14:solidFill>
              <w14:schemeClr w14:val="tx1"/>
            </w14:solidFill>
          </w14:textFill>
        </w:rPr>
        <w:t xml:space="preserve">27、</w:t>
      </w:r>
      <w:bookmarkEnd w:id="172"/>
      <w:r>
        <w:rPr>
          <w:rFonts w:ascii="Times New Roman" w:hAnsi="Times New Roman"/>
          <w:b w:val="0"/>
          <w:color w:val="000000" w:themeColor="text1"/>
          <w:sz w:val="30"/>
          <w:szCs w:val="30"/>
          <w14:textFill>
            <w14:solidFill>
              <w14:schemeClr w14:val="tx1"/>
            </w14:solidFill>
          </w14:textFill>
        </w:rPr>
        <w:t xml:space="preserve">确定</w:t>
      </w:r>
      <w:bookmarkEnd w:id="173"/>
      <w:r/>
      <w:bookmarkEnd w:id="174"/>
      <w:r>
        <w:rPr>
          <w:rFonts w:ascii="Times New Roman" w:hAnsi="Times New Roman"/>
          <w:b w:val="0"/>
          <w:color w:val="000000" w:themeColor="text1"/>
          <w:sz w:val="30"/>
          <w:szCs w:val="30"/>
          <w14:textFill>
            <w14:solidFill>
              <w14:schemeClr w14:val="tx1"/>
            </w14:solidFill>
          </w14:textFill>
        </w:rPr>
        <w:t xml:space="preserve">中标单位</w:t>
      </w:r>
      <w:r/>
    </w:p>
    <w:p>
      <w:pPr>
        <w:ind w:firstLine="480"/>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27.1中标候选人的选取原则和数量见招标文件第五章规定。 </w:t>
      </w:r>
      <w:r/>
    </w:p>
    <w:p>
      <w:pPr>
        <w:ind w:firstLine="480"/>
        <w:spacing w:line="44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27.2 采购人应根据评委会推荐的中标候选人确定中标人。</w:t>
      </w:r>
      <w:r/>
    </w:p>
    <w:p>
      <w:pPr>
        <w:ind w:firstLine="480"/>
        <w:spacing w:line="480" w:lineRule="exact"/>
        <w:rPr>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27.3 </w:t>
      </w:r>
      <w:r>
        <w:rPr>
          <w:color w:val="000000" w:themeColor="text1"/>
          <w:szCs w:val="24"/>
          <w14:textFill>
            <w14:solidFill>
              <w14:schemeClr w14:val="tx1"/>
            </w14:solidFill>
          </w14:textFill>
        </w:rPr>
        <w:t xml:space="preserve">采购中心将在“江苏政府采购网”发布中标公告，公告期限为1个工作日。</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27.4  若有充分证据证明，中标人出现下列情况之一的，一经查实，将被取消中标资格：</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27.4.1提供虚假材料谋取中标的。</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27.4.2向采购人、采购中心行贿或者提供其他不正当利益的。</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27.4.3属于本文件规定的无效条件，但在评标过程中又未被评委会发现的。</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27.4.4与采购人或者其他供应商恶意串通的。</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27.4.5采取不正当手段诋毁、排挤其他供应商的。</w:t>
      </w:r>
      <w:r/>
    </w:p>
    <w:p>
      <w:pPr>
        <w:ind w:firstLine="480"/>
        <w:spacing w:line="480" w:lineRule="exact"/>
        <w:rPr>
          <w:color w:val="000000" w:themeColor="text1"/>
          <w:szCs w:val="24"/>
          <w14:textFill>
            <w14:solidFill>
              <w14:schemeClr w14:val="tx1"/>
            </w14:solidFill>
          </w14:textFill>
        </w:rPr>
      </w:pPr>
      <w:r/>
      <w:bookmarkStart w:id="175" w:name="_Toc200451960"/>
      <w:r>
        <w:rPr>
          <w:color w:val="000000" w:themeColor="text1"/>
          <w:szCs w:val="24"/>
          <w14:textFill>
            <w14:solidFill>
              <w14:schemeClr w14:val="tx1"/>
            </w14:solidFill>
          </w14:textFill>
        </w:rPr>
        <w:t xml:space="preserve">27.5 有下列情形之一的，视为投标人串通投标，投标无效：</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27.5.1不同投标人的投标文件由同一单位或者个人编制。</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27.5.2不同投标人委托同一单位或者个人办理投标事宜。</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27.5.3 不同投标人的投标文件载明的项目管理成员或者联系人员为同一人。</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27.5.4不同投标人的投标文件异常一致或者投标报价呈规律性差异。</w:t>
      </w:r>
      <w:r/>
    </w:p>
    <w:p>
      <w:pPr>
        <w:pStyle w:val="960"/>
        <w:ind w:firstLine="600"/>
        <w:spacing w:before="0" w:after="0" w:line="240" w:lineRule="auto"/>
        <w:rPr>
          <w:rFonts w:ascii="Times New Roman" w:hAnsi="Times New Roman"/>
          <w:b w:val="0"/>
          <w:color w:val="000000" w:themeColor="text1"/>
          <w:sz w:val="30"/>
          <w:szCs w:val="30"/>
          <w14:textFill>
            <w14:solidFill>
              <w14:schemeClr w14:val="tx1"/>
            </w14:solidFill>
          </w14:textFill>
        </w:rPr>
      </w:pPr>
      <w:r>
        <w:rPr>
          <w:rFonts w:ascii="Times New Roman" w:hAnsi="Times New Roman"/>
          <w:b w:val="0"/>
          <w:color w:val="000000" w:themeColor="text1"/>
          <w:sz w:val="30"/>
          <w:szCs w:val="30"/>
          <w14:textFill>
            <w14:solidFill>
              <w14:schemeClr w14:val="tx1"/>
            </w14:solidFill>
          </w14:textFill>
        </w:rPr>
        <w:t xml:space="preserve">28、质疑处理</w:t>
      </w:r>
      <w:bookmarkEnd w:id="175"/>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28.1 提出质疑的供应商应当是参与所质疑项目采购活动的供应商。潜在供应商依法获取其可质疑的采购文件的，可以对采购文件提出质疑。</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28.2.1对可以质疑的采购文件提出质疑的，为收到采购文件之日或者采购文件公告期限届满之日；</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28.2.2对采购过程提出质疑的，为各采购程序环节结束之日；</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28.2.3对中标或者成交结果提出质疑的，为中标或者成交结果公告期限届满之日。</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b/>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采购中心及采购人只接收以纸质原件形式送达的质疑，建议供应商尽量通过邮寄方式提交质疑（采购人和采购中心不接受无快递运单号的快递）。</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采购人质疑接收人及联系方式见招标文件第一章。</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28.5 以下情形的质疑不予受理</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28.5.1 内容不符合《政府采购质疑和投诉办法》第十二条规定的质疑。</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28.5.2 超出政府采购法定期限的质疑。</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28.5.3 以传真、电子邮件等方式递交的非原件形式的质疑。</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28.5.4 未参加投标活动的供应商或在投标活动中自身权益未受到损害的供应商所提出的质疑。</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60"/>
        <w:ind w:firstLine="600"/>
        <w:spacing w:before="0" w:after="0" w:line="240" w:lineRule="auto"/>
        <w:rPr>
          <w:rFonts w:ascii="Times New Roman" w:hAnsi="Times New Roman"/>
          <w:b w:val="0"/>
          <w:color w:val="000000" w:themeColor="text1"/>
          <w:sz w:val="30"/>
          <w:szCs w:val="30"/>
          <w14:textFill>
            <w14:solidFill>
              <w14:schemeClr w14:val="tx1"/>
            </w14:solidFill>
          </w14:textFill>
        </w:rPr>
      </w:pPr>
      <w:r>
        <w:rPr>
          <w:rFonts w:ascii="Times New Roman" w:hAnsi="Times New Roman"/>
          <w:b w:val="0"/>
          <w:color w:val="000000" w:themeColor="text1"/>
          <w:sz w:val="30"/>
          <w:szCs w:val="30"/>
          <w14:textFill>
            <w14:solidFill>
              <w14:schemeClr w14:val="tx1"/>
            </w14:solidFill>
          </w14:textFill>
        </w:rPr>
        <w:t xml:space="preserve">29、中标通知书</w:t>
      </w:r>
      <w:r/>
    </w:p>
    <w:p>
      <w:pPr>
        <w:ind w:firstLine="60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29.l</w:t>
      </w: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color w:val="000000" w:themeColor="text1"/>
          <w14:textFill>
            <w14:solidFill>
              <w14:schemeClr w14:val="tx1"/>
            </w14:solidFill>
          </w14:textFill>
        </w:rPr>
        <w:t xml:space="preserve">，</w:t>
      </w:r>
      <w:r>
        <w:rPr>
          <w:color w:val="000000" w:themeColor="text1"/>
          <w:szCs w:val="24"/>
          <w14:textFill>
            <w14:solidFill>
              <w14:schemeClr w14:val="tx1"/>
            </w14:solidFill>
          </w14:textFill>
        </w:rPr>
        <w:t xml:space="preserve">因未及时下载而造成的不利后果由中标人自行承担。</w:t>
      </w:r>
      <w:r/>
    </w:p>
    <w:p>
      <w:pPr>
        <w:ind w:firstLine="60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pStyle w:val="959"/>
        <w:spacing w:before="145" w:after="145" w:line="360" w:lineRule="auto"/>
        <w:rPr>
          <w:color w:val="000000" w:themeColor="text1"/>
          <w14:textFill>
            <w14:solidFill>
              <w14:schemeClr w14:val="tx1"/>
            </w14:solidFill>
          </w14:textFill>
        </w:rPr>
      </w:pPr>
      <w:r/>
      <w:bookmarkStart w:id="176" w:name="_Toc120614220"/>
      <w:r/>
      <w:bookmarkStart w:id="177" w:name="_Toc20823308"/>
      <w:r/>
      <w:bookmarkStart w:id="178" w:name="_Toc513029236"/>
      <w:r/>
      <w:bookmarkStart w:id="179" w:name="_Toc16938552"/>
      <w:r>
        <w:rPr>
          <w:color w:val="000000" w:themeColor="text1"/>
          <w14:textFill>
            <w14:solidFill>
              <w14:schemeClr w14:val="tx1"/>
            </w14:solidFill>
          </w14:textFill>
        </w:rPr>
        <w:t xml:space="preserve">七、授予合同</w:t>
      </w:r>
      <w:bookmarkEnd w:id="176"/>
      <w:r/>
      <w:bookmarkEnd w:id="177"/>
      <w:r/>
      <w:bookmarkEnd w:id="178"/>
      <w:r/>
      <w:bookmarkEnd w:id="179"/>
      <w:r/>
      <w:r/>
    </w:p>
    <w:p>
      <w:pPr>
        <w:pStyle w:val="960"/>
        <w:ind w:firstLine="600"/>
        <w:spacing w:before="0" w:after="0" w:line="240" w:lineRule="auto"/>
        <w:rPr>
          <w:rFonts w:ascii="Times New Roman" w:hAnsi="Times New Roman"/>
          <w:b w:val="0"/>
          <w:color w:val="000000" w:themeColor="text1"/>
          <w:sz w:val="30"/>
          <w:szCs w:val="30"/>
          <w14:textFill>
            <w14:solidFill>
              <w14:schemeClr w14:val="tx1"/>
            </w14:solidFill>
          </w14:textFill>
        </w:rPr>
      </w:pPr>
      <w:r/>
      <w:bookmarkStart w:id="180" w:name="_Toc513029237"/>
      <w:r/>
      <w:bookmarkStart w:id="181" w:name="_Toc16938553"/>
      <w:r/>
      <w:bookmarkStart w:id="182" w:name="_Toc20823309"/>
      <w:r>
        <w:rPr>
          <w:rFonts w:ascii="Times New Roman" w:hAnsi="Times New Roman"/>
          <w:b w:val="0"/>
          <w:color w:val="000000" w:themeColor="text1"/>
          <w:sz w:val="30"/>
          <w:szCs w:val="30"/>
          <w14:textFill>
            <w14:solidFill>
              <w14:schemeClr w14:val="tx1"/>
            </w14:solidFill>
          </w14:textFill>
        </w:rPr>
        <w:t xml:space="preserve">30. 签订合同</w:t>
      </w:r>
      <w:r/>
    </w:p>
    <w:p>
      <w:pPr>
        <w:ind w:firstLine="600"/>
        <w:spacing w:line="480" w:lineRule="exact"/>
        <w:rPr>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30</w:t>
      </w:r>
      <w:r>
        <w:rPr>
          <w:color w:val="000000" w:themeColor="text1"/>
          <w:szCs w:val="24"/>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30.2</w:t>
      </w: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 xml:space="preserve">招标文件、中标人的投标文件及招标过程中有关澄清、承诺文件均应作为合同附件。</w:t>
      </w:r>
      <w:r/>
    </w:p>
    <w:p>
      <w:pPr>
        <w:ind w:firstLine="60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960"/>
        <w:ind w:firstLine="600"/>
        <w:spacing w:before="0" w:after="0" w:line="240" w:lineRule="auto"/>
        <w:rPr>
          <w:rFonts w:ascii="Times New Roman" w:hAnsi="Times New Roman"/>
          <w:b w:val="0"/>
          <w:color w:val="000000" w:themeColor="text1"/>
          <w:sz w:val="30"/>
          <w:szCs w:val="30"/>
          <w14:textFill>
            <w14:solidFill>
              <w14:schemeClr w14:val="tx1"/>
            </w14:solidFill>
          </w14:textFill>
        </w:rPr>
      </w:pPr>
      <w:r>
        <w:rPr>
          <w:rFonts w:ascii="Times New Roman" w:hAnsi="Times New Roman"/>
          <w:b w:val="0"/>
          <w:color w:val="000000" w:themeColor="text1"/>
          <w:sz w:val="30"/>
          <w:szCs w:val="30"/>
          <w14:textFill>
            <w14:solidFill>
              <w14:schemeClr w14:val="tx1"/>
            </w14:solidFill>
          </w14:textFill>
        </w:rPr>
        <w:t xml:space="preserve">31、服务（包含与服务相关的货物）的追加</w:t>
      </w:r>
      <w:r/>
    </w:p>
    <w:p>
      <w:pPr>
        <w:ind w:firstLine="480"/>
        <w:spacing w:line="48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0"/>
      <w:r/>
      <w:bookmarkEnd w:id="181"/>
      <w:r/>
      <w:bookmarkEnd w:id="182"/>
      <w:r/>
      <w:r/>
    </w:p>
    <w:p>
      <w:pPr>
        <w:pStyle w:val="960"/>
        <w:ind w:firstLine="600"/>
        <w:spacing w:before="0" w:after="0" w:line="240" w:lineRule="auto"/>
        <w:rPr>
          <w:rFonts w:ascii="Times New Roman" w:hAnsi="Times New Roman"/>
          <w:b w:val="0"/>
          <w:color w:val="000000" w:themeColor="text1"/>
          <w:sz w:val="30"/>
          <w:szCs w:val="30"/>
          <w14:textFill>
            <w14:solidFill>
              <w14:schemeClr w14:val="tx1"/>
            </w14:solidFill>
          </w14:textFill>
        </w:rPr>
      </w:pPr>
      <w:r>
        <w:rPr>
          <w:rFonts w:ascii="Times New Roman" w:hAnsi="Times New Roman"/>
          <w:b w:val="0"/>
          <w:color w:val="000000" w:themeColor="text1"/>
          <w:sz w:val="30"/>
          <w:szCs w:val="30"/>
          <w14:textFill>
            <w14:solidFill>
              <w14:schemeClr w14:val="tx1"/>
            </w14:solidFill>
          </w14:textFill>
        </w:rPr>
        <w:t xml:space="preserve">32、政府采购履约资金扶持政策</w:t>
      </w:r>
      <w:r/>
    </w:p>
    <w:p>
      <w:pPr>
        <w:pStyle w:val="969"/>
        <w:rPr>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 xml:space="preserve">中标人可凭政府采购合同办理融资贷款，详情请见江苏政府采购网“政采贷”专栏。</w:t>
      </w:r>
      <w:r/>
    </w:p>
    <w:p>
      <w:pPr>
        <w:pStyle w:val="969"/>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57"/>
        <w:jc w:val="both"/>
        <w:rPr>
          <w:rFonts w:ascii="Times New Roman" w:eastAsia="黑体"/>
          <w:bCs/>
          <w:color w:val="000000" w:themeColor="text1"/>
          <w:sz w:val="44"/>
          <w14:textFill>
            <w14:solidFill>
              <w14:schemeClr w14:val="tx1"/>
            </w14:solidFill>
          </w14:textFill>
        </w:rPr>
        <w:sectPr>
          <w:footerReference w:type="first" r:id="rId14"/>
          <w:footnotePr/>
          <w:endnotePr/>
          <w:type w:val="nextPage"/>
          <w:pgSz w:w="11906" w:h="16838" w:orient="portrait"/>
          <w:pgMar w:top="1418" w:right="1588" w:bottom="1418" w:left="1365" w:header="851" w:footer="907" w:gutter="0"/>
          <w:cols w:num="1" w:sep="0" w:space="720" w:equalWidth="1"/>
          <w:docGrid w:linePitch="360"/>
          <w:titlePg/>
        </w:sectPr>
      </w:pPr>
      <w:r>
        <w:rPr>
          <w:rFonts w:ascii="Times New Roman" w:eastAsia="黑体"/>
          <w:bCs/>
          <w:color w:val="000000" w:themeColor="text1"/>
          <w:sz w:val="44"/>
          <w14:textFill>
            <w14:solidFill>
              <w14:schemeClr w14:val="tx1"/>
            </w14:solidFill>
          </w14:textFill>
        </w:rPr>
      </w:r>
      <w:r/>
    </w:p>
    <w:p>
      <w:pPr>
        <w:pStyle w:val="957"/>
        <w:rPr>
          <w:rFonts w:ascii="Times New Roman" w:eastAsia="黑体"/>
          <w:bCs/>
          <w:color w:val="000000" w:themeColor="text1"/>
          <w:sz w:val="44"/>
          <w14:textFill>
            <w14:solidFill>
              <w14:schemeClr w14:val="tx1"/>
            </w14:solidFill>
          </w14:textFill>
        </w:rPr>
      </w:pPr>
      <w:r>
        <w:rPr>
          <w:rFonts w:ascii="Times New Roman" w:eastAsia="黑体"/>
          <w:bCs/>
          <w:color w:val="000000" w:themeColor="text1"/>
          <w:sz w:val="44"/>
          <w14:textFill>
            <w14:solidFill>
              <w14:schemeClr w14:val="tx1"/>
            </w14:solidFill>
          </w14:textFill>
        </w:rPr>
        <w:t xml:space="preserve">第三章  合同</w:t>
      </w:r>
      <w:bookmarkEnd w:id="0"/>
      <w:r/>
      <w:bookmarkEnd w:id="1"/>
      <w:r/>
      <w:bookmarkEnd w:id="2"/>
      <w:r/>
      <w:bookmarkEnd w:id="3"/>
      <w:r/>
      <w:bookmarkEnd w:id="4"/>
      <w:r>
        <w:rPr>
          <w:rFonts w:ascii="Times New Roman" w:eastAsia="黑体"/>
          <w:bCs/>
          <w:color w:val="000000" w:themeColor="text1"/>
          <w:sz w:val="44"/>
          <w14:textFill>
            <w14:solidFill>
              <w14:schemeClr w14:val="tx1"/>
            </w14:solidFill>
          </w14:textFill>
        </w:rPr>
        <w:t xml:space="preserve">文本</w:t>
      </w:r>
      <w:r/>
    </w:p>
    <w:p>
      <w:pPr>
        <w:contextualSpacing/>
        <w:ind w:firstLine="480"/>
        <w:spacing w:before="326" w:line="360" w:lineRule="auto"/>
        <w:tabs>
          <w:tab w:val="left" w:pos="900" w:leader="none"/>
        </w:tabs>
        <w:rPr>
          <w:color w:val="000000" w:themeColor="text1"/>
          <w14:textFill>
            <w14:solidFill>
              <w14:schemeClr w14:val="tx1"/>
            </w14:solidFill>
          </w14:textFill>
        </w:rPr>
      </w:pPr>
      <w:r/>
      <w:bookmarkStart w:id="183" w:name="_Toc16938559"/>
      <w:r/>
      <w:bookmarkStart w:id="184" w:name="_Toc20823315"/>
      <w:r/>
      <w:bookmarkStart w:id="185" w:name="_Toc513029243"/>
      <w:r>
        <w:rPr>
          <w:color w:val="000000" w:themeColor="text1"/>
          <w14:textFill>
            <w14:solidFill>
              <w14:schemeClr w14:val="tx1"/>
            </w14:solidFill>
          </w14:textFill>
        </w:rPr>
        <w:t xml:space="preserve">以下为中标后签定本项目合同的通用条款，中标人不得提出实质性的修改，关于专用条款将由采购人与中标人结合本项目具体情况协商后签订。</w:t>
      </w:r>
      <w:r/>
    </w:p>
    <w:p>
      <w:pPr>
        <w:jc w:val="center"/>
        <w:spacing w:before="163" w:after="163"/>
        <w:rPr>
          <w:b/>
          <w:color w:val="000000" w:themeColor="text1"/>
          <w:sz w:val="30"/>
          <w14:textFill>
            <w14:solidFill>
              <w14:schemeClr w14:val="tx1"/>
            </w14:solidFill>
          </w14:textFill>
        </w:rPr>
      </w:pPr>
      <w:r>
        <w:rPr>
          <w:b/>
          <w:color w:val="000000" w:themeColor="text1"/>
          <w:sz w:val="30"/>
          <w14:textFill>
            <w14:solidFill>
              <w14:schemeClr w14:val="tx1"/>
            </w14:solidFill>
          </w14:textFill>
        </w:rPr>
      </w:r>
      <w:r/>
    </w:p>
    <w:p>
      <w:pPr>
        <w:jc w:val="center"/>
        <w:spacing w:before="163" w:after="163"/>
        <w:rPr>
          <w:b/>
          <w:bCs/>
          <w:color w:val="000000" w:themeColor="text1"/>
          <w:sz w:val="30"/>
          <w:szCs w:val="20"/>
          <w14:textFill>
            <w14:solidFill>
              <w14:schemeClr w14:val="tx1"/>
            </w14:solidFill>
          </w14:textFill>
        </w:rPr>
      </w:pPr>
      <w:r>
        <w:rPr>
          <w:b/>
          <w:color w:val="000000" w:themeColor="text1"/>
          <w:sz w:val="30"/>
          <w14:textFill>
            <w14:solidFill>
              <w14:schemeClr w14:val="tx1"/>
            </w14:solidFill>
          </w14:textFill>
        </w:rPr>
        <w:t xml:space="preserve">江苏省政府采购合同（服务）（合同编号）</w:t>
      </w:r>
      <w:r/>
    </w:p>
    <w:p>
      <w:pPr>
        <w:pStyle w:val="978"/>
        <w:spacing w:before="120" w:after="120"/>
        <w:rPr>
          <w:rFonts w:ascii="Times New Roman"/>
          <w:color w:val="000000" w:themeColor="text1"/>
          <w:sz w:val="24"/>
          <w:szCs w:val="24"/>
          <w14:textFill>
            <w14:solidFill>
              <w14:schemeClr w14:val="tx1"/>
            </w14:solidFill>
          </w14:textFill>
        </w:rPr>
      </w:pPr>
      <w:r>
        <w:rPr>
          <w:rFonts w:hint="eastAsia" w:ascii="Times New Roman"/>
          <w:color w:val="000000" w:themeColor="text1"/>
          <w:sz w:val="24"/>
          <w:szCs w:val="24"/>
          <w14:textFill>
            <w14:solidFill>
              <w14:schemeClr w14:val="tx1"/>
            </w14:solidFill>
          </w14:textFill>
        </w:rPr>
        <w:t xml:space="preserve">项目名称：江苏省人民政府国有资产监督管理委员会2024年度信息化运维服务项目                 </w:t>
      </w:r>
      <w:r/>
    </w:p>
    <w:p>
      <w:pPr>
        <w:pStyle w:val="978"/>
        <w:spacing w:before="120" w:after="120"/>
        <w:rPr>
          <w:rFonts w:ascii="Times New Roman"/>
          <w:color w:val="000000" w:themeColor="text1"/>
          <w:sz w:val="24"/>
          <w:szCs w:val="24"/>
          <w14:textFill>
            <w14:solidFill>
              <w14:schemeClr w14:val="tx1"/>
            </w14:solidFill>
          </w14:textFill>
        </w:rPr>
      </w:pPr>
      <w:r>
        <w:rPr>
          <w:rFonts w:hint="eastAsia" w:ascii="Times New Roman"/>
          <w:color w:val="000000" w:themeColor="text1"/>
          <w:sz w:val="24"/>
          <w:szCs w:val="24"/>
          <w14:textFill>
            <w14:solidFill>
              <w14:schemeClr w14:val="tx1"/>
            </w14:solidFill>
          </w14:textFill>
        </w:rPr>
        <w:t xml:space="preserve">项目编号： </w:t>
      </w:r>
      <w:r>
        <w:rPr>
          <w:rFonts w:ascii="Times New Roman"/>
          <w:color w:val="000000" w:themeColor="text1"/>
          <w:sz w:val="24"/>
          <w:szCs w:val="24"/>
          <w14:textFill>
            <w14:solidFill>
              <w14:schemeClr w14:val="tx1"/>
            </w14:solidFill>
          </w14:textFill>
        </w:rPr>
        <w:t xml:space="preserve"> JSZC-320000-SCZX-G2024-0336</w:t>
      </w:r>
      <w:r/>
    </w:p>
    <w:p>
      <w:pPr>
        <w:pStyle w:val="978"/>
        <w:spacing w:before="120" w:after="120"/>
        <w:rPr>
          <w:rFonts w:ascii="Times New Roman"/>
          <w:color w:val="000000" w:themeColor="text1"/>
          <w:sz w:val="24"/>
          <w:szCs w:val="24"/>
          <w14:textFill>
            <w14:solidFill>
              <w14:schemeClr w14:val="tx1"/>
            </w14:solidFill>
          </w14:textFill>
        </w:rPr>
      </w:pPr>
      <w:r>
        <w:rPr>
          <w:rFonts w:hint="eastAsia" w:ascii="Times New Roman"/>
          <w:color w:val="000000" w:themeColor="text1"/>
          <w:sz w:val="24"/>
          <w:szCs w:val="24"/>
          <w14:textFill>
            <w14:solidFill>
              <w14:schemeClr w14:val="tx1"/>
            </w14:solidFill>
          </w14:textFill>
        </w:rPr>
        <w:t xml:space="preserve">甲方：（买方）江苏省人民政府国有资产监督管理委员会</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乙方：（卖方）                        </w:t>
      </w:r>
      <w:r/>
    </w:p>
    <w:p>
      <w:pPr>
        <w:pStyle w:val="978"/>
        <w:spacing w:before="120" w:after="120"/>
        <w:rPr>
          <w:rFonts w:ascii="Times New Roman"/>
          <w:b/>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   甲、乙双方根据江苏省政府采购中心</w:t>
      </w:r>
      <w:r>
        <w:rPr>
          <w:rFonts w:hint="eastAsia" w:ascii="Times New Roman"/>
          <w:color w:val="000000" w:themeColor="text1"/>
          <w:sz w:val="24"/>
          <w:szCs w:val="24"/>
          <w14:textFill>
            <w14:solidFill>
              <w14:schemeClr w14:val="tx1"/>
            </w14:solidFill>
          </w14:textFill>
        </w:rPr>
        <w:t xml:space="preserve">2024年江苏省市场监管局登记注册系统项目</w:t>
      </w:r>
      <w:r>
        <w:rPr>
          <w:rFonts w:ascii="Times New Roman"/>
          <w:color w:val="000000" w:themeColor="text1"/>
          <w:sz w:val="24"/>
          <w:szCs w:val="24"/>
          <w14:textFill>
            <w14:solidFill>
              <w14:schemeClr w14:val="tx1"/>
            </w14:solidFill>
          </w14:textFill>
        </w:rPr>
        <w:t xml:space="preserve">公开招标的结果，签署本合同。</w:t>
      </w:r>
      <w:r/>
    </w:p>
    <w:p>
      <w:pPr>
        <w:pStyle w:val="978"/>
        <w:spacing w:before="120" w:after="120"/>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t xml:space="preserve">一、合同内容</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1.1 服务内容：</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r>
      <w:r/>
    </w:p>
    <w:p>
      <w:pPr>
        <w:pStyle w:val="978"/>
        <w:spacing w:before="120" w:after="120"/>
        <w:rPr>
          <w:rFonts w:ascii="Times New Roman"/>
          <w:color w:val="000000" w:themeColor="text1"/>
          <w:sz w:val="24"/>
          <w:szCs w:val="24"/>
          <w:u w:val="single"/>
          <w14:textFill>
            <w14:solidFill>
              <w14:schemeClr w14:val="tx1"/>
            </w14:solidFill>
          </w14:textFill>
        </w:rPr>
      </w:pPr>
      <w:r>
        <w:rPr>
          <w:rFonts w:ascii="Times New Roman"/>
          <w:color w:val="000000" w:themeColor="text1"/>
          <w:sz w:val="24"/>
          <w:szCs w:val="24"/>
          <w14:textFill>
            <w14:solidFill>
              <w14:schemeClr w14:val="tx1"/>
            </w14:solidFill>
          </w14:textFill>
        </w:rPr>
        <w:t xml:space="preserve">1.2服务期限：</w:t>
      </w:r>
      <w:r>
        <w:rPr>
          <w:rFonts w:ascii="Times New Roman"/>
          <w:color w:val="000000" w:themeColor="text1"/>
          <w:sz w:val="24"/>
          <w:szCs w:val="24"/>
          <w:u w:val="single"/>
          <w14:textFill>
            <w14:solidFill>
              <w14:schemeClr w14:val="tx1"/>
            </w14:solidFill>
          </w14:textFill>
        </w:rPr>
        <w:t xml:space="preserve">自合同签订之日起至 </w:t>
      </w:r>
      <w:r>
        <w:rPr>
          <w:rFonts w:hint="eastAsia" w:ascii="Times New Roman"/>
          <w:color w:val="000000" w:themeColor="text1"/>
          <w:sz w:val="24"/>
          <w:szCs w:val="24"/>
          <w:u w:val="single"/>
          <w14:textFill>
            <w14:solidFill>
              <w14:schemeClr w14:val="tx1"/>
            </w14:solidFill>
          </w14:textFill>
        </w:rPr>
        <w:t xml:space="preserve">年</w:t>
      </w:r>
      <w:r>
        <w:rPr>
          <w:rFonts w:ascii="Times New Roman"/>
          <w:color w:val="000000" w:themeColor="text1"/>
          <w:sz w:val="24"/>
          <w:szCs w:val="24"/>
          <w:u w:val="single"/>
          <w14:textFill>
            <w14:solidFill>
              <w14:schemeClr w14:val="tx1"/>
            </w14:solidFill>
          </w14:textFill>
        </w:rPr>
        <w:t xml:space="preserve"> </w:t>
      </w:r>
      <w:r>
        <w:rPr>
          <w:rFonts w:hint="eastAsia" w:ascii="Times New Roman"/>
          <w:color w:val="000000" w:themeColor="text1"/>
          <w:sz w:val="24"/>
          <w:szCs w:val="24"/>
          <w:u w:val="single"/>
          <w14:textFill>
            <w14:solidFill>
              <w14:schemeClr w14:val="tx1"/>
            </w14:solidFill>
          </w14:textFill>
        </w:rPr>
        <w:t xml:space="preserve">月</w:t>
      </w:r>
      <w:r>
        <w:rPr>
          <w:rFonts w:ascii="Times New Roman"/>
          <w:color w:val="000000" w:themeColor="text1"/>
          <w:sz w:val="24"/>
          <w:szCs w:val="24"/>
          <w:u w:val="single"/>
          <w14:textFill>
            <w14:solidFill>
              <w14:schemeClr w14:val="tx1"/>
            </w14:solidFill>
          </w14:textFill>
        </w:rPr>
        <w:t xml:space="preserve"> </w:t>
      </w:r>
      <w:r>
        <w:rPr>
          <w:rFonts w:hint="eastAsia" w:ascii="Times New Roman"/>
          <w:color w:val="000000" w:themeColor="text1"/>
          <w:sz w:val="24"/>
          <w:szCs w:val="24"/>
          <w:u w:val="single"/>
          <w14:textFill>
            <w14:solidFill>
              <w14:schemeClr w14:val="tx1"/>
            </w14:solidFill>
          </w14:textFill>
        </w:rPr>
        <w:t xml:space="preserve">日</w:t>
      </w:r>
      <w:r>
        <w:rPr>
          <w:rFonts w:ascii="Times New Roman"/>
          <w:color w:val="000000" w:themeColor="text1"/>
          <w:sz w:val="24"/>
          <w:szCs w:val="24"/>
          <w:u w:val="single"/>
          <w14:textFill>
            <w14:solidFill>
              <w14:schemeClr w14:val="tx1"/>
            </w14:solidFill>
          </w14:textFill>
        </w:rPr>
        <w:t xml:space="preserve">。</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1.3补充条款：</w:t>
      </w:r>
      <w:r>
        <w:rPr>
          <w:rFonts w:ascii="Times New Roman"/>
          <w:color w:val="000000" w:themeColor="text1"/>
          <w:sz w:val="24"/>
          <w:szCs w:val="24"/>
          <w:u w:val="single"/>
          <w14:textFill>
            <w14:solidFill>
              <w14:schemeClr w14:val="tx1"/>
            </w14:solidFill>
          </w14:textFill>
        </w:rPr>
        <w:t xml:space="preserve">无</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1.4 下列文件均为本合同的组成部分：</w:t>
      </w:r>
      <w:r/>
    </w:p>
    <w:p>
      <w:pPr>
        <w:pStyle w:val="978"/>
        <w:numPr>
          <w:ilvl w:val="0"/>
          <w:numId w:val="5"/>
        </w:numPr>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招标文件；</w:t>
      </w:r>
      <w:r/>
    </w:p>
    <w:p>
      <w:pPr>
        <w:pStyle w:val="978"/>
        <w:numPr>
          <w:ilvl w:val="0"/>
          <w:numId w:val="5"/>
        </w:numPr>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投标文件；</w:t>
      </w:r>
      <w:r/>
    </w:p>
    <w:p>
      <w:pPr>
        <w:pStyle w:val="978"/>
        <w:numPr>
          <w:ilvl w:val="0"/>
          <w:numId w:val="5"/>
        </w:numPr>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中标通知书；</w:t>
      </w:r>
      <w:r/>
    </w:p>
    <w:p>
      <w:pPr>
        <w:pStyle w:val="978"/>
        <w:numPr>
          <w:ilvl w:val="0"/>
          <w:numId w:val="5"/>
        </w:numPr>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与合同有关的其它资料；</w:t>
      </w:r>
      <w:r/>
    </w:p>
    <w:p>
      <w:pPr>
        <w:pStyle w:val="978"/>
        <w:numPr>
          <w:ilvl w:val="0"/>
          <w:numId w:val="5"/>
        </w:numPr>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专用条款。            </w:t>
      </w:r>
      <w:r/>
    </w:p>
    <w:p>
      <w:pPr>
        <w:pStyle w:val="978"/>
        <w:spacing w:before="120" w:after="120"/>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t xml:space="preserve">二、合同金额</w:t>
      </w:r>
      <w:r/>
    </w:p>
    <w:p>
      <w:pPr>
        <w:pStyle w:val="978"/>
        <w:ind w:left="410" w:hanging="41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2.1 本合同金额为（大写）：________圆（________元）人民币或其他币种。</w:t>
      </w:r>
      <w:r/>
    </w:p>
    <w:p>
      <w:pPr>
        <w:pStyle w:val="978"/>
        <w:spacing w:before="120" w:after="120"/>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t xml:space="preserve">三、技术资料</w:t>
      </w:r>
      <w:r/>
    </w:p>
    <w:p>
      <w:pPr>
        <w:pStyle w:val="978"/>
        <w:ind w:left="410" w:hanging="41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3.1乙方应按招标文件规定的时间向甲方提供服务（包含与服务相关的货物）的有关技术资料。</w:t>
      </w:r>
      <w:r/>
    </w:p>
    <w:p>
      <w:pPr>
        <w:pStyle w:val="978"/>
        <w:ind w:left="410" w:hanging="41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8"/>
        <w:ind w:left="412" w:hanging="412"/>
        <w:spacing w:before="120" w:after="120"/>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t xml:space="preserve">四、知识产权</w:t>
      </w:r>
      <w:r/>
    </w:p>
    <w:p>
      <w:pPr>
        <w:pStyle w:val="978"/>
        <w:ind w:left="408" w:hanging="40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78"/>
        <w:spacing w:before="120" w:after="120"/>
        <w:rPr>
          <w:rFonts w:ascii="Times New Roman"/>
          <w:color w:val="000000" w:themeColor="text1"/>
          <w:sz w:val="24"/>
          <w:szCs w:val="24"/>
          <w:u w:val="single"/>
          <w14:textFill>
            <w14:solidFill>
              <w14:schemeClr w14:val="tx1"/>
            </w14:solidFill>
          </w14:textFill>
        </w:rPr>
      </w:pPr>
      <w:r>
        <w:rPr>
          <w:rFonts w:ascii="Times New Roman"/>
          <w:b/>
          <w:color w:val="000000" w:themeColor="text1"/>
          <w:sz w:val="24"/>
          <w:szCs w:val="24"/>
          <w14:textFill>
            <w14:solidFill>
              <w14:schemeClr w14:val="tx1"/>
            </w14:solidFill>
          </w14:textFill>
        </w:rPr>
        <w:t xml:space="preserve">五、产权担保</w:t>
      </w:r>
      <w:r/>
    </w:p>
    <w:p>
      <w:pPr>
        <w:pStyle w:val="978"/>
        <w:ind w:left="408" w:hanging="408"/>
        <w:spacing w:before="120" w:after="120"/>
        <w:rPr>
          <w:rFonts w:ascii="Times New Roman"/>
          <w:color w:val="000000" w:themeColor="text1"/>
          <w:sz w:val="24"/>
          <w:szCs w:val="24"/>
          <w:u w:val="single"/>
          <w14:textFill>
            <w14:solidFill>
              <w14:schemeClr w14:val="tx1"/>
            </w14:solidFill>
          </w14:textFill>
        </w:rPr>
      </w:pPr>
      <w:r>
        <w:rPr>
          <w:rFonts w:ascii="Times New Roman"/>
          <w:color w:val="000000" w:themeColor="text1"/>
          <w:sz w:val="24"/>
          <w:szCs w:val="24"/>
          <w14:textFill>
            <w14:solidFill>
              <w14:schemeClr w14:val="tx1"/>
            </w14:solidFill>
          </w14:textFill>
        </w:rPr>
        <w:t xml:space="preserve">5.1 乙方保证所交付的服务（包含与服务相关的货物）的所有权完全属于乙方且无任何抵押、查封等产权瑕疵。</w:t>
      </w:r>
      <w:r/>
    </w:p>
    <w:p>
      <w:pPr>
        <w:pStyle w:val="978"/>
        <w:numPr>
          <w:ilvl w:val="0"/>
          <w:numId w:val="6"/>
        </w:numPr>
        <w:ind w:left="410" w:hanging="410"/>
        <w:spacing w:before="120" w:after="120"/>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t xml:space="preserve">履约承诺</w:t>
      </w:r>
      <w:r/>
    </w:p>
    <w:p>
      <w:pPr>
        <w:spacing w:before="163" w:after="163"/>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6.1履约保证金：本项目不收取履约保证金。</w:t>
      </w:r>
      <w:r/>
    </w:p>
    <w:p>
      <w:pPr>
        <w:spacing w:before="163" w:after="163"/>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6.2履约承诺：乙方遵循甲方的技术指导和调配，接受甲方对代码编写的规范和管理，并以科学方法进行实施。</w:t>
      </w:r>
      <w:r/>
    </w:p>
    <w:p>
      <w:pPr>
        <w:spacing w:before="163" w:after="163"/>
        <w:rPr>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七、合同转包或分包</w:t>
      </w:r>
      <w:r/>
    </w:p>
    <w:p>
      <w:pPr>
        <w:spacing w:before="163" w:after="163"/>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7.1乙方不得将合同标的转包给他人履行。</w:t>
      </w:r>
      <w:r/>
    </w:p>
    <w:p>
      <w:pPr>
        <w:spacing w:before="163" w:after="163"/>
        <w:rPr>
          <w:rFonts w:eastAsia="仿宋_GB2312"/>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八、交付方式及交付地点</w:t>
      </w:r>
      <w:r/>
    </w:p>
    <w:p>
      <w:pPr>
        <w:spacing w:before="163" w:after="163"/>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8.1 交付方式：</w:t>
      </w:r>
      <w:r>
        <w:rPr>
          <w:color w:val="000000" w:themeColor="text1"/>
          <w:szCs w:val="24"/>
          <w:u w:val="single"/>
          <w14:textFill>
            <w14:solidFill>
              <w14:schemeClr w14:val="tx1"/>
            </w14:solidFill>
          </w14:textFill>
        </w:rPr>
        <w:t xml:space="preserve">专用条款中指定方式</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8.2 交付地点：</w:t>
      </w:r>
      <w:r>
        <w:rPr>
          <w:rFonts w:hint="eastAsia" w:hAnsi="宋体"/>
          <w:color w:val="000000" w:themeColor="text1"/>
          <w:sz w:val="24"/>
          <w:szCs w:val="24"/>
          <w:u w:val="single"/>
          <w14:textFill>
            <w14:solidFill>
              <w14:schemeClr w14:val="tx1"/>
            </w14:solidFill>
          </w14:textFill>
        </w:rPr>
        <w:t xml:space="preserve">南京市鼓楼区苏粮国际大厦</w:t>
      </w:r>
      <w:r/>
    </w:p>
    <w:p>
      <w:pPr>
        <w:pStyle w:val="978"/>
        <w:spacing w:before="120" w:after="120"/>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t xml:space="preserve">九、合同款项支付</w:t>
      </w:r>
      <w:r/>
    </w:p>
    <w:p>
      <w:pPr>
        <w:pStyle w:val="978"/>
        <w:ind w:firstLine="42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本合同项目款总计人民币：      元整（¥        元整），分</w:t>
      </w:r>
      <w:r>
        <w:rPr>
          <w:rFonts w:hint="eastAsia" w:ascii="Times New Roman"/>
          <w:color w:val="000000" w:themeColor="text1"/>
          <w:sz w:val="24"/>
          <w:szCs w:val="24"/>
          <w14:textFill>
            <w14:solidFill>
              <w14:schemeClr w14:val="tx1"/>
            </w14:solidFill>
          </w14:textFill>
        </w:rPr>
        <w:t xml:space="preserve">两</w:t>
      </w:r>
      <w:r>
        <w:rPr>
          <w:rFonts w:ascii="Times New Roman"/>
          <w:color w:val="000000" w:themeColor="text1"/>
          <w:sz w:val="24"/>
          <w:szCs w:val="24"/>
          <w14:textFill>
            <w14:solidFill>
              <w14:schemeClr w14:val="tx1"/>
            </w14:solidFill>
          </w14:textFill>
        </w:rPr>
        <w:t xml:space="preserve">次支付：</w:t>
      </w:r>
      <w:r/>
    </w:p>
    <w:p>
      <w:pPr>
        <w:pStyle w:val="978"/>
        <w:ind w:firstLine="48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第一期付款：签订合同后，乙方向甲方开具符合国家规定的发票，甲方</w:t>
      </w:r>
      <w:r>
        <w:rPr>
          <w:rFonts w:hint="eastAsia" w:ascii="Times New Roman"/>
          <w:color w:val="000000" w:themeColor="text1"/>
          <w:sz w:val="24"/>
          <w:szCs w:val="24"/>
          <w14:textFill>
            <w14:solidFill>
              <w14:schemeClr w14:val="tx1"/>
            </w14:solidFill>
          </w14:textFill>
        </w:rPr>
        <w:t xml:space="preserve">收到发票后15日内</w:t>
      </w:r>
      <w:r>
        <w:rPr>
          <w:rFonts w:ascii="Times New Roman"/>
          <w:color w:val="000000" w:themeColor="text1"/>
          <w:sz w:val="24"/>
          <w:szCs w:val="24"/>
          <w14:textFill>
            <w14:solidFill>
              <w14:schemeClr w14:val="tx1"/>
            </w14:solidFill>
          </w14:textFill>
        </w:rPr>
        <w:t xml:space="preserve">支付乙方合同总价的</w:t>
      </w:r>
      <w:r>
        <w:rPr>
          <w:rFonts w:hint="eastAsia" w:ascii="Times New Roman"/>
          <w:color w:val="000000" w:themeColor="text1"/>
          <w:sz w:val="24"/>
          <w:szCs w:val="24"/>
          <w14:textFill>
            <w14:solidFill>
              <w14:schemeClr w14:val="tx1"/>
            </w14:solidFill>
          </w14:textFill>
        </w:rPr>
        <w:t xml:space="preserve">5</w:t>
      </w:r>
      <w:r>
        <w:rPr>
          <w:rFonts w:ascii="Times New Roman"/>
          <w:color w:val="000000" w:themeColor="text1"/>
          <w:sz w:val="24"/>
          <w:szCs w:val="24"/>
          <w14:textFill>
            <w14:solidFill>
              <w14:schemeClr w14:val="tx1"/>
            </w14:solidFill>
          </w14:textFill>
        </w:rPr>
        <w:t xml:space="preserve">0%。即人民币：        元整（¥       元整）。</w:t>
      </w:r>
      <w:r/>
    </w:p>
    <w:p>
      <w:pPr>
        <w:pStyle w:val="978"/>
        <w:ind w:firstLine="48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第二期付款：</w:t>
      </w:r>
      <w:r>
        <w:rPr>
          <w:rFonts w:hint="eastAsia" w:ascii="Times New Roman"/>
          <w:color w:val="000000" w:themeColor="text1"/>
          <w:sz w:val="24"/>
          <w:szCs w:val="24"/>
          <w14:textFill>
            <w14:solidFill>
              <w14:schemeClr w14:val="tx1"/>
            </w14:solidFill>
          </w14:textFill>
        </w:rPr>
        <w:t xml:space="preserve">服务结束并验收合格,</w:t>
      </w:r>
      <w:r>
        <w:rPr>
          <w:rFonts w:ascii="Times New Roman"/>
          <w:color w:val="000000" w:themeColor="text1"/>
          <w:sz w:val="24"/>
          <w:szCs w:val="24"/>
          <w14:textFill>
            <w14:solidFill>
              <w14:schemeClr w14:val="tx1"/>
            </w14:solidFill>
          </w14:textFill>
        </w:rPr>
        <w:t xml:space="preserve">乙方向甲方开具符合国家规定的发票，甲方</w:t>
      </w:r>
      <w:r>
        <w:rPr>
          <w:rFonts w:hint="eastAsia" w:ascii="Times New Roman"/>
          <w:color w:val="000000" w:themeColor="text1"/>
          <w:sz w:val="24"/>
          <w:szCs w:val="24"/>
          <w14:textFill>
            <w14:solidFill>
              <w14:schemeClr w14:val="tx1"/>
            </w14:solidFill>
          </w14:textFill>
        </w:rPr>
        <w:t xml:space="preserve">收到发票后15日内</w:t>
      </w:r>
      <w:r>
        <w:rPr>
          <w:rFonts w:ascii="Times New Roman"/>
          <w:color w:val="000000" w:themeColor="text1"/>
          <w:sz w:val="24"/>
          <w:szCs w:val="24"/>
          <w14:textFill>
            <w14:solidFill>
              <w14:schemeClr w14:val="tx1"/>
            </w14:solidFill>
          </w14:textFill>
        </w:rPr>
        <w:t xml:space="preserve">支付乙方合同总价的</w:t>
      </w:r>
      <w:r>
        <w:rPr>
          <w:rFonts w:hint="eastAsia" w:ascii="Times New Roman"/>
          <w:color w:val="000000" w:themeColor="text1"/>
          <w:sz w:val="24"/>
          <w:szCs w:val="24"/>
          <w14:textFill>
            <w14:solidFill>
              <w14:schemeClr w14:val="tx1"/>
            </w14:solidFill>
          </w14:textFill>
        </w:rPr>
        <w:t xml:space="preserve">5</w:t>
      </w:r>
      <w:r>
        <w:rPr>
          <w:rFonts w:ascii="Times New Roman"/>
          <w:color w:val="000000" w:themeColor="text1"/>
          <w:sz w:val="24"/>
          <w:szCs w:val="24"/>
          <w14:textFill>
            <w14:solidFill>
              <w14:schemeClr w14:val="tx1"/>
            </w14:solidFill>
          </w14:textFill>
        </w:rPr>
        <w:t xml:space="preserve">0%。即人民币：         元整（¥       元整）。</w:t>
      </w:r>
      <w:bookmarkEnd w:id="183"/>
      <w:r/>
      <w:bookmarkEnd w:id="184"/>
      <w:r/>
      <w:bookmarkEnd w:id="185"/>
      <w:r/>
      <w:r/>
    </w:p>
    <w:p>
      <w:pPr>
        <w:pStyle w:val="978"/>
        <w:spacing w:before="120" w:after="120"/>
        <w:rPr>
          <w:rFonts w:ascii="Times New Roman"/>
          <w:b/>
          <w:color w:val="000000" w:themeColor="text1"/>
          <w:sz w:val="24"/>
          <w:szCs w:val="24"/>
          <w14:textFill>
            <w14:solidFill>
              <w14:schemeClr w14:val="tx1"/>
            </w14:solidFill>
          </w14:textFill>
        </w:rPr>
      </w:pPr>
      <w:r/>
      <w:bookmarkStart w:id="186" w:name="_Toc20823346"/>
      <w:r/>
      <w:bookmarkStart w:id="187" w:name="_Toc120614244"/>
      <w:r/>
      <w:bookmarkStart w:id="188" w:name="_Toc16938590"/>
      <w:r/>
      <w:bookmarkStart w:id="189" w:name="_Hlt16619350"/>
      <w:r>
        <w:rPr>
          <w:rFonts w:ascii="Times New Roman"/>
          <w:b/>
          <w:color w:val="000000" w:themeColor="text1"/>
          <w:sz w:val="24"/>
          <w:szCs w:val="24"/>
          <w14:textFill>
            <w14:solidFill>
              <w14:schemeClr w14:val="tx1"/>
            </w14:solidFill>
          </w14:textFill>
        </w:rPr>
        <w:t xml:space="preserve">十、税费</w:t>
      </w:r>
      <w:r/>
    </w:p>
    <w:p>
      <w:pPr>
        <w:pStyle w:val="978"/>
        <w:ind w:firstLine="42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本合同执行中相关的一切税费均由乙方负担。</w:t>
      </w:r>
      <w:r/>
    </w:p>
    <w:p>
      <w:pPr>
        <w:pStyle w:val="978"/>
        <w:spacing w:before="120" w:after="120"/>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t xml:space="preserve">十一、质量保证及售后服务</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11.1乙方应按采购文件规定和响应文件承诺的性能、技术要求、质量标准向甲方提服务。</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11.2乙方提供的服务在质保期内因其本身出现质量问题，根据实际情况，经双方协商，可按以下办法处理：</w:t>
      </w:r>
      <w:r/>
    </w:p>
    <w:p>
      <w:pPr>
        <w:pStyle w:val="978"/>
        <w:ind w:firstLine="42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（1）更换：由乙方承担更换费用。</w:t>
      </w:r>
      <w:r/>
    </w:p>
    <w:p>
      <w:pPr>
        <w:pStyle w:val="978"/>
        <w:ind w:firstLine="42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（2）</w:t>
      </w:r>
      <w:bookmarkStart w:id="190" w:name="_Hlk98753588"/>
      <w:r>
        <w:rPr>
          <w:rFonts w:ascii="Times New Roman"/>
          <w:color w:val="000000" w:themeColor="text1"/>
          <w:sz w:val="24"/>
          <w:szCs w:val="24"/>
          <w14:textFill>
            <w14:solidFill>
              <w14:schemeClr w14:val="tx1"/>
            </w14:solidFill>
          </w14:textFill>
        </w:rPr>
        <w:t xml:space="preserve">解除合同，甲方退回产品和服务，乙方退还甲方支付的全部款项并赔偿甲方全部损失。</w:t>
      </w:r>
      <w:bookmarkEnd w:id="190"/>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11.3如在使用过程中发生质量问题，乙方经甲方通知，在约定时间内未派人到达甲方现场处理，或虽经处理，但未能解决出现的服务质量和安全问题，甲方有权委托第三方处理，甲方委托第三方处理的费用由乙方承担。</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11.4在质保期内，乙方应对服务出现的质量及安全问题负责处理解决并承担相应费用。</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11.5合同标的对质量保证和售后服务另有要求的，按采购文件中的相关要求处理。</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11.6合同签订后至项目终验为建设运营服务期，之后为质保运维服务期。运营服务期完成基础量数据建设及系统功能优化，运维服务期完成数据增量建设及系统功能迭代。</w:t>
      </w:r>
      <w:r/>
    </w:p>
    <w:p>
      <w:pPr>
        <w:pStyle w:val="978"/>
        <w:spacing w:before="120" w:after="120"/>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t xml:space="preserve">十二、验收</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12.1 甲方依法组织履约验收工作。</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12.3 对于实际使用人和甲方分离的项目，甲方邀请实际使用人参与验收。</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12.4 如有必要，甲方邀请参加本项目的其他供应商或第三方专业机构及专家参与验收，相关意见将作为验收书的参考资料。</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12.5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12.6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78"/>
        <w:spacing w:before="120" w:after="120"/>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t xml:space="preserve">十三、违约责任</w:t>
      </w:r>
      <w:r/>
    </w:p>
    <w:p>
      <w:pPr>
        <w:pStyle w:val="978"/>
        <w:ind w:left="410" w:hanging="41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13.1 甲方无正当理由拒绝接受乙方提供服务的，甲方向乙方偿付拒绝接受服务合同价款总值</w:t>
      </w:r>
      <w:r>
        <w:rPr>
          <w:rFonts w:ascii="Times New Roman"/>
          <w:color w:val="000000" w:themeColor="text1"/>
          <w:sz w:val="24"/>
          <w:szCs w:val="24"/>
          <w:u w:val="single"/>
          <w14:textFill>
            <w14:solidFill>
              <w14:schemeClr w14:val="tx1"/>
            </w14:solidFill>
          </w14:textFill>
        </w:rPr>
        <w:t xml:space="preserve">    </w:t>
      </w:r>
      <w:r>
        <w:rPr>
          <w:rFonts w:ascii="Times New Roman"/>
          <w:color w:val="000000" w:themeColor="text1"/>
          <w:sz w:val="24"/>
          <w:szCs w:val="24"/>
          <w14:textFill>
            <w14:solidFill>
              <w14:schemeClr w14:val="tx1"/>
            </w14:solidFill>
          </w14:textFill>
        </w:rPr>
        <w:t xml:space="preserve">的违约金。</w:t>
      </w:r>
      <w:r/>
    </w:p>
    <w:p>
      <w:pPr>
        <w:pStyle w:val="978"/>
        <w:ind w:left="410" w:hanging="41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13.2 甲方无故逾期验收和办理合同款项支付手续的,甲方应按逾期付款总额</w:t>
      </w:r>
      <w:r>
        <w:rPr>
          <w:rFonts w:ascii="Times New Roman"/>
          <w:color w:val="000000" w:themeColor="text1"/>
          <w:sz w:val="24"/>
          <w:szCs w:val="24"/>
          <w:u w:val="single"/>
          <w14:textFill>
            <w14:solidFill>
              <w14:schemeClr w14:val="tx1"/>
            </w14:solidFill>
          </w14:textFill>
        </w:rPr>
        <w:t xml:space="preserve">    </w:t>
      </w:r>
      <w:r>
        <w:rPr>
          <w:rFonts w:ascii="Times New Roman"/>
          <w:color w:val="000000" w:themeColor="text1"/>
          <w:sz w:val="24"/>
          <w:szCs w:val="24"/>
          <w14:textFill>
            <w14:solidFill>
              <w14:schemeClr w14:val="tx1"/>
            </w14:solidFill>
          </w14:textFill>
        </w:rPr>
        <w:t xml:space="preserve">每日向乙方支付违约金。</w:t>
      </w:r>
      <w:r/>
    </w:p>
    <w:p>
      <w:pPr>
        <w:pStyle w:val="978"/>
        <w:ind w:left="410" w:hanging="41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13.3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color w:val="000000" w:themeColor="text1"/>
          <w:sz w:val="24"/>
          <w:szCs w:val="24"/>
          <w:u w:val="single"/>
          <w14:textFill>
            <w14:solidFill>
              <w14:schemeClr w14:val="tx1"/>
            </w14:solidFill>
          </w14:textFill>
        </w:rPr>
        <w:t xml:space="preserve">     </w:t>
      </w:r>
      <w:r>
        <w:rPr>
          <w:rFonts w:ascii="Times New Roman"/>
          <w:color w:val="000000" w:themeColor="text1"/>
          <w:sz w:val="24"/>
          <w:szCs w:val="24"/>
          <w14:textFill>
            <w14:solidFill>
              <w14:schemeClr w14:val="tx1"/>
            </w14:solidFill>
          </w14:textFill>
        </w:rPr>
        <w:t xml:space="preserve">的违约金，如造成甲方损失超过违约金的，超出部分由乙方继续承担赔偿责任。 </w:t>
      </w:r>
      <w:r/>
    </w:p>
    <w:p>
      <w:pPr>
        <w:pStyle w:val="978"/>
        <w:ind w:left="410" w:hanging="41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13.4 乙方所提供服务的标准不符合合同规定及招标文件规定标准的，甲方有权拒绝接受服务，并可单方面解除合同。</w:t>
      </w:r>
      <w:r/>
    </w:p>
    <w:p>
      <w:pPr>
        <w:pStyle w:val="978"/>
        <w:spacing w:before="120" w:after="120"/>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t xml:space="preserve">十四、不可抗力事件处理</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14.1 在合同有效期内，任何一方因不可抗力事件导致不能履行合同，则合同履行期延长，其延长期与不可抗力影响期相同。</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14.2 不可抗力事件发生后，应立即通知对方，并寄送有关权威机构出具的证明。</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14.3 不可抗力事件延续120天以上，双方应通过友好协商，确定是否继续履行合同。</w:t>
      </w:r>
      <w:r/>
    </w:p>
    <w:p>
      <w:pPr>
        <w:pStyle w:val="978"/>
        <w:spacing w:before="120" w:after="120"/>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t xml:space="preserve">十五、解决争议的方法</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15.1 双方在签订、履行合同中所发生的一切争议，应通过友好协商解决。如协商不成，由甲方住所地人民法院管辖。</w:t>
      </w:r>
      <w:r/>
    </w:p>
    <w:p>
      <w:pPr>
        <w:pStyle w:val="978"/>
        <w:spacing w:before="120" w:after="120"/>
        <w:rPr>
          <w:rFonts w:ascii="Times New Roman"/>
          <w:b/>
          <w:color w:val="000000" w:themeColor="text1"/>
          <w:sz w:val="24"/>
          <w:szCs w:val="24"/>
          <w14:textFill>
            <w14:solidFill>
              <w14:schemeClr w14:val="tx1"/>
            </w14:solidFill>
          </w14:textFill>
        </w:rPr>
      </w:pPr>
      <w:r>
        <w:rPr>
          <w:rFonts w:ascii="Times New Roman"/>
          <w:b/>
          <w:color w:val="000000" w:themeColor="text1"/>
          <w:sz w:val="24"/>
          <w:szCs w:val="24"/>
          <w14:textFill>
            <w14:solidFill>
              <w14:schemeClr w14:val="tx1"/>
            </w14:solidFill>
          </w14:textFill>
        </w:rPr>
        <w:t xml:space="preserve">十六、合同生效及其它</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16.1 </w:t>
      </w:r>
      <w:bookmarkStart w:id="191" w:name="_Hlk98753554"/>
      <w:r>
        <w:rPr>
          <w:rFonts w:ascii="Times New Roman"/>
          <w:color w:val="000000" w:themeColor="text1"/>
          <w:sz w:val="24"/>
          <w:szCs w:val="24"/>
          <w14:textFill>
            <w14:solidFill>
              <w14:schemeClr w14:val="tx1"/>
            </w14:solidFill>
          </w14:textFill>
        </w:rPr>
        <w:t xml:space="preserve">合同经双方签字并加盖单位公章或合同章后生效。</w:t>
      </w:r>
      <w:bookmarkEnd w:id="191"/>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16.2 本合同未尽事宜，遵照</w:t>
      </w:r>
      <w:r>
        <w:rPr>
          <w:rFonts w:hint="eastAsia" w:ascii="Times New Roman"/>
          <w:color w:val="000000" w:themeColor="text1"/>
          <w:sz w:val="24"/>
          <w:szCs w:val="24"/>
          <w14:textFill>
            <w14:solidFill>
              <w14:schemeClr w14:val="tx1"/>
            </w14:solidFill>
          </w14:textFill>
        </w:rPr>
        <w:t xml:space="preserve">中华人民共和国现行法律法规</w:t>
      </w:r>
      <w:r>
        <w:rPr>
          <w:rFonts w:ascii="Times New Roman"/>
          <w:color w:val="000000" w:themeColor="text1"/>
          <w:sz w:val="24"/>
          <w:szCs w:val="24"/>
          <w14:textFill>
            <w14:solidFill>
              <w14:schemeClr w14:val="tx1"/>
            </w14:solidFill>
          </w14:textFill>
        </w:rPr>
        <w:t xml:space="preserve">有关条文执行。</w:t>
      </w:r>
      <w:r/>
    </w:p>
    <w:p>
      <w:pPr>
        <w:pStyle w:val="978"/>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16.3 </w:t>
      </w:r>
      <w:bookmarkStart w:id="192" w:name="_Hlk98753734"/>
      <w:r>
        <w:rPr>
          <w:rFonts w:ascii="Times New Roman"/>
          <w:color w:val="000000" w:themeColor="text1"/>
          <w:sz w:val="24"/>
          <w:szCs w:val="24"/>
          <w14:textFill>
            <w14:solidFill>
              <w14:schemeClr w14:val="tx1"/>
            </w14:solidFill>
          </w14:textFill>
        </w:rPr>
        <w:t xml:space="preserve">本合同正本一式</w:t>
      </w:r>
      <w:r>
        <w:rPr>
          <w:rFonts w:hint="eastAsia" w:ascii="Times New Roman"/>
          <w:color w:val="000000" w:themeColor="text1"/>
          <w:sz w:val="24"/>
          <w:szCs w:val="24"/>
          <w14:textFill>
            <w14:solidFill>
              <w14:schemeClr w14:val="tx1"/>
            </w14:solidFill>
          </w14:textFill>
        </w:rPr>
        <w:t xml:space="preserve">陆</w:t>
      </w:r>
      <w:r>
        <w:rPr>
          <w:rFonts w:ascii="Times New Roman"/>
          <w:color w:val="000000" w:themeColor="text1"/>
          <w:sz w:val="24"/>
          <w:szCs w:val="24"/>
          <w14:textFill>
            <w14:solidFill>
              <w14:schemeClr w14:val="tx1"/>
            </w14:solidFill>
          </w14:textFill>
        </w:rPr>
        <w:t xml:space="preserve">份，具有同等法律效力，甲乙双方各执</w:t>
      </w:r>
      <w:r>
        <w:rPr>
          <w:rFonts w:hint="eastAsia" w:ascii="Times New Roman"/>
          <w:color w:val="000000" w:themeColor="text1"/>
          <w:sz w:val="24"/>
          <w:szCs w:val="24"/>
          <w14:textFill>
            <w14:solidFill>
              <w14:schemeClr w14:val="tx1"/>
            </w14:solidFill>
          </w14:textFill>
        </w:rPr>
        <w:t xml:space="preserve">叁</w:t>
      </w:r>
      <w:r>
        <w:rPr>
          <w:rFonts w:ascii="Times New Roman"/>
          <w:color w:val="000000" w:themeColor="text1"/>
          <w:sz w:val="24"/>
          <w:szCs w:val="24"/>
          <w14:textFill>
            <w14:solidFill>
              <w14:schemeClr w14:val="tx1"/>
            </w14:solidFill>
          </w14:textFill>
        </w:rPr>
        <w:t xml:space="preserve">份。</w:t>
      </w:r>
      <w:bookmarkEnd w:id="192"/>
      <w:r/>
      <w:r/>
    </w:p>
    <w:p>
      <w:pPr>
        <w:ind w:firstLine="480"/>
        <w:spacing w:before="120" w:after="120" w:line="48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480"/>
        <w:jc w:val="left"/>
        <w:spacing w:before="120" w:after="120" w:line="48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480"/>
        <w:jc w:val="left"/>
        <w:spacing w:before="120" w:after="120" w:line="48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pStyle w:val="978"/>
        <w:jc w:val="left"/>
        <w:spacing w:before="120" w:after="120"/>
        <w:rPr>
          <w:rFonts w:ascii="Times New Roman"/>
          <w:color w:val="000000" w:themeColor="text1"/>
          <w:sz w:val="24"/>
          <w:szCs w:val="24"/>
          <w14:textFill>
            <w14:solidFill>
              <w14:schemeClr w14:val="tx1"/>
            </w14:solidFill>
          </w14:textFill>
        </w:rPr>
      </w:pPr>
      <w:r>
        <w:rPr>
          <w:rFonts w:hint="eastAsia" w:ascii="Times New Roman"/>
          <w:color w:val="000000" w:themeColor="text1"/>
          <w:sz w:val="24"/>
          <w:szCs w:val="24"/>
          <w14:textFill>
            <w14:solidFill>
              <w14:schemeClr w14:val="tx1"/>
            </w14:solidFill>
          </w14:textFill>
        </w:rPr>
        <w:t xml:space="preserve">甲方：江苏省人民政府国有资产监督管理委员会           乙方：</w:t>
      </w:r>
      <w:r/>
    </w:p>
    <w:p>
      <w:pPr>
        <w:pStyle w:val="978"/>
        <w:jc w:val="left"/>
        <w:spacing w:before="120" w:after="120"/>
        <w:rPr>
          <w:rFonts w:ascii="Times New Roman"/>
          <w:color w:val="000000" w:themeColor="text1"/>
          <w:sz w:val="24"/>
          <w:szCs w:val="24"/>
          <w14:textFill>
            <w14:solidFill>
              <w14:schemeClr w14:val="tx1"/>
            </w14:solidFill>
          </w14:textFill>
        </w:rPr>
      </w:pPr>
      <w:r>
        <w:rPr>
          <w:rFonts w:hint="eastAsia" w:ascii="Times New Roman"/>
          <w:color w:val="000000" w:themeColor="text1"/>
          <w:sz w:val="24"/>
          <w:szCs w:val="24"/>
          <w14:textFill>
            <w14:solidFill>
              <w14:schemeClr w14:val="tx1"/>
            </w14:solidFill>
          </w14:textFill>
        </w:rPr>
        <w:t xml:space="preserve">地址：南京市鼓楼区苏粮国际大厦</w:t>
      </w:r>
      <w:r>
        <w:rPr>
          <w:rFonts w:ascii="Times New Roman"/>
          <w:color w:val="000000" w:themeColor="text1"/>
          <w:sz w:val="24"/>
          <w:szCs w:val="24"/>
          <w14:textFill>
            <w14:solidFill>
              <w14:schemeClr w14:val="tx1"/>
            </w14:solidFill>
          </w14:textFill>
        </w:rPr>
        <w:t xml:space="preserve">   </w:t>
      </w:r>
      <w:r>
        <w:rPr>
          <w:rFonts w:hint="eastAsia" w:ascii="Times New Roman"/>
          <w:color w:val="000000" w:themeColor="text1"/>
          <w:sz w:val="24"/>
          <w:szCs w:val="24"/>
          <w14:textFill>
            <w14:solidFill>
              <w14:schemeClr w14:val="tx1"/>
            </w14:solidFill>
          </w14:textFill>
        </w:rPr>
        <w:t xml:space="preserve">  </w:t>
      </w:r>
      <w:r>
        <w:rPr>
          <w:rFonts w:ascii="Times New Roman"/>
          <w:color w:val="000000" w:themeColor="text1"/>
          <w:sz w:val="24"/>
          <w:szCs w:val="24"/>
          <w14:textFill>
            <w14:solidFill>
              <w14:schemeClr w14:val="tx1"/>
            </w14:solidFill>
          </w14:textFill>
        </w:rPr>
        <w:t xml:space="preserve"> </w:t>
      </w:r>
      <w:r>
        <w:rPr>
          <w:rFonts w:hint="eastAsia" w:ascii="Times New Roman"/>
          <w:color w:val="000000" w:themeColor="text1"/>
          <w:sz w:val="24"/>
          <w:szCs w:val="24"/>
          <w14:textFill>
            <w14:solidFill>
              <w14:schemeClr w14:val="tx1"/>
            </w14:solidFill>
          </w14:textFill>
        </w:rPr>
        <w:t xml:space="preserve"> </w:t>
      </w:r>
      <w:r>
        <w:rPr>
          <w:rFonts w:ascii="Times New Roman"/>
          <w:color w:val="000000" w:themeColor="text1"/>
          <w:sz w:val="24"/>
          <w:szCs w:val="24"/>
          <w14:textFill>
            <w14:solidFill>
              <w14:schemeClr w14:val="tx1"/>
            </w14:solidFill>
          </w14:textFill>
        </w:rPr>
        <w:t xml:space="preserve">地址：</w:t>
      </w:r>
      <w:r/>
    </w:p>
    <w:p>
      <w:pPr>
        <w:pStyle w:val="978"/>
        <w:jc w:val="left"/>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法定代表人或授权代表：              </w:t>
      </w:r>
      <w:r>
        <w:rPr>
          <w:rFonts w:hint="eastAsia" w:ascii="Times New Roman"/>
          <w:color w:val="000000" w:themeColor="text1"/>
          <w:sz w:val="24"/>
          <w:szCs w:val="24"/>
          <w14:textFill>
            <w14:solidFill>
              <w14:schemeClr w14:val="tx1"/>
            </w14:solidFill>
          </w14:textFill>
        </w:rPr>
        <w:t xml:space="preserve"> </w:t>
      </w:r>
      <w:r>
        <w:rPr>
          <w:rFonts w:ascii="Times New Roman"/>
          <w:color w:val="000000" w:themeColor="text1"/>
          <w:sz w:val="24"/>
          <w:szCs w:val="24"/>
          <w14:textFill>
            <w14:solidFill>
              <w14:schemeClr w14:val="tx1"/>
            </w14:solidFill>
          </w14:textFill>
        </w:rPr>
        <w:t xml:space="preserve">法定代表人或授权代表：</w:t>
      </w:r>
      <w:r/>
    </w:p>
    <w:p>
      <w:pPr>
        <w:pStyle w:val="978"/>
        <w:jc w:val="left"/>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联系电话：                          </w:t>
      </w:r>
      <w:r>
        <w:rPr>
          <w:rFonts w:hint="eastAsia" w:ascii="Times New Roman"/>
          <w:color w:val="000000" w:themeColor="text1"/>
          <w:sz w:val="24"/>
          <w:szCs w:val="24"/>
          <w14:textFill>
            <w14:solidFill>
              <w14:schemeClr w14:val="tx1"/>
            </w14:solidFill>
          </w14:textFill>
        </w:rPr>
        <w:t xml:space="preserve"> </w:t>
      </w:r>
      <w:r>
        <w:rPr>
          <w:rFonts w:ascii="Times New Roman"/>
          <w:color w:val="000000" w:themeColor="text1"/>
          <w:sz w:val="24"/>
          <w:szCs w:val="24"/>
          <w14:textFill>
            <w14:solidFill>
              <w14:schemeClr w14:val="tx1"/>
            </w14:solidFill>
          </w14:textFill>
        </w:rPr>
        <w:t xml:space="preserve">联系电话：</w:t>
      </w:r>
      <w:r/>
    </w:p>
    <w:p>
      <w:pPr>
        <w:pStyle w:val="978"/>
        <w:ind w:firstLine="42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r>
      <w:r/>
    </w:p>
    <w:p>
      <w:pPr>
        <w:pStyle w:val="978"/>
        <w:ind w:firstLine="420"/>
        <w:spacing w:before="120" w:after="120"/>
        <w:rPr>
          <w:rFonts w:ascii="Times New Roman"/>
          <w:color w:val="000000" w:themeColor="text1"/>
          <w:sz w:val="24"/>
          <w:szCs w:val="24"/>
          <w14:textFill>
            <w14:solidFill>
              <w14:schemeClr w14:val="tx1"/>
            </w14:solidFill>
          </w14:textFill>
        </w:rPr>
      </w:pPr>
      <w:r>
        <w:rPr>
          <w:rFonts w:ascii="Times New Roman"/>
          <w:color w:val="000000" w:themeColor="text1"/>
          <w:sz w:val="24"/>
          <w:szCs w:val="24"/>
          <w14:textFill>
            <w14:solidFill>
              <w14:schemeClr w14:val="tx1"/>
            </w14:solidFill>
          </w14:textFill>
        </w:rPr>
        <w:t xml:space="preserve">签订日期：  年   月   日</w:t>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ind w:firstLine="420"/>
        <w:spacing w:before="120" w:after="120"/>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r>
      <w:r/>
    </w:p>
    <w:p>
      <w:pPr>
        <w:pStyle w:val="978"/>
        <w:spacing w:before="120" w:after="120"/>
        <w:rPr>
          <w:rFonts w:ascii="Times New Roman"/>
          <w:color w:val="000000" w:themeColor="text1"/>
          <w:szCs w:val="24"/>
          <w14:textFill>
            <w14:solidFill>
              <w14:schemeClr w14:val="tx1"/>
            </w14:solidFill>
          </w14:textFill>
        </w:rPr>
        <w:sectPr>
          <w:headerReference w:type="default" r:id="rId9"/>
          <w:footerReference w:type="default" r:id="rId15"/>
          <w:footerReference w:type="even" r:id="rId16"/>
          <w:footerReference w:type="first" r:id="rId17"/>
          <w:footnotePr/>
          <w:endnotePr/>
          <w:type w:val="nextPage"/>
          <w:pgSz w:w="11906" w:h="16838" w:orient="portrait"/>
          <w:pgMar w:top="1418" w:right="1588" w:bottom="1418" w:left="1365" w:header="851" w:footer="907" w:gutter="0"/>
          <w:cols w:num="1" w:sep="0" w:space="720" w:equalWidth="1"/>
          <w:docGrid w:linePitch="360"/>
        </w:sectPr>
      </w:pPr>
      <w:r>
        <w:rPr>
          <w:rFonts w:ascii="Times New Roman"/>
          <w:color w:val="000000" w:themeColor="text1"/>
          <w:szCs w:val="24"/>
          <w14:textFill>
            <w14:solidFill>
              <w14:schemeClr w14:val="tx1"/>
            </w14:solidFill>
          </w14:textFill>
        </w:rPr>
      </w:r>
      <w:r/>
    </w:p>
    <w:p>
      <w:pPr>
        <w:pStyle w:val="957"/>
        <w:rPr>
          <w:rFonts w:ascii="Times New Roman" w:eastAsia="黑体"/>
          <w:color w:val="000000" w:themeColor="text1"/>
          <w:sz w:val="44"/>
          <w:szCs w:val="44"/>
          <w14:textFill>
            <w14:solidFill>
              <w14:schemeClr w14:val="tx1"/>
            </w14:solidFill>
          </w14:textFill>
        </w:rPr>
      </w:pPr>
      <w:r>
        <w:rPr>
          <w:rFonts w:ascii="Times New Roman" w:eastAsia="黑体"/>
          <w:color w:val="000000" w:themeColor="text1"/>
          <w:sz w:val="44"/>
          <w:szCs w:val="44"/>
          <w14:textFill>
            <w14:solidFill>
              <w14:schemeClr w14:val="tx1"/>
            </w14:solidFill>
          </w14:textFill>
        </w:rPr>
        <w:t xml:space="preserve">第四章  项目需求</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2"/>
        <w:spacing w:line="440" w:lineRule="exact"/>
        <w:rPr>
          <w:rFonts w:ascii="宋体" w:hAnsi="宋体"/>
          <w:color w:val="000000" w:themeColor="text1"/>
          <w:szCs w:val="24"/>
          <w14:textFill>
            <w14:solidFill>
              <w14:schemeClr w14:val="tx1"/>
            </w14:solidFill>
          </w14:textFill>
        </w:rPr>
      </w:pPr>
      <w:r>
        <w:rPr>
          <w:rFonts w:hint="eastAsia" w:eastAsia="黑体"/>
          <w:b/>
          <w:bCs/>
          <w:color w:val="000000" w:themeColor="text1"/>
          <w14:textFill>
            <w14:solidFill>
              <w14:schemeClr w14:val="tx1"/>
            </w14:solidFill>
          </w14:textFill>
        </w:rPr>
        <w:t xml:space="preserve">一、</w:t>
      </w:r>
      <w:r>
        <w:rPr>
          <w:rFonts w:eastAsia="黑体"/>
          <w:b/>
          <w:bCs/>
          <w:color w:val="000000" w:themeColor="text1"/>
          <w14:textFill>
            <w14:solidFill>
              <w14:schemeClr w14:val="tx1"/>
            </w14:solidFill>
          </w14:textFill>
        </w:rPr>
        <w:t xml:space="preserve">项目名称：</w:t>
      </w:r>
      <w:r>
        <w:rPr>
          <w:rFonts w:hint="eastAsia" w:ascii="宋体" w:hAnsi="宋体"/>
          <w:color w:val="000000" w:themeColor="text1"/>
          <w:szCs w:val="24"/>
          <w14:textFill>
            <w14:solidFill>
              <w14:schemeClr w14:val="tx1"/>
            </w14:solidFill>
          </w14:textFill>
        </w:rPr>
        <w:t xml:space="preserve">江苏省人民政府国有资产监督管理委员会2024年度信息化运维服务项目</w:t>
      </w:r>
      <w:r/>
    </w:p>
    <w:p>
      <w:pPr>
        <w:ind w:firstLine="480"/>
        <w:spacing w:line="440" w:lineRule="exact"/>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 xml:space="preserve">对应中小企业划分标准所属行业:软件和信息技术服务业</w:t>
      </w:r>
      <w:r/>
    </w:p>
    <w:p>
      <w:pPr>
        <w:ind w:firstLine="482"/>
        <w:spacing w:line="0" w:lineRule="atLeast"/>
        <w:rPr>
          <w:rFonts w:ascii="宋体" w:hAnsi="宋体"/>
          <w:b/>
          <w:color w:val="000000" w:themeColor="text1"/>
          <w:szCs w:val="24"/>
          <w14:textFill>
            <w14:solidFill>
              <w14:schemeClr w14:val="tx1"/>
            </w14:solidFill>
          </w14:textFill>
        </w:rPr>
      </w:pPr>
      <w:r>
        <w:rPr>
          <w:rFonts w:hint="eastAsia" w:ascii="宋体" w:hAnsi="宋体"/>
          <w:b/>
          <w:color w:val="000000" w:themeColor="text1"/>
          <w:szCs w:val="24"/>
          <w14:textFill>
            <w14:solidFill>
              <w14:schemeClr w14:val="tx1"/>
            </w14:solidFill>
          </w14:textFill>
        </w:rPr>
        <w:t xml:space="preserve">二、项目预算：</w:t>
      </w:r>
      <w:r>
        <w:rPr>
          <w:rFonts w:ascii="宋体" w:hAnsi="宋体"/>
          <w:b/>
          <w:color w:val="000000" w:themeColor="text1"/>
          <w:szCs w:val="24"/>
          <w14:textFill>
            <w14:solidFill>
              <w14:schemeClr w14:val="tx1"/>
            </w14:solidFill>
          </w14:textFill>
        </w:rPr>
        <w:t xml:space="preserve">382万元</w:t>
      </w:r>
      <w:r/>
    </w:p>
    <w:p>
      <w:pPr>
        <w:spacing w:line="0" w:lineRule="atLeast"/>
        <w:rPr>
          <w:rFonts w:ascii="宋体" w:hAnsi="宋体"/>
          <w:b/>
          <w:color w:val="000000" w:themeColor="text1"/>
          <w:szCs w:val="24"/>
          <w14:textFill>
            <w14:solidFill>
              <w14:schemeClr w14:val="tx1"/>
            </w14:solidFill>
          </w14:textFill>
        </w:rPr>
      </w:pPr>
      <w:r>
        <w:rPr>
          <w:rFonts w:ascii="宋体" w:hAnsi="宋体"/>
          <w:b/>
          <w:color w:val="000000" w:themeColor="text1"/>
          <w:szCs w:val="24"/>
          <w14:textFill>
            <w14:solidFill>
              <w14:schemeClr w14:val="tx1"/>
            </w14:solidFill>
          </w14:textFill>
        </w:rPr>
      </w:r>
      <w:r/>
    </w:p>
    <w:p>
      <w:pPr>
        <w:ind w:firstLine="482"/>
        <w:spacing w:line="0" w:lineRule="atLeast"/>
        <w:rPr>
          <w:rFonts w:ascii="宋体" w:hAnsi="宋体"/>
          <w:b/>
          <w:color w:val="000000" w:themeColor="text1"/>
          <w:szCs w:val="24"/>
          <w14:textFill>
            <w14:solidFill>
              <w14:schemeClr w14:val="tx1"/>
            </w14:solidFill>
          </w14:textFill>
        </w:rPr>
      </w:pPr>
      <w:r>
        <w:rPr>
          <w:rFonts w:hint="eastAsia" w:ascii="宋体" w:hAnsi="宋体"/>
          <w:b/>
          <w:color w:val="000000" w:themeColor="text1"/>
          <w:szCs w:val="24"/>
          <w14:textFill>
            <w14:solidFill>
              <w14:schemeClr w14:val="tx1"/>
            </w14:solidFill>
          </w14:textFill>
        </w:rPr>
        <w:t xml:space="preserve">三</w:t>
      </w:r>
      <w:r>
        <w:rPr>
          <w:rFonts w:ascii="宋体" w:hAnsi="宋体"/>
          <w:b/>
          <w:color w:val="000000" w:themeColor="text1"/>
          <w:szCs w:val="24"/>
          <w14:textFill>
            <w14:solidFill>
              <w14:schemeClr w14:val="tx1"/>
            </w14:solidFill>
          </w14:textFill>
        </w:rPr>
        <w:t xml:space="preserve">、</w:t>
      </w:r>
      <w:r>
        <w:rPr>
          <w:rFonts w:hint="eastAsia" w:ascii="宋体" w:hAnsi="宋体"/>
          <w:b/>
          <w:color w:val="000000" w:themeColor="text1"/>
          <w:szCs w:val="24"/>
          <w14:textFill>
            <w14:solidFill>
              <w14:schemeClr w14:val="tx1"/>
            </w14:solidFill>
          </w14:textFill>
        </w:rPr>
        <w:t xml:space="preserve">项目概述</w:t>
      </w:r>
      <w:r/>
    </w:p>
    <w:p>
      <w:pPr>
        <w:ind w:firstLine="482"/>
        <w:rPr>
          <w:b/>
          <w:bCs/>
          <w:color w:val="000000"/>
          <w:szCs w:val="24"/>
        </w:rPr>
      </w:pPr>
      <w:r/>
      <w:bookmarkStart w:id="193" w:name="_Toc142490867"/>
      <w:r>
        <w:rPr>
          <w:rFonts w:hint="eastAsia"/>
          <w:b/>
          <w:bCs/>
          <w:color w:val="000000"/>
          <w:szCs w:val="24"/>
        </w:rPr>
        <w:t xml:space="preserve">（一）</w:t>
      </w:r>
      <w:r>
        <w:rPr>
          <w:b/>
          <w:bCs/>
          <w:color w:val="000000"/>
          <w:szCs w:val="24"/>
        </w:rPr>
        <w:t xml:space="preserve">项目背景</w:t>
      </w:r>
      <w:bookmarkEnd w:id="193"/>
      <w:r/>
      <w:r/>
    </w:p>
    <w:p>
      <w:pPr>
        <w:ind w:firstLine="480"/>
      </w:pPr>
      <w:r>
        <w:t xml:space="preserve">近年来，省国资委建设了电子政务管理平台、门户网站、机房建设</w:t>
      </w:r>
      <w:r>
        <w:rPr>
          <w:rFonts w:hint="eastAsia"/>
        </w:rPr>
        <w:t xml:space="preserve">、</w:t>
      </w:r>
      <w:r>
        <w:t xml:space="preserve">数据备份等项目。根据监管工作需要，相关业务处室委托开发了产权管理系统、财务监管系统、投资监管系统、考核分配系统、干部人才管理等业务系统。按照国务院国资有关要求完成了企业组织机构基本信息管理系统、统一数据采集交换系统、 “三重一大”决策和运行监管系统等应用系统建设。</w:t>
      </w:r>
      <w:r>
        <w:rPr>
          <w:rFonts w:hint="eastAsia"/>
        </w:rPr>
        <w:t xml:space="preserve">根据</w:t>
      </w:r>
      <w:r>
        <w:t xml:space="preserve">网络信息安全管理部门的要求，开展了等级保护测评和分级保护等工作。委机关信息化能力水平得到了显著提升，同时也对机关信息化工作提出了新的更高要求。为了保证国资委软硬件系统稳定运行，做好运维服务管理是目前面临的一项重要工作。</w:t>
      </w:r>
      <w:r/>
    </w:p>
    <w:p>
      <w:pPr>
        <w:ind w:firstLine="482"/>
        <w:rPr>
          <w:b/>
          <w:bCs/>
          <w:color w:val="000000"/>
          <w:szCs w:val="24"/>
        </w:rPr>
      </w:pPr>
      <w:r/>
      <w:bookmarkStart w:id="194" w:name="_Toc142490868"/>
      <w:r>
        <w:rPr>
          <w:rFonts w:hint="eastAsia"/>
          <w:b/>
          <w:bCs/>
          <w:color w:val="000000"/>
          <w:szCs w:val="24"/>
        </w:rPr>
        <w:t xml:space="preserve">（二）</w:t>
      </w:r>
      <w:r>
        <w:rPr>
          <w:b/>
          <w:bCs/>
          <w:color w:val="000000"/>
          <w:szCs w:val="24"/>
        </w:rPr>
        <w:t xml:space="preserve">运维服务目标</w:t>
      </w:r>
      <w:bookmarkEnd w:id="194"/>
      <w:r/>
      <w:r/>
    </w:p>
    <w:p>
      <w:pPr>
        <w:ind w:firstLine="480"/>
      </w:pPr>
      <w:r>
        <w:t xml:space="preserve">1</w:t>
      </w:r>
      <w:r>
        <w:rPr>
          <w:rFonts w:hint="eastAsia"/>
        </w:rPr>
        <w:t xml:space="preserve">、</w:t>
      </w:r>
      <w:r>
        <w:t xml:space="preserve">保障机房软硬件、网络设备的稳定性、可靠性、安全性和可恢复性；故障的及时响应与修复；硬件设备的更换维修服务。</w:t>
      </w:r>
      <w:r/>
    </w:p>
    <w:p>
      <w:pPr>
        <w:ind w:firstLine="480"/>
      </w:pPr>
      <w:r>
        <w:rPr>
          <w:rFonts w:hint="eastAsia"/>
        </w:rPr>
        <w:t xml:space="preserve">2、</w:t>
      </w:r>
      <w:r>
        <w:t xml:space="preserve">保障工作人员的电脑设备及系统软件、外围设备能安全稳定的运行；保障视频会议正常召开。</w:t>
      </w:r>
      <w:r/>
    </w:p>
    <w:p>
      <w:pPr>
        <w:ind w:firstLine="480"/>
      </w:pPr>
      <w:r>
        <w:rPr>
          <w:rFonts w:hint="eastAsia"/>
        </w:rPr>
        <w:t xml:space="preserve">3、</w:t>
      </w:r>
      <w:r>
        <w:t xml:space="preserve">保障支撑软件及应用系统运行稳定，发现问题及时处理；及时处理用户日常应用过程中遇到的各类问题，协助国资委组织人员培训。</w:t>
      </w:r>
      <w:r/>
    </w:p>
    <w:p>
      <w:pPr>
        <w:ind w:firstLine="480"/>
      </w:pPr>
      <w:r>
        <w:rPr>
          <w:rFonts w:hint="eastAsia"/>
        </w:rPr>
        <w:t xml:space="preserve">4、</w:t>
      </w:r>
      <w:r>
        <w:t xml:space="preserve">建立信息安全保障体系和安全应急预案，对核心业务系统的软硬件进行安全防范；对提供运维的人员、运维工具、运维制度体系方面提供全方位的信息安全管理，按照政府网络安全等级保护要求的标准执行。</w:t>
      </w:r>
      <w:r/>
    </w:p>
    <w:p>
      <w:pPr>
        <w:ind w:firstLine="480"/>
        <w:rPr>
          <w:rFonts w:ascii="宋体" w:hAnsi="宋体"/>
          <w:color w:val="000000" w:themeColor="text1"/>
          <w:szCs w:val="24"/>
          <w14:textFill>
            <w14:solidFill>
              <w14:schemeClr w14:val="tx1"/>
            </w14:solidFill>
          </w14:textFill>
        </w:rPr>
      </w:pPr>
      <w:r>
        <w:t xml:space="preserve">5、按照维护任务要求，做好组织协调工作，监督各技术单位完成维护任务，考核任务完成情况；协助开展信息化项目管理，确保应用系统顺利完成建设。</w:t>
      </w:r>
      <w:r/>
    </w:p>
    <w:p>
      <w:pPr>
        <w:ind w:firstLine="482"/>
        <w:spacing w:line="0" w:lineRule="atLeast"/>
        <w:rPr>
          <w:rFonts w:ascii="宋体" w:hAnsi="宋体"/>
          <w:b/>
          <w:color w:val="000000" w:themeColor="text1"/>
          <w:szCs w:val="24"/>
          <w14:textFill>
            <w14:solidFill>
              <w14:schemeClr w14:val="tx1"/>
            </w14:solidFill>
          </w14:textFill>
        </w:rPr>
      </w:pPr>
      <w:r>
        <w:rPr>
          <w:rFonts w:hint="eastAsia" w:ascii="宋体" w:hAnsi="宋体"/>
          <w:b/>
          <w:color w:val="000000" w:themeColor="text1"/>
          <w:szCs w:val="24"/>
          <w14:textFill>
            <w14:solidFill>
              <w14:schemeClr w14:val="tx1"/>
            </w14:solidFill>
          </w14:textFill>
        </w:rPr>
        <w:t xml:space="preserve">四、项目内容</w:t>
      </w:r>
      <w:r/>
    </w:p>
    <w:p>
      <w:pPr>
        <w:ind w:firstLine="482"/>
        <w:rPr>
          <w:b/>
          <w:bCs/>
          <w:color w:val="000000"/>
          <w:szCs w:val="24"/>
        </w:rPr>
      </w:pPr>
      <w:r>
        <w:rPr>
          <w:rFonts w:hint="eastAsia"/>
          <w:b/>
          <w:bCs/>
          <w:color w:val="000000"/>
          <w:szCs w:val="24"/>
        </w:rPr>
        <w:t xml:space="preserve">（一）项目理解</w:t>
      </w:r>
      <w:r/>
    </w:p>
    <w:p>
      <w:pPr>
        <w:ind w:firstLine="480"/>
      </w:pPr>
      <w:r>
        <w:rPr>
          <w:rFonts w:hint="eastAsia"/>
        </w:rPr>
        <w:t xml:space="preserve">结合对江苏省国资委信息化建设及运维服务的了解情况，分别对国资委信息化现状、运维范围、运维内容进行分析。</w:t>
      </w:r>
      <w:r/>
    </w:p>
    <w:p>
      <w:pPr>
        <w:ind w:firstLine="482"/>
        <w:rPr>
          <w:b/>
          <w:bCs/>
          <w:color w:val="000000"/>
          <w:szCs w:val="24"/>
        </w:rPr>
      </w:pPr>
      <w:r>
        <w:rPr>
          <w:rFonts w:hint="eastAsia"/>
          <w:b/>
          <w:bCs/>
          <w:color w:val="000000"/>
          <w:szCs w:val="24"/>
        </w:rPr>
        <w:t xml:space="preserve">（二）</w:t>
      </w:r>
      <w:bookmarkStart w:id="195" w:name="_Toc142490870"/>
      <w:r>
        <w:rPr>
          <w:b/>
          <w:bCs/>
          <w:color w:val="000000"/>
          <w:szCs w:val="24"/>
        </w:rPr>
        <w:t xml:space="preserve">软件系统运维服务</w:t>
      </w:r>
      <w:bookmarkEnd w:id="195"/>
      <w:r>
        <w:rPr>
          <w:rFonts w:hint="eastAsia"/>
          <w:b/>
          <w:bCs/>
          <w:color w:val="000000"/>
          <w:szCs w:val="24"/>
        </w:rPr>
        <w:t xml:space="preserve">方案</w:t>
      </w:r>
      <w:r/>
    </w:p>
    <w:p>
      <w:pPr>
        <w:ind w:firstLine="480"/>
      </w:pPr>
      <w:r>
        <w:rPr>
          <w:rFonts w:hint="eastAsia"/>
        </w:rPr>
        <w:t xml:space="preserve">根据软件系统运维内容提供详实的运维服务方案，包括数据库系统维护、中间件维护、应用系统日常维护、软件系统升级及维保服务等。</w:t>
      </w:r>
      <w:r/>
    </w:p>
    <w:p>
      <w:pPr>
        <w:ind w:firstLine="482"/>
        <w:rPr>
          <w:b/>
          <w:bCs/>
        </w:rPr>
      </w:pPr>
      <w:r>
        <w:rPr>
          <w:b/>
          <w:bCs/>
        </w:rPr>
        <w:t xml:space="preserve">1</w:t>
      </w:r>
      <w:r>
        <w:rPr>
          <w:rFonts w:hint="eastAsia"/>
          <w:b/>
          <w:bCs/>
        </w:rPr>
        <w:t xml:space="preserve">、</w:t>
      </w:r>
      <w:bookmarkStart w:id="196" w:name="_Hlk172027029"/>
      <w:r>
        <w:rPr>
          <w:b/>
          <w:bCs/>
        </w:rPr>
        <w:t xml:space="preserve">门户网站运维及监测服务</w:t>
      </w:r>
      <w:bookmarkEnd w:id="196"/>
      <w:r/>
      <w:r/>
    </w:p>
    <w:p>
      <w:pPr>
        <w:ind w:firstLine="480"/>
      </w:pPr>
      <w:r>
        <w:t xml:space="preserve">组织协调服务商完成</w:t>
      </w:r>
      <w:r>
        <w:rPr>
          <w:rFonts w:hint="eastAsia"/>
        </w:rPr>
        <w:t xml:space="preserve">门户网站运维及监测</w:t>
      </w:r>
      <w:r>
        <w:t xml:space="preserve">运维任务。服务内容主要包括负责网站系统的应用巡检、咨询和管理工作，负责收集整理网站系统的修改需求，并与网站开发工程师沟通改进方案、跟进修改进度、及时向国资委汇报；负责网站中信息的维护；负责协助国资委组织、策划，利用网站平台开展文化宣传和阶段性工作宣传；负责协助其他交办工作。具体包括：网站图片制作修改、页面调整、重要节日首页广告条设计制作、普查整改、重大节日网站监控和紧急响应、重大节日专人在线值守、现场服务、紧急事件响应、敏感信息清除处理、客户档案管理、年度服务报告、技术支持等。</w:t>
      </w:r>
      <w:r>
        <w:rPr>
          <w:rFonts w:hint="eastAsia"/>
        </w:rPr>
        <w:t xml:space="preserve">提供每月至少一次的常规巡检服务。</w:t>
      </w:r>
      <w:r/>
    </w:p>
    <w:p>
      <w:pPr>
        <w:ind w:firstLine="480"/>
      </w:pPr>
      <w:r>
        <w:t xml:space="preserve">按照《政府网站与政务新媒体检查指标》和《全国政府网站普查评分表》的相关要求，对国资委网站进行人工核查，并采用自动化工具对网站进行断链错链检测和严重错别字检测。结合人工核查和自动检测情况，向国资委出具网站问题报告书，并提出整改建议。每季度</w:t>
      </w:r>
      <w:r>
        <w:rPr>
          <w:rFonts w:hint="eastAsia"/>
        </w:rPr>
        <w:t xml:space="preserve">至少</w:t>
      </w:r>
      <w:r>
        <w:t xml:space="preserve">检测一次。</w:t>
      </w:r>
      <w:r/>
    </w:p>
    <w:p>
      <w:pPr>
        <w:ind w:firstLine="482"/>
        <w:rPr>
          <w:b/>
          <w:bCs/>
        </w:rPr>
      </w:pPr>
      <w:r>
        <w:rPr>
          <w:rFonts w:hint="eastAsia"/>
          <w:b/>
          <w:bCs/>
        </w:rPr>
        <w:t xml:space="preserve">2、</w:t>
      </w:r>
      <w:r>
        <w:rPr>
          <w:b/>
          <w:bCs/>
        </w:rPr>
        <w:t xml:space="preserve">产权管理管理系统维护</w:t>
      </w:r>
      <w:r/>
    </w:p>
    <w:p>
      <w:pPr>
        <w:ind w:firstLine="480"/>
      </w:pPr>
      <w:r>
        <w:t xml:space="preserve">组织协调服务商完成产权管理系统运维任务。运维服务主要内容有：保障系统运行稳定，指定专人远程对系统运行状况进行监测，发现问题及时处理；及时处理用户日常应用过程中遇到的各类问题；专业人员定期到现场对服务器运行情况进行维护；满足国资委特殊任务需求（人员培训、网络安全事故处理等）。提供每月至少一次的常规巡检服务。</w:t>
      </w:r>
      <w:r/>
    </w:p>
    <w:p>
      <w:pPr>
        <w:ind w:firstLine="482"/>
        <w:rPr>
          <w:b/>
          <w:bCs/>
        </w:rPr>
      </w:pPr>
      <w:r>
        <w:rPr>
          <w:b/>
          <w:bCs/>
        </w:rPr>
        <w:t xml:space="preserve">3</w:t>
      </w:r>
      <w:r>
        <w:rPr>
          <w:rFonts w:hint="eastAsia"/>
          <w:b/>
          <w:bCs/>
        </w:rPr>
        <w:t xml:space="preserve">、</w:t>
      </w:r>
      <w:bookmarkStart w:id="197" w:name="_Hlk172026223"/>
      <w:r>
        <w:rPr>
          <w:b/>
          <w:bCs/>
        </w:rPr>
        <w:t xml:space="preserve">干部人才管理系统</w:t>
      </w:r>
      <w:bookmarkEnd w:id="197"/>
      <w:r>
        <w:rPr>
          <w:b/>
          <w:bCs/>
        </w:rPr>
        <w:t xml:space="preserve">维护</w:t>
      </w:r>
      <w:r/>
    </w:p>
    <w:p>
      <w:pPr>
        <w:ind w:firstLine="480"/>
      </w:pPr>
      <w:r>
        <w:t xml:space="preserve">组织协调服务商完成干部人才管理系统运维任务。为保障</w:t>
      </w:r>
      <w:r>
        <w:rPr>
          <w:rFonts w:hint="eastAsia"/>
        </w:rPr>
        <w:t xml:space="preserve">干部人才管理系统</w:t>
      </w:r>
      <w:r>
        <w:t xml:space="preserve">正常、有序、安全的运转</w:t>
      </w:r>
      <w:r>
        <w:rPr>
          <w:rFonts w:hint="eastAsia"/>
        </w:rPr>
        <w:t xml:space="preserve">，</w:t>
      </w:r>
      <w:r>
        <w:t xml:space="preserve">由专人负责统一巡检</w:t>
      </w:r>
      <w:r>
        <w:rPr>
          <w:rFonts w:hint="eastAsia"/>
        </w:rPr>
        <w:t xml:space="preserve">，</w:t>
      </w:r>
      <w:r>
        <w:t xml:space="preserve">巡检内容是分为三类，服务器性能类、系统健康情况、基本功能使用。包含日志筛选分析、服务器磁盘空间、cup使用率、系统健康情况、系统是否启动、基本功能使用、单位库管理、干部人才库管理、综合研判、Ukey登录系统跳转等。提供每月至少一次的常规巡检服务。</w:t>
      </w:r>
      <w:r/>
    </w:p>
    <w:p>
      <w:pPr>
        <w:ind w:firstLine="482"/>
        <w:rPr>
          <w:b/>
          <w:bCs/>
        </w:rPr>
      </w:pPr>
      <w:r>
        <w:rPr>
          <w:b/>
          <w:bCs/>
        </w:rPr>
        <w:t xml:space="preserve">4</w:t>
      </w:r>
      <w:r>
        <w:rPr>
          <w:rFonts w:hint="eastAsia"/>
          <w:b/>
          <w:bCs/>
        </w:rPr>
        <w:t xml:space="preserve">、</w:t>
      </w:r>
      <w:r>
        <w:rPr>
          <w:b/>
          <w:bCs/>
        </w:rPr>
        <w:t xml:space="preserve">财务监管系统维护</w:t>
      </w:r>
      <w:r/>
    </w:p>
    <w:p>
      <w:pPr>
        <w:ind w:firstLine="480"/>
      </w:pPr>
      <w:r>
        <w:t xml:space="preserve">组织协调财务监管系统服务商以多种维护服务方式保障系统正常运行。提供远程在线技术支持服</w:t>
      </w:r>
      <w:r>
        <w:t xml:space="preserve">务，确保远程技术支持可解决系统可能出现的故障。建立远程维护环境，通过远程网络为用户提供系统支持和维护服务。根据财管处要求，不定期现场服务，解决提出的问题。根据用户的实际需求定期和用户进行联系，向用户了解系统的运行情况，对用户的问题和要求提供技术支持，对应用软件系统提供预防性的维护。随着系统数据的积累，系统的状态可能有所下降。为了保证系统的最佳运行状态，定期对系统进行性能检查测试，对系统算法进行优化和维护。根据国资报表格式要求，更新参数、制作数据jio接口方案、增加审核公式等。提供每月至少一次的常规巡检服务。</w:t>
      </w:r>
      <w:r/>
    </w:p>
    <w:p>
      <w:pPr>
        <w:ind w:firstLine="482"/>
        <w:rPr>
          <w:b/>
          <w:bCs/>
        </w:rPr>
      </w:pPr>
      <w:r>
        <w:rPr>
          <w:b/>
          <w:bCs/>
        </w:rPr>
        <w:t xml:space="preserve">5</w:t>
      </w:r>
      <w:r>
        <w:rPr>
          <w:rFonts w:hint="eastAsia"/>
          <w:b/>
          <w:bCs/>
        </w:rPr>
        <w:t xml:space="preserve">、</w:t>
      </w:r>
      <w:r>
        <w:rPr>
          <w:b/>
          <w:bCs/>
        </w:rPr>
        <w:t xml:space="preserve">投资监管系统维护</w:t>
      </w:r>
      <w:r/>
    </w:p>
    <w:p>
      <w:pPr>
        <w:pStyle w:val="1032"/>
        <w:ind w:firstLine="480"/>
        <w:jc w:val="both"/>
        <w:spacing w:line="240" w:lineRule="auto"/>
        <w:rPr>
          <w:sz w:val="24"/>
          <w:szCs w:val="21"/>
        </w:rPr>
      </w:pPr>
      <w:r>
        <w:rPr>
          <w:sz w:val="24"/>
          <w:szCs w:val="21"/>
        </w:rPr>
        <w:t xml:space="preserve">组织协调服务商</w:t>
      </w:r>
      <w:r>
        <w:rPr>
          <w:rFonts w:hint="eastAsia"/>
          <w:sz w:val="24"/>
          <w:szCs w:val="21"/>
        </w:rPr>
        <w:t xml:space="preserve">完成</w:t>
      </w:r>
      <w:r>
        <w:rPr>
          <w:sz w:val="24"/>
          <w:szCs w:val="21"/>
        </w:rPr>
        <w:t xml:space="preserve">投资监管系统</w:t>
      </w:r>
      <w:r>
        <w:rPr>
          <w:rFonts w:hint="eastAsia"/>
          <w:sz w:val="24"/>
          <w:szCs w:val="21"/>
        </w:rPr>
        <w:t xml:space="preserve">运维任务</w:t>
      </w:r>
      <w:r>
        <w:rPr>
          <w:sz w:val="24"/>
          <w:szCs w:val="21"/>
        </w:rPr>
        <w:t xml:space="preserve">，从而确保系统的良好运行，并在此基础之上进行持续优化。多种方式保障系统正常运行，包括补丁服务、知识库服务、在线服务、远程服务、热线服务、需求反馈服务、还可通过使用部分免费工具（如环境评估、性能检查等工具），帮助客户维护网络环境，优化系统性能。以及系统变更所涉及功能流程测试与验证运行环境的维护工作；定期进行客户回访，以便及时发现和解决问题，适时调整服务内容从而更好地做好服务。提供每月至少一次的常规巡检服务。</w:t>
      </w:r>
      <w:r/>
    </w:p>
    <w:p>
      <w:pPr>
        <w:ind w:firstLine="482"/>
        <w:rPr>
          <w:b/>
          <w:bCs/>
        </w:rPr>
      </w:pPr>
      <w:r>
        <w:rPr>
          <w:rFonts w:hint="eastAsia"/>
          <w:b/>
          <w:bCs/>
        </w:rPr>
        <w:t xml:space="preserve">6、国资国企在线监管平台维护</w:t>
      </w:r>
      <w:r/>
    </w:p>
    <w:p>
      <w:pPr>
        <w:ind w:firstLine="480"/>
      </w:pPr>
      <w:r>
        <w:rPr>
          <w:rFonts w:hint="eastAsia"/>
        </w:rPr>
        <w:t xml:space="preserve">组织协调服务商对国资国企在线监管平台应用系统、数据中心、“三重一大”监管系统进行维护，根据要求进行对数据维护，进行数据统计分析，大屏展示等。解决软件使用中的各种问题，提供数据处理、应用指导、持续优化等技术类服务，加强主动服务，定期检测系统运行状况，保障系统全年无宕机，并且不断优化系统性能。对系统用户权限、数据配置进行管理。完善漏洞以及功能确保系统应用安全、定期检查备份。专人负责运维巡检，在系统出现异常的时候可以快速的发现问题和判断故障的影响，可以快速恢复服务。提供每月至少一次的常规巡检服务。</w:t>
      </w:r>
      <w:r/>
    </w:p>
    <w:p>
      <w:pPr>
        <w:ind w:firstLine="482"/>
        <w:rPr>
          <w:b/>
          <w:bCs/>
        </w:rPr>
      </w:pPr>
      <w:r>
        <w:rPr>
          <w:b/>
          <w:bCs/>
        </w:rPr>
        <w:t xml:space="preserve">7</w:t>
      </w:r>
      <w:r>
        <w:rPr>
          <w:rFonts w:hint="eastAsia"/>
          <w:b/>
          <w:bCs/>
        </w:rPr>
        <w:t xml:space="preserve">、电子政务平台维护</w:t>
      </w:r>
      <w:r/>
    </w:p>
    <w:p>
      <w:pPr>
        <w:ind w:firstLine="480"/>
      </w:pPr>
      <w:r>
        <w:rPr>
          <w:rFonts w:hint="eastAsia"/>
        </w:rPr>
        <w:t xml:space="preserve">组织协调</w:t>
      </w:r>
      <w:r>
        <w:t xml:space="preserve">服务商</w:t>
      </w:r>
      <w:r>
        <w:rPr>
          <w:rFonts w:hint="eastAsia"/>
        </w:rPr>
        <w:t xml:space="preserve">完成电子政务平台运维任务，运维内容包括故障排除服务、系统故障诊断服务、系统应用指导、日常维护服务、数据备份支持服务、技术咨询服务。解决公文流转问题、权限设置问题、账号密码等问题、流程调整、表单调整等需求调整当接收到技术问题，立刻响应。对于紧急问题，技术工程师也立即配合响应，将相关问题以及需求记入技术支持数据库，在此基础之上进行统计分析，汇总管理信息系统项目系统知识库，以便今后为用户提供更加优质的技术支持与服务。</w:t>
      </w:r>
      <w:r>
        <w:t xml:space="preserve">提供每月至少一次的常规巡检服务。</w:t>
      </w:r>
      <w:r/>
    </w:p>
    <w:p>
      <w:pPr>
        <w:ind w:firstLine="482"/>
        <w:rPr>
          <w:b/>
          <w:bCs/>
          <w:color w:val="000000"/>
          <w:szCs w:val="24"/>
        </w:rPr>
      </w:pPr>
      <w:r/>
      <w:bookmarkStart w:id="198" w:name="_Toc142490871"/>
      <w:r>
        <w:rPr>
          <w:rFonts w:hint="eastAsia"/>
          <w:b/>
          <w:bCs/>
          <w:color w:val="000000"/>
          <w:szCs w:val="24"/>
        </w:rPr>
        <w:t xml:space="preserve">（三）</w:t>
      </w:r>
      <w:r>
        <w:rPr>
          <w:b/>
          <w:bCs/>
          <w:color w:val="000000"/>
          <w:szCs w:val="24"/>
        </w:rPr>
        <w:t xml:space="preserve">硬件设备运维服务</w:t>
      </w:r>
      <w:bookmarkEnd w:id="198"/>
      <w:r>
        <w:rPr>
          <w:rFonts w:hint="eastAsia"/>
          <w:b/>
          <w:bCs/>
          <w:color w:val="000000"/>
          <w:szCs w:val="24"/>
        </w:rPr>
        <w:t xml:space="preserve">方案</w:t>
      </w:r>
      <w:r/>
    </w:p>
    <w:p>
      <w:pPr>
        <w:ind w:firstLine="488"/>
      </w:pPr>
      <w:r>
        <w:rPr>
          <w:rFonts w:hint="eastAsia"/>
          <w:spacing w:val="2"/>
        </w:rPr>
        <w:t xml:space="preserve">根据硬件设备运维内容提供详实的运维服务方案，包括服务器维护、存储设备维护、网络与安全设备维护、电脑终端运维服务、网络信息点位维护、系统设备维修及保养服务等。</w:t>
      </w:r>
      <w:r/>
    </w:p>
    <w:p>
      <w:pPr>
        <w:ind w:firstLine="482"/>
        <w:rPr>
          <w:b/>
          <w:bCs/>
        </w:rPr>
      </w:pPr>
      <w:r>
        <w:rPr>
          <w:b/>
          <w:bCs/>
        </w:rPr>
        <w:t xml:space="preserve">1</w:t>
      </w:r>
      <w:r>
        <w:rPr>
          <w:rFonts w:hint="eastAsia"/>
          <w:b/>
          <w:bCs/>
        </w:rPr>
        <w:t xml:space="preserve">、</w:t>
      </w:r>
      <w:r>
        <w:rPr>
          <w:b/>
          <w:bCs/>
        </w:rPr>
        <w:t xml:space="preserve">机房服务器、网络运维</w:t>
      </w:r>
      <w:r/>
    </w:p>
    <w:p>
      <w:pPr>
        <w:ind w:firstLine="480"/>
      </w:pPr>
      <w:r>
        <w:t xml:space="preserve">主要服务内容包括：</w:t>
      </w:r>
      <w:r/>
    </w:p>
    <w:p>
      <w:pPr>
        <w:ind w:firstLine="480"/>
      </w:pPr>
      <w:r>
        <w:rPr>
          <w:rFonts w:hint="eastAsia"/>
        </w:rPr>
        <w:t xml:space="preserve">（1）日常巡检运维服务</w:t>
      </w:r>
      <w:r/>
    </w:p>
    <w:p>
      <w:pPr>
        <w:ind w:firstLine="480"/>
      </w:pPr>
      <w:r>
        <w:t xml:space="preserve">日常运维工作</w:t>
      </w:r>
      <w:r>
        <w:rPr>
          <w:rFonts w:hint="eastAsia"/>
        </w:rPr>
        <w:t xml:space="preserve">：配合处理委内的日常工作，如服务器安装、端口映射、</w:t>
      </w:r>
      <w:r>
        <w:t xml:space="preserve">IP申请等，以及委内统一数据采集交换系统、“三重一大”决策和运行监管系统、</w:t>
      </w:r>
      <w:r>
        <w:rPr>
          <w:rFonts w:hint="eastAsia"/>
        </w:rPr>
        <w:t xml:space="preserve">财务监管</w:t>
      </w:r>
      <w:r>
        <w:t xml:space="preserve">系统、</w:t>
      </w:r>
      <w:r>
        <w:rPr>
          <w:rFonts w:hint="eastAsia"/>
        </w:rPr>
        <w:t xml:space="preserve">投资监管</w:t>
      </w:r>
      <w:r>
        <w:t xml:space="preserve">系统等业务系统提出的资源申请需求。</w:t>
      </w:r>
      <w:r/>
    </w:p>
    <w:p>
      <w:pPr>
        <w:ind w:firstLine="480"/>
      </w:pPr>
      <w:r>
        <w:t xml:space="preserve">日常巡检服务</w:t>
      </w:r>
      <w:r>
        <w:rPr>
          <w:rFonts w:hint="eastAsia"/>
        </w:rPr>
        <w:t xml:space="preserve">：每周壹次对委内机房内软硬件设备进行例行现场巡检，填写巡检记录，发现问题即时上报，即时处理。</w:t>
      </w:r>
      <w:r/>
    </w:p>
    <w:p>
      <w:pPr>
        <w:ind w:firstLine="480"/>
      </w:pPr>
      <w:r>
        <w:t xml:space="preserve">紧急故障恢复</w:t>
      </w:r>
      <w:r>
        <w:rPr>
          <w:rFonts w:hint="eastAsia"/>
        </w:rPr>
        <w:t xml:space="preserve">：提供</w:t>
      </w:r>
      <w:r>
        <w:t xml:space="preserve">7*24小时热线电话、远程网络等服务方式。发生故障时，南京市内2小时达到现场（如遇紧急突发情况、不可抗力等因素，可与甲方沟通协商，并按约定时间到达）。</w:t>
      </w:r>
      <w:r/>
    </w:p>
    <w:p>
      <w:pPr>
        <w:ind w:firstLine="480"/>
      </w:pPr>
      <w:r>
        <w:t xml:space="preserve">重要时间段保障服务</w:t>
      </w:r>
      <w:r>
        <w:rPr>
          <w:rFonts w:hint="eastAsia"/>
        </w:rPr>
        <w:t xml:space="preserve">：提供重要时间段值班保障服务，按照国资委要求，安排人员值班保障。</w:t>
      </w:r>
      <w:r/>
    </w:p>
    <w:p>
      <w:pPr>
        <w:ind w:firstLine="480"/>
      </w:pPr>
      <w:r>
        <w:rPr>
          <w:rFonts w:hint="eastAsia"/>
        </w:rPr>
        <w:t xml:space="preserve">（2）</w:t>
      </w:r>
      <w:r>
        <w:t xml:space="preserve">原厂续保服务</w:t>
      </w:r>
      <w:r/>
    </w:p>
    <w:p>
      <w:pPr>
        <w:ind w:firstLine="480"/>
      </w:pPr>
      <w:r>
        <w:rPr>
          <w:rFonts w:hint="eastAsia"/>
        </w:rPr>
        <w:t xml:space="preserve">对于委内重要安全设备，提供原厂规则库续保服务。该服务主要保证安全设备规则库可以实时更新到最新版本，防护网络安全风险。</w:t>
      </w:r>
      <w:r/>
    </w:p>
    <w:tbl>
      <w:tblPr>
        <w:tblStyle w:val="8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949"/>
        <w:gridCol w:w="2193"/>
        <w:gridCol w:w="1273"/>
        <w:gridCol w:w="1544"/>
        <w:gridCol w:w="1500"/>
      </w:tblGrid>
      <w:tr>
        <w:trPr>
          <w:jc w:val="center"/>
          <w:trHeight w:val="567"/>
        </w:trPr>
        <w:tc>
          <w:tcPr>
            <w:tcW w:w="387" w:type="pct"/>
            <w:vAlign w:val="center"/>
            <w:textDirection w:val="lrTb"/>
            <w:noWrap w:val="false"/>
          </w:tcPr>
          <w:p>
            <w:pPr>
              <w:jc w:val="center"/>
              <w:rPr>
                <w:b/>
                <w:bCs/>
              </w:rPr>
            </w:pPr>
            <w:r>
              <w:rPr>
                <w:rFonts w:hint="eastAsia"/>
                <w:b/>
                <w:bCs/>
              </w:rPr>
              <w:t xml:space="preserve">序号</w:t>
            </w:r>
            <w:r/>
          </w:p>
        </w:tc>
        <w:tc>
          <w:tcPr>
            <w:tcW w:w="1063" w:type="pct"/>
            <w:vAlign w:val="center"/>
            <w:textDirection w:val="lrTb"/>
            <w:noWrap w:val="false"/>
          </w:tcPr>
          <w:p>
            <w:pPr>
              <w:jc w:val="center"/>
              <w:rPr>
                <w:b/>
                <w:bCs/>
              </w:rPr>
            </w:pPr>
            <w:r>
              <w:rPr>
                <w:rFonts w:hint="eastAsia"/>
                <w:b/>
                <w:bCs/>
              </w:rPr>
              <w:t xml:space="preserve">设备类型</w:t>
            </w:r>
            <w:r/>
          </w:p>
        </w:tc>
        <w:tc>
          <w:tcPr>
            <w:tcW w:w="1196" w:type="pct"/>
            <w:vAlign w:val="center"/>
            <w:textDirection w:val="lrTb"/>
            <w:noWrap w:val="false"/>
          </w:tcPr>
          <w:p>
            <w:pPr>
              <w:jc w:val="center"/>
              <w:rPr>
                <w:b/>
                <w:bCs/>
              </w:rPr>
            </w:pPr>
            <w:r>
              <w:rPr>
                <w:rFonts w:hint="eastAsia"/>
                <w:b/>
                <w:bCs/>
              </w:rPr>
              <w:t xml:space="preserve">设备名称</w:t>
            </w:r>
            <w:r/>
          </w:p>
        </w:tc>
        <w:tc>
          <w:tcPr>
            <w:tcW w:w="694" w:type="pct"/>
            <w:vAlign w:val="center"/>
            <w:textDirection w:val="lrTb"/>
            <w:noWrap w:val="false"/>
          </w:tcPr>
          <w:p>
            <w:pPr>
              <w:jc w:val="center"/>
              <w:rPr>
                <w:b/>
                <w:bCs/>
              </w:rPr>
            </w:pPr>
            <w:r>
              <w:rPr>
                <w:rFonts w:hint="eastAsia"/>
                <w:b/>
                <w:bCs/>
              </w:rPr>
              <w:t xml:space="preserve">采购时间</w:t>
            </w:r>
            <w:r/>
          </w:p>
        </w:tc>
        <w:tc>
          <w:tcPr>
            <w:tcW w:w="842" w:type="pct"/>
            <w:vAlign w:val="center"/>
            <w:textDirection w:val="lrTb"/>
            <w:noWrap w:val="false"/>
          </w:tcPr>
          <w:p>
            <w:pPr>
              <w:jc w:val="center"/>
              <w:rPr>
                <w:b/>
                <w:bCs/>
              </w:rPr>
            </w:pPr>
            <w:r>
              <w:rPr>
                <w:rFonts w:hint="eastAsia"/>
                <w:b/>
                <w:bCs/>
              </w:rPr>
              <w:t xml:space="preserve">续保时间</w:t>
            </w:r>
            <w:r/>
          </w:p>
        </w:tc>
        <w:tc>
          <w:tcPr>
            <w:tcW w:w="818" w:type="pct"/>
            <w:vAlign w:val="center"/>
            <w:textDirection w:val="lrTb"/>
            <w:noWrap w:val="false"/>
          </w:tcPr>
          <w:p>
            <w:pPr>
              <w:jc w:val="center"/>
              <w:rPr>
                <w:b/>
                <w:bCs/>
              </w:rPr>
            </w:pPr>
            <w:r>
              <w:rPr>
                <w:rFonts w:hint="eastAsia"/>
                <w:b/>
                <w:bCs/>
              </w:rPr>
              <w:t xml:space="preserve">备注</w:t>
            </w:r>
            <w:r/>
          </w:p>
        </w:tc>
      </w:tr>
      <w:tr>
        <w:trPr>
          <w:jc w:val="center"/>
          <w:trHeight w:val="567"/>
        </w:trPr>
        <w:tc>
          <w:tcPr>
            <w:tcW w:w="387" w:type="pct"/>
            <w:vAlign w:val="center"/>
            <w:textDirection w:val="lrTb"/>
            <w:noWrap w:val="false"/>
          </w:tcPr>
          <w:p>
            <w:r>
              <w:rPr>
                <w:rFonts w:hint="eastAsia"/>
              </w:rPr>
              <w:t xml:space="preserve">1</w:t>
            </w:r>
            <w:r/>
          </w:p>
        </w:tc>
        <w:tc>
          <w:tcPr>
            <w:tcW w:w="1063" w:type="pct"/>
            <w:vAlign w:val="center"/>
            <w:textDirection w:val="lrTb"/>
            <w:noWrap w:val="false"/>
          </w:tcPr>
          <w:p>
            <w:r>
              <w:rPr>
                <w:rFonts w:hint="eastAsia"/>
              </w:rPr>
              <w:t xml:space="preserve">Web应用防火墙</w:t>
            </w:r>
            <w:r/>
          </w:p>
        </w:tc>
        <w:tc>
          <w:tcPr>
            <w:tcW w:w="1196" w:type="pct"/>
            <w:vAlign w:val="center"/>
            <w:textDirection w:val="lrTb"/>
            <w:noWrap w:val="false"/>
          </w:tcPr>
          <w:p>
            <w:r>
              <w:rPr>
                <w:rFonts w:hint="eastAsia"/>
              </w:rPr>
              <w:t xml:space="preserve">深信服WAF</w:t>
            </w:r>
            <w:r>
              <w:t xml:space="preserve">-1000</w:t>
            </w:r>
            <w:r/>
          </w:p>
        </w:tc>
        <w:tc>
          <w:tcPr>
            <w:tcW w:w="694" w:type="pct"/>
            <w:vAlign w:val="center"/>
            <w:textDirection w:val="lrTb"/>
            <w:noWrap w:val="false"/>
          </w:tcPr>
          <w:p>
            <w:r>
              <w:rPr>
                <w:rFonts w:hint="eastAsia"/>
              </w:rPr>
              <w:t xml:space="preserve">2</w:t>
            </w:r>
            <w:r>
              <w:t xml:space="preserve">019</w:t>
            </w:r>
            <w:r/>
          </w:p>
        </w:tc>
        <w:tc>
          <w:tcPr>
            <w:tcW w:w="842" w:type="pct"/>
            <w:vAlign w:val="center"/>
            <w:textDirection w:val="lrTb"/>
            <w:noWrap w:val="false"/>
          </w:tcPr>
          <w:p>
            <w:r>
              <w:t xml:space="preserve">1年</w:t>
            </w:r>
            <w:r/>
          </w:p>
        </w:tc>
        <w:tc>
          <w:tcPr>
            <w:tcW w:w="818" w:type="pct"/>
            <w:vAlign w:val="center"/>
            <w:textDirection w:val="lrTb"/>
            <w:noWrap w:val="false"/>
          </w:tcPr>
          <w:p>
            <w:r/>
            <w:r/>
          </w:p>
        </w:tc>
      </w:tr>
    </w:tbl>
    <w:p>
      <w:pPr>
        <w:ind w:firstLine="480"/>
      </w:pPr>
      <w:r>
        <w:rPr>
          <w:rFonts w:hint="eastAsia"/>
        </w:rPr>
        <w:t xml:space="preserve">（</w:t>
      </w:r>
      <w:r>
        <w:t xml:space="preserve">3</w:t>
      </w:r>
      <w:r>
        <w:rPr>
          <w:rFonts w:hint="eastAsia"/>
        </w:rPr>
        <w:t xml:space="preserve">）</w:t>
      </w:r>
      <w:r>
        <w:t xml:space="preserve">硬件维保服务</w:t>
      </w:r>
      <w:r/>
    </w:p>
    <w:p>
      <w:pPr>
        <w:ind w:firstLine="480"/>
      </w:pPr>
      <w:r>
        <w:rPr>
          <w:rFonts w:hint="eastAsia"/>
        </w:rPr>
        <w:t xml:space="preserve">对于委内2</w:t>
      </w:r>
      <w:r>
        <w:t xml:space="preserve">020</w:t>
      </w:r>
      <w:r>
        <w:rPr>
          <w:rFonts w:hint="eastAsia"/>
        </w:rPr>
        <w:t xml:space="preserve">年以前采购的机房硬件设备，提供故障处理、备件更换、常规巡检保养、设备规划和配置等服务。该服务保证委内硬件设备故障后，可以第一时间更换，以保障委内业务的持续性。</w:t>
      </w:r>
      <w:r/>
    </w:p>
    <w:p>
      <w:pPr>
        <w:ind w:firstLine="482"/>
        <w:rPr>
          <w:b/>
          <w:bCs/>
        </w:rPr>
      </w:pPr>
      <w:r>
        <w:rPr>
          <w:b/>
          <w:bCs/>
        </w:rPr>
        <w:t xml:space="preserve">2</w:t>
      </w:r>
      <w:r>
        <w:rPr>
          <w:rFonts w:hint="eastAsia"/>
          <w:b/>
          <w:bCs/>
        </w:rPr>
        <w:t xml:space="preserve">、视频会议系统及</w:t>
      </w:r>
      <w:r>
        <w:rPr>
          <w:b/>
          <w:bCs/>
        </w:rPr>
        <w:t xml:space="preserve">办公电脑设备维护</w:t>
      </w:r>
      <w:r/>
    </w:p>
    <w:p>
      <w:pPr>
        <w:ind w:firstLine="480"/>
      </w:pPr>
      <w:r>
        <w:t xml:space="preserve">组织协调服务商完成办公电脑及外围设备、视频会议系统运维任务，主要服务内容包括：电脑各类故障检修；各类外设维护（复印机、传真机、扫描仪、打印机）；各种软件安装及维护；增加及更换电脑板卡及部件；各类硬件驱动程序安装；查杀各类电脑病毒；工作电脑数据备份；视频会议系统日常巡检、联调、会议保障，提供每周至少一次的常规巡检服务。</w:t>
      </w:r>
      <w:r/>
    </w:p>
    <w:p>
      <w:pPr>
        <w:ind w:firstLine="482"/>
        <w:rPr>
          <w:b/>
          <w:bCs/>
          <w:color w:val="000000"/>
          <w:szCs w:val="24"/>
        </w:rPr>
      </w:pPr>
      <w:r/>
      <w:bookmarkStart w:id="199" w:name="_Toc142490872"/>
      <w:r>
        <w:rPr>
          <w:rFonts w:hint="eastAsia"/>
          <w:b/>
          <w:bCs/>
          <w:color w:val="000000"/>
          <w:szCs w:val="24"/>
        </w:rPr>
        <w:t xml:space="preserve">3、</w:t>
      </w:r>
      <w:r>
        <w:rPr>
          <w:b/>
          <w:bCs/>
          <w:color w:val="000000"/>
          <w:szCs w:val="24"/>
        </w:rPr>
        <w:t xml:space="preserve">租用服务</w:t>
      </w:r>
      <w:bookmarkEnd w:id="199"/>
      <w:r/>
      <w:r/>
    </w:p>
    <w:p>
      <w:pPr>
        <w:ind w:firstLine="480"/>
      </w:pPr>
      <w:r>
        <w:t xml:space="preserve">租用中国移动云视讯用于召开与省属企业、设区市国资委视频会议的服务；</w:t>
      </w:r>
      <w:r/>
    </w:p>
    <w:p>
      <w:pPr>
        <w:ind w:firstLine="480"/>
      </w:pPr>
      <w:r>
        <w:t xml:space="preserve">租用电信短信平台用于委机关系统的提醒服务；</w:t>
      </w:r>
      <w:r/>
    </w:p>
    <w:p>
      <w:pPr>
        <w:ind w:firstLine="480"/>
      </w:pPr>
      <w:r>
        <w:t xml:space="preserve">租用国信CA用于国资国企投资在线监管平台的登陆与验证服务。</w:t>
      </w:r>
      <w:r/>
    </w:p>
    <w:p>
      <w:pPr>
        <w:ind w:firstLine="482"/>
        <w:rPr>
          <w:b/>
          <w:bCs/>
          <w:color w:val="000000"/>
          <w:szCs w:val="24"/>
        </w:rPr>
      </w:pPr>
      <w:r/>
      <w:bookmarkStart w:id="200" w:name="_Toc142490873"/>
      <w:r>
        <w:rPr>
          <w:rFonts w:hint="eastAsia"/>
          <w:b/>
          <w:bCs/>
          <w:color w:val="000000"/>
          <w:szCs w:val="24"/>
        </w:rPr>
        <w:t xml:space="preserve">（四）</w:t>
      </w:r>
      <w:r>
        <w:rPr>
          <w:b/>
          <w:bCs/>
          <w:color w:val="000000"/>
          <w:szCs w:val="24"/>
        </w:rPr>
        <w:t xml:space="preserve">信息安全运维服务</w:t>
      </w:r>
      <w:bookmarkEnd w:id="200"/>
      <w:r>
        <w:rPr>
          <w:rFonts w:hint="eastAsia"/>
          <w:b/>
          <w:bCs/>
          <w:color w:val="000000"/>
          <w:szCs w:val="24"/>
        </w:rPr>
        <w:t xml:space="preserve">方案</w:t>
      </w:r>
      <w:r/>
    </w:p>
    <w:p>
      <w:pPr>
        <w:ind w:firstLine="488"/>
      </w:pPr>
      <w:r>
        <w:rPr>
          <w:rFonts w:hint="eastAsia"/>
          <w:spacing w:val="2"/>
        </w:rPr>
        <w:t xml:space="preserve">根据信息安全运维内容提供详实的运维服务方案，包括风险评估、安全加固、应急响应、安全巡检、安全监控及安全通告等。</w:t>
      </w:r>
      <w:r/>
    </w:p>
    <w:p>
      <w:pPr>
        <w:ind w:firstLine="480"/>
      </w:pPr>
      <w:r>
        <w:t xml:space="preserve">依据《中华人民共和国网络安全法》、《信息安全等级保护管理办法》、《信息安全技术网络安全等级保护基本要求》《信息安全技术网络安全等级保护安全设计技术要求》、《信息安全技术网络安全等级保护测评要求》等法规与技术标准，对委机关有关系统按照等级保护标准进行测评，测评内容主要包括管理与技术十大类：安全物理环境、安全通信网络、安全区域边界、安全计算环境、安全管理中心、安全管理制度、安全管理机构、安全管理人员、安全建设管理、安全运维管理。</w:t>
      </w:r>
      <w:r/>
    </w:p>
    <w:p>
      <w:pPr>
        <w:ind w:firstLine="480"/>
      </w:pPr>
      <w:r>
        <w:t xml:space="preserve">对委机关提供桌面安全防护、网络安全、安全应急预案及演练服务，针对信息系统中网络安全相关的安全设备、安全软件、安全域、安全策略等方面的管理和维护，建立信息安全保障体系和安全应急预案，对核心业务系统的软硬件进行安全防范。对提供运维的人员、运维工具、运维制度体系方面提供全方位的信息安全管理，按照网络安全等级保护基本要求（GB/T22239-2019）标准执行。</w:t>
      </w:r>
      <w:r/>
    </w:p>
    <w:p>
      <w:pPr>
        <w:ind w:firstLine="480"/>
      </w:pPr>
      <w:r>
        <w:t xml:space="preserve">组织协调服务商完成信息安全运维任务。依据国家信息安全法规与技术标准要求，按照等级保护标准对国资国企在线监管平台、电子政务平台、门户网站及信息报送系统进行测评。提供信息系统安全保障服务，具体服务包括资产调研、网络安全检查、安全整改加固、安全监测与运行保障、威胁分析与安全应急处置。</w:t>
      </w:r>
      <w:r/>
    </w:p>
    <w:p>
      <w:pPr>
        <w:ind w:firstLine="482"/>
        <w:rPr>
          <w:b/>
          <w:bCs/>
          <w:color w:val="000000"/>
          <w:szCs w:val="24"/>
        </w:rPr>
      </w:pPr>
      <w:r/>
      <w:bookmarkStart w:id="201" w:name="_Toc142490874"/>
      <w:r>
        <w:rPr>
          <w:rFonts w:hint="eastAsia"/>
          <w:b/>
          <w:bCs/>
          <w:color w:val="000000"/>
          <w:szCs w:val="24"/>
        </w:rPr>
        <w:t xml:space="preserve">（五）</w:t>
      </w:r>
      <w:r>
        <w:rPr>
          <w:b/>
          <w:bCs/>
          <w:color w:val="000000"/>
          <w:szCs w:val="24"/>
        </w:rPr>
        <w:t xml:space="preserve">信息化运维管理服务</w:t>
      </w:r>
      <w:bookmarkEnd w:id="201"/>
      <w:r>
        <w:rPr>
          <w:rFonts w:hint="eastAsia"/>
          <w:b/>
          <w:bCs/>
          <w:color w:val="000000"/>
          <w:szCs w:val="24"/>
        </w:rPr>
        <w:t xml:space="preserve">方案</w:t>
      </w:r>
      <w:r/>
    </w:p>
    <w:p>
      <w:pPr>
        <w:ind w:firstLine="480"/>
      </w:pPr>
      <w:r>
        <w:t xml:space="preserve">按照信息化运维工作要求，组织协调各技术单位做好相关设备或系统的维护工作，对各技术单位运维团队的日常工作提供现场运维管理，包括运维服务人员管理（含考勤管理、请假管理、着装规范、行为规范等）、运维文档管理、巡检管理、运维工作管理、运维例会管理、运维绩效管理等，检查各技术单位维护工作完成情况、维护报告及相关记录资料。</w:t>
      </w:r>
      <w:r/>
    </w:p>
    <w:p>
      <w:pPr>
        <w:ind w:firstLine="480"/>
      </w:pPr>
      <w:r>
        <w:t xml:space="preserve">协助委机关对维护单位的考核，同时依据 ITIL、ISO2000等运维服务体系对现有运维服务制度和服务流程、规范进行完善工作，并完成其他交办任务。</w:t>
      </w:r>
      <w:r/>
    </w:p>
    <w:p>
      <w:pPr>
        <w:ind w:firstLine="482"/>
        <w:rPr>
          <w:b/>
          <w:bCs/>
          <w:color w:val="000000"/>
          <w:szCs w:val="24"/>
        </w:rPr>
      </w:pPr>
      <w:r>
        <w:rPr>
          <w:rFonts w:hint="eastAsia"/>
          <w:b/>
          <w:bCs/>
          <w:color w:val="000000"/>
          <w:szCs w:val="24"/>
        </w:rPr>
        <w:t xml:space="preserve">（六）服务保障体系</w:t>
      </w:r>
      <w:r/>
    </w:p>
    <w:p>
      <w:pPr>
        <w:ind w:firstLine="480"/>
      </w:pPr>
      <w:r>
        <w:rPr>
          <w:rFonts w:hint="eastAsia"/>
        </w:rPr>
        <w:t xml:space="preserve">根据要求提供具体详实的服务保障体系，包括基本机制、服务队伍、服务流程等。</w:t>
      </w:r>
      <w:r/>
    </w:p>
    <w:p>
      <w:pPr>
        <w:ind w:firstLine="482"/>
        <w:rPr>
          <w:b/>
          <w:bCs/>
          <w:color w:val="000000"/>
          <w:szCs w:val="24"/>
        </w:rPr>
      </w:pPr>
      <w:r>
        <w:rPr>
          <w:rFonts w:hint="eastAsia"/>
          <w:b/>
          <w:bCs/>
          <w:color w:val="000000"/>
          <w:szCs w:val="24"/>
        </w:rPr>
        <w:t xml:space="preserve">（七）服务保障措施</w:t>
      </w:r>
      <w:r/>
    </w:p>
    <w:p>
      <w:pPr>
        <w:ind w:firstLine="480"/>
      </w:pPr>
      <w:r>
        <w:rPr>
          <w:rFonts w:hint="eastAsia"/>
        </w:rPr>
        <w:t xml:space="preserve">根据要求提供具体详实的服务保障措施，包括日常运维服务方案、故障处理方案、服务响应时间等。</w:t>
      </w:r>
      <w:r/>
    </w:p>
    <w:p>
      <w:pPr>
        <w:ind w:firstLine="482"/>
        <w:rPr>
          <w:b/>
          <w:bCs/>
          <w:color w:val="000000"/>
          <w:szCs w:val="24"/>
        </w:rPr>
      </w:pPr>
      <w:r>
        <w:rPr>
          <w:rFonts w:hint="eastAsia"/>
          <w:b/>
          <w:bCs/>
          <w:color w:val="000000"/>
          <w:szCs w:val="24"/>
        </w:rPr>
        <w:t xml:space="preserve">（八）培训方案</w:t>
      </w:r>
      <w:r/>
    </w:p>
    <w:p>
      <w:pPr>
        <w:ind w:firstLine="480"/>
      </w:pPr>
      <w:r>
        <w:rPr>
          <w:rFonts w:hint="eastAsia"/>
        </w:rPr>
        <w:t xml:space="preserve">根据要求提供具体详实的培训方案，包括培训计划、培训内容和培训方式。</w:t>
      </w:r>
      <w:r/>
    </w:p>
    <w:p>
      <w:pPr>
        <w:ind w:firstLine="482"/>
        <w:rPr>
          <w:b/>
          <w:bCs/>
          <w:color w:val="000000"/>
          <w:szCs w:val="24"/>
        </w:rPr>
      </w:pPr>
      <w:r>
        <w:rPr>
          <w:rFonts w:hint="eastAsia"/>
          <w:b/>
          <w:bCs/>
          <w:color w:val="000000"/>
          <w:szCs w:val="24"/>
        </w:rPr>
        <w:t xml:space="preserve">四、运维服务要求</w:t>
      </w:r>
      <w:r/>
    </w:p>
    <w:p>
      <w:pPr>
        <w:ind w:firstLine="482"/>
        <w:rPr>
          <w:b/>
          <w:bCs/>
          <w:color w:val="000000"/>
          <w:szCs w:val="24"/>
        </w:rPr>
      </w:pPr>
      <w:r>
        <w:rPr>
          <w:rFonts w:hint="eastAsia"/>
          <w:b/>
          <w:bCs/>
          <w:color w:val="000000"/>
          <w:szCs w:val="24"/>
        </w:rPr>
        <w:t xml:space="preserve">（一）服务保障体系</w:t>
      </w:r>
      <w:r/>
    </w:p>
    <w:p>
      <w:pPr>
        <w:ind w:firstLine="482"/>
        <w:rPr>
          <w:b/>
          <w:bCs/>
          <w:szCs w:val="24"/>
        </w:rPr>
      </w:pPr>
      <w:r>
        <w:rPr>
          <w:b/>
          <w:bCs/>
          <w:szCs w:val="24"/>
        </w:rPr>
        <w:t xml:space="preserve">1</w:t>
      </w:r>
      <w:r>
        <w:rPr>
          <w:rFonts w:hint="eastAsia"/>
          <w:b/>
          <w:bCs/>
          <w:szCs w:val="24"/>
        </w:rPr>
        <w:t xml:space="preserve">、服务单位要求</w:t>
      </w:r>
      <w:r/>
    </w:p>
    <w:p>
      <w:pPr>
        <w:ind w:firstLine="480"/>
        <w:rPr>
          <w:szCs w:val="24"/>
        </w:rPr>
      </w:pPr>
      <w:r>
        <w:rPr>
          <w:rFonts w:hint="eastAsia"/>
          <w:szCs w:val="24"/>
        </w:rPr>
        <w:t xml:space="preserve">服务单位需是一家技术条件好、服务质量优良的专业机构。专业机构可根据各系统运维要求，将维护工作分包给各专业服务商。</w:t>
      </w:r>
      <w:r/>
    </w:p>
    <w:p>
      <w:pPr>
        <w:ind w:firstLine="482"/>
        <w:rPr>
          <w:b/>
          <w:bCs/>
          <w:szCs w:val="24"/>
        </w:rPr>
      </w:pPr>
      <w:r>
        <w:rPr>
          <w:b/>
          <w:bCs/>
          <w:szCs w:val="24"/>
        </w:rPr>
        <w:t xml:space="preserve">2</w:t>
      </w:r>
      <w:r>
        <w:rPr>
          <w:rFonts w:hint="eastAsia"/>
          <w:b/>
          <w:bCs/>
          <w:szCs w:val="24"/>
        </w:rPr>
        <w:t xml:space="preserve">、服务队伍要求</w:t>
      </w:r>
      <w:r/>
    </w:p>
    <w:p>
      <w:pPr>
        <w:ind w:firstLine="480"/>
        <w:rPr>
          <w:szCs w:val="24"/>
        </w:rPr>
      </w:pPr>
      <w:r>
        <w:rPr>
          <w:rFonts w:hint="eastAsia"/>
          <w:szCs w:val="24"/>
        </w:rPr>
        <w:t xml:space="preserve">要求维护团队拥有强大的技术支持力量，拥有稳定的专业化的技术支持服务队伍，完善的技术支持服务体系。维护人员要求如下：</w:t>
      </w:r>
      <w:r/>
    </w:p>
    <w:tbl>
      <w:tblPr>
        <w:tblStyle w:val="8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487"/>
        <w:gridCol w:w="2952"/>
        <w:gridCol w:w="1550"/>
        <w:gridCol w:w="13"/>
        <w:gridCol w:w="1390"/>
      </w:tblGrid>
      <w:tr>
        <w:trPr>
          <w:jc w:val="center"/>
          <w:trHeight w:val="351"/>
          <w:tblHeader/>
        </w:trPr>
        <w:tc>
          <w:tcPr>
            <w:shd w:val="clear" w:color="auto" w:fill="daeef3" w:themeFill="accent5" w:themeFillTint="33"/>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b/>
                <w:bCs/>
                <w:szCs w:val="24"/>
              </w:rPr>
            </w:pPr>
            <w:r>
              <w:rPr>
                <w:b/>
                <w:bCs/>
                <w:szCs w:val="24"/>
              </w:rPr>
              <w:t xml:space="preserve">序号</w:t>
            </w:r>
            <w:r/>
          </w:p>
        </w:tc>
        <w:tc>
          <w:tcPr>
            <w:shd w:val="clear" w:color="auto" w:fill="daeef3" w:themeFill="accent5" w:themeFillTint="33"/>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line="276" w:lineRule="auto"/>
              <w:widowControl/>
              <w:rPr>
                <w:b/>
                <w:bCs/>
                <w:szCs w:val="24"/>
              </w:rPr>
            </w:pPr>
            <w:r>
              <w:rPr>
                <w:b/>
                <w:bCs/>
                <w:szCs w:val="24"/>
              </w:rPr>
              <w:t xml:space="preserve">工作分类</w:t>
            </w:r>
            <w:r/>
          </w:p>
        </w:tc>
        <w:tc>
          <w:tcPr>
            <w:shd w:val="clear" w:color="auto" w:fill="daeef3" w:themeFill="accent5" w:themeFillTint="33"/>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b/>
                <w:bCs/>
                <w:szCs w:val="24"/>
              </w:rPr>
            </w:pPr>
            <w:r>
              <w:rPr>
                <w:b/>
                <w:bCs/>
                <w:szCs w:val="24"/>
              </w:rPr>
              <w:t xml:space="preserve">项目名称</w:t>
            </w:r>
            <w:r/>
          </w:p>
        </w:tc>
        <w:tc>
          <w:tcPr>
            <w:gridSpan w:val="2"/>
            <w:shd w:val="clear" w:color="auto" w:fill="daeef3" w:themeFill="accent5" w:themeFillTint="33"/>
            <w:tcBorders>
              <w:top w:val="single" w:color="auto" w:sz="4" w:space="0"/>
              <w:left w:val="none" w:color="000000" w:sz="4" w:space="0"/>
              <w:bottom w:val="single" w:color="auto" w:sz="4" w:space="0"/>
              <w:right w:val="single" w:color="auto" w:sz="4" w:space="0"/>
            </w:tcBorders>
            <w:tcW w:w="852" w:type="pct"/>
            <w:vAlign w:val="center"/>
            <w:textDirection w:val="lrTb"/>
            <w:noWrap w:val="false"/>
          </w:tcPr>
          <w:p>
            <w:pPr>
              <w:jc w:val="center"/>
              <w:spacing w:line="276" w:lineRule="auto"/>
              <w:widowControl/>
              <w:rPr>
                <w:b/>
                <w:bCs/>
                <w:szCs w:val="24"/>
              </w:rPr>
            </w:pPr>
            <w:r>
              <w:rPr>
                <w:b/>
                <w:bCs/>
                <w:szCs w:val="24"/>
              </w:rPr>
              <w:t xml:space="preserve">运维人数</w:t>
            </w:r>
            <w:r/>
          </w:p>
        </w:tc>
        <w:tc>
          <w:tcPr>
            <w:shd w:val="clear" w:color="auto" w:fill="daeef3" w:themeFill="accent5" w:themeFillTint="33"/>
            <w:tcBorders>
              <w:top w:val="single" w:color="auto" w:sz="4" w:space="0"/>
              <w:left w:val="none" w:color="000000" w:sz="4" w:space="0"/>
              <w:bottom w:val="single" w:color="auto" w:sz="4" w:space="0"/>
              <w:right w:val="single" w:color="auto" w:sz="4" w:space="0"/>
            </w:tcBorders>
            <w:tcW w:w="758" w:type="pct"/>
            <w:vAlign w:val="center"/>
            <w:textDirection w:val="lrTb"/>
            <w:noWrap w:val="false"/>
          </w:tcPr>
          <w:p>
            <w:pPr>
              <w:jc w:val="center"/>
              <w:spacing w:line="276" w:lineRule="auto"/>
              <w:widowControl/>
              <w:rPr>
                <w:b/>
                <w:bCs/>
                <w:szCs w:val="24"/>
              </w:rPr>
            </w:pPr>
            <w:r>
              <w:rPr>
                <w:b/>
                <w:bCs/>
                <w:szCs w:val="24"/>
              </w:rPr>
              <w:t xml:space="preserve">是否驻场</w:t>
            </w:r>
            <w:r/>
          </w:p>
        </w:tc>
      </w:tr>
      <w:tr>
        <w:trPr>
          <w:jc w:val="center"/>
          <w:trHeight w:val="425"/>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szCs w:val="24"/>
              </w:rPr>
              <w:t xml:space="preserve">1</w:t>
            </w:r>
            <w:r/>
          </w:p>
        </w:tc>
        <w:tc>
          <w:tcPr>
            <w:tcBorders>
              <w:top w:val="single" w:color="auto" w:sz="4" w:space="0"/>
              <w:left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软件系统运维服务</w:t>
            </w:r>
            <w:r/>
          </w:p>
        </w:tc>
        <w:tc>
          <w:tcPr>
            <w:shd w:val="clear" w:color="auto" w:fill="auto"/>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szCs w:val="24"/>
              </w:rPr>
              <w:t xml:space="preserve">门户网站运维</w:t>
            </w:r>
            <w:r/>
          </w:p>
        </w:tc>
        <w:tc>
          <w:tcPr>
            <w:gridSpan w:val="2"/>
            <w:shd w:val="clear" w:color="auto" w:fill="auto"/>
            <w:tcBorders>
              <w:top w:val="single" w:color="auto" w:sz="4" w:space="0"/>
              <w:left w:val="none" w:color="000000" w:sz="4" w:space="0"/>
              <w:bottom w:val="single" w:color="auto" w:sz="4" w:space="0"/>
              <w:right w:val="single" w:color="auto" w:sz="4" w:space="0"/>
            </w:tcBorders>
            <w:tcW w:w="852" w:type="pct"/>
            <w:vAlign w:val="center"/>
            <w:textDirection w:val="lrTb"/>
            <w:noWrap w:val="false"/>
          </w:tcPr>
          <w:p>
            <w:pPr>
              <w:jc w:val="center"/>
              <w:spacing w:line="276" w:lineRule="auto"/>
              <w:widowControl/>
              <w:rPr>
                <w:szCs w:val="24"/>
              </w:rPr>
            </w:pPr>
            <w:r>
              <w:rPr>
                <w:szCs w:val="24"/>
              </w:rPr>
              <w:t xml:space="preserve">1人</w:t>
            </w:r>
            <w:r/>
          </w:p>
        </w:tc>
        <w:tc>
          <w:tcPr>
            <w:shd w:val="clear" w:color="auto" w:fill="auto"/>
            <w:tcBorders>
              <w:top w:val="single" w:color="auto" w:sz="4" w:space="0"/>
              <w:left w:val="none" w:color="000000" w:sz="4" w:space="0"/>
              <w:bottom w:val="single" w:color="auto" w:sz="4" w:space="0"/>
              <w:right w:val="single" w:color="auto" w:sz="4" w:space="0"/>
            </w:tcBorders>
            <w:tcW w:w="758" w:type="pct"/>
            <w:vAlign w:val="center"/>
            <w:textDirection w:val="lrTb"/>
            <w:noWrap w:val="false"/>
          </w:tcPr>
          <w:p>
            <w:pPr>
              <w:jc w:val="center"/>
              <w:spacing w:line="276" w:lineRule="auto"/>
              <w:widowControl/>
              <w:rPr>
                <w:szCs w:val="24"/>
              </w:rPr>
            </w:pPr>
            <w:r>
              <w:rPr>
                <w:szCs w:val="24"/>
              </w:rPr>
              <w:t xml:space="preserve">否</w:t>
            </w:r>
            <w:r/>
          </w:p>
        </w:tc>
      </w:tr>
      <w:tr>
        <w:trPr>
          <w:jc w:val="center"/>
          <w:trHeight w:val="287"/>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szCs w:val="24"/>
              </w:rPr>
              <w:t xml:space="preserve">2</w:t>
            </w:r>
            <w:r/>
          </w:p>
        </w:tc>
        <w:tc>
          <w:tcPr>
            <w:tcBorders>
              <w:left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软件系统运维服务</w:t>
            </w:r>
            <w:r/>
          </w:p>
        </w:tc>
        <w:tc>
          <w:tcPr>
            <w:shd w:val="clear" w:color="auto" w:fill="auto"/>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szCs w:val="24"/>
              </w:rPr>
              <w:t xml:space="preserve">门户网站监测</w:t>
            </w:r>
            <w:r/>
          </w:p>
        </w:tc>
        <w:tc>
          <w:tcPr>
            <w:gridSpan w:val="2"/>
            <w:shd w:val="clear" w:color="auto" w:fill="auto"/>
            <w:tcBorders>
              <w:top w:val="single" w:color="auto" w:sz="4" w:space="0"/>
              <w:left w:val="none" w:color="000000" w:sz="4" w:space="0"/>
              <w:bottom w:val="single" w:color="auto" w:sz="4" w:space="0"/>
              <w:right w:val="single" w:color="auto" w:sz="4" w:space="0"/>
            </w:tcBorders>
            <w:tcW w:w="852" w:type="pct"/>
            <w:vAlign w:val="center"/>
            <w:textDirection w:val="lrTb"/>
            <w:noWrap w:val="false"/>
          </w:tcPr>
          <w:p>
            <w:pPr>
              <w:jc w:val="center"/>
              <w:spacing w:line="276" w:lineRule="auto"/>
              <w:widowControl/>
              <w:rPr>
                <w:szCs w:val="24"/>
              </w:rPr>
            </w:pPr>
            <w:r>
              <w:rPr>
                <w:szCs w:val="24"/>
              </w:rPr>
              <w:t xml:space="preserve">1人</w:t>
            </w:r>
            <w:r/>
          </w:p>
        </w:tc>
        <w:tc>
          <w:tcPr>
            <w:shd w:val="clear" w:color="auto" w:fill="auto"/>
            <w:tcBorders>
              <w:top w:val="single" w:color="auto" w:sz="4" w:space="0"/>
              <w:left w:val="none" w:color="000000" w:sz="4" w:space="0"/>
              <w:bottom w:val="single" w:color="auto" w:sz="4" w:space="0"/>
              <w:right w:val="single" w:color="auto" w:sz="4" w:space="0"/>
            </w:tcBorders>
            <w:tcW w:w="758" w:type="pct"/>
            <w:vAlign w:val="center"/>
            <w:textDirection w:val="lrTb"/>
            <w:noWrap w:val="false"/>
          </w:tcPr>
          <w:p>
            <w:pPr>
              <w:jc w:val="center"/>
              <w:spacing w:line="276" w:lineRule="auto"/>
              <w:widowControl/>
              <w:rPr>
                <w:szCs w:val="24"/>
              </w:rPr>
            </w:pPr>
            <w:r>
              <w:rPr>
                <w:szCs w:val="24"/>
              </w:rPr>
              <w:t xml:space="preserve">否</w:t>
            </w:r>
            <w:r/>
          </w:p>
        </w:tc>
      </w:tr>
      <w:tr>
        <w:trPr>
          <w:jc w:val="center"/>
          <w:trHeight w:val="586"/>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rFonts w:hint="eastAsia"/>
                <w:szCs w:val="24"/>
              </w:rPr>
              <w:t xml:space="preserve">3</w:t>
            </w:r>
            <w:r/>
          </w:p>
        </w:tc>
        <w:tc>
          <w:tcPr>
            <w:tcBorders>
              <w:left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软件系统运维服务</w:t>
            </w:r>
            <w:r/>
          </w:p>
        </w:tc>
        <w:tc>
          <w:tcPr>
            <w:shd w:val="clear" w:color="auto" w:fill="auto"/>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szCs w:val="24"/>
              </w:rPr>
              <w:t xml:space="preserve">国资国企在线监管平台应用系统</w:t>
            </w:r>
            <w:r/>
          </w:p>
        </w:tc>
        <w:tc>
          <w:tcPr>
            <w:gridSpan w:val="2"/>
            <w:shd w:val="clear" w:color="auto" w:fill="auto"/>
            <w:tcBorders>
              <w:top w:val="single" w:color="auto" w:sz="4" w:space="0"/>
              <w:left w:val="none" w:color="000000" w:sz="4" w:space="0"/>
              <w:right w:val="single" w:color="auto" w:sz="4" w:space="0"/>
            </w:tcBorders>
            <w:tcW w:w="852" w:type="pct"/>
            <w:vAlign w:val="center"/>
            <w:textDirection w:val="lrTb"/>
            <w:noWrap w:val="false"/>
          </w:tcPr>
          <w:p>
            <w:pPr>
              <w:jc w:val="center"/>
              <w:spacing w:line="276" w:lineRule="auto"/>
              <w:widowControl/>
              <w:rPr>
                <w:szCs w:val="24"/>
              </w:rPr>
            </w:pPr>
            <w:r>
              <w:rPr>
                <w:szCs w:val="24"/>
              </w:rPr>
              <w:t xml:space="preserve">1人</w:t>
            </w:r>
            <w:r/>
          </w:p>
        </w:tc>
        <w:tc>
          <w:tcPr>
            <w:shd w:val="clear" w:color="auto" w:fill="auto"/>
            <w:tcBorders>
              <w:top w:val="single" w:color="auto" w:sz="4" w:space="0"/>
              <w:left w:val="none" w:color="000000" w:sz="4" w:space="0"/>
              <w:right w:val="single" w:color="auto" w:sz="4" w:space="0"/>
            </w:tcBorders>
            <w:tcW w:w="758" w:type="pct"/>
            <w:vAlign w:val="center"/>
            <w:textDirection w:val="lrTb"/>
            <w:noWrap w:val="false"/>
          </w:tcPr>
          <w:p>
            <w:pPr>
              <w:jc w:val="center"/>
              <w:spacing w:line="276" w:lineRule="auto"/>
              <w:widowControl/>
              <w:rPr>
                <w:szCs w:val="24"/>
              </w:rPr>
            </w:pPr>
            <w:r>
              <w:rPr>
                <w:szCs w:val="24"/>
              </w:rPr>
              <w:t xml:space="preserve">驻场</w:t>
            </w:r>
            <w:r/>
          </w:p>
        </w:tc>
      </w:tr>
      <w:tr>
        <w:trPr>
          <w:jc w:val="center"/>
          <w:trHeight w:val="287"/>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rFonts w:hint="eastAsia"/>
                <w:szCs w:val="24"/>
              </w:rPr>
              <w:t xml:space="preserve">4</w:t>
            </w:r>
            <w:r/>
          </w:p>
        </w:tc>
        <w:tc>
          <w:tcPr>
            <w:tcBorders>
              <w:left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软件系统运维服务</w:t>
            </w:r>
            <w:r/>
          </w:p>
        </w:tc>
        <w:tc>
          <w:tcPr>
            <w:shd w:val="clear" w:color="auto" w:fill="auto"/>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szCs w:val="24"/>
              </w:rPr>
              <w:t xml:space="preserve">国资国企在线监管平台</w:t>
            </w:r>
            <w:r>
              <w:rPr>
                <w:rFonts w:hint="eastAsia"/>
                <w:szCs w:val="24"/>
              </w:rPr>
              <w:t xml:space="preserve">“</w:t>
            </w:r>
            <w:r>
              <w:rPr>
                <w:szCs w:val="24"/>
              </w:rPr>
              <w:t xml:space="preserve">三重一大”</w:t>
            </w:r>
            <w:r>
              <w:t xml:space="preserve"> 决策和运行监管</w:t>
            </w:r>
            <w:r>
              <w:rPr>
                <w:szCs w:val="24"/>
              </w:rPr>
              <w:t xml:space="preserve">系统</w:t>
            </w:r>
            <w:r/>
          </w:p>
        </w:tc>
        <w:tc>
          <w:tcPr>
            <w:gridSpan w:val="2"/>
            <w:shd w:val="clear" w:color="auto" w:fill="auto"/>
            <w:tcBorders>
              <w:top w:val="single" w:color="auto" w:sz="4" w:space="0"/>
              <w:left w:val="none" w:color="000000" w:sz="4" w:space="0"/>
              <w:bottom w:val="single" w:color="auto" w:sz="4" w:space="0"/>
              <w:right w:val="single" w:color="auto" w:sz="4" w:space="0"/>
            </w:tcBorders>
            <w:tcW w:w="852" w:type="pct"/>
            <w:vAlign w:val="center"/>
            <w:textDirection w:val="lrTb"/>
            <w:noWrap w:val="false"/>
          </w:tcPr>
          <w:p>
            <w:pPr>
              <w:jc w:val="center"/>
              <w:spacing w:line="276" w:lineRule="auto"/>
              <w:widowControl/>
              <w:rPr>
                <w:szCs w:val="24"/>
              </w:rPr>
            </w:pPr>
            <w:r>
              <w:rPr>
                <w:szCs w:val="24"/>
              </w:rPr>
              <w:t xml:space="preserve">1人</w:t>
            </w:r>
            <w:r/>
          </w:p>
        </w:tc>
        <w:tc>
          <w:tcPr>
            <w:shd w:val="clear" w:color="auto" w:fill="auto"/>
            <w:tcBorders>
              <w:top w:val="single" w:color="auto" w:sz="4" w:space="0"/>
              <w:left w:val="none" w:color="000000" w:sz="4" w:space="0"/>
              <w:bottom w:val="single" w:color="auto" w:sz="4" w:space="0"/>
              <w:right w:val="single" w:color="auto" w:sz="4" w:space="0"/>
            </w:tcBorders>
            <w:tcW w:w="758" w:type="pct"/>
            <w:vAlign w:val="center"/>
            <w:textDirection w:val="lrTb"/>
            <w:noWrap w:val="false"/>
          </w:tcPr>
          <w:p>
            <w:pPr>
              <w:jc w:val="center"/>
              <w:spacing w:line="276" w:lineRule="auto"/>
              <w:widowControl/>
              <w:rPr>
                <w:szCs w:val="24"/>
              </w:rPr>
            </w:pPr>
            <w:r>
              <w:rPr>
                <w:szCs w:val="24"/>
              </w:rPr>
              <w:t xml:space="preserve">现场或定期维护</w:t>
            </w:r>
            <w:r/>
          </w:p>
        </w:tc>
      </w:tr>
      <w:tr>
        <w:trPr>
          <w:jc w:val="center"/>
          <w:trHeight w:val="263"/>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rFonts w:hint="eastAsia"/>
                <w:szCs w:val="24"/>
              </w:rPr>
              <w:t xml:space="preserve">5</w:t>
            </w:r>
            <w:r/>
          </w:p>
        </w:tc>
        <w:tc>
          <w:tcPr>
            <w:tcBorders>
              <w:left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软件系统运维服务</w:t>
            </w:r>
            <w:r/>
          </w:p>
        </w:tc>
        <w:tc>
          <w:tcPr>
            <w:shd w:val="clear" w:color="auto" w:fill="auto"/>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szCs w:val="24"/>
              </w:rPr>
              <w:t xml:space="preserve">国资国企在线监管平台数据中心</w:t>
            </w:r>
            <w:r/>
          </w:p>
        </w:tc>
        <w:tc>
          <w:tcPr>
            <w:gridSpan w:val="2"/>
            <w:shd w:val="clear" w:color="auto" w:fill="auto"/>
            <w:tcBorders>
              <w:top w:val="single" w:color="auto" w:sz="4" w:space="0"/>
              <w:left w:val="none" w:color="000000" w:sz="4" w:space="0"/>
              <w:right w:val="single" w:color="auto" w:sz="4" w:space="0"/>
            </w:tcBorders>
            <w:tcW w:w="852" w:type="pct"/>
            <w:vAlign w:val="center"/>
            <w:textDirection w:val="lrTb"/>
            <w:noWrap w:val="false"/>
          </w:tcPr>
          <w:p>
            <w:pPr>
              <w:jc w:val="center"/>
              <w:spacing w:line="276" w:lineRule="auto"/>
              <w:widowControl/>
              <w:rPr>
                <w:szCs w:val="24"/>
              </w:rPr>
            </w:pPr>
            <w:r>
              <w:rPr>
                <w:szCs w:val="24"/>
              </w:rPr>
              <w:t xml:space="preserve">2人</w:t>
            </w:r>
            <w:r/>
          </w:p>
        </w:tc>
        <w:tc>
          <w:tcPr>
            <w:shd w:val="clear" w:color="auto" w:fill="auto"/>
            <w:tcBorders>
              <w:top w:val="single" w:color="auto" w:sz="4" w:space="0"/>
              <w:left w:val="none" w:color="000000" w:sz="4" w:space="0"/>
              <w:right w:val="single" w:color="auto" w:sz="4" w:space="0"/>
            </w:tcBorders>
            <w:tcW w:w="758" w:type="pct"/>
            <w:vAlign w:val="center"/>
            <w:textDirection w:val="lrTb"/>
            <w:noWrap w:val="false"/>
          </w:tcPr>
          <w:p>
            <w:pPr>
              <w:jc w:val="center"/>
              <w:spacing w:line="276" w:lineRule="auto"/>
              <w:widowControl/>
              <w:rPr>
                <w:szCs w:val="24"/>
              </w:rPr>
            </w:pPr>
            <w:r>
              <w:rPr>
                <w:szCs w:val="24"/>
              </w:rPr>
              <w:t xml:space="preserve">驻场</w:t>
            </w:r>
            <w:r/>
          </w:p>
        </w:tc>
      </w:tr>
      <w:tr>
        <w:trPr>
          <w:jc w:val="center"/>
          <w:trHeight w:val="586"/>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rFonts w:hint="eastAsia"/>
                <w:szCs w:val="24"/>
              </w:rPr>
              <w:t xml:space="preserve">6</w:t>
            </w:r>
            <w:r/>
          </w:p>
        </w:tc>
        <w:tc>
          <w:tcPr>
            <w:tcBorders>
              <w:left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软件系统运维服务</w:t>
            </w:r>
            <w:r/>
          </w:p>
        </w:tc>
        <w:tc>
          <w:tcPr>
            <w:shd w:val="clear" w:color="auto" w:fill="auto"/>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szCs w:val="24"/>
              </w:rPr>
              <w:t xml:space="preserve">投资监管系统</w:t>
            </w:r>
            <w:r/>
          </w:p>
        </w:tc>
        <w:tc>
          <w:tcPr>
            <w:gridSpan w:val="2"/>
            <w:shd w:val="clear" w:color="auto" w:fill="auto"/>
            <w:tcBorders>
              <w:left w:val="none" w:color="000000" w:sz="4" w:space="0"/>
              <w:bottom w:val="single" w:color="auto" w:sz="4" w:space="0"/>
              <w:right w:val="single" w:color="auto" w:sz="4" w:space="0"/>
            </w:tcBorders>
            <w:tcW w:w="852" w:type="pct"/>
            <w:vAlign w:val="center"/>
            <w:textDirection w:val="lrTb"/>
            <w:noWrap w:val="false"/>
          </w:tcPr>
          <w:p>
            <w:pPr>
              <w:jc w:val="center"/>
              <w:spacing w:line="276" w:lineRule="auto"/>
              <w:rPr>
                <w:szCs w:val="24"/>
              </w:rPr>
            </w:pPr>
            <w:r>
              <w:rPr>
                <w:szCs w:val="24"/>
              </w:rPr>
              <w:t xml:space="preserve">1人</w:t>
            </w:r>
            <w:r/>
          </w:p>
        </w:tc>
        <w:tc>
          <w:tcPr>
            <w:shd w:val="clear" w:color="auto" w:fill="auto"/>
            <w:tcBorders>
              <w:left w:val="none" w:color="000000" w:sz="4" w:space="0"/>
              <w:bottom w:val="single" w:color="auto" w:sz="4" w:space="0"/>
              <w:right w:val="single" w:color="auto" w:sz="4" w:space="0"/>
            </w:tcBorders>
            <w:tcW w:w="758" w:type="pct"/>
            <w:vAlign w:val="center"/>
            <w:textDirection w:val="lrTb"/>
            <w:noWrap w:val="false"/>
          </w:tcPr>
          <w:p>
            <w:pPr>
              <w:jc w:val="center"/>
              <w:spacing w:line="276" w:lineRule="auto"/>
              <w:widowControl/>
              <w:rPr>
                <w:szCs w:val="24"/>
              </w:rPr>
            </w:pPr>
            <w:r>
              <w:rPr>
                <w:szCs w:val="24"/>
              </w:rPr>
              <w:t xml:space="preserve">现场或定期维护</w:t>
            </w:r>
            <w:r/>
          </w:p>
        </w:tc>
      </w:tr>
      <w:tr>
        <w:trPr>
          <w:jc w:val="center"/>
          <w:trHeight w:val="287"/>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rFonts w:hint="eastAsia"/>
                <w:szCs w:val="24"/>
              </w:rPr>
              <w:t xml:space="preserve">7</w:t>
            </w:r>
            <w:r/>
          </w:p>
        </w:tc>
        <w:tc>
          <w:tcPr>
            <w:tcBorders>
              <w:left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软件系统运维服务</w:t>
            </w:r>
            <w:r/>
          </w:p>
        </w:tc>
        <w:tc>
          <w:tcPr>
            <w:shd w:val="clear" w:color="auto" w:fill="auto"/>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rFonts w:hint="eastAsia"/>
                <w:szCs w:val="24"/>
              </w:rPr>
              <w:t xml:space="preserve">电子</w:t>
            </w:r>
            <w:r>
              <w:rPr>
                <w:szCs w:val="24"/>
              </w:rPr>
              <w:t xml:space="preserve">政务平台</w:t>
            </w:r>
            <w:r/>
          </w:p>
        </w:tc>
        <w:tc>
          <w:tcPr>
            <w:shd w:val="clear" w:color="auto" w:fill="auto"/>
            <w:tcBorders>
              <w:top w:val="single" w:color="auto" w:sz="4" w:space="0"/>
              <w:left w:val="none" w:color="000000" w:sz="4" w:space="0"/>
              <w:bottom w:val="single" w:color="auto" w:sz="4" w:space="0"/>
              <w:right w:val="single" w:color="auto" w:sz="4" w:space="0"/>
            </w:tcBorders>
            <w:tcW w:w="845" w:type="pct"/>
            <w:vAlign w:val="center"/>
            <w:textDirection w:val="lrTb"/>
            <w:noWrap w:val="false"/>
          </w:tcPr>
          <w:p>
            <w:pPr>
              <w:jc w:val="center"/>
              <w:spacing w:line="276" w:lineRule="auto"/>
              <w:widowControl/>
              <w:rPr>
                <w:szCs w:val="24"/>
              </w:rPr>
            </w:pPr>
            <w:r>
              <w:rPr>
                <w:szCs w:val="24"/>
              </w:rPr>
              <w:t xml:space="preserve">1人</w:t>
            </w:r>
            <w:r/>
          </w:p>
        </w:tc>
        <w:tc>
          <w:tcPr>
            <w:gridSpan w:val="2"/>
            <w:shd w:val="clear" w:color="auto" w:fill="auto"/>
            <w:tcBorders>
              <w:top w:val="single" w:color="auto" w:sz="4" w:space="0"/>
              <w:left w:val="none" w:color="000000" w:sz="4" w:space="0"/>
              <w:bottom w:val="single" w:color="auto" w:sz="4" w:space="0"/>
              <w:right w:val="single" w:color="auto" w:sz="4" w:space="0"/>
            </w:tcBorders>
            <w:tcW w:w="765" w:type="pct"/>
            <w:vAlign w:val="center"/>
            <w:textDirection w:val="lrTb"/>
            <w:noWrap w:val="false"/>
          </w:tcPr>
          <w:p>
            <w:pPr>
              <w:jc w:val="center"/>
              <w:spacing w:line="276" w:lineRule="auto"/>
              <w:widowControl/>
              <w:rPr>
                <w:szCs w:val="24"/>
              </w:rPr>
            </w:pPr>
            <w:r>
              <w:rPr>
                <w:szCs w:val="24"/>
              </w:rPr>
              <w:t xml:space="preserve">驻场</w:t>
            </w:r>
            <w:r/>
          </w:p>
        </w:tc>
      </w:tr>
      <w:tr>
        <w:trPr>
          <w:jc w:val="center"/>
          <w:trHeight w:val="287"/>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rFonts w:hint="eastAsia"/>
                <w:szCs w:val="24"/>
              </w:rPr>
              <w:t xml:space="preserve">8</w:t>
            </w:r>
            <w:r/>
          </w:p>
        </w:tc>
        <w:tc>
          <w:tcPr>
            <w:tcBorders>
              <w:left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软件系统运维服务</w:t>
            </w:r>
            <w:r/>
          </w:p>
        </w:tc>
        <w:tc>
          <w:tcPr>
            <w:shd w:val="clear" w:color="auto" w:fill="auto"/>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szCs w:val="24"/>
              </w:rPr>
              <w:t xml:space="preserve">干部人才管理系统</w:t>
            </w:r>
            <w:r/>
          </w:p>
        </w:tc>
        <w:tc>
          <w:tcPr>
            <w:shd w:val="clear" w:color="auto" w:fill="auto"/>
            <w:tcBorders>
              <w:top w:val="single" w:color="auto" w:sz="4" w:space="0"/>
              <w:left w:val="none" w:color="000000" w:sz="4" w:space="0"/>
              <w:bottom w:val="single" w:color="auto" w:sz="4" w:space="0"/>
              <w:right w:val="single" w:color="auto" w:sz="4" w:space="0"/>
            </w:tcBorders>
            <w:tcW w:w="845" w:type="pct"/>
            <w:vAlign w:val="center"/>
            <w:textDirection w:val="lrTb"/>
            <w:noWrap w:val="false"/>
          </w:tcPr>
          <w:p>
            <w:pPr>
              <w:jc w:val="center"/>
              <w:spacing w:line="276" w:lineRule="auto"/>
              <w:widowControl/>
              <w:rPr>
                <w:szCs w:val="24"/>
              </w:rPr>
            </w:pPr>
            <w:r>
              <w:rPr>
                <w:szCs w:val="24"/>
              </w:rPr>
              <w:t xml:space="preserve">1人</w:t>
            </w:r>
            <w:r/>
          </w:p>
        </w:tc>
        <w:tc>
          <w:tcPr>
            <w:gridSpan w:val="2"/>
            <w:shd w:val="clear" w:color="auto" w:fill="auto"/>
            <w:tcBorders>
              <w:top w:val="single" w:color="auto" w:sz="4" w:space="0"/>
              <w:left w:val="none" w:color="000000" w:sz="4" w:space="0"/>
              <w:bottom w:val="single" w:color="auto" w:sz="4" w:space="0"/>
              <w:right w:val="single" w:color="auto" w:sz="4" w:space="0"/>
            </w:tcBorders>
            <w:tcW w:w="765" w:type="pct"/>
            <w:vAlign w:val="center"/>
            <w:textDirection w:val="lrTb"/>
            <w:noWrap w:val="false"/>
          </w:tcPr>
          <w:p>
            <w:pPr>
              <w:jc w:val="center"/>
              <w:spacing w:line="276" w:lineRule="auto"/>
              <w:widowControl/>
              <w:rPr>
                <w:szCs w:val="24"/>
              </w:rPr>
            </w:pPr>
            <w:r>
              <w:rPr>
                <w:szCs w:val="24"/>
              </w:rPr>
              <w:t xml:space="preserve">现场或定期维护</w:t>
            </w:r>
            <w:r/>
          </w:p>
        </w:tc>
      </w:tr>
      <w:tr>
        <w:trPr>
          <w:jc w:val="center"/>
          <w:trHeight w:val="287"/>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rFonts w:hint="eastAsia"/>
                <w:szCs w:val="24"/>
              </w:rPr>
              <w:t xml:space="preserve">9</w:t>
            </w:r>
            <w:r/>
          </w:p>
        </w:tc>
        <w:tc>
          <w:tcPr>
            <w:tcBorders>
              <w:left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软件系统运维服务</w:t>
            </w:r>
            <w:r/>
          </w:p>
        </w:tc>
        <w:tc>
          <w:tcPr>
            <w:shd w:val="clear" w:color="auto" w:fill="auto"/>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szCs w:val="24"/>
              </w:rPr>
              <w:t xml:space="preserve">财务监管系统</w:t>
            </w:r>
            <w:r/>
          </w:p>
        </w:tc>
        <w:tc>
          <w:tcPr>
            <w:shd w:val="clear" w:color="auto" w:fill="auto"/>
            <w:tcBorders>
              <w:top w:val="single" w:color="auto" w:sz="4" w:space="0"/>
              <w:left w:val="none" w:color="000000" w:sz="4" w:space="0"/>
              <w:bottom w:val="single" w:color="auto" w:sz="4" w:space="0"/>
              <w:right w:val="single" w:color="auto" w:sz="4" w:space="0"/>
            </w:tcBorders>
            <w:tcW w:w="845" w:type="pct"/>
            <w:vAlign w:val="center"/>
            <w:textDirection w:val="lrTb"/>
            <w:noWrap w:val="false"/>
          </w:tcPr>
          <w:p>
            <w:pPr>
              <w:jc w:val="center"/>
              <w:spacing w:line="276" w:lineRule="auto"/>
              <w:widowControl/>
              <w:rPr>
                <w:szCs w:val="24"/>
              </w:rPr>
            </w:pPr>
            <w:r>
              <w:rPr>
                <w:szCs w:val="24"/>
              </w:rPr>
              <w:t xml:space="preserve">1人</w:t>
            </w:r>
            <w:r/>
          </w:p>
        </w:tc>
        <w:tc>
          <w:tcPr>
            <w:gridSpan w:val="2"/>
            <w:shd w:val="clear" w:color="auto" w:fill="auto"/>
            <w:tcBorders>
              <w:top w:val="single" w:color="auto" w:sz="4" w:space="0"/>
              <w:left w:val="none" w:color="000000" w:sz="4" w:space="0"/>
              <w:bottom w:val="single" w:color="auto" w:sz="4" w:space="0"/>
              <w:right w:val="single" w:color="auto" w:sz="4" w:space="0"/>
            </w:tcBorders>
            <w:tcW w:w="765" w:type="pct"/>
            <w:vAlign w:val="center"/>
            <w:textDirection w:val="lrTb"/>
            <w:noWrap w:val="false"/>
          </w:tcPr>
          <w:p>
            <w:pPr>
              <w:jc w:val="center"/>
              <w:spacing w:line="276" w:lineRule="auto"/>
              <w:widowControl/>
              <w:rPr>
                <w:szCs w:val="24"/>
              </w:rPr>
            </w:pPr>
            <w:r>
              <w:rPr>
                <w:szCs w:val="24"/>
              </w:rPr>
              <w:t xml:space="preserve">现场或定期维护</w:t>
            </w:r>
            <w:r/>
          </w:p>
        </w:tc>
      </w:tr>
      <w:tr>
        <w:trPr>
          <w:jc w:val="center"/>
          <w:trHeight w:val="287"/>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szCs w:val="24"/>
              </w:rPr>
              <w:t xml:space="preserve">1</w:t>
            </w:r>
            <w:r>
              <w:rPr>
                <w:rFonts w:hint="eastAsia"/>
                <w:szCs w:val="24"/>
              </w:rPr>
              <w:t xml:space="preserve">0</w:t>
            </w:r>
            <w:r/>
          </w:p>
        </w:tc>
        <w:tc>
          <w:tcPr>
            <w:tcBorders>
              <w:left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软件系统运维服务</w:t>
            </w:r>
            <w:r/>
          </w:p>
        </w:tc>
        <w:tc>
          <w:tcPr>
            <w:shd w:val="clear" w:color="auto" w:fill="auto"/>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szCs w:val="24"/>
              </w:rPr>
              <w:t xml:space="preserve">产权管理系统</w:t>
            </w:r>
            <w:r/>
          </w:p>
        </w:tc>
        <w:tc>
          <w:tcPr>
            <w:gridSpan w:val="2"/>
            <w:shd w:val="clear" w:color="auto" w:fill="auto"/>
            <w:tcBorders>
              <w:top w:val="single" w:color="auto" w:sz="4" w:space="0"/>
              <w:left w:val="none" w:color="000000" w:sz="4" w:space="0"/>
              <w:bottom w:val="single" w:color="auto" w:sz="4" w:space="0"/>
              <w:right w:val="single" w:color="auto" w:sz="4" w:space="0"/>
            </w:tcBorders>
            <w:tcW w:w="852" w:type="pct"/>
            <w:vAlign w:val="center"/>
            <w:textDirection w:val="lrTb"/>
            <w:noWrap w:val="false"/>
          </w:tcPr>
          <w:p>
            <w:pPr>
              <w:jc w:val="center"/>
              <w:spacing w:line="276" w:lineRule="auto"/>
              <w:widowControl/>
              <w:rPr>
                <w:szCs w:val="24"/>
              </w:rPr>
            </w:pPr>
            <w:r>
              <w:rPr>
                <w:szCs w:val="24"/>
              </w:rPr>
              <w:t xml:space="preserve">1人</w:t>
            </w:r>
            <w:r/>
          </w:p>
        </w:tc>
        <w:tc>
          <w:tcPr>
            <w:shd w:val="clear" w:color="auto" w:fill="auto"/>
            <w:tcBorders>
              <w:top w:val="single" w:color="auto" w:sz="4" w:space="0"/>
              <w:left w:val="none" w:color="000000" w:sz="4" w:space="0"/>
              <w:bottom w:val="single" w:color="auto" w:sz="4" w:space="0"/>
              <w:right w:val="single" w:color="auto" w:sz="4" w:space="0"/>
            </w:tcBorders>
            <w:tcW w:w="758" w:type="pct"/>
            <w:vAlign w:val="center"/>
            <w:textDirection w:val="lrTb"/>
            <w:noWrap w:val="false"/>
          </w:tcPr>
          <w:p>
            <w:pPr>
              <w:jc w:val="center"/>
              <w:spacing w:line="276" w:lineRule="auto"/>
              <w:widowControl/>
              <w:rPr>
                <w:szCs w:val="24"/>
              </w:rPr>
            </w:pPr>
            <w:r>
              <w:rPr>
                <w:szCs w:val="24"/>
              </w:rPr>
              <w:t xml:space="preserve">现场或定期维护</w:t>
            </w:r>
            <w:r/>
          </w:p>
        </w:tc>
      </w:tr>
      <w:tr>
        <w:trPr>
          <w:jc w:val="center"/>
          <w:trHeight w:val="508"/>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szCs w:val="24"/>
              </w:rPr>
              <w:t xml:space="preserve">1</w:t>
            </w:r>
            <w:r>
              <w:rPr>
                <w:rFonts w:hint="eastAsia"/>
                <w:szCs w:val="24"/>
              </w:rPr>
              <w:t xml:space="preserve">1</w:t>
            </w:r>
            <w:r/>
          </w:p>
        </w:tc>
        <w:tc>
          <w:tcPr>
            <w:tcBorders>
              <w:top w:val="single" w:color="auto" w:sz="4" w:space="0"/>
              <w:left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硬件设备运维服务</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szCs w:val="24"/>
              </w:rPr>
              <w:t xml:space="preserve">机房服务器、网络运维</w:t>
            </w:r>
            <w:r/>
          </w:p>
        </w:tc>
        <w:tc>
          <w:tcPr>
            <w:gridSpan w:val="2"/>
            <w:tcBorders>
              <w:top w:val="single" w:color="auto" w:sz="4" w:space="0"/>
              <w:left w:val="none" w:color="000000" w:sz="4" w:space="0"/>
              <w:bottom w:val="single" w:color="auto" w:sz="4" w:space="0"/>
              <w:right w:val="single" w:color="auto" w:sz="4" w:space="0"/>
            </w:tcBorders>
            <w:tcW w:w="852" w:type="pct"/>
            <w:vAlign w:val="center"/>
            <w:textDirection w:val="lrTb"/>
            <w:noWrap w:val="false"/>
          </w:tcPr>
          <w:p>
            <w:pPr>
              <w:jc w:val="center"/>
              <w:spacing w:line="276" w:lineRule="auto"/>
              <w:widowControl/>
              <w:rPr>
                <w:szCs w:val="24"/>
              </w:rPr>
            </w:pPr>
            <w:r>
              <w:rPr>
                <w:szCs w:val="24"/>
              </w:rPr>
              <w:t xml:space="preserve">1人</w:t>
            </w:r>
            <w:r/>
          </w:p>
        </w:tc>
        <w:tc>
          <w:tcPr>
            <w:tcBorders>
              <w:top w:val="single" w:color="auto" w:sz="4" w:space="0"/>
              <w:left w:val="none" w:color="000000" w:sz="4" w:space="0"/>
              <w:bottom w:val="single" w:color="auto" w:sz="4" w:space="0"/>
              <w:right w:val="single" w:color="auto" w:sz="4" w:space="0"/>
            </w:tcBorders>
            <w:tcW w:w="758" w:type="pct"/>
            <w:vAlign w:val="center"/>
            <w:textDirection w:val="lrTb"/>
            <w:noWrap w:val="false"/>
          </w:tcPr>
          <w:p>
            <w:pPr>
              <w:jc w:val="center"/>
              <w:spacing w:line="276" w:lineRule="auto"/>
              <w:widowControl/>
              <w:rPr>
                <w:szCs w:val="24"/>
              </w:rPr>
            </w:pPr>
            <w:r>
              <w:rPr>
                <w:szCs w:val="24"/>
              </w:rPr>
              <w:t xml:space="preserve">驻场</w:t>
            </w:r>
            <w:r/>
          </w:p>
        </w:tc>
      </w:tr>
      <w:tr>
        <w:trPr>
          <w:jc w:val="center"/>
          <w:trHeight w:val="287"/>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szCs w:val="24"/>
              </w:rPr>
              <w:t xml:space="preserve">1</w:t>
            </w:r>
            <w:r>
              <w:rPr>
                <w:rFonts w:hint="eastAsia"/>
                <w:szCs w:val="24"/>
              </w:rPr>
              <w:t xml:space="preserve">2</w:t>
            </w:r>
            <w:r/>
          </w:p>
        </w:tc>
        <w:tc>
          <w:tcPr>
            <w:tcBorders>
              <w:left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硬件设备运维服务</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szCs w:val="24"/>
              </w:rPr>
              <w:t xml:space="preserve">办公电脑等设备维护</w:t>
            </w:r>
            <w:r/>
          </w:p>
        </w:tc>
        <w:tc>
          <w:tcPr>
            <w:gridSpan w:val="2"/>
            <w:tcBorders>
              <w:top w:val="single" w:color="auto" w:sz="4" w:space="0"/>
              <w:left w:val="none" w:color="000000" w:sz="4" w:space="0"/>
              <w:bottom w:val="single" w:color="auto" w:sz="4" w:space="0"/>
              <w:right w:val="single" w:color="auto" w:sz="4" w:space="0"/>
            </w:tcBorders>
            <w:tcW w:w="852" w:type="pct"/>
            <w:vAlign w:val="center"/>
            <w:textDirection w:val="lrTb"/>
            <w:noWrap w:val="false"/>
          </w:tcPr>
          <w:p>
            <w:pPr>
              <w:jc w:val="center"/>
              <w:spacing w:line="276" w:lineRule="auto"/>
              <w:widowControl/>
              <w:rPr>
                <w:szCs w:val="24"/>
              </w:rPr>
            </w:pPr>
            <w:r>
              <w:rPr>
                <w:szCs w:val="24"/>
              </w:rPr>
              <w:t xml:space="preserve">1人</w:t>
            </w:r>
            <w:r/>
          </w:p>
        </w:tc>
        <w:tc>
          <w:tcPr>
            <w:tcBorders>
              <w:top w:val="single" w:color="auto" w:sz="4" w:space="0"/>
              <w:left w:val="none" w:color="000000" w:sz="4" w:space="0"/>
              <w:bottom w:val="single" w:color="auto" w:sz="4" w:space="0"/>
              <w:right w:val="single" w:color="auto" w:sz="4" w:space="0"/>
            </w:tcBorders>
            <w:tcW w:w="758" w:type="pct"/>
            <w:vAlign w:val="center"/>
            <w:textDirection w:val="lrTb"/>
            <w:noWrap w:val="false"/>
          </w:tcPr>
          <w:p>
            <w:pPr>
              <w:jc w:val="center"/>
              <w:spacing w:line="276" w:lineRule="auto"/>
              <w:widowControl/>
              <w:rPr>
                <w:szCs w:val="24"/>
              </w:rPr>
            </w:pPr>
            <w:r>
              <w:rPr>
                <w:szCs w:val="24"/>
              </w:rPr>
              <w:t xml:space="preserve">驻场</w:t>
            </w:r>
            <w:r/>
          </w:p>
        </w:tc>
      </w:tr>
      <w:tr>
        <w:trPr>
          <w:jc w:val="center"/>
          <w:trHeight w:val="287"/>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szCs w:val="24"/>
              </w:rPr>
              <w:t xml:space="preserve">1</w:t>
            </w:r>
            <w:r>
              <w:rPr>
                <w:rFonts w:hint="eastAsia"/>
                <w:szCs w:val="24"/>
              </w:rPr>
              <w:t xml:space="preserve">3</w:t>
            </w:r>
            <w:r/>
          </w:p>
        </w:tc>
        <w:tc>
          <w:tcPr>
            <w:tcBorders>
              <w:left w:val="single" w:color="auto" w:sz="4" w:space="0"/>
              <w:bottom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硬件设备运维服务</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szCs w:val="24"/>
              </w:rPr>
              <w:t xml:space="preserve">国信CA服务费</w:t>
            </w:r>
            <w:r/>
          </w:p>
        </w:tc>
        <w:tc>
          <w:tcPr>
            <w:gridSpan w:val="2"/>
            <w:tcBorders>
              <w:left w:val="none" w:color="000000" w:sz="4" w:space="0"/>
              <w:bottom w:val="single" w:color="auto" w:sz="4" w:space="0"/>
              <w:right w:val="single" w:color="auto" w:sz="4" w:space="0"/>
            </w:tcBorders>
            <w:tcW w:w="852" w:type="pct"/>
            <w:vAlign w:val="center"/>
            <w:textDirection w:val="lrTb"/>
            <w:noWrap w:val="false"/>
          </w:tcPr>
          <w:p>
            <w:pPr>
              <w:jc w:val="center"/>
              <w:spacing w:line="276" w:lineRule="auto"/>
              <w:widowControl/>
              <w:rPr>
                <w:szCs w:val="24"/>
              </w:rPr>
            </w:pPr>
            <w:r>
              <w:rPr>
                <w:szCs w:val="24"/>
              </w:rPr>
              <w:t xml:space="preserve">1人</w:t>
            </w:r>
            <w:r/>
          </w:p>
        </w:tc>
        <w:tc>
          <w:tcPr>
            <w:tcBorders>
              <w:left w:val="none" w:color="000000" w:sz="4" w:space="0"/>
              <w:bottom w:val="single" w:color="auto" w:sz="4" w:space="0"/>
              <w:right w:val="single" w:color="auto" w:sz="4" w:space="0"/>
            </w:tcBorders>
            <w:tcW w:w="758" w:type="pct"/>
            <w:vAlign w:val="center"/>
            <w:textDirection w:val="lrTb"/>
            <w:noWrap w:val="false"/>
          </w:tcPr>
          <w:p>
            <w:pPr>
              <w:jc w:val="center"/>
              <w:spacing w:line="276" w:lineRule="auto"/>
              <w:widowControl/>
              <w:rPr>
                <w:szCs w:val="24"/>
              </w:rPr>
            </w:pPr>
            <w:r>
              <w:rPr>
                <w:szCs w:val="24"/>
              </w:rPr>
              <w:t xml:space="preserve">否</w:t>
            </w:r>
            <w:r/>
          </w:p>
        </w:tc>
      </w:tr>
      <w:tr>
        <w:trPr>
          <w:jc w:val="center"/>
          <w:trHeight w:val="509"/>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276" w:lineRule="auto"/>
              <w:widowControl/>
              <w:rPr>
                <w:szCs w:val="24"/>
              </w:rPr>
            </w:pPr>
            <w:r>
              <w:rPr>
                <w:szCs w:val="24"/>
              </w:rPr>
              <w:t xml:space="preserve">1</w:t>
            </w:r>
            <w:r>
              <w:rPr>
                <w:rFonts w:hint="eastAsia"/>
                <w:szCs w:val="24"/>
              </w:rPr>
              <w:t xml:space="preserve">4</w:t>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line="276" w:lineRule="auto"/>
              <w:widowControl/>
              <w:rPr>
                <w:szCs w:val="24"/>
              </w:rPr>
            </w:pPr>
            <w:r>
              <w:rPr>
                <w:szCs w:val="24"/>
              </w:rPr>
              <w:t xml:space="preserve">信息安全运维服务</w:t>
            </w:r>
            <w:r/>
          </w:p>
        </w:tc>
        <w:tc>
          <w:tcPr>
            <w:tcBorders>
              <w:top w:val="single" w:color="auto" w:sz="4" w:space="0"/>
              <w:left w:val="single" w:color="auto" w:sz="4" w:space="0"/>
              <w:bottom w:val="single" w:color="auto" w:sz="4" w:space="0"/>
              <w:right w:val="single" w:color="auto" w:sz="4" w:space="0"/>
            </w:tcBorders>
            <w:tcW w:w="1610" w:type="pct"/>
            <w:vAlign w:val="center"/>
            <w:textDirection w:val="lrTb"/>
            <w:noWrap w:val="false"/>
          </w:tcPr>
          <w:p>
            <w:pPr>
              <w:jc w:val="center"/>
              <w:spacing w:line="276" w:lineRule="auto"/>
              <w:widowControl/>
              <w:rPr>
                <w:szCs w:val="24"/>
              </w:rPr>
            </w:pPr>
            <w:r>
              <w:rPr>
                <w:szCs w:val="24"/>
              </w:rPr>
              <w:t xml:space="preserve">信息安全运维服务</w:t>
            </w:r>
            <w:r/>
          </w:p>
        </w:tc>
        <w:tc>
          <w:tcPr>
            <w:gridSpan w:val="2"/>
            <w:tcBorders>
              <w:top w:val="single" w:color="auto" w:sz="4" w:space="0"/>
              <w:left w:val="none" w:color="000000" w:sz="4" w:space="0"/>
              <w:bottom w:val="single" w:color="auto" w:sz="4" w:space="0"/>
              <w:right w:val="single" w:color="auto" w:sz="4" w:space="0"/>
            </w:tcBorders>
            <w:tcW w:w="852" w:type="pct"/>
            <w:vAlign w:val="center"/>
            <w:textDirection w:val="lrTb"/>
            <w:noWrap w:val="false"/>
          </w:tcPr>
          <w:p>
            <w:pPr>
              <w:jc w:val="center"/>
              <w:spacing w:line="276" w:lineRule="auto"/>
              <w:widowControl/>
              <w:rPr>
                <w:szCs w:val="24"/>
              </w:rPr>
            </w:pPr>
            <w:r>
              <w:rPr>
                <w:szCs w:val="24"/>
              </w:rPr>
              <w:t xml:space="preserve">1人</w:t>
            </w:r>
            <w:r/>
          </w:p>
        </w:tc>
        <w:tc>
          <w:tcPr>
            <w:tcBorders>
              <w:top w:val="single" w:color="auto" w:sz="4" w:space="0"/>
              <w:left w:val="none" w:color="000000" w:sz="4" w:space="0"/>
              <w:bottom w:val="single" w:color="auto" w:sz="4" w:space="0"/>
              <w:right w:val="single" w:color="auto" w:sz="4" w:space="0"/>
            </w:tcBorders>
            <w:tcW w:w="758" w:type="pct"/>
            <w:vAlign w:val="center"/>
            <w:textDirection w:val="lrTb"/>
            <w:noWrap w:val="false"/>
          </w:tcPr>
          <w:p>
            <w:pPr>
              <w:jc w:val="center"/>
              <w:keepNext/>
              <w:spacing w:line="276" w:lineRule="auto"/>
              <w:widowControl/>
              <w:rPr>
                <w:szCs w:val="24"/>
              </w:rPr>
            </w:pPr>
            <w:r>
              <w:rPr>
                <w:szCs w:val="24"/>
              </w:rPr>
              <w:t xml:space="preserve">现场或定期维护</w:t>
            </w:r>
            <w:r/>
          </w:p>
        </w:tc>
      </w:tr>
      <w:tr>
        <w:trPr>
          <w:jc w:val="center"/>
          <w:trHeight w:val="329"/>
        </w:trPr>
        <w:tc>
          <w:tcPr>
            <w:tcW w:w="424" w:type="pct"/>
            <w:textDirection w:val="lrTb"/>
            <w:noWrap w:val="false"/>
          </w:tcPr>
          <w:p>
            <w:pPr>
              <w:jc w:val="center"/>
              <w:spacing w:line="276" w:lineRule="auto"/>
              <w:widowControl/>
              <w:rPr>
                <w:szCs w:val="24"/>
              </w:rPr>
            </w:pPr>
            <w:r>
              <w:rPr>
                <w:rFonts w:hint="eastAsia"/>
                <w:szCs w:val="24"/>
              </w:rPr>
              <w:t xml:space="preserve">15</w:t>
            </w:r>
            <w:r/>
          </w:p>
        </w:tc>
        <w:tc>
          <w:tcPr>
            <w:tcW w:w="1356" w:type="pct"/>
            <w:textDirection w:val="lrTb"/>
            <w:noWrap w:val="false"/>
          </w:tcPr>
          <w:p>
            <w:pPr>
              <w:jc w:val="center"/>
              <w:spacing w:line="276" w:lineRule="auto"/>
              <w:widowControl/>
              <w:rPr>
                <w:szCs w:val="24"/>
              </w:rPr>
            </w:pPr>
            <w:r>
              <w:rPr>
                <w:szCs w:val="24"/>
              </w:rPr>
              <w:t xml:space="preserve">运维管理服务</w:t>
            </w:r>
            <w:r/>
          </w:p>
        </w:tc>
        <w:tc>
          <w:tcPr>
            <w:tcW w:w="1610" w:type="pct"/>
            <w:textDirection w:val="lrTb"/>
            <w:noWrap w:val="false"/>
          </w:tcPr>
          <w:p>
            <w:pPr>
              <w:jc w:val="center"/>
              <w:spacing w:line="276" w:lineRule="auto"/>
              <w:widowControl/>
              <w:rPr>
                <w:szCs w:val="24"/>
              </w:rPr>
            </w:pPr>
            <w:r>
              <w:rPr>
                <w:szCs w:val="24"/>
              </w:rPr>
              <w:t xml:space="preserve">信息化运维管理服务</w:t>
            </w:r>
            <w:r/>
          </w:p>
        </w:tc>
        <w:tc>
          <w:tcPr>
            <w:gridSpan w:val="2"/>
            <w:tcW w:w="852" w:type="pct"/>
            <w:textDirection w:val="lrTb"/>
            <w:noWrap w:val="false"/>
          </w:tcPr>
          <w:p>
            <w:pPr>
              <w:jc w:val="center"/>
              <w:spacing w:line="276" w:lineRule="auto"/>
              <w:widowControl/>
              <w:rPr>
                <w:szCs w:val="24"/>
              </w:rPr>
            </w:pPr>
            <w:r>
              <w:rPr>
                <w:szCs w:val="24"/>
              </w:rPr>
              <w:t xml:space="preserve">2人</w:t>
            </w:r>
            <w:r/>
          </w:p>
        </w:tc>
        <w:tc>
          <w:tcPr>
            <w:tcW w:w="758" w:type="pct"/>
            <w:textDirection w:val="lrTb"/>
            <w:noWrap w:val="false"/>
          </w:tcPr>
          <w:p>
            <w:pPr>
              <w:jc w:val="center"/>
              <w:spacing w:line="276" w:lineRule="auto"/>
              <w:widowControl/>
              <w:rPr>
                <w:szCs w:val="24"/>
              </w:rPr>
            </w:pPr>
            <w:r>
              <w:rPr>
                <w:szCs w:val="24"/>
              </w:rPr>
              <w:t xml:space="preserve">驻场</w:t>
            </w:r>
            <w:r/>
          </w:p>
        </w:tc>
      </w:tr>
    </w:tbl>
    <w:p>
      <w:pPr>
        <w:ind w:firstLine="482"/>
        <w:rPr>
          <w:b/>
          <w:bCs/>
        </w:rPr>
      </w:pPr>
      <w:r>
        <w:rPr>
          <w:rFonts w:hint="eastAsia"/>
          <w:b/>
          <w:bCs/>
        </w:rPr>
        <w:t xml:space="preserve">注：在技术能力覆盖范围内，驻场人员可以多个运维服务工作兼职</w:t>
      </w:r>
      <w:r/>
    </w:p>
    <w:p>
      <w:pPr>
        <w:ind w:firstLine="482"/>
        <w:rPr>
          <w:b/>
          <w:bCs/>
        </w:rPr>
      </w:pPr>
      <w:r>
        <w:rPr>
          <w:b/>
          <w:bCs/>
        </w:rPr>
        <w:t xml:space="preserve">3</w:t>
      </w:r>
      <w:r>
        <w:rPr>
          <w:rFonts w:hint="eastAsia"/>
          <w:b/>
          <w:bCs/>
        </w:rPr>
        <w:t xml:space="preserve">、项目管理要求</w:t>
      </w:r>
      <w:r/>
    </w:p>
    <w:p>
      <w:pPr>
        <w:ind w:firstLine="480"/>
      </w:pPr>
      <w:r>
        <w:rPr>
          <w:rFonts w:hint="eastAsia"/>
        </w:rPr>
        <w:t xml:space="preserve">维护团队需派遣一名具有专业知识的资深管理人员负责本项目的项目管理，统筹相关工作，项目监督与情况汇报，控制工作质量和预算，执行变更和应急情况管理，并根据实际状况调整服务方人员安排，以保证此项目的正常高效运作。</w:t>
      </w:r>
      <w:r/>
    </w:p>
    <w:p>
      <w:pPr>
        <w:ind w:firstLine="482"/>
        <w:rPr>
          <w:b/>
          <w:bCs/>
        </w:rPr>
      </w:pPr>
      <w:r>
        <w:rPr>
          <w:b/>
          <w:bCs/>
        </w:rPr>
        <w:t xml:space="preserve">4</w:t>
      </w:r>
      <w:r>
        <w:rPr>
          <w:rFonts w:hint="eastAsia"/>
          <w:b/>
          <w:bCs/>
        </w:rPr>
        <w:t xml:space="preserve">、质量考核要求</w:t>
      </w:r>
      <w:r/>
    </w:p>
    <w:p>
      <w:pPr>
        <w:ind w:firstLine="480"/>
      </w:pPr>
      <w:r>
        <w:rPr>
          <w:rFonts w:hint="eastAsia"/>
        </w:rPr>
        <w:t xml:space="preserve">如成为本项目的维保单位，则须书面承诺按照下列考核指标进行服务质量考核：</w:t>
      </w:r>
      <w:r/>
    </w:p>
    <w:p>
      <w:pPr>
        <w:ind w:firstLine="480"/>
      </w:pPr>
      <w:r>
        <w:rPr>
          <w:rFonts w:hint="eastAsia"/>
        </w:rPr>
        <w:t xml:space="preserve">服务质量考核每年一次，总分为100分，对服务质量达不到要求的，扣除相应分值，扣分达到或超过40分时，采购人有权立即终止合同并拒绝支付相关服务费用。每年服务期结束时按照每扣1分扣除0.5%合同款方式扣除相应服务费用，考核分值低于60分（含60分）时采购人有权立即终止合同，并扣除剩余的全部服务费。</w:t>
      </w:r>
      <w:r/>
    </w:p>
    <w:p>
      <w:pPr>
        <w:ind w:firstLine="480"/>
      </w:pPr>
      <w:r>
        <w:rPr>
          <w:rFonts w:hint="eastAsia"/>
        </w:rPr>
        <w:t xml:space="preserve">1、系统巡检质量考核：</w:t>
      </w:r>
      <w:r/>
    </w:p>
    <w:p>
      <w:pPr>
        <w:ind w:firstLine="480"/>
      </w:pPr>
      <w:r>
        <w:rPr>
          <w:rFonts w:hint="eastAsia"/>
        </w:rPr>
        <w:t xml:space="preserve">服务期内每月为采购人进行一次全面巡检并提交巡检报告，少一次扣2分。</w:t>
      </w:r>
      <w:r/>
    </w:p>
    <w:p>
      <w:pPr>
        <w:ind w:firstLine="480"/>
      </w:pPr>
      <w:r>
        <w:rPr>
          <w:rFonts w:hint="eastAsia"/>
        </w:rPr>
        <w:t xml:space="preserve">2、故障处置质量考核：</w:t>
      </w:r>
      <w:r/>
    </w:p>
    <w:p>
      <w:pPr>
        <w:ind w:firstLine="480"/>
        <w:rPr>
          <w:b/>
          <w:bCs/>
          <w:color w:val="000000"/>
        </w:rPr>
      </w:pPr>
      <w:r>
        <w:rPr>
          <w:rFonts w:hint="eastAsia"/>
        </w:rPr>
        <w:t xml:space="preserve">服务期内对于采购人报修且影响采购人系统运行的故障须按故障排除时效要求赶到现场处置，每延迟1小时扣2分；上述故障的问题定位故障处置须按故障排除时效要求解决（非硬件问题须在24小时内恢复用户方应用系统正常运行），每延迟1小时扣2分</w:t>
      </w:r>
      <w:r/>
    </w:p>
    <w:p>
      <w:pPr>
        <w:ind w:firstLine="482"/>
        <w:rPr>
          <w:b/>
          <w:bCs/>
        </w:rPr>
      </w:pPr>
      <w:r>
        <w:rPr>
          <w:rFonts w:hint="eastAsia"/>
          <w:b/>
          <w:bCs/>
        </w:rPr>
        <w:t xml:space="preserve">（二）服务保障措施</w:t>
      </w:r>
      <w:r/>
    </w:p>
    <w:p>
      <w:pPr>
        <w:ind w:firstLine="482"/>
        <w:rPr>
          <w:b/>
          <w:bCs/>
        </w:rPr>
      </w:pPr>
      <w:r>
        <w:rPr>
          <w:rFonts w:hint="eastAsia"/>
          <w:b/>
          <w:bCs/>
        </w:rPr>
        <w:t xml:space="preserve">1、日常运维服务要求</w:t>
      </w:r>
      <w:r/>
    </w:p>
    <w:p>
      <w:pPr>
        <w:ind w:firstLine="480"/>
      </w:pPr>
      <w:r>
        <w:rPr>
          <w:rFonts w:hint="eastAsia"/>
        </w:rPr>
        <w:t xml:space="preserve">针对国资委的工作日制度，为客户提供系统级的日常维护、定期巡检、性能测试、故障排查等服务。具体内容包括工作日服务、故障响应服务、其他时间及夜间服务、临时保障服务、月度检查、季度检查、年度检查等</w:t>
      </w:r>
      <w:r/>
    </w:p>
    <w:p>
      <w:pPr>
        <w:ind w:firstLine="482"/>
        <w:rPr>
          <w:b/>
          <w:bCs/>
        </w:rPr>
      </w:pPr>
      <w:r>
        <w:rPr>
          <w:rFonts w:hint="eastAsia"/>
          <w:b/>
          <w:bCs/>
        </w:rPr>
        <w:t xml:space="preserve">2、服务响应时间要求</w:t>
      </w:r>
      <w:r/>
    </w:p>
    <w:p>
      <w:pPr>
        <w:ind w:firstLine="480"/>
      </w:pPr>
      <w:r>
        <w:rPr>
          <w:rFonts w:hint="eastAsia"/>
        </w:rPr>
        <w:t xml:space="preserve">（1）日常服务响应时间</w:t>
      </w:r>
      <w:r/>
    </w:p>
    <w:p>
      <w:pPr>
        <w:ind w:firstLine="480"/>
      </w:pPr>
      <w:r>
        <w:rPr>
          <w:rFonts w:hint="eastAsia"/>
        </w:rPr>
        <w:t xml:space="preserve">维护团队的驻场人员需采取与招标人同步的作息时间，提供现场技术支持和服务。</w:t>
      </w:r>
      <w:r/>
    </w:p>
    <w:p>
      <w:pPr>
        <w:ind w:firstLine="480"/>
      </w:pPr>
      <w:r>
        <w:rPr>
          <w:rFonts w:hint="eastAsia"/>
        </w:rPr>
        <w:t xml:space="preserve">（2）事故分级响应时间</w:t>
      </w:r>
      <w:r/>
    </w:p>
    <w:p>
      <w:pPr>
        <w:ind w:firstLine="480"/>
      </w:pPr>
      <w:r>
        <w:rPr>
          <w:rFonts w:hint="eastAsia"/>
        </w:rPr>
        <w:t xml:space="preserve">各级故障事件的响应时间参考下表： </w:t>
      </w:r>
      <w:r/>
    </w:p>
    <w:tbl>
      <w:tblPr>
        <w:tblStyle w:val="7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702"/>
        <w:gridCol w:w="1524"/>
        <w:gridCol w:w="1625"/>
        <w:gridCol w:w="1559"/>
        <w:gridCol w:w="1518"/>
      </w:tblGrid>
      <w:tr>
        <w:trPr>
          <w:jc w:val="center"/>
        </w:trPr>
        <w:tc>
          <w:tcPr>
            <w:tcW w:w="677" w:type="pct"/>
            <w:vAlign w:val="center"/>
            <w:textDirection w:val="lrTb"/>
            <w:noWrap w:val="false"/>
          </w:tcPr>
          <w:p>
            <w:pPr>
              <w:jc w:val="center"/>
              <w:widowControl/>
              <w:rPr>
                <w:b/>
                <w:bCs/>
                <w:szCs w:val="24"/>
              </w:rPr>
            </w:pPr>
            <w:r>
              <w:rPr>
                <w:rFonts w:hint="eastAsia"/>
                <w:b/>
                <w:bCs/>
                <w:szCs w:val="24"/>
              </w:rPr>
              <w:t xml:space="preserve">响应时间</w:t>
            </w:r>
            <w:r/>
          </w:p>
        </w:tc>
        <w:tc>
          <w:tcPr>
            <w:tcW w:w="928" w:type="pct"/>
            <w:vAlign w:val="center"/>
            <w:textDirection w:val="lrTb"/>
            <w:noWrap w:val="false"/>
          </w:tcPr>
          <w:p>
            <w:pPr>
              <w:jc w:val="center"/>
              <w:widowControl/>
              <w:rPr>
                <w:b/>
                <w:bCs/>
                <w:szCs w:val="24"/>
              </w:rPr>
            </w:pPr>
            <w:r>
              <w:rPr>
                <w:rFonts w:hint="eastAsia"/>
                <w:b/>
                <w:bCs/>
                <w:szCs w:val="24"/>
              </w:rPr>
              <w:t xml:space="preserve">最后解决时限</w:t>
            </w:r>
            <w:r/>
          </w:p>
        </w:tc>
        <w:tc>
          <w:tcPr>
            <w:tcW w:w="831" w:type="pct"/>
            <w:vAlign w:val="center"/>
            <w:textDirection w:val="lrTb"/>
            <w:noWrap w:val="false"/>
          </w:tcPr>
          <w:p>
            <w:pPr>
              <w:jc w:val="center"/>
              <w:widowControl/>
              <w:rPr>
                <w:b/>
                <w:bCs/>
                <w:szCs w:val="24"/>
              </w:rPr>
            </w:pPr>
            <w:r>
              <w:rPr>
                <w:rFonts w:hint="eastAsia"/>
                <w:b/>
                <w:bCs/>
                <w:szCs w:val="24"/>
              </w:rPr>
              <w:t xml:space="preserve">一级故障事件</w:t>
            </w:r>
            <w:r/>
          </w:p>
        </w:tc>
        <w:tc>
          <w:tcPr>
            <w:tcW w:w="886" w:type="pct"/>
            <w:vAlign w:val="center"/>
            <w:textDirection w:val="lrTb"/>
            <w:noWrap w:val="false"/>
          </w:tcPr>
          <w:p>
            <w:pPr>
              <w:jc w:val="center"/>
              <w:widowControl/>
              <w:rPr>
                <w:b/>
                <w:bCs/>
                <w:szCs w:val="24"/>
              </w:rPr>
            </w:pPr>
            <w:r>
              <w:rPr>
                <w:rFonts w:hint="eastAsia"/>
                <w:b/>
                <w:bCs/>
                <w:szCs w:val="24"/>
              </w:rPr>
              <w:t xml:space="preserve">二级故障事件</w:t>
            </w:r>
            <w:r/>
          </w:p>
        </w:tc>
        <w:tc>
          <w:tcPr>
            <w:tcW w:w="850" w:type="pct"/>
            <w:vAlign w:val="center"/>
            <w:textDirection w:val="lrTb"/>
            <w:noWrap w:val="false"/>
          </w:tcPr>
          <w:p>
            <w:pPr>
              <w:jc w:val="center"/>
              <w:widowControl/>
              <w:rPr>
                <w:b/>
                <w:bCs/>
                <w:szCs w:val="24"/>
              </w:rPr>
            </w:pPr>
            <w:r>
              <w:rPr>
                <w:rFonts w:hint="eastAsia"/>
                <w:b/>
                <w:bCs/>
                <w:szCs w:val="24"/>
              </w:rPr>
              <w:t xml:space="preserve">三级故障事件</w:t>
            </w:r>
            <w:r/>
          </w:p>
        </w:tc>
        <w:tc>
          <w:tcPr>
            <w:tcW w:w="828" w:type="pct"/>
            <w:vAlign w:val="center"/>
            <w:textDirection w:val="lrTb"/>
            <w:noWrap w:val="false"/>
          </w:tcPr>
          <w:p>
            <w:pPr>
              <w:jc w:val="center"/>
              <w:widowControl/>
              <w:rPr>
                <w:b/>
                <w:bCs/>
                <w:szCs w:val="24"/>
              </w:rPr>
            </w:pPr>
            <w:r>
              <w:rPr>
                <w:rFonts w:hint="eastAsia"/>
                <w:b/>
                <w:bCs/>
                <w:szCs w:val="24"/>
              </w:rPr>
              <w:t xml:space="preserve">四级故障事件</w:t>
            </w:r>
            <w:r/>
          </w:p>
        </w:tc>
      </w:tr>
      <w:tr>
        <w:trPr>
          <w:jc w:val="center"/>
        </w:trPr>
        <w:tc>
          <w:tcPr>
            <w:tcW w:w="677" w:type="pct"/>
            <w:vAlign w:val="center"/>
            <w:textDirection w:val="lrTb"/>
            <w:noWrap w:val="false"/>
          </w:tcPr>
          <w:p>
            <w:pPr>
              <w:jc w:val="center"/>
              <w:widowControl/>
              <w:rPr>
                <w:szCs w:val="24"/>
              </w:rPr>
            </w:pPr>
            <w:r>
              <w:rPr>
                <w:rFonts w:hint="eastAsia"/>
                <w:szCs w:val="24"/>
              </w:rPr>
              <w:t xml:space="preserve">10分钟</w:t>
            </w:r>
            <w:r/>
          </w:p>
        </w:tc>
        <w:tc>
          <w:tcPr>
            <w:tcW w:w="928" w:type="pct"/>
            <w:vAlign w:val="center"/>
            <w:textDirection w:val="lrTb"/>
            <w:noWrap w:val="false"/>
          </w:tcPr>
          <w:p>
            <w:pPr>
              <w:jc w:val="center"/>
              <w:widowControl/>
              <w:rPr>
                <w:szCs w:val="24"/>
              </w:rPr>
            </w:pPr>
            <w:r>
              <w:rPr>
                <w:rFonts w:hint="eastAsia"/>
                <w:szCs w:val="24"/>
              </w:rPr>
              <w:t xml:space="preserve">2小时</w:t>
            </w:r>
            <w:r/>
          </w:p>
        </w:tc>
        <w:tc>
          <w:tcPr>
            <w:tcW w:w="831" w:type="pct"/>
            <w:vAlign w:val="center"/>
            <w:textDirection w:val="lrTb"/>
            <w:noWrap w:val="false"/>
          </w:tcPr>
          <w:p>
            <w:pPr>
              <w:jc w:val="center"/>
              <w:widowControl/>
              <w:rPr>
                <w:szCs w:val="24"/>
              </w:rPr>
            </w:pPr>
            <w:r>
              <w:rPr>
                <w:rFonts w:hint="eastAsia"/>
                <w:szCs w:val="24"/>
              </w:rPr>
              <w:t xml:space="preserve">驻场人员</w:t>
            </w:r>
            <w:r/>
          </w:p>
        </w:tc>
        <w:tc>
          <w:tcPr>
            <w:tcW w:w="886" w:type="pct"/>
            <w:vAlign w:val="center"/>
            <w:textDirection w:val="lrTb"/>
            <w:noWrap w:val="false"/>
          </w:tcPr>
          <w:p>
            <w:pPr>
              <w:jc w:val="center"/>
              <w:widowControl/>
              <w:rPr>
                <w:szCs w:val="24"/>
              </w:rPr>
            </w:pPr>
            <w:r>
              <w:rPr>
                <w:szCs w:val="24"/>
              </w:rPr>
            </w:r>
            <w:r/>
          </w:p>
        </w:tc>
        <w:tc>
          <w:tcPr>
            <w:tcW w:w="850" w:type="pct"/>
            <w:vAlign w:val="center"/>
            <w:textDirection w:val="lrTb"/>
            <w:noWrap w:val="false"/>
          </w:tcPr>
          <w:p>
            <w:pPr>
              <w:jc w:val="center"/>
              <w:widowControl/>
              <w:rPr>
                <w:szCs w:val="24"/>
              </w:rPr>
            </w:pPr>
            <w:r>
              <w:rPr>
                <w:szCs w:val="24"/>
              </w:rPr>
            </w:r>
            <w:r/>
          </w:p>
        </w:tc>
        <w:tc>
          <w:tcPr>
            <w:tcW w:w="828" w:type="pct"/>
            <w:vAlign w:val="center"/>
            <w:textDirection w:val="lrTb"/>
            <w:noWrap w:val="false"/>
          </w:tcPr>
          <w:p>
            <w:pPr>
              <w:jc w:val="center"/>
              <w:widowControl/>
              <w:rPr>
                <w:szCs w:val="24"/>
              </w:rPr>
            </w:pPr>
            <w:r>
              <w:rPr>
                <w:szCs w:val="24"/>
              </w:rPr>
            </w:r>
            <w:r/>
          </w:p>
        </w:tc>
      </w:tr>
      <w:tr>
        <w:trPr>
          <w:jc w:val="center"/>
        </w:trPr>
        <w:tc>
          <w:tcPr>
            <w:tcW w:w="677" w:type="pct"/>
            <w:vAlign w:val="center"/>
            <w:textDirection w:val="lrTb"/>
            <w:noWrap w:val="false"/>
          </w:tcPr>
          <w:p>
            <w:pPr>
              <w:jc w:val="center"/>
              <w:widowControl/>
              <w:rPr>
                <w:szCs w:val="24"/>
              </w:rPr>
            </w:pPr>
            <w:r>
              <w:rPr>
                <w:rFonts w:hint="eastAsia"/>
                <w:szCs w:val="24"/>
              </w:rPr>
              <w:t xml:space="preserve">20分钟</w:t>
            </w:r>
            <w:r/>
          </w:p>
        </w:tc>
        <w:tc>
          <w:tcPr>
            <w:tcW w:w="928" w:type="pct"/>
            <w:vAlign w:val="center"/>
            <w:textDirection w:val="lrTb"/>
            <w:noWrap w:val="false"/>
          </w:tcPr>
          <w:p>
            <w:pPr>
              <w:jc w:val="center"/>
              <w:widowControl/>
              <w:rPr>
                <w:szCs w:val="24"/>
              </w:rPr>
            </w:pPr>
            <w:r>
              <w:rPr>
                <w:rFonts w:hint="eastAsia"/>
                <w:szCs w:val="24"/>
              </w:rPr>
              <w:t xml:space="preserve">4小时</w:t>
            </w:r>
            <w:r/>
          </w:p>
        </w:tc>
        <w:tc>
          <w:tcPr>
            <w:tcW w:w="831" w:type="pct"/>
            <w:vAlign w:val="center"/>
            <w:textDirection w:val="lrTb"/>
            <w:noWrap w:val="false"/>
          </w:tcPr>
          <w:p>
            <w:pPr>
              <w:jc w:val="center"/>
              <w:widowControl/>
              <w:rPr>
                <w:szCs w:val="24"/>
              </w:rPr>
            </w:pPr>
            <w:r>
              <w:rPr>
                <w:rFonts w:hint="eastAsia"/>
                <w:szCs w:val="24"/>
              </w:rPr>
              <w:t xml:space="preserve">专业工程师</w:t>
            </w:r>
            <w:r/>
          </w:p>
        </w:tc>
        <w:tc>
          <w:tcPr>
            <w:tcW w:w="886" w:type="pct"/>
            <w:vAlign w:val="center"/>
            <w:textDirection w:val="lrTb"/>
            <w:noWrap w:val="false"/>
          </w:tcPr>
          <w:p>
            <w:pPr>
              <w:jc w:val="center"/>
              <w:widowControl/>
              <w:rPr>
                <w:szCs w:val="24"/>
              </w:rPr>
            </w:pPr>
            <w:r>
              <w:rPr>
                <w:rFonts w:hint="eastAsia"/>
                <w:szCs w:val="24"/>
              </w:rPr>
              <w:t xml:space="preserve">驻场人员</w:t>
            </w:r>
            <w:r/>
          </w:p>
        </w:tc>
        <w:tc>
          <w:tcPr>
            <w:tcW w:w="850" w:type="pct"/>
            <w:vAlign w:val="center"/>
            <w:textDirection w:val="lrTb"/>
            <w:noWrap w:val="false"/>
          </w:tcPr>
          <w:p>
            <w:pPr>
              <w:jc w:val="center"/>
              <w:widowControl/>
              <w:rPr>
                <w:szCs w:val="24"/>
              </w:rPr>
            </w:pPr>
            <w:r>
              <w:rPr>
                <w:szCs w:val="24"/>
              </w:rPr>
            </w:r>
            <w:r/>
          </w:p>
        </w:tc>
        <w:tc>
          <w:tcPr>
            <w:tcW w:w="828" w:type="pct"/>
            <w:vAlign w:val="center"/>
            <w:textDirection w:val="lrTb"/>
            <w:noWrap w:val="false"/>
          </w:tcPr>
          <w:p>
            <w:pPr>
              <w:jc w:val="center"/>
              <w:widowControl/>
              <w:rPr>
                <w:szCs w:val="24"/>
              </w:rPr>
            </w:pPr>
            <w:r>
              <w:rPr>
                <w:szCs w:val="24"/>
              </w:rPr>
            </w:r>
            <w:r/>
          </w:p>
        </w:tc>
      </w:tr>
      <w:tr>
        <w:trPr>
          <w:jc w:val="center"/>
        </w:trPr>
        <w:tc>
          <w:tcPr>
            <w:tcW w:w="677" w:type="pct"/>
            <w:vAlign w:val="center"/>
            <w:textDirection w:val="lrTb"/>
            <w:noWrap w:val="false"/>
          </w:tcPr>
          <w:p>
            <w:pPr>
              <w:jc w:val="center"/>
              <w:widowControl/>
              <w:rPr>
                <w:szCs w:val="24"/>
              </w:rPr>
            </w:pPr>
            <w:r>
              <w:rPr>
                <w:rFonts w:hint="eastAsia"/>
                <w:szCs w:val="24"/>
              </w:rPr>
              <w:t xml:space="preserve">30分钟</w:t>
            </w:r>
            <w:r/>
          </w:p>
        </w:tc>
        <w:tc>
          <w:tcPr>
            <w:tcW w:w="928" w:type="pct"/>
            <w:vAlign w:val="center"/>
            <w:textDirection w:val="lrTb"/>
            <w:noWrap w:val="false"/>
          </w:tcPr>
          <w:p>
            <w:pPr>
              <w:jc w:val="center"/>
              <w:widowControl/>
              <w:rPr>
                <w:szCs w:val="24"/>
              </w:rPr>
            </w:pPr>
            <w:r>
              <w:rPr>
                <w:rFonts w:hint="eastAsia"/>
                <w:szCs w:val="24"/>
              </w:rPr>
              <w:t xml:space="preserve">24小时</w:t>
            </w:r>
            <w:r/>
          </w:p>
        </w:tc>
        <w:tc>
          <w:tcPr>
            <w:tcW w:w="831" w:type="pct"/>
            <w:vAlign w:val="center"/>
            <w:textDirection w:val="lrTb"/>
            <w:noWrap w:val="false"/>
          </w:tcPr>
          <w:p>
            <w:pPr>
              <w:jc w:val="center"/>
              <w:widowControl/>
              <w:rPr>
                <w:szCs w:val="24"/>
              </w:rPr>
            </w:pPr>
            <w:r>
              <w:rPr>
                <w:rFonts w:hint="eastAsia"/>
                <w:szCs w:val="24"/>
              </w:rPr>
              <w:t xml:space="preserve">技术支持专家</w:t>
            </w:r>
            <w:r/>
          </w:p>
        </w:tc>
        <w:tc>
          <w:tcPr>
            <w:tcW w:w="886" w:type="pct"/>
            <w:vAlign w:val="center"/>
            <w:textDirection w:val="lrTb"/>
            <w:noWrap w:val="false"/>
          </w:tcPr>
          <w:p>
            <w:pPr>
              <w:jc w:val="center"/>
              <w:widowControl/>
              <w:rPr>
                <w:szCs w:val="24"/>
              </w:rPr>
            </w:pPr>
            <w:r>
              <w:rPr>
                <w:rFonts w:hint="eastAsia"/>
                <w:szCs w:val="24"/>
              </w:rPr>
              <w:t xml:space="preserve">专业工程师</w:t>
            </w:r>
            <w:r/>
          </w:p>
        </w:tc>
        <w:tc>
          <w:tcPr>
            <w:tcW w:w="850" w:type="pct"/>
            <w:vAlign w:val="center"/>
            <w:textDirection w:val="lrTb"/>
            <w:noWrap w:val="false"/>
          </w:tcPr>
          <w:p>
            <w:pPr>
              <w:jc w:val="center"/>
              <w:widowControl/>
              <w:rPr>
                <w:szCs w:val="24"/>
              </w:rPr>
            </w:pPr>
            <w:r>
              <w:rPr>
                <w:rFonts w:hint="eastAsia"/>
                <w:szCs w:val="24"/>
              </w:rPr>
              <w:t xml:space="preserve">驻场人员</w:t>
            </w:r>
            <w:r/>
          </w:p>
        </w:tc>
        <w:tc>
          <w:tcPr>
            <w:tcW w:w="828" w:type="pct"/>
            <w:vAlign w:val="center"/>
            <w:textDirection w:val="lrTb"/>
            <w:noWrap w:val="false"/>
          </w:tcPr>
          <w:p>
            <w:pPr>
              <w:jc w:val="center"/>
              <w:widowControl/>
              <w:rPr>
                <w:szCs w:val="24"/>
              </w:rPr>
            </w:pPr>
            <w:r>
              <w:rPr>
                <w:szCs w:val="24"/>
              </w:rPr>
            </w:r>
            <w:r/>
          </w:p>
        </w:tc>
      </w:tr>
      <w:tr>
        <w:trPr>
          <w:jc w:val="center"/>
        </w:trPr>
        <w:tc>
          <w:tcPr>
            <w:tcW w:w="677" w:type="pct"/>
            <w:vAlign w:val="center"/>
            <w:textDirection w:val="lrTb"/>
            <w:noWrap w:val="false"/>
          </w:tcPr>
          <w:p>
            <w:pPr>
              <w:jc w:val="center"/>
              <w:widowControl/>
              <w:rPr>
                <w:szCs w:val="24"/>
              </w:rPr>
            </w:pPr>
            <w:r>
              <w:rPr>
                <w:rFonts w:hint="eastAsia"/>
                <w:szCs w:val="24"/>
              </w:rPr>
              <w:t xml:space="preserve">30分钟</w:t>
            </w:r>
            <w:r/>
          </w:p>
        </w:tc>
        <w:tc>
          <w:tcPr>
            <w:tcW w:w="928" w:type="pct"/>
            <w:vAlign w:val="center"/>
            <w:textDirection w:val="lrTb"/>
            <w:noWrap w:val="false"/>
          </w:tcPr>
          <w:p>
            <w:pPr>
              <w:jc w:val="center"/>
              <w:widowControl/>
              <w:rPr>
                <w:szCs w:val="24"/>
              </w:rPr>
            </w:pPr>
            <w:r>
              <w:rPr>
                <w:rFonts w:hint="eastAsia"/>
                <w:szCs w:val="24"/>
              </w:rPr>
              <w:t xml:space="preserve">48小时</w:t>
            </w:r>
            <w:r/>
          </w:p>
        </w:tc>
        <w:tc>
          <w:tcPr>
            <w:tcW w:w="831" w:type="pct"/>
            <w:vAlign w:val="center"/>
            <w:textDirection w:val="lrTb"/>
            <w:noWrap w:val="false"/>
          </w:tcPr>
          <w:p>
            <w:pPr>
              <w:jc w:val="center"/>
              <w:widowControl/>
              <w:rPr>
                <w:szCs w:val="24"/>
              </w:rPr>
            </w:pPr>
            <w:r>
              <w:rPr>
                <w:rFonts w:hint="eastAsia"/>
                <w:szCs w:val="24"/>
              </w:rPr>
              <w:t xml:space="preserve">服务项目经理</w:t>
            </w:r>
            <w:r/>
          </w:p>
        </w:tc>
        <w:tc>
          <w:tcPr>
            <w:tcW w:w="886" w:type="pct"/>
            <w:vAlign w:val="center"/>
            <w:textDirection w:val="lrTb"/>
            <w:noWrap w:val="false"/>
          </w:tcPr>
          <w:p>
            <w:pPr>
              <w:jc w:val="center"/>
              <w:widowControl/>
              <w:rPr>
                <w:szCs w:val="24"/>
              </w:rPr>
            </w:pPr>
            <w:r>
              <w:rPr>
                <w:rFonts w:hint="eastAsia"/>
                <w:szCs w:val="24"/>
              </w:rPr>
              <w:t xml:space="preserve">服务项目经理</w:t>
            </w:r>
            <w:r/>
          </w:p>
        </w:tc>
        <w:tc>
          <w:tcPr>
            <w:tcW w:w="850" w:type="pct"/>
            <w:vAlign w:val="center"/>
            <w:textDirection w:val="lrTb"/>
            <w:noWrap w:val="false"/>
          </w:tcPr>
          <w:p>
            <w:pPr>
              <w:jc w:val="center"/>
              <w:widowControl/>
              <w:rPr>
                <w:szCs w:val="24"/>
              </w:rPr>
            </w:pPr>
            <w:r>
              <w:rPr>
                <w:rFonts w:hint="eastAsia"/>
                <w:szCs w:val="24"/>
              </w:rPr>
              <w:t xml:space="preserve">专业工程师</w:t>
            </w:r>
            <w:r/>
          </w:p>
        </w:tc>
        <w:tc>
          <w:tcPr>
            <w:tcW w:w="828" w:type="pct"/>
            <w:vAlign w:val="center"/>
            <w:textDirection w:val="lrTb"/>
            <w:noWrap w:val="false"/>
          </w:tcPr>
          <w:p>
            <w:pPr>
              <w:jc w:val="center"/>
              <w:keepNext/>
              <w:widowControl/>
              <w:rPr>
                <w:szCs w:val="24"/>
              </w:rPr>
            </w:pPr>
            <w:r>
              <w:rPr>
                <w:rFonts w:hint="eastAsia"/>
                <w:szCs w:val="24"/>
              </w:rPr>
              <w:t xml:space="preserve">驻场人员</w:t>
            </w:r>
            <w:r/>
          </w:p>
        </w:tc>
      </w:tr>
    </w:tbl>
    <w:p>
      <w:pPr>
        <w:ind w:firstLine="480"/>
        <w:widowControl/>
        <w:rPr>
          <w:szCs w:val="24"/>
        </w:rPr>
      </w:pPr>
      <w:r>
        <w:rPr>
          <w:rFonts w:hint="eastAsia"/>
          <w:szCs w:val="24"/>
        </w:rPr>
        <w:t xml:space="preserve">故障事件等级划分如下： </w:t>
      </w:r>
      <w:r/>
    </w:p>
    <w:tbl>
      <w:tblPr>
        <w:tblStyle w:val="7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8"/>
        <w:gridCol w:w="7431"/>
      </w:tblGrid>
      <w:tr>
        <w:trPr/>
        <w:tc>
          <w:tcPr>
            <w:tcW w:w="948" w:type="pct"/>
            <w:vAlign w:val="center"/>
            <w:textDirection w:val="lrTb"/>
            <w:noWrap w:val="false"/>
          </w:tcPr>
          <w:p>
            <w:pPr>
              <w:jc w:val="center"/>
              <w:widowControl/>
              <w:rPr>
                <w:szCs w:val="24"/>
              </w:rPr>
            </w:pPr>
            <w:r>
              <w:rPr>
                <w:rFonts w:hint="eastAsia"/>
                <w:szCs w:val="24"/>
              </w:rPr>
              <w:t xml:space="preserve">故障等级</w:t>
            </w:r>
            <w:r/>
          </w:p>
        </w:tc>
        <w:tc>
          <w:tcPr>
            <w:tcW w:w="4052" w:type="pct"/>
            <w:vAlign w:val="center"/>
            <w:textDirection w:val="lrTb"/>
            <w:noWrap w:val="false"/>
          </w:tcPr>
          <w:p>
            <w:pPr>
              <w:jc w:val="center"/>
              <w:widowControl/>
              <w:rPr>
                <w:szCs w:val="24"/>
              </w:rPr>
            </w:pPr>
            <w:r>
              <w:rPr>
                <w:rFonts w:hint="eastAsia"/>
                <w:szCs w:val="24"/>
              </w:rPr>
              <w:t xml:space="preserve">定义</w:t>
            </w:r>
            <w:r/>
          </w:p>
        </w:tc>
      </w:tr>
      <w:tr>
        <w:trPr/>
        <w:tc>
          <w:tcPr>
            <w:tcW w:w="948" w:type="pct"/>
            <w:vAlign w:val="center"/>
            <w:textDirection w:val="lrTb"/>
            <w:noWrap w:val="false"/>
          </w:tcPr>
          <w:p>
            <w:pPr>
              <w:widowControl/>
              <w:rPr>
                <w:szCs w:val="24"/>
              </w:rPr>
            </w:pPr>
            <w:r>
              <w:rPr>
                <w:rFonts w:hint="eastAsia"/>
                <w:szCs w:val="24"/>
              </w:rPr>
              <w:t xml:space="preserve">一级故障事件</w:t>
            </w:r>
            <w:r/>
          </w:p>
        </w:tc>
        <w:tc>
          <w:tcPr>
            <w:tcW w:w="4052" w:type="pct"/>
            <w:vAlign w:val="center"/>
            <w:textDirection w:val="lrTb"/>
            <w:noWrap w:val="false"/>
          </w:tcPr>
          <w:p>
            <w:pPr>
              <w:numPr>
                <w:ilvl w:val="0"/>
                <w:numId w:val="7"/>
              </w:numPr>
              <w:ind w:left="0" w:firstLine="0"/>
              <w:jc w:val="left"/>
              <w:spacing w:line="360" w:lineRule="auto"/>
              <w:widowControl/>
              <w:rPr>
                <w:szCs w:val="24"/>
              </w:rPr>
            </w:pPr>
            <w:r>
              <w:rPr>
                <w:rFonts w:hint="eastAsia"/>
                <w:szCs w:val="24"/>
              </w:rPr>
              <w:t xml:space="preserve">现有的网络或系统瘫痪停机</w:t>
            </w:r>
            <w:r/>
          </w:p>
          <w:p>
            <w:pPr>
              <w:numPr>
                <w:ilvl w:val="0"/>
                <w:numId w:val="7"/>
              </w:numPr>
              <w:ind w:left="0" w:firstLine="0"/>
              <w:jc w:val="left"/>
              <w:spacing w:line="360" w:lineRule="auto"/>
              <w:widowControl/>
              <w:rPr>
                <w:szCs w:val="24"/>
              </w:rPr>
            </w:pPr>
            <w:r>
              <w:rPr>
                <w:rFonts w:hint="eastAsia"/>
                <w:szCs w:val="24"/>
              </w:rPr>
              <w:t xml:space="preserve">全部业务中断</w:t>
            </w:r>
            <w:r/>
          </w:p>
          <w:p>
            <w:pPr>
              <w:numPr>
                <w:ilvl w:val="0"/>
                <w:numId w:val="7"/>
              </w:numPr>
              <w:ind w:left="0" w:firstLine="0"/>
              <w:jc w:val="left"/>
              <w:spacing w:line="360" w:lineRule="auto"/>
              <w:widowControl/>
              <w:rPr>
                <w:szCs w:val="24"/>
              </w:rPr>
            </w:pPr>
            <w:r>
              <w:rPr>
                <w:rFonts w:hint="eastAsia"/>
                <w:szCs w:val="24"/>
              </w:rPr>
              <w:t xml:space="preserve">所有工作站不能正常工作</w:t>
            </w:r>
            <w:r/>
          </w:p>
          <w:p>
            <w:pPr>
              <w:numPr>
                <w:ilvl w:val="0"/>
                <w:numId w:val="7"/>
              </w:numPr>
              <w:ind w:left="0" w:firstLine="0"/>
              <w:jc w:val="left"/>
              <w:spacing w:line="360" w:lineRule="auto"/>
              <w:widowControl/>
              <w:rPr>
                <w:szCs w:val="24"/>
              </w:rPr>
            </w:pPr>
            <w:r>
              <w:rPr>
                <w:rFonts w:hint="eastAsia"/>
                <w:szCs w:val="24"/>
              </w:rPr>
              <w:t xml:space="preserve">网络或系统的操作性能严重降级，严重影响业务使用</w:t>
            </w:r>
            <w:r/>
          </w:p>
          <w:p>
            <w:pPr>
              <w:numPr>
                <w:ilvl w:val="0"/>
                <w:numId w:val="7"/>
              </w:numPr>
              <w:ind w:left="0" w:firstLine="0"/>
              <w:jc w:val="left"/>
              <w:spacing w:line="360" w:lineRule="auto"/>
              <w:widowControl/>
              <w:rPr>
                <w:szCs w:val="24"/>
              </w:rPr>
            </w:pPr>
            <w:r>
              <w:rPr>
                <w:rFonts w:hint="eastAsia"/>
                <w:szCs w:val="24"/>
              </w:rPr>
              <w:t xml:space="preserve">系统软硬件及网络故障，严重影响业务使用持续时间超过10分钟，或造成严重后果</w:t>
            </w:r>
            <w:r/>
          </w:p>
          <w:p>
            <w:pPr>
              <w:numPr>
                <w:ilvl w:val="0"/>
                <w:numId w:val="7"/>
              </w:numPr>
              <w:ind w:left="0" w:firstLine="0"/>
              <w:jc w:val="left"/>
              <w:spacing w:line="360" w:lineRule="auto"/>
              <w:widowControl/>
              <w:rPr>
                <w:szCs w:val="24"/>
              </w:rPr>
            </w:pPr>
            <w:r>
              <w:rPr>
                <w:rFonts w:hint="eastAsia"/>
                <w:szCs w:val="24"/>
              </w:rPr>
              <w:t xml:space="preserve">与其他系统接口故障，严重影响业务使用持续时间超过10分钟，或造成严重后果</w:t>
            </w:r>
            <w:r/>
          </w:p>
          <w:p>
            <w:pPr>
              <w:numPr>
                <w:ilvl w:val="0"/>
                <w:numId w:val="7"/>
              </w:numPr>
              <w:ind w:left="0" w:firstLine="0"/>
              <w:jc w:val="left"/>
              <w:spacing w:line="360" w:lineRule="auto"/>
              <w:widowControl/>
              <w:rPr>
                <w:szCs w:val="24"/>
              </w:rPr>
            </w:pPr>
            <w:r>
              <w:rPr>
                <w:rFonts w:hint="eastAsia"/>
                <w:szCs w:val="24"/>
              </w:rPr>
              <w:t xml:space="preserve">由于操作失误等人为原因导致业务受到影响，造成严重后果；由于自身原因造成同其他业务系统连接中断</w:t>
            </w:r>
            <w:r/>
          </w:p>
          <w:p>
            <w:pPr>
              <w:numPr>
                <w:ilvl w:val="0"/>
                <w:numId w:val="7"/>
              </w:numPr>
              <w:ind w:left="0" w:firstLine="0"/>
              <w:jc w:val="left"/>
              <w:spacing w:line="360" w:lineRule="auto"/>
              <w:widowControl/>
              <w:rPr>
                <w:szCs w:val="24"/>
              </w:rPr>
            </w:pPr>
            <w:r>
              <w:rPr>
                <w:rFonts w:hint="eastAsia"/>
                <w:szCs w:val="24"/>
              </w:rPr>
              <w:t xml:space="preserve">遭到严重攻击行为或安全事件，对信息系统的业务运作有重大影响</w:t>
            </w:r>
            <w:r/>
          </w:p>
          <w:p>
            <w:pPr>
              <w:numPr>
                <w:ilvl w:val="0"/>
                <w:numId w:val="7"/>
              </w:numPr>
              <w:ind w:left="0" w:firstLine="0"/>
              <w:jc w:val="left"/>
              <w:spacing w:line="360" w:lineRule="auto"/>
              <w:widowControl/>
              <w:rPr>
                <w:szCs w:val="24"/>
              </w:rPr>
            </w:pPr>
            <w:r>
              <w:rPr>
                <w:rFonts w:hint="eastAsia"/>
                <w:szCs w:val="24"/>
              </w:rPr>
              <w:t xml:space="preserve">由于网络性能失常或安全事件严重影响信息系统用户业务运作</w:t>
            </w:r>
            <w:r/>
          </w:p>
        </w:tc>
      </w:tr>
      <w:tr>
        <w:trPr/>
        <w:tc>
          <w:tcPr>
            <w:tcW w:w="948" w:type="pct"/>
            <w:vAlign w:val="center"/>
            <w:textDirection w:val="lrTb"/>
            <w:noWrap w:val="false"/>
          </w:tcPr>
          <w:p>
            <w:pPr>
              <w:widowControl/>
              <w:rPr>
                <w:szCs w:val="24"/>
              </w:rPr>
            </w:pPr>
            <w:r>
              <w:rPr>
                <w:rFonts w:hint="eastAsia"/>
                <w:szCs w:val="24"/>
              </w:rPr>
              <w:t xml:space="preserve">二级故障事件</w:t>
            </w:r>
            <w:r/>
          </w:p>
        </w:tc>
        <w:tc>
          <w:tcPr>
            <w:tcW w:w="4052" w:type="pct"/>
            <w:vAlign w:val="center"/>
            <w:textDirection w:val="lrTb"/>
            <w:noWrap w:val="false"/>
          </w:tcPr>
          <w:p>
            <w:pPr>
              <w:numPr>
                <w:ilvl w:val="0"/>
                <w:numId w:val="7"/>
              </w:numPr>
              <w:ind w:left="0" w:firstLine="0"/>
              <w:jc w:val="left"/>
              <w:spacing w:line="360" w:lineRule="auto"/>
              <w:widowControl/>
              <w:rPr>
                <w:szCs w:val="24"/>
              </w:rPr>
            </w:pPr>
            <w:r>
              <w:rPr>
                <w:rFonts w:hint="eastAsia"/>
                <w:szCs w:val="24"/>
              </w:rPr>
              <w:t xml:space="preserve">双机备份系统主机之一宕机、网络核心设备之一宕机，对业务系统不会造成中断</w:t>
            </w:r>
            <w:r/>
          </w:p>
          <w:p>
            <w:pPr>
              <w:numPr>
                <w:ilvl w:val="0"/>
                <w:numId w:val="7"/>
              </w:numPr>
              <w:ind w:left="0" w:firstLine="0"/>
              <w:jc w:val="left"/>
              <w:spacing w:line="360" w:lineRule="auto"/>
              <w:widowControl/>
              <w:rPr>
                <w:szCs w:val="24"/>
              </w:rPr>
            </w:pPr>
            <w:r>
              <w:rPr>
                <w:rFonts w:hint="eastAsia"/>
                <w:szCs w:val="24"/>
              </w:rPr>
              <w:t xml:space="preserve">系统性能下降，导致业务使用异常，并未造成严重后果</w:t>
            </w:r>
            <w:r/>
          </w:p>
          <w:p>
            <w:pPr>
              <w:numPr>
                <w:ilvl w:val="0"/>
                <w:numId w:val="7"/>
              </w:numPr>
              <w:ind w:left="0" w:firstLine="0"/>
              <w:jc w:val="left"/>
              <w:spacing w:line="360" w:lineRule="auto"/>
              <w:widowControl/>
              <w:rPr>
                <w:szCs w:val="24"/>
              </w:rPr>
            </w:pPr>
            <w:r>
              <w:rPr>
                <w:rFonts w:hint="eastAsia"/>
                <w:szCs w:val="24"/>
              </w:rPr>
              <w:t xml:space="preserve">系统软硬件及网络故障导致业务系统使用异常持续时间不超过1小时，并未造成严重后果</w:t>
            </w:r>
            <w:r/>
          </w:p>
          <w:p>
            <w:pPr>
              <w:numPr>
                <w:ilvl w:val="0"/>
                <w:numId w:val="7"/>
              </w:numPr>
              <w:ind w:left="0" w:firstLine="0"/>
              <w:jc w:val="left"/>
              <w:spacing w:line="360" w:lineRule="auto"/>
              <w:widowControl/>
              <w:rPr>
                <w:szCs w:val="24"/>
              </w:rPr>
            </w:pPr>
            <w:r>
              <w:rPr>
                <w:rFonts w:hint="eastAsia"/>
                <w:szCs w:val="24"/>
              </w:rPr>
              <w:t xml:space="preserve">与其他系统接口故障导致业务系统使用异常持续时间不超过1小时，并未造成严重后果</w:t>
            </w:r>
            <w:r/>
          </w:p>
          <w:p>
            <w:pPr>
              <w:numPr>
                <w:ilvl w:val="0"/>
                <w:numId w:val="7"/>
              </w:numPr>
              <w:ind w:left="0" w:firstLine="0"/>
              <w:jc w:val="left"/>
              <w:spacing w:line="360" w:lineRule="auto"/>
              <w:widowControl/>
              <w:rPr>
                <w:szCs w:val="24"/>
              </w:rPr>
            </w:pPr>
            <w:r>
              <w:rPr>
                <w:rFonts w:hint="eastAsia"/>
                <w:szCs w:val="24"/>
              </w:rPr>
              <w:t xml:space="preserve">由于操作失误等人为原因导致业务使用异常并未造成严重后果</w:t>
            </w:r>
            <w:r/>
          </w:p>
        </w:tc>
      </w:tr>
      <w:tr>
        <w:trPr/>
        <w:tc>
          <w:tcPr>
            <w:tcW w:w="948" w:type="pct"/>
            <w:vAlign w:val="center"/>
            <w:textDirection w:val="lrTb"/>
            <w:noWrap w:val="false"/>
          </w:tcPr>
          <w:p>
            <w:pPr>
              <w:widowControl/>
              <w:rPr>
                <w:szCs w:val="24"/>
              </w:rPr>
            </w:pPr>
            <w:r>
              <w:rPr>
                <w:rFonts w:hint="eastAsia"/>
                <w:szCs w:val="24"/>
              </w:rPr>
              <w:t xml:space="preserve">三级故障事件</w:t>
            </w:r>
            <w:r/>
          </w:p>
        </w:tc>
        <w:tc>
          <w:tcPr>
            <w:tcW w:w="4052" w:type="pct"/>
            <w:vAlign w:val="center"/>
            <w:textDirection w:val="lrTb"/>
            <w:noWrap w:val="false"/>
          </w:tcPr>
          <w:p>
            <w:pPr>
              <w:numPr>
                <w:ilvl w:val="0"/>
                <w:numId w:val="7"/>
              </w:numPr>
              <w:ind w:left="0" w:firstLine="0"/>
              <w:jc w:val="left"/>
              <w:spacing w:line="360" w:lineRule="auto"/>
              <w:widowControl/>
              <w:rPr>
                <w:szCs w:val="24"/>
              </w:rPr>
            </w:pPr>
            <w:r>
              <w:rPr>
                <w:rFonts w:hint="eastAsia"/>
                <w:szCs w:val="24"/>
              </w:rPr>
              <w:t xml:space="preserve">如主机、工作站、网络等工作不正常，但对系统正常工作没有大的影响，对业务也未产生大的影响</w:t>
            </w:r>
            <w:r/>
          </w:p>
        </w:tc>
      </w:tr>
      <w:tr>
        <w:trPr/>
        <w:tc>
          <w:tcPr>
            <w:tcW w:w="948" w:type="pct"/>
            <w:vAlign w:val="center"/>
            <w:textDirection w:val="lrTb"/>
            <w:noWrap w:val="false"/>
          </w:tcPr>
          <w:p>
            <w:pPr>
              <w:widowControl/>
              <w:rPr>
                <w:szCs w:val="24"/>
              </w:rPr>
            </w:pPr>
            <w:r>
              <w:rPr>
                <w:rFonts w:hint="eastAsia"/>
                <w:szCs w:val="24"/>
              </w:rPr>
              <w:t xml:space="preserve">四级故障事件</w:t>
            </w:r>
            <w:r/>
          </w:p>
        </w:tc>
        <w:tc>
          <w:tcPr>
            <w:tcW w:w="4052" w:type="pct"/>
            <w:vAlign w:val="center"/>
            <w:textDirection w:val="lrTb"/>
            <w:noWrap w:val="false"/>
          </w:tcPr>
          <w:p>
            <w:pPr>
              <w:numPr>
                <w:ilvl w:val="0"/>
                <w:numId w:val="7"/>
              </w:numPr>
              <w:ind w:left="0" w:firstLine="0"/>
              <w:jc w:val="left"/>
              <w:spacing w:line="360" w:lineRule="auto"/>
              <w:widowControl/>
              <w:rPr>
                <w:szCs w:val="24"/>
              </w:rPr>
            </w:pPr>
            <w:r>
              <w:rPr>
                <w:rFonts w:hint="eastAsia"/>
                <w:szCs w:val="24"/>
              </w:rPr>
              <w:t xml:space="preserve">在网络、服务器、存储、安全设备功能、安装或配置方面需要调整或优化。本级故障事件对信息系统的业务运作几乎无影响，或影响很小</w:t>
            </w:r>
            <w:r/>
          </w:p>
          <w:p>
            <w:pPr>
              <w:numPr>
                <w:ilvl w:val="0"/>
                <w:numId w:val="7"/>
              </w:numPr>
              <w:ind w:left="0" w:firstLine="0"/>
              <w:jc w:val="left"/>
              <w:keepNext/>
              <w:spacing w:line="360" w:lineRule="auto"/>
              <w:widowControl/>
              <w:rPr>
                <w:szCs w:val="24"/>
              </w:rPr>
            </w:pPr>
            <w:r>
              <w:rPr>
                <w:rFonts w:hint="eastAsia"/>
                <w:szCs w:val="24"/>
              </w:rPr>
              <w:t xml:space="preserve">个人PC机的相关故障，对其他没有影响</w:t>
            </w:r>
            <w:r/>
          </w:p>
        </w:tc>
      </w:tr>
    </w:tbl>
    <w:p>
      <w:pPr>
        <w:ind w:firstLine="480"/>
      </w:pPr>
      <w:r>
        <w:rPr>
          <w:rFonts w:hint="eastAsia"/>
        </w:rPr>
        <w:t xml:space="preserve">依据事故重要性和紧急性的原则，每一级事故严格定义升级时间为2小时，其中在二级事故和一级事故应急</w:t>
      </w:r>
      <w:r>
        <w:rPr>
          <w:rFonts w:hint="eastAsia"/>
        </w:rPr>
        <w:t xml:space="preserve">处理过程中，要及时考虑替代恢复方案，尽可能在最短的时间内恢复业务系统。其中三级事故的处理，驻场服务人员在事故响应1个小时内，如果不能快速判断问题所在，可以寻求整个服务团队的支持。在一、二级事故判断中，服务人员在监控中发现问题，一方面应迅速将问题向部门领导进行反应，一方面须快速判断问题和收集事故信息，涉及到具体产品提供商或服务商，及时告知客户协调相关厂商现场支持。为保障业务平台的正常运行，除对突发故障的应急支持外，要充分保障日常对业务系统软硬件的应急灾备恢复预案，并通过定期的演练加强应对突发事故的意识和流程。</w:t>
      </w:r>
      <w:r/>
    </w:p>
    <w:p>
      <w:pPr>
        <w:ind w:firstLine="482"/>
        <w:rPr>
          <w:b/>
          <w:bCs/>
        </w:rPr>
      </w:pPr>
      <w:r>
        <w:rPr>
          <w:rFonts w:hint="eastAsia"/>
          <w:b/>
          <w:bCs/>
        </w:rPr>
        <w:t xml:space="preserve">3、服务报告要求</w:t>
      </w:r>
      <w:r/>
    </w:p>
    <w:p>
      <w:pPr>
        <w:ind w:firstLine="480"/>
      </w:pPr>
      <w:r>
        <w:rPr>
          <w:rFonts w:hint="eastAsia"/>
        </w:rPr>
        <w:t xml:space="preserve">维护团队需定期提供服务报告，服务期结束前应提供服务年报，并对每一次重大故障和问题的原因、解决方法、完成情况等形成专门报告，及时报送用户部门和服务管理部门。</w:t>
      </w:r>
      <w:r/>
    </w:p>
    <w:p>
      <w:pPr>
        <w:ind w:firstLine="482"/>
        <w:rPr>
          <w:b/>
          <w:bCs/>
        </w:rPr>
      </w:pPr>
      <w:r>
        <w:rPr>
          <w:rFonts w:hint="eastAsia"/>
          <w:b/>
          <w:bCs/>
        </w:rPr>
        <w:t xml:space="preserve">4、运维保障资源库建设要求</w:t>
      </w:r>
      <w:r/>
    </w:p>
    <w:p>
      <w:pPr>
        <w:ind w:firstLine="480"/>
      </w:pPr>
      <w:r>
        <w:rPr>
          <w:rFonts w:hint="eastAsia"/>
        </w:rPr>
        <w:t xml:space="preserve">在运维工作开展前期，维护团队需把有助于用户运维的相关资料进行收集整理，以确保在实际运维过程中不会由于缺少沟通或者遗漏部分环节导致的问题处理延迟。</w:t>
      </w:r>
      <w:r/>
    </w:p>
    <w:p>
      <w:pPr>
        <w:ind w:firstLine="482"/>
        <w:rPr>
          <w:b/>
          <w:bCs/>
        </w:rPr>
      </w:pPr>
      <w:r>
        <w:rPr>
          <w:rFonts w:hint="eastAsia"/>
          <w:b/>
          <w:bCs/>
        </w:rPr>
        <w:t xml:space="preserve">（三）培训要求</w:t>
      </w:r>
      <w:r/>
    </w:p>
    <w:p>
      <w:pPr>
        <w:ind w:firstLine="480"/>
      </w:pPr>
      <w:r>
        <w:rPr>
          <w:rFonts w:hint="eastAsia"/>
        </w:rPr>
        <w:t xml:space="preserve">维护团队需提供必须的服务技能培训，并对相关技术问题进行充分交流，以提高用户技术水平，使用户能熟练使用现有系统。培训包括不定期或面对面培训，并提供对部分用户简单故障排除方法培训。</w:t>
      </w:r>
      <w:r/>
    </w:p>
    <w:p>
      <w:pPr>
        <w:jc w:val="left"/>
        <w:widowControl/>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br w:type="page" w:clear="all"/>
      </w:r>
      <w:r/>
    </w:p>
    <w:p>
      <w:pPr>
        <w:pStyle w:val="957"/>
        <w:rPr>
          <w:color w:val="000000" w:themeColor="text1"/>
          <w14:textFill>
            <w14:solidFill>
              <w14:schemeClr w14:val="tx1"/>
            </w14:solidFill>
          </w14:textFill>
        </w:rPr>
      </w:pPr>
      <w:r>
        <w:rPr>
          <w:rFonts w:ascii="Times New Roman" w:eastAsia="黑体"/>
          <w:bCs/>
          <w:color w:val="000000" w:themeColor="text1"/>
          <w:sz w:val="44"/>
          <w14:textFill>
            <w14:solidFill>
              <w14:schemeClr w14:val="tx1"/>
            </w14:solidFill>
          </w14:textFill>
        </w:rPr>
        <w:t xml:space="preserve">第五章  </w:t>
      </w:r>
      <w:r>
        <w:rPr>
          <w:rFonts w:ascii="Times New Roman" w:eastAsia="黑体"/>
          <w:b/>
          <w:bCs/>
          <w:color w:val="000000" w:themeColor="text1"/>
          <w:sz w:val="44"/>
          <w14:textFill>
            <w14:solidFill>
              <w14:schemeClr w14:val="tx1"/>
            </w14:solidFill>
          </w14:textFill>
        </w:rPr>
        <w:t xml:space="preserve">评标方法与评标标准</w:t>
      </w:r>
      <w:r/>
    </w:p>
    <w:p>
      <w:pPr>
        <w:contextualSpacing/>
        <w:ind w:firstLine="480"/>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contextualSpacing/>
        <w:ind w:firstLine="480"/>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018"/>
        <w:contextualSpacing/>
        <w:ind w:firstLine="482"/>
        <w:spacing w:before="0" w:after="0"/>
        <w:rPr>
          <w:rFonts w:ascii="Times New Roman" w:hAnsi="Times New Roman"/>
          <w:b/>
          <w:color w:val="000000" w:themeColor="text1"/>
          <w14:textFill>
            <w14:solidFill>
              <w14:schemeClr w14:val="tx1"/>
            </w14:solidFill>
          </w14:textFill>
        </w:rPr>
      </w:pPr>
      <w:r>
        <w:rPr>
          <w:rFonts w:ascii="Times New Roman" w:hAnsi="Times New Roman"/>
          <w:b/>
          <w:color w:val="000000" w:themeColor="text1"/>
          <w14:textFill>
            <w14:solidFill>
              <w14:schemeClr w14:val="tx1"/>
            </w14:solidFill>
          </w14:textFill>
        </w:rPr>
        <w:t xml:space="preserve">政府采购政策功能落实</w:t>
      </w:r>
      <w:bookmarkStart w:id="202" w:name="_Hlk106118606"/>
      <w:r>
        <w:rPr>
          <w:rFonts w:ascii="Times New Roman" w:hAnsi="Times New Roman"/>
          <w:b/>
          <w:color w:val="000000" w:themeColor="text1"/>
          <w14:textFill>
            <w14:solidFill>
              <w14:schemeClr w14:val="tx1"/>
            </w14:solidFill>
          </w14:textFill>
        </w:rPr>
        <w:t xml:space="preserve">（</w:t>
      </w:r>
      <w:r>
        <w:rPr>
          <w:rFonts w:ascii="Times New Roman" w:hAnsi="Times New Roman"/>
          <w:color w:val="000000" w:themeColor="text1"/>
          <w14:textFill>
            <w14:solidFill>
              <w14:schemeClr w14:val="tx1"/>
            </w14:solidFill>
          </w14:textFill>
        </w:rPr>
        <w:t xml:space="preserve">企业报价折扣证明</w:t>
      </w:r>
      <w:r>
        <w:rPr>
          <w:rFonts w:ascii="Times New Roman" w:hAnsi="Times New Roman"/>
          <w:b/>
          <w:color w:val="000000" w:themeColor="text1"/>
          <w14:textFill>
            <w14:solidFill>
              <w14:schemeClr w14:val="tx1"/>
            </w14:solidFill>
          </w14:textFill>
        </w:rPr>
        <w:t xml:space="preserve">）</w:t>
      </w:r>
      <w:bookmarkEnd w:id="202"/>
      <w:r/>
      <w:r/>
    </w:p>
    <w:p>
      <w:pPr>
        <w:pStyle w:val="1018"/>
        <w:contextualSpacing/>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1、小微型企业价格扣除</w:t>
      </w:r>
      <w:r/>
    </w:p>
    <w:p>
      <w:pPr>
        <w:pStyle w:val="1018"/>
        <w:contextualSpacing/>
        <w:ind w:firstLine="36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（1）本项目对小型和微型企业产品给予10%的扣除价格，用扣除后的价格参与评审。</w:t>
      </w:r>
      <w:r/>
    </w:p>
    <w:p>
      <w:pPr>
        <w:pStyle w:val="1018"/>
        <w:contextualSpacing/>
        <w:ind w:firstLine="36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（2）供应商需按照采购文件的要求提供相应的《企业声明函》。</w:t>
      </w:r>
      <w:r/>
    </w:p>
    <w:p>
      <w:pPr>
        <w:pStyle w:val="1018"/>
        <w:contextualSpacing/>
        <w:ind w:firstLine="36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（3）企业标准请参照《关于印发中小企业划型标准规定的通知》（工信部联企业〔2011〕300号）文件规定自行填写。</w:t>
      </w:r>
      <w:r/>
    </w:p>
    <w:p>
      <w:pPr>
        <w:pStyle w:val="1018"/>
        <w:contextualSpacing/>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2、残疾人福利单位价格扣除</w:t>
      </w:r>
      <w:r/>
    </w:p>
    <w:p>
      <w:pPr>
        <w:pStyle w:val="1018"/>
        <w:contextualSpacing/>
        <w:ind w:firstLine="36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（1）本项目对残疾人福利性单位视同小型、微型企业，给予10%的价格扣除，用扣除后的价格参与评审。</w:t>
      </w:r>
      <w:r/>
    </w:p>
    <w:p>
      <w:pPr>
        <w:pStyle w:val="1018"/>
        <w:contextualSpacing/>
        <w:ind w:firstLine="36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（2）残疾人福利单位需按照采购文件的要求提供《残疾人福利性单位声明函》。</w:t>
      </w:r>
      <w:r/>
    </w:p>
    <w:p>
      <w:pPr>
        <w:pStyle w:val="1018"/>
        <w:contextualSpacing/>
        <w:ind w:firstLine="360"/>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（3）残疾人福利单位标准请参照《关于促进残疾人就业政府采购政策的通知》（财库〔2017〕141号）。</w:t>
      </w:r>
      <w:r/>
    </w:p>
    <w:p>
      <w:pPr>
        <w:pStyle w:val="1018"/>
        <w:contextualSpacing/>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3、监狱和戒毒企业价格扣除</w:t>
      </w:r>
      <w:r/>
    </w:p>
    <w:p>
      <w:pPr>
        <w:pStyle w:val="1018"/>
        <w:contextualSpacing/>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（1）本项目对监狱和戒毒企业（简称监狱企业）视同小型、微型企业，给予10%的价格扣除，用扣除后的价格参与评审。</w:t>
      </w:r>
      <w:r/>
    </w:p>
    <w:p>
      <w:pPr>
        <w:pStyle w:val="1018"/>
        <w:contextualSpacing/>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8"/>
        <w:contextualSpacing/>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（3）监狱企业标准请参照《关于政府采购支持监狱企业发展有关问题的通知》（财库〔2014〕68号）。</w:t>
      </w:r>
      <w:r/>
    </w:p>
    <w:p>
      <w:pPr>
        <w:pStyle w:val="1018"/>
        <w:contextualSpacing/>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4、残疾人福利单位、监狱企业属于小型、微型企业的，不重复享受政策。</w:t>
      </w:r>
      <w:r/>
    </w:p>
    <w:p>
      <w:pPr>
        <w:pStyle w:val="1018"/>
        <w:contextualSpacing/>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5、如果本项目同意联合体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pStyle w:val="1018"/>
        <w:contextualSpacing/>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6、联合体各方均为小型、微型企业（残疾人福利单位、监狱企业）的，联合体享受10%价格扣除，用扣除后的价格参与评审。</w:t>
      </w:r>
      <w:r/>
    </w:p>
    <w:p>
      <w:pPr>
        <w:pStyle w:val="1018"/>
        <w:contextualSpacing/>
        <w:ind w:firstLine="472"/>
        <w:spacing w:before="0" w:after="0"/>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7、根据《江苏省政府采购信用管理暂行办法》的规定，供应商信用评价结果为三星的扣2分，评价结果为二星的扣3分，评价结果为一星的扣4分。</w:t>
      </w:r>
      <w:r/>
    </w:p>
    <w:p>
      <w:pPr>
        <w:pStyle w:val="969"/>
        <w:ind w:firstLine="482"/>
        <w:spacing w:line="360" w:lineRule="auto"/>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评标办法和评标标准</w:t>
      </w:r>
      <w:r/>
    </w:p>
    <w:p>
      <w:pPr>
        <w:contextualSpacing/>
        <w:ind w:firstLine="480"/>
        <w:spacing w:line="360" w:lineRule="auto"/>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本项目采用综合评分法确定中标候选人。评标委员会将按下列评分办法和标准进行评分，总分值为100分</w:t>
      </w:r>
      <w:r>
        <w:rPr>
          <w:rFonts w:hint="eastAsia"/>
          <w:bCs/>
          <w:color w:val="000000" w:themeColor="text1"/>
          <w:szCs w:val="24"/>
          <w14:textFill>
            <w14:solidFill>
              <w14:schemeClr w14:val="tx1"/>
            </w14:solidFill>
          </w14:textFill>
        </w:rPr>
        <w:t xml:space="preserve">。</w:t>
      </w:r>
      <w:r/>
    </w:p>
    <w:tbl>
      <w:tblPr>
        <w:tblStyle w:val="781"/>
        <w:tblW w:w="501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63"/>
        <w:gridCol w:w="1087"/>
        <w:gridCol w:w="6524"/>
        <w:gridCol w:w="607"/>
      </w:tblGrid>
      <w:tr>
        <w:trPr>
          <w:trHeight w:val="545"/>
        </w:trPr>
        <w:tc>
          <w:tcPr>
            <w:tcBorders>
              <w:left w:val="single" w:color="000000" w:sz="4" w:space="0"/>
              <w:right w:val="single" w:color="000000" w:sz="4" w:space="0"/>
            </w:tcBorders>
            <w:tcW w:w="425" w:type="pct"/>
            <w:vAlign w:val="center"/>
            <w:textDirection w:val="lrTb"/>
            <w:noWrap w:val="false"/>
          </w:tcPr>
          <w:p>
            <w:pPr>
              <w:ind w:left="143"/>
            </w:pPr>
            <w:r>
              <w:rPr>
                <w:spacing w:val="-3"/>
              </w:rPr>
              <w:t xml:space="preserve">序</w:t>
            </w:r>
            <w:r>
              <w:rPr>
                <w:spacing w:val="-2"/>
              </w:rPr>
              <w:t xml:space="preserve">号</w:t>
            </w:r>
            <w:r/>
          </w:p>
        </w:tc>
        <w:tc>
          <w:tcPr>
            <w:tcBorders>
              <w:left w:val="single" w:color="000000" w:sz="4" w:space="0"/>
              <w:right w:val="single" w:color="000000" w:sz="4" w:space="0"/>
            </w:tcBorders>
            <w:tcW w:w="605" w:type="pct"/>
            <w:vAlign w:val="center"/>
            <w:textDirection w:val="lrTb"/>
            <w:noWrap w:val="false"/>
          </w:tcPr>
          <w:p>
            <w:pPr>
              <w:jc w:val="center"/>
            </w:pPr>
            <w:r>
              <w:rPr>
                <w:spacing w:val="-2"/>
              </w:rPr>
              <w:t xml:space="preserve">评审因</w:t>
            </w:r>
            <w:r>
              <w:rPr>
                <w:spacing w:val="-1"/>
              </w:rPr>
              <w:t xml:space="preserve">素</w:t>
            </w:r>
            <w:r/>
          </w:p>
        </w:tc>
        <w:tc>
          <w:tcPr>
            <w:tcBorders>
              <w:left w:val="single" w:color="000000" w:sz="4" w:space="0"/>
              <w:right w:val="single" w:color="000000" w:sz="4" w:space="0"/>
            </w:tcBorders>
            <w:tcW w:w="3632" w:type="pct"/>
            <w:vAlign w:val="center"/>
            <w:textDirection w:val="lrTb"/>
            <w:noWrap w:val="false"/>
          </w:tcPr>
          <w:p>
            <w:pPr>
              <w:ind w:left="2721"/>
            </w:pPr>
            <w:r>
              <w:rPr>
                <w:spacing w:val="-2"/>
              </w:rPr>
              <w:t xml:space="preserve">评审细</w:t>
            </w:r>
            <w:r>
              <w:rPr>
                <w:spacing w:val="-1"/>
              </w:rPr>
              <w:t xml:space="preserve">则</w:t>
            </w:r>
            <w:r/>
          </w:p>
        </w:tc>
        <w:tc>
          <w:tcPr>
            <w:tcBorders>
              <w:left w:val="single" w:color="000000" w:sz="4" w:space="0"/>
              <w:right w:val="single" w:color="000000" w:sz="4" w:space="0"/>
            </w:tcBorders>
            <w:tcW w:w="336" w:type="pct"/>
            <w:vAlign w:val="center"/>
            <w:textDirection w:val="lrTb"/>
            <w:noWrap w:val="false"/>
          </w:tcPr>
          <w:p>
            <w:pPr>
              <w:ind w:left="117"/>
            </w:pPr>
            <w:r>
              <w:rPr>
                <w:spacing w:val="-4"/>
              </w:rPr>
              <w:t xml:space="preserve">分</w:t>
            </w:r>
            <w:r>
              <w:rPr>
                <w:spacing w:val="-3"/>
              </w:rPr>
              <w:t xml:space="preserve">值</w:t>
            </w:r>
            <w:r/>
          </w:p>
        </w:tc>
      </w:tr>
      <w:tr>
        <w:trPr>
          <w:trHeight w:val="425"/>
        </w:trPr>
        <w:tc>
          <w:tcPr>
            <w:gridSpan w:val="4"/>
            <w:tcBorders>
              <w:left w:val="single" w:color="000000" w:sz="4" w:space="0"/>
              <w:right w:val="single" w:color="000000" w:sz="4" w:space="0"/>
            </w:tcBorders>
            <w:tcW w:w="5000" w:type="pct"/>
            <w:vAlign w:val="center"/>
            <w:textDirection w:val="lrTb"/>
            <w:noWrap w:val="false"/>
          </w:tcPr>
          <w:p>
            <w:pPr>
              <w:ind w:left="110"/>
            </w:pPr>
            <w:r>
              <w:rPr>
                <w:b/>
                <w:bCs/>
                <w:spacing w:val="8"/>
              </w:rPr>
              <w:t xml:space="preserve">价</w:t>
            </w:r>
            <w:r>
              <w:rPr>
                <w:b/>
                <w:bCs/>
                <w:spacing w:val="5"/>
              </w:rPr>
              <w:t xml:space="preserve">格（</w:t>
            </w:r>
            <w:r>
              <w:rPr>
                <w:rFonts w:hint="eastAsia"/>
                <w:b/>
                <w:bCs/>
                <w:spacing w:val="5"/>
              </w:rPr>
              <w:t xml:space="preserve">10</w:t>
            </w:r>
            <w:r>
              <w:rPr>
                <w:b/>
                <w:bCs/>
                <w:spacing w:val="5"/>
              </w:rPr>
              <w:t xml:space="preserve">分）</w:t>
            </w:r>
            <w:r/>
          </w:p>
        </w:tc>
      </w:tr>
      <w:tr>
        <w:trPr>
          <w:trHeight w:val="1139"/>
        </w:trPr>
        <w:tc>
          <w:tcPr>
            <w:tcBorders>
              <w:left w:val="single" w:color="000000" w:sz="4" w:space="0"/>
              <w:right w:val="single" w:color="000000" w:sz="4" w:space="0"/>
            </w:tcBorders>
            <w:tcW w:w="425" w:type="pct"/>
            <w:vAlign w:val="center"/>
            <w:textDirection w:val="lrTb"/>
            <w:noWrap w:val="false"/>
          </w:tcPr>
          <w:p>
            <w:pPr>
              <w:ind w:left="222"/>
            </w:pPr>
            <w:r>
              <w:rPr>
                <w:spacing w:val="-7"/>
              </w:rPr>
              <w:t xml:space="preserve">1</w:t>
            </w:r>
            <w:r>
              <w:rPr>
                <w:spacing w:val="-6"/>
              </w:rPr>
              <w:t xml:space="preserve">.1</w:t>
            </w:r>
            <w:r/>
          </w:p>
        </w:tc>
        <w:tc>
          <w:tcPr>
            <w:tcBorders>
              <w:left w:val="single" w:color="000000" w:sz="4" w:space="0"/>
              <w:right w:val="single" w:color="000000" w:sz="4" w:space="0"/>
            </w:tcBorders>
            <w:tcW w:w="605" w:type="pct"/>
            <w:vAlign w:val="center"/>
            <w:textDirection w:val="lrTb"/>
            <w:noWrap w:val="false"/>
          </w:tcPr>
          <w:p>
            <w:pPr>
              <w:jc w:val="center"/>
            </w:pPr>
            <w:r>
              <w:rPr>
                <w:spacing w:val="-3"/>
              </w:rPr>
              <w:t xml:space="preserve">价</w:t>
            </w:r>
            <w:r>
              <w:rPr>
                <w:spacing w:val="-2"/>
              </w:rPr>
              <w:t xml:space="preserve">格分</w:t>
            </w:r>
            <w:r/>
          </w:p>
        </w:tc>
        <w:tc>
          <w:tcPr>
            <w:tcBorders>
              <w:left w:val="single" w:color="000000" w:sz="4" w:space="0"/>
              <w:right w:val="single" w:color="000000" w:sz="4" w:space="0"/>
            </w:tcBorders>
            <w:tcW w:w="3632" w:type="pct"/>
            <w:vAlign w:val="center"/>
            <w:textDirection w:val="lrTb"/>
            <w:noWrap w:val="false"/>
          </w:tcPr>
          <w:p>
            <w:pPr>
              <w:ind w:left="108" w:right="113" w:firstLine="17"/>
            </w:pPr>
            <w:r>
              <w:rPr>
                <w:spacing w:val="-2"/>
              </w:rPr>
              <w:t xml:space="preserve">价格分采用低价优先法</w:t>
            </w:r>
            <w:r>
              <w:rPr>
                <w:spacing w:val="-1"/>
              </w:rPr>
              <w:t xml:space="preserve">计算，即满足采购文件要求且投</w:t>
            </w:r>
            <w:r>
              <w:rPr>
                <w:spacing w:val="-2"/>
              </w:rPr>
              <w:t xml:space="preserve">标价格最低的投标报价为评标基准价，其价格</w:t>
            </w:r>
            <w:r>
              <w:rPr>
                <w:spacing w:val="-1"/>
              </w:rPr>
              <w:t xml:space="preserve">分为满分</w:t>
            </w:r>
            <w:r>
              <w:rPr>
                <w:spacing w:val="2"/>
              </w:rPr>
              <w:t xml:space="preserve">其他</w:t>
            </w:r>
            <w:r>
              <w:rPr>
                <w:rFonts w:hint="eastAsia"/>
                <w:spacing w:val="2"/>
              </w:rPr>
              <w:t xml:space="preserve">投标人</w:t>
            </w:r>
            <w:r>
              <w:rPr>
                <w:spacing w:val="2"/>
              </w:rPr>
              <w:t xml:space="preserve">的价格分统一按照下列公式计算（小数点保</w:t>
            </w:r>
            <w:r>
              <w:rPr>
                <w:spacing w:val="1"/>
              </w:rPr>
              <w:t xml:space="preserve">留</w:t>
            </w:r>
            <w:r>
              <w:t xml:space="preserve">两</w:t>
            </w:r>
            <w:r>
              <w:rPr>
                <w:spacing w:val="-1"/>
              </w:rPr>
              <w:t xml:space="preserve">位）：投标报价得</w:t>
            </w:r>
            <w:r>
              <w:t xml:space="preserve">分=（评标基准价／投标报价）×10。</w:t>
            </w:r>
            <w:r/>
          </w:p>
        </w:tc>
        <w:tc>
          <w:tcPr>
            <w:tcBorders>
              <w:left w:val="single" w:color="000000" w:sz="4" w:space="0"/>
              <w:right w:val="single" w:color="000000" w:sz="4" w:space="0"/>
            </w:tcBorders>
            <w:tcW w:w="336" w:type="pct"/>
            <w:vAlign w:val="center"/>
            <w:textDirection w:val="lrTb"/>
            <w:noWrap w:val="false"/>
          </w:tcPr>
          <w:p>
            <w:pPr>
              <w:jc w:val="center"/>
            </w:pPr>
            <w:r>
              <w:rPr>
                <w:rFonts w:hint="eastAsia"/>
                <w:spacing w:val="-6"/>
              </w:rPr>
              <w:t xml:space="preserve">10</w:t>
            </w:r>
            <w:r/>
          </w:p>
        </w:tc>
      </w:tr>
      <w:tr>
        <w:trPr>
          <w:trHeight w:val="365"/>
        </w:trPr>
        <w:tc>
          <w:tcPr>
            <w:gridSpan w:val="4"/>
            <w:tcBorders>
              <w:left w:val="single" w:color="000000" w:sz="4" w:space="0"/>
              <w:right w:val="single" w:color="000000" w:sz="4" w:space="0"/>
            </w:tcBorders>
            <w:tcW w:w="5000" w:type="pct"/>
            <w:vAlign w:val="center"/>
            <w:textDirection w:val="lrTb"/>
            <w:noWrap w:val="false"/>
          </w:tcPr>
          <w:p>
            <w:pPr>
              <w:ind w:left="110"/>
            </w:pPr>
            <w:r>
              <w:rPr>
                <w:b/>
                <w:bCs/>
                <w:spacing w:val="8"/>
              </w:rPr>
              <w:t xml:space="preserve">技</w:t>
            </w:r>
            <w:r>
              <w:rPr>
                <w:b/>
                <w:bCs/>
                <w:spacing w:val="5"/>
              </w:rPr>
              <w:t xml:space="preserve">术（4</w:t>
            </w:r>
            <w:r>
              <w:rPr>
                <w:rFonts w:hint="eastAsia"/>
                <w:b/>
                <w:bCs/>
                <w:spacing w:val="5"/>
              </w:rPr>
              <w:t xml:space="preserve">0</w:t>
            </w:r>
            <w:r>
              <w:rPr>
                <w:b/>
                <w:bCs/>
                <w:spacing w:val="5"/>
              </w:rPr>
              <w:t xml:space="preserve">分）</w:t>
            </w:r>
            <w:r/>
          </w:p>
        </w:tc>
      </w:tr>
      <w:tr>
        <w:trPr>
          <w:trHeight w:val="20"/>
        </w:trPr>
        <w:tc>
          <w:tcPr>
            <w:tcBorders>
              <w:left w:val="single" w:color="000000" w:sz="4" w:space="0"/>
              <w:right w:val="single" w:color="000000" w:sz="4" w:space="0"/>
            </w:tcBorders>
            <w:tcW w:w="425" w:type="pct"/>
            <w:vAlign w:val="center"/>
            <w:textDirection w:val="lrTb"/>
            <w:noWrap w:val="false"/>
          </w:tcPr>
          <w:p>
            <w:pPr>
              <w:jc w:val="center"/>
              <w:rPr>
                <w:spacing w:val="2"/>
              </w:rPr>
            </w:pPr>
            <w:r>
              <w:rPr>
                <w:spacing w:val="2"/>
              </w:rPr>
              <w:t xml:space="preserve">2.1</w:t>
            </w:r>
            <w:r/>
          </w:p>
        </w:tc>
        <w:tc>
          <w:tcPr>
            <w:tcBorders>
              <w:left w:val="single" w:color="000000" w:sz="4" w:space="0"/>
              <w:right w:val="single" w:color="000000" w:sz="4" w:space="0"/>
            </w:tcBorders>
            <w:tcW w:w="605" w:type="pct"/>
            <w:vAlign w:val="center"/>
            <w:textDirection w:val="lrTb"/>
            <w:noWrap w:val="false"/>
          </w:tcPr>
          <w:p>
            <w:pPr>
              <w:jc w:val="center"/>
              <w:rPr>
                <w:spacing w:val="2"/>
              </w:rPr>
            </w:pPr>
            <w:r>
              <w:rPr>
                <w:rFonts w:hint="eastAsia"/>
                <w:spacing w:val="2"/>
              </w:rPr>
              <w:t xml:space="preserve">项目理解</w:t>
            </w:r>
            <w:r/>
          </w:p>
        </w:tc>
        <w:tc>
          <w:tcPr>
            <w:tcBorders>
              <w:left w:val="single" w:color="000000" w:sz="4" w:space="0"/>
              <w:right w:val="single" w:color="000000" w:sz="4" w:space="0"/>
            </w:tcBorders>
            <w:tcW w:w="3632" w:type="pct"/>
            <w:vAlign w:val="center"/>
            <w:textDirection w:val="lrTb"/>
            <w:noWrap w:val="false"/>
          </w:tcPr>
          <w:p>
            <w:pPr>
              <w:widowControl/>
              <w:rPr>
                <w:spacing w:val="2"/>
              </w:rPr>
            </w:pPr>
            <w:r>
              <w:rPr>
                <w:rFonts w:hint="eastAsia"/>
                <w:spacing w:val="2"/>
              </w:rPr>
              <w:t xml:space="preserve">对国资委信息化现状、运维范围、运维内容进行分析，根据方案情况进行综合评分：优于项目需求的得5分，符合项目需求的得3分，不符合不得分。</w:t>
            </w:r>
            <w:r/>
          </w:p>
        </w:tc>
        <w:tc>
          <w:tcPr>
            <w:tcBorders>
              <w:left w:val="single" w:color="000000" w:sz="4" w:space="0"/>
              <w:right w:val="single" w:color="000000" w:sz="4" w:space="0"/>
            </w:tcBorders>
            <w:tcW w:w="336" w:type="pct"/>
            <w:vAlign w:val="center"/>
            <w:textDirection w:val="lrTb"/>
            <w:noWrap w:val="false"/>
          </w:tcPr>
          <w:p>
            <w:pPr>
              <w:jc w:val="center"/>
              <w:rPr>
                <w:spacing w:val="2"/>
              </w:rPr>
            </w:pPr>
            <w:r>
              <w:rPr>
                <w:spacing w:val="2"/>
              </w:rPr>
              <w:t xml:space="preserve">5</w:t>
            </w:r>
            <w:r/>
          </w:p>
        </w:tc>
      </w:tr>
      <w:tr>
        <w:trPr>
          <w:trHeight w:val="20"/>
        </w:trPr>
        <w:tc>
          <w:tcPr>
            <w:tcBorders>
              <w:left w:val="single" w:color="000000" w:sz="4" w:space="0"/>
              <w:right w:val="single" w:color="000000" w:sz="4" w:space="0"/>
            </w:tcBorders>
            <w:tcW w:w="425" w:type="pct"/>
            <w:vAlign w:val="center"/>
            <w:textDirection w:val="lrTb"/>
            <w:noWrap w:val="false"/>
          </w:tcPr>
          <w:p>
            <w:pPr>
              <w:jc w:val="center"/>
              <w:rPr>
                <w:spacing w:val="2"/>
              </w:rPr>
            </w:pPr>
            <w:r>
              <w:rPr>
                <w:rFonts w:hint="eastAsia"/>
                <w:spacing w:val="2"/>
              </w:rPr>
              <w:t xml:space="preserve">2.2</w:t>
            </w:r>
            <w:r/>
          </w:p>
        </w:tc>
        <w:tc>
          <w:tcPr>
            <w:tcBorders>
              <w:left w:val="single" w:color="000000" w:sz="4" w:space="0"/>
              <w:right w:val="single" w:color="000000" w:sz="4" w:space="0"/>
            </w:tcBorders>
            <w:tcW w:w="605" w:type="pct"/>
            <w:vAlign w:val="center"/>
            <w:textDirection w:val="lrTb"/>
            <w:noWrap w:val="false"/>
          </w:tcPr>
          <w:p>
            <w:pPr>
              <w:jc w:val="center"/>
              <w:rPr>
                <w:spacing w:val="2"/>
              </w:rPr>
            </w:pPr>
            <w:r>
              <w:rPr>
                <w:rFonts w:hint="eastAsia"/>
                <w:spacing w:val="2"/>
              </w:rPr>
              <w:t xml:space="preserve">软件系统运维服务方案</w:t>
            </w:r>
            <w:r/>
          </w:p>
        </w:tc>
        <w:tc>
          <w:tcPr>
            <w:tcBorders>
              <w:left w:val="single" w:color="000000" w:sz="4" w:space="0"/>
              <w:right w:val="single" w:color="000000" w:sz="4" w:space="0"/>
            </w:tcBorders>
            <w:tcW w:w="3632" w:type="pct"/>
            <w:vAlign w:val="center"/>
            <w:textDirection w:val="lrTb"/>
            <w:noWrap w:val="false"/>
          </w:tcPr>
          <w:p>
            <w:pPr>
              <w:widowControl/>
              <w:rPr>
                <w:spacing w:val="2"/>
              </w:rPr>
            </w:pPr>
            <w:r>
              <w:rPr>
                <w:rFonts w:hint="eastAsia"/>
                <w:spacing w:val="2"/>
              </w:rPr>
              <w:t xml:space="preserve">投标人根据软件系统运维内容提供详实的运维服务方案，包括数据库系统维护、中间件维护、应用系统日常维护、软件系统升级及维保服务等。根据方案情况进行综合评分：优于项目需求的得5分，符合项目需求的得3分，不符合不得分。</w:t>
            </w:r>
            <w:r/>
          </w:p>
        </w:tc>
        <w:tc>
          <w:tcPr>
            <w:tcBorders>
              <w:left w:val="single" w:color="000000" w:sz="4" w:space="0"/>
              <w:right w:val="single" w:color="000000" w:sz="4" w:space="0"/>
            </w:tcBorders>
            <w:tcW w:w="336" w:type="pct"/>
            <w:vAlign w:val="center"/>
            <w:textDirection w:val="lrTb"/>
            <w:noWrap w:val="false"/>
          </w:tcPr>
          <w:p>
            <w:pPr>
              <w:jc w:val="center"/>
              <w:rPr>
                <w:spacing w:val="2"/>
              </w:rPr>
            </w:pPr>
            <w:r>
              <w:rPr>
                <w:rFonts w:hint="eastAsia"/>
                <w:spacing w:val="2"/>
              </w:rPr>
              <w:t xml:space="preserve">5</w:t>
            </w:r>
            <w:r/>
          </w:p>
        </w:tc>
      </w:tr>
      <w:tr>
        <w:trPr>
          <w:trHeight w:val="20"/>
        </w:trPr>
        <w:tc>
          <w:tcPr>
            <w:tcBorders>
              <w:left w:val="single" w:color="000000" w:sz="4" w:space="0"/>
              <w:right w:val="single" w:color="000000" w:sz="4" w:space="0"/>
            </w:tcBorders>
            <w:tcW w:w="425" w:type="pct"/>
            <w:vAlign w:val="center"/>
            <w:textDirection w:val="lrTb"/>
            <w:noWrap w:val="false"/>
          </w:tcPr>
          <w:p>
            <w:pPr>
              <w:jc w:val="center"/>
              <w:rPr>
                <w:spacing w:val="2"/>
              </w:rPr>
            </w:pPr>
            <w:r>
              <w:rPr>
                <w:spacing w:val="2"/>
              </w:rPr>
              <w:t xml:space="preserve">2.</w:t>
            </w:r>
            <w:r>
              <w:rPr>
                <w:rFonts w:hint="eastAsia"/>
                <w:spacing w:val="2"/>
              </w:rPr>
              <w:t xml:space="preserve">3</w:t>
            </w:r>
            <w:r/>
          </w:p>
        </w:tc>
        <w:tc>
          <w:tcPr>
            <w:tcBorders>
              <w:left w:val="single" w:color="000000" w:sz="4" w:space="0"/>
              <w:right w:val="single" w:color="000000" w:sz="4" w:space="0"/>
            </w:tcBorders>
            <w:tcW w:w="605" w:type="pct"/>
            <w:vAlign w:val="center"/>
            <w:textDirection w:val="lrTb"/>
            <w:noWrap w:val="false"/>
          </w:tcPr>
          <w:p>
            <w:pPr>
              <w:jc w:val="center"/>
              <w:rPr>
                <w:spacing w:val="2"/>
              </w:rPr>
            </w:pPr>
            <w:r>
              <w:rPr>
                <w:rFonts w:hint="eastAsia"/>
                <w:spacing w:val="2"/>
              </w:rPr>
              <w:t xml:space="preserve">硬件设备运维服务方案</w:t>
            </w:r>
            <w:r/>
          </w:p>
        </w:tc>
        <w:tc>
          <w:tcPr>
            <w:tcBorders>
              <w:left w:val="single" w:color="000000" w:sz="4" w:space="0"/>
              <w:right w:val="single" w:color="000000" w:sz="4" w:space="0"/>
            </w:tcBorders>
            <w:tcW w:w="3632" w:type="pct"/>
            <w:vAlign w:val="center"/>
            <w:textDirection w:val="lrTb"/>
            <w:noWrap w:val="false"/>
          </w:tcPr>
          <w:p>
            <w:pPr>
              <w:widowControl/>
              <w:rPr>
                <w:spacing w:val="2"/>
              </w:rPr>
            </w:pPr>
            <w:r>
              <w:rPr>
                <w:rFonts w:hint="eastAsia"/>
                <w:spacing w:val="2"/>
              </w:rPr>
              <w:t xml:space="preserve">投标人根据硬件设备运维内容提供详实的运维服务方案，包括服务器维护、存储设备维护、网络与安全设备维护、电脑终端运维服务、网络信息点位维护、系统设备维修及保养服务等。根据方案情况进行综合评分：优于项目需求的得5分，符合项目需求的得3分，不符合不得分。</w:t>
            </w:r>
            <w:r/>
          </w:p>
        </w:tc>
        <w:tc>
          <w:tcPr>
            <w:tcBorders>
              <w:left w:val="single" w:color="000000" w:sz="4" w:space="0"/>
              <w:right w:val="single" w:color="000000" w:sz="4" w:space="0"/>
            </w:tcBorders>
            <w:tcW w:w="336" w:type="pct"/>
            <w:vAlign w:val="center"/>
            <w:textDirection w:val="lrTb"/>
            <w:noWrap w:val="false"/>
          </w:tcPr>
          <w:p>
            <w:pPr>
              <w:jc w:val="center"/>
              <w:rPr>
                <w:spacing w:val="2"/>
              </w:rPr>
            </w:pPr>
            <w:r>
              <w:rPr>
                <w:spacing w:val="2"/>
              </w:rPr>
              <w:t xml:space="preserve">5</w:t>
            </w:r>
            <w:r/>
          </w:p>
        </w:tc>
      </w:tr>
      <w:tr>
        <w:trPr>
          <w:trHeight w:val="20"/>
        </w:trPr>
        <w:tc>
          <w:tcPr>
            <w:tcBorders>
              <w:left w:val="single" w:color="000000" w:sz="4" w:space="0"/>
              <w:right w:val="single" w:color="000000" w:sz="4" w:space="0"/>
            </w:tcBorders>
            <w:tcW w:w="425" w:type="pct"/>
            <w:vAlign w:val="center"/>
            <w:textDirection w:val="lrTb"/>
            <w:noWrap w:val="false"/>
          </w:tcPr>
          <w:p>
            <w:pPr>
              <w:jc w:val="center"/>
              <w:rPr>
                <w:spacing w:val="2"/>
              </w:rPr>
            </w:pPr>
            <w:r>
              <w:rPr>
                <w:rFonts w:hint="eastAsia"/>
                <w:spacing w:val="2"/>
              </w:rPr>
              <w:t xml:space="preserve">2.4</w:t>
            </w:r>
            <w:r/>
          </w:p>
        </w:tc>
        <w:tc>
          <w:tcPr>
            <w:tcBorders>
              <w:left w:val="single" w:color="000000" w:sz="4" w:space="0"/>
              <w:right w:val="single" w:color="000000" w:sz="4" w:space="0"/>
            </w:tcBorders>
            <w:tcW w:w="605" w:type="pct"/>
            <w:vAlign w:val="center"/>
            <w:textDirection w:val="lrTb"/>
            <w:noWrap w:val="false"/>
          </w:tcPr>
          <w:p>
            <w:pPr>
              <w:jc w:val="center"/>
              <w:rPr>
                <w:spacing w:val="2"/>
              </w:rPr>
            </w:pPr>
            <w:r>
              <w:rPr>
                <w:rFonts w:hint="eastAsia"/>
                <w:spacing w:val="2"/>
              </w:rPr>
              <w:t xml:space="preserve">信息安全运维服务方案</w:t>
            </w:r>
            <w:r/>
          </w:p>
        </w:tc>
        <w:tc>
          <w:tcPr>
            <w:tcBorders>
              <w:left w:val="single" w:color="000000" w:sz="4" w:space="0"/>
              <w:right w:val="single" w:color="000000" w:sz="4" w:space="0"/>
            </w:tcBorders>
            <w:tcW w:w="3632" w:type="pct"/>
            <w:vAlign w:val="center"/>
            <w:textDirection w:val="lrTb"/>
            <w:noWrap w:val="false"/>
          </w:tcPr>
          <w:p>
            <w:pPr>
              <w:widowControl/>
              <w:rPr>
                <w:spacing w:val="2"/>
              </w:rPr>
            </w:pPr>
            <w:r>
              <w:rPr>
                <w:rFonts w:hint="eastAsia"/>
                <w:spacing w:val="2"/>
              </w:rPr>
              <w:t xml:space="preserve">投标人根据信息安全运维内容提供详实的运维服务方案，包括风险评估、安全加固、应急响应、安全巡检、安全监控及安全通告等。根据方案情况进行综合评分：优于项目需求的得5分，符合项目需求的得3分，不符合不得分。</w:t>
            </w:r>
            <w:r/>
          </w:p>
        </w:tc>
        <w:tc>
          <w:tcPr>
            <w:tcBorders>
              <w:left w:val="single" w:color="000000" w:sz="4" w:space="0"/>
              <w:right w:val="single" w:color="000000" w:sz="4" w:space="0"/>
            </w:tcBorders>
            <w:tcW w:w="336" w:type="pct"/>
            <w:vAlign w:val="center"/>
            <w:textDirection w:val="lrTb"/>
            <w:noWrap w:val="false"/>
          </w:tcPr>
          <w:p>
            <w:pPr>
              <w:jc w:val="center"/>
              <w:rPr>
                <w:spacing w:val="2"/>
              </w:rPr>
            </w:pPr>
            <w:r>
              <w:rPr>
                <w:spacing w:val="2"/>
              </w:rPr>
              <w:t xml:space="preserve">5</w:t>
            </w:r>
            <w:r/>
          </w:p>
        </w:tc>
      </w:tr>
      <w:tr>
        <w:trPr>
          <w:trHeight w:val="20"/>
        </w:trPr>
        <w:tc>
          <w:tcPr>
            <w:tcBorders>
              <w:left w:val="single" w:color="000000" w:sz="4" w:space="0"/>
              <w:right w:val="single" w:color="000000" w:sz="4" w:space="0"/>
            </w:tcBorders>
            <w:tcW w:w="425" w:type="pct"/>
            <w:vAlign w:val="center"/>
            <w:textDirection w:val="lrTb"/>
            <w:noWrap w:val="false"/>
          </w:tcPr>
          <w:p>
            <w:pPr>
              <w:jc w:val="center"/>
              <w:rPr>
                <w:spacing w:val="2"/>
              </w:rPr>
            </w:pPr>
            <w:r>
              <w:rPr>
                <w:rFonts w:hint="eastAsia"/>
                <w:spacing w:val="2"/>
              </w:rPr>
              <w:t xml:space="preserve">2.5</w:t>
            </w:r>
            <w:r/>
          </w:p>
        </w:tc>
        <w:tc>
          <w:tcPr>
            <w:tcBorders>
              <w:left w:val="single" w:color="000000" w:sz="4" w:space="0"/>
              <w:right w:val="single" w:color="000000" w:sz="4" w:space="0"/>
            </w:tcBorders>
            <w:tcW w:w="605" w:type="pct"/>
            <w:vAlign w:val="center"/>
            <w:textDirection w:val="lrTb"/>
            <w:noWrap w:val="false"/>
          </w:tcPr>
          <w:p>
            <w:pPr>
              <w:jc w:val="center"/>
              <w:rPr>
                <w:spacing w:val="2"/>
              </w:rPr>
            </w:pPr>
            <w:r>
              <w:rPr>
                <w:rFonts w:hint="eastAsia"/>
                <w:spacing w:val="2"/>
              </w:rPr>
              <w:t xml:space="preserve">信息化运维管理服务方案</w:t>
            </w:r>
            <w:r/>
          </w:p>
        </w:tc>
        <w:tc>
          <w:tcPr>
            <w:tcBorders>
              <w:left w:val="single" w:color="000000" w:sz="4" w:space="0"/>
              <w:right w:val="single" w:color="000000" w:sz="4" w:space="0"/>
            </w:tcBorders>
            <w:tcW w:w="3632" w:type="pct"/>
            <w:vAlign w:val="center"/>
            <w:textDirection w:val="lrTb"/>
            <w:noWrap w:val="false"/>
          </w:tcPr>
          <w:p>
            <w:pPr>
              <w:widowControl/>
              <w:rPr>
                <w:spacing w:val="2"/>
              </w:rPr>
            </w:pPr>
            <w:r>
              <w:rPr>
                <w:rFonts w:hint="eastAsia"/>
                <w:spacing w:val="2"/>
              </w:rPr>
              <w:t xml:space="preserve">投标人根据运维管理服务内容提供详实的运维服务方案。根据方案情况进行综合评分：优于项目需求的得5分，符合项目需求的得3分，不符合不得分。</w:t>
            </w:r>
            <w:r/>
          </w:p>
        </w:tc>
        <w:tc>
          <w:tcPr>
            <w:tcBorders>
              <w:left w:val="single" w:color="000000" w:sz="4" w:space="0"/>
              <w:right w:val="single" w:color="000000" w:sz="4" w:space="0"/>
            </w:tcBorders>
            <w:tcW w:w="336" w:type="pct"/>
            <w:vAlign w:val="center"/>
            <w:textDirection w:val="lrTb"/>
            <w:noWrap w:val="false"/>
          </w:tcPr>
          <w:p>
            <w:pPr>
              <w:jc w:val="center"/>
              <w:rPr>
                <w:spacing w:val="2"/>
              </w:rPr>
            </w:pPr>
            <w:r>
              <w:rPr>
                <w:spacing w:val="2"/>
              </w:rPr>
              <w:t xml:space="preserve">5</w:t>
            </w:r>
            <w:r/>
          </w:p>
        </w:tc>
      </w:tr>
      <w:tr>
        <w:trPr>
          <w:trHeight w:val="20"/>
        </w:trPr>
        <w:tc>
          <w:tcPr>
            <w:tcBorders>
              <w:left w:val="single" w:color="000000" w:sz="4" w:space="0"/>
              <w:right w:val="single" w:color="000000" w:sz="4" w:space="0"/>
            </w:tcBorders>
            <w:tcW w:w="425" w:type="pct"/>
            <w:vAlign w:val="center"/>
            <w:textDirection w:val="lrTb"/>
            <w:noWrap w:val="false"/>
          </w:tcPr>
          <w:p>
            <w:pPr>
              <w:jc w:val="center"/>
              <w:rPr>
                <w:spacing w:val="2"/>
              </w:rPr>
            </w:pPr>
            <w:r>
              <w:rPr>
                <w:rFonts w:hint="eastAsia"/>
                <w:spacing w:val="2"/>
              </w:rPr>
              <w:t xml:space="preserve">2.6</w:t>
            </w:r>
            <w:r/>
          </w:p>
        </w:tc>
        <w:tc>
          <w:tcPr>
            <w:tcBorders>
              <w:left w:val="single" w:color="000000" w:sz="4" w:space="0"/>
              <w:right w:val="single" w:color="000000" w:sz="4" w:space="0"/>
            </w:tcBorders>
            <w:tcW w:w="605" w:type="pct"/>
            <w:vAlign w:val="center"/>
            <w:textDirection w:val="lrTb"/>
            <w:noWrap w:val="false"/>
          </w:tcPr>
          <w:p>
            <w:pPr>
              <w:jc w:val="center"/>
              <w:rPr>
                <w:spacing w:val="2"/>
              </w:rPr>
            </w:pPr>
            <w:r>
              <w:rPr>
                <w:rFonts w:hint="eastAsia"/>
                <w:spacing w:val="2"/>
              </w:rPr>
              <w:t xml:space="preserve">服务保障体系</w:t>
            </w:r>
            <w:r/>
          </w:p>
        </w:tc>
        <w:tc>
          <w:tcPr>
            <w:tcBorders>
              <w:left w:val="single" w:color="000000" w:sz="4" w:space="0"/>
              <w:right w:val="single" w:color="000000" w:sz="4" w:space="0"/>
            </w:tcBorders>
            <w:tcW w:w="3632" w:type="pct"/>
            <w:vAlign w:val="center"/>
            <w:textDirection w:val="lrTb"/>
            <w:noWrap w:val="false"/>
          </w:tcPr>
          <w:p>
            <w:pPr>
              <w:pStyle w:val="784"/>
              <w:ind w:firstLine="0"/>
              <w:spacing w:line="240" w:lineRule="auto"/>
              <w:rPr>
                <w:spacing w:val="2"/>
                <w:szCs w:val="21"/>
              </w:rPr>
            </w:pPr>
            <w:r>
              <w:rPr>
                <w:rFonts w:hint="eastAsia"/>
                <w:spacing w:val="2"/>
                <w:szCs w:val="21"/>
              </w:rPr>
              <w:t xml:space="preserve">投标人根据招标文件要求提供具体详实的服务保障体系，包括基本机制、服务队伍、服务流程等。根据方案情况进行综合评分：优于项目需求的得5分，符合项目需求的得3分，不符合不得分。</w:t>
            </w:r>
            <w:r/>
          </w:p>
        </w:tc>
        <w:tc>
          <w:tcPr>
            <w:tcBorders>
              <w:left w:val="single" w:color="000000" w:sz="4" w:space="0"/>
              <w:right w:val="single" w:color="000000" w:sz="4" w:space="0"/>
            </w:tcBorders>
            <w:tcW w:w="336" w:type="pct"/>
            <w:vAlign w:val="center"/>
            <w:textDirection w:val="lrTb"/>
            <w:noWrap w:val="false"/>
          </w:tcPr>
          <w:p>
            <w:pPr>
              <w:jc w:val="center"/>
              <w:rPr>
                <w:spacing w:val="2"/>
              </w:rPr>
            </w:pPr>
            <w:r>
              <w:rPr>
                <w:spacing w:val="2"/>
              </w:rPr>
              <w:t xml:space="preserve">5</w:t>
            </w:r>
            <w:r/>
          </w:p>
        </w:tc>
      </w:tr>
      <w:tr>
        <w:trPr>
          <w:trHeight w:val="20"/>
        </w:trPr>
        <w:tc>
          <w:tcPr>
            <w:tcBorders>
              <w:left w:val="single" w:color="000000" w:sz="4" w:space="0"/>
              <w:right w:val="single" w:color="000000" w:sz="4" w:space="0"/>
            </w:tcBorders>
            <w:tcW w:w="425" w:type="pct"/>
            <w:vAlign w:val="center"/>
            <w:textDirection w:val="lrTb"/>
            <w:noWrap w:val="false"/>
          </w:tcPr>
          <w:p>
            <w:pPr>
              <w:jc w:val="center"/>
              <w:rPr>
                <w:spacing w:val="2"/>
              </w:rPr>
            </w:pPr>
            <w:r>
              <w:rPr>
                <w:rFonts w:hint="eastAsia"/>
                <w:spacing w:val="2"/>
              </w:rPr>
              <w:t xml:space="preserve">2.7</w:t>
            </w:r>
            <w:r/>
          </w:p>
        </w:tc>
        <w:tc>
          <w:tcPr>
            <w:tcBorders>
              <w:left w:val="single" w:color="000000" w:sz="4" w:space="0"/>
              <w:right w:val="single" w:color="000000" w:sz="4" w:space="0"/>
            </w:tcBorders>
            <w:tcW w:w="605" w:type="pct"/>
            <w:vAlign w:val="center"/>
            <w:textDirection w:val="lrTb"/>
            <w:noWrap w:val="false"/>
          </w:tcPr>
          <w:p>
            <w:pPr>
              <w:jc w:val="center"/>
              <w:rPr>
                <w:spacing w:val="2"/>
              </w:rPr>
            </w:pPr>
            <w:r>
              <w:rPr>
                <w:rFonts w:hint="eastAsia"/>
                <w:spacing w:val="2"/>
              </w:rPr>
              <w:t xml:space="preserve">服务保障措施</w:t>
            </w:r>
            <w:r/>
          </w:p>
        </w:tc>
        <w:tc>
          <w:tcPr>
            <w:tcBorders>
              <w:left w:val="single" w:color="000000" w:sz="4" w:space="0"/>
              <w:right w:val="single" w:color="000000" w:sz="4" w:space="0"/>
            </w:tcBorders>
            <w:tcW w:w="3632" w:type="pct"/>
            <w:vAlign w:val="center"/>
            <w:textDirection w:val="lrTb"/>
            <w:noWrap w:val="false"/>
          </w:tcPr>
          <w:p>
            <w:pPr>
              <w:widowControl/>
              <w:rPr>
                <w:spacing w:val="2"/>
              </w:rPr>
            </w:pPr>
            <w:r>
              <w:rPr>
                <w:rFonts w:hint="eastAsia"/>
                <w:spacing w:val="2"/>
              </w:rPr>
              <w:t xml:space="preserve">投标人根据招标文件要求提供具体详实的服务保障措施，包括日常运维服务方案、故障处理方案、服务响应时间等。根据方案情况进行综合评分：优于项目需求的得5分，符合项目需求的得3分，不符合不得分。</w:t>
            </w:r>
            <w:r/>
          </w:p>
        </w:tc>
        <w:tc>
          <w:tcPr>
            <w:tcBorders>
              <w:left w:val="single" w:color="000000" w:sz="4" w:space="0"/>
              <w:right w:val="single" w:color="000000" w:sz="4" w:space="0"/>
            </w:tcBorders>
            <w:tcW w:w="336" w:type="pct"/>
            <w:vAlign w:val="center"/>
            <w:textDirection w:val="lrTb"/>
            <w:noWrap w:val="false"/>
          </w:tcPr>
          <w:p>
            <w:pPr>
              <w:jc w:val="center"/>
              <w:rPr>
                <w:spacing w:val="2"/>
              </w:rPr>
            </w:pPr>
            <w:r>
              <w:rPr>
                <w:spacing w:val="2"/>
              </w:rPr>
              <w:t xml:space="preserve">5</w:t>
            </w:r>
            <w:r/>
          </w:p>
        </w:tc>
      </w:tr>
      <w:tr>
        <w:trPr>
          <w:trHeight w:val="20"/>
        </w:trPr>
        <w:tc>
          <w:tcPr>
            <w:tcBorders>
              <w:left w:val="single" w:color="000000" w:sz="4" w:space="0"/>
              <w:right w:val="single" w:color="000000" w:sz="4" w:space="0"/>
            </w:tcBorders>
            <w:tcW w:w="425" w:type="pct"/>
            <w:vAlign w:val="center"/>
            <w:textDirection w:val="lrTb"/>
            <w:noWrap w:val="false"/>
          </w:tcPr>
          <w:p>
            <w:pPr>
              <w:jc w:val="center"/>
              <w:rPr>
                <w:spacing w:val="2"/>
              </w:rPr>
            </w:pPr>
            <w:r>
              <w:rPr>
                <w:rFonts w:hint="eastAsia"/>
                <w:spacing w:val="2"/>
              </w:rPr>
              <w:t xml:space="preserve">2.8</w:t>
            </w:r>
            <w:r/>
          </w:p>
        </w:tc>
        <w:tc>
          <w:tcPr>
            <w:tcBorders>
              <w:left w:val="single" w:color="000000" w:sz="4" w:space="0"/>
              <w:right w:val="single" w:color="000000" w:sz="4" w:space="0"/>
            </w:tcBorders>
            <w:tcW w:w="605" w:type="pct"/>
            <w:vAlign w:val="center"/>
            <w:textDirection w:val="lrTb"/>
            <w:noWrap w:val="false"/>
          </w:tcPr>
          <w:p>
            <w:pPr>
              <w:jc w:val="center"/>
              <w:rPr>
                <w:spacing w:val="2"/>
              </w:rPr>
            </w:pPr>
            <w:r>
              <w:rPr>
                <w:rFonts w:hint="eastAsia"/>
                <w:spacing w:val="2"/>
              </w:rPr>
              <w:t xml:space="preserve">培训方案</w:t>
            </w:r>
            <w:r/>
          </w:p>
        </w:tc>
        <w:tc>
          <w:tcPr>
            <w:tcBorders>
              <w:left w:val="single" w:color="000000" w:sz="4" w:space="0"/>
              <w:right w:val="single" w:color="000000" w:sz="4" w:space="0"/>
            </w:tcBorders>
            <w:tcW w:w="3632" w:type="pct"/>
            <w:vAlign w:val="center"/>
            <w:textDirection w:val="lrTb"/>
            <w:noWrap w:val="false"/>
          </w:tcPr>
          <w:p>
            <w:pPr>
              <w:ind w:right="101"/>
              <w:rPr>
                <w:spacing w:val="2"/>
              </w:rPr>
            </w:pPr>
            <w:r>
              <w:rPr>
                <w:rFonts w:hint="eastAsia"/>
                <w:spacing w:val="2"/>
              </w:rPr>
              <w:t xml:space="preserve">投标人根据招标文件要求提供具体详实的培训方案，包括培训计划、培训内容和培训方式。根据方案情况进行综合评分：优于项目需求的得5分，符合项目需求的得3分，不符合不得分。</w:t>
            </w:r>
            <w:r/>
          </w:p>
        </w:tc>
        <w:tc>
          <w:tcPr>
            <w:tcBorders>
              <w:left w:val="single" w:color="000000" w:sz="4" w:space="0"/>
              <w:right w:val="single" w:color="000000" w:sz="4" w:space="0"/>
            </w:tcBorders>
            <w:tcW w:w="336" w:type="pct"/>
            <w:vAlign w:val="center"/>
            <w:textDirection w:val="lrTb"/>
            <w:noWrap w:val="false"/>
          </w:tcPr>
          <w:p>
            <w:pPr>
              <w:jc w:val="center"/>
              <w:rPr>
                <w:spacing w:val="2"/>
              </w:rPr>
            </w:pPr>
            <w:r>
              <w:rPr>
                <w:rFonts w:hint="eastAsia"/>
                <w:spacing w:val="2"/>
              </w:rPr>
              <w:t xml:space="preserve">5</w:t>
            </w:r>
            <w:r/>
          </w:p>
        </w:tc>
      </w:tr>
      <w:tr>
        <w:trPr>
          <w:trHeight w:val="320"/>
        </w:trPr>
        <w:tc>
          <w:tcPr>
            <w:gridSpan w:val="4"/>
            <w:tcBorders>
              <w:top w:val="single" w:color="000000" w:sz="2" w:space="0"/>
              <w:bottom w:val="single" w:color="000000" w:sz="2" w:space="0"/>
            </w:tcBorders>
            <w:tcW w:w="5000" w:type="pct"/>
            <w:vAlign w:val="center"/>
            <w:textDirection w:val="lrTb"/>
            <w:noWrap w:val="false"/>
          </w:tcPr>
          <w:p>
            <w:pPr>
              <w:ind w:left="114"/>
              <w:rPr>
                <w:b/>
                <w:bCs/>
              </w:rPr>
            </w:pPr>
            <w:r>
              <w:rPr>
                <w:b/>
                <w:bCs/>
                <w:spacing w:val="5"/>
              </w:rPr>
              <w:t xml:space="preserve">商务（</w:t>
            </w:r>
            <w:r>
              <w:rPr>
                <w:rFonts w:hint="eastAsia"/>
                <w:b/>
                <w:bCs/>
                <w:spacing w:val="-8"/>
              </w:rPr>
              <w:t xml:space="preserve">42</w:t>
            </w:r>
            <w:r>
              <w:rPr>
                <w:b/>
                <w:bCs/>
                <w:spacing w:val="5"/>
              </w:rPr>
              <w:t xml:space="preserve">分</w:t>
            </w:r>
            <w:r>
              <w:rPr>
                <w:b/>
                <w:bCs/>
                <w:spacing w:val="4"/>
              </w:rPr>
              <w:t xml:space="preserve">）</w:t>
            </w:r>
            <w:r/>
          </w:p>
        </w:tc>
      </w:tr>
      <w:tr>
        <w:trPr>
          <w:trHeight w:val="1004"/>
        </w:trPr>
        <w:tc>
          <w:tcPr>
            <w:tcBorders>
              <w:top w:val="single" w:color="000000" w:sz="2" w:space="0"/>
              <w:bottom w:val="single" w:color="000000" w:sz="2" w:space="0"/>
            </w:tcBorders>
            <w:tcW w:w="425" w:type="pct"/>
            <w:vAlign w:val="center"/>
            <w:textDirection w:val="lrTb"/>
            <w:noWrap w:val="false"/>
          </w:tcPr>
          <w:p>
            <w:pPr>
              <w:jc w:val="center"/>
              <w:rPr>
                <w:spacing w:val="-4"/>
              </w:rPr>
            </w:pPr>
            <w:r>
              <w:rPr>
                <w:rFonts w:hint="eastAsia"/>
                <w:spacing w:val="-4"/>
              </w:rPr>
              <w:t xml:space="preserve">3.1</w:t>
            </w:r>
            <w:r/>
          </w:p>
        </w:tc>
        <w:tc>
          <w:tcPr>
            <w:tcBorders>
              <w:top w:val="single" w:color="000000" w:sz="2" w:space="0"/>
              <w:bottom w:val="single" w:color="000000" w:sz="2" w:space="0"/>
            </w:tcBorders>
            <w:tcW w:w="605" w:type="pct"/>
            <w:vAlign w:val="center"/>
            <w:textDirection w:val="lrTb"/>
            <w:noWrap w:val="false"/>
          </w:tcPr>
          <w:p>
            <w:pPr>
              <w:jc w:val="center"/>
              <w:rPr>
                <w:spacing w:val="-4"/>
              </w:rPr>
            </w:pPr>
            <w:r>
              <w:rPr>
                <w:rFonts w:hint="eastAsia"/>
                <w:spacing w:val="-4"/>
              </w:rPr>
              <w:t xml:space="preserve">项目负责人</w:t>
            </w:r>
            <w:r/>
          </w:p>
        </w:tc>
        <w:tc>
          <w:tcPr>
            <w:tcBorders>
              <w:top w:val="single" w:color="000000" w:sz="2" w:space="0"/>
              <w:bottom w:val="single" w:color="000000" w:sz="2" w:space="0"/>
            </w:tcBorders>
            <w:tcW w:w="3632" w:type="pct"/>
            <w:vAlign w:val="center"/>
            <w:textDirection w:val="lrTb"/>
            <w:noWrap w:val="false"/>
          </w:tcPr>
          <w:p>
            <w:pPr>
              <w:rPr>
                <w:spacing w:val="-4"/>
              </w:rPr>
            </w:pPr>
            <w:r>
              <w:rPr>
                <w:rFonts w:hint="eastAsia"/>
                <w:spacing w:val="-4"/>
              </w:rPr>
              <w:t xml:space="preserve">本项目服务团队中的项目负责人具有：信息系统项目管理师、ITSS信息技术服务标准应用经理、高级网络信息安全工程师、工程师职称证书的每一项得2分，最高得8分。</w:t>
            </w:r>
            <w:r/>
          </w:p>
        </w:tc>
        <w:tc>
          <w:tcPr>
            <w:tcBorders>
              <w:top w:val="single" w:color="000000" w:sz="2" w:space="0"/>
              <w:bottom w:val="single" w:color="000000" w:sz="2" w:space="0"/>
            </w:tcBorders>
            <w:tcW w:w="336" w:type="pct"/>
            <w:vAlign w:val="center"/>
            <w:textDirection w:val="lrTb"/>
            <w:noWrap w:val="false"/>
          </w:tcPr>
          <w:p>
            <w:pPr>
              <w:jc w:val="center"/>
              <w:rPr>
                <w:spacing w:val="-4"/>
              </w:rPr>
            </w:pPr>
            <w:r>
              <w:rPr>
                <w:rFonts w:hint="eastAsia"/>
                <w:spacing w:val="-4"/>
              </w:rPr>
              <w:t xml:space="preserve">8</w:t>
            </w:r>
            <w:r/>
          </w:p>
        </w:tc>
      </w:tr>
      <w:tr>
        <w:trPr>
          <w:trHeight w:val="1011"/>
        </w:trPr>
        <w:tc>
          <w:tcPr>
            <w:tcBorders>
              <w:top w:val="single" w:color="000000" w:sz="2" w:space="0"/>
              <w:bottom w:val="single" w:color="000000" w:sz="2" w:space="0"/>
            </w:tcBorders>
            <w:tcW w:w="425" w:type="pct"/>
            <w:vAlign w:val="center"/>
            <w:textDirection w:val="lrTb"/>
            <w:noWrap w:val="false"/>
          </w:tcPr>
          <w:p>
            <w:pPr>
              <w:jc w:val="center"/>
              <w:rPr>
                <w:spacing w:val="-4"/>
              </w:rPr>
            </w:pPr>
            <w:r>
              <w:rPr>
                <w:rFonts w:hint="eastAsia"/>
                <w:spacing w:val="-4"/>
              </w:rPr>
              <w:t xml:space="preserve">3.2</w:t>
            </w:r>
            <w:r/>
          </w:p>
        </w:tc>
        <w:tc>
          <w:tcPr>
            <w:tcBorders>
              <w:top w:val="single" w:color="000000" w:sz="2" w:space="0"/>
              <w:bottom w:val="single" w:color="000000" w:sz="2" w:space="0"/>
            </w:tcBorders>
            <w:tcW w:w="605" w:type="pct"/>
            <w:vAlign w:val="center"/>
            <w:textDirection w:val="lrTb"/>
            <w:noWrap w:val="false"/>
          </w:tcPr>
          <w:p>
            <w:pPr>
              <w:jc w:val="center"/>
              <w:rPr>
                <w:spacing w:val="-4"/>
              </w:rPr>
            </w:pPr>
            <w:r>
              <w:rPr>
                <w:rFonts w:hint="eastAsia"/>
                <w:spacing w:val="-4"/>
              </w:rPr>
              <w:t xml:space="preserve">技术负责人</w:t>
            </w:r>
            <w:r/>
          </w:p>
        </w:tc>
        <w:tc>
          <w:tcPr>
            <w:tcBorders>
              <w:top w:val="single" w:color="000000" w:sz="2" w:space="0"/>
              <w:bottom w:val="single" w:color="000000" w:sz="2" w:space="0"/>
            </w:tcBorders>
            <w:tcW w:w="3632" w:type="pct"/>
            <w:vAlign w:val="center"/>
            <w:textDirection w:val="lrTb"/>
            <w:noWrap w:val="false"/>
          </w:tcPr>
          <w:p>
            <w:pPr>
              <w:rPr>
                <w:spacing w:val="-4"/>
              </w:rPr>
            </w:pPr>
            <w:r>
              <w:rPr>
                <w:rFonts w:hint="eastAsia"/>
                <w:spacing w:val="-4"/>
              </w:rPr>
              <w:t xml:space="preserve">投标人拟投入本项目的技术负责人具备信息系统项目管理师、数据库系统工程师、信息安全保障人员认证（CISAW）、工程师职称证书的每一项得2分，最高得8分。</w:t>
            </w:r>
            <w:r/>
          </w:p>
        </w:tc>
        <w:tc>
          <w:tcPr>
            <w:tcBorders>
              <w:top w:val="single" w:color="000000" w:sz="2" w:space="0"/>
              <w:bottom w:val="single" w:color="000000" w:sz="2" w:space="0"/>
            </w:tcBorders>
            <w:tcW w:w="336" w:type="pct"/>
            <w:vAlign w:val="center"/>
            <w:textDirection w:val="lrTb"/>
            <w:noWrap w:val="false"/>
          </w:tcPr>
          <w:p>
            <w:pPr>
              <w:jc w:val="center"/>
              <w:rPr>
                <w:spacing w:val="-4"/>
              </w:rPr>
            </w:pPr>
            <w:r>
              <w:rPr>
                <w:rFonts w:hint="eastAsia"/>
                <w:spacing w:val="-4"/>
              </w:rPr>
              <w:t xml:space="preserve">8</w:t>
            </w:r>
            <w:r/>
          </w:p>
        </w:tc>
      </w:tr>
      <w:tr>
        <w:trPr>
          <w:trHeight w:val="1170"/>
        </w:trPr>
        <w:tc>
          <w:tcPr>
            <w:tcBorders>
              <w:top w:val="single" w:color="000000" w:sz="2" w:space="0"/>
              <w:bottom w:val="single" w:color="000000" w:sz="2" w:space="0"/>
            </w:tcBorders>
            <w:tcW w:w="425" w:type="pct"/>
            <w:vAlign w:val="center"/>
            <w:textDirection w:val="lrTb"/>
            <w:noWrap w:val="false"/>
          </w:tcPr>
          <w:p>
            <w:pPr>
              <w:jc w:val="center"/>
              <w:rPr>
                <w:spacing w:val="-4"/>
              </w:rPr>
            </w:pPr>
            <w:r>
              <w:rPr>
                <w:rFonts w:hint="eastAsia"/>
                <w:spacing w:val="-4"/>
              </w:rPr>
              <w:t xml:space="preserve">3.3</w:t>
            </w:r>
            <w:r/>
          </w:p>
        </w:tc>
        <w:tc>
          <w:tcPr>
            <w:tcBorders>
              <w:top w:val="single" w:color="000000" w:sz="2" w:space="0"/>
              <w:bottom w:val="single" w:color="000000" w:sz="2" w:space="0"/>
            </w:tcBorders>
            <w:tcW w:w="605" w:type="pct"/>
            <w:vAlign w:val="center"/>
            <w:textDirection w:val="lrTb"/>
            <w:noWrap w:val="false"/>
          </w:tcPr>
          <w:p>
            <w:pPr>
              <w:jc w:val="center"/>
              <w:rPr>
                <w:spacing w:val="-4"/>
              </w:rPr>
            </w:pPr>
            <w:r>
              <w:rPr>
                <w:rFonts w:hint="eastAsia"/>
                <w:spacing w:val="-4"/>
              </w:rPr>
              <w:t xml:space="preserve">团队成员</w:t>
            </w:r>
            <w:r/>
          </w:p>
        </w:tc>
        <w:tc>
          <w:tcPr>
            <w:tcBorders>
              <w:top w:val="single" w:color="000000" w:sz="2" w:space="0"/>
              <w:bottom w:val="single" w:color="000000" w:sz="2" w:space="0"/>
            </w:tcBorders>
            <w:tcW w:w="3632" w:type="pct"/>
            <w:vAlign w:val="center"/>
            <w:textDirection w:val="lrTb"/>
            <w:noWrap w:val="false"/>
          </w:tcPr>
          <w:p>
            <w:pPr>
              <w:rPr>
                <w:spacing w:val="-4"/>
              </w:rPr>
            </w:pPr>
            <w:r>
              <w:rPr>
                <w:rFonts w:hint="eastAsia"/>
                <w:spacing w:val="-4"/>
              </w:rPr>
              <w:t xml:space="preserve">拟投入服务团队核心成员应具有以下能力：</w:t>
            </w:r>
            <w:r/>
          </w:p>
          <w:p>
            <w:pPr>
              <w:numPr>
                <w:ilvl w:val="0"/>
                <w:numId w:val="8"/>
              </w:numPr>
              <w:ind w:firstLine="0"/>
              <w:rPr>
                <w:spacing w:val="-4"/>
              </w:rPr>
            </w:pPr>
            <w:r>
              <w:rPr>
                <w:rFonts w:hint="eastAsia"/>
                <w:spacing w:val="-4"/>
              </w:rPr>
              <w:t xml:space="preserve">拟投入本项目的核心成员（限1人）具有信息系统项目管理师、信息安全保障人员认证证书（CISAW）的，满足1项得1分，最多得2分；</w:t>
            </w:r>
            <w:r/>
          </w:p>
          <w:p>
            <w:pPr>
              <w:numPr>
                <w:ilvl w:val="0"/>
                <w:numId w:val="8"/>
              </w:numPr>
              <w:ind w:firstLine="0"/>
              <w:rPr>
                <w:spacing w:val="-4"/>
              </w:rPr>
            </w:pPr>
            <w:r>
              <w:rPr>
                <w:rFonts w:hint="eastAsia"/>
                <w:spacing w:val="-4"/>
              </w:rPr>
              <w:t xml:space="preserve">拟投入本项目的核心成员（限1人）具有中级及以上职称、IT服务工程师证书的，满足1项得1分，最多得2分；</w:t>
            </w:r>
            <w:r/>
          </w:p>
          <w:p>
            <w:pPr>
              <w:numPr>
                <w:ilvl w:val="0"/>
                <w:numId w:val="8"/>
              </w:numPr>
              <w:ind w:firstLine="0"/>
              <w:rPr>
                <w:spacing w:val="-4"/>
              </w:rPr>
            </w:pPr>
            <w:r>
              <w:rPr>
                <w:rFonts w:hint="eastAsia"/>
                <w:spacing w:val="-4"/>
              </w:rPr>
              <w:t xml:space="preserve">拟投入本项目的核心成员（限1人）具有信息系统项目管理师、注册信息安全工程师证书（CISP）的，满足1项得1分，最多得2分；</w:t>
            </w:r>
            <w:r/>
          </w:p>
          <w:p>
            <w:pPr>
              <w:numPr>
                <w:ilvl w:val="0"/>
                <w:numId w:val="8"/>
              </w:numPr>
              <w:ind w:firstLine="0"/>
              <w:rPr>
                <w:spacing w:val="-4"/>
              </w:rPr>
            </w:pPr>
            <w:r>
              <w:rPr>
                <w:rFonts w:hint="eastAsia"/>
                <w:spacing w:val="-4"/>
              </w:rPr>
              <w:t xml:space="preserve">拟投入本项目的核心成员（限1人）具有系统分析师、系统架构设计师的，满足1项得1分，最多得2分；</w:t>
            </w:r>
            <w:r/>
          </w:p>
          <w:p>
            <w:pPr>
              <w:numPr>
                <w:ilvl w:val="0"/>
                <w:numId w:val="8"/>
              </w:numPr>
              <w:ind w:firstLine="0"/>
              <w:rPr>
                <w:spacing w:val="-4"/>
              </w:rPr>
            </w:pPr>
            <w:r>
              <w:rPr>
                <w:rFonts w:hint="eastAsia"/>
                <w:spacing w:val="-4"/>
              </w:rPr>
              <w:t xml:space="preserve">拟投入本项目的核心成员具有网络工程师证书得1分；</w:t>
            </w:r>
            <w:r/>
          </w:p>
          <w:p>
            <w:pPr>
              <w:numPr>
                <w:ilvl w:val="0"/>
                <w:numId w:val="8"/>
              </w:numPr>
              <w:ind w:firstLine="0"/>
              <w:rPr>
                <w:spacing w:val="-4"/>
              </w:rPr>
            </w:pPr>
            <w:r>
              <w:rPr>
                <w:rFonts w:hint="eastAsia"/>
                <w:spacing w:val="-4"/>
              </w:rPr>
              <w:t xml:space="preserve">拟投入本项目的核心成员具有大数据建模与分析挖掘证书得1分；</w:t>
            </w:r>
            <w:r/>
          </w:p>
          <w:p>
            <w:pPr>
              <w:numPr>
                <w:ilvl w:val="0"/>
                <w:numId w:val="8"/>
              </w:numPr>
              <w:ind w:firstLine="0"/>
              <w:rPr>
                <w:spacing w:val="-4"/>
              </w:rPr>
            </w:pPr>
            <w:r>
              <w:rPr>
                <w:rFonts w:hint="eastAsia"/>
                <w:spacing w:val="-4"/>
              </w:rPr>
              <w:t xml:space="preserve">拟投入本项目的核心成员具有软件评测师证书得1分；</w:t>
            </w:r>
            <w:r/>
          </w:p>
          <w:p>
            <w:pPr>
              <w:numPr>
                <w:ilvl w:val="0"/>
                <w:numId w:val="8"/>
              </w:numPr>
              <w:ind w:firstLine="0"/>
              <w:rPr>
                <w:spacing w:val="-4"/>
              </w:rPr>
            </w:pPr>
            <w:r>
              <w:rPr>
                <w:rFonts w:hint="eastAsia"/>
                <w:spacing w:val="-4"/>
              </w:rPr>
              <w:t xml:space="preserve">拟投入本项目的核心成员具有软件设计师证书得1分；</w:t>
            </w:r>
            <w:r/>
          </w:p>
          <w:p>
            <w:pPr>
              <w:numPr>
                <w:ilvl w:val="0"/>
                <w:numId w:val="8"/>
              </w:numPr>
              <w:ind w:firstLine="0"/>
              <w:rPr>
                <w:spacing w:val="-4"/>
              </w:rPr>
            </w:pPr>
            <w:r>
              <w:rPr>
                <w:rFonts w:hint="eastAsia"/>
                <w:spacing w:val="-4"/>
              </w:rPr>
              <w:t xml:space="preserve">拟投入本项目的核心成员具有通信专业技术人员职业资格证书得1分；</w:t>
            </w:r>
            <w:r/>
          </w:p>
          <w:p>
            <w:pPr>
              <w:numPr>
                <w:ilvl w:val="0"/>
                <w:numId w:val="8"/>
              </w:numPr>
              <w:ind w:firstLine="0"/>
              <w:rPr>
                <w:spacing w:val="-4"/>
              </w:rPr>
            </w:pPr>
            <w:r>
              <w:rPr>
                <w:rFonts w:hint="eastAsia"/>
                <w:spacing w:val="-4"/>
              </w:rPr>
              <w:t xml:space="preserve">拟投入本项目的核心成员具有服务管理师证书得1分。</w:t>
            </w:r>
            <w:r/>
          </w:p>
          <w:p>
            <w:pPr>
              <w:rPr>
                <w:spacing w:val="-4"/>
              </w:rPr>
            </w:pPr>
            <w:r>
              <w:rPr>
                <w:rFonts w:hint="eastAsia"/>
                <w:spacing w:val="-4"/>
              </w:rPr>
              <w:t xml:space="preserve">（团队成员需提供人员有效证书，所有持证人员不能重复得分）</w:t>
            </w:r>
            <w:r/>
          </w:p>
        </w:tc>
        <w:tc>
          <w:tcPr>
            <w:tcBorders>
              <w:top w:val="single" w:color="000000" w:sz="2" w:space="0"/>
              <w:bottom w:val="single" w:color="000000" w:sz="2" w:space="0"/>
            </w:tcBorders>
            <w:tcW w:w="336" w:type="pct"/>
            <w:vAlign w:val="center"/>
            <w:textDirection w:val="lrTb"/>
            <w:noWrap w:val="false"/>
          </w:tcPr>
          <w:p>
            <w:pPr>
              <w:jc w:val="center"/>
              <w:rPr>
                <w:spacing w:val="-4"/>
              </w:rPr>
            </w:pPr>
            <w:r>
              <w:rPr>
                <w:rFonts w:hint="eastAsia"/>
                <w:spacing w:val="-4"/>
              </w:rPr>
              <w:t xml:space="preserve">14</w:t>
            </w:r>
            <w:r/>
          </w:p>
        </w:tc>
      </w:tr>
      <w:tr>
        <w:trPr>
          <w:trHeight w:val="811"/>
        </w:trPr>
        <w:tc>
          <w:tcPr>
            <w:gridSpan w:val="4"/>
            <w:tcBorders>
              <w:top w:val="single" w:color="000000" w:sz="2" w:space="0"/>
              <w:bottom w:val="single" w:color="000000" w:sz="2" w:space="0"/>
            </w:tcBorders>
            <w:tcW w:w="5000" w:type="pct"/>
            <w:vAlign w:val="center"/>
            <w:textDirection w:val="lrTb"/>
            <w:noWrap w:val="false"/>
          </w:tcPr>
          <w:p>
            <w:pPr>
              <w:jc w:val="center"/>
              <w:rPr>
                <w:spacing w:val="-4"/>
              </w:rPr>
            </w:pPr>
            <w:r>
              <w:rPr>
                <w:rFonts w:hint="eastAsia"/>
                <w:spacing w:val="-4"/>
              </w:rPr>
              <w:t xml:space="preserve">注：以上3.1-3.3项需提供</w:t>
            </w:r>
            <w:bookmarkStart w:id="209" w:name="_GoBack"/>
            <w:r/>
            <w:bookmarkEnd w:id="209"/>
            <w:r>
              <w:rPr>
                <w:rFonts w:hint="eastAsia"/>
                <w:spacing w:val="-4"/>
              </w:rPr>
              <w:t xml:space="preserve">人员有效证书和公司缴纳最近三个月社保证明</w:t>
            </w:r>
            <w:r>
              <w:rPr>
                <w:rFonts w:hint="eastAsia"/>
              </w:rPr>
              <w:t xml:space="preserve">（如为第三方代为缴纳，不予认可）</w:t>
            </w:r>
            <w:r>
              <w:rPr>
                <w:rFonts w:hint="eastAsia"/>
                <w:spacing w:val="-4"/>
              </w:rPr>
              <w:t xml:space="preserve">并加盖投标人公章，未提供证明材料不得分。</w:t>
            </w:r>
            <w:r/>
          </w:p>
        </w:tc>
      </w:tr>
      <w:tr>
        <w:trPr>
          <w:trHeight w:val="811"/>
        </w:trPr>
        <w:tc>
          <w:tcPr>
            <w:tcBorders>
              <w:top w:val="single" w:color="000000" w:sz="2" w:space="0"/>
              <w:bottom w:val="single" w:color="000000" w:sz="2" w:space="0"/>
            </w:tcBorders>
            <w:tcW w:w="425" w:type="pct"/>
            <w:vAlign w:val="center"/>
            <w:textDirection w:val="lrTb"/>
            <w:noWrap w:val="false"/>
          </w:tcPr>
          <w:p>
            <w:pPr>
              <w:jc w:val="center"/>
              <w:rPr>
                <w:spacing w:val="-4"/>
              </w:rPr>
            </w:pPr>
            <w:r>
              <w:rPr>
                <w:rFonts w:hint="eastAsia"/>
                <w:spacing w:val="-4"/>
              </w:rPr>
              <w:t xml:space="preserve">3.4</w:t>
            </w:r>
            <w:r/>
          </w:p>
        </w:tc>
        <w:tc>
          <w:tcPr>
            <w:tcBorders>
              <w:top w:val="single" w:color="000000" w:sz="2" w:space="0"/>
              <w:bottom w:val="single" w:color="000000" w:sz="2" w:space="0"/>
            </w:tcBorders>
            <w:tcW w:w="605" w:type="pct"/>
            <w:vAlign w:val="center"/>
            <w:textDirection w:val="lrTb"/>
            <w:noWrap w:val="false"/>
          </w:tcPr>
          <w:p>
            <w:pPr>
              <w:jc w:val="center"/>
              <w:rPr>
                <w:spacing w:val="-4"/>
              </w:rPr>
            </w:pPr>
            <w:r>
              <w:rPr>
                <w:rFonts w:hint="eastAsia"/>
                <w:spacing w:val="-4"/>
              </w:rPr>
              <w:t xml:space="preserve">综合实力</w:t>
            </w:r>
            <w:r/>
          </w:p>
        </w:tc>
        <w:tc>
          <w:tcPr>
            <w:tcBorders>
              <w:top w:val="single" w:color="000000" w:sz="2" w:space="0"/>
              <w:bottom w:val="single" w:color="000000" w:sz="2" w:space="0"/>
            </w:tcBorders>
            <w:tcW w:w="3632" w:type="pct"/>
            <w:vAlign w:val="center"/>
            <w:textDirection w:val="lrTb"/>
            <w:noWrap w:val="false"/>
          </w:tcPr>
          <w:p>
            <w:pPr>
              <w:rPr>
                <w:spacing w:val="-4"/>
              </w:rPr>
            </w:pPr>
            <w:r>
              <w:rPr>
                <w:rFonts w:hint="eastAsia"/>
                <w:spacing w:val="-4"/>
              </w:rPr>
              <w:t xml:space="preserve">投标人具有</w:t>
            </w:r>
            <w:r>
              <w:rPr>
                <w:rFonts w:hint="eastAsia"/>
              </w:rPr>
              <w:t xml:space="preserve">有效期内且认证范围包含软件开发的</w:t>
            </w:r>
            <w:r>
              <w:rPr>
                <w:rFonts w:hint="eastAsia"/>
                <w:spacing w:val="-4"/>
              </w:rPr>
              <w:t xml:space="preserve">ISO9001质量管理体系证书、ISO45001职业健康安全管理体系证书、ISO27001信息安全管理体系证书、ISO20000信息技术服务管理体系证书，提供1个证书得1分，最高得4分。</w:t>
            </w:r>
            <w:r/>
          </w:p>
          <w:p>
            <w:pPr>
              <w:rPr>
                <w:spacing w:val="-4"/>
              </w:rPr>
            </w:pPr>
            <w:r>
              <w:rPr>
                <w:rFonts w:hint="eastAsia"/>
              </w:rPr>
              <w:t xml:space="preserve">投标人具有有效期内且认证范围包含软件开发的GB/T 27922售后服务认证证书、GB/T 29490知识产权管理体系认证证书</w:t>
            </w:r>
            <w:r>
              <w:rPr>
                <w:rFonts w:hint="eastAsia"/>
                <w:spacing w:val="-4"/>
              </w:rPr>
              <w:t xml:space="preserve">，提供1个证书得2分，最高得4分。</w:t>
            </w:r>
            <w:r/>
          </w:p>
          <w:p>
            <w:pPr>
              <w:rPr>
                <w:spacing w:val="-4"/>
              </w:rPr>
            </w:pPr>
            <w:r>
              <w:rPr>
                <w:rFonts w:hint="eastAsia"/>
                <w:spacing w:val="-4"/>
              </w:rPr>
              <w:t xml:space="preserve">投标人</w:t>
            </w:r>
            <w:r>
              <w:rPr>
                <w:rFonts w:hint="eastAsia"/>
                <w:spacing w:val="-4"/>
                <w:lang w:val="zh-CN"/>
              </w:rPr>
              <w:t xml:space="preserve">具有</w:t>
            </w:r>
            <w:r>
              <w:rPr>
                <w:rFonts w:hint="eastAsia"/>
                <w:spacing w:val="-4"/>
              </w:rPr>
              <w:t xml:space="preserve">有效期内的ITSS信息技术服务运行维护符合性二级及以上、</w:t>
            </w:r>
            <w:r>
              <w:rPr>
                <w:rFonts w:hint="eastAsia"/>
              </w:rPr>
              <w:t xml:space="preserve">CCRC信息安全服务资质（软件安全开发）二级及以上认证证书</w:t>
            </w:r>
            <w:r>
              <w:rPr>
                <w:rFonts w:hint="eastAsia"/>
                <w:spacing w:val="-4"/>
              </w:rPr>
              <w:t xml:space="preserve">（提供证书复印件并加盖公章），提供1个证书得2分，最高得4分。</w:t>
            </w:r>
            <w:r/>
          </w:p>
        </w:tc>
        <w:tc>
          <w:tcPr>
            <w:tcBorders>
              <w:top w:val="single" w:color="000000" w:sz="2" w:space="0"/>
              <w:bottom w:val="single" w:color="000000" w:sz="2" w:space="0"/>
            </w:tcBorders>
            <w:tcW w:w="336" w:type="pct"/>
            <w:vAlign w:val="center"/>
            <w:textDirection w:val="lrTb"/>
            <w:noWrap w:val="false"/>
          </w:tcPr>
          <w:p>
            <w:pPr>
              <w:jc w:val="center"/>
              <w:rPr>
                <w:spacing w:val="-4"/>
              </w:rPr>
            </w:pPr>
            <w:r>
              <w:rPr>
                <w:rFonts w:hint="eastAsia"/>
                <w:spacing w:val="-4"/>
              </w:rPr>
              <w:t xml:space="preserve">12</w:t>
            </w:r>
            <w:r/>
          </w:p>
        </w:tc>
      </w:tr>
      <w:tr>
        <w:trPr>
          <w:trHeight w:val="311"/>
        </w:trPr>
        <w:tc>
          <w:tcPr>
            <w:gridSpan w:val="4"/>
            <w:tcBorders>
              <w:top w:val="single" w:color="000000" w:sz="2" w:space="0"/>
              <w:bottom w:val="single" w:color="000000" w:sz="2" w:space="0"/>
            </w:tcBorders>
            <w:tcW w:w="5000" w:type="pct"/>
            <w:vAlign w:val="center"/>
            <w:textDirection w:val="lrTb"/>
            <w:noWrap w:val="false"/>
          </w:tcPr>
          <w:p>
            <w:pPr>
              <w:ind w:left="108"/>
            </w:pPr>
            <w:r>
              <w:rPr>
                <w:b/>
                <w:bCs/>
                <w:spacing w:val="10"/>
              </w:rPr>
              <w:t xml:space="preserve">业</w:t>
            </w:r>
            <w:r>
              <w:rPr>
                <w:b/>
                <w:bCs/>
                <w:spacing w:val="5"/>
              </w:rPr>
              <w:t xml:space="preserve">绩（</w:t>
            </w:r>
            <w:r>
              <w:rPr>
                <w:rFonts w:hint="eastAsia"/>
                <w:b/>
                <w:bCs/>
                <w:spacing w:val="5"/>
              </w:rPr>
              <w:t xml:space="preserve">8</w:t>
            </w:r>
            <w:r>
              <w:rPr>
                <w:b/>
                <w:bCs/>
                <w:spacing w:val="5"/>
              </w:rPr>
              <w:t xml:space="preserve">分）</w:t>
            </w:r>
            <w:r/>
          </w:p>
        </w:tc>
      </w:tr>
      <w:tr>
        <w:trPr>
          <w:trHeight w:val="1594"/>
        </w:trPr>
        <w:tc>
          <w:tcPr>
            <w:tcBorders>
              <w:top w:val="single" w:color="000000" w:sz="2" w:space="0"/>
              <w:bottom w:val="single" w:color="000000" w:sz="2" w:space="0"/>
            </w:tcBorders>
            <w:tcW w:w="425" w:type="pct"/>
            <w:vAlign w:val="center"/>
            <w:textDirection w:val="lrTb"/>
            <w:noWrap w:val="false"/>
          </w:tcPr>
          <w:p>
            <w:pPr>
              <w:jc w:val="center"/>
            </w:pPr>
            <w:r>
              <w:rPr>
                <w:rFonts w:hint="eastAsia"/>
                <w:spacing w:val="-4"/>
              </w:rPr>
              <w:t xml:space="preserve">4</w:t>
            </w:r>
            <w:r/>
          </w:p>
        </w:tc>
        <w:tc>
          <w:tcPr>
            <w:tcBorders>
              <w:top w:val="single" w:color="000000" w:sz="2" w:space="0"/>
              <w:bottom w:val="single" w:color="000000" w:sz="2" w:space="0"/>
            </w:tcBorders>
            <w:tcW w:w="605" w:type="pct"/>
            <w:vAlign w:val="center"/>
            <w:textDirection w:val="lrTb"/>
            <w:noWrap w:val="false"/>
          </w:tcPr>
          <w:p>
            <w:pPr>
              <w:jc w:val="center"/>
            </w:pPr>
            <w:r>
              <w:rPr>
                <w:spacing w:val="-2"/>
              </w:rPr>
              <w:t xml:space="preserve">类似业绩</w:t>
            </w:r>
            <w:r/>
          </w:p>
        </w:tc>
        <w:tc>
          <w:tcPr>
            <w:tcBorders>
              <w:top w:val="single" w:color="000000" w:sz="2" w:space="0"/>
              <w:bottom w:val="single" w:color="000000" w:sz="2" w:space="0"/>
            </w:tcBorders>
            <w:tcW w:w="3632" w:type="pct"/>
            <w:vAlign w:val="center"/>
            <w:textDirection w:val="lrTb"/>
            <w:noWrap w:val="false"/>
          </w:tcPr>
          <w:p>
            <w:pPr>
              <w:ind w:left="108" w:right="102"/>
            </w:pPr>
            <w:r>
              <w:rPr>
                <w:rFonts w:hint="eastAsia"/>
                <w:spacing w:val="-4"/>
              </w:rPr>
              <w:t xml:space="preserve">2021年1月1日以来(以合同签订时间）投标人承接过（省级及以上）信息化运维服务项目相关业绩，每提供一个得2分，最多得8分。（提供合同复印件，合同须能反映合同签订日期、项目内容，如不能体现，须同时提供甲方出具的证明材料）</w:t>
            </w:r>
            <w:r/>
          </w:p>
        </w:tc>
        <w:tc>
          <w:tcPr>
            <w:tcBorders>
              <w:top w:val="single" w:color="000000" w:sz="2" w:space="0"/>
              <w:bottom w:val="single" w:color="000000" w:sz="2" w:space="0"/>
            </w:tcBorders>
            <w:tcW w:w="336" w:type="pct"/>
            <w:vAlign w:val="center"/>
            <w:textDirection w:val="lrTb"/>
            <w:noWrap w:val="false"/>
          </w:tcPr>
          <w:p>
            <w:pPr>
              <w:jc w:val="center"/>
            </w:pPr>
            <w:r>
              <w:rPr>
                <w:rFonts w:hint="eastAsia"/>
                <w:spacing w:val="5"/>
              </w:rPr>
              <w:t xml:space="preserve">8</w:t>
            </w:r>
            <w:r/>
          </w:p>
        </w:tc>
      </w:tr>
    </w:tbl>
    <w:p>
      <w:pPr>
        <w:spacing w:line="460" w:lineRule="exact"/>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bookmarkEnd w:id="186"/>
      <w:bookmarkEnd w:id="187"/>
      <w:bookmarkEnd w:id="188"/>
      <w:bookmarkEnd w:id="189"/>
      <w:r/>
    </w:p>
    <w:p>
      <w:pPr>
        <w:pStyle w:val="957"/>
        <w:rPr>
          <w:rFonts w:ascii="Times New Roman" w:eastAsia="黑体"/>
          <w:bCs/>
          <w:color w:val="000000" w:themeColor="text1"/>
          <w:sz w:val="44"/>
          <w14:textFill>
            <w14:solidFill>
              <w14:schemeClr w14:val="tx1"/>
            </w14:solidFill>
          </w14:textFill>
        </w:rPr>
      </w:pPr>
      <w:r>
        <w:rPr>
          <w:rFonts w:ascii="Times New Roman" w:eastAsia="黑体"/>
          <w:bCs/>
          <w:color w:val="000000" w:themeColor="text1"/>
          <w:sz w:val="44"/>
          <w14:textFill>
            <w14:solidFill>
              <w14:schemeClr w14:val="tx1"/>
            </w14:solidFill>
          </w14:textFill>
        </w:rPr>
        <w:t xml:space="preserve">第六章  投标文件格式 </w:t>
      </w:r>
      <w:r/>
    </w:p>
    <w:p>
      <w:pPr>
        <w:jc w:val="center"/>
        <w:rPr>
          <w:b/>
          <w:color w:val="000000" w:themeColor="text1"/>
          <w:sz w:val="72"/>
          <w14:textFill>
            <w14:solidFill>
              <w14:schemeClr w14:val="tx1"/>
            </w14:solidFill>
          </w14:textFill>
        </w:rPr>
      </w:pPr>
      <w:r/>
      <w:bookmarkStart w:id="203" w:name="_Hlt26671244"/>
      <w:r/>
      <w:bookmarkEnd w:id="203"/>
      <w:r/>
      <w:bookmarkStart w:id="204" w:name="_Hlt26955039"/>
      <w:r/>
      <w:bookmarkEnd w:id="204"/>
      <w:r/>
      <w:bookmarkStart w:id="205" w:name="_Toc26554094"/>
      <w:r/>
      <w:bookmarkStart w:id="206" w:name="_Toc120614282"/>
      <w:r/>
      <w:bookmarkStart w:id="207" w:name="_Toc49090576"/>
      <w:r/>
      <w:r/>
    </w:p>
    <w:p>
      <w:pPr>
        <w:jc w:val="center"/>
        <w:rPr>
          <w:b/>
          <w:color w:val="000000" w:themeColor="text1"/>
          <w:sz w:val="72"/>
          <w14:textFill>
            <w14:solidFill>
              <w14:schemeClr w14:val="tx1"/>
            </w14:solidFill>
          </w14:textFill>
        </w:rPr>
      </w:pPr>
      <w:r>
        <w:rPr>
          <w:b/>
          <w:color w:val="000000" w:themeColor="text1"/>
          <w:sz w:val="72"/>
          <w14:textFill>
            <w14:solidFill>
              <w14:schemeClr w14:val="tx1"/>
            </w14:solidFill>
          </w14:textFill>
        </w:rPr>
        <w:t xml:space="preserve">投  标  文  件</w:t>
      </w:r>
      <w:r/>
    </w:p>
    <w:p>
      <w:pPr>
        <w:jc w:val="center"/>
        <w:rPr>
          <w:b/>
          <w:color w:val="000000" w:themeColor="text1"/>
          <w:sz w:val="72"/>
          <w14:textFill>
            <w14:solidFill>
              <w14:schemeClr w14:val="tx1"/>
            </w14:solidFill>
          </w14:textFill>
        </w:rPr>
      </w:pPr>
      <w:r>
        <w:rPr>
          <w:b/>
          <w:color w:val="000000" w:themeColor="text1"/>
          <w:sz w:val="72"/>
          <w14:textFill>
            <w14:solidFill>
              <w14:schemeClr w14:val="tx1"/>
            </w14:solidFill>
          </w14:textFill>
        </w:rPr>
      </w:r>
      <w:r/>
    </w:p>
    <w:p>
      <w:pPr>
        <w:jc w:val="center"/>
        <w:rPr>
          <w:b/>
          <w:color w:val="000000" w:themeColor="text1"/>
          <w:sz w:val="72"/>
          <w14:textFill>
            <w14:solidFill>
              <w14:schemeClr w14:val="tx1"/>
            </w14:solidFill>
          </w14:textFill>
        </w:rPr>
      </w:pPr>
      <w:r>
        <w:rPr>
          <w:b/>
          <w:color w:val="000000" w:themeColor="text1"/>
          <w:sz w:val="72"/>
          <w14:textFill>
            <w14:solidFill>
              <w14:schemeClr w14:val="tx1"/>
            </w14:solidFill>
          </w14:textFill>
        </w:rPr>
      </w:r>
      <w:r/>
    </w:p>
    <w:p>
      <w:pPr>
        <w:jc w:val="center"/>
        <w:rPr>
          <w:b/>
          <w:color w:val="000000" w:themeColor="text1"/>
          <w:sz w:val="36"/>
          <w14:textFill>
            <w14:solidFill>
              <w14:schemeClr w14:val="tx1"/>
            </w14:solidFill>
          </w14:textFill>
        </w:rPr>
      </w:pPr>
      <w:r>
        <w:rPr>
          <w:b/>
          <w:color w:val="000000" w:themeColor="text1"/>
          <w:sz w:val="36"/>
          <w14:textFill>
            <w14:solidFill>
              <w14:schemeClr w14:val="tx1"/>
            </w14:solidFill>
          </w14:textFill>
        </w:rPr>
      </w:r>
      <w:r/>
    </w:p>
    <w:p>
      <w:pPr>
        <w:jc w:val="center"/>
        <w:rPr>
          <w:b/>
          <w:color w:val="000000" w:themeColor="text1"/>
          <w:sz w:val="36"/>
          <w14:textFill>
            <w14:solidFill>
              <w14:schemeClr w14:val="tx1"/>
            </w14:solidFill>
          </w14:textFill>
        </w:rPr>
      </w:pPr>
      <w:r>
        <w:rPr>
          <w:b/>
          <w:color w:val="000000" w:themeColor="text1"/>
          <w:sz w:val="36"/>
          <w14:textFill>
            <w14:solidFill>
              <w14:schemeClr w14:val="tx1"/>
            </w14:solidFill>
          </w14:textFill>
        </w:rPr>
      </w:r>
      <w:r/>
    </w:p>
    <w:p>
      <w:pPr>
        <w:jc w:val="center"/>
        <w:rPr>
          <w:b/>
          <w:color w:val="000000" w:themeColor="text1"/>
          <w:sz w:val="36"/>
          <w14:textFill>
            <w14:solidFill>
              <w14:schemeClr w14:val="tx1"/>
            </w14:solidFill>
          </w14:textFill>
        </w:rPr>
      </w:pPr>
      <w:r>
        <w:rPr>
          <w:b/>
          <w:color w:val="000000" w:themeColor="text1"/>
          <w:sz w:val="36"/>
          <w14:textFill>
            <w14:solidFill>
              <w14:schemeClr w14:val="tx1"/>
            </w14:solidFill>
          </w14:textFill>
        </w:rPr>
      </w:r>
      <w:r/>
    </w:p>
    <w:p>
      <w:pPr>
        <w:ind w:firstLine="1084"/>
        <w:rPr>
          <w:b/>
          <w:color w:val="000000" w:themeColor="text1"/>
          <w:sz w:val="36"/>
          <w14:textFill>
            <w14:solidFill>
              <w14:schemeClr w14:val="tx1"/>
            </w14:solidFill>
          </w14:textFill>
        </w:rPr>
      </w:pPr>
      <w:r>
        <w:rPr>
          <w:b/>
          <w:color w:val="000000" w:themeColor="text1"/>
          <w:sz w:val="36"/>
          <w14:textFill>
            <w14:solidFill>
              <w14:schemeClr w14:val="tx1"/>
            </w14:solidFill>
          </w14:textFill>
        </w:rPr>
        <w:t xml:space="preserve">项 目 名 称：</w:t>
      </w:r>
      <w:r>
        <w:rPr>
          <w:b/>
          <w:color w:val="000000" w:themeColor="text1"/>
          <w:sz w:val="36"/>
          <w:u w:val="single"/>
          <w14:textFill>
            <w14:solidFill>
              <w14:schemeClr w14:val="tx1"/>
            </w14:solidFill>
          </w14:textFill>
        </w:rPr>
        <w:t xml:space="preserve">               </w:t>
      </w:r>
      <w:r/>
    </w:p>
    <w:p>
      <w:pPr>
        <w:ind w:firstLine="1084"/>
        <w:rPr>
          <w:b/>
          <w:color w:val="000000" w:themeColor="text1"/>
          <w:sz w:val="36"/>
          <w:u w:val="single"/>
          <w14:textFill>
            <w14:solidFill>
              <w14:schemeClr w14:val="tx1"/>
            </w14:solidFill>
          </w14:textFill>
        </w:rPr>
      </w:pPr>
      <w:r>
        <w:rPr>
          <w:b/>
          <w:color w:val="000000" w:themeColor="text1"/>
          <w:sz w:val="36"/>
          <w14:textFill>
            <w14:solidFill>
              <w14:schemeClr w14:val="tx1"/>
            </w14:solidFill>
          </w14:textFill>
        </w:rPr>
        <w:t xml:space="preserve">项 目 编 号：</w:t>
      </w:r>
      <w:r>
        <w:rPr>
          <w:b/>
          <w:color w:val="000000" w:themeColor="text1"/>
          <w:sz w:val="36"/>
          <w:u w:val="single"/>
          <w14:textFill>
            <w14:solidFill>
              <w14:schemeClr w14:val="tx1"/>
            </w14:solidFill>
          </w14:textFill>
        </w:rPr>
        <w:t xml:space="preserve">               </w:t>
      </w:r>
      <w:r/>
    </w:p>
    <w:p>
      <w:pPr>
        <w:rPr>
          <w:b/>
          <w:color w:val="000000" w:themeColor="text1"/>
          <w:sz w:val="36"/>
          <w:u w:val="single"/>
          <w14:textFill>
            <w14:solidFill>
              <w14:schemeClr w14:val="tx1"/>
            </w14:solidFill>
          </w14:textFill>
        </w:rPr>
      </w:pPr>
      <w:r>
        <w:rPr>
          <w:b/>
          <w:color w:val="000000" w:themeColor="text1"/>
          <w:sz w:val="36"/>
          <w14:textFill>
            <w14:solidFill>
              <w14:schemeClr w14:val="tx1"/>
            </w14:solidFill>
          </w14:textFill>
        </w:rPr>
        <w:t xml:space="preserve">      投标人名称 ：</w:t>
      </w:r>
      <w:r>
        <w:rPr>
          <w:b/>
          <w:color w:val="000000" w:themeColor="text1"/>
          <w:sz w:val="36"/>
          <w:u w:val="single"/>
          <w14:textFill>
            <w14:solidFill>
              <w14:schemeClr w14:val="tx1"/>
            </w14:solidFill>
          </w14:textFill>
        </w:rPr>
        <w:t xml:space="preserve">（加盖CA电子公章）</w:t>
      </w:r>
      <w:r/>
    </w:p>
    <w:p>
      <w:pPr>
        <w:rPr>
          <w:b/>
          <w:color w:val="000000" w:themeColor="text1"/>
          <w:sz w:val="36"/>
          <w:u w:val="single"/>
          <w14:textFill>
            <w14:solidFill>
              <w14:schemeClr w14:val="tx1"/>
            </w14:solidFill>
          </w14:textFill>
        </w:rPr>
      </w:pPr>
      <w:r>
        <w:rPr>
          <w:b/>
          <w:color w:val="000000" w:themeColor="text1"/>
          <w:sz w:val="36"/>
          <w14:textFill>
            <w14:solidFill>
              <w14:schemeClr w14:val="tx1"/>
            </w14:solidFill>
          </w14:textFill>
        </w:rPr>
        <w:t xml:space="preserve">      日      期 ：</w:t>
      </w:r>
      <w:r>
        <w:rPr>
          <w:b/>
          <w:color w:val="000000" w:themeColor="text1"/>
          <w:sz w:val="36"/>
          <w:u w:val="single"/>
          <w14:textFill>
            <w14:solidFill>
              <w14:schemeClr w14:val="tx1"/>
            </w14:solidFill>
          </w14:textFill>
        </w:rPr>
        <w:t xml:space="preserve">                   </w:t>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t xml:space="preserve">投标文件的组成</w:t>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ind w:left="480"/>
        <w:spacing w:line="400" w:lineRule="exact"/>
        <w:rPr>
          <w:b/>
          <w:color w:val="000000" w:themeColor="text1"/>
          <w14:textFill>
            <w14:solidFill>
              <w14:schemeClr w14:val="tx1"/>
            </w14:solidFill>
          </w14:textFill>
        </w:rPr>
      </w:pPr>
      <w:r>
        <w:rPr>
          <w:b/>
          <w:color w:val="000000" w:themeColor="text1"/>
          <w14:textFill>
            <w14:solidFill>
              <w14:schemeClr w14:val="tx1"/>
            </w14:solidFill>
          </w14:textFill>
        </w:rPr>
        <w:t xml:space="preserve">一、基本目录</w:t>
      </w:r>
      <w:r/>
    </w:p>
    <w:p>
      <w:pPr>
        <w:ind w:left="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1.开标一览表（格式见附件1）</w:t>
      </w:r>
      <w:r/>
    </w:p>
    <w:p>
      <w:pPr>
        <w:ind w:left="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2.投标分项报价表（格式见附件2）</w:t>
      </w:r>
      <w:r/>
    </w:p>
    <w:p>
      <w:pPr>
        <w:ind w:left="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3.技术要求响应及偏离表（格式见附件3）</w:t>
      </w:r>
      <w:r/>
    </w:p>
    <w:p>
      <w:pPr>
        <w:ind w:firstLine="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4.商务要求响应及偏离表（格式见附件4）</w:t>
      </w:r>
      <w:r/>
    </w:p>
    <w:p>
      <w:pPr>
        <w:ind w:firstLine="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5.****（格式见附件**）</w:t>
      </w:r>
      <w:r/>
    </w:p>
    <w:p>
      <w:pPr>
        <w:ind w:left="480"/>
        <w:spacing w:line="400" w:lineRule="exact"/>
        <w:rPr>
          <w:b/>
          <w:color w:val="000000" w:themeColor="text1"/>
          <w14:textFill>
            <w14:solidFill>
              <w14:schemeClr w14:val="tx1"/>
            </w14:solidFill>
          </w14:textFill>
        </w:rPr>
      </w:pPr>
      <w:r>
        <w:rPr>
          <w:b/>
          <w:color w:val="000000" w:themeColor="text1"/>
          <w14:textFill>
            <w14:solidFill>
              <w14:schemeClr w14:val="tx1"/>
            </w14:solidFill>
          </w14:textFill>
        </w:rPr>
        <w:t xml:space="preserve">二、资格审查内容</w:t>
      </w:r>
      <w:r/>
    </w:p>
    <w:p>
      <w:pPr>
        <w:ind w:left="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1.法人或者其他组织的营业执照等证明文件，自然人的身份证明</w:t>
      </w:r>
      <w:r/>
    </w:p>
    <w:p>
      <w:pPr>
        <w:ind w:left="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2.上一年度的财务状况报告（投标人成立不满一年无需提供）</w:t>
      </w:r>
      <w:r/>
    </w:p>
    <w:p>
      <w:pPr>
        <w:ind w:left="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3.依法缴纳税收和社会保障资金的相关材料（提供提交投标文件截止时间前一年</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内至少一个月依法缴纳税收及缴纳社会保障资金的证明材料。投标人依法享受缓缴、免缴税收、社会保障资金的提供证明材料。）</w:t>
      </w:r>
      <w:r/>
    </w:p>
    <w:p>
      <w:pPr>
        <w:ind w:left="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4.具备履行合同所必需的设备和专业技术能力的书面声明（格式见附件5）</w:t>
      </w:r>
      <w:r/>
    </w:p>
    <w:p>
      <w:pPr>
        <w:ind w:left="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5.参加政府采购活动前 3 年内在经营活动中没有重大违法记录的书面声明（格式</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见附件6）</w:t>
      </w:r>
      <w:r/>
    </w:p>
    <w:p>
      <w:pPr>
        <w:ind w:firstLine="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6.特定资格要求的证明文件（如果本项目对投标人做出特定资格要求的，必须提供）</w:t>
      </w:r>
      <w:r/>
    </w:p>
    <w:p>
      <w:pPr>
        <w:ind w:firstLine="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7.法人授权书（格式见附件7）</w:t>
      </w:r>
      <w:r/>
    </w:p>
    <w:p>
      <w:pPr>
        <w:ind w:firstLine="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8.投标函（格式见附件8）</w:t>
      </w:r>
      <w:r/>
    </w:p>
    <w:p>
      <w:pPr>
        <w:ind w:firstLine="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9.中小微企业声明函（如果本项目专门面向中小微型企业采购，则必须提供。格式见附件9）</w:t>
      </w:r>
      <w:r/>
    </w:p>
    <w:p>
      <w:pPr>
        <w:ind w:firstLine="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10.残疾人福利性单位声明函（如果本项目专门面向中小微型企业采购，供应商为残疾人福利性单位并由本单位提供服务。格式见附件10）</w:t>
      </w:r>
      <w:r/>
    </w:p>
    <w:p>
      <w:pPr>
        <w:ind w:firstLine="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11.</w:t>
      </w:r>
      <w:r>
        <w:rPr>
          <w:b/>
          <w:color w:val="000000" w:themeColor="text1"/>
          <w:szCs w:val="24"/>
          <w14:textFill>
            <w14:solidFill>
              <w14:schemeClr w14:val="tx1"/>
            </w14:solidFill>
          </w14:textFill>
        </w:rPr>
        <w:t xml:space="preserve">实质性要求响应及偏离表</w:t>
      </w:r>
      <w:r>
        <w:rPr>
          <w:color w:val="000000" w:themeColor="text1"/>
          <w14:textFill>
            <w14:solidFill>
              <w14:schemeClr w14:val="tx1"/>
            </w14:solidFill>
          </w14:textFill>
        </w:rPr>
        <w:t xml:space="preserve">（格式见附件11）</w:t>
      </w:r>
      <w:r/>
    </w:p>
    <w:p>
      <w:pPr>
        <w:ind w:left="48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总备注：上述“资格审查内容”中1-5条、7、8条投标人必须在投标文件中提供</w:t>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相关材料，否则作无效投标处理；6条如招标文件要求必须提供相关材料而未提供的，作无效投标处理。</w:t>
      </w:r>
      <w:r/>
    </w:p>
    <w:p>
      <w:pPr>
        <w:ind w:left="480"/>
        <w:spacing w:line="400" w:lineRule="exact"/>
        <w:rPr>
          <w:b/>
          <w:color w:val="000000" w:themeColor="text1"/>
          <w14:textFill>
            <w14:solidFill>
              <w14:schemeClr w14:val="tx1"/>
            </w14:solidFill>
          </w14:textFill>
        </w:rPr>
      </w:pPr>
      <w:r>
        <w:rPr>
          <w:b/>
          <w:color w:val="000000" w:themeColor="text1"/>
          <w14:textFill>
            <w14:solidFill>
              <w14:schemeClr w14:val="tx1"/>
            </w14:solidFill>
          </w14:textFill>
        </w:rPr>
        <w:t xml:space="preserve">三、符合性审查内容</w:t>
      </w:r>
      <w:r/>
    </w:p>
    <w:p>
      <w:pPr>
        <w:ind w:firstLine="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投标人必须对技术要求和商务要求中加斜体下划线的实质性要求逐条做出响应，并按照招标文件要求提供证明材料，否则作无效投标处理。（格式见附件11）</w:t>
      </w:r>
      <w:r/>
    </w:p>
    <w:p>
      <w:pPr>
        <w:ind w:firstLine="480"/>
        <w:rPr>
          <w:b/>
          <w:color w:val="000000" w:themeColor="text1"/>
          <w14:textFill>
            <w14:solidFill>
              <w14:schemeClr w14:val="tx1"/>
            </w14:solidFill>
          </w14:textFill>
        </w:rPr>
      </w:pPr>
      <w:r>
        <w:rPr>
          <w:b/>
          <w:color w:val="000000" w:themeColor="text1"/>
          <w14:textFill>
            <w14:solidFill>
              <w14:schemeClr w14:val="tx1"/>
            </w14:solidFill>
          </w14:textFill>
        </w:rPr>
        <w:t xml:space="preserve">四、价格扣除证明文件</w:t>
      </w:r>
      <w:r/>
    </w:p>
    <w:p>
      <w:pPr>
        <w:ind w:firstLine="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1.中小微企业声明函（格式见附件9）</w:t>
      </w:r>
      <w:r/>
    </w:p>
    <w:p>
      <w:pPr>
        <w:ind w:firstLine="48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2.残疾人福利性单位声明函（格式见附件10）</w:t>
      </w:r>
      <w:r/>
    </w:p>
    <w:p>
      <w:pPr>
        <w:ind w:firstLine="480"/>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p>
      <w:pPr>
        <w:rPr>
          <w:b/>
          <w:color w:val="000000" w:themeColor="text1"/>
          <w:szCs w:val="24"/>
          <w14:textFill>
            <w14:solidFill>
              <w14:schemeClr w14:val="tx1"/>
            </w14:solidFill>
          </w14:textFill>
        </w:rPr>
      </w:pPr>
      <w:r>
        <w:rPr>
          <w:b/>
          <w:color w:val="000000" w:themeColor="text1"/>
          <w:szCs w:val="24"/>
          <w14:textFill>
            <w14:solidFill>
              <w14:schemeClr w14:val="tx1"/>
            </w14:solidFill>
          </w14:textFill>
        </w:rPr>
      </w:r>
      <w:r/>
    </w:p>
    <w:p>
      <w:pPr>
        <w:rPr>
          <w:rFonts w:eastAsia="仿宋_GB2312"/>
          <w:color w:val="000000" w:themeColor="text1"/>
          <w:szCs w:val="20"/>
          <w14:textFill>
            <w14:solidFill>
              <w14:schemeClr w14:val="tx1"/>
            </w14:solidFill>
          </w14:textFill>
        </w:rPr>
      </w:pPr>
      <w:r>
        <w:rPr>
          <w:b/>
          <w:color w:val="000000" w:themeColor="text1"/>
          <w:szCs w:val="24"/>
          <w14:textFill>
            <w14:solidFill>
              <w14:schemeClr w14:val="tx1"/>
            </w14:solidFill>
          </w14:textFill>
        </w:rPr>
        <w:t xml:space="preserve">附件1 开标一览表</w:t>
      </w:r>
      <w:r/>
    </w:p>
    <w:p>
      <w:pPr>
        <w:ind w:firstLine="482"/>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投标人全称（加盖CA电子签章）：</w:t>
      </w:r>
      <w:r/>
    </w:p>
    <w:p>
      <w:pPr>
        <w:ind w:firstLine="482"/>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项目名称：</w:t>
      </w:r>
      <w:r/>
    </w:p>
    <w:p>
      <w:pPr>
        <w:ind w:firstLine="482"/>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项目编号：                                   </w:t>
      </w:r>
      <w:r/>
    </w:p>
    <w:tbl>
      <w:tblPr>
        <w:tblStyle w:val="781"/>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tcPr>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                      投标总报价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tcPr>
          <w:p>
            <w:pPr>
              <w:pStyle w:val="1018"/>
              <w:ind w:firstLine="0"/>
              <w:spacing w:before="0" w:after="0" w:line="50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14:textFill>
                  <w14:solidFill>
                    <w14:schemeClr w14:val="tx1"/>
                  </w14:solidFill>
                </w14:textFill>
              </w:rPr>
              <w:t xml:space="preserve">小写：                             （人民币：元）</w:t>
            </w:r>
            <w:r/>
          </w:p>
        </w:tc>
      </w:tr>
    </w:tbl>
    <w:p>
      <w:pPr>
        <w:ind w:firstLine="480"/>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附件2 投标分项报价表</w:t>
      </w:r>
      <w:r/>
    </w:p>
    <w:tbl>
      <w:tblPr>
        <w:tblStyle w:val="781"/>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1212"/>
        <w:gridCol w:w="1498"/>
        <w:gridCol w:w="993"/>
        <w:gridCol w:w="1145"/>
        <w:gridCol w:w="1466"/>
        <w:gridCol w:w="1414"/>
      </w:tblGrid>
      <w:tr>
        <w:trPr>
          <w:cantSplit/>
          <w:trHeight w:val="507"/>
        </w:trPr>
        <w:tc>
          <w:tcPr>
            <w:tcBorders>
              <w:top w:val="single" w:color="000000" w:sz="4" w:space="0"/>
              <w:left w:val="single" w:color="000000" w:sz="4" w:space="0"/>
              <w:bottom w:val="single" w:color="000000" w:sz="4" w:space="0"/>
              <w:right w:val="single" w:color="000000" w:sz="4" w:space="0"/>
            </w:tcBorders>
            <w:tcW w:w="668" w:type="dxa"/>
            <w:vAlign w:val="center"/>
            <w:vMerge w:val="restart"/>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6</w:t>
            </w:r>
            <w:r/>
          </w:p>
        </w:tc>
      </w:tr>
      <w:tr>
        <w:trPr>
          <w:cantSplit/>
          <w:trHeight w:val="274"/>
        </w:trPr>
        <w:tc>
          <w:tcPr>
            <w:tcBorders>
              <w:top w:val="single" w:color="000000" w:sz="4" w:space="0"/>
              <w:left w:val="single" w:color="000000" w:sz="4" w:space="0"/>
              <w:bottom w:val="single" w:color="000000" w:sz="4" w:space="0"/>
              <w:right w:val="single" w:color="000000" w:sz="4" w:space="0"/>
            </w:tcBorders>
            <w:tcW w:w="668" w:type="dxa"/>
            <w:vAlign w:val="center"/>
            <w:vMerge w:val="continue"/>
            <w:textDirection w:val="lrTb"/>
            <w:noWrap/>
          </w:tcPr>
          <w:p>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分项服务名称</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交付期</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分项单位</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分项</w:t>
            </w:r>
            <w:r/>
          </w:p>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单价</w:t>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分项</w:t>
            </w:r>
            <w:r/>
          </w:p>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总价</w:t>
            </w:r>
            <w:r/>
          </w:p>
        </w:tc>
      </w:tr>
      <w:tr>
        <w:trPr>
          <w:cantSplit/>
          <w:trHeight w:val="61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tcPr>
          <w:p>
            <w:pPr>
              <w:jc w:val="center"/>
              <w:spacing w:line="0" w:lineRule="atLeast"/>
              <w:rPr>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合同签订后</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日</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r>
      <w:tr>
        <w:trPr>
          <w:cantSplit/>
          <w:trHeight w:val="61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r>
      <w:tr>
        <w:trPr>
          <w:cantSplit/>
          <w:trHeight w:val="454"/>
        </w:trPr>
        <w:tc>
          <w:tcPr>
            <w:gridSpan w:val="6"/>
            <w:tcBorders>
              <w:top w:val="single" w:color="000000" w:sz="4" w:space="0"/>
              <w:left w:val="single" w:color="000000" w:sz="4" w:space="0"/>
              <w:bottom w:val="single" w:color="000000" w:sz="4" w:space="0"/>
              <w:right w:val="single" w:color="000000" w:sz="4" w:space="0"/>
            </w:tcBorders>
            <w:tcW w:w="6982" w:type="dxa"/>
            <w:vAlign w:val="center"/>
            <w:textDirection w:val="lrTb"/>
            <w:noWrap/>
          </w:tcPr>
          <w:p>
            <w:pPr>
              <w:jc w:val="cente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414" w:type="dxa"/>
            <w:textDirection w:val="lrTb"/>
            <w:noWrap/>
          </w:tcPr>
          <w:p>
            <w:pP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r>
    </w:tbl>
    <w:p>
      <w:pP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备注：</w:t>
      </w:r>
      <w:r/>
    </w:p>
    <w:p>
      <w:pP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2.“投标分项报价表”中“投标总报价”数额应当与“开标一览表”中“投标总报价”数额一致。</w:t>
      </w:r>
      <w:r/>
    </w:p>
    <w:p>
      <w:pPr>
        <w:spacing w:line="0" w:lineRule="atLeas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w:t>
      </w:r>
      <w:r>
        <w:rPr>
          <w:color w:val="000000" w:themeColor="text1"/>
          <w14:textFill>
            <w14:solidFill>
              <w14:schemeClr w14:val="tx1"/>
            </w14:solidFill>
          </w14:textFill>
        </w:rPr>
        <w:t xml:space="preserve"> 项目经办人可以根据项目实际需要对表格结构进行调整。</w:t>
      </w:r>
      <w:r/>
    </w:p>
    <w:p>
      <w:pPr>
        <w:ind w:firstLine="480"/>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480"/>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                                           </w:t>
      </w:r>
      <w:r/>
    </w:p>
    <w:p>
      <w:pPr>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附件3 技术要求响应及偏离表</w:t>
      </w:r>
      <w:r/>
    </w:p>
    <w:tbl>
      <w:tblPr>
        <w:tblStyle w:val="781"/>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技术要求</w:t>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063"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91"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8"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63"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191"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8"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r>
    </w:tbl>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附件3-1  证明材料1，证明材料2，……</w:t>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备注：</w:t>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1.投标人需对技术要求（未加斜体下划线的非实质性要求）逐条做出明确响应。</w:t>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2.如果招标文件要求提供证明材料，投标人需将证明材料列于该表之下。</w:t>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附件4 商务要求响应及偏离表</w:t>
      </w:r>
      <w:r/>
    </w:p>
    <w:tbl>
      <w:tblPr>
        <w:tblStyle w:val="781"/>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商务要求 </w:t>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063"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91"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8"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63"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191"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8"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r>
    </w:tbl>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附件4-1  证明材料1，证明材料2，……</w:t>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备注：</w:t>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1.投标人需对商务要求（未加斜体下划线的非实质性要求）逐条做出明确响应。</w:t>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2.如果招标文件要求提供证明材料，投标人需将证明材料列于该表之下。</w:t>
      </w:r>
      <w:r/>
    </w:p>
    <w:p>
      <w:pPr>
        <w:rPr>
          <w:b/>
          <w:color w:val="000000" w:themeColor="text1"/>
          <w14:textFill>
            <w14:solidFill>
              <w14:schemeClr w14:val="tx1"/>
            </w14:solidFill>
          </w14:textFill>
        </w:rPr>
      </w:pPr>
      <w:r>
        <w:rPr>
          <w:b/>
          <w:color w:val="000000" w:themeColor="text1"/>
          <w14:textFill>
            <w14:solidFill>
              <w14:schemeClr w14:val="tx1"/>
            </w14:solidFill>
          </w14:textFill>
        </w:rPr>
      </w:r>
      <w:r/>
    </w:p>
    <w:p>
      <w:pPr>
        <w:ind w:firstLine="480"/>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left="480"/>
        <w:rPr>
          <w:b/>
          <w:color w:val="000000" w:themeColor="text1"/>
          <w14:textFill>
            <w14:solidFill>
              <w14:schemeClr w14:val="tx1"/>
            </w14:solidFill>
          </w14:textFill>
        </w:rPr>
      </w:pPr>
      <w:r>
        <w:rPr>
          <w:b/>
          <w:color w:val="000000" w:themeColor="text1"/>
          <w14:textFill>
            <w14:solidFill>
              <w14:schemeClr w14:val="tx1"/>
            </w14:solidFill>
          </w14:textFill>
        </w:rPr>
        <w:t xml:space="preserve">附件5 具备履行合同所必需的设备和专业技术能力的书面声明</w:t>
      </w:r>
      <w:r/>
    </w:p>
    <w:p>
      <w:pPr>
        <w:ind w:firstLine="492"/>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主要设备有：</w:t>
      </w:r>
      <w:r>
        <w:rPr>
          <w:bCs/>
          <w:color w:val="000000" w:themeColor="text1"/>
          <w:u w:val="single"/>
          <w14:textFill>
            <w14:solidFill>
              <w14:schemeClr w14:val="tx1"/>
            </w14:solidFill>
          </w14:textFill>
        </w:rPr>
        <w:t xml:space="preserve">      </w:t>
      </w:r>
      <w:r>
        <w:rPr>
          <w:bCs/>
          <w:color w:val="000000" w:themeColor="text1"/>
          <w14:textFill>
            <w14:solidFill>
              <w14:schemeClr w14:val="tx1"/>
            </w14:solidFill>
          </w14:textFill>
        </w:rPr>
        <w:t xml:space="preserve">。</w:t>
      </w:r>
      <w:r/>
    </w:p>
    <w:p>
      <w:pPr>
        <w:ind w:firstLine="492"/>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主要专业技术能力有：</w:t>
      </w:r>
      <w:r>
        <w:rPr>
          <w:bCs/>
          <w:color w:val="000000" w:themeColor="text1"/>
          <w:u w:val="single"/>
          <w14:textFill>
            <w14:solidFill>
              <w14:schemeClr w14:val="tx1"/>
            </w14:solidFill>
          </w14:textFill>
        </w:rPr>
        <w:t xml:space="preserve">         </w:t>
      </w:r>
      <w:r>
        <w:rPr>
          <w:bCs/>
          <w:color w:val="000000" w:themeColor="text1"/>
          <w14:textFill>
            <w14:solidFill>
              <w14:schemeClr w14:val="tx1"/>
            </w14:solidFill>
          </w14:textFill>
        </w:rPr>
        <w:t xml:space="preserve">。</w:t>
      </w:r>
      <w:r/>
    </w:p>
    <w:p>
      <w:pPr>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                                     </w:t>
      </w:r>
      <w:r/>
    </w:p>
    <w:p>
      <w:pPr>
        <w:ind w:left="480"/>
        <w:rPr>
          <w:b/>
          <w:color w:val="000000" w:themeColor="text1"/>
          <w14:textFill>
            <w14:solidFill>
              <w14:schemeClr w14:val="tx1"/>
            </w14:solidFill>
          </w14:textFill>
        </w:rPr>
      </w:pPr>
      <w:r>
        <w:rPr>
          <w:b/>
          <w:color w:val="000000" w:themeColor="text1"/>
          <w14:textFill>
            <w14:solidFill>
              <w14:schemeClr w14:val="tx1"/>
            </w14:solidFill>
          </w14:textFill>
        </w:rPr>
      </w:r>
      <w:r/>
    </w:p>
    <w:p>
      <w:pPr>
        <w:ind w:left="480"/>
        <w:rPr>
          <w:b/>
          <w:color w:val="000000" w:themeColor="text1"/>
          <w14:textFill>
            <w14:solidFill>
              <w14:schemeClr w14:val="tx1"/>
            </w14:solidFill>
          </w14:textFill>
        </w:rPr>
      </w:pPr>
      <w:r>
        <w:rPr>
          <w:b/>
          <w:color w:val="000000" w:themeColor="text1"/>
          <w14:textFill>
            <w14:solidFill>
              <w14:schemeClr w14:val="tx1"/>
            </w14:solidFill>
          </w14:textFill>
        </w:rPr>
        <w:t xml:space="preserve">附件6 参加政府采购活动前 3 年内在经营活动中没有重大违法记录的书面声明</w:t>
      </w:r>
      <w:r/>
    </w:p>
    <w:p>
      <w:pPr>
        <w:jc w:val="center"/>
        <w:spacing w:line="460" w:lineRule="exact"/>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center"/>
        <w:spacing w:line="460" w:lineRule="exact"/>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声  明</w:t>
      </w:r>
      <w:r/>
    </w:p>
    <w:p>
      <w:pPr>
        <w:ind w:firstLine="480"/>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b/>
          <w:color w:val="000000" w:themeColor="text1"/>
          <w14:textFill>
            <w14:solidFill>
              <w14:schemeClr w14:val="tx1"/>
            </w14:solidFill>
          </w14:textFill>
        </w:rPr>
      </w:pPr>
      <w:r>
        <w:rPr>
          <w:b/>
          <w:color w:val="000000" w:themeColor="text1"/>
          <w14:textFill>
            <w14:solidFill>
              <w14:schemeClr w14:val="tx1"/>
            </w14:solidFill>
          </w14:textFill>
        </w:rPr>
      </w:r>
      <w:r/>
    </w:p>
    <w:p>
      <w:pPr>
        <w:ind w:firstLine="480"/>
        <w:spacing w:line="460" w:lineRule="exact"/>
        <w:rPr>
          <w:b/>
          <w:color w:val="000000" w:themeColor="text1"/>
          <w14:textFill>
            <w14:solidFill>
              <w14:schemeClr w14:val="tx1"/>
            </w14:solidFill>
          </w14:textFill>
        </w:rPr>
      </w:pPr>
      <w:r>
        <w:rPr>
          <w:b/>
          <w:color w:val="000000" w:themeColor="text1"/>
          <w14:textFill>
            <w14:solidFill>
              <w14:schemeClr w14:val="tx1"/>
            </w14:solidFill>
          </w14:textFill>
        </w:rPr>
      </w:r>
      <w:r/>
    </w:p>
    <w:p>
      <w:pPr>
        <w:ind w:firstLine="480"/>
        <w:spacing w:line="460" w:lineRule="exact"/>
        <w:rPr>
          <w:bCs/>
          <w:color w:val="000000" w:themeColor="text1"/>
          <w14:textFill>
            <w14:solidFill>
              <w14:schemeClr w14:val="tx1"/>
            </w14:solidFill>
          </w14:textFill>
        </w:rPr>
      </w:pPr>
      <w:r>
        <w:rPr>
          <w:b/>
          <w:color w:val="000000" w:themeColor="text1"/>
          <w14:textFill>
            <w14:solidFill>
              <w14:schemeClr w14:val="tx1"/>
            </w14:solidFill>
          </w14:textFill>
        </w:rPr>
        <w:t xml:space="preserve">附件7                         法人授权书</w:t>
      </w:r>
      <w:r/>
    </w:p>
    <w:p>
      <w:pPr>
        <w:ind w:firstLine="480"/>
        <w:spacing w:line="400" w:lineRule="exact"/>
        <w:tabs>
          <w:tab w:val="left" w:pos="36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本授权书声明：____________（投标人名称）授权________________（被授权人的姓名）为我方就JSZC-320000-</w:t>
      </w:r>
      <w:r>
        <w:rPr>
          <w:color w:val="000000" w:themeColor="text1"/>
          <w:szCs w:val="24"/>
          <w:u w:val="single"/>
          <w14:textFill>
            <w14:solidFill>
              <w14:schemeClr w14:val="tx1"/>
            </w14:solidFill>
          </w14:textFill>
        </w:rPr>
        <w:t xml:space="preserve">****</w:t>
      </w:r>
      <w:r>
        <w:rPr>
          <w:color w:val="000000" w:themeColor="text1"/>
          <w:szCs w:val="24"/>
          <w14:textFill>
            <w14:solidFill>
              <w14:schemeClr w14:val="tx1"/>
            </w14:solidFill>
          </w14:textFill>
        </w:rPr>
        <w:t xml:space="preserve">号项目采购活动的合法代理人，以本单位名义全权处理一切与该项目采购有关的事务。</w:t>
      </w:r>
      <w:r/>
    </w:p>
    <w:p>
      <w:pPr>
        <w:ind w:firstLine="480"/>
        <w:spacing w:line="400" w:lineRule="exact"/>
        <w:tabs>
          <w:tab w:val="left" w:pos="36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本授权书于______年____月____日起生效，特此声明。</w:t>
      </w:r>
      <w:r/>
    </w:p>
    <w:p>
      <w:pPr>
        <w:spacing w:line="400" w:lineRule="exact"/>
        <w:tabs>
          <w:tab w:val="left" w:pos="360" w:leader="none"/>
        </w:tabs>
        <w:rPr>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          被授权人身份证号码：</w:t>
      </w:r>
      <w:r>
        <w:rPr>
          <w:color w:val="000000" w:themeColor="text1"/>
          <w:szCs w:val="24"/>
          <w:u w:val="single"/>
          <w14:textFill>
            <w14:solidFill>
              <w14:schemeClr w14:val="tx1"/>
            </w14:solidFill>
          </w14:textFill>
        </w:rPr>
        <w:t xml:space="preserve">                              </w:t>
      </w:r>
      <w:r/>
    </w:p>
    <w:p>
      <w:pPr>
        <w:spacing w:line="400" w:lineRule="exact"/>
        <w:tabs>
          <w:tab w:val="left" w:pos="360" w:leader="none"/>
        </w:tabs>
        <w:rPr>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          被授权人联系电话：（手机）</w:t>
      </w:r>
      <w:r>
        <w:rPr>
          <w:color w:val="000000" w:themeColor="text1"/>
          <w:szCs w:val="24"/>
          <w:u w:val="single"/>
          <w14:textFill>
            <w14:solidFill>
              <w14:schemeClr w14:val="tx1"/>
            </w14:solidFill>
          </w14:textFill>
        </w:rPr>
        <w:t xml:space="preserve">                          </w:t>
      </w:r>
      <w:r/>
    </w:p>
    <w:p>
      <w:pPr>
        <w:ind w:firstLine="1200"/>
        <w:spacing w:line="400" w:lineRule="exact"/>
        <w:tabs>
          <w:tab w:val="left" w:pos="36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授权单位名称：</w:t>
      </w:r>
      <w:r>
        <w:rPr>
          <w:color w:val="000000" w:themeColor="text1"/>
          <w:szCs w:val="24"/>
          <w:u w:val="single"/>
          <w14:textFill>
            <w14:solidFill>
              <w14:schemeClr w14:val="tx1"/>
            </w14:solidFill>
          </w14:textFill>
        </w:rPr>
        <w:t xml:space="preserve">（加盖CA电子公章）</w:t>
      </w:r>
      <w:r/>
    </w:p>
    <w:p>
      <w:pPr>
        <w:ind w:firstLine="480"/>
        <w:spacing w:line="400" w:lineRule="exact"/>
        <w:tabs>
          <w:tab w:val="left" w:pos="360" w:leader="none"/>
        </w:tabs>
        <w:rPr>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      单位地址：</w:t>
      </w:r>
      <w:r>
        <w:rPr>
          <w:color w:val="000000" w:themeColor="text1"/>
          <w:szCs w:val="24"/>
          <w:u w:val="single"/>
          <w14:textFill>
            <w14:solidFill>
              <w14:schemeClr w14:val="tx1"/>
            </w14:solidFill>
          </w14:textFill>
        </w:rPr>
        <w:t xml:space="preserve">                                         </w:t>
      </w:r>
      <w:r/>
    </w:p>
    <w:p>
      <w:pPr>
        <w:ind w:firstLine="480"/>
        <w:spacing w:line="400" w:lineRule="exact"/>
        <w:tabs>
          <w:tab w:val="left" w:pos="36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      日期：</w:t>
      </w:r>
      <w:r>
        <w:rPr>
          <w:color w:val="000000" w:themeColor="text1"/>
          <w:szCs w:val="24"/>
          <w:u w:val="single"/>
          <w14:textFill>
            <w14:solidFill>
              <w14:schemeClr w14:val="tx1"/>
            </w14:solidFill>
          </w14:textFill>
        </w:rPr>
        <w:t xml:space="preserve">                                         </w:t>
      </w:r>
      <w:r/>
    </w:p>
    <w:p>
      <w:pPr>
        <w:ind w:firstLine="360"/>
        <w:spacing w:line="400" w:lineRule="exact"/>
        <w:rPr>
          <w:rFonts w:eastAsia="楷体"/>
          <w:color w:val="000000" w:themeColor="text1"/>
          <w:szCs w:val="24"/>
          <w14:textFill>
            <w14:solidFill>
              <w14:schemeClr w14:val="tx1"/>
            </w14:solidFill>
          </w14:textFill>
        </w:rPr>
      </w:pPr>
      <w:r>
        <w:rPr>
          <w:rFonts w:eastAsia="楷体"/>
          <w:color w:val="000000" w:themeColor="text1"/>
          <w:szCs w:val="24"/>
          <w14:textFill>
            <w14:solidFill>
              <w14:schemeClr w14:val="tx1"/>
            </w14:solidFill>
          </w14:textFill>
        </w:rPr>
      </w:r>
      <w:r/>
    </w:p>
    <w:p>
      <w:pPr>
        <w:ind w:firstLine="360"/>
        <w:spacing w:line="400" w:lineRule="exact"/>
        <w:rPr>
          <w:rFonts w:eastAsia="楷体"/>
          <w:color w:val="000000" w:themeColor="text1"/>
          <w:szCs w:val="24"/>
          <w14:textFill>
            <w14:solidFill>
              <w14:schemeClr w14:val="tx1"/>
            </w14:solidFill>
          </w14:textFill>
        </w:rPr>
      </w:pPr>
      <w:r>
        <w:rPr>
          <w:rFonts w:eastAsia="楷体"/>
          <w:color w:val="000000" w:themeColor="text1"/>
          <w:szCs w:val="24"/>
          <w14:textFill>
            <w14:solidFill>
              <w14:schemeClr w14:val="tx1"/>
            </w14:solidFill>
          </w14:textFill>
        </w:rPr>
        <w:t xml:space="preserve">备注 我公司（单位）委托进行现场演示的人员为</w:t>
      </w:r>
      <w:r>
        <w:rPr>
          <w:rFonts w:eastAsia="楷体"/>
          <w:color w:val="000000" w:themeColor="text1"/>
          <w:szCs w:val="24"/>
          <w:u w:val="single"/>
          <w14:textFill>
            <w14:solidFill>
              <w14:schemeClr w14:val="tx1"/>
            </w14:solidFill>
          </w14:textFill>
        </w:rPr>
        <w:t xml:space="preserve">        </w:t>
      </w:r>
      <w:r>
        <w:rPr>
          <w:rFonts w:eastAsia="楷体"/>
          <w:color w:val="000000" w:themeColor="text1"/>
          <w:szCs w:val="24"/>
          <w14:textFill>
            <w14:solidFill>
              <w14:schemeClr w14:val="tx1"/>
            </w14:solidFill>
          </w14:textFill>
        </w:rPr>
        <w:t xml:space="preserve">（人员姓名），身份证号</w:t>
      </w:r>
      <w:r>
        <w:rPr>
          <w:rFonts w:eastAsia="楷体"/>
          <w:color w:val="000000" w:themeColor="text1"/>
          <w:szCs w:val="24"/>
          <w:u w:val="single"/>
          <w14:textFill>
            <w14:solidFill>
              <w14:schemeClr w14:val="tx1"/>
            </w14:solidFill>
          </w14:textFill>
        </w:rPr>
        <w:t xml:space="preserve">         </w:t>
      </w:r>
      <w:r>
        <w:rPr>
          <w:rFonts w:eastAsia="楷体"/>
          <w:color w:val="000000" w:themeColor="text1"/>
          <w:szCs w:val="24"/>
          <w14:textFill>
            <w14:solidFill>
              <w14:schemeClr w14:val="tx1"/>
            </w14:solidFill>
          </w14:textFill>
        </w:rPr>
        <w:t xml:space="preserve"> 。</w:t>
      </w:r>
      <w:r/>
    </w:p>
    <w:p>
      <w:pPr>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t xml:space="preserve">……</w:t>
      </w:r>
      <w:r/>
    </w:p>
    <w:p>
      <w:pPr>
        <w:rPr>
          <w:rFonts w:eastAsia="黑体"/>
          <w:b/>
          <w:i/>
          <w:color w:val="000000" w:themeColor="text1"/>
          <w:sz w:val="32"/>
          <w:szCs w:val="32"/>
          <w:u w:val="single"/>
          <w14:textFill>
            <w14:solidFill>
              <w14:schemeClr w14:val="tx1"/>
            </w14:solidFill>
          </w14:textFill>
        </w:rPr>
      </w:pPr>
      <w:r>
        <w:rPr>
          <w:rFonts w:eastAsia="幼圆"/>
          <w:b/>
          <w:color w:val="000000" w:themeColor="text1"/>
          <w:szCs w:val="44"/>
          <w14:textFill>
            <w14:solidFill>
              <w14:schemeClr w14:val="tx1"/>
            </w14:solidFill>
          </w14:textFill>
        </w:rPr>
        <w:br w:type="page" w:clear="all"/>
      </w:r>
      <w:r>
        <w:rPr>
          <w:b/>
          <w:color w:val="000000" w:themeColor="text1"/>
          <w14:textFill>
            <w14:solidFill>
              <w14:schemeClr w14:val="tx1"/>
            </w14:solidFill>
          </w14:textFill>
        </w:rPr>
        <w:t xml:space="preserve">附件8                              投标函</w:t>
      </w:r>
      <w:r/>
    </w:p>
    <w:p>
      <w:pPr>
        <w:jc w:val="left"/>
        <w:spacing w:line="42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致：江苏省政府采购中心</w:t>
      </w:r>
      <w:r/>
    </w:p>
    <w:p>
      <w:pPr>
        <w:pStyle w:val="1018"/>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根据贵方的JSZC-320000-***号招标文件，正式授权下述签字人______(姓名)代表我方______________（投标人的名称），全权处理本次项目投标的有关事宜。</w:t>
      </w:r>
      <w:r/>
    </w:p>
    <w:p>
      <w:pPr>
        <w:pStyle w:val="1018"/>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据此函，__________签字人兹宣布同意如下：</w:t>
      </w:r>
      <w:r/>
    </w:p>
    <w:p>
      <w:pPr>
        <w:pStyle w:val="1018"/>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1.按招标文件规定的各项要求，向买方提供所需服务（包含与服务相关的货物）。</w:t>
      </w:r>
      <w:r/>
    </w:p>
    <w:p>
      <w:pPr>
        <w:pStyle w:val="1018"/>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2.我们完全理解贵方不一定将合同授予最低报价的投标人。</w:t>
      </w:r>
      <w:r/>
    </w:p>
    <w:p>
      <w:pPr>
        <w:pStyle w:val="1018"/>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3.我们已详细审核全部招标文件及其有效补充文件，我们知道必须放弃提出含糊不清或误解问题的权利。</w:t>
      </w:r>
      <w:r/>
    </w:p>
    <w:p>
      <w:pPr>
        <w:pStyle w:val="1018"/>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1018"/>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1018"/>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1018"/>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7.与本投标有关的正式通讯地址为：</w:t>
      </w:r>
      <w:r/>
    </w:p>
    <w:p>
      <w:pPr>
        <w:pStyle w:val="1018"/>
        <w:ind w:left="480"/>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地          址：</w:t>
      </w:r>
      <w:r/>
    </w:p>
    <w:p>
      <w:pPr>
        <w:pStyle w:val="1018"/>
        <w:ind w:left="480"/>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邮          编：</w:t>
      </w:r>
      <w:r/>
    </w:p>
    <w:p>
      <w:pPr>
        <w:pStyle w:val="1018"/>
        <w:ind w:left="480"/>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电          话：</w:t>
      </w:r>
      <w:r/>
    </w:p>
    <w:p>
      <w:pPr>
        <w:pStyle w:val="1018"/>
        <w:ind w:left="480"/>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传          真：</w:t>
      </w:r>
      <w:r/>
    </w:p>
    <w:p>
      <w:pPr>
        <w:pStyle w:val="1018"/>
        <w:ind w:left="480"/>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投标人开户行：</w:t>
      </w:r>
      <w:r/>
    </w:p>
    <w:p>
      <w:pPr>
        <w:pStyle w:val="1018"/>
        <w:ind w:left="480"/>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账          号： </w:t>
      </w:r>
      <w:r/>
    </w:p>
    <w:p>
      <w:pPr>
        <w:pStyle w:val="1018"/>
        <w:ind w:left="480"/>
        <w:spacing w:before="0" w:after="0" w:line="42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日           期：________年____月____日</w:t>
      </w:r>
      <w:r/>
    </w:p>
    <w:p>
      <w:pPr>
        <w:ind w:firstLine="240"/>
        <w:jc w:val="center"/>
        <w:spacing w:line="560" w:lineRule="exact"/>
        <w:rPr>
          <w:bCs/>
          <w:color w:val="000000" w:themeColor="text1"/>
          <w14:textFill>
            <w14:solidFill>
              <w14:schemeClr w14:val="tx1"/>
            </w14:solidFill>
          </w14:textFill>
        </w:rPr>
      </w:pPr>
      <w:r>
        <w:rPr>
          <w:bCs/>
          <w:color w:val="000000" w:themeColor="text1"/>
          <w14:textFill>
            <w14:solidFill>
              <w14:schemeClr w14:val="tx1"/>
            </w14:solidFill>
          </w14:textFill>
        </w:rPr>
      </w:r>
      <w:r/>
    </w:p>
    <w:p>
      <w:pPr>
        <w:ind w:firstLine="480"/>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bookmarkEnd w:id="205"/>
      <w:bookmarkEnd w:id="206"/>
      <w:bookmarkEnd w:id="207"/>
      <w:r/>
    </w:p>
    <w:p>
      <w:pPr>
        <w:ind w:firstLine="480"/>
        <w:spacing w:line="440" w:lineRule="exact"/>
        <w:rPr>
          <w:color w:val="000000" w:themeColor="text1"/>
          <w14:textFill>
            <w14:solidFill>
              <w14:schemeClr w14:val="tx1"/>
            </w14:solidFill>
          </w14:textFill>
        </w:rPr>
      </w:pPr>
      <w:r>
        <w:rPr>
          <w:color w:val="000000" w:themeColor="text1"/>
          <w14:textFill>
            <w14:solidFill>
              <w14:schemeClr w14:val="tx1"/>
            </w14:solidFill>
          </w14:textFill>
        </w:rPr>
      </w:r>
      <w:r/>
    </w:p>
    <w:p>
      <w:pPr>
        <w:spacing w:line="460" w:lineRule="exact"/>
        <w:rPr>
          <w:rFonts w:eastAsia="黑体"/>
          <w:b/>
          <w:color w:val="000000" w:themeColor="text1"/>
          <w:sz w:val="32"/>
          <w:szCs w:val="32"/>
          <w14:textFill>
            <w14:solidFill>
              <w14:schemeClr w14:val="tx1"/>
            </w14:solidFill>
          </w14:textFill>
        </w:rPr>
      </w:pPr>
      <w:r/>
      <w:bookmarkStart w:id="208" w:name="_Toc120614284"/>
      <w:r/>
      <w:r/>
    </w:p>
    <w:p>
      <w:pPr>
        <w:jc w:val="center"/>
        <w:spacing w:line="460" w:lineRule="exact"/>
        <w:rPr>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附件9 中小微企业声明函（服务类项目）</w:t>
      </w:r>
      <w:r/>
    </w:p>
    <w:p>
      <w:pPr>
        <w:ind w:firstLine="36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本公司（联合体）郑重声明，根据《政府采购促进中小企业发展管理办法》(财库[2020]46号)的规定，本公司（联合体）参加江苏省政府采购中心组织的</w:t>
      </w:r>
      <w:r>
        <w:rPr>
          <w:color w:val="000000" w:themeColor="text1"/>
          <w:szCs w:val="24"/>
          <w:u w:val="single"/>
          <w14:textFill>
            <w14:solidFill>
              <w14:schemeClr w14:val="tx1"/>
            </w14:solidFill>
          </w14:textFill>
        </w:rPr>
        <w:t xml:space="preserve">（单位名称）</w:t>
      </w:r>
      <w:r>
        <w:rPr>
          <w:color w:val="000000" w:themeColor="text1"/>
          <w:szCs w:val="24"/>
          <w14:textFill>
            <w14:solidFill>
              <w14:schemeClr w14:val="tx1"/>
            </w14:solidFill>
          </w14:textFill>
        </w:rPr>
        <w:t xml:space="preserve">采购编号为JSZC-320000-</w:t>
      </w:r>
      <w:r>
        <w:rPr>
          <w:color w:val="000000" w:themeColor="text1"/>
          <w:szCs w:val="24"/>
          <w:u w:val="single"/>
          <w14:textFill>
            <w14:solidFill>
              <w14:schemeClr w14:val="tx1"/>
            </w14:solidFill>
          </w14:textFill>
        </w:rPr>
        <w:t xml:space="preserve">****</w:t>
      </w:r>
      <w:r>
        <w:rPr>
          <w:color w:val="000000" w:themeColor="text1"/>
          <w:szCs w:val="24"/>
          <w14:textFill>
            <w14:solidFill>
              <w14:schemeClr w14:val="tx1"/>
            </w14:solidFill>
          </w14:textFill>
        </w:rPr>
        <w:t xml:space="preserve">，</w:t>
      </w:r>
      <w:r>
        <w:rPr>
          <w:color w:val="000000" w:themeColor="text1"/>
          <w:szCs w:val="24"/>
          <w:u w:val="single"/>
          <w14:textFill>
            <w14:solidFill>
              <w14:schemeClr w14:val="tx1"/>
            </w14:solidFill>
          </w14:textFill>
        </w:rPr>
        <w:t xml:space="preserve">（项目名称）（分包号：**）</w:t>
      </w:r>
      <w:r>
        <w:rPr>
          <w:color w:val="000000" w:themeColor="text1"/>
          <w:szCs w:val="24"/>
          <w14:textFill>
            <w14:solidFill>
              <w14:schemeClr w14:val="tx1"/>
            </w14:solidFill>
          </w14:textFill>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i/>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1.</w:t>
      </w:r>
      <w:r>
        <w:rPr>
          <w:color w:val="000000" w:themeColor="text1"/>
          <w:szCs w:val="24"/>
          <w:u w:val="single"/>
          <w14:textFill>
            <w14:solidFill>
              <w14:schemeClr w14:val="tx1"/>
            </w14:solidFill>
          </w14:textFill>
        </w:rPr>
        <w:t xml:space="preserve">（标的名称）</w:t>
      </w:r>
      <w:r>
        <w:rPr>
          <w:i/>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属于</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行业；承接企业为</w:t>
      </w:r>
      <w:r>
        <w:rPr>
          <w:color w:val="000000" w:themeColor="text1"/>
          <w:szCs w:val="24"/>
          <w:u w:val="single"/>
          <w14:textFill>
            <w14:solidFill>
              <w14:schemeClr w14:val="tx1"/>
            </w14:solidFill>
          </w14:textFill>
        </w:rPr>
        <w:t xml:space="preserve">（企业名称）</w:t>
      </w:r>
      <w:r>
        <w:rPr>
          <w:color w:val="000000" w:themeColor="text1"/>
          <w:szCs w:val="24"/>
          <w14:textFill>
            <w14:solidFill>
              <w14:schemeClr w14:val="tx1"/>
            </w14:solidFill>
          </w14:textFill>
        </w:rPr>
        <w:t xml:space="preserve">，从业人员</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人，营业收入为</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万元，资产总额为</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万元</w:t>
      </w:r>
      <w:r>
        <w:rPr>
          <w:color w:val="000000" w:themeColor="text1"/>
          <w:szCs w:val="24"/>
          <w:vertAlign w:val="superscript"/>
          <w14:textFill>
            <w14:solidFill>
              <w14:schemeClr w14:val="tx1"/>
            </w14:solidFill>
          </w14:textFill>
        </w:rPr>
        <w:t xml:space="preserve">1</w:t>
      </w:r>
      <w:r>
        <w:rPr>
          <w:color w:val="000000" w:themeColor="text1"/>
          <w:szCs w:val="24"/>
          <w14:textFill>
            <w14:solidFill>
              <w14:schemeClr w14:val="tx1"/>
            </w14:solidFill>
          </w14:textFill>
        </w:rPr>
        <w:t xml:space="preserve">，属于</w:t>
      </w:r>
      <w:r>
        <w:rPr>
          <w:color w:val="000000" w:themeColor="text1"/>
          <w:szCs w:val="24"/>
          <w:u w:val="single"/>
          <w14:textFill>
            <w14:solidFill>
              <w14:schemeClr w14:val="tx1"/>
            </w14:solidFill>
          </w14:textFill>
        </w:rPr>
        <w:t xml:space="preserve">（□中型企业 □小型企业 □微型企业）；</w:t>
      </w:r>
      <w:r/>
    </w:p>
    <w:p>
      <w:pPr>
        <w:ind w:firstLine="360"/>
        <w:spacing w:line="400" w:lineRule="exact"/>
        <w:rPr>
          <w:i/>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2.</w:t>
      </w:r>
      <w:r>
        <w:rPr>
          <w:color w:val="000000" w:themeColor="text1"/>
          <w:szCs w:val="24"/>
          <w:u w:val="single"/>
          <w14:textFill>
            <w14:solidFill>
              <w14:schemeClr w14:val="tx1"/>
            </w14:solidFill>
          </w14:textFill>
        </w:rPr>
        <w:t xml:space="preserve">（标的名称）</w:t>
      </w:r>
      <w:r>
        <w:rPr>
          <w:i/>
          <w:color w:val="000000" w:themeColor="text1"/>
          <w:szCs w:val="24"/>
          <w14:textFill>
            <w14:solidFill>
              <w14:schemeClr w14:val="tx1"/>
            </w14:solidFill>
          </w14:textFill>
        </w:rPr>
        <w:t xml:space="preserve">，</w:t>
      </w:r>
      <w:r>
        <w:rPr>
          <w:color w:val="000000" w:themeColor="text1"/>
          <w:szCs w:val="24"/>
          <w14:textFill>
            <w14:solidFill>
              <w14:schemeClr w14:val="tx1"/>
            </w14:solidFill>
          </w14:textFill>
        </w:rPr>
        <w:t xml:space="preserve">属于</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行业；承接企业为</w:t>
      </w:r>
      <w:r>
        <w:rPr>
          <w:color w:val="000000" w:themeColor="text1"/>
          <w:szCs w:val="24"/>
          <w:u w:val="single"/>
          <w14:textFill>
            <w14:solidFill>
              <w14:schemeClr w14:val="tx1"/>
            </w14:solidFill>
          </w14:textFill>
        </w:rPr>
        <w:t xml:space="preserve">（企业名称）</w:t>
      </w:r>
      <w:r>
        <w:rPr>
          <w:color w:val="000000" w:themeColor="text1"/>
          <w:szCs w:val="24"/>
          <w14:textFill>
            <w14:solidFill>
              <w14:schemeClr w14:val="tx1"/>
            </w14:solidFill>
          </w14:textFill>
        </w:rPr>
        <w:t xml:space="preserve">，从业人员</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人，营业收入为</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万元，资产总额为</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万元</w:t>
      </w:r>
      <w:r>
        <w:rPr>
          <w:color w:val="000000" w:themeColor="text1"/>
          <w:szCs w:val="24"/>
          <w:vertAlign w:val="superscript"/>
          <w14:textFill>
            <w14:solidFill>
              <w14:schemeClr w14:val="tx1"/>
            </w14:solidFill>
          </w14:textFill>
        </w:rPr>
        <w:t xml:space="preserve">1</w:t>
      </w:r>
      <w:r>
        <w:rPr>
          <w:color w:val="000000" w:themeColor="text1"/>
          <w:szCs w:val="24"/>
          <w14:textFill>
            <w14:solidFill>
              <w14:schemeClr w14:val="tx1"/>
            </w14:solidFill>
          </w14:textFill>
        </w:rPr>
        <w:t xml:space="preserve">，属于</w:t>
      </w:r>
      <w:r>
        <w:rPr>
          <w:color w:val="000000" w:themeColor="text1"/>
          <w:szCs w:val="24"/>
          <w:u w:val="single"/>
          <w14:textFill>
            <w14:solidFill>
              <w14:schemeClr w14:val="tx1"/>
            </w14:solidFill>
          </w14:textFill>
        </w:rPr>
        <w:t xml:space="preserve">（□中型企业 □小型企业 □微型企业）；</w:t>
      </w:r>
      <w:r/>
    </w:p>
    <w:p>
      <w:pPr>
        <w:ind w:firstLine="36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w:t>
      </w:r>
      <w:r/>
    </w:p>
    <w:p>
      <w:pPr>
        <w:ind w:firstLine="36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本企业对上述声明内容的真实性负责。如有虚假，将依法承担相应责任</w:t>
      </w:r>
      <w:r/>
    </w:p>
    <w:p>
      <w:pPr>
        <w:ind w:right="7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right="180" w:firstLine="360"/>
        <w:jc w:val="right"/>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企业名称（加盖CA电子公章）：</w:t>
      </w:r>
      <w:r/>
    </w:p>
    <w:p>
      <w:pPr>
        <w:ind w:right="480" w:firstLine="540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日  期：</w:t>
      </w:r>
      <w:r/>
    </w:p>
    <w:p>
      <w:pPr>
        <w:ind w:firstLine="24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48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备注：</w:t>
      </w:r>
      <w:r/>
    </w:p>
    <w:p>
      <w:pPr>
        <w:ind w:firstLine="48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1.从业人员、营业收入、资产总额填报上一年度数据，无上一年度数据的新成立企业可不填报。</w:t>
      </w:r>
      <w:r/>
    </w:p>
    <w:p>
      <w:pPr>
        <w:ind w:firstLine="48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00" w:lineRule="exact"/>
        <w:rPr>
          <w:rFonts w:eastAsia="黑体"/>
          <w:b/>
          <w:color w:val="000000" w:themeColor="text1"/>
          <w:sz w:val="32"/>
          <w:szCs w:val="32"/>
          <w14:textFill>
            <w14:solidFill>
              <w14:schemeClr w14:val="tx1"/>
            </w14:solidFill>
          </w14:textFill>
        </w:rPr>
      </w:pPr>
      <w:r>
        <w:rPr>
          <w:color w:val="000000" w:themeColor="text1"/>
          <w:szCs w:val="24"/>
          <w14:textFill>
            <w14:solidFill>
              <w14:schemeClr w14:val="tx1"/>
            </w14:solidFill>
          </w14:textFill>
        </w:rPr>
        <w:t xml:space="preserve">3.供应商自行勾选承接企业的企业规模类型。</w:t>
      </w:r>
      <w:r>
        <w:rPr>
          <w:rFonts w:eastAsia="黑体"/>
          <w:b/>
          <w:color w:val="000000" w:themeColor="text1"/>
          <w:sz w:val="32"/>
          <w:szCs w:val="32"/>
          <w14:textFill>
            <w14:solidFill>
              <w14:schemeClr w14:val="tx1"/>
            </w14:solidFill>
          </w14:textFill>
        </w:rPr>
        <w:br w:type="page" w:clear="all"/>
      </w:r>
      <w:r>
        <w:rPr>
          <w:b/>
          <w:color w:val="000000" w:themeColor="text1"/>
          <w:szCs w:val="24"/>
          <w14:textFill>
            <w14:solidFill>
              <w14:schemeClr w14:val="tx1"/>
            </w14:solidFill>
          </w14:textFill>
        </w:rPr>
        <w:t xml:space="preserve">附件10 残疾人福利性单位声明函（服务类项目）（分包号：**）</w:t>
      </w:r>
      <w:r/>
    </w:p>
    <w:p>
      <w:pPr>
        <w:ind w:firstLine="480"/>
        <w:spacing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color w:val="000000" w:themeColor="text1"/>
          <w:szCs w:val="24"/>
          <w14:textFill>
            <w14:solidFill>
              <w14:schemeClr w14:val="tx1"/>
            </w14:solidFill>
          </w14:textFill>
        </w:rPr>
        <w:t xml:space="preserve">JSZC-320000-</w:t>
      </w:r>
      <w:r>
        <w:rPr>
          <w:color w:val="000000" w:themeColor="text1"/>
          <w:szCs w:val="24"/>
          <w:u w:val="single"/>
          <w14:textFill>
            <w14:solidFill>
              <w14:schemeClr w14:val="tx1"/>
            </w14:solidFill>
          </w14:textFill>
        </w:rPr>
        <w:t xml:space="preserve">****</w:t>
      </w:r>
      <w:r>
        <w:rPr>
          <w:color w:val="000000" w:themeColor="text1"/>
          <w14:textFill>
            <w14:solidFill>
              <w14:schemeClr w14:val="tx1"/>
            </w14:solidFill>
          </w14:textFill>
        </w:rPr>
        <w:t xml:space="preserve">的</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项目（分包号：**）采购活动由本单位提供服务。</w:t>
      </w:r>
      <w:r/>
    </w:p>
    <w:p>
      <w:pPr>
        <w:ind w:firstLine="480"/>
        <w:spacing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本单位对上述声明的真实性负责。如有虚假，将依法承担相应责任。</w:t>
      </w:r>
      <w:r/>
    </w:p>
    <w:p>
      <w:pPr>
        <w:ind w:firstLine="480"/>
        <w:spacing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备注：</w:t>
      </w:r>
      <w:r/>
    </w:p>
    <w:p>
      <w:pPr>
        <w:ind w:firstLine="480"/>
        <w:spacing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1.专门面向中小微型企业采购的项目，供应商为残疾人福利性单位并提供服务的必须提供此声明函，否则将不能通过资格审查。</w:t>
      </w:r>
      <w:r/>
    </w:p>
    <w:p>
      <w:pPr>
        <w:ind w:firstLine="480"/>
        <w:spacing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2.非专门面向中小微型企业采购的项目，供应商如不提供此声明函，价格将不做相应扣除。</w:t>
      </w:r>
      <w:r/>
    </w:p>
    <w:p>
      <w:pPr>
        <w:ind w:firstLine="480"/>
        <w:spacing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3.中标/成交供应商为残疾人福利性单位的，此声明函将随中标/成交结果同时公告，接受社会监督</w:t>
      </w:r>
      <w:r/>
    </w:p>
    <w:p>
      <w:pPr>
        <w:ind w:firstLine="624"/>
        <w:spacing w:line="588" w:lineRule="exact"/>
        <w:rPr>
          <w:rFonts w:eastAsia="仿宋_GB2312"/>
          <w:color w:val="000000" w:themeColor="text1"/>
          <w:spacing w:val="6"/>
          <w:sz w:val="30"/>
          <w:szCs w:val="30"/>
          <w14:textFill>
            <w14:solidFill>
              <w14:schemeClr w14:val="tx1"/>
            </w14:solidFill>
          </w14:textFill>
        </w:rPr>
      </w:pPr>
      <w:r>
        <w:rPr>
          <w:rFonts w:eastAsia="仿宋_GB2312"/>
          <w:color w:val="000000" w:themeColor="text1"/>
          <w:spacing w:val="6"/>
          <w:sz w:val="30"/>
          <w:szCs w:val="30"/>
          <w14:textFill>
            <w14:solidFill>
              <w14:schemeClr w14:val="tx1"/>
            </w14:solidFill>
          </w14:textFill>
        </w:rPr>
      </w:r>
      <w:r/>
    </w:p>
    <w:p>
      <w:pPr>
        <w:ind w:right="1559" w:firstLine="624"/>
        <w:jc w:val="center"/>
        <w:spacing w:line="0" w:lineRule="atLeast"/>
        <w:tabs>
          <w:tab w:val="left" w:pos="4860" w:leader="none"/>
        </w:tabs>
        <w:rPr>
          <w:color w:val="000000" w:themeColor="text1"/>
          <w14:textFill>
            <w14:solidFill>
              <w14:schemeClr w14:val="tx1"/>
            </w14:solidFill>
          </w14:textFill>
        </w:rPr>
      </w:pPr>
      <w:r>
        <w:rPr>
          <w:rFonts w:eastAsia="仿宋_GB2312"/>
          <w:color w:val="000000" w:themeColor="text1"/>
          <w:spacing w:val="6"/>
          <w:sz w:val="30"/>
          <w:szCs w:val="30"/>
          <w14:textFill>
            <w14:solidFill>
              <w14:schemeClr w14:val="tx1"/>
            </w14:solidFill>
          </w14:textFill>
        </w:rPr>
        <w:t xml:space="preserve">             </w:t>
      </w:r>
      <w:r>
        <w:rPr>
          <w:color w:val="000000" w:themeColor="text1"/>
          <w14:textFill>
            <w14:solidFill>
              <w14:schemeClr w14:val="tx1"/>
            </w14:solidFill>
          </w14:textFill>
        </w:rPr>
        <w:t xml:space="preserve">          供应商全称（加盖CA电子公章）：</w:t>
      </w:r>
      <w:r/>
    </w:p>
    <w:p>
      <w:pPr>
        <w:ind w:right="1559" w:firstLine="480"/>
        <w:jc w:val="center"/>
        <w:spacing w:line="0" w:lineRule="atLeast"/>
        <w:tabs>
          <w:tab w:val="left" w:pos="4860"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        日  期：</w:t>
      </w:r>
      <w:r/>
    </w:p>
    <w:p>
      <w:pPr>
        <w:jc w:val="center"/>
        <w:spacing w:line="560" w:lineRule="exact"/>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jc w:val="center"/>
        <w:spacing w:line="560" w:lineRule="exact"/>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spacing w:line="560" w:lineRule="exact"/>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ind w:firstLine="645"/>
        <w:spacing w:line="560" w:lineRule="exact"/>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附件1</w:t>
      </w:r>
      <w:r>
        <w:rPr>
          <w:rFonts w:hint="eastAsia"/>
          <w:b/>
          <w:color w:val="000000" w:themeColor="text1"/>
          <w:szCs w:val="24"/>
          <w14:textFill>
            <w14:solidFill>
              <w14:schemeClr w14:val="tx1"/>
            </w14:solidFill>
          </w14:textFill>
        </w:rPr>
        <w:t xml:space="preserve">1</w:t>
      </w:r>
      <w:r>
        <w:rPr>
          <w:b/>
          <w:color w:val="000000" w:themeColor="text1"/>
          <w:szCs w:val="24"/>
          <w14:textFill>
            <w14:solidFill>
              <w14:schemeClr w14:val="tx1"/>
            </w14:solidFill>
          </w14:textFill>
        </w:rPr>
        <w:t xml:space="preserve"> 实质性要求响应及偏离表</w:t>
      </w:r>
      <w:r/>
    </w:p>
    <w:tbl>
      <w:tblPr>
        <w:tblStyle w:val="781"/>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609" w:type="dxa"/>
            <w:vAlign w:val="center"/>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技术要求和商务要求中的实质性要求</w:t>
            </w:r>
            <w:r>
              <w:rPr>
                <w:i/>
                <w:color w:val="000000" w:themeColor="text1"/>
                <w:szCs w:val="24"/>
                <w:u w:val="single"/>
                <w14:textFill>
                  <w14:solidFill>
                    <w14:schemeClr w14:val="tx1"/>
                  </w14:solidFill>
                </w14:textFill>
              </w:rPr>
              <w:t xml:space="preserve">（加斜体下划线内容）</w:t>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609"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317"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6"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609"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317"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6"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609"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317"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6" w:type="dxa"/>
            <w:textDirection w:val="lrTb"/>
            <w:noWrap/>
          </w:tcPr>
          <w:p>
            <w:pPr>
              <w:jc w:val="cente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tc>
      </w:tr>
    </w:tbl>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附件12-1 证明材料1，证明材料2，……</w:t>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备注：</w:t>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1.投标人必须对技术要求和商务要求中的实质性要求</w:t>
      </w:r>
      <w:r>
        <w:rPr>
          <w:i/>
          <w:color w:val="000000" w:themeColor="text1"/>
          <w:szCs w:val="24"/>
          <w:u w:val="single"/>
          <w14:textFill>
            <w14:solidFill>
              <w14:schemeClr w14:val="tx1"/>
            </w14:solidFill>
          </w14:textFill>
        </w:rPr>
        <w:t xml:space="preserve">（加斜体下划线内容）</w:t>
      </w:r>
      <w:r>
        <w:rPr>
          <w:color w:val="000000" w:themeColor="text1"/>
          <w:szCs w:val="24"/>
          <w14:textFill>
            <w14:solidFill>
              <w14:schemeClr w14:val="tx1"/>
            </w14:solidFill>
          </w14:textFill>
        </w:rPr>
        <w:t xml:space="preserve">逐条做出明确响应，</w:t>
      </w:r>
      <w:r>
        <w:rPr>
          <w:color w:val="000000" w:themeColor="text1"/>
          <w14:textFill>
            <w14:solidFill>
              <w14:schemeClr w14:val="tx1"/>
            </w14:solidFill>
          </w14:textFill>
        </w:rPr>
        <w:t xml:space="preserve">否则作无效投标处理。</w:t>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2.如果招标文件要求提供证明材料，投标人必须将证明材料列于该表之下。</w:t>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3.投标人未对实质性要求逐条作出明确响应的，或未按招标文件要求提供证明材料的，该分包作无效投标处理。</w:t>
      </w:r>
      <w:r/>
    </w:p>
    <w:p>
      <w:pPr>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r>
      <w:r/>
    </w:p>
    <w:p>
      <w:pPr>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r>
      <w:r/>
    </w:p>
    <w:p>
      <w:pPr>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r>
      <w:r/>
    </w:p>
    <w:p>
      <w:pPr>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r>
      <w:r/>
    </w:p>
    <w:p>
      <w:pPr>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r>
      <w:r/>
    </w:p>
    <w:p>
      <w:pPr>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r>
      <w:r/>
    </w:p>
    <w:p>
      <w:pPr>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r>
      <w:r/>
    </w:p>
    <w:p>
      <w:pPr>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r>
      <w:r/>
    </w:p>
    <w:p>
      <w:pPr>
        <w:spacing w:line="460" w:lineRule="exact"/>
        <w:rPr>
          <w:bCs/>
          <w:color w:val="000000" w:themeColor="text1"/>
          <w14:textFill>
            <w14:solidFill>
              <w14:schemeClr w14:val="tx1"/>
            </w14:solidFill>
          </w14:textFill>
        </w:rPr>
      </w:pPr>
      <w:r>
        <w:rPr>
          <w:bCs/>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jc w:val="center"/>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jc w:val="center"/>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jc w:val="center"/>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jc w:val="center"/>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jc w:val="center"/>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bookmarkEnd w:id="208"/>
      <w:r/>
    </w:p>
    <w:p>
      <w:pPr>
        <w:jc w:val="center"/>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jc w:val="center"/>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jc w:val="center"/>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t xml:space="preserve">质疑函范本</w:t>
      </w:r>
      <w:r/>
    </w:p>
    <w:p>
      <w:pPr>
        <w:spacing w:before="290" w:line="360" w:lineRule="auto"/>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一、质疑供应商基本信息</w:t>
      </w:r>
      <w:r/>
    </w:p>
    <w:p>
      <w:pPr>
        <w:spacing w:line="360" w:lineRule="auto"/>
        <w:rPr>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质疑供应商：</w:t>
      </w:r>
      <w:r>
        <w:rPr>
          <w:color w:val="000000" w:themeColor="text1"/>
          <w:szCs w:val="24"/>
          <w:u w:val="single"/>
          <w14:textFill>
            <w14:solidFill>
              <w14:schemeClr w14:val="tx1"/>
            </w14:solidFill>
          </w14:textFill>
        </w:rPr>
        <w:t xml:space="preserve">                                                              </w:t>
      </w:r>
      <w:r/>
    </w:p>
    <w:p>
      <w:pPr>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地址：</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邮编：</w:t>
      </w:r>
      <w:r>
        <w:rPr>
          <w:color w:val="000000" w:themeColor="text1"/>
          <w:szCs w:val="24"/>
          <w:u w:val="single"/>
          <w14:textFill>
            <w14:solidFill>
              <w14:schemeClr w14:val="tx1"/>
            </w14:solidFill>
          </w14:textFill>
        </w:rPr>
        <w:t xml:space="preserve">                                    </w:t>
      </w:r>
      <w:r/>
    </w:p>
    <w:p>
      <w:pPr>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联系人：</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联系电话：</w:t>
      </w:r>
      <w:r>
        <w:rPr>
          <w:color w:val="000000" w:themeColor="text1"/>
          <w:szCs w:val="24"/>
          <w:u w:val="single"/>
          <w14:textFill>
            <w14:solidFill>
              <w14:schemeClr w14:val="tx1"/>
            </w14:solidFill>
          </w14:textFill>
        </w:rPr>
        <w:t xml:space="preserve">                                       </w:t>
      </w:r>
      <w:r/>
    </w:p>
    <w:p>
      <w:pPr>
        <w:spacing w:line="360" w:lineRule="auto"/>
        <w:rPr>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授权代表：</w:t>
      </w:r>
      <w:r>
        <w:rPr>
          <w:color w:val="000000" w:themeColor="text1"/>
          <w:szCs w:val="24"/>
          <w:u w:val="single"/>
          <w14:textFill>
            <w14:solidFill>
              <w14:schemeClr w14:val="tx1"/>
            </w14:solidFill>
          </w14:textFill>
        </w:rPr>
        <w:t xml:space="preserve">                                                                 </w:t>
      </w:r>
      <w:r/>
    </w:p>
    <w:p>
      <w:pPr>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联系电话：</w:t>
      </w:r>
      <w:r>
        <w:rPr>
          <w:color w:val="000000" w:themeColor="text1"/>
          <w:szCs w:val="24"/>
          <w:u w:val="single"/>
          <w14:textFill>
            <w14:solidFill>
              <w14:schemeClr w14:val="tx1"/>
            </w14:solidFill>
          </w14:textFill>
        </w:rPr>
        <w:t xml:space="preserve">                                                                </w:t>
      </w:r>
      <w:r/>
    </w:p>
    <w:p>
      <w:pPr>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地址： </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邮编：</w:t>
      </w:r>
      <w:r>
        <w:rPr>
          <w:color w:val="000000" w:themeColor="text1"/>
          <w:szCs w:val="24"/>
          <w:u w:val="single"/>
          <w14:textFill>
            <w14:solidFill>
              <w14:schemeClr w14:val="tx1"/>
            </w14:solidFill>
          </w14:textFill>
        </w:rPr>
        <w:t xml:space="preserve">                                     </w:t>
      </w:r>
      <w:r/>
    </w:p>
    <w:p>
      <w:pPr>
        <w:spacing w:line="360" w:lineRule="auto"/>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二、质疑项目基本情况</w:t>
      </w:r>
      <w:r/>
    </w:p>
    <w:p>
      <w:pPr>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质疑项目的名称：</w:t>
      </w:r>
      <w:r>
        <w:rPr>
          <w:color w:val="000000" w:themeColor="text1"/>
          <w:szCs w:val="24"/>
          <w:u w:val="single"/>
          <w14:textFill>
            <w14:solidFill>
              <w14:schemeClr w14:val="tx1"/>
            </w14:solidFill>
          </w14:textFill>
        </w:rPr>
        <w:t xml:space="preserve">                                                          </w:t>
      </w:r>
      <w:r/>
    </w:p>
    <w:p>
      <w:pPr>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质疑项目的编号：</w:t>
      </w:r>
      <w:r>
        <w:rPr>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 xml:space="preserve">包号：</w:t>
      </w:r>
      <w:r>
        <w:rPr>
          <w:color w:val="000000" w:themeColor="text1"/>
          <w:szCs w:val="24"/>
          <w:u w:val="single"/>
          <w14:textFill>
            <w14:solidFill>
              <w14:schemeClr w14:val="tx1"/>
            </w14:solidFill>
          </w14:textFill>
        </w:rPr>
        <w:t xml:space="preserve">                           </w:t>
      </w:r>
      <w:r/>
    </w:p>
    <w:p>
      <w:pPr>
        <w:spacing w:line="360" w:lineRule="auto"/>
        <w:rPr>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采购人名称：</w:t>
      </w:r>
      <w:r>
        <w:rPr>
          <w:color w:val="000000" w:themeColor="text1"/>
          <w:szCs w:val="24"/>
          <w:u w:val="single"/>
          <w14:textFill>
            <w14:solidFill>
              <w14:schemeClr w14:val="tx1"/>
            </w14:solidFill>
          </w14:textFill>
        </w:rPr>
        <w:t xml:space="preserve">                                                              </w:t>
      </w:r>
      <w:r/>
    </w:p>
    <w:p>
      <w:pPr>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采购文件获取日期：</w:t>
      </w:r>
      <w:r>
        <w:rPr>
          <w:color w:val="000000" w:themeColor="text1"/>
          <w:szCs w:val="24"/>
          <w:u w:val="single"/>
          <w14:textFill>
            <w14:solidFill>
              <w14:schemeClr w14:val="tx1"/>
            </w14:solidFill>
          </w14:textFill>
        </w:rPr>
        <w:t xml:space="preserve">                                                        </w:t>
      </w:r>
      <w:r/>
    </w:p>
    <w:p>
      <w:pPr>
        <w:spacing w:line="360" w:lineRule="auto"/>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三、质疑事项具体内容</w:t>
      </w:r>
      <w:r/>
    </w:p>
    <w:p>
      <w:pPr>
        <w:spacing w:line="360" w:lineRule="auto"/>
        <w:rPr>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质疑事项1：</w:t>
      </w:r>
      <w:r>
        <w:rPr>
          <w:color w:val="000000" w:themeColor="text1"/>
          <w:szCs w:val="24"/>
          <w:u w:val="single"/>
          <w14:textFill>
            <w14:solidFill>
              <w14:schemeClr w14:val="tx1"/>
            </w14:solidFill>
          </w14:textFill>
        </w:rPr>
        <w:t xml:space="preserve">                                                              </w:t>
      </w:r>
      <w:r/>
    </w:p>
    <w:p>
      <w:pPr>
        <w:spacing w:line="360" w:lineRule="auto"/>
        <w:rPr>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事实依据：</w:t>
      </w:r>
      <w:r>
        <w:rPr>
          <w:color w:val="000000" w:themeColor="text1"/>
          <w:szCs w:val="24"/>
          <w:u w:val="single"/>
          <w14:textFill>
            <w14:solidFill>
              <w14:schemeClr w14:val="tx1"/>
            </w14:solidFill>
          </w14:textFill>
        </w:rPr>
        <w:t xml:space="preserve">                                                                </w:t>
      </w:r>
      <w:r/>
    </w:p>
    <w:p>
      <w:pPr>
        <w:spacing w:line="360" w:lineRule="auto"/>
        <w:rPr>
          <w:color w:val="000000" w:themeColor="text1"/>
          <w:szCs w:val="24"/>
          <w14:textFill>
            <w14:solidFill>
              <w14:schemeClr w14:val="tx1"/>
            </w14:solidFill>
          </w14:textFill>
        </w:rPr>
      </w:pPr>
      <w:r>
        <w:rPr>
          <w:color w:val="000000" w:themeColor="text1"/>
          <w:szCs w:val="24"/>
          <w:u w:val="single"/>
          <w14:textFill>
            <w14:solidFill>
              <w14:schemeClr w14:val="tx1"/>
            </w14:solidFill>
          </w14:textFill>
        </w:rPr>
        <w:t xml:space="preserve">                                                                           </w:t>
      </w:r>
      <w:r/>
    </w:p>
    <w:p>
      <w:pPr>
        <w:spacing w:line="360" w:lineRule="auto"/>
        <w:rPr>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法律依据：</w:t>
      </w:r>
      <w:r>
        <w:rPr>
          <w:color w:val="000000" w:themeColor="text1"/>
          <w:szCs w:val="24"/>
          <w:u w:val="single"/>
          <w14:textFill>
            <w14:solidFill>
              <w14:schemeClr w14:val="tx1"/>
            </w14:solidFill>
          </w14:textFill>
        </w:rPr>
        <w:t xml:space="preserve">                                                                 </w:t>
      </w:r>
      <w:r/>
    </w:p>
    <w:p>
      <w:pPr>
        <w:spacing w:line="360" w:lineRule="auto"/>
        <w:rPr>
          <w:color w:val="000000" w:themeColor="text1"/>
          <w:szCs w:val="24"/>
          <w:u w:val="single"/>
          <w14:textFill>
            <w14:solidFill>
              <w14:schemeClr w14:val="tx1"/>
            </w14:solidFill>
          </w14:textFill>
        </w:rPr>
      </w:pPr>
      <w:r>
        <w:rPr>
          <w:color w:val="000000" w:themeColor="text1"/>
          <w:szCs w:val="24"/>
          <w:u w:val="single"/>
          <w14:textFill>
            <w14:solidFill>
              <w14:schemeClr w14:val="tx1"/>
            </w14:solidFill>
          </w14:textFill>
        </w:rPr>
        <w:t xml:space="preserve">                                                                           </w:t>
      </w:r>
      <w:r/>
    </w:p>
    <w:p>
      <w:pPr>
        <w:spacing w:line="360" w:lineRule="auto"/>
        <w:rPr>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质疑事项2</w:t>
      </w:r>
      <w:r/>
    </w:p>
    <w:p>
      <w:pPr>
        <w:spacing w:line="360"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w:t>
      </w:r>
      <w:r/>
    </w:p>
    <w:p>
      <w:pPr>
        <w:spacing w:line="360" w:lineRule="auto"/>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四、与质疑事项相关的质疑请求</w:t>
      </w:r>
      <w:r/>
    </w:p>
    <w:p>
      <w:pPr>
        <w:spacing w:line="360" w:lineRule="auto"/>
        <w:rPr>
          <w:color w:val="000000" w:themeColor="text1"/>
          <w:szCs w:val="24"/>
          <w:u w:val="single"/>
          <w14:textFill>
            <w14:solidFill>
              <w14:schemeClr w14:val="tx1"/>
            </w14:solidFill>
          </w14:textFill>
        </w:rPr>
      </w:pPr>
      <w:r>
        <w:rPr>
          <w:color w:val="000000" w:themeColor="text1"/>
          <w:szCs w:val="24"/>
          <w14:textFill>
            <w14:solidFill>
              <w14:schemeClr w14:val="tx1"/>
            </w14:solidFill>
          </w14:textFill>
        </w:rPr>
        <w:t xml:space="preserve">请求：</w:t>
      </w:r>
      <w:r>
        <w:rPr>
          <w:color w:val="000000" w:themeColor="text1"/>
          <w:szCs w:val="24"/>
          <w:u w:val="single"/>
          <w14:textFill>
            <w14:solidFill>
              <w14:schemeClr w14:val="tx1"/>
            </w14:solidFill>
          </w14:textFill>
        </w:rPr>
        <w:t xml:space="preserve">                                                                     </w:t>
      </w:r>
      <w:r/>
    </w:p>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签字(签章)：                   公章：                      </w:t>
      </w:r>
      <w:r/>
    </w:p>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日期：    </w:t>
      </w:r>
      <w:r/>
    </w:p>
    <w:p>
      <w:pPr>
        <w:spacing w:line="400" w:lineRule="exact"/>
        <w:rPr>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质疑函制作说明：</w:t>
      </w:r>
      <w:r/>
    </w:p>
    <w:p>
      <w:pPr>
        <w:ind w:firstLine="480"/>
        <w:jc w:val="left"/>
        <w:spacing w:line="400" w:lineRule="exact"/>
        <w:widowControl/>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1.供应商提出质疑时，应提交质疑函和必要的证明材料。</w:t>
      </w:r>
      <w:r/>
    </w:p>
    <w:p>
      <w:pPr>
        <w:ind w:firstLine="480"/>
        <w:jc w:val="left"/>
        <w:spacing w:line="400" w:lineRule="exact"/>
        <w:widowControl/>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5.质疑函的质疑请求应与质疑事项相关。</w:t>
      </w:r>
      <w:r/>
    </w:p>
    <w:p>
      <w:pPr>
        <w:ind w:firstLine="480"/>
        <w:jc w:val="left"/>
        <w:spacing w:line="400" w:lineRule="exact"/>
        <w:widowControl/>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969"/>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pStyle w:val="969"/>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10"/>
      <w:footerReference w:type="default" r:id="rId18"/>
      <w:footerReference w:type="even" r:id="rId19"/>
      <w:footerReference w:type="first" r:id="rId20"/>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Courier New">
    <w:panose1 w:val="020703090202050204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both"/>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13</w:t>
    </w:r>
    <w:r>
      <w:rPr>
        <w:sz w:val="24"/>
        <w:szCs w:val="24"/>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12</w:t>
    </w:r>
    <w:r>
      <w:rPr>
        <w:sz w:val="24"/>
        <w:szCs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4</w:t>
    </w:r>
    <w:r>
      <w:rPr>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17</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16</w:t>
    </w:r>
    <w:r>
      <w:rPr>
        <w:sz w:val="24"/>
        <w:szCs w:val="24"/>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rFonts w:hint="eastAsia"/>
        <w:sz w:val="24"/>
        <w:szCs w:val="24"/>
        <w:lang w:val="zh-CN"/>
      </w:rPr>
      <w:t xml:space="preserve">４５</w:t>
    </w:r>
    <w:r>
      <w:rPr>
        <w:sz w:val="24"/>
        <w:szCs w:val="24"/>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27</w:t>
    </w:r>
    <w:r>
      <w:rPr>
        <w:sz w:val="24"/>
        <w:szCs w:val="24"/>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28</w:t>
    </w:r>
    <w:r>
      <w:rPr>
        <w:sz w:val="24"/>
        <w:szCs w:val="24"/>
      </w:rP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 xml:space="preserve">18</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5"/>
      <w:isLgl w:val="false"/>
      <w:suff w:val="tab"/>
      <w:lvlText w:val="%1."/>
      <w:lvlJc w:val="left"/>
      <w:pPr>
        <w:ind w:left="709" w:hanging="709"/>
      </w:pPr>
      <w:rPr>
        <w:rFonts w:hint="eastAsia"/>
      </w:rPr>
    </w:lvl>
    <w:lvl w:ilvl="1">
      <w:start w:val="1"/>
      <w:numFmt w:val="decimal"/>
      <w:isLgl w:val="false"/>
      <w:suff w:val="tab"/>
      <w:lvlText w:val="%1.%2"/>
      <w:lvlJc w:val="left"/>
      <w:pPr>
        <w:ind w:left="709" w:hanging="709"/>
      </w:pPr>
      <w:rPr>
        <w:rFonts w:hint="eastAsia"/>
      </w:rPr>
    </w:lvl>
    <w:lvl w:ilvl="2">
      <w:start w:val="1"/>
      <w:numFmt w:val="decimal"/>
      <w:isLgl w:val="false"/>
      <w:suff w:val="tab"/>
      <w:lvlText w:val="%1.%2.%3."/>
      <w:lvlJc w:val="left"/>
      <w:pPr>
        <w:ind w:left="425" w:hanging="425"/>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3"/>
      <w:isLgl w:val="false"/>
      <w:suff w:val="nothing"/>
      <w:lvlText w:val=""/>
      <w:lvlJc w:val="left"/>
      <w:pPr>
        <w:ind w:left="0" w:firstLine="0"/>
      </w:pPr>
      <w:rPr>
        <w:rFonts w:hint="eastAsia"/>
      </w:rPr>
    </w:lvl>
    <w:lvl w:ilvl="6">
      <w:start w:val="1"/>
      <w:numFmt w:val="decimal"/>
      <w:pStyle w:val="964"/>
      <w:isLgl w:val="false"/>
      <w:suff w:val="nothing"/>
      <w:lvlText w:val=""/>
      <w:lvlJc w:val="left"/>
      <w:pPr>
        <w:ind w:left="0" w:firstLine="0"/>
      </w:pPr>
      <w:rPr>
        <w:rFonts w:hint="eastAsia"/>
      </w:rPr>
    </w:lvl>
    <w:lvl w:ilvl="7">
      <w:start w:val="1"/>
      <w:numFmt w:val="decimal"/>
      <w:pStyle w:val="965"/>
      <w:isLgl w:val="false"/>
      <w:suff w:val="nothing"/>
      <w:lvlText w:val=""/>
      <w:lvlJc w:val="left"/>
      <w:pPr>
        <w:ind w:left="0" w:firstLine="0"/>
      </w:pPr>
      <w:rPr>
        <w:rFonts w:hint="eastAsia"/>
      </w:rPr>
    </w:lvl>
    <w:lvl w:ilvl="8">
      <w:start w:val="1"/>
      <w:numFmt w:val="decimal"/>
      <w:pStyle w:val="966"/>
      <w:isLgl w:val="false"/>
      <w:suff w:val="nothing"/>
      <w:lvlText w:val=""/>
      <w:lvlJc w:val="left"/>
      <w:pPr>
        <w:ind w:left="0" w:firstLine="0"/>
      </w:pPr>
      <w:rPr>
        <w:rFonts w:hint="eastAsia"/>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10"/>
      <w:isLgl w:val="false"/>
      <w:suff w:val="tab"/>
      <w:lvlText w:val="附录%1."/>
      <w:lvlJc w:val="left"/>
      <w:pPr>
        <w:ind w:left="907" w:hanging="9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pPr>
      <w:rPr>
        <w:rFonts w:hint="eastAsia" w:ascii="黑体" w:hAnsi="黑体" w:eastAsia="黑体"/>
        <w:b w:val="0"/>
        <w:sz w:val="28"/>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ascii="宋体" w:hAnsi="宋体" w:eastAsia="宋体" w:cs="宋体"/>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5"/>
  </w:num>
  <w:num w:numId="5">
    <w:abstractNumId w:val="7"/>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0" w:default="1">
    <w:name w:val="Normal"/>
    <w:next w:val="782"/>
    <w:uiPriority w:val="0"/>
    <w:qFormat/>
    <w:pPr>
      <w:jc w:val="both"/>
      <w:widowControl w:val="off"/>
    </w:pPr>
    <w:rPr>
      <w:rFonts w:ascii="Times New Roman" w:hAnsi="Times New Roman" w:eastAsia="宋体" w:cs="Times New Roman"/>
      <w:sz w:val="24"/>
      <w:szCs w:val="21"/>
      <w:lang w:val="en-US" w:eastAsia="zh-CN" w:bidi="ar-SA"/>
    </w:rPr>
  </w:style>
  <w:style w:type="paragraph" w:styleId="771">
    <w:name w:val="Heading 1"/>
    <w:basedOn w:val="770"/>
    <w:next w:val="770"/>
    <w:uiPriority w:val="0"/>
    <w:qFormat/>
    <w:pPr>
      <w:keepLines/>
      <w:keepNext/>
      <w:spacing w:before="480" w:after="200"/>
      <w:outlineLvl w:val="0"/>
    </w:pPr>
    <w:rPr>
      <w:rFonts w:ascii="Arial" w:hAnsi="Arial" w:eastAsia="Arial" w:cs="Arial"/>
      <w:sz w:val="40"/>
      <w:szCs w:val="40"/>
    </w:rPr>
  </w:style>
  <w:style w:type="paragraph" w:styleId="772">
    <w:name w:val="Heading 2"/>
    <w:basedOn w:val="770"/>
    <w:next w:val="770"/>
    <w:uiPriority w:val="0"/>
    <w:qFormat/>
    <w:pPr>
      <w:keepLines/>
      <w:keepNext/>
      <w:spacing w:before="360" w:after="200"/>
      <w:outlineLvl w:val="1"/>
    </w:pPr>
    <w:rPr>
      <w:rFonts w:ascii="Arial" w:hAnsi="Arial" w:eastAsia="Arial" w:cs="Arial"/>
      <w:sz w:val="34"/>
    </w:rPr>
  </w:style>
  <w:style w:type="paragraph" w:styleId="773">
    <w:name w:val="Heading 3"/>
    <w:basedOn w:val="770"/>
    <w:next w:val="770"/>
    <w:uiPriority w:val="0"/>
    <w:qFormat/>
    <w:pPr>
      <w:keepLines/>
      <w:keepNext/>
      <w:spacing w:before="320" w:after="200"/>
      <w:outlineLvl w:val="2"/>
    </w:pPr>
    <w:rPr>
      <w:rFonts w:ascii="Arial" w:hAnsi="Arial" w:eastAsia="Arial" w:cs="Arial"/>
      <w:sz w:val="30"/>
      <w:szCs w:val="30"/>
    </w:rPr>
  </w:style>
  <w:style w:type="paragraph" w:styleId="774">
    <w:name w:val="Heading 4"/>
    <w:basedOn w:val="770"/>
    <w:next w:val="770"/>
    <w:uiPriority w:val="0"/>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uiPriority w:val="0"/>
    <w:qFormat/>
    <w:pPr>
      <w:keepLines/>
      <w:keepNext/>
      <w:spacing w:before="320" w:after="200"/>
      <w:outlineLvl w:val="4"/>
    </w:pPr>
    <w:rPr>
      <w:rFonts w:ascii="Arial" w:hAnsi="Arial" w:eastAsia="Arial" w:cs="Arial"/>
      <w:b/>
      <w:bCs/>
      <w:szCs w:val="24"/>
    </w:rPr>
  </w:style>
  <w:style w:type="paragraph" w:styleId="776">
    <w:name w:val="Heading 6"/>
    <w:basedOn w:val="770"/>
    <w:next w:val="770"/>
    <w:uiPriority w:val="0"/>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uiPriority w:val="0"/>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uiPriority w:val="0"/>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uiPriority w:val="0"/>
    <w:qFormat/>
    <w:pPr>
      <w:keepLines/>
      <w:keepNext/>
      <w:spacing w:before="320" w:after="200"/>
      <w:outlineLvl w:val="8"/>
    </w:pPr>
    <w:rPr>
      <w:rFonts w:ascii="Arial" w:hAnsi="Arial" w:eastAsia="Arial" w:cs="Arial"/>
      <w:i/>
      <w:iCs/>
      <w:sz w:val="21"/>
    </w:rPr>
  </w:style>
  <w:style w:type="character" w:styleId="780" w:default="1">
    <w:name w:val="Default Paragraph Font"/>
    <w:uiPriority w:val="1"/>
    <w:semiHidden/>
    <w:unhideWhenUsed/>
  </w:style>
  <w:style w:type="table" w:styleId="781" w:default="1">
    <w:name w:val="Normal Table"/>
    <w:uiPriority w:val="99"/>
    <w:semiHidden/>
    <w:unhideWhenUsed/>
    <w:tblPr>
      <w:tblCellMar>
        <w:left w:w="108" w:type="dxa"/>
        <w:top w:w="0" w:type="dxa"/>
        <w:right w:w="108" w:type="dxa"/>
        <w:bottom w:w="0" w:type="dxa"/>
      </w:tblCellMar>
    </w:tblPr>
  </w:style>
  <w:style w:type="paragraph" w:styleId="782" w:customStyle="1">
    <w:name w:val="页眉1"/>
    <w:basedOn w:val="770"/>
    <w:uiPriority w:val="0"/>
    <w:qFormat/>
    <w:pPr>
      <w:jc w:val="center"/>
      <w:tabs>
        <w:tab w:val="center" w:pos="4153" w:leader="none"/>
        <w:tab w:val="right" w:pos="8306" w:leader="none"/>
      </w:tabs>
      <w:pBdr>
        <w:bottom w:val="single" w:color="000000" w:sz="6" w:space="1"/>
      </w:pBdr>
    </w:pPr>
    <w:rPr>
      <w:sz w:val="18"/>
      <w:szCs w:val="18"/>
    </w:rPr>
  </w:style>
  <w:style w:type="paragraph" w:styleId="783">
    <w:name w:val="toc 7"/>
    <w:basedOn w:val="770"/>
    <w:next w:val="770"/>
    <w:uiPriority w:val="0"/>
    <w:qFormat/>
    <w:pPr>
      <w:ind w:left="1701"/>
      <w:spacing w:after="57"/>
    </w:pPr>
  </w:style>
  <w:style w:type="paragraph" w:styleId="784">
    <w:name w:val="Normal Indent"/>
    <w:basedOn w:val="770"/>
    <w:uiPriority w:val="0"/>
    <w:qFormat/>
    <w:pPr>
      <w:ind w:firstLine="420"/>
      <w:jc w:val="left"/>
      <w:spacing w:line="360" w:lineRule="auto"/>
    </w:pPr>
    <w:rPr>
      <w:rFonts w:ascii="宋体" w:hAnsi="宋体" w:cs="宋体"/>
      <w:szCs w:val="22"/>
    </w:rPr>
  </w:style>
  <w:style w:type="paragraph" w:styleId="785">
    <w:name w:val="Caption"/>
    <w:basedOn w:val="770"/>
    <w:next w:val="770"/>
    <w:uiPriority w:val="0"/>
    <w:qFormat/>
    <w:pPr>
      <w:spacing w:line="276" w:lineRule="auto"/>
    </w:pPr>
    <w:rPr>
      <w:b/>
      <w:bCs/>
      <w:color w:val="4f81bd"/>
      <w:sz w:val="18"/>
      <w:szCs w:val="18"/>
    </w:rPr>
  </w:style>
  <w:style w:type="paragraph" w:styleId="786">
    <w:name w:val="annotation text"/>
    <w:basedOn w:val="770"/>
    <w:uiPriority w:val="0"/>
    <w:qFormat/>
    <w:pPr>
      <w:jc w:val="left"/>
    </w:pPr>
  </w:style>
  <w:style w:type="paragraph" w:styleId="787">
    <w:name w:val="Body Text"/>
    <w:basedOn w:val="770"/>
    <w:uiPriority w:val="0"/>
    <w:qFormat/>
    <w:rPr>
      <w:rFonts w:ascii="楷体_GB2312" w:hAnsi="Arial" w:eastAsia="楷体_GB2312"/>
      <w:sz w:val="28"/>
      <w:szCs w:val="28"/>
    </w:rPr>
  </w:style>
  <w:style w:type="paragraph" w:styleId="788">
    <w:name w:val="index 4"/>
    <w:basedOn w:val="770"/>
    <w:next w:val="770"/>
    <w:uiPriority w:val="99"/>
    <w:unhideWhenUsed/>
    <w:qFormat/>
    <w:pPr>
      <w:ind w:left="600"/>
    </w:pPr>
    <w:rPr>
      <w:rFonts w:ascii="Calibri" w:hAnsi="Calibri"/>
      <w:szCs w:val="24"/>
    </w:rPr>
  </w:style>
  <w:style w:type="paragraph" w:styleId="789">
    <w:name w:val="toc 5"/>
    <w:basedOn w:val="770"/>
    <w:next w:val="770"/>
    <w:uiPriority w:val="0"/>
    <w:qFormat/>
    <w:pPr>
      <w:ind w:left="1134"/>
      <w:spacing w:after="57"/>
    </w:pPr>
  </w:style>
  <w:style w:type="paragraph" w:styleId="790">
    <w:name w:val="toc 3"/>
    <w:basedOn w:val="770"/>
    <w:next w:val="770"/>
    <w:uiPriority w:val="0"/>
    <w:qFormat/>
    <w:pPr>
      <w:ind w:left="567"/>
      <w:spacing w:after="57"/>
    </w:pPr>
  </w:style>
  <w:style w:type="paragraph" w:styleId="791">
    <w:name w:val="toc 8"/>
    <w:basedOn w:val="770"/>
    <w:next w:val="770"/>
    <w:uiPriority w:val="0"/>
    <w:qFormat/>
    <w:pPr>
      <w:ind w:left="1984"/>
      <w:spacing w:after="57"/>
    </w:pPr>
  </w:style>
  <w:style w:type="paragraph" w:styleId="792">
    <w:name w:val="endnote text"/>
    <w:basedOn w:val="770"/>
    <w:uiPriority w:val="0"/>
    <w:qFormat/>
    <w:rPr>
      <w:sz w:val="20"/>
    </w:rPr>
  </w:style>
  <w:style w:type="paragraph" w:styleId="793">
    <w:name w:val="Footer"/>
    <w:basedOn w:val="770"/>
    <w:uiPriority w:val="0"/>
    <w:qFormat/>
    <w:pPr>
      <w:tabs>
        <w:tab w:val="center" w:pos="7143" w:leader="none"/>
        <w:tab w:val="right" w:pos="14287" w:leader="none"/>
      </w:tabs>
    </w:pPr>
  </w:style>
  <w:style w:type="paragraph" w:styleId="794">
    <w:name w:val="Header"/>
    <w:basedOn w:val="770"/>
    <w:uiPriority w:val="0"/>
    <w:qFormat/>
    <w:pPr>
      <w:tabs>
        <w:tab w:val="center" w:pos="7143" w:leader="none"/>
        <w:tab w:val="right" w:pos="14287" w:leader="none"/>
      </w:tabs>
    </w:pPr>
  </w:style>
  <w:style w:type="paragraph" w:styleId="795">
    <w:name w:val="toc 1"/>
    <w:basedOn w:val="770"/>
    <w:next w:val="770"/>
    <w:uiPriority w:val="0"/>
    <w:qFormat/>
    <w:pPr>
      <w:spacing w:after="57"/>
    </w:pPr>
  </w:style>
  <w:style w:type="paragraph" w:styleId="796">
    <w:name w:val="toc 4"/>
    <w:basedOn w:val="770"/>
    <w:next w:val="770"/>
    <w:uiPriority w:val="0"/>
    <w:qFormat/>
    <w:pPr>
      <w:ind w:left="850"/>
      <w:spacing w:after="57"/>
    </w:pPr>
  </w:style>
  <w:style w:type="paragraph" w:styleId="797">
    <w:name w:val="Subtitle"/>
    <w:basedOn w:val="770"/>
    <w:next w:val="770"/>
    <w:uiPriority w:val="0"/>
    <w:qFormat/>
    <w:pPr>
      <w:spacing w:before="200" w:after="200"/>
    </w:pPr>
    <w:rPr>
      <w:szCs w:val="24"/>
    </w:rPr>
  </w:style>
  <w:style w:type="paragraph" w:styleId="798">
    <w:name w:val="footnote text"/>
    <w:basedOn w:val="770"/>
    <w:uiPriority w:val="0"/>
    <w:qFormat/>
    <w:pPr>
      <w:spacing w:after="40"/>
    </w:pPr>
    <w:rPr>
      <w:sz w:val="18"/>
    </w:rPr>
  </w:style>
  <w:style w:type="paragraph" w:styleId="799">
    <w:name w:val="toc 6"/>
    <w:basedOn w:val="770"/>
    <w:next w:val="770"/>
    <w:uiPriority w:val="0"/>
    <w:qFormat/>
    <w:pPr>
      <w:ind w:left="1417"/>
      <w:spacing w:after="57"/>
    </w:pPr>
  </w:style>
  <w:style w:type="paragraph" w:styleId="800">
    <w:name w:val="table of figures"/>
    <w:basedOn w:val="770"/>
    <w:next w:val="770"/>
    <w:uiPriority w:val="0"/>
    <w:qFormat/>
  </w:style>
  <w:style w:type="paragraph" w:styleId="801">
    <w:name w:val="toc 2"/>
    <w:basedOn w:val="770"/>
    <w:next w:val="770"/>
    <w:uiPriority w:val="0"/>
    <w:qFormat/>
    <w:pPr>
      <w:ind w:left="283"/>
      <w:spacing w:after="57"/>
    </w:pPr>
  </w:style>
  <w:style w:type="paragraph" w:styleId="802">
    <w:name w:val="toc 9"/>
    <w:basedOn w:val="770"/>
    <w:next w:val="770"/>
    <w:uiPriority w:val="0"/>
    <w:qFormat/>
    <w:pPr>
      <w:ind w:left="2268"/>
      <w:spacing w:after="57"/>
    </w:pPr>
  </w:style>
  <w:style w:type="paragraph" w:styleId="803">
    <w:name w:val="Title"/>
    <w:basedOn w:val="770"/>
    <w:next w:val="770"/>
    <w:uiPriority w:val="0"/>
    <w:qFormat/>
    <w:pPr>
      <w:contextualSpacing/>
      <w:spacing w:before="300" w:after="200"/>
    </w:pPr>
    <w:rPr>
      <w:sz w:val="48"/>
      <w:szCs w:val="48"/>
    </w:rPr>
  </w:style>
  <w:style w:type="table" w:styleId="804">
    <w:name w:val="Table Grid"/>
    <w:basedOn w:val="7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endnote reference"/>
    <w:uiPriority w:val="0"/>
    <w:qFormat/>
    <w:rPr>
      <w:vertAlign w:val="superscript"/>
    </w:rPr>
  </w:style>
  <w:style w:type="character" w:styleId="806">
    <w:name w:val="Hyperlink"/>
    <w:uiPriority w:val="0"/>
    <w:qFormat/>
    <w:rPr>
      <w:color w:val="0000ff"/>
      <w:u w:val="single"/>
    </w:rPr>
  </w:style>
  <w:style w:type="character" w:styleId="807">
    <w:name w:val="footnote reference"/>
    <w:uiPriority w:val="0"/>
    <w:qFormat/>
    <w:rPr>
      <w:vertAlign w:val="superscript"/>
    </w:rPr>
  </w:style>
  <w:style w:type="paragraph" w:styleId="808" w:customStyle="1">
    <w:name w:val="标题1"/>
    <w:basedOn w:val="770"/>
    <w:next w:val="7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character" w:styleId="809" w:customStyle="1">
    <w:name w:val="Heading 1 Char"/>
    <w:basedOn w:val="780"/>
    <w:uiPriority w:val="9"/>
    <w:qFormat/>
    <w:rPr>
      <w:rFonts w:ascii="Arial" w:hAnsi="Arial" w:eastAsia="Arial" w:cs="Arial"/>
      <w:sz w:val="40"/>
      <w:szCs w:val="40"/>
    </w:rPr>
  </w:style>
  <w:style w:type="character" w:styleId="810" w:customStyle="1">
    <w:name w:val="Heading 2 Char"/>
    <w:basedOn w:val="780"/>
    <w:uiPriority w:val="9"/>
    <w:qFormat/>
    <w:rPr>
      <w:rFonts w:ascii="Arial" w:hAnsi="Arial" w:eastAsia="Arial" w:cs="Arial"/>
      <w:sz w:val="34"/>
    </w:rPr>
  </w:style>
  <w:style w:type="character" w:styleId="811" w:customStyle="1">
    <w:name w:val="Heading 3 Char"/>
    <w:basedOn w:val="780"/>
    <w:uiPriority w:val="9"/>
    <w:qFormat/>
    <w:rPr>
      <w:rFonts w:ascii="Arial" w:hAnsi="Arial" w:eastAsia="Arial" w:cs="Arial"/>
      <w:sz w:val="30"/>
      <w:szCs w:val="30"/>
    </w:rPr>
  </w:style>
  <w:style w:type="character" w:styleId="812" w:customStyle="1">
    <w:name w:val="Heading 4 Char"/>
    <w:basedOn w:val="780"/>
    <w:uiPriority w:val="9"/>
    <w:qFormat/>
    <w:rPr>
      <w:rFonts w:ascii="Arial" w:hAnsi="Arial" w:eastAsia="Arial" w:cs="Arial"/>
      <w:b/>
      <w:bCs/>
      <w:sz w:val="26"/>
      <w:szCs w:val="26"/>
    </w:rPr>
  </w:style>
  <w:style w:type="character" w:styleId="813" w:customStyle="1">
    <w:name w:val="Heading 5 Char"/>
    <w:basedOn w:val="780"/>
    <w:uiPriority w:val="9"/>
    <w:qFormat/>
    <w:rPr>
      <w:rFonts w:ascii="Arial" w:hAnsi="Arial" w:eastAsia="Arial" w:cs="Arial"/>
      <w:b/>
      <w:bCs/>
      <w:sz w:val="24"/>
      <w:szCs w:val="24"/>
    </w:rPr>
  </w:style>
  <w:style w:type="character" w:styleId="814" w:customStyle="1">
    <w:name w:val="Heading 6 Char"/>
    <w:basedOn w:val="780"/>
    <w:uiPriority w:val="9"/>
    <w:qFormat/>
    <w:rPr>
      <w:rFonts w:ascii="Arial" w:hAnsi="Arial" w:eastAsia="Arial" w:cs="Arial"/>
      <w:b/>
      <w:bCs/>
      <w:sz w:val="22"/>
      <w:szCs w:val="22"/>
    </w:rPr>
  </w:style>
  <w:style w:type="character" w:styleId="815" w:customStyle="1">
    <w:name w:val="Heading 7 Char"/>
    <w:basedOn w:val="780"/>
    <w:uiPriority w:val="9"/>
    <w:qFormat/>
    <w:rPr>
      <w:rFonts w:ascii="Arial" w:hAnsi="Arial" w:eastAsia="Arial" w:cs="Arial"/>
      <w:b/>
      <w:bCs/>
      <w:i/>
      <w:iCs/>
      <w:sz w:val="22"/>
      <w:szCs w:val="22"/>
    </w:rPr>
  </w:style>
  <w:style w:type="character" w:styleId="816" w:customStyle="1">
    <w:name w:val="Heading 8 Char"/>
    <w:basedOn w:val="780"/>
    <w:uiPriority w:val="9"/>
    <w:qFormat/>
    <w:rPr>
      <w:rFonts w:ascii="Arial" w:hAnsi="Arial" w:eastAsia="Arial" w:cs="Arial"/>
      <w:i/>
      <w:iCs/>
      <w:sz w:val="22"/>
      <w:szCs w:val="22"/>
    </w:rPr>
  </w:style>
  <w:style w:type="character" w:styleId="817" w:customStyle="1">
    <w:name w:val="Heading 9 Char"/>
    <w:basedOn w:val="780"/>
    <w:uiPriority w:val="9"/>
    <w:qFormat/>
    <w:rPr>
      <w:rFonts w:ascii="Arial" w:hAnsi="Arial" w:eastAsia="Arial" w:cs="Arial"/>
      <w:i/>
      <w:iCs/>
      <w:sz w:val="21"/>
      <w:szCs w:val="21"/>
    </w:rPr>
  </w:style>
  <w:style w:type="character" w:styleId="818" w:customStyle="1">
    <w:name w:val="Title Char"/>
    <w:basedOn w:val="780"/>
    <w:uiPriority w:val="10"/>
    <w:qFormat/>
    <w:rPr>
      <w:sz w:val="48"/>
      <w:szCs w:val="48"/>
    </w:rPr>
  </w:style>
  <w:style w:type="character" w:styleId="819" w:customStyle="1">
    <w:name w:val="Subtitle Char"/>
    <w:basedOn w:val="780"/>
    <w:uiPriority w:val="11"/>
    <w:qFormat/>
    <w:rPr>
      <w:sz w:val="24"/>
      <w:szCs w:val="24"/>
    </w:rPr>
  </w:style>
  <w:style w:type="character" w:styleId="820" w:customStyle="1">
    <w:name w:val="Quote Char"/>
    <w:uiPriority w:val="29"/>
    <w:qFormat/>
    <w:rPr>
      <w:i/>
    </w:rPr>
  </w:style>
  <w:style w:type="character" w:styleId="821" w:customStyle="1">
    <w:name w:val="Intense Quote Char"/>
    <w:uiPriority w:val="30"/>
    <w:qFormat/>
    <w:rPr>
      <w:i/>
    </w:rPr>
  </w:style>
  <w:style w:type="character" w:styleId="822" w:customStyle="1">
    <w:name w:val="Header Char"/>
    <w:basedOn w:val="780"/>
    <w:uiPriority w:val="99"/>
    <w:qFormat/>
  </w:style>
  <w:style w:type="character" w:styleId="823" w:customStyle="1">
    <w:name w:val="Footer Char"/>
    <w:basedOn w:val="780"/>
    <w:uiPriority w:val="99"/>
    <w:qFormat/>
  </w:style>
  <w:style w:type="character" w:styleId="824" w:customStyle="1">
    <w:name w:val="Caption Char"/>
    <w:uiPriority w:val="99"/>
    <w:qFormat/>
  </w:style>
  <w:style w:type="table" w:styleId="825"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6"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8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basedOn w:val="78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basedOn w:val="7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basedOn w:val="78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basedOn w:val="78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basedOn w:val="78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8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0" w:customStyle="1">
    <w:name w:val="Grid Table 6 Colorful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8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basedOn w:val="78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8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8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8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8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8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8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清单表 1 浅色1"/>
    <w:basedOn w:val="7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8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8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8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8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8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8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basedOn w:val="78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basedOn w:val="78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basedOn w:val="78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basedOn w:val="78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basedOn w:val="78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8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8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8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8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8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basedOn w:val="78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basedOn w:val="78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basedOn w:val="7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basedOn w:val="78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basedOn w:val="7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8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8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8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8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8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清单表 6 彩色1"/>
    <w:basedOn w:val="7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8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basedOn w:val="78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basedOn w:val="78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basedOn w:val="78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basedOn w:val="78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basedOn w:val="78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清单表 7 彩色1"/>
    <w:basedOn w:val="7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8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8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8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8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8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8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8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basedOn w:val="78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basedOn w:val="78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basedOn w:val="7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basedOn w:val="78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basedOn w:val="78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Footnote Text Char"/>
    <w:uiPriority w:val="99"/>
    <w:qFormat/>
    <w:rPr>
      <w:sz w:val="18"/>
    </w:rPr>
  </w:style>
  <w:style w:type="character" w:styleId="951" w:customStyle="1">
    <w:name w:val="Endnote Text Char"/>
    <w:uiPriority w:val="99"/>
    <w:qFormat/>
    <w:rPr>
      <w:sz w:val="20"/>
    </w:rPr>
  </w:style>
  <w:style w:type="paragraph" w:styleId="952" w:customStyle="1">
    <w:name w:val="TOC 标题1"/>
    <w:uiPriority w:val="39"/>
    <w:unhideWhenUsed/>
    <w:qFormat/>
    <w:rPr>
      <w:rFonts w:ascii="Times New Roman" w:hAnsi="Times New Roman" w:eastAsia="宋体" w:cs="Times New Roman"/>
      <w:lang w:val="en-US" w:eastAsia="zh-CN" w:bidi="ar-SA"/>
    </w:rPr>
  </w:style>
  <w:style w:type="paragraph" w:styleId="953">
    <w:name w:val="No Spacing"/>
    <w:uiPriority w:val="0"/>
    <w:qFormat/>
    <w:rPr>
      <w:rFonts w:ascii="Times New Roman" w:hAnsi="Times New Roman" w:eastAsia="宋体" w:cs="Times New Roman"/>
      <w:lang w:val="en-US" w:eastAsia="zh-CN" w:bidi="ar-SA"/>
    </w:rPr>
  </w:style>
  <w:style w:type="paragraph" w:styleId="954">
    <w:name w:val="Quote"/>
    <w:basedOn w:val="770"/>
    <w:next w:val="770"/>
    <w:uiPriority w:val="0"/>
    <w:qFormat/>
    <w:pPr>
      <w:ind w:left="720" w:right="720"/>
    </w:pPr>
    <w:rPr>
      <w:i/>
    </w:rPr>
  </w:style>
  <w:style w:type="paragraph" w:styleId="955">
    <w:name w:val="Intense Quote"/>
    <w:basedOn w:val="770"/>
    <w:next w:val="77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6" w:customStyle="1">
    <w:name w:val="TOC 标题11"/>
    <w:uiPriority w:val="0"/>
    <w:qFormat/>
    <w:rPr>
      <w:rFonts w:ascii="Times New Roman" w:hAnsi="Times New Roman" w:eastAsia="宋体" w:cs="Times New Roman"/>
      <w:lang w:val="en-US" w:eastAsia="zh-CN" w:bidi="ar-SA"/>
    </w:rPr>
  </w:style>
  <w:style w:type="paragraph" w:styleId="957" w:customStyle="1">
    <w:name w:val="标题 11"/>
    <w:basedOn w:val="770"/>
    <w:next w:val="770"/>
    <w:uiPriority w:val="0"/>
    <w:qFormat/>
    <w:pPr>
      <w:jc w:val="center"/>
      <w:keepNext/>
      <w:outlineLvl w:val="0"/>
    </w:pPr>
    <w:rPr>
      <w:rFonts w:ascii="楷体_GB2312" w:eastAsia="楷体_GB2312"/>
      <w:sz w:val="28"/>
      <w:szCs w:val="28"/>
    </w:rPr>
  </w:style>
  <w:style w:type="paragraph" w:styleId="958" w:customStyle="1">
    <w:name w:val="标题 21"/>
    <w:basedOn w:val="770"/>
    <w:next w:val="770"/>
    <w:uiPriority w:val="0"/>
    <w:qFormat/>
    <w:pPr>
      <w:jc w:val="center"/>
      <w:keepLines/>
      <w:keepNext/>
      <w:spacing w:before="260" w:after="260" w:line="415" w:lineRule="auto"/>
      <w:outlineLvl w:val="1"/>
    </w:pPr>
    <w:rPr>
      <w:rFonts w:ascii="Arial" w:hAnsi="Arial" w:eastAsia="幼圆"/>
      <w:b/>
      <w:bCs/>
      <w:sz w:val="44"/>
      <w:szCs w:val="44"/>
    </w:rPr>
  </w:style>
  <w:style w:type="paragraph" w:styleId="959" w:customStyle="1">
    <w:name w:val="标题 31"/>
    <w:basedOn w:val="770"/>
    <w:next w:val="770"/>
    <w:uiPriority w:val="0"/>
    <w:qFormat/>
    <w:pPr>
      <w:keepLines/>
      <w:keepNext/>
      <w:spacing w:before="260" w:after="260" w:line="415" w:lineRule="auto"/>
      <w:outlineLvl w:val="2"/>
    </w:pPr>
    <w:rPr>
      <w:b/>
      <w:bCs/>
      <w:sz w:val="32"/>
      <w:szCs w:val="32"/>
    </w:rPr>
  </w:style>
  <w:style w:type="paragraph" w:styleId="960" w:customStyle="1">
    <w:name w:val="标题 41"/>
    <w:basedOn w:val="770"/>
    <w:next w:val="961"/>
    <w:uiPriority w:val="0"/>
    <w:qFormat/>
    <w:pPr>
      <w:keepLines/>
      <w:keepNext/>
      <w:spacing w:before="280" w:after="290" w:line="377" w:lineRule="auto"/>
      <w:outlineLvl w:val="3"/>
    </w:pPr>
    <w:rPr>
      <w:rFonts w:ascii="Arial" w:hAnsi="Arial" w:eastAsia="黑体"/>
      <w:b/>
      <w:bCs/>
      <w:sz w:val="28"/>
      <w:szCs w:val="28"/>
    </w:rPr>
  </w:style>
  <w:style w:type="paragraph" w:styleId="961" w:customStyle="1">
    <w:name w:val="正文首行缩进1"/>
    <w:basedOn w:val="770"/>
    <w:uiPriority w:val="0"/>
    <w:qFormat/>
    <w:pPr>
      <w:ind w:firstLine="200"/>
      <w:spacing w:line="360" w:lineRule="auto"/>
    </w:pPr>
    <w:rPr>
      <w:rFonts w:ascii="仿宋_GB2312" w:eastAsia="仿宋_GB2312"/>
      <w:sz w:val="30"/>
      <w:szCs w:val="30"/>
    </w:rPr>
  </w:style>
  <w:style w:type="paragraph" w:styleId="962" w:customStyle="1">
    <w:name w:val="标题 51"/>
    <w:basedOn w:val="770"/>
    <w:next w:val="770"/>
    <w:uiPriority w:val="0"/>
    <w:qFormat/>
    <w:pPr>
      <w:keepNext/>
      <w:outlineLvl w:val="4"/>
    </w:pPr>
    <w:rPr>
      <w:rFonts w:ascii="宋体"/>
      <w:color w:val="000000"/>
      <w:sz w:val="28"/>
      <w:szCs w:val="28"/>
    </w:rPr>
  </w:style>
  <w:style w:type="paragraph" w:styleId="963" w:customStyle="1">
    <w:name w:val="标题 61"/>
    <w:basedOn w:val="770"/>
    <w:next w:val="770"/>
    <w:uiPriority w:val="0"/>
    <w:qFormat/>
    <w:pPr>
      <w:numPr>
        <w:ilvl w:val="5"/>
        <w:numId w:val="1"/>
      </w:numPr>
      <w:keepLines/>
      <w:keepNext/>
      <w:spacing w:before="240" w:after="64" w:line="319" w:lineRule="auto"/>
      <w:outlineLvl w:val="5"/>
    </w:pPr>
    <w:rPr>
      <w:rFonts w:ascii="Arial" w:hAnsi="Arial" w:eastAsia="黑体"/>
      <w:b/>
      <w:bCs/>
      <w:szCs w:val="24"/>
    </w:rPr>
  </w:style>
  <w:style w:type="paragraph" w:styleId="964" w:customStyle="1">
    <w:name w:val="标题 71"/>
    <w:basedOn w:val="770"/>
    <w:next w:val="770"/>
    <w:uiPriority w:val="0"/>
    <w:qFormat/>
    <w:pPr>
      <w:numPr>
        <w:ilvl w:val="6"/>
        <w:numId w:val="1"/>
      </w:numPr>
      <w:keepLines/>
      <w:keepNext/>
      <w:spacing w:before="240" w:after="64" w:line="319" w:lineRule="auto"/>
      <w:outlineLvl w:val="6"/>
    </w:pPr>
    <w:rPr>
      <w:b/>
      <w:bCs/>
      <w:szCs w:val="24"/>
    </w:rPr>
  </w:style>
  <w:style w:type="paragraph" w:styleId="965" w:customStyle="1">
    <w:name w:val="标题 81"/>
    <w:basedOn w:val="770"/>
    <w:next w:val="770"/>
    <w:uiPriority w:val="0"/>
    <w:qFormat/>
    <w:pPr>
      <w:numPr>
        <w:ilvl w:val="7"/>
        <w:numId w:val="1"/>
      </w:numPr>
      <w:keepLines/>
      <w:keepNext/>
      <w:spacing w:before="240" w:after="64" w:line="319" w:lineRule="auto"/>
      <w:outlineLvl w:val="7"/>
    </w:pPr>
    <w:rPr>
      <w:rFonts w:ascii="Arial" w:hAnsi="Arial" w:eastAsia="黑体"/>
      <w:szCs w:val="24"/>
    </w:rPr>
  </w:style>
  <w:style w:type="paragraph" w:styleId="966" w:customStyle="1">
    <w:name w:val="标题 91"/>
    <w:basedOn w:val="770"/>
    <w:next w:val="770"/>
    <w:uiPriority w:val="0"/>
    <w:qFormat/>
    <w:pPr>
      <w:numPr>
        <w:ilvl w:val="8"/>
        <w:numId w:val="1"/>
      </w:numPr>
      <w:keepLines/>
      <w:keepNext/>
      <w:spacing w:before="240" w:after="64" w:line="319" w:lineRule="auto"/>
      <w:outlineLvl w:val="8"/>
    </w:pPr>
    <w:rPr>
      <w:rFonts w:ascii="Arial" w:hAnsi="Arial" w:eastAsia="黑体"/>
      <w:sz w:val="20"/>
    </w:rPr>
  </w:style>
  <w:style w:type="paragraph" w:styleId="967" w:customStyle="1">
    <w:name w:val="列表 31"/>
    <w:basedOn w:val="770"/>
    <w:uiPriority w:val="0"/>
    <w:qFormat/>
    <w:pPr>
      <w:ind w:left="100" w:hanging="200"/>
    </w:pPr>
  </w:style>
  <w:style w:type="paragraph" w:styleId="968" w:customStyle="1">
    <w:name w:val="目录 71"/>
    <w:basedOn w:val="770"/>
    <w:next w:val="770"/>
    <w:uiPriority w:val="0"/>
    <w:qFormat/>
    <w:pPr>
      <w:ind w:left="1260"/>
      <w:jc w:val="left"/>
    </w:pPr>
  </w:style>
  <w:style w:type="paragraph" w:styleId="969" w:customStyle="1">
    <w:name w:val="正文缩进1"/>
    <w:basedOn w:val="770"/>
    <w:uiPriority w:val="0"/>
    <w:qFormat/>
    <w:pPr>
      <w:ind w:firstLine="420"/>
    </w:pPr>
    <w:rPr>
      <w:sz w:val="20"/>
    </w:rPr>
  </w:style>
  <w:style w:type="paragraph" w:styleId="970" w:customStyle="1">
    <w:name w:val="文档结构图1"/>
    <w:basedOn w:val="770"/>
    <w:uiPriority w:val="0"/>
    <w:qFormat/>
    <w:pPr>
      <w:shd w:val="clear" w:color="auto" w:fill="000080"/>
    </w:pPr>
    <w:rPr>
      <w:sz w:val="20"/>
    </w:rPr>
  </w:style>
  <w:style w:type="paragraph" w:styleId="971" w:customStyle="1">
    <w:name w:val="批注文字1"/>
    <w:basedOn w:val="770"/>
    <w:uiPriority w:val="0"/>
    <w:qFormat/>
    <w:pPr>
      <w:jc w:val="left"/>
    </w:pPr>
    <w:rPr>
      <w:sz w:val="20"/>
    </w:rPr>
  </w:style>
  <w:style w:type="paragraph" w:styleId="972" w:customStyle="1">
    <w:name w:val="正文文本 31"/>
    <w:basedOn w:val="770"/>
    <w:uiPriority w:val="0"/>
    <w:qFormat/>
    <w:rPr>
      <w:rFonts w:ascii="仿宋_GB2312" w:eastAsia="仿宋_GB2312"/>
      <w:sz w:val="32"/>
      <w:szCs w:val="32"/>
    </w:rPr>
  </w:style>
  <w:style w:type="paragraph" w:styleId="973" w:customStyle="1">
    <w:name w:val="正文文本1"/>
    <w:basedOn w:val="770"/>
    <w:uiPriority w:val="0"/>
    <w:qFormat/>
    <w:rPr>
      <w:rFonts w:ascii="楷体_GB2312" w:eastAsia="楷体_GB2312"/>
      <w:sz w:val="28"/>
      <w:szCs w:val="28"/>
    </w:rPr>
  </w:style>
  <w:style w:type="paragraph" w:styleId="974" w:customStyle="1">
    <w:name w:val="正文文本缩进1"/>
    <w:basedOn w:val="770"/>
    <w:uiPriority w:val="0"/>
    <w:qFormat/>
    <w:pPr>
      <w:ind w:firstLine="645"/>
    </w:pPr>
    <w:rPr>
      <w:rFonts w:ascii="楷体_GB2312" w:eastAsia="楷体_GB2312"/>
      <w:sz w:val="32"/>
      <w:szCs w:val="32"/>
    </w:rPr>
  </w:style>
  <w:style w:type="paragraph" w:styleId="975" w:customStyle="1">
    <w:name w:val="列表 21"/>
    <w:basedOn w:val="770"/>
    <w:uiPriority w:val="0"/>
    <w:qFormat/>
    <w:pPr>
      <w:ind w:left="100" w:hanging="200"/>
    </w:pPr>
  </w:style>
  <w:style w:type="paragraph" w:styleId="976" w:customStyle="1">
    <w:name w:val="目录 51"/>
    <w:basedOn w:val="770"/>
    <w:next w:val="770"/>
    <w:uiPriority w:val="0"/>
    <w:qFormat/>
    <w:pPr>
      <w:ind w:left="840"/>
      <w:jc w:val="left"/>
    </w:pPr>
  </w:style>
  <w:style w:type="paragraph" w:styleId="977" w:customStyle="1">
    <w:name w:val="目录 31"/>
    <w:basedOn w:val="770"/>
    <w:next w:val="770"/>
    <w:uiPriority w:val="0"/>
    <w:qFormat/>
    <w:pPr>
      <w:ind w:left="420"/>
      <w:jc w:val="left"/>
    </w:pPr>
    <w:rPr>
      <w:i/>
      <w:iCs/>
      <w:szCs w:val="24"/>
    </w:rPr>
  </w:style>
  <w:style w:type="paragraph" w:styleId="978" w:customStyle="1">
    <w:name w:val="纯文本1"/>
    <w:basedOn w:val="770"/>
    <w:uiPriority w:val="0"/>
    <w:qFormat/>
    <w:rPr>
      <w:rFonts w:ascii="宋体"/>
      <w:sz w:val="20"/>
    </w:rPr>
  </w:style>
  <w:style w:type="paragraph" w:styleId="979" w:customStyle="1">
    <w:name w:val="目录 81"/>
    <w:basedOn w:val="770"/>
    <w:next w:val="770"/>
    <w:uiPriority w:val="0"/>
    <w:qFormat/>
    <w:pPr>
      <w:ind w:left="1470"/>
      <w:jc w:val="left"/>
    </w:pPr>
  </w:style>
  <w:style w:type="paragraph" w:styleId="980" w:customStyle="1">
    <w:name w:val="日期1"/>
    <w:basedOn w:val="770"/>
    <w:next w:val="770"/>
    <w:uiPriority w:val="0"/>
    <w:qFormat/>
    <w:rPr>
      <w:szCs w:val="24"/>
    </w:rPr>
  </w:style>
  <w:style w:type="paragraph" w:styleId="981" w:customStyle="1">
    <w:name w:val="正文文本缩进 21"/>
    <w:basedOn w:val="770"/>
    <w:uiPriority w:val="0"/>
    <w:qFormat/>
    <w:pPr>
      <w:ind w:left="630" w:firstLine="645"/>
    </w:pPr>
    <w:rPr>
      <w:rFonts w:ascii="Arial" w:hAnsi="Arial" w:eastAsia="仿宋_GB2312"/>
      <w:sz w:val="32"/>
      <w:szCs w:val="32"/>
    </w:rPr>
  </w:style>
  <w:style w:type="paragraph" w:styleId="982" w:customStyle="1">
    <w:name w:val="批注框文本1"/>
    <w:basedOn w:val="770"/>
    <w:uiPriority w:val="0"/>
    <w:qFormat/>
    <w:rPr>
      <w:sz w:val="18"/>
      <w:szCs w:val="18"/>
    </w:rPr>
  </w:style>
  <w:style w:type="paragraph" w:styleId="983" w:customStyle="1">
    <w:name w:val="页脚1"/>
    <w:basedOn w:val="770"/>
    <w:uiPriority w:val="0"/>
    <w:qFormat/>
    <w:pPr>
      <w:jc w:val="left"/>
      <w:tabs>
        <w:tab w:val="center" w:pos="4153" w:leader="none"/>
        <w:tab w:val="right" w:pos="8306" w:leader="none"/>
      </w:tabs>
    </w:pPr>
    <w:rPr>
      <w:sz w:val="18"/>
      <w:szCs w:val="18"/>
    </w:rPr>
  </w:style>
  <w:style w:type="paragraph" w:styleId="984" w:customStyle="1">
    <w:name w:val="目录 11"/>
    <w:basedOn w:val="770"/>
    <w:next w:val="770"/>
    <w:uiPriority w:val="0"/>
    <w:qFormat/>
    <w:pPr>
      <w:jc w:val="left"/>
      <w:spacing w:before="120" w:after="120" w:line="400" w:lineRule="exact"/>
      <w:tabs>
        <w:tab w:val="right" w:pos="8720" w:leader="dot"/>
      </w:tabs>
    </w:pPr>
    <w:rPr>
      <w:rFonts w:ascii="宋体"/>
      <w:caps/>
      <w:szCs w:val="24"/>
    </w:rPr>
  </w:style>
  <w:style w:type="paragraph" w:styleId="985" w:customStyle="1">
    <w:name w:val="目录 41"/>
    <w:basedOn w:val="770"/>
    <w:next w:val="770"/>
    <w:uiPriority w:val="0"/>
    <w:qFormat/>
    <w:pPr>
      <w:ind w:left="630"/>
      <w:jc w:val="left"/>
    </w:pPr>
  </w:style>
  <w:style w:type="paragraph" w:styleId="986" w:customStyle="1">
    <w:name w:val="列表1"/>
    <w:basedOn w:val="770"/>
    <w:uiPriority w:val="0"/>
    <w:qFormat/>
    <w:pPr>
      <w:ind w:left="200" w:hanging="200"/>
    </w:pPr>
  </w:style>
  <w:style w:type="paragraph" w:styleId="987" w:customStyle="1">
    <w:name w:val="目录 61"/>
    <w:basedOn w:val="770"/>
    <w:next w:val="770"/>
    <w:uiPriority w:val="0"/>
    <w:qFormat/>
    <w:pPr>
      <w:ind w:left="1050"/>
      <w:jc w:val="left"/>
    </w:pPr>
  </w:style>
  <w:style w:type="paragraph" w:styleId="988" w:customStyle="1">
    <w:name w:val="正文文本缩进 31"/>
    <w:basedOn w:val="770"/>
    <w:uiPriority w:val="0"/>
    <w:qFormat/>
    <w:pPr>
      <w:ind w:left="645" w:firstLine="645"/>
    </w:pPr>
    <w:rPr>
      <w:rFonts w:ascii="Arial" w:hAnsi="Arial" w:eastAsia="仿宋_GB2312"/>
      <w:color w:val="ffff00"/>
      <w:sz w:val="32"/>
      <w:szCs w:val="32"/>
    </w:rPr>
  </w:style>
  <w:style w:type="paragraph" w:styleId="989" w:customStyle="1">
    <w:name w:val="图表目录1"/>
    <w:basedOn w:val="770"/>
    <w:next w:val="770"/>
    <w:uiPriority w:val="0"/>
    <w:qFormat/>
    <w:pPr>
      <w:ind w:left="840" w:hanging="420"/>
    </w:pPr>
  </w:style>
  <w:style w:type="paragraph" w:styleId="990" w:customStyle="1">
    <w:name w:val="目录 21"/>
    <w:basedOn w:val="770"/>
    <w:next w:val="770"/>
    <w:uiPriority w:val="0"/>
    <w:qFormat/>
    <w:pPr>
      <w:ind w:left="210"/>
      <w:jc w:val="left"/>
    </w:pPr>
    <w:rPr>
      <w:smallCaps/>
      <w:szCs w:val="24"/>
    </w:rPr>
  </w:style>
  <w:style w:type="paragraph" w:styleId="991" w:customStyle="1">
    <w:name w:val="目录 91"/>
    <w:basedOn w:val="770"/>
    <w:next w:val="770"/>
    <w:uiPriority w:val="0"/>
    <w:qFormat/>
    <w:pPr>
      <w:ind w:left="1680"/>
      <w:jc w:val="left"/>
    </w:pPr>
  </w:style>
  <w:style w:type="paragraph" w:styleId="992" w:customStyle="1">
    <w:name w:val="正文文本 21"/>
    <w:basedOn w:val="770"/>
    <w:uiPriority w:val="0"/>
    <w:qFormat/>
    <w:pPr>
      <w:jc w:val="center"/>
      <w:widowControl/>
    </w:pPr>
    <w:rPr>
      <w:rFonts w:ascii="楷体_GB2312" w:eastAsia="楷体_GB2312"/>
      <w:sz w:val="28"/>
      <w:szCs w:val="28"/>
    </w:rPr>
  </w:style>
  <w:style w:type="paragraph" w:styleId="993" w:customStyle="1">
    <w:name w:val="普通(网站)1"/>
    <w:basedOn w:val="770"/>
    <w:uiPriority w:val="0"/>
    <w:qFormat/>
    <w:pPr>
      <w:jc w:val="left"/>
      <w:spacing w:before="100" w:beforeAutospacing="1" w:after="100" w:afterAutospacing="1"/>
      <w:widowControl/>
    </w:pPr>
    <w:rPr>
      <w:rFonts w:ascii="宋体" w:cs="宋体"/>
      <w:szCs w:val="24"/>
    </w:rPr>
  </w:style>
  <w:style w:type="paragraph" w:styleId="994" w:customStyle="1">
    <w:name w:val="索引 11"/>
    <w:basedOn w:val="770"/>
    <w:next w:val="770"/>
    <w:uiPriority w:val="0"/>
    <w:qFormat/>
    <w:pPr>
      <w:spacing w:line="240" w:lineRule="atLeast"/>
    </w:pPr>
    <w:rPr>
      <w:b/>
      <w:bCs/>
    </w:rPr>
  </w:style>
  <w:style w:type="paragraph" w:styleId="995" w:customStyle="1">
    <w:name w:val="批注主题1"/>
    <w:basedOn w:val="971"/>
    <w:next w:val="971"/>
    <w:uiPriority w:val="0"/>
    <w:qFormat/>
    <w:rPr>
      <w:b/>
      <w:bCs/>
    </w:rPr>
  </w:style>
  <w:style w:type="paragraph" w:styleId="996" w:customStyle="1">
    <w:name w:val="正文首行缩进 21"/>
    <w:basedOn w:val="974"/>
    <w:uiPriority w:val="0"/>
    <w:qFormat/>
    <w:pPr>
      <w:ind w:firstLine="420"/>
      <w:spacing w:line="360" w:lineRule="auto"/>
    </w:pPr>
    <w:rPr>
      <w:rFonts w:ascii="宋体" w:eastAsia="宋体"/>
      <w:szCs w:val="20"/>
    </w:rPr>
  </w:style>
  <w:style w:type="paragraph" w:styleId="997" w:customStyle="1">
    <w:name w:val="列出段落1"/>
    <w:basedOn w:val="770"/>
    <w:uiPriority w:val="0"/>
    <w:qFormat/>
    <w:pPr>
      <w:contextualSpacing/>
      <w:ind w:left="720"/>
      <w:jc w:val="left"/>
      <w:widowControl/>
    </w:pPr>
    <w:rPr>
      <w:rFonts w:ascii="Calibri" w:hAnsi="Calibri"/>
      <w:szCs w:val="24"/>
      <w:lang w:bidi="en-US"/>
    </w:rPr>
  </w:style>
  <w:style w:type="paragraph" w:styleId="998" w:customStyle="1">
    <w:name w:val="二级目录"/>
    <w:next w:val="770"/>
    <w:uiPriority w:val="0"/>
    <w:qFormat/>
    <w:pPr>
      <w:ind w:left="907" w:hanging="907"/>
      <w:tabs>
        <w:tab w:val="left" w:pos="1145" w:leader="none"/>
      </w:tabs>
      <w:outlineLvl w:val="1"/>
    </w:pPr>
    <w:rPr>
      <w:rFonts w:ascii="Times New Roman" w:hAnsi="Times New Roman" w:eastAsia="宋体" w:cs="Times New Roman"/>
      <w:b/>
      <w:sz w:val="30"/>
      <w:szCs w:val="28"/>
      <w:lang w:val="en-US" w:eastAsia="zh-CN" w:bidi="ar-SA"/>
    </w:rPr>
  </w:style>
  <w:style w:type="paragraph" w:styleId="999" w:customStyle="1">
    <w:name w:val="xl27"/>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Cs w:val="24"/>
    </w:rPr>
  </w:style>
  <w:style w:type="paragraph" w:styleId="1000" w:customStyle="1">
    <w:name w:val="Char Char Char Char Char Char Char Char"/>
    <w:basedOn w:val="770"/>
    <w:uiPriority w:val="0"/>
    <w:qFormat/>
    <w:pPr>
      <w:jc w:val="left"/>
      <w:spacing w:after="160" w:line="240" w:lineRule="exact"/>
      <w:widowControl/>
    </w:pPr>
    <w:rPr>
      <w:rFonts w:ascii="Verdana" w:hAnsi="Verdana"/>
      <w:sz w:val="20"/>
      <w:szCs w:val="20"/>
    </w:rPr>
  </w:style>
  <w:style w:type="paragraph" w:styleId="1001" w:customStyle="1">
    <w:name w:val="Char Char Char Char"/>
    <w:basedOn w:val="970"/>
    <w:uiPriority w:val="0"/>
    <w:qFormat/>
    <w:pPr>
      <w:spacing w:line="360" w:lineRule="auto"/>
    </w:pPr>
    <w:rPr>
      <w:rFonts w:ascii="Tahoma" w:hAnsi="Tahoma"/>
      <w:sz w:val="24"/>
      <w:szCs w:val="24"/>
    </w:rPr>
  </w:style>
  <w:style w:type="paragraph" w:styleId="1002" w:customStyle="1">
    <w:name w:val="xl30"/>
    <w:basedOn w:val="770"/>
    <w:uiPriority w:val="0"/>
    <w:qFormat/>
    <w:pPr>
      <w:jc w:val="center"/>
      <w:spacing w:before="100" w:beforeAutospacing="1" w:after="100" w:afterAutospacing="1"/>
      <w:widowControl/>
    </w:pPr>
    <w:rPr>
      <w:rFonts w:ascii="宋体"/>
      <w:b/>
      <w:bCs/>
      <w:sz w:val="36"/>
      <w:szCs w:val="36"/>
    </w:rPr>
  </w:style>
  <w:style w:type="paragraph" w:styleId="1003" w:customStyle="1">
    <w:name w:val="xl2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szCs w:val="24"/>
    </w:rPr>
  </w:style>
  <w:style w:type="paragraph" w:styleId="1004" w:customStyle="1">
    <w:name w:val="font5"/>
    <w:basedOn w:val="770"/>
    <w:uiPriority w:val="0"/>
    <w:qFormat/>
    <w:pPr>
      <w:jc w:val="left"/>
      <w:spacing w:before="100" w:beforeAutospacing="1" w:after="100" w:afterAutospacing="1"/>
      <w:widowControl/>
    </w:pPr>
    <w:rPr>
      <w:rFonts w:ascii="宋体"/>
      <w:sz w:val="28"/>
      <w:szCs w:val="28"/>
    </w:rPr>
  </w:style>
  <w:style w:type="paragraph" w:styleId="1005" w:customStyle="1">
    <w:name w:val="xl29"/>
    <w:basedOn w:val="770"/>
    <w:uiPriority w:val="0"/>
    <w:qFormat/>
    <w:pPr>
      <w:jc w:val="left"/>
      <w:spacing w:before="100" w:beforeAutospacing="1" w:after="100" w:afterAutospacing="1"/>
      <w:widowControl/>
      <w:pBdr>
        <w:left w:val="single" w:color="000000" w:sz="4" w:space="0"/>
        <w:bottom w:val="single" w:color="000000" w:sz="4" w:space="0"/>
      </w:pBdr>
    </w:pPr>
    <w:rPr>
      <w:rFonts w:ascii="宋体"/>
      <w:szCs w:val="24"/>
    </w:rPr>
  </w:style>
  <w:style w:type="paragraph" w:styleId="1006" w:customStyle="1">
    <w:name w:val="Char"/>
    <w:basedOn w:val="970"/>
    <w:uiPriority w:val="0"/>
    <w:qFormat/>
    <w:rPr>
      <w:rFonts w:ascii="Tahoma" w:hAnsi="Tahoma"/>
      <w:sz w:val="24"/>
      <w:szCs w:val="24"/>
    </w:rPr>
  </w:style>
  <w:style w:type="paragraph" w:styleId="1007" w:customStyle="1">
    <w:name w:val="Body Text(ch)"/>
    <w:basedOn w:val="770"/>
    <w:next w:val="973"/>
    <w:uiPriority w:val="0"/>
    <w:qFormat/>
    <w:pPr>
      <w:spacing w:after="120"/>
    </w:pPr>
    <w:rPr>
      <w:rFonts w:ascii="宋体"/>
      <w:bCs/>
      <w:iCs/>
      <w:szCs w:val="24"/>
    </w:rPr>
  </w:style>
  <w:style w:type="paragraph" w:styleId="1008"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009" w:customStyle="1">
    <w:name w:val="font6"/>
    <w:basedOn w:val="770"/>
    <w:uiPriority w:val="0"/>
    <w:qFormat/>
    <w:pPr>
      <w:jc w:val="left"/>
      <w:spacing w:before="100" w:beforeAutospacing="1" w:after="100" w:afterAutospacing="1"/>
      <w:widowControl/>
    </w:pPr>
    <w:rPr>
      <w:rFonts w:ascii="宋体"/>
      <w:sz w:val="28"/>
      <w:szCs w:val="28"/>
      <w:u w:val="single"/>
    </w:rPr>
  </w:style>
  <w:style w:type="paragraph" w:styleId="101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1" w:customStyle="1">
    <w:name w:val="普通 (Web)"/>
    <w:basedOn w:val="770"/>
    <w:uiPriority w:val="0"/>
    <w:qFormat/>
    <w:pPr>
      <w:jc w:val="left"/>
      <w:spacing w:before="100" w:beforeAutospacing="1" w:after="100" w:afterAutospacing="1"/>
      <w:widowControl/>
    </w:pPr>
    <w:rPr>
      <w:rFonts w:ascii="宋体"/>
      <w:szCs w:val="24"/>
    </w:rPr>
  </w:style>
  <w:style w:type="paragraph" w:styleId="1012" w:customStyle="1">
    <w:name w:val="table_1stline"/>
    <w:basedOn w:val="770"/>
    <w:uiPriority w:val="0"/>
    <w:qFormat/>
    <w:pPr>
      <w:jc w:val="left"/>
      <w:spacing w:before="120"/>
      <w:widowControl/>
    </w:pPr>
    <w:rPr>
      <w:bCs/>
      <w:sz w:val="20"/>
      <w:szCs w:val="20"/>
      <w:lang w:val="de-DE" w:eastAsia="de-DE"/>
    </w:rPr>
  </w:style>
  <w:style w:type="paragraph" w:styleId="1013">
    <w:name w:val="List Paragraph"/>
    <w:basedOn w:val="770"/>
    <w:uiPriority w:val="0"/>
    <w:qFormat/>
    <w:pPr>
      <w:ind w:firstLine="420"/>
    </w:pPr>
  </w:style>
  <w:style w:type="paragraph" w:styleId="1014" w:customStyle="1">
    <w:name w:val="标题3"/>
    <w:basedOn w:val="770"/>
    <w:next w:val="770"/>
    <w:uiPriority w:val="0"/>
    <w:qFormat/>
    <w:pPr>
      <w:ind w:firstLine="624"/>
      <w:spacing w:line="590" w:lineRule="atLeast"/>
    </w:pPr>
    <w:rPr>
      <w:rFonts w:ascii="方正黑体_GBK" w:eastAsia="方正黑体_GBK"/>
      <w:sz w:val="32"/>
      <w:szCs w:val="32"/>
    </w:rPr>
  </w:style>
  <w:style w:type="paragraph" w:styleId="1015" w:customStyle="1">
    <w:name w:val="样式1"/>
    <w:basedOn w:val="770"/>
    <w:uiPriority w:val="0"/>
    <w:qFormat/>
    <w:pPr>
      <w:numPr>
        <w:ilvl w:val="0"/>
        <w:numId w:val="3"/>
      </w:numPr>
    </w:pPr>
    <w:rPr>
      <w:rFonts w:ascii="宋体"/>
    </w:rPr>
  </w:style>
  <w:style w:type="paragraph" w:styleId="1016" w:customStyle="1">
    <w:name w:val="xl25"/>
    <w:basedOn w:val="770"/>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17" w:customStyle="1">
    <w:name w:val="xl24"/>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Cs w:val="24"/>
    </w:rPr>
  </w:style>
  <w:style w:type="paragraph" w:styleId="1018" w:customStyle="1">
    <w:name w:val="普通正文"/>
    <w:basedOn w:val="770"/>
    <w:uiPriority w:val="0"/>
    <w:qFormat/>
    <w:pPr>
      <w:ind w:firstLine="480"/>
      <w:jc w:val="left"/>
      <w:spacing w:before="120" w:after="120" w:line="360" w:lineRule="auto"/>
    </w:pPr>
    <w:rPr>
      <w:rFonts w:ascii="Arial" w:hAnsi="Arial"/>
      <w:szCs w:val="24"/>
    </w:rPr>
  </w:style>
  <w:style w:type="paragraph" w:styleId="1019" w:customStyle="1">
    <w:name w:val="Char1"/>
    <w:basedOn w:val="770"/>
    <w:uiPriority w:val="0"/>
    <w:qFormat/>
    <w:pPr>
      <w:ind w:firstLine="200"/>
      <w:tabs>
        <w:tab w:val="left" w:pos="360" w:leader="none"/>
      </w:tabs>
    </w:pPr>
    <w:rPr>
      <w:sz w:val="28"/>
      <w:szCs w:val="30"/>
    </w:rPr>
  </w:style>
  <w:style w:type="paragraph" w:styleId="1020" w:customStyle="1">
    <w:name w:val="Char Char Char Char Char Char Char Char1"/>
    <w:basedOn w:val="770"/>
    <w:uiPriority w:val="0"/>
    <w:qFormat/>
    <w:pPr>
      <w:jc w:val="left"/>
      <w:spacing w:after="160" w:line="240" w:lineRule="exact"/>
      <w:widowControl/>
    </w:pPr>
    <w:rPr>
      <w:rFonts w:ascii="Verdana" w:hAnsi="Verdana"/>
      <w:sz w:val="20"/>
      <w:szCs w:val="20"/>
    </w:rPr>
  </w:style>
  <w:style w:type="paragraph" w:styleId="1021" w:customStyle="1">
    <w:name w:val="Char Char Char Char Char Char Char Char Char Char"/>
    <w:basedOn w:val="770"/>
    <w:uiPriority w:val="0"/>
    <w:qFormat/>
    <w:pPr>
      <w:spacing w:line="360" w:lineRule="auto"/>
    </w:pPr>
    <w:rPr>
      <w:szCs w:val="20"/>
    </w:rPr>
  </w:style>
  <w:style w:type="paragraph" w:styleId="1022" w:customStyle="1">
    <w:name w:val="图标"/>
    <w:basedOn w:val="770"/>
    <w:next w:val="770"/>
    <w:uiPriority w:val="0"/>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023" w:customStyle="1">
    <w:name w:val="4"/>
    <w:basedOn w:val="770"/>
    <w:next w:val="988"/>
    <w:uiPriority w:val="0"/>
    <w:qFormat/>
    <w:pPr>
      <w:ind w:firstLine="420"/>
      <w:spacing w:line="360" w:lineRule="auto"/>
    </w:pPr>
    <w:rPr>
      <w:color w:val="ff0000"/>
      <w:szCs w:val="24"/>
    </w:rPr>
  </w:style>
  <w:style w:type="paragraph" w:styleId="1024" w:customStyle="1">
    <w:name w:val="table_lines"/>
    <w:basedOn w:val="770"/>
    <w:uiPriority w:val="0"/>
    <w:qFormat/>
    <w:pPr>
      <w:jc w:val="left"/>
      <w:widowControl/>
    </w:pPr>
    <w:rPr>
      <w:sz w:val="20"/>
      <w:szCs w:val="20"/>
      <w:lang w:val="de-DE" w:eastAsia="de-DE"/>
    </w:rPr>
  </w:style>
  <w:style w:type="paragraph" w:styleId="1025" w:customStyle="1">
    <w:name w:val="font7"/>
    <w:basedOn w:val="770"/>
    <w:uiPriority w:val="0"/>
    <w:qFormat/>
    <w:pPr>
      <w:jc w:val="left"/>
      <w:spacing w:before="100" w:beforeAutospacing="1" w:after="100" w:afterAutospacing="1"/>
      <w:widowControl/>
    </w:pPr>
    <w:rPr>
      <w:rFonts w:ascii="宋体"/>
      <w:sz w:val="18"/>
      <w:szCs w:val="18"/>
    </w:rPr>
  </w:style>
  <w:style w:type="paragraph" w:styleId="1026" w:customStyle="1">
    <w:name w:val="xl26"/>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Cs w:val="24"/>
    </w:rPr>
  </w:style>
  <w:style w:type="paragraph" w:styleId="1027" w:customStyle="1">
    <w:name w:val="修订1"/>
    <w:uiPriority w:val="0"/>
    <w:qFormat/>
    <w:rPr>
      <w:rFonts w:ascii="Times New Roman" w:hAnsi="Times New Roman" w:eastAsia="宋体" w:cs="Times New Roman"/>
      <w:sz w:val="21"/>
      <w:szCs w:val="21"/>
      <w:lang w:val="en-US" w:eastAsia="zh-CN" w:bidi="ar-SA"/>
    </w:rPr>
  </w:style>
  <w:style w:type="paragraph" w:styleId="1028" w:customStyle="1">
    <w:name w:val="列出段落2"/>
    <w:basedOn w:val="770"/>
    <w:uiPriority w:val="0"/>
    <w:qFormat/>
    <w:pPr>
      <w:contextualSpacing/>
      <w:ind w:left="720"/>
      <w:jc w:val="left"/>
      <w:widowControl/>
    </w:pPr>
    <w:rPr>
      <w:rFonts w:ascii="Calibri" w:hAnsi="Calibri"/>
      <w:szCs w:val="24"/>
      <w:lang w:bidi="en-US"/>
    </w:rPr>
  </w:style>
  <w:style w:type="paragraph" w:styleId="1029" w:customStyle="1">
    <w:name w:val="Char Char Char Char1"/>
    <w:basedOn w:val="970"/>
    <w:uiPriority w:val="0"/>
    <w:qFormat/>
    <w:pPr>
      <w:spacing w:line="360" w:lineRule="auto"/>
    </w:pPr>
    <w:rPr>
      <w:rFonts w:ascii="Tahoma" w:hAnsi="Tahoma"/>
      <w:sz w:val="24"/>
      <w:szCs w:val="24"/>
    </w:rPr>
  </w:style>
  <w:style w:type="character" w:styleId="1030" w:customStyle="1">
    <w:name w:val="font21"/>
    <w:uiPriority w:val="0"/>
    <w:qFormat/>
    <w:rPr>
      <w:rFonts w:hint="eastAsia" w:ascii="宋体" w:hAnsi="宋体" w:eastAsia="宋体" w:cs="宋体"/>
      <w:b/>
      <w:bCs/>
      <w:color w:val="000000"/>
      <w:sz w:val="22"/>
      <w:szCs w:val="22"/>
      <w:u w:val="none"/>
    </w:rPr>
  </w:style>
  <w:style w:type="paragraph" w:styleId="1031" w:customStyle="1">
    <w:name w:val="ql-lineheight-150"/>
    <w:basedOn w:val="770"/>
    <w:uiPriority w:val="0"/>
    <w:qFormat/>
    <w:pPr>
      <w:jc w:val="left"/>
      <w:spacing w:before="100" w:beforeAutospacing="1" w:after="100" w:afterAutospacing="1"/>
      <w:widowControl/>
    </w:pPr>
    <w:rPr>
      <w:rFonts w:ascii="宋体" w:hAnsi="宋体" w:cs="宋体"/>
      <w:szCs w:val="24"/>
    </w:rPr>
  </w:style>
  <w:style w:type="paragraph" w:styleId="1032" w:customStyle="1">
    <w:name w:val="表格正文小五"/>
    <w:basedOn w:val="953"/>
    <w:uiPriority w:val="0"/>
    <w:qFormat/>
    <w:pPr>
      <w:spacing w:line="276" w:lineRule="auto"/>
      <w:widowControl w:val="off"/>
    </w:pPr>
    <w:rPr>
      <w:sz w:val="18"/>
      <w:szCs w:val="24"/>
    </w:rPr>
  </w:style>
  <w:style w:type="numbering" w:styleId="8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王建浩</cp:lastModifiedBy>
  <cp:revision>73</cp:revision>
  <dcterms:created xsi:type="dcterms:W3CDTF">2024-04-12T12:47:00Z</dcterms:created>
  <dcterms:modified xsi:type="dcterms:W3CDTF">2024-07-19T02:20:09Z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40BF3ECFAE7748E5887C60F758D0D717_13</vt:lpwstr>
  </property>
</Properties>
</file>