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rPr>
          <w:rFonts w:eastAsia="黑体"/>
          <w:b/>
          <w:bCs/>
          <w:sz w:val="84"/>
        </w:rPr>
      </w:pPr>
      <w:r>
        <w:rPr>
          <w:rFonts w:hint="eastAsia" w:eastAsia="黑体"/>
          <w:b/>
          <w:bCs/>
          <w:sz w:val="84"/>
        </w:rPr>
        <w:t xml:space="preserve">                    </w:t>
      </w:r>
      <w:r/>
    </w:p>
    <w:p>
      <w:pPr>
        <w:pStyle w:val="1019"/>
        <w:ind w:firstLine="0"/>
        <w:jc w:val="center"/>
        <w:rPr>
          <w:rFonts w:eastAsia="黑体"/>
          <w:b/>
          <w:bCs/>
          <w:sz w:val="84"/>
        </w:rPr>
      </w:pPr>
      <w:r>
        <w:rPr>
          <w:rFonts w:hint="eastAsia" w:eastAsia="黑体"/>
          <w:b/>
          <w:bCs/>
          <w:sz w:val="84"/>
        </w:rPr>
        <w:t xml:space="preserve">招　标　文　件</w:t>
      </w:r>
      <w:r/>
    </w:p>
    <w:p>
      <w:pPr>
        <w:pStyle w:val="1019"/>
        <w:ind w:firstLine="2249"/>
        <w:rPr>
          <w:b/>
          <w:bCs/>
          <w:sz w:val="32"/>
        </w:rPr>
      </w:pPr>
      <w:r>
        <w:rPr>
          <w:b/>
          <w:bCs/>
          <w:sz w:val="32"/>
        </w:rPr>
      </w:r>
      <w:r/>
    </w:p>
    <w:p>
      <w:pPr>
        <w:pStyle w:val="1019"/>
        <w:ind w:firstLine="2249"/>
        <w:rPr>
          <w:b/>
          <w:bCs/>
          <w:sz w:val="32"/>
        </w:rPr>
      </w:pPr>
      <w:r>
        <w:rPr>
          <w:b/>
          <w:bCs/>
          <w:sz w:val="32"/>
        </w:rPr>
      </w:r>
      <w:r/>
    </w:p>
    <w:p>
      <w:pPr>
        <w:pStyle w:val="1019"/>
        <w:ind w:firstLine="2249"/>
        <w:rPr>
          <w:b/>
          <w:bCs/>
          <w:sz w:val="32"/>
        </w:rPr>
      </w:pPr>
      <w:r>
        <w:rPr>
          <w:b/>
          <w:bCs/>
          <w:sz w:val="32"/>
        </w:rPr>
      </w:r>
      <w:r/>
    </w:p>
    <w:p>
      <w:pPr>
        <w:pStyle w:val="1019"/>
        <w:ind w:firstLine="2249"/>
        <w:rPr>
          <w:b/>
          <w:bCs/>
          <w:sz w:val="32"/>
        </w:rPr>
      </w:pPr>
      <w:r>
        <w:rPr>
          <w:b/>
          <w:bCs/>
          <w:sz w:val="32"/>
        </w:rPr>
      </w:r>
      <w:r/>
    </w:p>
    <w:p>
      <w:pPr>
        <w:pStyle w:val="1019"/>
        <w:ind w:left="2249" w:hanging="2249"/>
        <w:rPr>
          <w:b/>
          <w:bCs/>
          <w:sz w:val="32"/>
          <w:szCs w:val="32"/>
        </w:rPr>
      </w:pPr>
      <w:r>
        <w:rPr>
          <w:rFonts w:hint="eastAsia"/>
          <w:b/>
          <w:bCs/>
          <w:sz w:val="32"/>
        </w:rPr>
        <w:t xml:space="preserve">     项目名称：扬州市职业大学高邮湖校区信息化设备采购</w:t>
      </w:r>
      <w:r>
        <w:rPr>
          <w:rFonts w:hint="eastAsia"/>
          <w:b/>
          <w:bCs/>
          <w:sz w:val="32"/>
          <w:szCs w:val="32"/>
        </w:rPr>
        <w:t xml:space="preserve">项目</w:t>
      </w:r>
      <w:r/>
    </w:p>
    <w:p>
      <w:pPr>
        <w:pStyle w:val="1019"/>
        <w:ind w:firstLine="0"/>
        <w:rPr>
          <w:rFonts w:hint="default" w:eastAsia="宋体"/>
          <w:b/>
          <w:bCs/>
          <w:sz w:val="32"/>
          <w:szCs w:val="32"/>
          <w:lang w:val="en-US" w:eastAsia="zh-CN"/>
        </w:rPr>
      </w:pPr>
      <w:r>
        <w:rPr>
          <w:rFonts w:hint="eastAsia"/>
          <w:b/>
          <w:bCs/>
          <w:sz w:val="32"/>
          <w:szCs w:val="32"/>
        </w:rPr>
        <w:t xml:space="preserve">     项目编号：JSZC-321000-JZCG-G2024-00</w:t>
      </w:r>
      <w:r>
        <w:rPr>
          <w:rFonts w:hint="eastAsia"/>
          <w:b/>
          <w:bCs/>
          <w:sz w:val="32"/>
          <w:szCs w:val="32"/>
          <w:lang w:val="en-US" w:eastAsia="zh-CN"/>
        </w:rPr>
        <w:t xml:space="preserve">106</w:t>
      </w:r>
      <w:r/>
    </w:p>
    <w:p>
      <w:pPr>
        <w:pStyle w:val="1019"/>
        <w:ind w:firstLine="2249"/>
        <w:rPr>
          <w:b/>
          <w:bCs/>
          <w:sz w:val="32"/>
          <w:szCs w:val="32"/>
        </w:rPr>
      </w:pPr>
      <w:r>
        <w:rPr>
          <w:b/>
          <w:bCs/>
          <w:sz w:val="32"/>
          <w:szCs w:val="32"/>
        </w:rPr>
      </w:r>
      <w:r/>
    </w:p>
    <w:p>
      <w:pPr>
        <w:ind w:left="2100" w:firstLine="161"/>
        <w:rPr>
          <w:b/>
          <w:bCs/>
          <w:color w:val="ff0000"/>
          <w:sz w:val="30"/>
          <w:szCs w:val="30"/>
        </w:rPr>
      </w:pPr>
      <w:r>
        <w:rPr>
          <w:b/>
          <w:bCs/>
          <w:color w:val="ff0000"/>
          <w:sz w:val="30"/>
          <w:szCs w:val="30"/>
        </w:rPr>
      </w:r>
      <w:r/>
    </w:p>
    <w:p>
      <w:pPr>
        <w:pStyle w:val="1019"/>
        <w:ind w:firstLine="0"/>
        <w:spacing w:before="0" w:after="0"/>
        <w:rPr>
          <w:rFonts w:ascii="宋体" w:hAnsi="宋体"/>
        </w:rPr>
      </w:pPr>
      <w:r>
        <w:rPr>
          <w:rFonts w:ascii="宋体" w:hAnsi="宋体"/>
        </w:rPr>
      </w:r>
      <w:r/>
    </w:p>
    <w:p>
      <w:pPr>
        <w:pStyle w:val="1019"/>
        <w:ind w:firstLine="0"/>
        <w:spacing w:before="0" w:after="0"/>
        <w:rPr>
          <w:rFonts w:ascii="宋体" w:hAnsi="宋体"/>
        </w:rPr>
      </w:pPr>
      <w:r>
        <w:rPr>
          <w:rFonts w:ascii="宋体" w:hAnsi="宋体"/>
        </w:rPr>
      </w:r>
      <w:r/>
    </w:p>
    <w:p>
      <w:pPr>
        <w:pStyle w:val="1019"/>
        <w:ind w:firstLine="0"/>
        <w:spacing w:before="0" w:after="0"/>
        <w:rPr>
          <w:rFonts w:ascii="宋体" w:hAnsi="宋体"/>
        </w:rPr>
      </w:pPr>
      <w:r>
        <w:rPr>
          <w:rFonts w:ascii="宋体" w:hAnsi="宋体"/>
        </w:rPr>
      </w:r>
      <w:r/>
    </w:p>
    <w:p>
      <w:pPr>
        <w:pStyle w:val="1019"/>
        <w:ind w:firstLine="0"/>
        <w:spacing w:before="0" w:after="0"/>
        <w:rPr>
          <w:rFonts w:ascii="宋体" w:hAnsi="宋体"/>
        </w:rPr>
      </w:pPr>
      <w:r>
        <w:rPr>
          <w:rFonts w:ascii="宋体" w:hAnsi="宋体"/>
        </w:rPr>
      </w:r>
      <w:r/>
    </w:p>
    <w:p>
      <w:pPr>
        <w:pStyle w:val="1019"/>
        <w:ind w:firstLine="0"/>
        <w:spacing w:before="0" w:after="0"/>
        <w:rPr>
          <w:rFonts w:ascii="宋体" w:hAnsi="宋体"/>
        </w:rPr>
      </w:pPr>
      <w:r>
        <w:rPr>
          <w:rFonts w:ascii="宋体" w:hAnsi="宋体"/>
        </w:rPr>
      </w:r>
      <w:r/>
    </w:p>
    <w:p>
      <w:pPr>
        <w:pStyle w:val="1019"/>
        <w:ind w:firstLine="0"/>
        <w:spacing w:before="0" w:after="0"/>
        <w:rPr>
          <w:rFonts w:ascii="宋体" w:hAnsi="宋体"/>
        </w:rPr>
      </w:pPr>
      <w:r>
        <w:rPr>
          <w:rFonts w:ascii="宋体" w:hAnsi="宋体"/>
        </w:rPr>
      </w:r>
      <w:r/>
    </w:p>
    <w:p>
      <w:pPr>
        <w:pStyle w:val="1019"/>
        <w:ind w:firstLine="0"/>
        <w:jc w:val="center"/>
        <w:rPr>
          <w:b/>
          <w:bCs/>
          <w:sz w:val="32"/>
        </w:rPr>
      </w:pPr>
      <w:r>
        <w:rPr>
          <w:rFonts w:hint="eastAsia"/>
          <w:b/>
          <w:bCs/>
          <w:sz w:val="32"/>
        </w:rPr>
        <w:t xml:space="preserve">扬州市公共资源交易中心</w:t>
      </w:r>
      <w:r/>
    </w:p>
    <w:p>
      <w:pPr>
        <w:pStyle w:val="1019"/>
        <w:ind w:firstLine="0"/>
        <w:jc w:val="center"/>
        <w:rPr>
          <w:b/>
          <w:bCs/>
          <w:sz w:val="32"/>
        </w:rPr>
      </w:pPr>
      <w:r>
        <w:rPr>
          <w:b/>
          <w:bCs/>
          <w:sz w:val="32"/>
        </w:rPr>
        <w:t xml:space="preserve">2024</w:t>
      </w:r>
      <w:r>
        <w:rPr>
          <w:rFonts w:hint="eastAsia"/>
          <w:b/>
          <w:bCs/>
          <w:sz w:val="32"/>
        </w:rPr>
        <w:t xml:space="preserve">年7月</w:t>
      </w:r>
      <w:r/>
    </w:p>
    <w:p>
      <w:pPr>
        <w:pStyle w:val="1019"/>
        <w:ind w:firstLine="0"/>
        <w:jc w:val="center"/>
        <w:rPr>
          <w:rFonts w:ascii="仿宋_GB2312" w:eastAsia="仿宋_GB2312"/>
          <w:b/>
          <w:sz w:val="28"/>
        </w:rPr>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b/>
          <w:bCs/>
          <w:sz w:val="40"/>
          <w:szCs w:val="40"/>
        </w:rPr>
        <w:t xml:space="preserve">总  目  录</w:t>
      </w:r>
      <w:r/>
    </w:p>
    <w:p>
      <w:pPr>
        <w:pStyle w:val="1014"/>
        <w:tabs>
          <w:tab w:val="right" w:pos="8953" w:leader="dot"/>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"_Toc22326" \o "#_Toc22326" </w:instrText>
      </w:r>
      <w:r>
        <w:fldChar w:fldCharType="separate"/>
      </w:r>
      <w:r>
        <w:rPr>
          <w:rFonts w:hint="eastAsia"/>
          <w:bCs/>
        </w:rPr>
        <w:t xml:space="preserve">第一章  投标邀请</w:t>
      </w:r>
      <w:r>
        <w:tab/>
      </w:r>
      <w:r>
        <w:rPr>
          <w:rFonts w:hint="eastAsia"/>
        </w:rPr>
        <w:t xml:space="preserve">3</w:t>
      </w:r>
      <w:r>
        <w:rPr>
          <w:rFonts w:hint="eastAsia"/>
        </w:rPr>
        <w:fldChar w:fldCharType="end"/>
      </w:r>
      <w:r/>
    </w:p>
    <w:p>
      <w:pPr>
        <w:pStyle w:val="1014"/>
        <w:tabs>
          <w:tab w:val="right" w:pos="8953" w:leader="dot"/>
        </w:tabs>
      </w:pPr>
      <w:r>
        <w:fldChar w:fldCharType="begin"/>
      </w:r>
      <w:r>
        <w:instrText xml:space="preserve"> HYPERLINK \l "_Toc20518" \o "#_Toc20518" </w:instrText>
      </w:r>
      <w:r>
        <w:fldChar w:fldCharType="separate"/>
      </w:r>
      <w:r>
        <w:rPr>
          <w:rFonts w:hint="eastAsia"/>
          <w:bCs/>
        </w:rPr>
        <w:t xml:space="preserve">第二章  投标人须知</w:t>
      </w:r>
      <w:r>
        <w:tab/>
      </w:r>
      <w:r>
        <w:rPr>
          <w:rFonts w:hint="eastAsia"/>
        </w:rPr>
        <w:t xml:space="preserve">6</w:t>
      </w:r>
      <w:r>
        <w:rPr>
          <w:rFonts w:hint="eastAsia"/>
        </w:rPr>
        <w:fldChar w:fldCharType="end"/>
      </w:r>
      <w:r/>
    </w:p>
    <w:p>
      <w:pPr>
        <w:pStyle w:val="1014"/>
        <w:tabs>
          <w:tab w:val="right" w:pos="8953" w:leader="dot"/>
        </w:tabs>
      </w:pPr>
      <w:r>
        <w:fldChar w:fldCharType="begin"/>
      </w:r>
      <w:r>
        <w:instrText xml:space="preserve"> HYPERLINK \l "_Toc5617" \o "#_Toc5617" </w:instrText>
      </w:r>
      <w:r>
        <w:fldChar w:fldCharType="separate"/>
      </w:r>
      <w:r>
        <w:rPr>
          <w:rFonts w:hint="eastAsia"/>
          <w:bCs/>
        </w:rPr>
        <w:t xml:space="preserve">第三章  合同文本</w:t>
      </w:r>
      <w:r>
        <w:tab/>
      </w:r>
      <w:r>
        <w:rPr>
          <w:rFonts w:hint="eastAsia"/>
        </w:rPr>
        <w:t xml:space="preserve">1</w:t>
      </w:r>
      <w:r>
        <w:rPr>
          <w:rFonts w:hint="eastAsia"/>
        </w:rPr>
        <w:fldChar w:fldCharType="end"/>
      </w:r>
      <w:r>
        <w:rPr>
          <w:rFonts w:hint="eastAsia"/>
        </w:rPr>
        <w:t xml:space="preserve">6</w:t>
      </w:r>
      <w:r/>
    </w:p>
    <w:p>
      <w:pPr>
        <w:pStyle w:val="1014"/>
        <w:tabs>
          <w:tab w:val="right" w:pos="8953" w:leader="dot"/>
        </w:tabs>
      </w:pPr>
      <w:r>
        <w:fldChar w:fldCharType="begin"/>
      </w:r>
      <w:r>
        <w:instrText xml:space="preserve"> HYPERLINK \l "_Toc14893" \o "#_Toc14893" </w:instrText>
      </w:r>
      <w:r>
        <w:fldChar w:fldCharType="separate"/>
      </w:r>
      <w:r>
        <w:rPr>
          <w:rFonts w:hint="eastAsia"/>
          <w:bCs/>
        </w:rPr>
        <w:t xml:space="preserve">第四章 采购需求</w:t>
      </w:r>
      <w:r>
        <w:tab/>
      </w:r>
      <w:r>
        <w:rPr>
          <w:rFonts w:hint="eastAsia"/>
        </w:rPr>
        <w:t xml:space="preserve">2</w:t>
      </w:r>
      <w:r>
        <w:rPr>
          <w:rFonts w:hint="eastAsia"/>
        </w:rPr>
        <w:fldChar w:fldCharType="end"/>
      </w:r>
      <w:r>
        <w:rPr>
          <w:rFonts w:hint="eastAsia"/>
        </w:rPr>
        <w:t xml:space="preserve">0</w:t>
      </w:r>
      <w:r/>
    </w:p>
    <w:p>
      <w:pPr>
        <w:pStyle w:val="1014"/>
        <w:tabs>
          <w:tab w:val="right" w:pos="8953" w:leader="dot"/>
        </w:tabs>
        <w:rPr>
          <w:rFonts w:hint="eastAsia" w:eastAsia="宋体"/>
          <w:lang w:val="en-US" w:eastAsia="zh-CN"/>
        </w:rPr>
      </w:pPr>
      <w:r>
        <w:fldChar w:fldCharType="begin"/>
      </w:r>
      <w:r>
        <w:instrText xml:space="preserve"> HYPERLINK \l "_Toc5710" \o "#_Toc5710" </w:instrText>
      </w:r>
      <w:r>
        <w:fldChar w:fldCharType="separate"/>
      </w:r>
      <w:r>
        <w:rPr>
          <w:rFonts w:hint="eastAsia"/>
          <w:bCs/>
        </w:rPr>
        <w:t xml:space="preserve">第五章  评标方法与评标标准</w:t>
      </w:r>
      <w:r>
        <w:tab/>
      </w:r>
      <w:r>
        <w:rPr>
          <w:rFonts w:hint="eastAsia"/>
          <w:lang w:val="en-US" w:eastAsia="zh-CN"/>
        </w:rPr>
        <w:t xml:space="preserve">5</w:t>
      </w:r>
      <w:r>
        <w:rPr>
          <w:rFonts w:hint="eastAsia"/>
        </w:rPr>
        <w:fldChar w:fldCharType="end"/>
      </w:r>
      <w:r>
        <w:rPr>
          <w:rFonts w:hint="eastAsia"/>
          <w:lang w:val="en-US" w:eastAsia="zh-CN"/>
        </w:rPr>
        <w:t xml:space="preserve">4</w:t>
      </w:r>
      <w:r/>
    </w:p>
    <w:p>
      <w:pPr>
        <w:pStyle w:val="1014"/>
        <w:tabs>
          <w:tab w:val="right" w:pos="8953" w:leader="dot"/>
        </w:tabs>
        <w:rPr>
          <w:rFonts w:hint="default" w:eastAsia="宋体"/>
          <w:lang w:val="en-US" w:eastAsia="zh-CN"/>
        </w:rPr>
      </w:pPr>
      <w:r>
        <w:fldChar w:fldCharType="begin"/>
      </w:r>
      <w:r>
        <w:instrText xml:space="preserve"> HYPERLINK \l "_Toc27232" \o "#_Toc27232" </w:instrText>
      </w:r>
      <w:r>
        <w:fldChar w:fldCharType="separate"/>
      </w:r>
      <w:r>
        <w:rPr>
          <w:rFonts w:hint="eastAsia"/>
          <w:bCs/>
        </w:rPr>
        <w:t xml:space="preserve">第六章  投标文件格式</w:t>
      </w:r>
      <w:r>
        <w:tab/>
      </w:r>
      <w:r>
        <w:rPr>
          <w:rFonts w:hint="eastAsia"/>
        </w:rPr>
        <w:fldChar w:fldCharType="end"/>
      </w:r>
      <w:r>
        <w:rPr>
          <w:rFonts w:hint="eastAsia"/>
          <w:lang w:val="en-US" w:eastAsia="zh-CN"/>
        </w:rPr>
        <w:t xml:space="preserve">56</w:t>
      </w:r>
      <w:r/>
    </w:p>
    <w:p>
      <w:pPr>
        <w:jc w:val="left"/>
      </w:pPr>
      <w:r>
        <w:rPr>
          <w:rFonts w:hint="eastAsia"/>
        </w:rPr>
        <w:fldChar w:fldCharType="end"/>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9"/>
        <w:rPr>
          <w:b/>
          <w:bCs/>
        </w:rPr>
        <w:sectPr>
          <w:footerReference w:type="default" r:id="rId10"/>
          <w:footerReference w:type="first" r:id="rId11"/>
          <w:footnotePr/>
          <w:endnotePr/>
          <w:type w:val="nextPage"/>
          <w:pgSz w:w="11906" w:h="16838" w:orient="portrait"/>
          <w:pgMar w:top="1440" w:right="1797" w:bottom="1440" w:left="1797" w:header="851" w:footer="992" w:gutter="0"/>
          <w:cols w:num="1" w:sep="0" w:space="720" w:equalWidth="1"/>
          <w:docGrid w:linePitch="360"/>
        </w:sectPr>
      </w:pPr>
      <w:r/>
      <w:bookmarkStart w:id="6" w:name="_Toc669"/>
      <w:r/>
      <w:bookmarkStart w:id="7" w:name="_Toc22326"/>
      <w:r/>
      <w:r/>
    </w:p>
    <w:p>
      <w:pPr>
        <w:pStyle w:val="919"/>
        <w:rPr>
          <w:rFonts w:ascii="黑体" w:hAnsi="黑体" w:cs="黑体"/>
          <w:b/>
          <w:bCs/>
          <w:szCs w:val="44"/>
        </w:rPr>
      </w:pPr>
      <w:r>
        <w:rPr>
          <w:rFonts w:hint="eastAsia" w:ascii="黑体" w:hAnsi="黑体" w:cs="黑体"/>
          <w:b/>
          <w:bCs/>
          <w:szCs w:val="44"/>
        </w:rPr>
        <w:t xml:space="preserve">第一章  </w:t>
      </w:r>
      <w:bookmarkEnd w:id="0"/>
      <w:r>
        <w:rPr>
          <w:rFonts w:hint="eastAsia" w:ascii="黑体" w:hAnsi="黑体" w:cs="黑体"/>
          <w:b/>
          <w:bCs/>
          <w:szCs w:val="44"/>
        </w:rPr>
        <w:t xml:space="preserve">投标邀请</w:t>
      </w:r>
      <w:bookmarkEnd w:id="6"/>
      <w:r/>
      <w:bookmarkEnd w:id="7"/>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受[扬州市职业大学]的委托，扬州市公共资源交易中心就[扬州市职业大学高邮湖校区信息化设备采购]([JSZC-321000-JZCG-G2024-00</w:t>
      </w:r>
      <w:r>
        <w:rPr>
          <w:rFonts w:hint="eastAsia" w:ascii="宋体" w:hAnsi="宋体"/>
          <w:sz w:val="24"/>
          <w:szCs w:val="24"/>
          <w:lang w:val="en-US" w:eastAsia="zh-CN"/>
        </w:rPr>
        <w:t xml:space="preserve">106</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(扬州市职业大学高邮湖校区信息化设备)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hint="eastAsia" w:ascii="宋体" w:hAnsi="宋体"/>
          <w:color w:val="ff0000"/>
          <w:sz w:val="24"/>
          <w:szCs w:val="24"/>
          <w:u w:val="single"/>
        </w:rPr>
        <w:t xml:space="preserve">2024年7月24日09点30分</w:t>
      </w:r>
      <w:r>
        <w:rPr>
          <w:rFonts w:hint="eastAsia" w:ascii="宋体" w:hAnsi="宋体"/>
          <w:sz w:val="24"/>
          <w:szCs w:val="24"/>
        </w:rPr>
        <w:t xml:space="preserve">（北京时间）前递交投标文件。</w:t>
      </w:r>
      <w:r/>
    </w:p>
    <w:p>
      <w:pPr>
        <w:pStyle w:val="922"/>
        <w:spacing w:before="0" w:after="0" w:line="440" w:lineRule="exact"/>
        <w:rPr>
          <w:rFonts w:ascii="宋体" w:hAnsi="宋体" w:cs="宋体"/>
          <w:sz w:val="21"/>
          <w:szCs w:val="21"/>
        </w:rPr>
      </w:pPr>
      <w:r/>
      <w:bookmarkStart w:id="8" w:name="_Toc28359002"/>
      <w:r/>
      <w:bookmarkStart w:id="9" w:name="_Toc38985263"/>
      <w:r/>
      <w:bookmarkStart w:id="10" w:name="_Toc35393621"/>
      <w:r/>
      <w:bookmarkStart w:id="11" w:name="_Toc28359079"/>
      <w:r/>
      <w:bookmarkStart w:id="12" w:name="_Toc35393790"/>
      <w:r/>
      <w:bookmarkStart w:id="13" w:name="_Hlk24379207"/>
      <w:r/>
      <w:r/>
    </w:p>
    <w:p>
      <w:pPr>
        <w:pStyle w:val="922"/>
        <w:spacing w:before="0" w:after="0" w:line="440" w:lineRule="exact"/>
        <w:rPr>
          <w:rFonts w:ascii="宋体" w:hAnsi="宋体" w:cs="宋体"/>
        </w:rPr>
      </w:pPr>
      <w:r>
        <w:rPr>
          <w:rFonts w:hint="eastAsia" w:ascii="宋体" w:hAnsi="宋体" w:cs="宋体"/>
        </w:rPr>
        <w:t xml:space="preserve">一、项目基本情况</w:t>
      </w:r>
      <w:bookmarkEnd w:id="8"/>
      <w:r/>
      <w:bookmarkEnd w:id="9"/>
      <w:r/>
      <w:bookmarkEnd w:id="10"/>
      <w:r/>
      <w:bookmarkEnd w:id="11"/>
      <w:r/>
      <w:bookmarkEnd w:id="12"/>
      <w:r/>
      <w:r/>
    </w:p>
    <w:p>
      <w:r/>
      <w:r/>
    </w:p>
    <w:p>
      <w:pPr>
        <w:ind w:firstLine="480"/>
        <w:rPr>
          <w:rFonts w:hint="default" w:ascii="宋体" w:hAnsi="宋体" w:eastAsia="宋体" w:cs="宋体"/>
          <w:sz w:val="24"/>
          <w:szCs w:val="24"/>
          <w:lang w:val="en-US" w:eastAsia="zh-CN"/>
        </w:rPr>
      </w:pPr>
      <w:r>
        <w:rPr>
          <w:rFonts w:hint="eastAsia" w:ascii="宋体" w:hAnsi="宋体" w:cs="宋体"/>
          <w:sz w:val="24"/>
          <w:szCs w:val="24"/>
        </w:rPr>
        <w:t xml:space="preserve">1.项目编号：JSZC-321000-JZCG-G2024-00</w:t>
      </w:r>
      <w:r>
        <w:rPr>
          <w:rFonts w:hint="eastAsia" w:ascii="宋体" w:hAnsi="宋体" w:cs="宋体"/>
          <w:sz w:val="24"/>
          <w:szCs w:val="24"/>
          <w:lang w:val="en-US" w:eastAsia="zh-CN"/>
        </w:rPr>
        <w:t xml:space="preserve">106</w:t>
      </w:r>
      <w:r/>
    </w:p>
    <w:p>
      <w:pPr>
        <w:ind w:firstLine="480"/>
        <w:rPr>
          <w:rFonts w:ascii="宋体" w:hAnsi="宋体" w:cs="宋体"/>
          <w:sz w:val="24"/>
          <w:szCs w:val="24"/>
        </w:rPr>
      </w:pPr>
      <w:r>
        <w:rPr>
          <w:rFonts w:hint="eastAsia" w:ascii="宋体" w:hAnsi="宋体" w:cs="宋体"/>
          <w:sz w:val="24"/>
          <w:szCs w:val="24"/>
        </w:rPr>
        <w:t xml:space="preserve">2.项目名称：</w:t>
      </w:r>
      <w:bookmarkEnd w:id="13"/>
      <w:r>
        <w:rPr>
          <w:rFonts w:hint="eastAsia" w:ascii="宋体" w:hAnsi="宋体" w:cs="宋体"/>
          <w:sz w:val="24"/>
          <w:szCs w:val="24"/>
        </w:rPr>
        <w:t xml:space="preserve">扬州市职业大学高邮湖校区信息化设备采购项目</w:t>
      </w:r>
      <w:r/>
    </w:p>
    <w:p>
      <w:pPr>
        <w:ind w:firstLine="480"/>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color w:val="0000ff"/>
          <w:sz w:val="24"/>
          <w:szCs w:val="24"/>
        </w:rPr>
        <w:t xml:space="preserve">103.158</w:t>
      </w:r>
      <w:r>
        <w:rPr>
          <w:rFonts w:hint="eastAsia" w:ascii="宋体" w:hAnsi="宋体" w:cs="宋体"/>
          <w:color w:val="0000ff"/>
          <w:sz w:val="24"/>
          <w:szCs w:val="24"/>
          <w:highlight w:val="white"/>
        </w:rPr>
        <w:t xml:space="preserve">万元</w:t>
      </w:r>
      <w:r/>
    </w:p>
    <w:p>
      <w:pPr>
        <w:ind w:firstLine="480"/>
        <w:rPr>
          <w:rFonts w:ascii="宋体" w:hAnsi="宋体" w:cs="宋体"/>
          <w:sz w:val="24"/>
          <w:szCs w:val="24"/>
        </w:rPr>
      </w:pPr>
      <w:r>
        <w:rPr>
          <w:rFonts w:hint="eastAsia" w:ascii="宋体" w:hAnsi="宋体" w:cs="宋体"/>
          <w:sz w:val="24"/>
          <w:szCs w:val="24"/>
        </w:rPr>
        <w:t xml:space="preserve">4.本项目</w:t>
      </w:r>
      <w:r>
        <w:rPr>
          <w:rFonts w:hint="eastAsia" w:ascii="宋体" w:hAnsi="宋体" w:cs="宋体"/>
          <w:sz w:val="24"/>
          <w:szCs w:val="24"/>
          <w:u w:val="single"/>
        </w:rPr>
        <w:t xml:space="preserve">设定</w:t>
      </w:r>
      <w:r>
        <w:rPr>
          <w:rFonts w:hint="eastAsia" w:ascii="宋体" w:hAnsi="宋体" w:cs="宋体"/>
          <w:sz w:val="24"/>
          <w:szCs w:val="24"/>
        </w:rPr>
        <w:t xml:space="preserve">最高限价，最高限价为</w:t>
      </w:r>
      <w:r>
        <w:rPr>
          <w:rFonts w:hint="eastAsia" w:ascii="宋体" w:hAnsi="宋体" w:cs="宋体"/>
          <w:color w:val="0000ff"/>
          <w:sz w:val="24"/>
          <w:szCs w:val="24"/>
        </w:rPr>
        <w:t xml:space="preserve">103.158万元</w:t>
      </w:r>
      <w:r>
        <w:rPr>
          <w:rFonts w:hint="eastAsia" w:ascii="宋体" w:hAnsi="宋体" w:cs="宋体"/>
          <w:sz w:val="24"/>
          <w:szCs w:val="24"/>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5.采购需求（简介）：扬州市职业大学高邮湖校区拟采购普通话测试机房设备一批、网上巡查系统设备一批</w:t>
      </w:r>
      <w:r>
        <w:rPr>
          <w:rFonts w:hint="eastAsia" w:ascii="宋体" w:hAnsi="宋体" w:cs="宋体"/>
          <w:color w:val="0000ff"/>
          <w:sz w:val="24"/>
          <w:szCs w:val="24"/>
        </w:rPr>
        <w:t xml:space="preserve">（详细内容见本招标文件第四章）</w:t>
      </w:r>
      <w:r/>
    </w:p>
    <w:p>
      <w:pPr>
        <w:rPr>
          <w:rFonts w:ascii="宋体" w:hAnsi="宋体" w:cs="宋体"/>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6.合同履行期限：</w:t>
      </w:r>
      <w:r>
        <w:rPr>
          <w:rFonts w:hint="eastAsia" w:ascii="宋体" w:hAnsi="宋体" w:cs="宋体"/>
          <w:color w:val="0000ff"/>
          <w:sz w:val="24"/>
          <w:szCs w:val="24"/>
        </w:rPr>
        <w:t xml:space="preserve">自合同签订之日起30日内完成所有产品安装调试并交付。</w:t>
      </w:r>
      <w:r/>
    </w:p>
    <w:p>
      <w:pPr>
        <w:pStyle w:val="922"/>
        <w:spacing w:before="0" w:after="0" w:line="440" w:lineRule="exact"/>
        <w:rPr>
          <w:rFonts w:ascii="宋体" w:hAnsi="宋体" w:cs="宋体"/>
        </w:rPr>
      </w:pPr>
      <w:r/>
      <w:bookmarkStart w:id="14" w:name="_Toc38985264"/>
      <w:r/>
      <w:bookmarkStart w:id="15" w:name="_Toc35393791"/>
      <w:r/>
      <w:bookmarkStart w:id="16" w:name="_Toc28359003"/>
      <w:r/>
      <w:bookmarkStart w:id="17" w:name="_Toc28359080"/>
      <w:r/>
      <w:bookmarkStart w:id="18" w:name="_Toc35393622"/>
      <w:r>
        <w:rPr>
          <w:rFonts w:hint="eastAsia" w:ascii="宋体" w:hAnsi="宋体" w:cs="宋体"/>
        </w:rPr>
        <w:t xml:space="preserve">二、申请人的资格要求：</w:t>
      </w:r>
      <w:bookmarkEnd w:id="14"/>
      <w:r/>
      <w:bookmarkEnd w:id="15"/>
      <w:r/>
      <w:bookmarkEnd w:id="16"/>
      <w:r/>
      <w:bookmarkEnd w:id="17"/>
      <w:r/>
      <w:bookmarkEnd w:id="18"/>
      <w:r/>
      <w:r/>
    </w:p>
    <w:p>
      <w:r/>
      <w:r/>
    </w:p>
    <w:p>
      <w:pPr>
        <w:ind w:firstLine="482"/>
        <w:rPr>
          <w:rFonts w:ascii="宋体" w:hAnsi="宋体" w:cs="宋体"/>
          <w:sz w:val="24"/>
          <w:szCs w:val="24"/>
        </w:rPr>
      </w:pPr>
      <w:r/>
      <w:bookmarkStart w:id="19" w:name="_Toc35393623"/>
      <w:r/>
      <w:bookmarkStart w:id="20" w:name="_Toc35393792"/>
      <w:r/>
      <w:bookmarkStart w:id="21" w:name="_Toc38985265"/>
      <w:r/>
      <w:bookmarkStart w:id="22" w:name="_Toc28359081"/>
      <w:r/>
      <w:bookmarkStart w:id="23" w:name="_Toc28359004"/>
      <w:r>
        <w:rPr>
          <w:rFonts w:hint="eastAsia" w:ascii="宋体" w:hAnsi="宋体" w:cs="宋体"/>
          <w:sz w:val="24"/>
          <w:szCs w:val="24"/>
        </w:rPr>
        <w:t xml:space="preserve">（一）通用资格要求</w:t>
      </w:r>
      <w:r/>
    </w:p>
    <w:p>
      <w:pPr>
        <w:ind w:firstLine="482"/>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2"/>
        <w:rPr>
          <w:rFonts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2"/>
        <w:rPr>
          <w:rFonts w:ascii="宋体" w:hAnsi="宋体" w:cs="宋体"/>
          <w:sz w:val="24"/>
          <w:szCs w:val="24"/>
        </w:rPr>
      </w:pPr>
      <w:r>
        <w:rPr>
          <w:rFonts w:hint="eastAsia" w:ascii="宋体" w:hAnsi="宋体" w:cs="宋体"/>
          <w:sz w:val="24"/>
          <w:szCs w:val="24"/>
        </w:rPr>
        <w:t xml:space="preserve">1.2上一年度的财务状况报告（成立不满一年无需提供）；</w:t>
      </w:r>
      <w:r/>
    </w:p>
    <w:p>
      <w:pPr>
        <w:ind w:firstLine="482"/>
        <w:rPr>
          <w:rFonts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rPr>
          <w:rFonts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2"/>
        <w:rPr>
          <w:rFonts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2"/>
        <w:rPr>
          <w:rFonts w:ascii="宋体" w:hAnsi="宋体" w:cs="宋体"/>
          <w:sz w:val="24"/>
          <w:szCs w:val="24"/>
        </w:rPr>
      </w:pPr>
      <w:r>
        <w:rPr>
          <w:rFonts w:hint="eastAsia" w:ascii="宋体" w:hAnsi="宋体" w:cs="宋体"/>
          <w:sz w:val="24"/>
          <w:szCs w:val="24"/>
        </w:rPr>
        <w:t xml:space="preserve">1.6供应商信用承诺函。</w:t>
      </w:r>
      <w:r/>
    </w:p>
    <w:p>
      <w:pPr>
        <w:ind w:firstLine="482"/>
        <w:rPr>
          <w:rFonts w:ascii="宋体" w:hAnsi="宋体" w:cs="宋体"/>
          <w:color w:val="0000ff"/>
          <w:sz w:val="24"/>
          <w:szCs w:val="24"/>
        </w:rPr>
      </w:pPr>
      <w:r>
        <w:rPr>
          <w:rFonts w:hint="eastAsia" w:ascii="宋体" w:hAnsi="宋体" w:cs="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2"/>
        <w:rPr>
          <w:rFonts w:ascii="宋体" w:hAnsi="宋体" w:cs="宋体"/>
          <w:color w:val="0000ff"/>
          <w:sz w:val="24"/>
          <w:szCs w:val="24"/>
        </w:rPr>
      </w:pPr>
      <w:r>
        <w:rPr>
          <w:rFonts w:hint="eastAsia" w:ascii="宋体" w:hAnsi="宋体" w:cs="宋体"/>
          <w:color w:val="0000ff"/>
          <w:sz w:val="24"/>
          <w:szCs w:val="24"/>
        </w:rPr>
        <w:t xml:space="preserve">3.落实政府采购政策需满足的资格要求：无</w:t>
      </w:r>
      <w:r/>
    </w:p>
    <w:p>
      <w:pPr>
        <w:ind w:firstLine="482"/>
        <w:rPr>
          <w:rFonts w:ascii="宋体" w:hAnsi="宋体" w:cs="宋体"/>
          <w:sz w:val="24"/>
          <w:szCs w:val="24"/>
          <w:highlight w:val="yellow"/>
        </w:rPr>
      </w:pPr>
      <w:r>
        <w:rPr>
          <w:rFonts w:hint="eastAsia" w:ascii="宋体" w:hAnsi="宋体" w:cs="宋体"/>
          <w:sz w:val="24"/>
          <w:szCs w:val="24"/>
        </w:rPr>
        <w:t xml:space="preserve">4.本项目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ind w:firstLine="482"/>
        <w:rPr>
          <w:rFonts w:ascii="宋体" w:hAnsi="宋体" w:cs="宋体"/>
          <w:sz w:val="24"/>
          <w:szCs w:val="24"/>
        </w:rPr>
      </w:pPr>
      <w:r>
        <w:rPr>
          <w:rFonts w:hint="eastAsia" w:ascii="宋体" w:hAnsi="宋体" w:cs="宋体"/>
          <w:sz w:val="24"/>
          <w:szCs w:val="24"/>
        </w:rPr>
        <w:t xml:space="preserve">5.本项目不接受进口产品投标。</w:t>
      </w:r>
      <w:r/>
    </w:p>
    <w:p>
      <w:pPr>
        <w:ind w:firstLine="482"/>
        <w:rPr>
          <w:rFonts w:ascii="宋体" w:hAnsi="宋体" w:cs="宋体"/>
          <w:sz w:val="24"/>
          <w:szCs w:val="24"/>
        </w:rPr>
      </w:pPr>
      <w:r>
        <w:rPr>
          <w:rFonts w:hint="eastAsia" w:ascii="宋体" w:hAnsi="宋体" w:cs="宋体"/>
          <w:sz w:val="24"/>
          <w:szCs w:val="24"/>
        </w:rPr>
        <w:t xml:space="preserve">（二）本项目的特定资格要求：无</w:t>
      </w:r>
      <w:r/>
    </w:p>
    <w:p>
      <w:pPr>
        <w:pStyle w:val="922"/>
        <w:ind w:firstLine="498"/>
        <w:spacing w:before="0" w:after="0" w:line="440" w:lineRule="exact"/>
        <w:rPr>
          <w:rFonts w:ascii="宋体" w:hAnsi="宋体" w:cs="宋体"/>
        </w:rPr>
      </w:pPr>
      <w:r>
        <w:rPr>
          <w:rFonts w:hint="eastAsia" w:ascii="宋体" w:hAnsi="宋体" w:cs="宋体"/>
        </w:rPr>
        <w:t xml:space="preserve">三、获取招标文件</w:t>
      </w:r>
      <w:bookmarkEnd w:id="19"/>
      <w:r/>
      <w:bookmarkEnd w:id="20"/>
      <w:r/>
      <w:bookmarkEnd w:id="21"/>
      <w:r/>
      <w:bookmarkEnd w:id="22"/>
      <w:r/>
      <w:bookmarkEnd w:id="23"/>
      <w:r/>
      <w:r/>
    </w:p>
    <w:p>
      <w:r/>
      <w:r/>
    </w:p>
    <w:p>
      <w:pPr>
        <w:ind w:firstLine="540"/>
        <w:spacing w:line="360" w:lineRule="auto"/>
      </w:pPr>
      <w:r/>
      <w:bookmarkStart w:id="24" w:name="_Toc28359082"/>
      <w:r/>
      <w:bookmarkStart w:id="25" w:name="_Toc28359005"/>
      <w:r/>
      <w:bookmarkStart w:id="26" w:name="_Toc35393624"/>
      <w:r/>
      <w:bookmarkStart w:id="27" w:name="_Toc35393793"/>
      <w:r/>
      <w:bookmarkStart w:id="28" w:name="_Toc38985266"/>
      <w:r>
        <w:rPr>
          <w:rFonts w:hint="eastAsia" w:ascii="宋体" w:hAnsi="宋体" w:cs="宋体"/>
          <w:sz w:val="24"/>
          <w:szCs w:val="24"/>
        </w:rPr>
        <w:t xml:space="preserve">1.</w:t>
      </w:r>
      <w:r>
        <w:rPr>
          <w:rFonts w:hint="eastAsia" w:ascii="宋体" w:hAnsi="宋体" w:cs="宋体"/>
          <w:color w:val="ff0000"/>
          <w:sz w:val="24"/>
          <w:szCs w:val="24"/>
        </w:rPr>
        <w:t xml:space="preserve">时间：2024年7月3日至2024年7月24日</w:t>
      </w:r>
      <w:r>
        <w:rPr>
          <w:rFonts w:hint="eastAsia" w:ascii="宋体" w:hAnsi="宋体" w:cs="宋体"/>
          <w:sz w:val="24"/>
          <w:szCs w:val="24"/>
        </w:rPr>
        <w:t xml:space="preserve">，每日上午00:00-12:00，下午12:00-23：59（北京时间，法定节假日除外）</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rPr>
      </w:pPr>
      <w:r>
        <w:rPr>
          <w:rFonts w:hint="eastAsia" w:ascii="宋体" w:hAnsi="宋体" w:cs="宋体"/>
          <w:sz w:val="24"/>
          <w:szCs w:val="24"/>
        </w:rPr>
        <w:t xml:space="preserve">4:售价：0.00元</w:t>
      </w:r>
      <w:r/>
    </w:p>
    <w:p>
      <w:pPr>
        <w:pStyle w:val="922"/>
        <w:ind w:firstLine="498"/>
        <w:spacing w:before="0" w:after="0" w:line="440" w:lineRule="exact"/>
        <w:rPr>
          <w:rFonts w:ascii="宋体" w:hAnsi="宋体" w:cs="宋体"/>
        </w:rPr>
      </w:pPr>
      <w:r>
        <w:rPr>
          <w:rFonts w:hint="eastAsia" w:ascii="宋体" w:hAnsi="宋体" w:cs="宋体"/>
        </w:rPr>
        <w:t xml:space="preserve">四、提交投标文件</w:t>
      </w:r>
      <w:bookmarkEnd w:id="24"/>
      <w:r/>
      <w:bookmarkEnd w:id="25"/>
      <w:r>
        <w:rPr>
          <w:rFonts w:hint="eastAsia" w:ascii="宋体" w:hAnsi="宋体" w:cs="宋体"/>
        </w:rPr>
        <w:t xml:space="preserve">截止时间、开标时间和地点</w:t>
      </w:r>
      <w:bookmarkEnd w:id="26"/>
      <w:r/>
      <w:bookmarkEnd w:id="27"/>
      <w:r/>
      <w:bookmarkEnd w:id="28"/>
      <w:r/>
      <w:r/>
    </w:p>
    <w:p>
      <w:r/>
      <w:r/>
    </w:p>
    <w:p>
      <w:pPr>
        <w:ind w:firstLine="480"/>
        <w:rPr>
          <w:rFonts w:ascii="宋体" w:hAnsi="宋体"/>
          <w:bCs/>
          <w:sz w:val="24"/>
          <w:szCs w:val="24"/>
          <w:u w:val="single"/>
        </w:rPr>
      </w:pPr>
      <w:r/>
      <w:bookmarkStart w:id="29" w:name="_Toc28359084"/>
      <w:r/>
      <w:bookmarkStart w:id="30" w:name="_Toc35393794"/>
      <w:r/>
      <w:bookmarkStart w:id="31" w:name="_Toc38985267"/>
      <w:r/>
      <w:bookmarkStart w:id="32" w:name="_Toc28359007"/>
      <w:r/>
      <w:bookmarkStart w:id="33" w:name="_Toc35393625"/>
      <w:r>
        <w:rPr>
          <w:rFonts w:hint="eastAsia" w:ascii="宋体" w:hAnsi="宋体"/>
          <w:bCs/>
          <w:sz w:val="24"/>
          <w:szCs w:val="24"/>
          <w:u w:val="single"/>
        </w:rPr>
        <w:t xml:space="preserve">1.</w:t>
      </w:r>
      <w:r>
        <w:rPr>
          <w:rFonts w:ascii="宋体" w:hAnsi="宋体"/>
          <w:bCs/>
          <w:sz w:val="24"/>
          <w:szCs w:val="24"/>
          <w:u w:val="single"/>
        </w:rPr>
        <w:t xml:space="preserve">2024</w:t>
      </w:r>
      <w:r>
        <w:rPr>
          <w:rFonts w:hint="eastAsia" w:ascii="宋体" w:hAnsi="宋体"/>
          <w:bCs/>
          <w:color w:val="ff0000"/>
          <w:sz w:val="24"/>
          <w:szCs w:val="24"/>
          <w:u w:val="single"/>
        </w:rPr>
        <w:t xml:space="preserve">年7月24日</w:t>
      </w:r>
      <w:r>
        <w:rPr>
          <w:rFonts w:ascii="宋体" w:hAnsi="宋体"/>
          <w:bCs/>
          <w:color w:val="ff0000"/>
          <w:sz w:val="24"/>
          <w:szCs w:val="24"/>
          <w:u w:val="single"/>
        </w:rPr>
        <w:t xml:space="preserve">09</w:t>
      </w:r>
      <w:r>
        <w:rPr>
          <w:rFonts w:hint="eastAsia" w:ascii="宋体" w:hAnsi="宋体"/>
          <w:bCs/>
          <w:color w:val="ff0000"/>
          <w:sz w:val="24"/>
          <w:szCs w:val="24"/>
          <w:u w:val="single"/>
        </w:rPr>
        <w:t xml:space="preserve">点</w:t>
      </w:r>
      <w:r>
        <w:rPr>
          <w:rFonts w:ascii="宋体" w:hAnsi="宋体"/>
          <w:bCs/>
          <w:color w:val="ff0000"/>
          <w:sz w:val="24"/>
          <w:szCs w:val="24"/>
          <w:u w:val="single"/>
        </w:rPr>
        <w:t xml:space="preserve">30</w:t>
      </w:r>
      <w:r>
        <w:rPr>
          <w:rFonts w:hint="eastAsia" w:ascii="宋体" w:hAnsi="宋体"/>
          <w:bCs/>
          <w:color w:val="ff0000"/>
          <w:sz w:val="24"/>
          <w:szCs w:val="24"/>
          <w:u w:val="single"/>
        </w:rPr>
        <w:t xml:space="preserve">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2.地点：“苏采云”平台。</w:t>
      </w:r>
      <w:r/>
    </w:p>
    <w:p>
      <w:pPr>
        <w:pStyle w:val="922"/>
        <w:ind w:firstLine="498"/>
        <w:spacing w:before="0" w:after="0" w:line="440" w:lineRule="exact"/>
        <w:rPr>
          <w:rFonts w:ascii="宋体" w:hAnsi="宋体" w:cs="宋体"/>
        </w:rPr>
      </w:pPr>
      <w:r>
        <w:rPr>
          <w:rFonts w:hint="eastAsia" w:ascii="宋体" w:hAnsi="宋体" w:cs="宋体"/>
        </w:rPr>
        <w:t xml:space="preserve">五、公告期限</w:t>
      </w:r>
      <w:bookmarkEnd w:id="29"/>
      <w:r/>
      <w:bookmarkEnd w:id="30"/>
      <w:r/>
      <w:bookmarkEnd w:id="31"/>
      <w:r/>
      <w:bookmarkEnd w:id="32"/>
      <w:r/>
      <w:bookmarkEnd w:id="33"/>
      <w:r/>
      <w:r/>
    </w:p>
    <w:p>
      <w:r/>
      <w:r/>
    </w:p>
    <w:p>
      <w:pPr>
        <w:ind w:firstLine="480"/>
        <w:rPr>
          <w:rFonts w:ascii="宋体" w:hAnsi="宋体" w:cs="宋体"/>
          <w:sz w:val="24"/>
          <w:szCs w:val="24"/>
        </w:rPr>
      </w:pPr>
      <w:r/>
      <w:bookmarkStart w:id="34" w:name="_Toc38985268"/>
      <w:r/>
      <w:bookmarkStart w:id="35" w:name="_Toc35393626"/>
      <w:r/>
      <w:bookmarkStart w:id="36" w:name="_Toc35393795"/>
      <w:r>
        <w:rPr>
          <w:rFonts w:hint="eastAsia" w:ascii="宋体" w:hAnsi="宋体" w:cs="宋体"/>
          <w:sz w:val="24"/>
          <w:szCs w:val="24"/>
        </w:rPr>
        <w:t xml:space="preserve">自本公告发布之日起5个工作日。</w:t>
      </w:r>
      <w:bookmarkEnd w:id="34"/>
      <w:bookmarkEnd w:id="35"/>
      <w:bookmarkEnd w:id="36"/>
      <w:r/>
    </w:p>
    <w:p>
      <w:pPr>
        <w:ind w:firstLine="498"/>
        <w:keepLines/>
        <w:keepNext/>
        <w:spacing w:before="145" w:after="145" w:line="360" w:lineRule="auto"/>
        <w:rPr>
          <w:b/>
          <w:bCs/>
          <w:sz w:val="32"/>
          <w:szCs w:val="32"/>
        </w:rPr>
        <w:outlineLvl w:val="2"/>
      </w:pPr>
      <w:r>
        <w:rPr>
          <w:rFonts w:hint="eastAsia"/>
          <w:b/>
          <w:bCs/>
          <w:sz w:val="32"/>
          <w:szCs w:val="32"/>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45" w:after="145" w:line="360" w:lineRule="auto"/>
        <w:rPr>
          <w:b/>
          <w:bCs/>
          <w:sz w:val="32"/>
          <w:szCs w:val="32"/>
        </w:rPr>
        <w:outlineLvl w:val="2"/>
      </w:pPr>
      <w:r/>
      <w:bookmarkStart w:id="37" w:name="_Toc38985269"/>
      <w:r/>
      <w:bookmarkStart w:id="38" w:name="_Toc35393627"/>
      <w:r/>
      <w:bookmarkStart w:id="39" w:name="_Toc28359085"/>
      <w:r/>
      <w:bookmarkStart w:id="40" w:name="_Toc28359008"/>
      <w:r/>
      <w:bookmarkStart w:id="41" w:name="_Toc35393796"/>
      <w:r>
        <w:rPr>
          <w:rFonts w:hint="eastAsia"/>
          <w:b/>
          <w:bCs/>
          <w:sz w:val="32"/>
          <w:szCs w:val="32"/>
        </w:rPr>
        <w:t xml:space="preserve">七、本次招标联系方式</w:t>
      </w:r>
      <w:bookmarkEnd w:id="37"/>
      <w:r/>
      <w:bookmarkEnd w:id="38"/>
      <w:r/>
      <w:bookmarkEnd w:id="39"/>
      <w:r/>
      <w:bookmarkEnd w:id="40"/>
      <w:r/>
      <w:bookmarkEnd w:id="41"/>
      <w:r/>
      <w:r/>
    </w:p>
    <w:p>
      <w:pPr>
        <w:ind w:left="1079" w:hanging="300"/>
        <w:jc w:val="left"/>
        <w:spacing w:line="360" w:lineRule="auto"/>
        <w:rPr>
          <w:rFonts w:ascii="宋体" w:hAnsi="宋体"/>
          <w:sz w:val="24"/>
          <w:szCs w:val="24"/>
        </w:rPr>
      </w:pPr>
      <w:r>
        <w:rPr>
          <w:rFonts w:hint="eastAsia" w:ascii="宋体" w:hAnsi="宋体"/>
          <w:sz w:val="24"/>
          <w:szCs w:val="24"/>
        </w:rPr>
        <w:t xml:space="preserve">1.采购人信息</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扬州市职业大学</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扬州市文昌西路458号</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联系人：孔富新 </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0514-87697823</w:t>
      </w:r>
      <w:r>
        <w:rPr>
          <w:rFonts w:hint="eastAsia" w:ascii="宋体" w:hAnsi="宋体"/>
          <w:sz w:val="24"/>
          <w:szCs w:val="24"/>
        </w:rPr>
        <w:t xml:space="preserve">   </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扬州市文昌东路9号广陵新城市民中心1号楼5楼1529室</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张自美</w:t>
      </w:r>
      <w:r/>
    </w:p>
    <w:p>
      <w:pPr>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0</w:t>
      </w:r>
      <w:r>
        <w:rPr>
          <w:rFonts w:ascii="宋体" w:hAnsi="宋体"/>
          <w:sz w:val="24"/>
          <w:szCs w:val="24"/>
          <w:u w:val="single"/>
        </w:rPr>
        <w:t xml:space="preserve">514-82087195</w:t>
      </w:r>
      <w:bookmarkEnd w:id="42"/>
      <w:bookmarkEnd w:id="43"/>
      <w:r/>
    </w:p>
    <w:p>
      <w:pPr>
        <w:ind w:left="1079" w:hanging="300"/>
        <w:jc w:val="left"/>
        <w:spacing w:line="360" w:lineRule="auto"/>
        <w:rPr>
          <w:rFonts w:ascii="宋体" w:hAnsi="宋体"/>
          <w:bCs/>
          <w:sz w:val="24"/>
          <w:szCs w:val="24"/>
        </w:rPr>
      </w:pPr>
      <w:r>
        <w:rPr>
          <w:rFonts w:hint="eastAsia" w:ascii="宋体" w:hAnsi="宋体"/>
          <w:bCs/>
          <w:sz w:val="24"/>
          <w:szCs w:val="24"/>
        </w:rPr>
        <w:t xml:space="preserve">           </w:t>
      </w:r>
      <w:r/>
    </w:p>
    <w:p>
      <w:pPr>
        <w:pStyle w:val="720"/>
        <w:ind w:firstLine="498"/>
        <w:spacing w:before="145" w:after="145" w:line="360" w:lineRule="auto"/>
      </w:pPr>
      <w:r>
        <w:rPr>
          <w:rFonts w:hint="eastAsia"/>
        </w:rPr>
        <w:t xml:space="preserve">八、其他</w:t>
      </w:r>
      <w:r/>
    </w:p>
    <w:p>
      <w:pPr>
        <w:ind w:firstLine="480"/>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w:t>
      </w:r>
      <w:r>
        <w:rPr>
          <w:rFonts w:ascii="宋体" w:hAnsi="宋体" w:cs="宋体"/>
          <w:color w:val="ff0000"/>
          <w:sz w:val="24"/>
        </w:rPr>
        <w:t xml:space="preserve">http://zfcg.yangzhou.gov.cn/zfcg/xzzx/202309/4d7de1f7865f4a2894fc22bc452f94d8.shtml</w:t>
      </w:r>
      <w:r>
        <w:rPr>
          <w:rFonts w:hint="eastAsia" w:ascii="宋体" w:hAnsi="宋体" w:cs="宋体"/>
          <w:color w:val="ff0000"/>
          <w:sz w:val="24"/>
        </w:rPr>
        <w:t xml:space="preserve">，</w:t>
      </w:r>
      <w:r>
        <w:rPr>
          <w:rFonts w:ascii="宋体" w:hAnsi="宋体" w:cs="宋体"/>
          <w:color w:val="ff0000"/>
          <w:sz w:val="24"/>
        </w:rPr>
        <w:t xml:space="preserve">请按《操作手册》要求制作、上传电子投标文件。</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w:t>
      </w:r>
      <w:r>
        <w:rPr>
          <w:rFonts w:ascii="宋体" w:hAnsi="宋体" w:cs="宋体"/>
          <w:color w:val="ff0000"/>
          <w:sz w:val="24"/>
        </w:rPr>
        <w:t xml:space="preserve">（请至扬州市文昌东路9号广陵新城市民中心1号楼5楼办理，具体联系方式：18952716110）</w:t>
      </w:r>
      <w:r>
        <w:rPr>
          <w:rFonts w:hint="eastAsia" w:ascii="宋体" w:hAnsi="宋体"/>
          <w:bCs/>
          <w:color w:val="ff0000"/>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bookmarkEnd w:id="1"/>
      <w:bookmarkEnd w:id="2"/>
      <w:bookmarkEnd w:id="3"/>
      <w:bookmarkEnd w:id="4"/>
      <w:bookmarkEnd w:id="5"/>
      <w:r/>
    </w:p>
    <w:p>
      <w:pPr>
        <w:pStyle w:val="718"/>
        <w:jc w:val="center"/>
        <w:rPr>
          <w:rFonts w:ascii="黑体" w:hAnsi="黑体" w:eastAsia="黑体" w:cs="黑体"/>
          <w:b/>
          <w:bCs/>
          <w:sz w:val="44"/>
          <w:szCs w:val="44"/>
        </w:rPr>
      </w:pPr>
      <w:r/>
      <w:bookmarkStart w:id="44" w:name="_Toc120614211"/>
      <w:r/>
      <w:bookmarkStart w:id="45" w:name="_Toc13339"/>
      <w:r/>
      <w:bookmarkStart w:id="46" w:name="_Toc20518"/>
      <w:r>
        <w:rPr>
          <w:rFonts w:hint="eastAsia" w:ascii="黑体" w:hAnsi="黑体" w:eastAsia="黑体" w:cs="黑体"/>
          <w:b/>
          <w:bCs/>
          <w:sz w:val="44"/>
          <w:szCs w:val="44"/>
        </w:rPr>
        <w:t xml:space="preserve">第二章  </w:t>
      </w:r>
      <w:bookmarkEnd w:id="44"/>
      <w:r/>
      <w:bookmarkStart w:id="47" w:name="_Toc20823274"/>
      <w:r/>
      <w:bookmarkStart w:id="48" w:name="_Toc120614213"/>
      <w:r/>
      <w:bookmarkStart w:id="49" w:name="_Toc16938518"/>
      <w:r/>
      <w:bookmarkStart w:id="50" w:name="_Toc513029202"/>
      <w:r>
        <w:rPr>
          <w:rFonts w:hint="eastAsia" w:ascii="黑体" w:hAnsi="黑体" w:eastAsia="黑体" w:cs="黑体"/>
          <w:b/>
          <w:bCs/>
          <w:sz w:val="44"/>
          <w:szCs w:val="44"/>
        </w:rPr>
        <w:t xml:space="preserve">投标人须知</w:t>
      </w:r>
      <w:bookmarkEnd w:id="45"/>
      <w:r/>
      <w:bookmarkEnd w:id="46"/>
      <w:r/>
      <w:bookmarkEnd w:id="47"/>
      <w:r/>
      <w:bookmarkEnd w:id="48"/>
      <w:r/>
      <w:bookmarkEnd w:id="49"/>
      <w:r/>
      <w:bookmarkEnd w:id="50"/>
      <w:r/>
      <w:r/>
    </w:p>
    <w:p>
      <w:pPr>
        <w:ind w:firstLine="498"/>
        <w:keepLines/>
        <w:keepNext/>
        <w:spacing w:before="145" w:after="145" w:line="360" w:lineRule="auto"/>
        <w:rPr>
          <w:b/>
          <w:bCs/>
          <w:sz w:val="32"/>
          <w:szCs w:val="32"/>
        </w:rPr>
        <w:outlineLvl w:val="2"/>
      </w:pPr>
      <w:r/>
      <w:bookmarkStart w:id="51" w:name="_Toc16938519"/>
      <w:r/>
      <w:bookmarkStart w:id="52" w:name="_Toc20823275"/>
      <w:r/>
      <w:bookmarkStart w:id="53" w:name="_Toc513029203"/>
      <w:r/>
      <w:bookmarkStart w:id="54" w:name="_Toc120614214"/>
      <w:r>
        <w:rPr>
          <w:rFonts w:hint="eastAsia"/>
          <w:b/>
          <w:bCs/>
          <w:sz w:val="32"/>
          <w:szCs w:val="32"/>
        </w:rPr>
        <w:t xml:space="preserve">一、总则</w:t>
      </w:r>
      <w:bookmarkEnd w:id="51"/>
      <w:r/>
      <w:bookmarkEnd w:id="52"/>
      <w:r/>
      <w:bookmarkEnd w:id="53"/>
      <w:r/>
      <w:bookmarkEnd w:id="54"/>
      <w:r/>
      <w:r/>
    </w:p>
    <w:p>
      <w:pPr>
        <w:ind w:firstLine="420"/>
        <w:keepLines/>
        <w:keepNext/>
        <w:rPr>
          <w:rFonts w:ascii="Arial" w:hAnsi="Arial" w:eastAsia="黑体" w:cs="Arial"/>
          <w:sz w:val="28"/>
          <w:szCs w:val="28"/>
        </w:rPr>
        <w:outlineLvl w:val="3"/>
      </w:pPr>
      <w:r/>
      <w:bookmarkStart w:id="55" w:name="_Hlt16619475"/>
      <w:r/>
      <w:bookmarkEnd w:id="55"/>
      <w:r/>
      <w:bookmarkStart w:id="56" w:name="_Toc458694821"/>
      <w:r/>
      <w:bookmarkStart w:id="57" w:name="_Toc16938520"/>
      <w:r/>
      <w:bookmarkStart w:id="58" w:name="_Toc20823276"/>
      <w:r/>
      <w:bookmarkStart w:id="59" w:name="_Toc513029204"/>
      <w:r>
        <w:rPr>
          <w:rFonts w:hint="eastAsia" w:ascii="Arial" w:hAnsi="Arial" w:eastAsia="黑体" w:cs="Arial"/>
          <w:sz w:val="28"/>
          <w:szCs w:val="28"/>
        </w:rPr>
        <w:t xml:space="preserve">1</w:t>
      </w:r>
      <w:bookmarkEnd w:id="56"/>
      <w:r>
        <w:rPr>
          <w:rFonts w:hint="eastAsia" w:ascii="Arial" w:hAnsi="Arial" w:eastAsia="黑体" w:cs="Arial"/>
          <w:sz w:val="28"/>
          <w:szCs w:val="28"/>
        </w:rPr>
        <w:t xml:space="preserve">、招标方式</w:t>
      </w:r>
      <w:bookmarkEnd w:id="57"/>
      <w:r/>
      <w:bookmarkEnd w:id="58"/>
      <w:r/>
      <w:bookmarkEnd w:id="59"/>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rPr>
          <w:rFonts w:ascii="Arial" w:hAnsi="Arial" w:eastAsia="黑体" w:cs="Arial"/>
          <w:sz w:val="28"/>
          <w:szCs w:val="28"/>
        </w:rPr>
        <w:outlineLvl w:val="3"/>
      </w:pPr>
      <w:r/>
      <w:bookmarkStart w:id="60" w:name="_Toc513029205"/>
      <w:r/>
      <w:bookmarkStart w:id="61" w:name="_Toc16938521"/>
      <w:r/>
      <w:bookmarkStart w:id="62" w:name="_Toc20823277"/>
      <w:r>
        <w:rPr>
          <w:rFonts w:hint="eastAsia" w:ascii="Arial" w:hAnsi="Arial" w:eastAsia="黑体" w:cs="Arial"/>
          <w:sz w:val="28"/>
          <w:szCs w:val="28"/>
        </w:rPr>
        <w:t xml:space="preserve">2、合格的投标人</w:t>
      </w:r>
      <w:bookmarkEnd w:id="60"/>
      <w:r/>
      <w:bookmarkEnd w:id="61"/>
      <w:r/>
      <w:bookmarkEnd w:id="6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ind w:firstLine="420"/>
        <w:keepLines/>
        <w:keepNext/>
        <w:rPr>
          <w:rFonts w:ascii="Arial" w:hAnsi="Arial" w:eastAsia="黑体" w:cs="Arial"/>
          <w:sz w:val="28"/>
          <w:szCs w:val="28"/>
        </w:rPr>
        <w:outlineLvl w:val="3"/>
      </w:pPr>
      <w:r/>
      <w:bookmarkStart w:id="63" w:name="_Toc513029206"/>
      <w:r/>
      <w:bookmarkStart w:id="64" w:name="_Toc16938522"/>
      <w:r/>
      <w:bookmarkStart w:id="65" w:name="_Toc20823278"/>
      <w:r>
        <w:rPr>
          <w:rFonts w:hint="eastAsia" w:ascii="Arial" w:hAnsi="Arial" w:eastAsia="黑体" w:cs="Arial"/>
          <w:sz w:val="28"/>
          <w:szCs w:val="28"/>
        </w:rPr>
        <w:t xml:space="preserve">3、适用法律</w:t>
      </w:r>
      <w:bookmarkEnd w:id="63"/>
      <w:r/>
      <w:bookmarkEnd w:id="64"/>
      <w:r/>
      <w:bookmarkEnd w:id="6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keepLines/>
        <w:keepNext/>
        <w:rPr>
          <w:rFonts w:ascii="Arial" w:hAnsi="Arial" w:eastAsia="黑体" w:cs="Arial"/>
          <w:sz w:val="28"/>
          <w:szCs w:val="28"/>
        </w:rPr>
        <w:outlineLvl w:val="3"/>
      </w:pPr>
      <w:r/>
      <w:bookmarkStart w:id="66" w:name="_Toc462564067"/>
      <w:r/>
      <w:bookmarkStart w:id="67" w:name="_Toc16938523"/>
      <w:r/>
      <w:bookmarkStart w:id="68" w:name="_Toc20823279"/>
      <w:r/>
      <w:bookmarkStart w:id="69" w:name="_Toc513029207"/>
      <w:r>
        <w:rPr>
          <w:rFonts w:hint="eastAsia" w:ascii="Arial" w:hAnsi="Arial" w:eastAsia="黑体" w:cs="Arial"/>
          <w:sz w:val="28"/>
          <w:szCs w:val="28"/>
        </w:rPr>
        <w:t xml:space="preserve">4、投标费用</w:t>
      </w:r>
      <w:bookmarkEnd w:id="66"/>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ind w:firstLine="602"/>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45" w:after="145" w:line="360" w:lineRule="auto"/>
        <w:rPr>
          <w:b/>
          <w:bCs/>
          <w:sz w:val="32"/>
          <w:szCs w:val="32"/>
        </w:rPr>
        <w:outlineLvl w:val="2"/>
      </w:pPr>
      <w:r/>
      <w:bookmarkStart w:id="70" w:name="_Toc513029209"/>
      <w:r/>
      <w:bookmarkStart w:id="71" w:name="_Toc120614215"/>
      <w:r/>
      <w:bookmarkStart w:id="72" w:name="_Toc20823281"/>
      <w:r/>
      <w:bookmarkStart w:id="73" w:name="_Toc16938525"/>
      <w:r>
        <w:rPr>
          <w:rFonts w:hint="eastAsia"/>
          <w:b/>
          <w:bCs/>
          <w:sz w:val="32"/>
          <w:szCs w:val="32"/>
        </w:rPr>
        <w:t xml:space="preserve">二、招标文件</w:t>
      </w:r>
      <w:bookmarkEnd w:id="70"/>
      <w:r/>
      <w:bookmarkEnd w:id="71"/>
      <w:r/>
      <w:bookmarkEnd w:id="72"/>
      <w:r/>
      <w:bookmarkEnd w:id="73"/>
      <w:r/>
      <w:r/>
    </w:p>
    <w:p>
      <w:pPr>
        <w:ind w:firstLine="420"/>
        <w:keepLines/>
        <w:keepNext/>
        <w:rPr>
          <w:rFonts w:ascii="Arial" w:hAnsi="Arial" w:eastAsia="黑体" w:cs="Arial"/>
          <w:sz w:val="28"/>
          <w:szCs w:val="28"/>
        </w:rPr>
        <w:outlineLvl w:val="3"/>
      </w:pPr>
      <w:r/>
      <w:bookmarkStart w:id="74" w:name="_Toc16938526"/>
      <w:r/>
      <w:bookmarkStart w:id="75" w:name="_Toc20823282"/>
      <w:r/>
      <w:bookmarkStart w:id="76" w:name="_Toc513029210"/>
      <w:r>
        <w:rPr>
          <w:rFonts w:hint="eastAsia" w:ascii="Arial" w:hAnsi="Arial" w:eastAsia="黑体" w:cs="Arial"/>
          <w:sz w:val="28"/>
          <w:szCs w:val="28"/>
        </w:rPr>
        <w:t xml:space="preserve">6、招标文件构成</w:t>
      </w:r>
      <w:bookmarkEnd w:id="74"/>
      <w:r/>
      <w:bookmarkEnd w:id="75"/>
      <w:r/>
      <w:bookmarkEnd w:id="76"/>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Arial" w:hAnsi="Arial" w:eastAsia="黑体" w:cs="Arial"/>
          <w:sz w:val="28"/>
          <w:szCs w:val="28"/>
        </w:rPr>
        <w:outlineLvl w:val="3"/>
      </w:pPr>
      <w:r/>
      <w:bookmarkStart w:id="77" w:name="_Toc20823283"/>
      <w:r/>
      <w:bookmarkStart w:id="78" w:name="_Toc462564070"/>
      <w:r/>
      <w:bookmarkStart w:id="79" w:name="_Toc513029211"/>
      <w:r/>
      <w:bookmarkStart w:id="80" w:name="_Toc16938527"/>
      <w:r>
        <w:rPr>
          <w:rFonts w:hint="eastAsia" w:ascii="Arial" w:hAnsi="Arial" w:eastAsia="黑体" w:cs="Arial"/>
          <w:sz w:val="28"/>
          <w:szCs w:val="28"/>
        </w:rPr>
        <w:t xml:space="preserve">7、招标文件的澄清</w:t>
      </w:r>
      <w:bookmarkEnd w:id="77"/>
      <w:r/>
      <w:bookmarkEnd w:id="78"/>
      <w:r/>
      <w:bookmarkEnd w:id="79"/>
      <w:r/>
      <w:bookmarkEnd w:id="80"/>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ind w:firstLine="560"/>
        <w:keepLines/>
        <w:keepNext/>
        <w:rPr>
          <w:rFonts w:ascii="Arial" w:hAnsi="Arial" w:eastAsia="黑体" w:cs="Arial"/>
          <w:sz w:val="28"/>
          <w:szCs w:val="28"/>
        </w:rPr>
        <w:outlineLvl w:val="3"/>
      </w:pPr>
      <w:r/>
      <w:bookmarkStart w:id="81" w:name="_Toc20823284"/>
      <w:r/>
      <w:bookmarkStart w:id="82" w:name="_Toc513029212"/>
      <w:r/>
      <w:bookmarkStart w:id="83" w:name="_Toc16938528"/>
      <w:r/>
      <w:bookmarkStart w:id="84" w:name="_Toc462564071"/>
      <w:r>
        <w:rPr>
          <w:rFonts w:hint="eastAsia" w:ascii="Arial" w:hAnsi="Arial" w:eastAsia="黑体" w:cs="Arial"/>
          <w:sz w:val="28"/>
          <w:szCs w:val="28"/>
        </w:rPr>
        <w:t xml:space="preserve">8、招标文件的修改</w:t>
      </w:r>
      <w:bookmarkEnd w:id="81"/>
      <w:r/>
      <w:bookmarkEnd w:id="82"/>
      <w:r/>
      <w:bookmarkEnd w:id="83"/>
      <w:r/>
      <w:bookmarkEnd w:id="84"/>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45" w:after="145" w:line="360" w:lineRule="auto"/>
        <w:rPr>
          <w:b/>
          <w:bCs/>
          <w:sz w:val="32"/>
          <w:szCs w:val="32"/>
        </w:rPr>
        <w:outlineLvl w:val="2"/>
      </w:pPr>
      <w:r/>
      <w:bookmarkStart w:id="85" w:name="_Toc16938529"/>
      <w:r/>
      <w:bookmarkStart w:id="86" w:name="_Toc513029213"/>
      <w:r/>
      <w:bookmarkStart w:id="87" w:name="_Toc20823285"/>
      <w:r/>
      <w:bookmarkStart w:id="88" w:name="_Toc462564072"/>
      <w:r/>
      <w:bookmarkStart w:id="89" w:name="_Toc120614216"/>
      <w:r>
        <w:rPr>
          <w:rFonts w:hint="eastAsia"/>
          <w:b/>
          <w:bCs/>
          <w:sz w:val="32"/>
          <w:szCs w:val="32"/>
        </w:rPr>
        <w:t xml:space="preserve">三、投标文件的编制</w:t>
      </w:r>
      <w:bookmarkEnd w:id="85"/>
      <w:r/>
      <w:bookmarkEnd w:id="86"/>
      <w:r/>
      <w:bookmarkEnd w:id="87"/>
      <w:r/>
      <w:bookmarkEnd w:id="88"/>
      <w:r/>
      <w:bookmarkEnd w:id="89"/>
      <w:r/>
      <w:r/>
    </w:p>
    <w:p>
      <w:pPr>
        <w:ind w:firstLine="560"/>
        <w:keepLines/>
        <w:keepNext/>
        <w:rPr>
          <w:rFonts w:ascii="Arial" w:hAnsi="Arial" w:eastAsia="黑体" w:cs="Arial"/>
          <w:b/>
          <w:sz w:val="28"/>
          <w:szCs w:val="28"/>
        </w:rPr>
        <w:outlineLvl w:val="3"/>
      </w:pPr>
      <w:r/>
      <w:bookmarkStart w:id="90" w:name="_Toc20823286"/>
      <w:r/>
      <w:bookmarkStart w:id="91" w:name="_Toc16938530"/>
      <w:r/>
      <w:bookmarkStart w:id="92" w:name="_Toc513029214"/>
      <w:r/>
      <w:bookmarkStart w:id="93" w:name="_Toc462564073"/>
      <w:r>
        <w:rPr>
          <w:rFonts w:hint="eastAsia" w:ascii="Arial" w:hAnsi="Arial" w:eastAsia="黑体" w:cs="Arial"/>
          <w:sz w:val="28"/>
          <w:szCs w:val="28"/>
        </w:rPr>
        <w:t xml:space="preserve">9、投标文件的语言及度量衡单位</w:t>
      </w:r>
      <w:bookmarkEnd w:id="90"/>
      <w:r/>
      <w:bookmarkEnd w:id="91"/>
      <w:r/>
      <w:bookmarkEnd w:id="92"/>
      <w:r/>
      <w:bookmarkEnd w:id="93"/>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ind w:firstLine="420"/>
        <w:keepLines/>
        <w:keepNext/>
        <w:rPr>
          <w:rFonts w:ascii="Arial" w:hAnsi="Arial" w:eastAsia="黑体" w:cs="Arial"/>
          <w:sz w:val="28"/>
          <w:szCs w:val="28"/>
        </w:rPr>
        <w:outlineLvl w:val="3"/>
      </w:pPr>
      <w:r/>
      <w:bookmarkStart w:id="94" w:name="_Toc513029215"/>
      <w:r/>
      <w:bookmarkStart w:id="95" w:name="_Toc20823287"/>
      <w:r/>
      <w:bookmarkStart w:id="96" w:name="_Toc16938531"/>
      <w:r/>
      <w:bookmarkStart w:id="97" w:name="_Toc462564074"/>
      <w:r>
        <w:rPr>
          <w:rFonts w:hint="eastAsia" w:ascii="Arial" w:hAnsi="Arial" w:eastAsia="黑体" w:cs="Arial"/>
          <w:sz w:val="28"/>
          <w:szCs w:val="28"/>
        </w:rPr>
        <w:t xml:space="preserve">10、投标文件构成</w:t>
      </w:r>
      <w:bookmarkEnd w:id="94"/>
      <w:r/>
      <w:bookmarkEnd w:id="95"/>
      <w:r/>
      <w:bookmarkEnd w:id="96"/>
      <w:r/>
      <w:bookmarkEnd w:id="97"/>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ind w:firstLine="420"/>
        <w:keepLines/>
        <w:keepNext/>
        <w:rPr>
          <w:rFonts w:ascii="Arial" w:hAnsi="Arial" w:eastAsia="黑体" w:cs="Arial"/>
          <w:sz w:val="28"/>
          <w:szCs w:val="28"/>
        </w:rPr>
        <w:outlineLvl w:val="3"/>
      </w:pPr>
      <w:r/>
      <w:bookmarkStart w:id="98" w:name="_Hlt26954838"/>
      <w:r/>
      <w:bookmarkEnd w:id="98"/>
      <w:r/>
      <w:bookmarkStart w:id="99" w:name="_Hlt26670360"/>
      <w:r/>
      <w:bookmarkEnd w:id="99"/>
      <w:r/>
      <w:bookmarkStart w:id="100" w:name="_Hlt26668975"/>
      <w:r/>
      <w:bookmarkEnd w:id="100"/>
      <w:r/>
      <w:bookmarkStart w:id="101" w:name="_Toc49090509"/>
      <w:r/>
      <w:bookmarkStart w:id="102" w:name="_Toc14577357"/>
      <w:r/>
      <w:bookmarkStart w:id="103" w:name="_Toc513029219"/>
      <w:r/>
      <w:bookmarkStart w:id="104" w:name="_Toc513029216"/>
      <w:r/>
      <w:bookmarkStart w:id="105" w:name="_Toc49090507"/>
      <w:r/>
      <w:bookmarkStart w:id="106" w:name="_Toc14577354"/>
      <w:r>
        <w:rPr>
          <w:rFonts w:hint="eastAsia" w:ascii="Arial" w:hAnsi="Arial" w:eastAsia="黑体" w:cs="Arial"/>
          <w:sz w:val="28"/>
          <w:szCs w:val="28"/>
        </w:rPr>
        <w:t xml:space="preserve">11、证明投标人及投标标的符合招标文件规定的文件</w:t>
      </w:r>
      <w:bookmarkEnd w:id="101"/>
      <w:r/>
      <w:bookmarkEnd w:id="102"/>
      <w:r/>
      <w:bookmarkEnd w:id="103"/>
      <w:r/>
      <w:bookmarkEnd w:id="104"/>
      <w:bookmarkEnd w:id="105"/>
      <w:bookmarkEnd w:id="106"/>
      <w:r/>
    </w:p>
    <w:p>
      <w:pPr>
        <w:spacing w:line="480" w:lineRule="exact"/>
        <w:rPr>
          <w:rFonts w:ascii="宋体" w:hAnsi="宋体"/>
          <w:sz w:val="24"/>
          <w:szCs w:val="24"/>
        </w:rPr>
      </w:pPr>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12、投标分项报价</w:t>
      </w:r>
      <w:bookmarkEnd w:id="107"/>
      <w:r/>
      <w:bookmarkStart w:id="109" w:name="_Hlt26670373"/>
      <w:r/>
      <w:bookmarkEnd w:id="109"/>
      <w:r>
        <w:rPr>
          <w:rFonts w:hint="eastAsia" w:ascii="Arial" w:hAnsi="Arial" w:eastAsia="黑体" w:cs="Arial"/>
          <w:sz w:val="28"/>
          <w:szCs w:val="28"/>
        </w:rPr>
        <w:t xml:space="preserve">表</w:t>
      </w:r>
      <w:bookmarkEnd w:id="108"/>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rPr>
          <w:rFonts w:ascii="Arial" w:hAnsi="Arial" w:eastAsia="黑体" w:cs="Arial"/>
          <w:sz w:val="28"/>
          <w:szCs w:val="28"/>
        </w:rPr>
        <w:outlineLvl w:val="3"/>
      </w:pPr>
      <w:r/>
      <w:bookmarkStart w:id="112" w:name="_Hlt26670486"/>
      <w:r/>
      <w:bookmarkEnd w:id="112"/>
      <w:r/>
      <w:bookmarkStart w:id="113" w:name="_Hlt26670425"/>
      <w:r/>
      <w:bookmarkEnd w:id="113"/>
      <w:r/>
      <w:bookmarkStart w:id="114" w:name="_Hlt26670482"/>
      <w:r/>
      <w:bookmarkEnd w:id="114"/>
      <w:r/>
      <w:bookmarkStart w:id="115" w:name="_Hlt26954846"/>
      <w:r/>
      <w:bookmarkEnd w:id="115"/>
      <w:r/>
      <w:bookmarkStart w:id="116" w:name="_Hlt26954848"/>
      <w:r/>
      <w:bookmarkEnd w:id="116"/>
      <w:r/>
      <w:bookmarkStart w:id="117" w:name="_Hlt26670403"/>
      <w:r/>
      <w:bookmarkEnd w:id="117"/>
      <w:r/>
      <w:bookmarkStart w:id="118" w:name="_Hlt26668983"/>
      <w:r/>
      <w:bookmarkEnd w:id="118"/>
      <w:r/>
      <w:bookmarkStart w:id="119" w:name="_Hlt26954731"/>
      <w:r/>
      <w:bookmarkEnd w:id="119"/>
      <w:r/>
      <w:bookmarkStart w:id="120" w:name="_Hlt26954844"/>
      <w:r/>
      <w:bookmarkEnd w:id="120"/>
      <w:r/>
      <w:bookmarkStart w:id="121" w:name="_Hlt26954842"/>
      <w:r/>
      <w:bookmarkEnd w:id="121"/>
      <w:r>
        <w:rPr>
          <w:rFonts w:hint="eastAsia" w:ascii="Arial" w:hAnsi="Arial" w:eastAsia="黑体" w:cs="Arial"/>
          <w:sz w:val="28"/>
          <w:szCs w:val="28"/>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rPr>
          <w:rFonts w:ascii="Arial" w:hAnsi="Arial" w:eastAsia="黑体" w:cs="Arial"/>
          <w:sz w:val="28"/>
          <w:szCs w:val="28"/>
        </w:rPr>
        <w:outlineLvl w:val="3"/>
      </w:pPr>
      <w:r/>
      <w:bookmarkStart w:id="122" w:name="_Toc49090510"/>
      <w:r/>
      <w:bookmarkStart w:id="123" w:name="_Toc14577359"/>
      <w:r>
        <w:rPr>
          <w:rFonts w:hint="eastAsia" w:ascii="Arial" w:hAnsi="Arial" w:eastAsia="黑体" w:cs="Arial"/>
          <w:sz w:val="28"/>
          <w:szCs w:val="28"/>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2"/>
      <w:bookmarkEnd w:id="123"/>
      <w:r/>
    </w:p>
    <w:p>
      <w:pPr>
        <w:ind w:firstLine="420"/>
        <w:keepLines/>
        <w:keepNext/>
        <w:rPr>
          <w:rFonts w:ascii="Arial" w:hAnsi="Arial" w:eastAsia="黑体" w:cs="Arial"/>
          <w:sz w:val="28"/>
          <w:szCs w:val="28"/>
        </w:rPr>
        <w:outlineLvl w:val="3"/>
      </w:pPr>
      <w:r/>
      <w:bookmarkStart w:id="124" w:name="_Hlt26954850"/>
      <w:r/>
      <w:bookmarkEnd w:id="124"/>
      <w:r/>
      <w:bookmarkStart w:id="125" w:name="_Hlt26670489"/>
      <w:r/>
      <w:bookmarkEnd w:id="125"/>
      <w:r/>
      <w:bookmarkStart w:id="126" w:name="_Hlt26954734"/>
      <w:r/>
      <w:bookmarkEnd w:id="126"/>
      <w:r/>
      <w:bookmarkStart w:id="127" w:name="_Toc49090511"/>
      <w:r/>
      <w:bookmarkStart w:id="128" w:name="_Toc14577360"/>
      <w:r>
        <w:rPr>
          <w:rFonts w:hint="eastAsia" w:ascii="Arial" w:hAnsi="Arial" w:eastAsia="黑体" w:cs="Arial"/>
          <w:sz w:val="28"/>
          <w:szCs w:val="28"/>
        </w:rPr>
        <w:t xml:space="preserve">15、投标有效期</w:t>
      </w:r>
      <w:bookmarkEnd w:id="127"/>
      <w:r/>
      <w:bookmarkEnd w:id="128"/>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ind w:firstLine="482"/>
        <w:keepLines/>
        <w:keepNext/>
        <w:spacing w:before="145" w:after="145" w:line="360" w:lineRule="auto"/>
        <w:rPr>
          <w:b/>
          <w:bCs/>
          <w:sz w:val="32"/>
          <w:szCs w:val="32"/>
        </w:rPr>
        <w:outlineLvl w:val="2"/>
      </w:pPr>
      <w:r/>
      <w:bookmarkStart w:id="129" w:name="_Hlt26954852"/>
      <w:r/>
      <w:bookmarkEnd w:id="129"/>
      <w:r/>
      <w:bookmarkStart w:id="130" w:name="_Hlt26954739"/>
      <w:r/>
      <w:bookmarkEnd w:id="130"/>
      <w:r/>
      <w:bookmarkStart w:id="131" w:name="_Toc120614217"/>
      <w:r/>
      <w:bookmarkStart w:id="132" w:name="_Toc20823296"/>
      <w:r/>
      <w:bookmarkStart w:id="133" w:name="_Toc16938540"/>
      <w:r/>
      <w:bookmarkStart w:id="134" w:name="_Toc513029224"/>
      <w:r>
        <w:rPr>
          <w:rFonts w:hint="eastAsia"/>
          <w:b/>
          <w:bCs/>
          <w:sz w:val="32"/>
          <w:szCs w:val="32"/>
        </w:rPr>
        <w:t xml:space="preserve">四、投标文件的递交</w:t>
      </w:r>
      <w:bookmarkEnd w:id="131"/>
      <w:r/>
      <w:bookmarkEnd w:id="132"/>
      <w:r/>
      <w:bookmarkEnd w:id="133"/>
      <w:r/>
      <w:bookmarkEnd w:id="134"/>
      <w:r/>
      <w:r/>
    </w:p>
    <w:p>
      <w:pPr>
        <w:ind w:firstLine="560"/>
        <w:keepLines/>
        <w:keepNext/>
        <w:rPr>
          <w:rFonts w:ascii="黑体" w:hAnsi="Arial" w:eastAsia="黑体" w:cs="Arial"/>
          <w:sz w:val="28"/>
          <w:szCs w:val="28"/>
        </w:rPr>
        <w:outlineLvl w:val="3"/>
      </w:pPr>
      <w:r/>
      <w:bookmarkStart w:id="135" w:name="_Toc20823297"/>
      <w:r/>
      <w:bookmarkStart w:id="136" w:name="_Toc513029225"/>
      <w:r/>
      <w:bookmarkStart w:id="137" w:name="_Toc16938541"/>
      <w:r/>
      <w:bookmarkStart w:id="138" w:name="_Toc462564084"/>
      <w:r>
        <w:rPr>
          <w:rFonts w:hint="eastAsia" w:ascii="Arial" w:hAnsi="Arial" w:eastAsia="黑体" w:cs="Arial"/>
          <w:sz w:val="28"/>
          <w:szCs w:val="28"/>
        </w:rPr>
        <w:t xml:space="preserve">17、</w:t>
      </w:r>
      <w:r>
        <w:rPr>
          <w:rFonts w:hint="eastAsia" w:ascii="黑体" w:hAnsi="Arial" w:eastAsia="黑体" w:cs="Arial"/>
          <w:sz w:val="28"/>
          <w:szCs w:val="28"/>
        </w:rPr>
        <w:t xml:space="preserve">投标文件</w:t>
      </w:r>
      <w:bookmarkEnd w:id="135"/>
      <w:r/>
      <w:bookmarkEnd w:id="136"/>
      <w:r/>
      <w:bookmarkEnd w:id="137"/>
      <w:r/>
      <w:bookmarkEnd w:id="138"/>
      <w:r>
        <w:rPr>
          <w:rFonts w:hint="eastAsia" w:ascii="黑体" w:hAnsi="Arial" w:eastAsia="黑体" w:cs="Arial"/>
          <w:sz w:val="28"/>
          <w:szCs w:val="28"/>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ind w:firstLine="420"/>
        <w:keepLines/>
        <w:keepNext/>
        <w:spacing w:before="280" w:after="290" w:line="376" w:lineRule="auto"/>
        <w:rPr>
          <w:rFonts w:ascii="Arial" w:hAnsi="Arial" w:eastAsia="黑体" w:cs="Arial"/>
          <w:bCs/>
          <w:sz w:val="28"/>
          <w:szCs w:val="28"/>
        </w:rPr>
        <w:outlineLvl w:val="3"/>
      </w:pPr>
      <w:r>
        <w:rPr>
          <w:rFonts w:hint="eastAsia" w:ascii="Arial" w:hAnsi="Arial" w:eastAsia="黑体" w:cs="Arial"/>
          <w:bCs/>
          <w:sz w:val="28"/>
          <w:szCs w:val="28"/>
        </w:rPr>
        <w:t xml:space="preserve">18、投标截止</w:t>
      </w:r>
      <w:bookmarkEnd w:id="139"/>
      <w:r/>
      <w:bookmarkEnd w:id="140"/>
      <w:r/>
      <w:bookmarkEnd w:id="141"/>
      <w:r>
        <w:rPr>
          <w:rFonts w:hint="eastAsia" w:ascii="Arial" w:hAnsi="Arial" w:eastAsia="黑体" w:cs="Arial"/>
          <w:bCs/>
          <w:sz w:val="28"/>
          <w:szCs w:val="28"/>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Arial" w:hAnsi="Arial" w:eastAsia="黑体" w:cs="Arial"/>
          <w:sz w:val="28"/>
          <w:szCs w:val="28"/>
        </w:rPr>
        <w:outlineLvl w:val="3"/>
      </w:pPr>
      <w:r/>
      <w:bookmarkStart w:id="142" w:name="_Toc16938543"/>
      <w:r/>
      <w:bookmarkStart w:id="143" w:name="_Toc20823299"/>
      <w:r/>
      <w:bookmarkStart w:id="144" w:name="_Toc513029227"/>
      <w:r>
        <w:rPr>
          <w:rFonts w:hint="eastAsia" w:ascii="Arial" w:hAnsi="Arial" w:eastAsia="黑体" w:cs="Arial"/>
          <w:sz w:val="28"/>
          <w:szCs w:val="28"/>
        </w:rPr>
        <w:t xml:space="preserve">19、投标文件</w:t>
      </w:r>
      <w:bookmarkEnd w:id="142"/>
      <w:r/>
      <w:bookmarkEnd w:id="143"/>
      <w:r/>
      <w:bookmarkEnd w:id="144"/>
      <w:r>
        <w:rPr>
          <w:rFonts w:hint="eastAsia" w:ascii="Arial" w:hAnsi="Arial" w:eastAsia="黑体" w:cs="Arial"/>
          <w:sz w:val="28"/>
          <w:szCs w:val="28"/>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ind w:firstLine="420"/>
        <w:keepLines/>
        <w:keepNext/>
        <w:rPr>
          <w:rFonts w:ascii="Arial" w:hAnsi="Arial" w:eastAsia="黑体" w:cs="Arial"/>
          <w:sz w:val="28"/>
          <w:szCs w:val="28"/>
        </w:rPr>
        <w:outlineLvl w:val="3"/>
      </w:pPr>
      <w:r/>
      <w:bookmarkStart w:id="145" w:name="_Toc513029228"/>
      <w:r/>
      <w:bookmarkStart w:id="146" w:name="_Toc20823300"/>
      <w:r/>
      <w:bookmarkStart w:id="147" w:name="_Toc16938544"/>
      <w:r>
        <w:rPr>
          <w:rFonts w:hint="eastAsia" w:ascii="Arial" w:hAnsi="Arial" w:eastAsia="黑体" w:cs="Arial"/>
          <w:sz w:val="28"/>
          <w:szCs w:val="28"/>
        </w:rPr>
        <w:t xml:space="preserve">20、投标文件的撤回和修改</w:t>
      </w:r>
      <w:bookmarkEnd w:id="145"/>
      <w:r/>
      <w:bookmarkEnd w:id="146"/>
      <w:r/>
      <w:bookmarkEnd w:id="147"/>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45" w:after="145" w:line="360" w:lineRule="auto"/>
        <w:rPr>
          <w:b/>
          <w:bCs/>
          <w:sz w:val="32"/>
          <w:szCs w:val="32"/>
        </w:rPr>
        <w:outlineLvl w:val="2"/>
      </w:pPr>
      <w:r/>
      <w:bookmarkStart w:id="148" w:name="_Toc513029229"/>
      <w:r/>
      <w:bookmarkStart w:id="149" w:name="_Toc20823301"/>
      <w:r/>
      <w:bookmarkStart w:id="150" w:name="_Toc120614218"/>
      <w:r/>
      <w:bookmarkStart w:id="151" w:name="_Toc16938545"/>
      <w:r>
        <w:rPr>
          <w:rFonts w:hint="eastAsia"/>
          <w:b/>
          <w:bCs/>
          <w:sz w:val="32"/>
          <w:szCs w:val="32"/>
        </w:rPr>
        <w:t xml:space="preserve">五、开标与评标</w:t>
      </w:r>
      <w:bookmarkEnd w:id="148"/>
      <w:r/>
      <w:bookmarkEnd w:id="149"/>
      <w:r/>
      <w:bookmarkEnd w:id="150"/>
      <w:r/>
      <w:bookmarkEnd w:id="151"/>
      <w:r/>
      <w:r/>
    </w:p>
    <w:p>
      <w:pPr>
        <w:ind w:firstLine="420"/>
        <w:keepLines/>
        <w:keepNext/>
        <w:rPr>
          <w:rFonts w:ascii="Arial" w:hAnsi="Arial" w:eastAsia="黑体" w:cs="Arial"/>
          <w:sz w:val="28"/>
          <w:szCs w:val="28"/>
        </w:rPr>
        <w:outlineLvl w:val="3"/>
      </w:pPr>
      <w:r/>
      <w:bookmarkStart w:id="152" w:name="_Toc20823302"/>
      <w:r/>
      <w:bookmarkStart w:id="153" w:name="_Toc16938546"/>
      <w:r/>
      <w:bookmarkStart w:id="154" w:name="_Toc513029230"/>
      <w:r>
        <w:rPr>
          <w:rFonts w:hint="eastAsia" w:ascii="Arial" w:hAnsi="Arial" w:eastAsia="黑体" w:cs="Arial"/>
          <w:sz w:val="28"/>
          <w:szCs w:val="28"/>
        </w:rPr>
        <w:t xml:space="preserve">21、开标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ind w:firstLine="420"/>
        <w:keepLines/>
        <w:keepNext/>
        <w:rPr>
          <w:rFonts w:ascii="Arial" w:hAnsi="Arial" w:eastAsia="黑体" w:cs="Arial"/>
          <w:sz w:val="28"/>
          <w:szCs w:val="28"/>
        </w:rPr>
        <w:outlineLvl w:val="3"/>
      </w:pPr>
      <w:r/>
      <w:bookmarkStart w:id="155" w:name="_Toc16938547"/>
      <w:r/>
      <w:bookmarkStart w:id="156" w:name="_Toc20823303"/>
      <w:r/>
      <w:bookmarkStart w:id="157" w:name="_Toc513029231"/>
      <w:r>
        <w:rPr>
          <w:rFonts w:hint="eastAsia" w:ascii="Arial" w:hAnsi="Arial" w:eastAsia="黑体" w:cs="Arial"/>
          <w:sz w:val="28"/>
          <w:szCs w:val="28"/>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23、评标过程的保密与公正</w:t>
      </w:r>
      <w:bookmarkEnd w:id="155"/>
      <w:bookmarkEnd w:id="156"/>
      <w:bookmarkEnd w:id="157"/>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ind w:firstLine="420"/>
        <w:keepLines/>
        <w:keepNext/>
        <w:rPr>
          <w:rFonts w:ascii="Arial" w:hAnsi="Arial" w:eastAsia="黑体" w:cs="Arial"/>
          <w:sz w:val="28"/>
          <w:szCs w:val="28"/>
        </w:rPr>
        <w:outlineLvl w:val="3"/>
      </w:pPr>
      <w:r/>
      <w:bookmarkStart w:id="158" w:name="_Toc513029232"/>
      <w:r/>
      <w:bookmarkStart w:id="159" w:name="_Toc20823304"/>
      <w:r/>
      <w:bookmarkStart w:id="160" w:name="_Toc16938548"/>
      <w:r>
        <w:rPr>
          <w:rFonts w:hint="eastAsia" w:ascii="Arial" w:hAnsi="Arial" w:eastAsia="黑体" w:cs="Arial"/>
          <w:sz w:val="28"/>
          <w:szCs w:val="28"/>
        </w:rPr>
        <w:t xml:space="preserve">24、投标文件的澄清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ind w:firstLine="420"/>
        <w:keepLines/>
        <w:keepNext/>
        <w:rPr>
          <w:rFonts w:ascii="Arial" w:hAnsi="Arial" w:eastAsia="黑体" w:cs="Arial"/>
          <w:sz w:val="28"/>
          <w:szCs w:val="28"/>
        </w:rPr>
        <w:outlineLvl w:val="3"/>
      </w:pPr>
      <w:r/>
      <w:bookmarkStart w:id="161" w:name="_Toc513029233"/>
      <w:r/>
      <w:bookmarkStart w:id="162" w:name="_Toc20823305"/>
      <w:r/>
      <w:bookmarkStart w:id="163" w:name="_Toc16938549"/>
      <w:r>
        <w:rPr>
          <w:rFonts w:hint="eastAsia" w:ascii="Arial" w:hAnsi="Arial" w:eastAsia="黑体" w:cs="Arial"/>
          <w:sz w:val="28"/>
          <w:szCs w:val="28"/>
        </w:rPr>
        <w:t xml:space="preserve">25、对投标文件的初审</w:t>
      </w:r>
      <w:bookmarkEnd w:id="161"/>
      <w:r/>
      <w:bookmarkEnd w:id="162"/>
      <w:r/>
      <w:bookmarkEnd w:id="163"/>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4" w:name="_Toc16938550"/>
      <w:r/>
      <w:bookmarkStart w:id="165" w:name="_Toc513029234"/>
      <w:r/>
      <w:bookmarkStart w:id="166"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26、</w:t>
      </w:r>
      <w:bookmarkEnd w:id="164"/>
      <w:r/>
      <w:bookmarkEnd w:id="165"/>
      <w:r/>
      <w:bookmarkEnd w:id="166"/>
      <w:r>
        <w:rPr>
          <w:rFonts w:hint="eastAsia" w:ascii="Arial" w:hAnsi="Arial" w:eastAsia="黑体" w:cs="Arial"/>
          <w:sz w:val="28"/>
          <w:szCs w:val="28"/>
        </w:rPr>
        <w:t xml:space="preserve">无效投标条款和废标条款</w:t>
      </w:r>
      <w:r/>
    </w:p>
    <w:p>
      <w:pPr>
        <w:ind w:left="479"/>
        <w:spacing w:line="440" w:lineRule="exact"/>
        <w:rPr>
          <w:rFonts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b/>
          <w:bCs/>
          <w:sz w:val="32"/>
          <w:szCs w:val="32"/>
        </w:rPr>
        <w:outlineLvl w:val="2"/>
      </w:pPr>
      <w:r/>
      <w:bookmarkStart w:id="170" w:name="_Toc120614219"/>
      <w:r>
        <w:rPr>
          <w:rFonts w:hint="eastAsia"/>
          <w:b/>
          <w:bCs/>
          <w:sz w:val="32"/>
          <w:szCs w:val="32"/>
        </w:rPr>
        <w:t xml:space="preserve">六、</w:t>
      </w:r>
      <w:bookmarkEnd w:id="167"/>
      <w:r/>
      <w:bookmarkEnd w:id="168"/>
      <w:r/>
      <w:bookmarkEnd w:id="169"/>
      <w:r>
        <w:rPr>
          <w:rFonts w:hint="eastAsia"/>
          <w:b/>
          <w:bCs/>
          <w:sz w:val="32"/>
          <w:szCs w:val="32"/>
        </w:rPr>
        <w:t xml:space="preserve">定标</w:t>
      </w:r>
      <w:bookmarkEnd w:id="170"/>
      <w:r/>
      <w:r/>
    </w:p>
    <w:p>
      <w:pPr>
        <w:ind w:firstLine="600"/>
        <w:keepLines/>
        <w:keepNext/>
        <w:rPr>
          <w:rFonts w:ascii="黑体" w:hAnsi="宋体" w:eastAsia="黑体"/>
          <w:bCs/>
          <w:sz w:val="30"/>
          <w:szCs w:val="30"/>
        </w:rPr>
        <w:outlineLvl w:val="3"/>
      </w:pPr>
      <w:r/>
      <w:bookmarkStart w:id="171" w:name="_Toc513029238"/>
      <w:r/>
      <w:bookmarkStart w:id="172" w:name="_Toc20823310"/>
      <w:r/>
      <w:bookmarkStart w:id="173" w:name="_Toc16938554"/>
      <w:r>
        <w:rPr>
          <w:rFonts w:hint="eastAsia" w:ascii="黑体" w:hAnsi="宋体" w:eastAsia="黑体"/>
          <w:bCs/>
          <w:sz w:val="30"/>
          <w:szCs w:val="30"/>
        </w:rPr>
        <w:t xml:space="preserve">27、</w:t>
      </w:r>
      <w:bookmarkEnd w:id="171"/>
      <w:r>
        <w:rPr>
          <w:rFonts w:hint="eastAsia" w:ascii="黑体" w:hAnsi="宋体" w:eastAsia="黑体"/>
          <w:bCs/>
          <w:sz w:val="30"/>
          <w:szCs w:val="30"/>
        </w:rPr>
        <w:t xml:space="preserve">确定</w:t>
      </w:r>
      <w:bookmarkEnd w:id="172"/>
      <w:r/>
      <w:bookmarkEnd w:id="173"/>
      <w:r>
        <w:rPr>
          <w:rFonts w:hint="eastAsia" w:ascii="黑体" w:hAnsi="宋体" w:eastAsia="黑体"/>
          <w:bCs/>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28、质疑处理</w:t>
      </w:r>
      <w:bookmarkEnd w:id="174"/>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rPr>
          <w:rFonts w:ascii="宋体" w:hAnsi="宋体"/>
          <w:b/>
          <w:sz w:val="24"/>
          <w:szCs w:val="24"/>
        </w:rPr>
        <w:t xml:space="preserve">集中采购目录</w:t>
      </w:r>
      <w:r>
        <w:rPr>
          <w:rFonts w:hint="eastAsia" w:ascii="宋体" w:hAnsi="宋体"/>
          <w:b/>
          <w:sz w:val="24"/>
          <w:szCs w:val="24"/>
        </w:rPr>
        <w:t xml:space="preserve">范围以外项目无需本行内容</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b/>
          <w:bCs/>
          <w:sz w:val="32"/>
          <w:szCs w:val="32"/>
        </w:rPr>
        <w:outlineLvl w:val="2"/>
      </w:pPr>
      <w:r/>
      <w:bookmarkStart w:id="175" w:name="_Toc120614220"/>
      <w:r/>
      <w:bookmarkStart w:id="176" w:name="_Toc513029236"/>
      <w:r/>
      <w:bookmarkStart w:id="177" w:name="_Toc20823308"/>
      <w:r/>
      <w:bookmarkStart w:id="178" w:name="_Toc16938552"/>
      <w:r>
        <w:rPr>
          <w:rFonts w:hint="eastAsia"/>
          <w:b/>
          <w:bCs/>
          <w:sz w:val="32"/>
          <w:szCs w:val="32"/>
        </w:rPr>
        <w:t xml:space="preserve">七、授予合同</w:t>
      </w:r>
      <w:bookmarkEnd w:id="175"/>
      <w:r/>
      <w:bookmarkEnd w:id="176"/>
      <w:bookmarkEnd w:id="177"/>
      <w:bookmarkEnd w:id="178"/>
      <w:r/>
    </w:p>
    <w:p>
      <w:pPr>
        <w:ind w:firstLine="600"/>
        <w:keepLines/>
        <w:keepNext/>
        <w:rPr>
          <w:rFonts w:ascii="黑体" w:hAnsi="宋体" w:eastAsia="黑体"/>
          <w:bCs/>
          <w:sz w:val="30"/>
          <w:szCs w:val="30"/>
        </w:rPr>
        <w:outlineLvl w:val="3"/>
      </w:pPr>
      <w:r/>
      <w:bookmarkStart w:id="179" w:name="_Toc513029237"/>
      <w:r/>
      <w:bookmarkStart w:id="180" w:name="_Toc16938553"/>
      <w:r/>
      <w:bookmarkStart w:id="181" w:name="_Toc20823309"/>
      <w:r>
        <w:rPr>
          <w:rFonts w:hint="eastAsia" w:ascii="黑体" w:hAnsi="宋体" w:eastAsia="黑体"/>
          <w:bCs/>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.l中标人应当在中标通知书发出之日起十五日内，按照招标文件确定的事项与采购人签订政府采购合同。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79"/>
      <w:bookmarkEnd w:id="180"/>
      <w:bookmarkEnd w:id="181"/>
      <w:r/>
    </w:p>
    <w:p>
      <w:pPr>
        <w:ind w:firstLine="600"/>
        <w:keepLines/>
        <w:keepNext/>
        <w:rPr>
          <w:rFonts w:ascii="黑体" w:hAnsi="宋体" w:eastAsia="黑体"/>
          <w:bCs/>
          <w:sz w:val="30"/>
          <w:szCs w:val="30"/>
        </w:rPr>
        <w:outlineLvl w:val="3"/>
      </w:pPr>
      <w:r>
        <w:rPr>
          <w:rFonts w:hint="eastAsia" w:asciiTheme="minorEastAsia" w:hAnsiTheme="minorEastAsia" w:eastAsiaTheme="minorEastAsia"/>
          <w:bCs/>
          <w:sz w:val="24"/>
          <w:szCs w:val="24"/>
        </w:rPr>
        <w:t xml:space="preserve">31、</w:t>
      </w:r>
      <w:r>
        <w:rPr>
          <w:rFonts w:hint="eastAsia" w:ascii="黑体" w:hAnsi="宋体" w:eastAsia="黑体"/>
          <w:bCs/>
          <w:sz w:val="30"/>
          <w:szCs w:val="30"/>
        </w:rPr>
        <w:t xml:space="preserve">政府采购履约资金扶持政策</w:t>
      </w:r>
      <w:r/>
    </w:p>
    <w:p>
      <w:pPr>
        <w:ind w:firstLine="420"/>
      </w:pPr>
      <w:r>
        <w:rPr>
          <w:rFonts w:hint="eastAsia" w:ascii="宋体" w:hAnsi="宋体"/>
          <w:bCs/>
          <w:sz w:val="24"/>
        </w:rPr>
        <w:t xml:space="preserve">中标人可凭政府采购合同办理融资贷款，详情请见江苏政府采购网“政采贷”专栏。</w:t>
      </w:r>
      <w:r/>
    </w:p>
    <w:p>
      <w:pPr>
        <w:ind w:firstLine="482"/>
        <w:spacing w:line="440" w:lineRule="exact"/>
        <w:rPr>
          <w:rFonts w:ascii="宋体" w:hAnsi="宋体"/>
          <w:b/>
          <w:bCs/>
          <w:sz w:val="24"/>
          <w:szCs w:val="24"/>
        </w:rPr>
      </w:pPr>
      <w:r>
        <w:rPr>
          <w:rFonts w:hint="eastAsia" w:ascii="宋体" w:hAnsi="宋体"/>
          <w:b/>
          <w:bCs/>
          <w:sz w:val="24"/>
          <w:szCs w:val="24"/>
        </w:rPr>
        <w:t xml:space="preserve">32、联合投标</w:t>
      </w:r>
      <w:r/>
    </w:p>
    <w:p>
      <w:pPr>
        <w:ind w:firstLine="480"/>
        <w:spacing w:line="440" w:lineRule="exact"/>
        <w:rPr>
          <w:rFonts w:ascii="宋体" w:hAnsi="宋体"/>
          <w:bCs/>
          <w:sz w:val="24"/>
          <w:szCs w:val="24"/>
        </w:rPr>
      </w:pPr>
      <w:r>
        <w:rPr>
          <w:rFonts w:hint="eastAsia" w:ascii="宋体" w:hAnsi="宋体"/>
          <w:bCs/>
          <w:sz w:val="24"/>
          <w:szCs w:val="24"/>
        </w:rPr>
        <w:t xml:space="preserve">两个以上自然人、法人或者其他组织可以组成一个联合体，以一个投标人的身份共同参加政府采购活动。</w:t>
      </w:r>
      <w:r/>
    </w:p>
    <w:p>
      <w:pPr>
        <w:ind w:firstLine="480"/>
        <w:spacing w:line="440" w:lineRule="exact"/>
        <w:rPr>
          <w:rFonts w:ascii="宋体" w:hAnsi="宋体"/>
          <w:bCs/>
          <w:sz w:val="24"/>
          <w:szCs w:val="24"/>
        </w:rPr>
      </w:pPr>
      <w:r>
        <w:rPr>
          <w:rFonts w:hint="eastAsia" w:ascii="宋体" w:hAnsi="宋体"/>
          <w:bCs/>
          <w:sz w:val="24"/>
          <w:szCs w:val="24"/>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firstLine="480"/>
        <w:spacing w:line="440" w:lineRule="exact"/>
        <w:rPr>
          <w:rFonts w:ascii="宋体" w:hAnsi="宋体"/>
          <w:bCs/>
          <w:sz w:val="24"/>
          <w:szCs w:val="24"/>
        </w:rPr>
      </w:pPr>
      <w:r>
        <w:rPr>
          <w:rFonts w:hint="eastAsia" w:ascii="宋体" w:hAnsi="宋体"/>
          <w:bCs/>
          <w:sz w:val="24"/>
          <w:szCs w:val="24"/>
        </w:rPr>
        <w:t xml:space="preserve">联合体中有同类资质的供应商按照联合体分工承担相同工作的，应当按照资质等级较低的供应商确定资质等级。</w:t>
      </w:r>
      <w:r/>
    </w:p>
    <w:p>
      <w:pPr>
        <w:ind w:firstLine="480"/>
        <w:spacing w:line="440" w:lineRule="exact"/>
      </w:pPr>
      <w:r>
        <w:rPr>
          <w:rFonts w:hint="eastAsia" w:ascii="宋体" w:hAnsi="宋体"/>
          <w:bCs/>
          <w:sz w:val="24"/>
          <w:szCs w:val="24"/>
        </w:rPr>
        <w:t xml:space="preserve">以联合体形式参加政府采购活动的，联合体各方不得再单独参加或者与其他供应商另外组成联合体参加同一合同项下的政府采购活动。</w:t>
      </w:r>
      <w:r/>
    </w:p>
    <w:p>
      <w:pPr>
        <w:ind w:firstLine="2640"/>
        <w:spacing w:before="240" w:after="240"/>
        <w:rPr>
          <w:b/>
          <w:bCs/>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b/>
          <w:bCs/>
          <w:color w:val="000000"/>
          <w:sz w:val="44"/>
          <w:szCs w:val="44"/>
        </w:rPr>
        <w:t xml:space="preserve">第三章</w:t>
      </w:r>
      <w:r>
        <w:rPr>
          <w:rFonts w:hint="eastAsia" w:ascii="黑体" w:hAnsi="黑体" w:eastAsia="黑体" w:cs="黑体"/>
          <w:b/>
          <w:bCs/>
          <w:color w:val="000000"/>
          <w:sz w:val="44"/>
          <w:szCs w:val="44"/>
        </w:rPr>
        <w:t xml:space="preserve">  </w:t>
      </w:r>
      <w:r>
        <w:rPr>
          <w:rFonts w:ascii="黑体" w:hAnsi="黑体" w:eastAsia="黑体" w:cs="黑体"/>
          <w:b/>
          <w:bCs/>
          <w:color w:val="000000"/>
          <w:sz w:val="44"/>
          <w:szCs w:val="44"/>
        </w:rPr>
        <w:t xml:space="preserve">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以下为中标后签定本项目合同的通用条款，中标人不得提出实质性的修改，关于专用条款将由采购人与中标人结合本项目具体情况协商后签订。</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江苏省政府采购合同（货物）（合同编号）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eastAsia="Times New Roman"/>
          <w:color w:val="000000"/>
          <w:sz w:val="24"/>
        </w:rPr>
        <w:t xml:space="preserve">_____</w:t>
      </w:r>
      <w:r>
        <w:rPr>
          <w:rFonts w:eastAsia="Times New Roman"/>
          <w:color w:val="000000"/>
          <w:sz w:val="24"/>
          <w:u w:val="single"/>
        </w:rPr>
        <w:t xml:space="preserve">   </w:t>
      </w:r>
      <w:r>
        <w:rPr>
          <w:rFonts w:eastAsia="Times New Roman"/>
          <w:color w:val="000000"/>
          <w:sz w:val="24"/>
        </w:rPr>
        <w:t xml:space="preserve">_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eastAsia="Times New Roman"/>
          <w:color w:val="000000"/>
          <w:sz w:val="24"/>
        </w:rPr>
        <w:t xml:space="preserve">_____</w:t>
      </w:r>
      <w:r>
        <w:rPr>
          <w:rFonts w:eastAsia="Times New Roman"/>
          <w:color w:val="000000"/>
          <w:sz w:val="24"/>
          <w:u w:val="single"/>
        </w:rPr>
        <w:t xml:space="preserve">   </w:t>
      </w:r>
      <w:r>
        <w:rPr>
          <w:rFonts w:eastAsia="Times New Roman"/>
          <w:color w:val="000000"/>
          <w:sz w:val="24"/>
        </w:rPr>
        <w:t xml:space="preserve">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w:t>
      </w:r>
      <w:r>
        <w:rPr>
          <w:rFonts w:eastAsia="Times New Roman"/>
          <w:color w:val="000000"/>
          <w:sz w:val="24"/>
        </w:rPr>
        <w:t xml:space="preserve">_________</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甲、乙双方根据扬州市公共资源交易中心</w:t>
      </w:r>
      <w:r>
        <w:rPr>
          <w:rFonts w:eastAsia="Times New Roman"/>
          <w:color w:val="000000"/>
          <w:sz w:val="24"/>
          <w:u w:val="single"/>
        </w:rPr>
        <w:t xml:space="preserve">         </w:t>
      </w:r>
      <w:r>
        <w:rPr>
          <w:rFonts w:ascii="宋体" w:hAnsi="宋体" w:cs="宋体"/>
          <w:color w:val="000000"/>
          <w:sz w:val="24"/>
        </w:rPr>
        <w:t xml:space="preserve">项目公开招标的结果，签署本合同。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 </w:t>
      </w:r>
      <w:r>
        <w:rPr>
          <w:rFonts w:ascii="宋体" w:hAnsi="宋体" w:cs="宋体"/>
          <w:color w:val="000000"/>
          <w:sz w:val="24"/>
        </w:rPr>
        <w:t xml:space="preserve">标的名称：</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 </w:t>
      </w:r>
      <w:r>
        <w:rPr>
          <w:rFonts w:ascii="宋体" w:hAnsi="宋体" w:cs="宋体"/>
          <w:color w:val="000000"/>
          <w:sz w:val="24"/>
        </w:rPr>
        <w:t xml:space="preserve">标的质量：</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 </w:t>
      </w:r>
      <w:r>
        <w:rPr>
          <w:rFonts w:ascii="宋体" w:hAnsi="宋体" w:cs="宋体"/>
          <w:color w:val="000000"/>
          <w:sz w:val="24"/>
        </w:rPr>
        <w:t xml:space="preserve">标的数量（规模）：</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 </w:t>
      </w:r>
      <w:r>
        <w:rPr>
          <w:rFonts w:ascii="宋体" w:hAnsi="宋体" w:cs="宋体"/>
          <w:color w:val="000000"/>
          <w:sz w:val="24"/>
        </w:rPr>
        <w:t xml:space="preserve">履行时间（期限）：</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 </w:t>
      </w:r>
      <w:r>
        <w:rPr>
          <w:rFonts w:ascii="宋体" w:hAnsi="宋体" w:cs="宋体"/>
          <w:color w:val="000000"/>
          <w:sz w:val="24"/>
        </w:rPr>
        <w:t xml:space="preserve">履行地点：</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 </w:t>
      </w:r>
      <w:r>
        <w:rPr>
          <w:rFonts w:ascii="宋体" w:hAnsi="宋体" w:cs="宋体"/>
          <w:color w:val="000000"/>
          <w:sz w:val="24"/>
        </w:rPr>
        <w:t xml:space="preserve">履行方式：</w:t>
      </w:r>
      <w:r>
        <w:rPr>
          <w:rFonts w:eastAsia="Times New Roman"/>
          <w:color w:val="000000"/>
          <w:sz w:val="24"/>
        </w:rPr>
        <w:t xml:space="preserve">______</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 </w:t>
      </w:r>
      <w:r>
        <w:rPr>
          <w:rFonts w:ascii="宋体" w:hAnsi="宋体" w:cs="宋体"/>
          <w:color w:val="000000"/>
          <w:sz w:val="24"/>
        </w:rPr>
        <w:t xml:space="preserve">包装方式：</w:t>
      </w:r>
      <w:r>
        <w:rPr>
          <w:rFonts w:eastAsia="Times New Roman"/>
          <w:color w:val="000000"/>
          <w:sz w:val="24"/>
        </w:rPr>
        <w:t xml:space="preserve">______</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2.1 </w:t>
      </w:r>
      <w:r>
        <w:rPr>
          <w:rFonts w:ascii="宋体" w:hAnsi="宋体" w:cs="宋体"/>
          <w:color w:val="000000"/>
          <w:sz w:val="24"/>
        </w:rPr>
        <w:t xml:space="preserve">本合同金额为（大写）：</w:t>
      </w:r>
      <w:r>
        <w:rPr>
          <w:rFonts w:eastAsia="Times New Roman"/>
          <w:color w:val="000000"/>
          <w:sz w:val="24"/>
        </w:rPr>
        <w:t xml:space="preserve">_______</w:t>
      </w:r>
      <w:r>
        <w:rPr>
          <w:rFonts w:ascii="宋体" w:hAnsi="宋体" w:cs="宋体"/>
          <w:color w:val="000000"/>
          <w:sz w:val="24"/>
        </w:rPr>
        <w:t xml:space="preserve">圆（</w:t>
      </w:r>
      <w:r>
        <w:rPr>
          <w:rFonts w:eastAsia="Times New Roman"/>
          <w:color w:val="000000"/>
          <w:sz w:val="24"/>
        </w:rPr>
        <w:t xml:space="preserve">___</w:t>
      </w:r>
      <w:r>
        <w:rPr>
          <w:rFonts w:ascii="宋体" w:hAnsi="宋体" w:cs="宋体"/>
          <w:color w:val="000000"/>
          <w:sz w:val="24"/>
        </w:rPr>
        <w:t xml:space="preserve">元）人民币或其他币种。</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3.1</w:t>
      </w:r>
      <w:r>
        <w:rPr>
          <w:rFonts w:ascii="宋体" w:hAnsi="宋体" w:cs="宋体"/>
          <w:color w:val="000000"/>
          <w:sz w:val="24"/>
        </w:rPr>
        <w:t xml:space="preserve">乙方应按招标文件规定的时间向甲方提供使用货物</w:t>
      </w:r>
      <w:r>
        <w:rPr>
          <w:rFonts w:eastAsia="Times New Roman"/>
          <w:color w:val="000000"/>
          <w:sz w:val="24"/>
        </w:rPr>
        <w:t xml:space="preserve">(</w:t>
      </w:r>
      <w:r>
        <w:rPr>
          <w:rFonts w:ascii="宋体" w:hAnsi="宋体" w:cs="宋体"/>
          <w:color w:val="000000"/>
          <w:sz w:val="24"/>
        </w:rPr>
        <w:t xml:space="preserve">包含与货物相关的服务</w:t>
      </w:r>
      <w:r>
        <w:rPr>
          <w:rFonts w:eastAsia="Times New Roman"/>
          <w:color w:val="000000"/>
          <w:sz w:val="24"/>
        </w:rPr>
        <w:t xml:space="preserve">)</w:t>
      </w:r>
      <w:r>
        <w:rPr>
          <w:rFonts w:ascii="宋体" w:hAnsi="宋体" w:cs="宋体"/>
          <w:color w:val="000000"/>
          <w:sz w:val="24"/>
        </w:rPr>
        <w:t xml:space="preserve">的有关技术资料。</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3.2 </w:t>
      </w:r>
      <w:r>
        <w:rPr>
          <w:rFonts w:ascii="宋体" w:hAnsi="宋体" w:cs="宋体"/>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4.1</w:t>
      </w:r>
      <w:r>
        <w:rPr>
          <w:rFonts w:ascii="宋体" w:hAnsi="宋体" w:cs="宋体"/>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rPr>
        <w:t xml:space="preserve">     </w:t>
      </w:r>
      <w:r/>
    </w:p>
    <w:p>
      <w:pPr>
        <w:ind w:firstLine="24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b/>
          <w:color w:val="000000"/>
          <w:sz w:val="24"/>
        </w:rPr>
        <w:t xml:space="preserve">五、产权担保</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5.1 </w:t>
      </w:r>
      <w:r>
        <w:rPr>
          <w:rFonts w:ascii="宋体" w:hAnsi="宋体" w:cs="宋体"/>
          <w:color w:val="000000"/>
          <w:sz w:val="24"/>
        </w:rPr>
        <w:t xml:space="preserve">乙方保证所交付的货物（包含与货物相关的服务）的所有权完全属于乙方且无任何抵押、查封等产权瑕疵。</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乙方交纳人民币0元作为本合同的履约保证金。</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七、质保期</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质保期</w:t>
      </w:r>
      <w:r>
        <w:rPr>
          <w:rFonts w:eastAsia="Times New Roman"/>
          <w:color w:val="000000"/>
          <w:sz w:val="24"/>
          <w:u w:val="single"/>
        </w:rPr>
        <w:t xml:space="preserve">      </w:t>
      </w:r>
      <w:r>
        <w:rPr>
          <w:rFonts w:ascii="宋体" w:hAnsi="宋体" w:cs="宋体"/>
          <w:color w:val="000000"/>
          <w:sz w:val="24"/>
        </w:rPr>
        <w:t xml:space="preserve">年。（自交货验收合格之日起计）</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八、合同转包或分包</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8.1</w:t>
      </w:r>
      <w:r>
        <w:rPr>
          <w:rFonts w:ascii="宋体" w:hAnsi="宋体" w:cs="宋体"/>
          <w:color w:val="000000"/>
          <w:sz w:val="24"/>
        </w:rPr>
        <w:t xml:space="preserve">乙方不得将合同标的转包给他人履行。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8.2</w:t>
      </w:r>
      <w:r>
        <w:rPr>
          <w:rFonts w:ascii="宋体" w:hAnsi="宋体" w:cs="宋体"/>
          <w:color w:val="000000"/>
          <w:sz w:val="24"/>
        </w:rPr>
        <w:t xml:space="preserve">乙方不得将合同标的分包给他人履行。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8.3</w:t>
      </w:r>
      <w:r>
        <w:rPr>
          <w:rFonts w:ascii="宋体" w:hAnsi="宋体" w:cs="宋体"/>
          <w:color w:val="000000"/>
          <w:sz w:val="24"/>
        </w:rPr>
        <w:t xml:space="preserve">乙方如有转包或未经甲方同意的分包行为，甲方有权给予终止合同。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九、合同款项支付</w:t>
      </w:r>
      <w:r/>
    </w:p>
    <w:p>
      <w:pPr>
        <w:ind w:firstLine="482"/>
        <w:spacing w:before="120" w:after="120"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rPr>
        <w:t xml:space="preserve">合同签订后，乙方向甲方开具发票，甲方自收到发票之日起10个工作日内支付合同总价30%的预付款；所有产品交付并经验收合格后，乙方向甲方开具发票，甲方自收到发票之日起10个工作日内付清剩余合同价款。</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十、税费</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10.1</w:t>
      </w:r>
      <w:r>
        <w:rPr>
          <w:rFonts w:ascii="宋体" w:hAnsi="宋体" w:cs="宋体"/>
          <w:color w:val="000000"/>
          <w:sz w:val="24"/>
        </w:rPr>
        <w:t xml:space="preserve">本合同执行中相关的一切税费均由乙方负担。</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十一、质量保修范围和保修期及售后服务</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11.1 </w:t>
      </w:r>
      <w:r>
        <w:rPr>
          <w:rFonts w:ascii="宋体" w:hAnsi="宋体" w:cs="宋体"/>
          <w:color w:val="000000"/>
          <w:sz w:val="24"/>
        </w:rPr>
        <w:t xml:space="preserve">乙方应按招标文件规定的货物性能、技术要求、质量标准向甲方提供未经使用的全新产品。</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11.2 </w:t>
      </w:r>
      <w:r>
        <w:rPr>
          <w:rFonts w:ascii="宋体" w:hAnsi="宋体" w:cs="宋体"/>
          <w:color w:val="000000"/>
          <w:sz w:val="24"/>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⑴更换：由乙方承担所发生的全部费用。</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⑵贬值处理：由甲乙双方合议定价。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⑶退货处理：乙方应退还甲方支付的合同款，同时应承担该货物的直接费用（运输、保险、检验、货款利息及银行手续费等）。</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11.3 </w:t>
      </w:r>
      <w:r>
        <w:rPr>
          <w:rFonts w:ascii="宋体" w:hAnsi="宋体" w:cs="宋体"/>
          <w:color w:val="000000"/>
          <w:sz w:val="24"/>
        </w:rPr>
        <w:t xml:space="preserve">如在使用过程中发生质量问题，乙方在接到甲方通知后在</w:t>
      </w:r>
      <w:r>
        <w:rPr>
          <w:rFonts w:eastAsia="Times New Roman"/>
          <w:color w:val="000000"/>
          <w:sz w:val="24"/>
        </w:rPr>
        <w:t xml:space="preserve">_________</w:t>
      </w:r>
      <w:r>
        <w:rPr>
          <w:rFonts w:ascii="宋体" w:hAnsi="宋体" w:cs="宋体"/>
          <w:color w:val="000000"/>
          <w:sz w:val="24"/>
        </w:rPr>
        <w:t xml:space="preserve">小时内到达甲方现场。</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11.4 </w:t>
      </w:r>
      <w:r>
        <w:rPr>
          <w:rFonts w:ascii="宋体" w:hAnsi="宋体" w:cs="宋体"/>
          <w:color w:val="000000"/>
          <w:sz w:val="24"/>
        </w:rPr>
        <w:t xml:space="preserve">在质保期内，乙方应对货物出现的质量及安全问题负责处理解决并承担一切费用。</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11.5</w:t>
      </w:r>
      <w:r>
        <w:rPr>
          <w:rFonts w:ascii="宋体" w:hAnsi="宋体" w:cs="宋体"/>
          <w:color w:val="000000"/>
          <w:sz w:val="24"/>
        </w:rPr>
        <w:t xml:space="preserve">上述的货物免费保修期为</w:t>
      </w:r>
      <w:r>
        <w:rPr>
          <w:rFonts w:eastAsia="Times New Roman"/>
          <w:color w:val="000000"/>
          <w:sz w:val="24"/>
          <w:u w:val="single"/>
        </w:rPr>
        <w:t xml:space="preserve">     </w:t>
      </w:r>
      <w:r>
        <w:rPr>
          <w:rFonts w:ascii="宋体" w:hAnsi="宋体" w:cs="宋体"/>
          <w:color w:val="000000"/>
          <w:sz w:val="24"/>
        </w:rPr>
        <w:t xml:space="preserve">年（自交货验收合格之日起计），因人为因素出现的故障不在免费保修范围内。超过保修期的机器设备，终生维修，维修时只收部件成本费。</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十二、项目验收</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12.1 </w:t>
      </w:r>
      <w:r>
        <w:rPr>
          <w:rFonts w:ascii="宋体" w:hAnsi="宋体" w:cs="宋体"/>
          <w:color w:val="000000"/>
          <w:sz w:val="24"/>
        </w:rPr>
        <w:t xml:space="preserve">甲方依法组织履约验收工作。</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12.2 </w:t>
      </w:r>
      <w:r>
        <w:rPr>
          <w:rFonts w:ascii="宋体" w:hAnsi="宋体" w:cs="宋体"/>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12.3 </w:t>
      </w:r>
      <w:r>
        <w:rPr>
          <w:rFonts w:ascii="宋体" w:hAnsi="宋体" w:cs="宋体"/>
          <w:color w:val="000000"/>
          <w:sz w:val="24"/>
        </w:rPr>
        <w:t xml:space="preserve">对于实际使用人和甲方分离的项目，甲方邀请实际使用人参与验收。</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12.4 </w:t>
      </w:r>
      <w:r>
        <w:rPr>
          <w:rFonts w:ascii="宋体" w:hAnsi="宋体" w:cs="宋体"/>
          <w:color w:val="000000"/>
          <w:sz w:val="24"/>
        </w:rPr>
        <w:t xml:space="preserve">如有必要，甲方邀请参加本项目的其他供应商或第三方专业机构及专家参与验收，相关意见将作为验收书的参考资料。</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12.5 </w:t>
      </w:r>
      <w:r>
        <w:rPr>
          <w:rFonts w:ascii="宋体" w:hAnsi="宋体" w:cs="宋体"/>
          <w:color w:val="000000"/>
          <w:sz w:val="24"/>
        </w:rPr>
        <w:t xml:space="preserve">甲方成立验收小组，按照采购合同的约定对乙方的履约情况进行验收。验收时间、验收标准见招标文件验收内容。验收时</w:t>
      </w:r>
      <w:r>
        <w:rPr>
          <w:rFonts w:eastAsia="Times New Roman"/>
          <w:color w:val="000000"/>
          <w:sz w:val="24"/>
        </w:rPr>
        <w:t xml:space="preserve">,</w:t>
      </w:r>
      <w:r>
        <w:rPr>
          <w:rFonts w:ascii="宋体" w:hAnsi="宋体" w:cs="宋体"/>
          <w:color w:val="000000"/>
          <w:sz w:val="24"/>
        </w:rPr>
        <w:t xml:space="preserve">甲方按照采购合同的约定对每一项技术、商务要求的履约情况进行确认。验收结束后</w:t>
      </w:r>
      <w:r>
        <w:rPr>
          <w:rFonts w:eastAsia="Times New Roman"/>
          <w:color w:val="000000"/>
          <w:sz w:val="24"/>
        </w:rPr>
        <w:t xml:space="preserve">,</w:t>
      </w:r>
      <w:r>
        <w:rPr>
          <w:rFonts w:ascii="宋体" w:hAnsi="宋体" w:cs="宋体"/>
          <w:color w:val="000000"/>
          <w:sz w:val="24"/>
        </w:rPr>
        <w:t xml:space="preserve">验收小组出具验收书</w:t>
      </w:r>
      <w:r>
        <w:rPr>
          <w:rFonts w:eastAsia="Times New Roman"/>
          <w:color w:val="000000"/>
          <w:sz w:val="24"/>
        </w:rPr>
        <w:t xml:space="preserve">,</w:t>
      </w:r>
      <w:r>
        <w:rPr>
          <w:rFonts w:ascii="宋体" w:hAnsi="宋体" w:cs="宋体"/>
          <w:color w:val="000000"/>
          <w:sz w:val="24"/>
        </w:rPr>
        <w:t xml:space="preserve">列明各项标准的验收情况及项目总体评价</w:t>
      </w:r>
      <w:r>
        <w:rPr>
          <w:rFonts w:eastAsia="Times New Roman"/>
          <w:color w:val="000000"/>
          <w:sz w:val="24"/>
        </w:rPr>
        <w:t xml:space="preserve">,</w:t>
      </w:r>
      <w:r>
        <w:rPr>
          <w:rFonts w:ascii="宋体" w:hAnsi="宋体" w:cs="宋体"/>
          <w:color w:val="000000"/>
          <w:sz w:val="24"/>
        </w:rPr>
        <w:t xml:space="preserve">由验收双方共同签署。验收结果与采购合同约定的资金支付及履约保证金返还条件挂钩。履约验收的各项资料存档备查。</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12.6 </w:t>
      </w:r>
      <w:r>
        <w:rPr>
          <w:rFonts w:ascii="宋体" w:hAnsi="宋体" w:cs="宋体"/>
          <w:color w:val="000000"/>
          <w:sz w:val="24"/>
        </w:rPr>
        <w:t xml:space="preserve">验收合格的项目</w:t>
      </w:r>
      <w:r>
        <w:rPr>
          <w:rFonts w:eastAsia="Times New Roman"/>
          <w:color w:val="000000"/>
          <w:sz w:val="24"/>
        </w:rPr>
        <w:t xml:space="preserve">,</w:t>
      </w:r>
      <w:r>
        <w:rPr>
          <w:rFonts w:ascii="宋体" w:hAnsi="宋体" w:cs="宋体"/>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rPr>
        <w:t xml:space="preserve">,</w:t>
      </w:r>
      <w:r>
        <w:rPr>
          <w:rFonts w:ascii="宋体" w:hAnsi="宋体" w:cs="宋体"/>
          <w:color w:val="000000"/>
          <w:sz w:val="24"/>
        </w:rPr>
        <w:t xml:space="preserve">甲方将及时报告本级财政部门。</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十三、货物的包装、发运及运输</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13.1 </w:t>
      </w:r>
      <w:r>
        <w:rPr>
          <w:rFonts w:ascii="宋体" w:hAnsi="宋体" w:cs="宋体"/>
          <w:color w:val="000000"/>
          <w:sz w:val="24"/>
        </w:rPr>
        <w:t xml:space="preserve">乙方应在货物发运前对其进行满足运输距离、防潮、防震、防锈和防破损装卸等要求包装，以保证货物安全运达甲方指定地点。</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13.2 </w:t>
      </w:r>
      <w:r>
        <w:rPr>
          <w:rFonts w:ascii="宋体" w:hAnsi="宋体" w:cs="宋体"/>
          <w:color w:val="000000"/>
          <w:sz w:val="24"/>
        </w:rPr>
        <w:t xml:space="preserve">使用说明书、质量检验证明书、随配附件和工具以及清单一并附于货物内。</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13.3 </w:t>
      </w:r>
      <w:r>
        <w:rPr>
          <w:rFonts w:ascii="宋体" w:hAnsi="宋体" w:cs="宋体"/>
          <w:color w:val="000000"/>
          <w:sz w:val="24"/>
        </w:rPr>
        <w:t xml:space="preserve">乙方在货物发运手续办理完毕后</w:t>
      </w:r>
      <w:r>
        <w:rPr>
          <w:rFonts w:eastAsia="Times New Roman"/>
          <w:color w:val="000000"/>
          <w:sz w:val="24"/>
        </w:rPr>
        <w:t xml:space="preserve">24</w:t>
      </w:r>
      <w:r>
        <w:rPr>
          <w:rFonts w:ascii="宋体" w:hAnsi="宋体" w:cs="宋体"/>
          <w:color w:val="000000"/>
          <w:sz w:val="24"/>
        </w:rPr>
        <w:t xml:space="preserve">小时内或货到甲方</w:t>
      </w:r>
      <w:r>
        <w:rPr>
          <w:rFonts w:eastAsia="Times New Roman"/>
          <w:color w:val="000000"/>
          <w:sz w:val="24"/>
        </w:rPr>
        <w:t xml:space="preserve">48</w:t>
      </w:r>
      <w:r>
        <w:rPr>
          <w:rFonts w:ascii="宋体" w:hAnsi="宋体" w:cs="宋体"/>
          <w:color w:val="000000"/>
          <w:sz w:val="24"/>
        </w:rPr>
        <w:t xml:space="preserve">小时前通知甲方，以准备接货。</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13.4 </w:t>
      </w:r>
      <w:r>
        <w:rPr>
          <w:rFonts w:ascii="宋体" w:hAnsi="宋体" w:cs="宋体"/>
          <w:color w:val="000000"/>
          <w:sz w:val="24"/>
        </w:rPr>
        <w:t xml:space="preserve">货物在交付甲方前发生的风险均由乙方负责。</w:t>
      </w:r>
      <w:r/>
    </w:p>
    <w:p>
      <w:pPr>
        <w:ind w:firstLine="480"/>
        <w:spacing w:before="156" w:after="156"/>
        <w:pBdr>
          <w:top w:val="none" w:color="000000" w:sz="0" w:space="0"/>
          <w:left w:val="none" w:color="000000" w:sz="0" w:space="0"/>
          <w:bottom w:val="none" w:color="000000" w:sz="0" w:space="0"/>
          <w:right w:val="none" w:color="000000" w:sz="0" w:space="0"/>
        </w:pBdr>
      </w:pPr>
      <w:r>
        <w:rPr>
          <w:rFonts w:eastAsia="Times New Roman"/>
          <w:color w:val="000000"/>
          <w:sz w:val="24"/>
        </w:rPr>
        <w:t xml:space="preserve">13.5 </w:t>
      </w:r>
      <w:r>
        <w:rPr>
          <w:rFonts w:ascii="宋体" w:hAnsi="宋体" w:cs="宋体"/>
          <w:color w:val="000000"/>
          <w:sz w:val="24"/>
        </w:rPr>
        <w:t xml:space="preserve">货物在规定的交付期限内由乙方送达甲方指定的地点视为交付，乙方同时需通知甲方货物已送达。</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十四、违约责任</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14.1 </w:t>
      </w:r>
      <w:r>
        <w:rPr>
          <w:rFonts w:ascii="宋体" w:hAnsi="宋体" w:cs="宋体"/>
          <w:color w:val="000000"/>
          <w:sz w:val="24"/>
        </w:rPr>
        <w:t xml:space="preserve">甲方无正当理由拒收货物的，甲方向乙方偿付拒收货款总值</w:t>
      </w:r>
      <w:r>
        <w:rPr>
          <w:rFonts w:eastAsia="Times New Roman"/>
          <w:color w:val="000000"/>
          <w:sz w:val="24"/>
          <w:u w:val="single"/>
        </w:rPr>
        <w:t xml:space="preserve">     </w:t>
      </w:r>
      <w:r>
        <w:rPr>
          <w:rFonts w:ascii="宋体" w:hAnsi="宋体" w:cs="宋体"/>
          <w:color w:val="000000"/>
          <w:sz w:val="24"/>
        </w:rPr>
        <w:t xml:space="preserve">的违约金。</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14.2 </w:t>
      </w:r>
      <w:r>
        <w:rPr>
          <w:rFonts w:ascii="宋体" w:hAnsi="宋体" w:cs="宋体"/>
          <w:color w:val="000000"/>
          <w:sz w:val="24"/>
        </w:rPr>
        <w:t xml:space="preserve">甲方无故逾期验收和办理货款支付手续的</w:t>
      </w:r>
      <w:r>
        <w:rPr>
          <w:rFonts w:eastAsia="Times New Roman"/>
          <w:color w:val="000000"/>
          <w:sz w:val="24"/>
        </w:rPr>
        <w:t xml:space="preserve">,</w:t>
      </w:r>
      <w:r>
        <w:rPr>
          <w:rFonts w:ascii="宋体" w:hAnsi="宋体" w:cs="宋体"/>
          <w:color w:val="000000"/>
          <w:sz w:val="24"/>
        </w:rPr>
        <w:t xml:space="preserve">甲方应按逾期付款总额每日</w:t>
      </w:r>
      <w:r>
        <w:rPr>
          <w:rFonts w:eastAsia="Times New Roman"/>
          <w:color w:val="000000"/>
          <w:sz w:val="24"/>
        </w:rPr>
        <w:t xml:space="preserve">       </w:t>
      </w:r>
      <w:r>
        <w:rPr>
          <w:rFonts w:ascii="宋体" w:hAnsi="宋体" w:cs="宋体"/>
          <w:color w:val="000000"/>
          <w:sz w:val="24"/>
        </w:rPr>
        <w:t xml:space="preserve">向乙方支付违约金。</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14.3 </w:t>
      </w:r>
      <w:r>
        <w:rPr>
          <w:rFonts w:ascii="宋体" w:hAnsi="宋体" w:cs="宋体"/>
          <w:color w:val="000000"/>
          <w:sz w:val="24"/>
        </w:rPr>
        <w:t xml:space="preserve">乙方逾期交付货物的，乙方应按逾期交货总额每日</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向甲方支付违约金，由甲方从待付货款中扣除。逾期超过约定日期</w:t>
      </w:r>
      <w:r>
        <w:rPr>
          <w:rFonts w:eastAsia="Times New Roman"/>
          <w:color w:val="000000"/>
          <w:sz w:val="24"/>
        </w:rPr>
        <w:t xml:space="preserve">10</w:t>
      </w:r>
      <w:r>
        <w:rPr>
          <w:rFonts w:ascii="宋体" w:hAnsi="宋体" w:cs="宋体"/>
          <w:color w:val="000000"/>
          <w:sz w:val="24"/>
        </w:rPr>
        <w:t xml:space="preserve">个工作日不能交货的，甲方可解除本合同。乙方因逾期交货或因其他违约行为导致甲方解除合同的，乙方应向甲方支付合同总值</w:t>
      </w:r>
      <w:r>
        <w:rPr>
          <w:rFonts w:eastAsia="Times New Roman"/>
          <w:color w:val="000000"/>
          <w:sz w:val="24"/>
          <w:u w:val="single"/>
        </w:rPr>
        <w:t xml:space="preserve">    </w:t>
      </w:r>
      <w:r>
        <w:rPr>
          <w:rFonts w:ascii="宋体" w:hAnsi="宋体" w:cs="宋体"/>
          <w:color w:val="000000"/>
          <w:sz w:val="24"/>
        </w:rPr>
        <w:t xml:space="preserve">的违约金，如造成甲方损失超过违约金的，超出部分由乙方继续承担赔偿责任。</w:t>
      </w:r>
      <w:r>
        <w:rPr>
          <w:rFonts w:eastAsia="Times New Roman"/>
          <w:color w:val="000000"/>
          <w:sz w:val="24"/>
        </w:rPr>
        <w:t xml:space="preserve"> </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14.4 </w:t>
      </w:r>
      <w:r>
        <w:rPr>
          <w:rFonts w:ascii="宋体" w:hAnsi="宋体" w:cs="宋体"/>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十五、不可抗力事件处理</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15.1 </w:t>
      </w:r>
      <w:r>
        <w:rPr>
          <w:rFonts w:ascii="宋体" w:hAnsi="宋体" w:cs="宋体"/>
          <w:color w:val="000000"/>
          <w:sz w:val="24"/>
        </w:rPr>
        <w:t xml:space="preserve">在合同有效期内，任何一方因不可抗力事件导致不能履行合同，则合同履行期可延长，其延长期与不可抗力影响期相同。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15.2 </w:t>
      </w:r>
      <w:r>
        <w:rPr>
          <w:rFonts w:ascii="宋体" w:hAnsi="宋体" w:cs="宋体"/>
          <w:color w:val="000000"/>
          <w:sz w:val="24"/>
        </w:rPr>
        <w:t xml:space="preserve">不可抗力事件发生后，应立即通知对方，并寄送有关权威机构出具的证明。</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15.3 </w:t>
      </w:r>
      <w:r>
        <w:rPr>
          <w:rFonts w:ascii="宋体" w:hAnsi="宋体" w:cs="宋体"/>
          <w:color w:val="000000"/>
          <w:sz w:val="24"/>
        </w:rPr>
        <w:t xml:space="preserve">不可抗力事件延续</w:t>
      </w:r>
      <w:r>
        <w:rPr>
          <w:rFonts w:eastAsia="Times New Roman"/>
          <w:color w:val="000000"/>
          <w:sz w:val="24"/>
        </w:rPr>
        <w:t xml:space="preserve">120</w:t>
      </w:r>
      <w:r>
        <w:rPr>
          <w:rFonts w:ascii="宋体" w:hAnsi="宋体" w:cs="宋体"/>
          <w:color w:val="000000"/>
          <w:sz w:val="24"/>
        </w:rPr>
        <w:t xml:space="preserve">天以上，双方应通过友好协商，确定是否继续履行合同。</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十六、解决争议的方法</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16.1</w:t>
      </w:r>
      <w:r>
        <w:rPr>
          <w:rFonts w:ascii="宋体" w:hAnsi="宋体" w:cs="宋体"/>
          <w:color w:val="000000"/>
          <w:sz w:val="24"/>
        </w:rPr>
        <w:t xml:space="preserve">甲乙双方因合同签订、履行而发生的一切争议，应通过友好协商解决。如协商不成由甲方住所地人民法院管辖。</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十七、合同生效及其它</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17.1 </w:t>
      </w:r>
      <w:r>
        <w:rPr>
          <w:rFonts w:ascii="宋体" w:hAnsi="宋体" w:cs="宋体"/>
          <w:color w:val="000000"/>
          <w:sz w:val="24"/>
        </w:rPr>
        <w:t xml:space="preserve">合同经双方法定代表人或授权委托代表人签字并加盖单位公章后生效。</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17.2</w:t>
      </w:r>
      <w:r>
        <w:rPr>
          <w:rFonts w:ascii="宋体" w:hAnsi="宋体" w:cs="宋体"/>
          <w:color w:val="000000"/>
          <w:sz w:val="24"/>
        </w:rPr>
        <w:t xml:space="preserve">本合同未尽事宜，遵照《中华人民共和国民法典》《中华人民共和国政府采购法》有关条文执行。</w:t>
      </w:r>
      <w:r/>
    </w:p>
    <w:p>
      <w:pPr>
        <w:ind w:firstLine="480"/>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17.3 </w:t>
      </w:r>
      <w:r>
        <w:rPr>
          <w:rFonts w:ascii="宋体" w:hAnsi="宋体" w:cs="宋体"/>
          <w:color w:val="000000"/>
          <w:sz w:val="24"/>
        </w:rPr>
        <w:t xml:space="preserve">本合同正本一式</w:t>
      </w:r>
      <w:r>
        <w:rPr>
          <w:rFonts w:eastAsia="Times New Roman"/>
          <w:color w:val="000000"/>
          <w:sz w:val="24"/>
        </w:rPr>
        <w:t xml:space="preserve">___</w:t>
      </w:r>
      <w:r>
        <w:rPr>
          <w:rFonts w:ascii="宋体" w:hAnsi="宋体" w:cs="宋体"/>
          <w:color w:val="000000"/>
          <w:sz w:val="24"/>
        </w:rPr>
        <w:t xml:space="preserve">份，具有同等法律效力，甲方、乙方各执一份。</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甲方（盖章）：         </w:t>
      </w:r>
      <w:r>
        <w:rPr>
          <w:rFonts w:eastAsia="Times New Roman"/>
          <w:color w:val="000000"/>
          <w:sz w:val="24"/>
        </w:rPr>
        <w:t xml:space="preserve">            </w:t>
      </w:r>
      <w:r>
        <w:rPr>
          <w:rFonts w:ascii="宋体" w:hAnsi="宋体" w:cs="宋体"/>
          <w:color w:val="000000"/>
          <w:sz w:val="24"/>
        </w:rPr>
        <w:t xml:space="preserve"> </w:t>
      </w:r>
      <w:r>
        <w:rPr>
          <w:rFonts w:eastAsia="Times New Roman"/>
          <w:color w:val="000000"/>
          <w:sz w:val="24"/>
        </w:rPr>
        <w:t xml:space="preserve"> </w:t>
      </w:r>
      <w:r>
        <w:rPr>
          <w:rFonts w:ascii="宋体" w:hAnsi="宋体" w:cs="宋体"/>
          <w:color w:val="000000"/>
          <w:sz w:val="24"/>
        </w:rPr>
        <w:t xml:space="preserve">乙方（盖章）：</w:t>
      </w:r>
      <w:r>
        <w:rPr>
          <w:rFonts w:eastAsia="Times New Roman"/>
          <w:color w:val="000000"/>
          <w:sz w:val="24"/>
        </w:rPr>
        <w:t xml:space="preserve">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eastAsia="Times New Roman"/>
          <w:color w:val="000000"/>
          <w:sz w:val="24"/>
        </w:rPr>
        <w:t xml:space="preserve"> </w:t>
      </w:r>
      <w:r>
        <w:rPr>
          <w:rFonts w:ascii="宋体" w:hAnsi="宋体" w:cs="宋体"/>
          <w:color w:val="000000"/>
          <w:sz w:val="24"/>
        </w:rPr>
        <w:t xml:space="preserve"> 地址：</w:t>
      </w:r>
      <w:r>
        <w:rPr>
          <w:rFonts w:eastAsia="Times New Roman"/>
          <w:color w:val="000000"/>
          <w:sz w:val="24"/>
        </w:rPr>
        <w:t xml:space="preserve">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w:t>
      </w:r>
      <w:r>
        <w:rPr>
          <w:rFonts w:eastAsia="Times New Roman"/>
          <w:color w:val="000000"/>
          <w:sz w:val="24"/>
        </w:rPr>
        <w:t xml:space="preserve">                  </w:t>
      </w:r>
      <w:r>
        <w:rPr>
          <w:rFonts w:ascii="宋体" w:hAnsi="宋体" w:cs="宋体"/>
          <w:color w:val="000000"/>
          <w:sz w:val="24"/>
        </w:rPr>
        <w:t xml:space="preserve">法定代表人或授权代表：</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eastAsia="Times New Roman"/>
          <w:color w:val="000000"/>
          <w:sz w:val="24"/>
        </w:rPr>
        <w:t xml:space="preserve">                          </w:t>
      </w:r>
      <w:r>
        <w:rPr>
          <w:rFonts w:ascii="宋体" w:hAnsi="宋体" w:cs="宋体"/>
          <w:color w:val="000000"/>
          <w:sz w:val="24"/>
        </w:rPr>
        <w:t xml:space="preserve">      </w:t>
      </w:r>
      <w:r>
        <w:rPr>
          <w:rFonts w:eastAsia="Times New Roman"/>
          <w:color w:val="000000"/>
          <w:sz w:val="24"/>
        </w:rPr>
        <w:t xml:space="preserve">    </w:t>
      </w:r>
      <w:r>
        <w:rPr>
          <w:rFonts w:ascii="宋体" w:hAnsi="宋体" w:cs="宋体"/>
          <w:color w:val="000000"/>
          <w:sz w:val="24"/>
        </w:rPr>
        <w:t xml:space="preserve">联系电话：</w:t>
      </w:r>
      <w:r>
        <w:rPr>
          <w:rFonts w:eastAsia="Times New Roman"/>
          <w:color w:val="000000"/>
          <w:sz w:val="24"/>
        </w:rPr>
        <w:t xml:space="preserve">          </w:t>
      </w:r>
      <w:r/>
    </w:p>
    <w:p>
      <w:pPr>
        <w:ind w:firstLine="480"/>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  签订日期：</w:t>
      </w:r>
      <w:r>
        <w:rPr>
          <w:rFonts w:eastAsia="Times New Roman"/>
          <w:color w:val="000000"/>
          <w:sz w:val="24"/>
        </w:rPr>
        <w:t xml:space="preserve">      </w:t>
      </w:r>
      <w:r>
        <w:rPr>
          <w:rFonts w:ascii="宋体" w:hAnsi="宋体" w:cs="宋体"/>
          <w:color w:val="000000"/>
          <w:sz w:val="24"/>
        </w:rPr>
        <w:t xml:space="preserve">年</w:t>
      </w:r>
      <w:r>
        <w:rPr>
          <w:rFonts w:eastAsia="Times New Roman"/>
          <w:color w:val="000000"/>
          <w:sz w:val="24"/>
        </w:rPr>
        <w:t xml:space="preserve">    </w:t>
      </w:r>
      <w:r>
        <w:rPr>
          <w:rFonts w:ascii="宋体" w:hAnsi="宋体" w:cs="宋体"/>
          <w:color w:val="000000"/>
          <w:sz w:val="24"/>
        </w:rPr>
        <w:t xml:space="preserve">月</w:t>
      </w:r>
      <w:r>
        <w:rPr>
          <w:rFonts w:eastAsia="Times New Roman"/>
          <w:color w:val="000000"/>
          <w:sz w:val="24"/>
        </w:rPr>
        <w:t xml:space="preserve">   </w:t>
      </w:r>
      <w:r>
        <w:rPr>
          <w:rFonts w:ascii="宋体" w:hAnsi="宋体" w:cs="宋体"/>
          <w:color w:val="000000"/>
          <w:sz w:val="24"/>
        </w:rPr>
        <w:t xml:space="preserve">日</w:t>
      </w:r>
      <w:r/>
    </w:p>
    <w:p>
      <w:pPr>
        <w:pStyle w:val="935"/>
        <w:jc w:val="center"/>
        <w:spacing w:before="120" w:after="120" w:line="0" w:lineRule="atLeast"/>
      </w:pPr>
      <w:r/>
      <w:r/>
    </w:p>
    <w:p>
      <w:pPr>
        <w:pStyle w:val="919"/>
        <w:rPr>
          <w:rFonts w:hAnsi="宋体"/>
          <w:sz w:val="24"/>
          <w:szCs w:val="24"/>
        </w:rPr>
      </w:pPr>
      <w:r>
        <w:br w:type="page" w:clear="all"/>
      </w:r>
      <w:bookmarkStart w:id="182" w:name="_Toc14893"/>
      <w:r/>
      <w:bookmarkStart w:id="183" w:name="_Toc6785"/>
      <w:r>
        <w:rPr>
          <w:rStyle w:val="954"/>
          <w:rFonts w:hint="eastAsia"/>
          <w:b/>
          <w:bCs/>
        </w:rPr>
        <w:t xml:space="preserve">第四章 采购需求</w:t>
      </w:r>
      <w:bookmarkEnd w:id="182"/>
      <w:r/>
      <w:bookmarkEnd w:id="183"/>
      <w:r/>
      <w:r/>
    </w:p>
    <w:p>
      <w:pPr>
        <w:spacing w:line="0" w:lineRule="atLeast"/>
        <w:rPr>
          <w:rFonts w:ascii="宋体" w:hAnsi="宋体"/>
          <w:color w:val="000000"/>
          <w:sz w:val="24"/>
          <w:szCs w:val="24"/>
        </w:rPr>
      </w:pPr>
      <w:r/>
      <w:bookmarkStart w:id="184" w:name="_Toc26554093"/>
      <w:r/>
      <w:bookmarkStart w:id="185" w:name="_Toc49090575"/>
      <w:r/>
      <w:r/>
    </w:p>
    <w:p>
      <w:pPr>
        <w:spacing w:line="0" w:lineRule="atLeast"/>
        <w:rPr>
          <w:rFonts w:ascii="宋体" w:hAnsi="宋体"/>
          <w:color w:val="000000"/>
          <w:sz w:val="24"/>
          <w:szCs w:val="24"/>
          <w:highlight w:val="yellow"/>
        </w:rPr>
      </w:pPr>
      <w:r>
        <w:rPr>
          <w:rFonts w:hint="eastAsia" w:ascii="宋体" w:hAnsi="宋体"/>
          <w:color w:val="000000"/>
          <w:sz w:val="24"/>
          <w:szCs w:val="24"/>
        </w:rPr>
        <w:t xml:space="preserve">项目属性:货物类项目。</w:t>
      </w:r>
      <w:r/>
    </w:p>
    <w:p>
      <w:pPr>
        <w:ind w:firstLine="480"/>
        <w:spacing w:line="360" w:lineRule="auto"/>
        <w:rPr>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其他要求</w:t>
      </w:r>
      <w:r/>
    </w:p>
    <w:p>
      <w:pPr>
        <w:ind w:firstLine="480"/>
        <w:spacing w:line="360" w:lineRule="auto"/>
        <w:rPr>
          <w:rFonts w:hint="eastAsia"/>
          <w:bCs/>
          <w:i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Cs/>
          <w:iCs/>
          <w:color w:val="000000" w:themeColor="text1"/>
          <w:sz w:val="24"/>
          <w:szCs w:val="24"/>
          <w14:textFill>
            <w14:solidFill>
              <w14:schemeClr w14:val="tx1"/>
            </w14:solidFill>
          </w14:textFill>
        </w:rPr>
        <w:t xml:space="preserve">1.严格执行政府采购关于支持</w:t>
      </w:r>
      <w:r>
        <w:rPr>
          <w:rFonts w:hint="eastAsia"/>
          <w:bCs/>
          <w:iCs/>
          <w:color w:val="000000" w:themeColor="text1"/>
          <w:sz w:val="24"/>
          <w:szCs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themeColor="text1"/>
          <w:sz w:val="24"/>
          <w:szCs w:val="24"/>
          <w:highlight w:val="none"/>
          <w14:textFill>
            <w14:solidFill>
              <w14:schemeClr w14:val="tx1"/>
            </w14:solidFill>
          </w14:textFill>
        </w:rPr>
        <w:t xml:space="preserve">（本项目的</w:t>
      </w:r>
      <w:r>
        <w:rPr>
          <w:rFonts w:hint="eastAsia"/>
          <w:bCs/>
          <w:iCs/>
          <w:color w:val="000000" w:themeColor="text1"/>
          <w:sz w:val="24"/>
          <w:szCs w:val="24"/>
          <w:highlight w:val="none"/>
          <w:lang w:eastAsia="zh-CN"/>
          <w14:textFill>
            <w14:solidFill>
              <w14:schemeClr w14:val="tx1"/>
            </w14:solidFill>
          </w14:textFill>
        </w:rPr>
        <w:t xml:space="preserve">政府</w:t>
      </w:r>
      <w:r>
        <w:rPr>
          <w:bCs/>
          <w:iCs/>
          <w:color w:val="000000" w:themeColor="text1"/>
          <w:sz w:val="24"/>
          <w:szCs w:val="24"/>
          <w:highlight w:val="none"/>
          <w14:textFill>
            <w14:solidFill>
              <w14:schemeClr w14:val="tx1"/>
            </w14:solidFill>
          </w14:textFill>
        </w:rPr>
        <w:t xml:space="preserve">强制节能</w:t>
      </w:r>
      <w:r>
        <w:rPr>
          <w:rFonts w:hint="eastAsia"/>
          <w:bCs/>
          <w:iCs/>
          <w:color w:val="000000" w:themeColor="text1"/>
          <w:sz w:val="24"/>
          <w:szCs w:val="24"/>
          <w:highlight w:val="none"/>
          <w:lang w:eastAsia="zh-CN"/>
          <w14:textFill>
            <w14:solidFill>
              <w14:schemeClr w14:val="tx1"/>
            </w14:solidFill>
          </w14:textFill>
        </w:rPr>
        <w:t xml:space="preserve">认证</w:t>
      </w:r>
      <w:r>
        <w:rPr>
          <w:bCs/>
          <w:iCs/>
          <w:color w:val="000000" w:themeColor="text1"/>
          <w:sz w:val="24"/>
          <w:szCs w:val="24"/>
          <w:highlight w:val="none"/>
          <w14:textFill>
            <w14:solidFill>
              <w14:schemeClr w14:val="tx1"/>
            </w14:solidFill>
          </w14:textFill>
        </w:rPr>
        <w:t xml:space="preserve">产品：</w:t>
      </w:r>
      <w:r>
        <w:rPr>
          <w:rFonts w:hint="eastAsia"/>
          <w:bCs/>
          <w:iCs/>
          <w:color w:val="000000" w:themeColor="text1"/>
          <w:sz w:val="24"/>
          <w:szCs w:val="24"/>
          <w:highlight w:val="none"/>
          <w14:textFill>
            <w14:solidFill>
              <w14:schemeClr w14:val="tx1"/>
            </w14:solidFill>
          </w14:textFill>
        </w:rPr>
        <w:t xml:space="preserve">A4黑白打印机</w:t>
      </w:r>
      <w:r>
        <w:rPr>
          <w:rFonts w:hint="eastAsia"/>
          <w:bCs/>
          <w:iCs/>
          <w:color w:val="000000" w:themeColor="text1"/>
          <w:sz w:val="24"/>
          <w:szCs w:val="24"/>
          <w:highlight w:val="none"/>
          <w:lang w:eastAsia="zh-CN"/>
          <w14:textFill>
            <w14:solidFill>
              <w14:schemeClr w14:val="tx1"/>
            </w14:solidFill>
          </w14:textFill>
        </w:rPr>
        <w:t xml:space="preserve">）</w:t>
      </w:r>
      <w:r/>
    </w:p>
    <w:p>
      <w:pPr>
        <w:ind w:firstLine="480"/>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jc w:val="center"/>
        <w:spacing w:line="500" w:lineRule="exact"/>
        <w:rPr>
          <w:rFonts w:ascii="宋体" w:hAnsi="宋体"/>
          <w:sz w:val="24"/>
          <w:szCs w:val="24"/>
          <w:highlight w:val="yellow"/>
        </w:rPr>
      </w:pPr>
      <w:r>
        <w:rPr>
          <w:rFonts w:hint="eastAsia" w:ascii="宋体" w:hAnsi="宋体"/>
          <w:sz w:val="24"/>
          <w:szCs w:val="24"/>
        </w:rPr>
        <w:t xml:space="preserve">采购标的对应的中小企业划分标准所属行业一览表</w:t>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977"/>
        <w:gridCol w:w="3998"/>
      </w:tblGrid>
      <w:tr>
        <w:trPr>
          <w:cantSplit/>
          <w:jc w:val="center"/>
        </w:trPr>
        <w:tc>
          <w:tcPr>
            <w:tcW w:w="7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9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9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04"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977" w:type="dxa"/>
            <w:textDirection w:val="lrTb"/>
            <w:noWrap w:val="false"/>
          </w:tcPr>
          <w:p>
            <w:pPr>
              <w:jc w:val="center"/>
              <w:rPr>
                <w:rFonts w:ascii="宋体" w:hAnsi="宋体"/>
                <w:sz w:val="24"/>
                <w:szCs w:val="24"/>
              </w:rPr>
            </w:pPr>
            <w:r>
              <w:rPr>
                <w:rFonts w:hint="eastAsia" w:ascii="宋体" w:hAnsi="宋体"/>
                <w:sz w:val="24"/>
                <w:szCs w:val="24"/>
              </w:rPr>
              <w:t xml:space="preserve">扬州市职业大学高邮湖校区信息化设备采购</w:t>
            </w:r>
            <w:r/>
          </w:p>
        </w:tc>
        <w:tc>
          <w:tcPr>
            <w:tcW w:w="3998" w:type="dxa"/>
            <w:vAlign w:val="center"/>
            <w:textDirection w:val="lrTb"/>
            <w:noWrap w:val="false"/>
          </w:tcPr>
          <w:p>
            <w:pPr>
              <w:jc w:val="center"/>
              <w:rPr>
                <w:rFonts w:ascii="宋体" w:hAnsi="宋体"/>
                <w:sz w:val="24"/>
                <w:szCs w:val="24"/>
              </w:rPr>
            </w:pPr>
            <w:r>
              <w:rPr>
                <w:rFonts w:hint="eastAsia" w:ascii="宋体" w:hAnsi="宋体"/>
                <w:sz w:val="24"/>
                <w:szCs w:val="24"/>
              </w:rPr>
              <w:t xml:space="preserve">工业</w:t>
            </w:r>
            <w:r/>
          </w:p>
        </w:tc>
      </w:tr>
    </w:tbl>
    <w:p>
      <w:pPr>
        <w:jc w:val="center"/>
        <w:spacing w:line="500" w:lineRule="exact"/>
        <w:rPr>
          <w:rFonts w:ascii="宋体" w:hAnsi="宋体"/>
          <w:sz w:val="24"/>
          <w:szCs w:val="24"/>
        </w:rPr>
      </w:pPr>
      <w:r>
        <w:rPr>
          <w:rFonts w:ascii="宋体" w:hAnsi="宋体"/>
          <w:sz w:val="24"/>
          <w:szCs w:val="24"/>
        </w:rPr>
      </w:r>
      <w:r/>
    </w:p>
    <w:p>
      <w:pPr>
        <w:jc w:val="left"/>
        <w:spacing w:line="360" w:lineRule="auto"/>
        <w:rPr>
          <w:bCs/>
          <w:iCs/>
          <w:color w:val="000000" w:themeColor="text1"/>
          <w:sz w:val="24"/>
          <w:szCs w:val="24"/>
          <w14:textFill>
            <w14:solidFill>
              <w14:schemeClr w14:val="tx1"/>
            </w14:solidFill>
          </w14:textFill>
        </w:rPr>
      </w:pPr>
      <w:r>
        <w:rPr>
          <w:bCs/>
          <w:iCs/>
          <w:color w:val="000000" w:themeColor="text1"/>
          <w:sz w:val="24"/>
          <w:szCs w:val="24"/>
          <w14:textFill>
            <w14:solidFill>
              <w14:schemeClr w14:val="tx1"/>
            </w14:solidFill>
          </w14:textFill>
        </w:rPr>
      </w:r>
      <w:r/>
    </w:p>
    <w:p>
      <w:pPr>
        <w:jc w:val="left"/>
        <w:spacing w:line="360" w:lineRule="auto"/>
        <w:rPr>
          <w:color w:val="0000ff"/>
          <w:sz w:val="24"/>
          <w:szCs w:val="24"/>
        </w:rPr>
      </w:pPr>
      <w:r>
        <w:rPr>
          <w:rFonts w:hint="eastAsia"/>
          <w:bCs/>
          <w:iCs/>
          <w:color w:val="000000" w:themeColor="text1"/>
          <w:sz w:val="24"/>
          <w:szCs w:val="24"/>
          <w14:textFill>
            <w14:solidFill>
              <w14:schemeClr w14:val="tx1"/>
            </w14:solidFill>
          </w14:textFill>
        </w:rPr>
        <w:t xml:space="preserve">本项目的核心产品为</w:t>
      </w:r>
      <w:r>
        <w:rPr>
          <w:rFonts w:hint="eastAsia"/>
          <w:sz w:val="24"/>
          <w:szCs w:val="24"/>
        </w:rPr>
        <w:t xml:space="preserve">：</w:t>
      </w:r>
      <w:r>
        <w:rPr>
          <w:rFonts w:hint="eastAsia"/>
          <w:color w:val="0000ff"/>
          <w:sz w:val="24"/>
          <w:szCs w:val="24"/>
        </w:rPr>
        <w:t xml:space="preserve">红外人脸抓拍半球（巡考专用）。</w:t>
      </w:r>
      <w:r/>
    </w:p>
    <w:p>
      <w:pPr>
        <w:pStyle w:val="922"/>
        <w:jc w:val="left"/>
        <w:spacing w:before="0" w:after="0" w:line="360" w:lineRule="auto"/>
        <w:rPr>
          <w:sz w:val="24"/>
          <w:szCs w:val="24"/>
        </w:rPr>
      </w:pPr>
      <w:r>
        <w:rPr>
          <w:rFonts w:hint="eastAsia"/>
          <w:sz w:val="24"/>
          <w:szCs w:val="24"/>
        </w:rPr>
        <w:t xml:space="preserve">一、采购清单及技术参数</w:t>
      </w:r>
      <w:r/>
    </w:p>
    <w:p>
      <w:pPr>
        <w:ind w:firstLine="48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投标人所投产品应能够达到以下技术参数要求，同时明确所投产品的品牌、型号、规格和外形、尺寸等详细的技术参数及性能说明，投标人应如实响应参数要求。</w:t>
      </w:r>
      <w:r/>
    </w:p>
    <w:p>
      <w:pPr>
        <w:rPr>
          <w:rFonts w:hint="eastAsia"/>
        </w:rPr>
      </w:pPr>
      <w:r>
        <w:rPr>
          <w:rFonts w:hint="eastAsia"/>
        </w:rPr>
      </w:r>
      <w:r/>
    </w:p>
    <w:p>
      <w:pPr>
        <w:rPr>
          <w:rFonts w:asciiTheme="minorEastAsia" w:hAnsiTheme="minorEastAsia" w:eastAsiaTheme="minorEastAsia"/>
          <w:i/>
          <w:color w:val="auto"/>
          <w:sz w:val="24"/>
          <w:szCs w:val="24"/>
          <w:u w:val="single"/>
        </w:rPr>
      </w:pPr>
      <w:r>
        <w:rPr>
          <w:rFonts w:hint="eastAsia" w:asciiTheme="minorEastAsia" w:hAnsiTheme="minorEastAsia" w:eastAsiaTheme="minorEastAsia"/>
          <w:i/>
          <w:color w:val="auto"/>
          <w:sz w:val="24"/>
          <w:szCs w:val="24"/>
          <w:u w:val="single"/>
        </w:rPr>
        <w:t xml:space="preserve">1、软件平台服务器、SIP网关网络存储服务器、流媒体存储服务器、平台服务器必须满足【财库〔2023〕33号】财政部、工业和信息化部关于印发《通用服务器政府采购需求标准（2023年版）》的通知中的政府采购需求标准；【投标人需按技术参数要求内容填写《技术参数响应及偏离表》并提供承诺函，加盖公章扫描上传】</w:t>
      </w:r>
      <w:r/>
    </w:p>
    <w:p>
      <w:pPr>
        <w:rPr>
          <w:rFonts w:hint="eastAsia" w:asciiTheme="minorEastAsia" w:hAnsiTheme="minorEastAsia" w:eastAsiaTheme="minorEastAsia"/>
          <w:i/>
          <w:color w:val="auto"/>
          <w:sz w:val="24"/>
          <w:szCs w:val="24"/>
          <w:u w:val="single"/>
        </w:rPr>
      </w:pPr>
      <w:r>
        <w:rPr>
          <w:rFonts w:asciiTheme="minorEastAsia" w:hAnsiTheme="minorEastAsia" w:eastAsiaTheme="minorEastAsia"/>
          <w:i/>
          <w:color w:val="auto"/>
          <w:sz w:val="24"/>
          <w:szCs w:val="24"/>
          <w:u w:val="single"/>
        </w:rPr>
        <w:t xml:space="preserve">2、</w:t>
      </w:r>
      <w:r>
        <w:rPr>
          <w:rFonts w:hint="eastAsia" w:asciiTheme="minorEastAsia" w:hAnsiTheme="minorEastAsia" w:eastAsiaTheme="minorEastAsia"/>
          <w:i/>
          <w:color w:val="auto"/>
          <w:sz w:val="24"/>
          <w:szCs w:val="24"/>
          <w:u w:val="single"/>
          <w:lang w:eastAsia="zh-CN"/>
        </w:rPr>
        <w:t xml:space="preserve">服务器</w:t>
      </w:r>
      <w:r>
        <w:rPr>
          <w:rFonts w:hint="eastAsia" w:asciiTheme="minorEastAsia" w:hAnsiTheme="minorEastAsia" w:eastAsiaTheme="minorEastAsia"/>
          <w:i/>
          <w:color w:val="auto"/>
          <w:sz w:val="24"/>
          <w:szCs w:val="24"/>
          <w:u w:val="single"/>
        </w:rPr>
        <w:t xml:space="preserve">及存储设备</w:t>
      </w:r>
      <w:r>
        <w:rPr>
          <w:rFonts w:hint="eastAsia" w:asciiTheme="minorEastAsia" w:hAnsiTheme="minorEastAsia" w:eastAsiaTheme="minorEastAsia"/>
          <w:i/>
          <w:color w:val="auto"/>
          <w:sz w:val="24"/>
          <w:szCs w:val="24"/>
          <w:u w:val="single"/>
          <w:lang w:eastAsia="zh-CN"/>
        </w:rPr>
        <w:t xml:space="preserve">、</w:t>
      </w:r>
      <w:r>
        <w:rPr>
          <w:rFonts w:asciiTheme="minorEastAsia" w:hAnsiTheme="minorEastAsia" w:eastAsiaTheme="minorEastAsia"/>
          <w:i/>
          <w:color w:val="auto"/>
          <w:sz w:val="24"/>
          <w:szCs w:val="24"/>
          <w:u w:val="single"/>
        </w:rPr>
        <w:t xml:space="preserve">交换机必须满足</w:t>
      </w:r>
      <w:r>
        <w:rPr>
          <w:rFonts w:hint="eastAsia" w:asciiTheme="minorEastAsia" w:hAnsiTheme="minorEastAsia" w:eastAsiaTheme="minorEastAsia"/>
          <w:i/>
          <w:color w:val="auto"/>
          <w:sz w:val="24"/>
          <w:szCs w:val="24"/>
          <w:u w:val="single"/>
        </w:rPr>
        <w:t xml:space="preserve">【财库〔2023〕7号】财政部 生态环境部 工业和信息化部关于印发《绿色数据中心政府采购需求标准（试行）》的通知中</w:t>
      </w:r>
      <w:r>
        <w:rPr>
          <w:rFonts w:hint="eastAsia" w:asciiTheme="minorEastAsia" w:hAnsiTheme="minorEastAsia" w:eastAsiaTheme="minorEastAsia"/>
          <w:i/>
          <w:color w:val="auto"/>
          <w:sz w:val="24"/>
          <w:szCs w:val="24"/>
          <w:u w:val="single"/>
          <w:lang w:eastAsia="zh-CN"/>
        </w:rPr>
        <w:t xml:space="preserve">的</w:t>
      </w:r>
      <w:r>
        <w:rPr>
          <w:rFonts w:hint="eastAsia" w:asciiTheme="minorEastAsia" w:hAnsiTheme="minorEastAsia" w:eastAsiaTheme="minorEastAsia"/>
          <w:i/>
          <w:color w:val="auto"/>
          <w:sz w:val="24"/>
          <w:szCs w:val="24"/>
          <w:u w:val="single"/>
        </w:rPr>
        <w:t xml:space="preserve">政府采购需求标准；【投标人需按技术参数要求内容填写《技术参数响应及偏离表》并提供承诺函，加盖公章扫描上传】</w:t>
      </w:r>
      <w:r/>
    </w:p>
    <w:p>
      <w:pPr>
        <w:spacing w:after="156" w:line="276" w:lineRule="auto"/>
        <w:rPr>
          <w:rFonts w:ascii="Times New Roman" w:hAnsi="Times New Roman"/>
          <w:i/>
          <w:iCs/>
          <w:color w:val="ff0000"/>
          <w:szCs w:val="21"/>
          <w:highlight w:val="none"/>
          <w:u w:val="singl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i/>
          <w:iCs/>
          <w:sz w:val="24"/>
          <w:szCs w:val="24"/>
          <w:u w:val="single"/>
        </w:rPr>
        <w:t xml:space="preserve">绿色数据中心需求标准（服务器及存储设备）</w:t>
      </w:r>
      <w:r/>
    </w:p>
    <w:tbl>
      <w:tblPr>
        <w:tblStyle w:val="7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456"/>
        <w:gridCol w:w="1689"/>
        <w:gridCol w:w="1269"/>
        <w:gridCol w:w="1687"/>
        <w:gridCol w:w="2808"/>
      </w:tblGrid>
      <w:tr>
        <w:trPr/>
        <w:tc>
          <w:tcPr>
            <w:shd w:val="clear" w:color="auto" w:fill="auto"/>
            <w:tcW w:w="417" w:type="dxa"/>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shd w:val="clear" w:color="auto" w:fill="d8d8d8"/>
            <w:tcW w:w="0" w:type="auto"/>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c>
          <w:tcPr>
            <w:shd w:val="clear" w:color="auto" w:fill="d8d8d8"/>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限制值</w:t>
            </w:r>
            <w:r/>
          </w:p>
        </w:tc>
        <w:tc>
          <w:tcPr>
            <w:shd w:val="clear" w:color="auto" w:fill="d8d8d8"/>
            <w:tcW w:w="2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判定依据/方法</w:t>
            </w:r>
            <w:r/>
          </w:p>
        </w:tc>
      </w:tr>
      <w:tr>
        <w:trPr>
          <w:trHeight w:val="611"/>
        </w:trPr>
        <w:tc>
          <w:tcPr>
            <w:shd w:val="clear" w:color="auto" w:fill="auto"/>
            <w:tcW w:w="41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3"/>
            <w:shd w:val="clear" w:color="auto" w:fill="auto"/>
            <w:tcW w:w="33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产品可再生利用率</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w:t>
            </w:r>
            <w:r/>
          </w:p>
        </w:tc>
        <w:tc>
          <w:tcPr>
            <w:shd w:val="clear" w:color="auto" w:fill="auto"/>
            <w:tcW w:w="2808"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w:t>
            </w:r>
            <w:r>
              <w:rPr>
                <w:rFonts w:hint="eastAsia" w:ascii="宋体" w:hAnsi="宋体" w:eastAsia="宋体" w:cs="宋体"/>
                <w:color w:val="auto"/>
                <w:sz w:val="24"/>
                <w:szCs w:val="24"/>
                <w:highlight w:val="none"/>
              </w:rPr>
              <w:t xml:space="preserve">GB/T 32355.2及附录C要求</w:t>
            </w:r>
            <w:r>
              <w:rPr>
                <w:rFonts w:hint="eastAsia" w:ascii="宋体" w:hAnsi="宋体" w:eastAsia="宋体" w:cs="宋体"/>
                <w:color w:val="auto"/>
                <w:sz w:val="24"/>
                <w:szCs w:val="24"/>
                <w:highlight w:val="none"/>
                <w:lang w:eastAsia="zh-CN"/>
              </w:rPr>
              <w:t xml:space="preserve">进行判定</w:t>
            </w:r>
            <w:r/>
          </w:p>
        </w:tc>
      </w:tr>
      <w:tr>
        <w:trPr>
          <w:trHeight w:val="85"/>
        </w:trPr>
        <w:tc>
          <w:tcPr>
            <w:shd w:val="clear" w:color="auto" w:fill="auto"/>
            <w:tcW w:w="417" w:type="dxa"/>
            <w:vAlign w:val="center"/>
            <w:vMerge w:val="restart"/>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426" w:type="dxa"/>
            <w:vAlign w:val="center"/>
            <w:vMerge w:val="restart"/>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供电模块效率</w:t>
            </w:r>
            <w:r/>
          </w:p>
        </w:tc>
        <w:tc>
          <w:tcPr>
            <w:shd w:val="clear" w:color="auto" w:fill="auto"/>
            <w:tcW w:w="1689" w:type="dxa"/>
            <w:vAlign w:val="center"/>
            <w:vMerge w:val="restart"/>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负载率</w:t>
            </w:r>
            <w:r/>
          </w:p>
        </w:tc>
        <w:tc>
          <w:tcPr>
            <w:shd w:val="clear" w:color="auto" w:fill="auto"/>
            <w:tcW w:w="126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电源效率</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p>
        </w:tc>
        <w:tc>
          <w:tcPr>
            <w:shd w:val="clear" w:color="auto" w:fill="auto"/>
            <w:tcW w:w="2808" w:type="dxa"/>
            <w:vAlign w:val="center"/>
            <w:vMerge w:val="restart"/>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检测方法</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HJ 2507附录B要求</w:t>
            </w:r>
            <w:r>
              <w:rPr>
                <w:rFonts w:hint="eastAsia" w:ascii="宋体" w:hAnsi="宋体" w:eastAsia="宋体" w:cs="宋体"/>
                <w:color w:val="auto"/>
                <w:sz w:val="24"/>
                <w:szCs w:val="24"/>
                <w:highlight w:val="none"/>
                <w:lang w:eastAsia="zh-CN"/>
              </w:rPr>
              <w:t xml:space="preserve">执行</w:t>
            </w:r>
            <w:r/>
          </w:p>
        </w:tc>
      </w:tr>
      <w:tr>
        <w:trPr>
          <w:trHeight w:val="85"/>
        </w:trPr>
        <w:tc>
          <w:tcPr>
            <w:shd w:val="clear" w:color="auto" w:fill="auto"/>
            <w:tcW w:w="417"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689"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6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功率因数（PF）</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≥0.95</w:t>
            </w:r>
            <w:r/>
          </w:p>
        </w:tc>
        <w:tc>
          <w:tcPr>
            <w:shd w:val="clear" w:color="auto" w:fill="auto"/>
            <w:tcW w:w="2808"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689" w:type="dxa"/>
            <w:vAlign w:val="center"/>
            <w:vMerge w:val="restart"/>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负载率</w:t>
            </w:r>
            <w:r/>
          </w:p>
        </w:tc>
        <w:tc>
          <w:tcPr>
            <w:shd w:val="clear" w:color="auto" w:fill="auto"/>
            <w:tcW w:w="126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电源效率</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p>
        </w:tc>
        <w:tc>
          <w:tcPr>
            <w:shd w:val="clear" w:color="auto" w:fill="auto"/>
            <w:tcW w:w="2808"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689"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6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功率因数（PF）</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≥0.95</w:t>
            </w:r>
            <w:r/>
          </w:p>
        </w:tc>
        <w:tc>
          <w:tcPr>
            <w:shd w:val="clear" w:color="auto" w:fill="auto"/>
            <w:tcW w:w="2808"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689" w:type="dxa"/>
            <w:vAlign w:val="center"/>
            <w:vMerge w:val="restart"/>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rPr>
              <w:t xml:space="preserve">负载率</w:t>
            </w:r>
            <w:r/>
          </w:p>
        </w:tc>
        <w:tc>
          <w:tcPr>
            <w:shd w:val="clear" w:color="auto" w:fill="auto"/>
            <w:tcW w:w="126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电源效率</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shd w:val="clear" w:color="auto" w:fill="auto"/>
            <w:tcW w:w="2808"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
        </w:trPr>
        <w:tc>
          <w:tcPr>
            <w:shd w:val="clear" w:color="auto" w:fill="auto"/>
            <w:tcW w:w="417"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426"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689"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6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功率因数（PF）</w:t>
            </w:r>
            <w:r/>
          </w:p>
        </w:tc>
        <w:tc>
          <w:tcPr>
            <w:shd w:val="clear" w:color="auto" w:fill="auto"/>
            <w:tcW w:w="168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≥0.95</w:t>
            </w:r>
            <w:r/>
          </w:p>
        </w:tc>
        <w:tc>
          <w:tcPr>
            <w:shd w:val="clear" w:color="auto" w:fill="auto"/>
            <w:tcW w:w="2808" w:type="dxa"/>
            <w:vAlign w:val="center"/>
            <w:vMerge w:val="continue"/>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after="156" w:line="276" w:lineRule="auto"/>
        <w:rPr>
          <w:rFonts w:hint="eastAsia"/>
          <w:color w:val="ff0000"/>
          <w:szCs w:val="21"/>
          <w:lang w:val="en-US" w:eastAsia="zh-CN"/>
        </w:rPr>
      </w:pPr>
      <w:r>
        <w:rPr>
          <w:rFonts w:hint="eastAsia"/>
          <w:color w:val="ff0000"/>
          <w:szCs w:val="21"/>
          <w:lang w:val="en-US" w:eastAsia="zh-CN"/>
        </w:rPr>
      </w:r>
      <w:r/>
    </w:p>
    <w:p>
      <w:pPr>
        <w:spacing w:after="156" w:line="276" w:lineRule="auto"/>
        <w:rPr>
          <w:rFonts w:ascii="宋体" w:hAnsi="宋体" w:eastAsia="宋体" w:cs="宋体"/>
          <w:i/>
          <w:iCs/>
          <w:sz w:val="24"/>
          <w:szCs w:val="24"/>
          <w:u w:val="single"/>
        </w:rPr>
      </w:pPr>
      <w:r>
        <w:rPr>
          <w:rFonts w:hint="eastAsia" w:ascii="宋体" w:hAnsi="宋体" w:eastAsia="宋体" w:cs="宋体"/>
          <w:color w:val="auto"/>
          <w:sz w:val="24"/>
          <w:szCs w:val="24"/>
          <w:lang w:val="en-US" w:eastAsia="zh-CN"/>
        </w:rPr>
        <w:t xml:space="preserve">4、</w:t>
      </w:r>
      <w:r>
        <w:rPr>
          <w:rFonts w:ascii="Times New Roman" w:hAnsi="Times New Roman"/>
          <w:color w:val="ff0000"/>
          <w:szCs w:val="21"/>
        </w:rPr>
        <w:t xml:space="preserve"> </w:t>
      </w:r>
      <w:r>
        <w:rPr>
          <w:rFonts w:ascii="宋体" w:hAnsi="宋体" w:eastAsia="宋体" w:cs="宋体"/>
          <w:i/>
          <w:iCs/>
          <w:sz w:val="24"/>
          <w:szCs w:val="24"/>
          <w:u w:val="single"/>
        </w:rPr>
        <w:t xml:space="preserve">绿色数据中心需求标准（</w:t>
      </w:r>
      <w:r>
        <w:rPr>
          <w:rFonts w:hint="eastAsia" w:ascii="宋体" w:hAnsi="宋体" w:eastAsia="宋体" w:cs="宋体"/>
          <w:i/>
          <w:iCs/>
          <w:sz w:val="24"/>
          <w:szCs w:val="24"/>
          <w:u w:val="single"/>
        </w:rPr>
        <w:t xml:space="preserve">以太网交换机</w:t>
      </w:r>
      <w:r>
        <w:rPr>
          <w:rFonts w:ascii="宋体" w:hAnsi="宋体" w:eastAsia="宋体" w:cs="宋体"/>
          <w:i/>
          <w:iCs/>
          <w:sz w:val="24"/>
          <w:szCs w:val="24"/>
          <w:u w:val="single"/>
        </w:rPr>
        <w:t xml:space="preserve">设备）</w:t>
      </w:r>
      <w:r/>
    </w:p>
    <w:tbl>
      <w:tblPr>
        <w:tblStyle w:val="72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2190"/>
        <w:gridCol w:w="18"/>
        <w:gridCol w:w="1684"/>
        <w:gridCol w:w="1266"/>
        <w:gridCol w:w="2672"/>
      </w:tblGrid>
      <w:tr>
        <w:trPr/>
        <w:tc>
          <w:tcPr>
            <w:shd w:val="clear" w:color="auto" w:fill="auto"/>
            <w:tcW w:w="47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shd w:val="clear" w:color="auto" w:fill="d8d8d8"/>
            <w:tcW w:w="3892"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指标</w:t>
            </w:r>
            <w:r/>
          </w:p>
        </w:tc>
        <w:tc>
          <w:tcPr>
            <w:shd w:val="clear" w:color="auto" w:fill="d8d8d8"/>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限制值</w:t>
            </w:r>
            <w:r/>
          </w:p>
        </w:tc>
        <w:tc>
          <w:tcPr>
            <w:shd w:val="clear" w:color="auto" w:fill="d8d8d8"/>
            <w:tcW w:w="2672"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判定依据/方法</w:t>
            </w:r>
            <w:r/>
          </w:p>
        </w:tc>
      </w:tr>
      <w:tr>
        <w:trPr/>
        <w:tc>
          <w:tcPr>
            <w:shd w:val="clear" w:color="auto" w:fill="auto"/>
            <w:tcW w:w="47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gridSpan w:val="3"/>
            <w:shd w:val="clear" w:color="auto" w:fill="auto"/>
            <w:tcW w:w="3892"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固定端口以太网交换机能效比值（TEER）</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≥300</w:t>
            </w:r>
            <w:r/>
          </w:p>
        </w:tc>
        <w:tc>
          <w:tcPr>
            <w:shd w:val="clear" w:color="auto" w:fill="auto"/>
            <w:tcW w:w="2672" w:type="dxa"/>
            <w:vAlign w:val="center"/>
            <w:textDirection w:val="lrTb"/>
            <w:noWrap w:val="false"/>
          </w:tcPr>
          <w:p>
            <w:pPr>
              <w:spacing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检测方法依据附录E中要求</w:t>
            </w:r>
            <w:r/>
          </w:p>
        </w:tc>
      </w:tr>
      <w:tr>
        <w:trPr/>
        <w:tc>
          <w:tcPr>
            <w:shd w:val="clear" w:color="auto" w:fill="auto"/>
            <w:tcW w:w="474"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gridSpan w:val="2"/>
            <w:shd w:val="clear" w:color="auto" w:fill="auto"/>
            <w:tcW w:w="2208"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单路电源输出效率</w:t>
            </w:r>
            <w:r/>
          </w:p>
        </w:tc>
        <w:tc>
          <w:tcPr>
            <w:shd w:val="clear" w:color="auto" w:fill="auto"/>
            <w:tcW w:w="168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20%负载</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≥88%</w:t>
            </w:r>
            <w:r/>
          </w:p>
        </w:tc>
        <w:tc>
          <w:tcPr>
            <w:shd w:val="clear" w:color="auto" w:fill="auto"/>
            <w:tcW w:w="2672" w:type="dxa"/>
            <w:vAlign w:val="center"/>
            <w:vMerge w:val="restart"/>
            <w:textDirection w:val="lrTb"/>
            <w:noWrap w:val="false"/>
          </w:tcPr>
          <w:p>
            <w:pPr>
              <w:spacing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检测方法依据HJ 2507附录B要求</w:t>
            </w:r>
            <w:r/>
          </w:p>
        </w:tc>
      </w:tr>
      <w:tr>
        <w:trPr>
          <w:trHeight w:val="544"/>
        </w:trPr>
        <w:tc>
          <w:tcPr>
            <w:shd w:val="clear" w:color="auto" w:fill="auto"/>
            <w:tcW w:w="474"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shd w:val="clear" w:color="auto" w:fill="auto"/>
            <w:tcW w:w="2208"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168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50%负载</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shd w:val="clear" w:color="auto" w:fill="auto"/>
            <w:tcW w:w="2208"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168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100%负载</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≥88%</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gridSpan w:val="3"/>
            <w:shd w:val="clear" w:color="auto" w:fill="auto"/>
            <w:tcW w:w="3892"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单路电源最低功率因数(50%负载下的)</w:t>
            </w:r>
            <w:r>
              <w:rPr>
                <w:rFonts w:hint="eastAsia" w:ascii="宋体" w:hAnsi="宋体" w:eastAsia="宋体" w:cs="宋体"/>
                <w:color w:val="auto"/>
                <w:sz w:val="24"/>
                <w:szCs w:val="24"/>
              </w:rPr>
              <w:t xml:space="preserve">     </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≥0.90</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gridSpan w:val="2"/>
            <w:shd w:val="clear" w:color="auto" w:fill="auto"/>
            <w:tcW w:w="2208"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多路电源输出效率</w:t>
            </w:r>
            <w:r/>
          </w:p>
        </w:tc>
        <w:tc>
          <w:tcPr>
            <w:shd w:val="clear" w:color="auto" w:fill="auto"/>
            <w:tcW w:w="168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20%负载</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≥85%</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shd w:val="clear" w:color="auto" w:fill="auto"/>
            <w:tcW w:w="2208"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168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50%负载</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≥89%</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shd w:val="clear" w:color="auto" w:fill="auto"/>
            <w:tcW w:w="2208"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168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100%负载</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≥85%</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gridSpan w:val="3"/>
            <w:shd w:val="clear" w:color="auto" w:fill="auto"/>
            <w:tcW w:w="3892"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多路电源最低功率因数(50%负载下的)</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≥0.90</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shd w:val="clear" w:color="auto" w:fill="auto"/>
            <w:tcW w:w="474"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W w:w="2190"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噪声发射</w:t>
            </w:r>
            <w:r/>
          </w:p>
        </w:tc>
        <w:tc>
          <w:tcPr>
            <w:gridSpan w:val="2"/>
            <w:shd w:val="clear" w:color="auto" w:fill="auto"/>
            <w:tcW w:w="1702"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有人值守</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7.6 Bels</w:t>
            </w:r>
            <w:r/>
          </w:p>
        </w:tc>
        <w:tc>
          <w:tcPr>
            <w:shd w:val="clear" w:color="auto" w:fill="auto"/>
            <w:tcW w:w="2672" w:type="dxa"/>
            <w:vAlign w:val="center"/>
            <w:vMerge w:val="restart"/>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检测方法依据YD/T 1816要求</w:t>
            </w:r>
            <w:r/>
          </w:p>
        </w:tc>
      </w:tr>
      <w:tr>
        <w:trPr/>
        <w:tc>
          <w:tcPr>
            <w:shd w:val="clear" w:color="auto" w:fill="auto"/>
            <w:tcW w:w="474"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190"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shd w:val="clear" w:color="auto" w:fill="auto"/>
            <w:tcW w:w="1702" w:type="dxa"/>
            <w:vAlign w:val="center"/>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无人值守</w:t>
            </w:r>
            <w:r/>
          </w:p>
        </w:tc>
        <w:tc>
          <w:tcPr>
            <w:shd w:val="clear" w:color="auto" w:fill="auto"/>
            <w:tcW w:w="1266" w:type="dxa"/>
            <w:vAlign w:val="center"/>
            <w:textDirection w:val="lrTb"/>
            <w:noWrap w:val="false"/>
          </w:tcPr>
          <w:p>
            <w:pPr>
              <w:pStyle w:val="780"/>
              <w:ind w:left="0" w:right="153" w:firstLine="0"/>
              <w:jc w:val="center"/>
              <w:spacing w:after="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8.1 Bels</w:t>
            </w:r>
            <w:r/>
          </w:p>
        </w:tc>
        <w:tc>
          <w:tcPr>
            <w:shd w:val="clear" w:color="auto" w:fill="auto"/>
            <w:tcW w:w="2672" w:type="dxa"/>
            <w:vAlign w:val="center"/>
            <w:vMerge w:val="continue"/>
            <w:textDirection w:val="lrTb"/>
            <w:noWrap w:val="false"/>
          </w:tcPr>
          <w:p>
            <w:pPr>
              <w:pStyle w:val="780"/>
              <w:ind w:left="0" w:right="153" w:firstLine="0"/>
              <w:spacing w:after="0"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numPr>
          <w:ilvl w:val="0"/>
          <w:numId w:val="0"/>
        </w:numPr>
        <w:rPr>
          <w:rFonts w:hint="eastAsia" w:asciiTheme="minorEastAsia" w:hAnsiTheme="minorEastAsia" w:eastAsiaTheme="minorEastAsia"/>
          <w:i w:val="0"/>
          <w:iCs/>
          <w:color w:val="auto"/>
          <w:u w:val="none"/>
        </w:rPr>
      </w:pPr>
      <w:r>
        <w:rPr>
          <w:rFonts w:hint="eastAsia" w:asciiTheme="minorEastAsia" w:hAnsiTheme="minorEastAsia" w:eastAsiaTheme="minorEastAsia"/>
          <w:i w:val="0"/>
          <w:iCs/>
          <w:color w:val="auto"/>
          <w:u w:val="none"/>
        </w:rPr>
      </w:r>
      <w:r/>
    </w:p>
    <w:p>
      <w:pPr>
        <w:numPr>
          <w:ilvl w:val="0"/>
          <w:numId w:val="0"/>
        </w:numPr>
        <w:rPr>
          <w:rFonts w:hint="eastAsia" w:asciiTheme="minorEastAsia" w:hAnsiTheme="minorEastAsia" w:eastAsiaTheme="minorEastAsia"/>
          <w:i w:val="0"/>
          <w:iCs/>
          <w:color w:val="auto"/>
          <w:sz w:val="24"/>
          <w:szCs w:val="24"/>
          <w:u w:val="none"/>
          <w:lang w:eastAsia="zh-CN"/>
        </w:rPr>
      </w:pPr>
      <w:r>
        <w:rPr>
          <w:rFonts w:hint="eastAsia" w:asciiTheme="minorEastAsia" w:hAnsiTheme="minorEastAsia" w:eastAsiaTheme="minorEastAsia"/>
          <w:i w:val="0"/>
          <w:iCs/>
          <w:color w:val="auto"/>
          <w:sz w:val="24"/>
          <w:szCs w:val="24"/>
          <w:u w:val="none"/>
          <w:lang w:val="en-US" w:eastAsia="zh-CN"/>
        </w:rPr>
        <w:t xml:space="preserve">5、</w:t>
      </w:r>
      <w:r>
        <w:rPr>
          <w:rFonts w:hint="eastAsia" w:asciiTheme="minorEastAsia" w:hAnsiTheme="minorEastAsia" w:eastAsiaTheme="minorEastAsia"/>
          <w:i w:val="0"/>
          <w:iCs/>
          <w:color w:val="auto"/>
          <w:sz w:val="24"/>
          <w:szCs w:val="24"/>
          <w:u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heme="minorEastAsia" w:hAnsiTheme="minorEastAsia" w:eastAsiaTheme="minorEastAsia"/>
          <w:i w:val="0"/>
          <w:iCs/>
          <w:color w:val="auto"/>
          <w:sz w:val="24"/>
          <w:szCs w:val="24"/>
          <w:u w:val="none"/>
          <w:lang w:eastAsia="zh-CN"/>
        </w:rPr>
        <w:t xml:space="preserve">。</w:t>
      </w:r>
      <w:r/>
    </w:p>
    <w:p>
      <w:pPr>
        <w:rPr>
          <w:rFonts w:hint="default" w:asciiTheme="minorEastAsia" w:hAnsiTheme="minorEastAsia" w:eastAsiaTheme="minorEastAsia"/>
          <w:i w:val="0"/>
          <w:iCs/>
          <w:color w:val="ff0000"/>
          <w:u w:val="none"/>
          <w:lang w:val="en-US" w:eastAsia="zh-CN"/>
        </w:rPr>
      </w:pPr>
      <w:r>
        <w:rPr>
          <w:rFonts w:hint="default" w:asciiTheme="minorEastAsia" w:hAnsiTheme="minorEastAsia" w:eastAsiaTheme="minorEastAsia"/>
          <w:i w:val="0"/>
          <w:iCs/>
          <w:color w:val="ff0000"/>
          <w:u w:val="none"/>
          <w:lang w:val="en-US" w:eastAsia="zh-CN"/>
        </w:rPr>
      </w:r>
      <w:r/>
    </w:p>
    <w:tbl>
      <w:tblPr>
        <w:tblStyle w:val="728"/>
        <w:tblpPr w:horzAnchor="page" w:tblpX="1362" w:vertAnchor="text" w:tblpY="610" w:leftFromText="180" w:topFromText="0" w:rightFromText="180" w:bottomFromText="0"/>
        <w:tblW w:w="50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950"/>
        <w:gridCol w:w="16"/>
        <w:gridCol w:w="6656"/>
        <w:gridCol w:w="13"/>
        <w:gridCol w:w="542"/>
        <w:gridCol w:w="611"/>
      </w:tblGrid>
      <w:tr>
        <w:trPr/>
        <w:tc>
          <w:tcPr>
            <w:tcW w:w="256"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gridSpan w:val="2"/>
            <w:tcW w:w="522"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货物名称</w:t>
            </w:r>
            <w:r/>
          </w:p>
        </w:tc>
        <w:tc>
          <w:tcPr>
            <w:tcW w:w="3592"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规格参数</w:t>
            </w:r>
            <w:r/>
          </w:p>
        </w:tc>
        <w:tc>
          <w:tcPr>
            <w:gridSpan w:val="2"/>
            <w:tcW w:w="300"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tcW w:w="330"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c>
          <w:tcPr>
            <w:gridSpan w:val="7"/>
            <w:tcW w:w="500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一、网上巡查系统</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红外人脸抓拍半球（巡考专用）</w:t>
            </w:r>
            <w:r/>
          </w:p>
        </w:tc>
        <w:tc>
          <w:tcPr>
            <w:shd w:val="clear" w:color="auto" w:fill="ffffff"/>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▲1、支持《国家教育考试网上巡查系统视频标准技术规范2017版》（须提供具有CMA检测标识的检测报告）</w:t>
            </w:r>
            <w:r/>
          </w:p>
          <w:p>
            <w:pPr>
              <w:jc w:val="left"/>
              <w:rPr>
                <w:rFonts w:ascii="宋体" w:hAnsi="宋体" w:cs="宋体"/>
                <w:color w:val="000000"/>
                <w:sz w:val="24"/>
                <w:szCs w:val="24"/>
              </w:rPr>
            </w:pPr>
            <w:r>
              <w:rPr>
                <w:rFonts w:hint="eastAsia" w:ascii="宋体" w:hAnsi="宋体" w:cs="宋体"/>
                <w:color w:val="000000"/>
                <w:sz w:val="24"/>
                <w:szCs w:val="24"/>
              </w:rPr>
              <w:t xml:space="preserve">2、具有1个电源接口、1个RJ45、1路音频输入接口、1个复位键、内置MIC</w:t>
            </w:r>
            <w:r/>
          </w:p>
          <w:p>
            <w:pPr>
              <w:jc w:val="left"/>
              <w:rPr>
                <w:rFonts w:ascii="宋体" w:hAnsi="宋体" w:cs="宋体"/>
                <w:color w:val="000000"/>
                <w:sz w:val="24"/>
                <w:szCs w:val="24"/>
              </w:rPr>
            </w:pPr>
            <w:r>
              <w:rPr>
                <w:rFonts w:hint="eastAsia" w:ascii="宋体" w:hAnsi="宋体" w:cs="宋体"/>
                <w:color w:val="000000"/>
                <w:sz w:val="24"/>
                <w:szCs w:val="24"/>
              </w:rPr>
              <w:t xml:space="preserve">3、≥1个TF卡槽，最大支持512GB存储卡</w:t>
            </w:r>
            <w:r/>
          </w:p>
          <w:p>
            <w:pPr>
              <w:jc w:val="left"/>
              <w:rPr>
                <w:rFonts w:ascii="宋体" w:hAnsi="宋体" w:cs="宋体"/>
                <w:color w:val="000000"/>
                <w:sz w:val="24"/>
                <w:szCs w:val="24"/>
              </w:rPr>
            </w:pPr>
            <w:r>
              <w:rPr>
                <w:rFonts w:hint="eastAsia" w:ascii="宋体" w:hAnsi="宋体" w:cs="宋体"/>
                <w:color w:val="000000"/>
                <w:sz w:val="24"/>
                <w:szCs w:val="24"/>
              </w:rPr>
              <w:t xml:space="preserve">4、具有H.265、H.264(Main Profile，High Profile，Baseline Profile)、M-JPEG、MPEG4设置选项</w:t>
            </w:r>
            <w:r/>
          </w:p>
          <w:p>
            <w:pPr>
              <w:jc w:val="left"/>
              <w:rPr>
                <w:rFonts w:ascii="宋体" w:hAnsi="宋体" w:cs="宋体"/>
                <w:color w:val="000000"/>
                <w:sz w:val="24"/>
                <w:szCs w:val="24"/>
              </w:rPr>
            </w:pPr>
            <w:r>
              <w:rPr>
                <w:rFonts w:hint="eastAsia" w:ascii="宋体" w:hAnsi="宋体" w:cs="宋体"/>
                <w:color w:val="000000"/>
                <w:sz w:val="24"/>
                <w:szCs w:val="24"/>
              </w:rPr>
              <w:t xml:space="preserve">5、具有G.711a、G.711u、AAC_LC、ADPCM_D音频编码设置选项</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▲6.应具有以太网接口,支持TCP/IP协议,宜扩展支持SIP、RTSP、RTP、RTCP等网络协议,支持IP组播技术</w:t>
            </w:r>
            <w:r>
              <w:rPr>
                <w:rFonts w:hint="eastAsia" w:ascii="宋体" w:hAnsi="宋体" w:cs="宋体"/>
                <w:color w:val="000000" w:themeColor="text1"/>
                <w:sz w:val="24"/>
                <w:szCs w:val="24"/>
                <w:highlight w:val="none"/>
                <w14:textFill>
                  <w14:solidFill>
                    <w14:schemeClr w14:val="tx1"/>
                  </w14:solidFill>
                </w14:textFill>
              </w:rPr>
              <w:t xml:space="preserve">（须提供具有CMA认证的检测机构出具的检测报告，需体现相关指标）</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 xml:space="preserve">7</w:t>
            </w:r>
            <w:r>
              <w:rPr>
                <w:rFonts w:hint="eastAsia" w:ascii="宋体" w:hAnsi="宋体" w:cs="宋体"/>
                <w:color w:val="000000" w:themeColor="text1"/>
                <w:sz w:val="24"/>
                <w:szCs w:val="24"/>
                <w14:textFill>
                  <w14:solidFill>
                    <w14:schemeClr w14:val="tx1"/>
                  </w14:solidFill>
                </w14:textFill>
              </w:rPr>
              <w:t xml:space="preserve">、彩色：≥1600TVL</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▲8、图像画面信息不应有明显的缺损，图像画面应连贯，物体移动时图像不应有前冲现象、图像边缘不应有明显的锯齿状、拉毛、断裂、拖尾等现象</w:t>
            </w:r>
            <w:r>
              <w:rPr>
                <w:rFonts w:hint="eastAsia" w:ascii="宋体" w:hAnsi="宋体" w:cs="宋体"/>
                <w:color w:val="000000" w:themeColor="text1"/>
                <w:sz w:val="24"/>
                <w:szCs w:val="24"/>
                <w:highlight w:val="none"/>
                <w14:textFill>
                  <w14:solidFill>
                    <w14:schemeClr w14:val="tx1"/>
                  </w14:solidFill>
                </w14:textFill>
              </w:rPr>
              <w:t xml:space="preserve">（须提供具有CMA认证的检测机构出具的检测报告，需体现相关指标）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9、支持三码流并发输出，可达到：</w:t>
            </w:r>
            <w:r/>
          </w:p>
          <w:p>
            <w:pPr>
              <w:jc w:val="left"/>
              <w:rPr>
                <w:rFonts w:ascii="宋体" w:hAnsi="宋体" w:cs="宋体"/>
                <w:color w:val="000000"/>
                <w:sz w:val="24"/>
                <w:szCs w:val="24"/>
              </w:rPr>
            </w:pPr>
            <w:r>
              <w:rPr>
                <w:rFonts w:hint="eastAsia" w:ascii="宋体" w:hAnsi="宋体" w:cs="宋体"/>
                <w:color w:val="000000"/>
                <w:sz w:val="24"/>
                <w:szCs w:val="24"/>
              </w:rPr>
              <w:t xml:space="preserve">主码流分辨率可设置为：2880×1620，码率4Mbps；</w:t>
            </w:r>
            <w:r/>
          </w:p>
          <w:p>
            <w:pPr>
              <w:jc w:val="left"/>
              <w:rPr>
                <w:rFonts w:ascii="宋体" w:hAnsi="宋体" w:cs="宋体"/>
                <w:color w:val="000000"/>
                <w:sz w:val="24"/>
                <w:szCs w:val="24"/>
              </w:rPr>
            </w:pPr>
            <w:r>
              <w:rPr>
                <w:rFonts w:hint="eastAsia" w:ascii="宋体" w:hAnsi="宋体" w:cs="宋体"/>
                <w:color w:val="000000"/>
                <w:sz w:val="24"/>
                <w:szCs w:val="24"/>
              </w:rPr>
              <w:t xml:space="preserve">副码流分辨率可设置为：1280×720，码率1Mbps；</w:t>
            </w:r>
            <w:r/>
          </w:p>
          <w:p>
            <w:pPr>
              <w:jc w:val="left"/>
              <w:rPr>
                <w:rFonts w:ascii="宋体" w:hAnsi="宋体" w:cs="宋体"/>
                <w:color w:val="000000"/>
                <w:sz w:val="24"/>
                <w:szCs w:val="24"/>
              </w:rPr>
            </w:pPr>
            <w:r>
              <w:rPr>
                <w:rFonts w:hint="eastAsia" w:ascii="宋体" w:hAnsi="宋体" w:cs="宋体"/>
                <w:color w:val="000000"/>
                <w:sz w:val="24"/>
                <w:szCs w:val="24"/>
              </w:rPr>
              <w:t xml:space="preserve">第三码流分辨率可设置为：1920×1080，码率2Mbps</w:t>
            </w:r>
            <w:r/>
          </w:p>
          <w:p>
            <w:pPr>
              <w:jc w:val="left"/>
              <w:rPr>
                <w:rFonts w:ascii="宋体" w:hAnsi="宋体" w:cs="宋体"/>
                <w:color w:val="000000"/>
                <w:sz w:val="24"/>
                <w:szCs w:val="24"/>
              </w:rPr>
            </w:pPr>
            <w:r>
              <w:rPr>
                <w:rFonts w:hint="eastAsia" w:ascii="宋体" w:hAnsi="宋体" w:cs="宋体"/>
                <w:color w:val="000000"/>
                <w:sz w:val="24"/>
                <w:szCs w:val="24"/>
              </w:rPr>
              <w:t xml:space="preserve">10、支持室内、室外、运动等场景模式选择</w:t>
            </w:r>
            <w:r/>
          </w:p>
          <w:p>
            <w:pPr>
              <w:jc w:val="left"/>
              <w:rPr>
                <w:rFonts w:ascii="宋体" w:hAnsi="宋体" w:cs="宋体"/>
                <w:sz w:val="24"/>
                <w:szCs w:val="24"/>
              </w:rPr>
            </w:pPr>
            <w:r>
              <w:rPr>
                <w:rFonts w:hint="eastAsia" w:ascii="宋体" w:hAnsi="宋体" w:cs="宋体"/>
                <w:color w:val="000000"/>
                <w:sz w:val="24"/>
                <w:szCs w:val="24"/>
              </w:rPr>
              <w:t xml:space="preserve">▲11、支持绊线/双绊线、周界入侵、物品滞留、物品丢失、目标徘徊、人物奔跑、人群聚集、热度图等智能分析功能，可通过客户端软件或IE浏览器进行报警提示（须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12、支持人脸抓拍，同画面抓拍不低于16张人脸照片</w:t>
            </w:r>
            <w:r/>
          </w:p>
          <w:p>
            <w:pPr>
              <w:jc w:val="left"/>
              <w:rPr>
                <w:rFonts w:ascii="宋体" w:hAnsi="宋体" w:cs="宋体"/>
                <w:color w:val="000000"/>
                <w:sz w:val="24"/>
                <w:szCs w:val="24"/>
              </w:rPr>
            </w:pPr>
            <w:r>
              <w:rPr>
                <w:rFonts w:hint="eastAsia" w:ascii="宋体" w:hAnsi="宋体" w:cs="宋体"/>
                <w:color w:val="000000"/>
                <w:sz w:val="24"/>
                <w:szCs w:val="24"/>
              </w:rPr>
              <w:t xml:space="preserve">13、具有网络中断、设备故障、报警等状态下的视（音）频信息进行本地TF卡存储功能，录制文件可支持通用的播放软件直接播放</w:t>
            </w:r>
            <w:r/>
          </w:p>
          <w:p>
            <w:pPr>
              <w:jc w:val="left"/>
              <w:rPr>
                <w:rFonts w:ascii="宋体" w:hAnsi="宋体" w:cs="宋体"/>
                <w:color w:val="000000"/>
                <w:sz w:val="24"/>
                <w:szCs w:val="24"/>
              </w:rPr>
            </w:pPr>
            <w:r>
              <w:rPr>
                <w:rFonts w:hint="eastAsia" w:ascii="宋体" w:hAnsi="宋体" w:cs="宋体"/>
                <w:color w:val="000000"/>
                <w:sz w:val="24"/>
                <w:szCs w:val="24"/>
              </w:rPr>
              <w:t xml:space="preserve">14、支持移动侦测、故障报警、心跳机制、自动增益控制、背光补偿功能、抓图功能、录像功能、镜像模式、语音对讲功能</w:t>
            </w:r>
            <w:r/>
          </w:p>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▲15、可通过IE浏览器在视频图像上叠加字符，每条支持127个字符或32个汉字，共可设置5条</w:t>
            </w:r>
            <w:r>
              <w:rPr>
                <w:rFonts w:hint="eastAsia" w:ascii="宋体" w:hAnsi="宋体" w:cs="宋体"/>
                <w:color w:val="000000" w:themeColor="text1"/>
                <w:sz w:val="24"/>
                <w:szCs w:val="24"/>
                <w:highlight w:val="none"/>
                <w14:textFill>
                  <w14:solidFill>
                    <w14:schemeClr w14:val="tx1"/>
                  </w14:solidFill>
                </w14:textFill>
              </w:rPr>
              <w:t xml:space="preserve">（须提供具有CMA认证的检测机构出具的检测报告，需体现相关指标）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16、支持poe供电,防暴性能：IK10</w:t>
            </w:r>
            <w:r/>
          </w:p>
          <w:p>
            <w:pPr>
              <w:jc w:val="left"/>
              <w:rPr>
                <w:rFonts w:ascii="宋体" w:hAnsi="宋体" w:cs="宋体"/>
                <w:color w:val="000000"/>
                <w:sz w:val="24"/>
                <w:szCs w:val="24"/>
              </w:rPr>
            </w:pPr>
            <w:r>
              <w:rPr>
                <w:rFonts w:hint="eastAsia" w:ascii="宋体" w:hAnsi="宋体" w:cs="宋体"/>
                <w:color w:val="000000"/>
                <w:sz w:val="24"/>
                <w:szCs w:val="24"/>
              </w:rPr>
              <w:t xml:space="preserve">17、为方便统一管理和运维，红外人脸抓拍半球（巡考专用）、网上巡查综合管理平台、SIP网关网络存储服务器、流媒体存储服务器及解码器须为同一品牌</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拾音器</w:t>
            </w:r>
            <w:r/>
          </w:p>
        </w:tc>
        <w:tc>
          <w:tcPr>
            <w:shd w:val="clear" w:color="auto" w:fill="ffffff"/>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1、监控监听面积≥100平方米</w:t>
            </w:r>
            <w:r/>
          </w:p>
          <w:p>
            <w:pPr>
              <w:jc w:val="left"/>
              <w:rPr>
                <w:rFonts w:ascii="宋体" w:hAnsi="宋体" w:cs="宋体"/>
                <w:color w:val="000000"/>
                <w:sz w:val="24"/>
                <w:szCs w:val="24"/>
              </w:rPr>
            </w:pPr>
            <w:r>
              <w:rPr>
                <w:rFonts w:hint="eastAsia" w:ascii="宋体" w:hAnsi="宋体" w:cs="宋体"/>
                <w:color w:val="000000"/>
                <w:sz w:val="24"/>
                <w:szCs w:val="24"/>
              </w:rPr>
              <w:t xml:space="preserve">2、支持雷击保护、电源极性反转保护</w:t>
            </w:r>
            <w:r/>
          </w:p>
          <w:p>
            <w:pPr>
              <w:jc w:val="left"/>
              <w:rPr>
                <w:rFonts w:ascii="宋体" w:hAnsi="宋体" w:cs="宋体"/>
                <w:color w:val="000000"/>
                <w:sz w:val="24"/>
                <w:szCs w:val="24"/>
              </w:rPr>
            </w:pPr>
            <w:r>
              <w:rPr>
                <w:rFonts w:hint="eastAsia" w:ascii="宋体" w:hAnsi="宋体" w:cs="宋体"/>
                <w:color w:val="000000"/>
                <w:sz w:val="24"/>
                <w:szCs w:val="24"/>
              </w:rPr>
              <w:t xml:space="preserve">3、-10℃~55℃工作温度</w:t>
            </w:r>
            <w:r/>
          </w:p>
          <w:p>
            <w:pPr>
              <w:jc w:val="left"/>
              <w:rPr>
                <w:rFonts w:ascii="宋体" w:hAnsi="宋体" w:cs="宋体"/>
                <w:color w:val="000000"/>
                <w:sz w:val="24"/>
                <w:szCs w:val="24"/>
              </w:rPr>
            </w:pPr>
            <w:r>
              <w:rPr>
                <w:rFonts w:hint="eastAsia" w:ascii="宋体" w:hAnsi="宋体" w:cs="宋体"/>
                <w:color w:val="000000"/>
                <w:sz w:val="24"/>
                <w:szCs w:val="24"/>
              </w:rPr>
              <w:t xml:space="preserve">4、支持机械调节输出音量</w:t>
            </w:r>
            <w:r/>
          </w:p>
          <w:p>
            <w:pPr>
              <w:jc w:val="left"/>
              <w:rPr>
                <w:rFonts w:ascii="宋体" w:hAnsi="宋体" w:cs="宋体"/>
                <w:color w:val="000000"/>
                <w:sz w:val="24"/>
                <w:szCs w:val="24"/>
              </w:rPr>
            </w:pPr>
            <w:r>
              <w:rPr>
                <w:rFonts w:hint="eastAsia" w:ascii="宋体" w:hAnsi="宋体" w:cs="宋体"/>
                <w:color w:val="000000"/>
                <w:sz w:val="24"/>
                <w:szCs w:val="24"/>
              </w:rPr>
              <w:t xml:space="preserve">5、含连接线、电源、壁装支架</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半球壁装支架</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壁装支架，根据现场实际使用情况选配</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千兆交换机</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1、二层非网管交换机，交换容量52Gbps，包转发率38.69Mpps，24口10/100/1000Mbps自适应电门交换机支持POE/POE+，POE功率180W)，固化2个SFP千兆光口，支持云端发现，云端查看设备状态</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汇聚交换机</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1、三层网管交换机，交换容量396Gbps，包转发率51Mpps，24口10/100/1000Mbps自适应电口交换机，固化4个SFP千兆光口，支持静态路由、三层聚合口、ACL、端门镜像等功能，支持云平台统一管理</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机柜</w:t>
            </w:r>
            <w:r/>
          </w:p>
        </w:tc>
        <w:tc>
          <w:tcPr>
            <w:shd w:val="clear" w:color="auto" w:fill="auto"/>
            <w:tcW w:w="3592" w:type="pct"/>
            <w:vAlign w:val="center"/>
            <w:textDirection w:val="lrTb"/>
            <w:noWrap/>
          </w:tcPr>
          <w:p>
            <w:pPr>
              <w:widowControl/>
              <w:rPr>
                <w:rFonts w:ascii="宋体" w:hAnsi="宋体" w:cs="宋体"/>
                <w:color w:val="000000"/>
                <w:sz w:val="24"/>
                <w:szCs w:val="24"/>
              </w:rPr>
            </w:pPr>
            <w:r>
              <w:rPr>
                <w:rFonts w:hint="eastAsia" w:ascii="宋体" w:hAnsi="宋体" w:cs="宋体"/>
                <w:color w:val="000000"/>
                <w:sz w:val="24"/>
                <w:szCs w:val="24"/>
                <w:lang w:bidi="ar"/>
              </w:rPr>
              <w:t xml:space="preserve">1、550*400*450mm壁挂机柜</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42U标准机柜</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1、42U服务器标准机柜</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网线</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1、超五类非屏蔽双绞线</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箱</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操作台</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5联操作台3000*750*860mm，总深度860mm，台面高度750mm，标准尺寸每工位长度600mm，调节水平地脚支撑，每个工位配备一组键盘抽屉和一组19寸机架和一块托盘，托盘预留86线盒安装孔。操作台面选用E1级环保实木颗粒板，台面黑白套色喷漆。左右侧板厚25mm实木颗粒板，侧板镶嵌黑色烤漆装饰板配有防眩目装饰灯条。金属框架选用优质冷轧钢板，整体框架厚1.5mm,前后门厚1.0mm, 操作台所有金属构件表面喷涂柔性磨砂哑光漆，含5把布艺弓形办公椅。</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网上巡查综合管理平台</w:t>
            </w:r>
            <w:r/>
          </w:p>
        </w:tc>
        <w:tc>
          <w:tcPr>
            <w:shd w:val="clear" w:color="auto" w:fill="ffffff"/>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1、应对管理平台的用户进行合法性认证。只有通过身份认证的用户才能访问管理平台</w:t>
            </w:r>
            <w:r/>
          </w:p>
          <w:p>
            <w:pPr>
              <w:jc w:val="left"/>
              <w:rPr>
                <w:rFonts w:ascii="宋体" w:hAnsi="宋体" w:cs="宋体"/>
                <w:sz w:val="24"/>
                <w:szCs w:val="24"/>
              </w:rPr>
            </w:pPr>
            <w:r>
              <w:rPr>
                <w:rFonts w:hint="eastAsia" w:ascii="宋体" w:hAnsi="宋体" w:cs="宋体"/>
                <w:color w:val="000000"/>
                <w:sz w:val="24"/>
                <w:szCs w:val="24"/>
              </w:rPr>
              <w:t xml:space="preserve">▲2、支持修改用户名和密码，修改密码需要输入原密码，并输入两次新密码（须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3、支持录像模板的添加、修改、删除、查看</w:t>
            </w:r>
            <w:r/>
          </w:p>
          <w:p>
            <w:pPr>
              <w:jc w:val="left"/>
              <w:rPr>
                <w:rFonts w:ascii="宋体" w:hAnsi="宋体" w:cs="宋体"/>
                <w:color w:val="000000"/>
                <w:sz w:val="24"/>
                <w:szCs w:val="24"/>
              </w:rPr>
            </w:pPr>
            <w:r>
              <w:rPr>
                <w:rFonts w:hint="eastAsia" w:ascii="宋体" w:hAnsi="宋体" w:cs="宋体"/>
                <w:color w:val="000000"/>
                <w:sz w:val="24"/>
                <w:szCs w:val="24"/>
              </w:rPr>
              <w:t xml:space="preserve">4、支持录像回放、按时间段查询</w:t>
            </w:r>
            <w:r/>
          </w:p>
          <w:p>
            <w:pPr>
              <w:jc w:val="left"/>
              <w:rPr>
                <w:rFonts w:ascii="宋体" w:hAnsi="宋体" w:cs="宋体"/>
                <w:sz w:val="24"/>
                <w:szCs w:val="24"/>
              </w:rPr>
            </w:pPr>
            <w:r>
              <w:rPr>
                <w:rFonts w:hint="eastAsia" w:ascii="宋体" w:hAnsi="宋体" w:cs="宋体"/>
                <w:color w:val="000000"/>
                <w:sz w:val="24"/>
                <w:szCs w:val="24"/>
              </w:rPr>
              <w:t xml:space="preserve">▲5、事件预案支持联动录像、联动预置位、联动输出、联动抓拍、联动视频、联动声音、联动预案、联动字符叠加、联动报警等多种联动设置（须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6、支持Program Stream系统流和Transition Stream系统流的封装</w:t>
            </w:r>
            <w:r/>
          </w:p>
          <w:p>
            <w:pPr>
              <w:jc w:val="left"/>
              <w:rPr>
                <w:rFonts w:ascii="宋体" w:hAnsi="宋体" w:cs="宋体"/>
                <w:color w:val="000000"/>
                <w:sz w:val="24"/>
                <w:szCs w:val="24"/>
              </w:rPr>
            </w:pPr>
            <w:r>
              <w:rPr>
                <w:rFonts w:hint="eastAsia" w:ascii="宋体" w:hAnsi="宋体" w:cs="宋体"/>
                <w:color w:val="000000"/>
                <w:sz w:val="24"/>
                <w:szCs w:val="24"/>
              </w:rPr>
              <w:t xml:space="preserve">7、支持人脸库的添加、删除、导入、导出、编辑及查找人脸</w:t>
            </w:r>
            <w:r/>
          </w:p>
          <w:p>
            <w:pPr>
              <w:jc w:val="left"/>
              <w:rPr>
                <w:rFonts w:ascii="宋体" w:hAnsi="宋体" w:cs="宋体"/>
                <w:sz w:val="24"/>
                <w:szCs w:val="24"/>
              </w:rPr>
            </w:pPr>
            <w:r>
              <w:rPr>
                <w:rFonts w:hint="eastAsia" w:ascii="宋体" w:hAnsi="宋体" w:cs="宋体"/>
                <w:color w:val="000000"/>
                <w:sz w:val="24"/>
                <w:szCs w:val="24"/>
              </w:rPr>
              <w:t xml:space="preserve">▲8、支持按人脸检测报警、人脸比对报警、陌生人报警、滞留报警等报警类型检索查看人脸抓拍图片（须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9、考试日历功能，支持考试日历中日期进行添加考试任务、配置考场并查询考试任务、删除考试任务</w:t>
            </w:r>
            <w:r/>
          </w:p>
          <w:p>
            <w:pPr>
              <w:jc w:val="left"/>
              <w:rPr>
                <w:rFonts w:ascii="宋体" w:hAnsi="宋体" w:cs="宋体"/>
                <w:color w:val="000000"/>
                <w:sz w:val="24"/>
                <w:szCs w:val="24"/>
              </w:rPr>
            </w:pPr>
            <w:r>
              <w:rPr>
                <w:rFonts w:hint="eastAsia" w:ascii="宋体" w:hAnsi="宋体" w:cs="宋体"/>
                <w:color w:val="000000"/>
                <w:sz w:val="24"/>
                <w:szCs w:val="24"/>
              </w:rPr>
              <w:t xml:space="preserve">10、考试管理功能，支持对考试任务的开启、复制及批量删除功能</w:t>
            </w:r>
            <w:r/>
          </w:p>
          <w:p>
            <w:pPr>
              <w:jc w:val="left"/>
              <w:rPr>
                <w:rFonts w:ascii="宋体" w:hAnsi="宋体" w:cs="宋体"/>
                <w:color w:val="000000"/>
                <w:sz w:val="24"/>
                <w:szCs w:val="24"/>
              </w:rPr>
            </w:pPr>
            <w:r>
              <w:rPr>
                <w:rFonts w:hint="eastAsia" w:ascii="宋体" w:hAnsi="宋体" w:cs="宋体"/>
                <w:color w:val="000000"/>
                <w:sz w:val="24"/>
                <w:szCs w:val="24"/>
              </w:rPr>
              <w:t xml:space="preserve">11、OSD管理功能，支持OSD配置、下发及查询功能</w:t>
            </w:r>
            <w:r/>
          </w:p>
          <w:p>
            <w:pPr>
              <w:jc w:val="left"/>
              <w:rPr>
                <w:rFonts w:ascii="宋体" w:hAnsi="宋体" w:cs="宋体"/>
                <w:color w:val="000000"/>
                <w:sz w:val="24"/>
                <w:szCs w:val="24"/>
              </w:rPr>
            </w:pPr>
            <w:r>
              <w:rPr>
                <w:rFonts w:hint="eastAsia" w:ascii="宋体" w:hAnsi="宋体" w:cs="宋体"/>
                <w:color w:val="000000"/>
                <w:sz w:val="24"/>
                <w:szCs w:val="24"/>
              </w:rPr>
              <w:t xml:space="preserve">12、科目维护功能，支持科目添加、编辑、删除功能</w:t>
            </w:r>
            <w:r/>
          </w:p>
          <w:p>
            <w:pPr>
              <w:jc w:val="left"/>
              <w:rPr>
                <w:rFonts w:ascii="宋体" w:hAnsi="宋体" w:cs="宋体"/>
                <w:color w:val="000000"/>
                <w:sz w:val="24"/>
                <w:szCs w:val="24"/>
              </w:rPr>
            </w:pPr>
            <w:r>
              <w:rPr>
                <w:rFonts w:hint="eastAsia" w:ascii="宋体" w:hAnsi="宋体" w:cs="宋体"/>
                <w:color w:val="000000"/>
                <w:sz w:val="24"/>
                <w:szCs w:val="24"/>
              </w:rPr>
              <w:t xml:space="preserve">13、考试录像功能，支持考试录像的查询、下载及回放</w:t>
            </w:r>
            <w:r/>
          </w:p>
          <w:p>
            <w:pPr>
              <w:jc w:val="left"/>
              <w:rPr>
                <w:rFonts w:ascii="宋体" w:hAnsi="宋体" w:cs="宋体"/>
                <w:color w:val="000000"/>
                <w:sz w:val="24"/>
                <w:szCs w:val="24"/>
              </w:rPr>
            </w:pPr>
            <w:r>
              <w:rPr>
                <w:rFonts w:hint="eastAsia" w:ascii="宋体" w:hAnsi="宋体" w:cs="宋体"/>
                <w:color w:val="000000"/>
                <w:sz w:val="24"/>
                <w:szCs w:val="24"/>
              </w:rPr>
              <w:t xml:space="preserve">14、视频巡查：按照指定设备、指定通道进行音视频流的实时点播</w:t>
            </w:r>
            <w:r/>
          </w:p>
          <w:p>
            <w:pPr>
              <w:jc w:val="left"/>
              <w:rPr>
                <w:rFonts w:ascii="宋体" w:hAnsi="宋体" w:cs="宋体"/>
                <w:color w:val="000000"/>
                <w:sz w:val="24"/>
                <w:szCs w:val="24"/>
              </w:rPr>
            </w:pPr>
            <w:r>
              <w:rPr>
                <w:rFonts w:hint="eastAsia" w:ascii="宋体" w:hAnsi="宋体" w:cs="宋体"/>
                <w:color w:val="000000"/>
                <w:sz w:val="24"/>
                <w:szCs w:val="24"/>
              </w:rPr>
              <w:t xml:space="preserve">15、可自动联动相关考场设置，包括OSD字符叠加、视频录像、批量校时</w:t>
            </w:r>
            <w:r/>
          </w:p>
          <w:p>
            <w:pPr>
              <w:jc w:val="left"/>
              <w:rPr>
                <w:rFonts w:ascii="宋体" w:hAnsi="宋体" w:cs="宋体"/>
                <w:color w:val="000000"/>
                <w:sz w:val="24"/>
                <w:szCs w:val="24"/>
              </w:rPr>
            </w:pPr>
            <w:r>
              <w:rPr>
                <w:rFonts w:hint="eastAsia" w:ascii="宋体" w:hAnsi="宋体" w:cs="宋体"/>
                <w:color w:val="000000"/>
                <w:sz w:val="24"/>
                <w:szCs w:val="24"/>
              </w:rPr>
              <w:t xml:space="preserve">16、支持多用户、多通道同时预览</w:t>
            </w:r>
            <w:r/>
          </w:p>
          <w:p>
            <w:pPr>
              <w:jc w:val="left"/>
              <w:rPr>
                <w:rFonts w:ascii="宋体" w:hAnsi="宋体" w:cs="宋体"/>
                <w:color w:val="000000"/>
                <w:sz w:val="24"/>
                <w:szCs w:val="24"/>
              </w:rPr>
            </w:pPr>
            <w:r>
              <w:rPr>
                <w:rFonts w:hint="eastAsia" w:ascii="宋体" w:hAnsi="宋体" w:cs="宋体"/>
                <w:color w:val="000000"/>
                <w:sz w:val="24"/>
                <w:szCs w:val="24"/>
              </w:rPr>
              <w:t xml:space="preserve">17、支持解码上墙、拼控、分割等操作</w:t>
            </w:r>
            <w:r/>
          </w:p>
          <w:p>
            <w:pPr>
              <w:jc w:val="left"/>
              <w:rPr>
                <w:rFonts w:ascii="宋体" w:hAnsi="宋体" w:cs="宋体"/>
                <w:color w:val="000000"/>
                <w:sz w:val="24"/>
                <w:szCs w:val="24"/>
              </w:rPr>
            </w:pPr>
            <w:r>
              <w:rPr>
                <w:rFonts w:hint="eastAsia" w:ascii="宋体" w:hAnsi="宋体" w:cs="宋体"/>
                <w:color w:val="000000"/>
                <w:sz w:val="24"/>
                <w:szCs w:val="24"/>
              </w:rPr>
              <w:t xml:space="preserve">15、支持录像存储，根据任务名称、考场名称、考试科目进行录像查询、下载、查看</w:t>
            </w:r>
            <w:r/>
          </w:p>
          <w:p>
            <w:pPr>
              <w:jc w:val="left"/>
              <w:rPr>
                <w:rFonts w:ascii="宋体" w:hAnsi="宋体" w:cs="宋体"/>
                <w:color w:val="000000"/>
                <w:sz w:val="24"/>
                <w:szCs w:val="24"/>
              </w:rPr>
            </w:pPr>
            <w:r>
              <w:rPr>
                <w:rFonts w:hint="eastAsia" w:ascii="宋体" w:hAnsi="宋体" w:cs="宋体"/>
                <w:color w:val="000000"/>
                <w:sz w:val="24"/>
                <w:szCs w:val="24"/>
              </w:rPr>
              <w:t xml:space="preserve">16、OSD字符模板管理及保存，可针对不同考试（科目）提前设置模板并保存，考试前可快速调用</w:t>
            </w:r>
            <w:r/>
          </w:p>
          <w:p>
            <w:pPr>
              <w:jc w:val="left"/>
              <w:rPr>
                <w:rFonts w:ascii="宋体" w:hAnsi="宋体" w:cs="宋体"/>
                <w:sz w:val="24"/>
                <w:szCs w:val="24"/>
              </w:rPr>
            </w:pPr>
            <w:r>
              <w:rPr>
                <w:rFonts w:hint="eastAsia" w:ascii="宋体" w:hAnsi="宋体" w:cs="宋体"/>
                <w:color w:val="000000"/>
                <w:sz w:val="24"/>
                <w:szCs w:val="24"/>
              </w:rPr>
              <w:t xml:space="preserve">▲17、支持考场OSD字符按考试任务手动下发，支持考试过程中，对单个字符进行修改并下发，不影响考试任务和录像（须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18、支持保密室内部人员信息管理、角色管理和权限分级管理</w:t>
            </w:r>
            <w:r/>
          </w:p>
          <w:p>
            <w:pPr>
              <w:jc w:val="left"/>
              <w:rPr>
                <w:rFonts w:ascii="宋体" w:hAnsi="宋体" w:cs="宋体"/>
                <w:color w:val="000000"/>
                <w:sz w:val="24"/>
                <w:szCs w:val="24"/>
              </w:rPr>
            </w:pPr>
            <w:r>
              <w:rPr>
                <w:rFonts w:hint="eastAsia" w:ascii="宋体" w:hAnsi="宋体" w:cs="宋体"/>
                <w:color w:val="000000"/>
                <w:sz w:val="24"/>
                <w:szCs w:val="24"/>
              </w:rPr>
              <w:t xml:space="preserve">19、支持对人员排班计划进行管理，可手动调整排班结果</w:t>
            </w:r>
            <w:r/>
          </w:p>
          <w:p>
            <w:pPr>
              <w:jc w:val="left"/>
              <w:rPr>
                <w:rFonts w:ascii="宋体" w:hAnsi="宋体" w:cs="宋体"/>
                <w:color w:val="000000"/>
                <w:sz w:val="24"/>
                <w:szCs w:val="24"/>
              </w:rPr>
            </w:pPr>
            <w:r>
              <w:rPr>
                <w:rFonts w:hint="eastAsia" w:ascii="宋体" w:hAnsi="宋体" w:cs="宋体"/>
                <w:color w:val="000000"/>
                <w:sz w:val="24"/>
                <w:szCs w:val="24"/>
              </w:rPr>
              <w:t xml:space="preserve">20、支持报警联动视频拼接成同一文件，浓缩回放</w:t>
            </w:r>
            <w:r/>
          </w:p>
          <w:p>
            <w:pPr>
              <w:jc w:val="left"/>
              <w:rPr>
                <w:rFonts w:ascii="宋体" w:hAnsi="宋体" w:cs="宋体"/>
                <w:color w:val="000000"/>
                <w:sz w:val="24"/>
                <w:szCs w:val="24"/>
              </w:rPr>
            </w:pPr>
            <w:r>
              <w:rPr>
                <w:rFonts w:hint="eastAsia" w:ascii="宋体" w:hAnsi="宋体" w:cs="宋体"/>
                <w:color w:val="000000"/>
                <w:sz w:val="24"/>
                <w:szCs w:val="24"/>
              </w:rPr>
              <w:t xml:space="preserve">▲21、支持《国家教育考试网上巡查系统视频标准技术规范2017版》（须提供具有CMA检测标识的检测报告）</w:t>
            </w:r>
            <w:r/>
          </w:p>
          <w:p>
            <w:pPr>
              <w:jc w:val="left"/>
              <w:rPr>
                <w:rFonts w:ascii="宋体" w:hAnsi="宋体" w:cs="宋体"/>
                <w:color w:val="000000"/>
                <w:sz w:val="24"/>
                <w:szCs w:val="24"/>
              </w:rPr>
            </w:pPr>
            <w:r>
              <w:rPr>
                <w:rFonts w:hint="eastAsia" w:ascii="宋体" w:hAnsi="宋体" w:cs="宋体"/>
                <w:color w:val="000000"/>
                <w:sz w:val="24"/>
                <w:szCs w:val="24"/>
              </w:rPr>
              <w:t xml:space="preserve">22、为方便统一管理和运维，红外人脸抓拍半球（巡考专用）、网上巡查综合管理平台、SIP网关网络存储服务器、流媒体存储服务器及解码器须为同一品牌</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软件平台服务器</w:t>
            </w:r>
            <w:r/>
          </w:p>
        </w:tc>
        <w:tc>
          <w:tcPr>
            <w:shd w:val="clear" w:color="auto" w:fill="ffffff"/>
            <w:tcW w:w="3592" w:type="pct"/>
            <w:vAlign w:val="center"/>
            <w:textDirection w:val="lrTb"/>
            <w:noWrap w:val="false"/>
          </w:tcPr>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1、CPU信息：配置≥1颗CPU，基频≥2.1GHz；每CPU核心≥16核</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2、主板支持的 CPU 和内存情况：至少支持2颗处理器，内存配置容量不低于16GB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3、主板内存槽数量：非板载内存的可扩展插槽数量应不少于24个</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4、主板存储接口：至少支持SATA、SAS、M.2、U.2等存储接口中的1种</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5、PCle插槽接口：符合PCle3.0或以上的高速串行计算机扩展总线标准，PCle的接口速率与位宽需保证向下兼容</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6、主板 PCle插槽数量及规格：a)高度大于44.45mm双路或以上服务器PCIe插槽或接口应不少于5个；b)单路服务器PCIe插槽或接口应不少于4个，可通过扩展卡进行插槽扩展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7、内存数量：≥4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8、内存规格：≥DDR4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9、内存通道：支持多个内存接口通道，每个通道可支持1DPC或2DPC，当支持2DPC时，印制电路板上应具备插槽的序号标识，具体通道数应在随机文件中明确</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10、硬磁盘实配容量：实配机械硬盘：集成SATA硬盘控制器；实配机械硬盘单盘容量≥4TB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11、硬盘实配数量：整机配置机械硬盘≥2块3.5寸4TB 7200转SATA III硬盘</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12、硬盘插槽数量及规格：a)配置的硬盘尺寸，如2.5英寸、3.5英寸硬磁盘；b)机箱高度为87mm的服务器可支持的硬盘数量应不少于12块</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13、网口速率和数量：网口速率和数量：配备网口数量不少于2个，且网口速率不少于1GE。</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14、显示接口：显示接口类型应不少于1种，如：VGA、DP、HDMI 等</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15、USB 接口：配备 USB 接口，USB3.0≥3个</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16、电源模块数量：≥1+1冗余</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17、电源功率：≥550W。电源符合GB/T 9813.3的有关规定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18、外观和结构：a)服务器的零部件应紧固无松</w:t>
            </w:r>
            <w:r>
              <w:rPr>
                <w:rFonts w:hint="eastAsia" w:ascii="宋体" w:hAnsi="宋体" w:cs="宋体"/>
                <w:i/>
                <w:color w:val="000000"/>
                <w:sz w:val="24"/>
                <w:szCs w:val="24"/>
                <w:highlight w:val="none"/>
                <w:u w:val="single"/>
              </w:rPr>
              <w:t xml:space="preserve">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19、尺寸（高×宽×深）：不大于【670mm(长)×433mm(宽)×43.5mm(高)】：设计应遵循标准化、系列化的要求；机箱的内部结构符合通用部件的安装需要。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20、环境适应性：气候环境适应性应符合GB/T9813.3 的有关规定，工作温度10～35℃，贮存运输温度-40～55℃；工作相对湿度35%～80%，贮存运输相对湿度20％～93%（40℃）；大气压86～106kPa</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21、机械环境适应性：机械环境适应性应符合 GB/T9813.3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22、噪声：符合GB/T 9813.3的有关规定，在产品说明中给出具体测试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23、主板外部接口种类：主板外部接口种类：支持 USB、显示、管理等接口、VGA、HDMI、USB3.0、PS/2接口、BMC管理端口。</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24、网络功能：支持网络连接、网络访问、数据交换和网络管控功能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25、计算处理：支持通用计算及虚拟化功能。处理器需集成整型计算单元、浮点计算单元、内存控制器、I/O 模块等，处理器与存储部件、网络部件、I/O部件等组成计算系统，提供数据处理、网络接入等计算相关功能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26、密码算法实现：CPU 芯片应符合 GM/T 0008 的相关规定，或芯片密码模块应符合 GB/T37092 或 GM/T 0028 的相关规定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27、电源热插拔：整机电源模块应具备热插拔功能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28、电源过流保护：支持过流及短路保护的功能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29、散热方式：支持风冷或液冷等散热方式</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i/>
                <w:color w:val="000000"/>
                <w:sz w:val="24"/>
                <w:szCs w:val="24"/>
                <w:highlight w:val="none"/>
                <w:u w:val="singl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i/>
                <w:color w:val="000000"/>
                <w:sz w:val="24"/>
                <w:szCs w:val="24"/>
                <w:highlight w:val="none"/>
                <w:u w:val="singl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31、BIOS 固件基础功能：a）支持查看固件版本、内存信息、主板信息、处理器信息和系统时间信息功能；b）支持上电初始化界面显示 CPU 信息、内存信息、固件</w:t>
            </w:r>
            <w:r>
              <w:rPr>
                <w:rFonts w:hint="eastAsia" w:ascii="宋体" w:hAnsi="宋体" w:cs="宋体"/>
                <w:i/>
                <w:color w:val="000000"/>
                <w:sz w:val="24"/>
                <w:szCs w:val="24"/>
                <w:highlight w:val="none"/>
                <w:u w:val="singl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32、远程控制：支持远程关机和重新启动功能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33、中文信息处理：符合 GB 18030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34、故障检测：支持故障检测功能，可以检测到具体的 FRU（内存、硬盘等）的故障并发出告警</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35、弱口令字典检查：支持弱口令字典检查功能，出现在弱口令字典中的字符串不能被设置为用户口令</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36、白名单访问控制：支持基于时间、IP 或 MAC 白名单访问控制</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37、二次鉴别：支持二次鉴别功能。对于用户配置、权限配置、公钥导入等重要的管理操作，已登录用户应通过二次鉴别后，才能执行操作</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38、研发过程安全：供应商承诺，生产商已建立从需求、设计、开发、测试、维护端到端的开发流程管理机制，输出和保存开发流程中每个阶段的产品需求清单、设计文档、开发文档、测试记录等材料，保证各个流程可追溯</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39、物理安全：安全要求应符合 GB 4943.1 的规定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40、限用物质的限量要求：限用物质的限量应符合 GB/T 26572的要求</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41、CPU 主频：≥2.1GHz</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42、单 CPU 核数：≥16</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43、单 CPU 末级缓存容量：≥22MB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44、内存速率：≥2666MT/s</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45、电源能耗：符合 GB/T 9813.3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46、内存兼容性：适配 3 种及以上厂商的内存产品，且均不低于产品支持的内存规格</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47、固态存储兼容性：适配 3 种或以上厂商的固态存储产品，且均不低于产品支持的固态存储设备规格</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48、网卡兼容性：网卡应适配两种或以上厂商产品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49、功能卡兼容性：内置或适配符合 PCIe 的功能卡，如：网络功能卡、存储功能卡及图形显示功能卡</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50、外设兼容性：兼容多种主流生产商的外部设备，包括显示器、键盘、鼠标、闪存盘、移动硬盘、USB 光驱及 KVM 等，要求使用不同厂商的外部设备时，系统均能正常识别和安装驱动</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51、数据库兼容：兼容 3 个及以上厂商的数据库产品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52、中间件兼容：兼容 3 个及以上厂商的中间件产品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53、平台软件兼容：兼容 3 个及以上厂商的大数据平台</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54、整机可靠性：m1 值（MTBF 的不可接受值）不得低于 30000h</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55、风扇可靠性：风扇寿命应不低于 40000h</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56、部件可靠性：支持硬盘、电源、风扇热插拔(内置风扇除外)</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57、标志、包装、运输和贮存：符合 GB/T 9813.3 和商品包装政府采购需求标准的相关规定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58、服务响应：a)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59、培训服务：供应商提供培训材料、产品手册、培训视频等培训相关内容</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60、服务周期：a)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61、工具要求：供应商提供设置服务器硬件、辅助操作系统安装等功能的辅助工具和管理软件。且随附软件应具有合法授权或版权</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62、驱动安装升级指引：供应商提供出厂安装的配件所需的驱动程序，形式包括但不限于驱动光盘、驱动下载链接等。其他配件应提供指引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63、管理软件：具备资源管理、系统管理、性能监控、健康监控、基于网络控制、报警设置功能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64、厂家升级产品软件与扩容服务：供应商提供原厂级的部件/软件产品升级和扩容能力</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65、提供上门服务：供应商具备提供上门服务的能力</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66、抗干扰性：当产品部件出现供应风险时，应通知客户并提供风险应对方案确保产品的服务保障，必要时应停止相关受影响产品的销售</w:t>
            </w:r>
            <w:r/>
          </w:p>
          <w:p>
            <w:pPr>
              <w:jc w:val="left"/>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67、供应能力证明：供应商提供供应链稳定承诺书，确保产品的部件在产品服务周期内稳定供货</w:t>
            </w:r>
            <w:r/>
          </w:p>
          <w:p>
            <w:pPr>
              <w:jc w:val="left"/>
            </w:pPr>
            <w:r>
              <w:rPr>
                <w:rFonts w:hint="eastAsia" w:ascii="宋体" w:hAnsi="宋体"/>
                <w:i/>
                <w:iCs/>
                <w:sz w:val="24"/>
                <w:szCs w:val="24"/>
                <w:u w:val="single"/>
              </w:rPr>
              <w:t xml:space="preserve">【投标人提供承诺函加盖公章扫描上传】</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gridSpan w:val="2"/>
            <w:shd w:val="clear" w:color="auto" w:fill="ffffff"/>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SIP网关网络</w:t>
            </w:r>
            <w:r>
              <w:rPr>
                <w:rFonts w:hint="eastAsia" w:ascii="宋体" w:hAnsi="宋体" w:cs="宋体"/>
                <w:color w:val="000000"/>
                <w:sz w:val="24"/>
                <w:szCs w:val="24"/>
                <w:highlight w:val="none"/>
                <w:lang w:bidi="ar"/>
              </w:rPr>
              <w:t xml:space="preserve">存储服务器</w:t>
            </w:r>
            <w:r/>
          </w:p>
        </w:tc>
        <w:tc>
          <w:tcPr>
            <w:shd w:val="clear" w:color="auto" w:fill="ffffff"/>
            <w:tcW w:w="3592" w:type="pct"/>
            <w:vAlign w:val="center"/>
            <w:textDirection w:val="lrTb"/>
            <w:noWrap w:val="false"/>
          </w:tcPr>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1、CPU信息：配置≥1颗CPU；基频≥2.1GHz每CPU核心≥10核</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2、主板支持的 CPU 和内存情况：至少支持2颗处理器，内存配置容量不低于16GB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3、主板内存槽数量：非板载内存的可扩展插槽数量应不少于4个</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4、主板存储接口：至少支持SATA、SAS、M.2、U.2等存储接口中的1种</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5、PCle插槽接口：符合PCle3.0或以上的高速串行计算机扩展总线标准，PCle的接口速率与位宽需保证向下兼容</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6、主板 PCle插槽数量及规格：a)高度大于44.45mm双路或以上服务器PCIe插槽或接口应不少于5个；b)单路服务器PCIe插槽或接口应不少于4个，可通过扩展卡进行插槽扩展。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7、内存数量：≥4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8、内存规格：≥DDR4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9、内存通道：支持多个内存接口通道，每个通道可支持1DPC或2DPC，当支持2DPC时，印制电路板上应具备插槽的序号标识，具体通道数应在随机文件中明确</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10、硬磁盘实配容量：磁盘实配容量：SSD：实配固态硬盘单盘容量≥960GB NVME；实配机械硬盘：集成SATA硬盘控制器；实配机械硬盘单盘容量≥600GB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11、硬盘实配数量：整机配置机械硬盘≥2块3.5寸8TB 7200转SATA III硬盘；固态硬盘≥1块。</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12、硬盘插槽数量及规格：a)配置的硬盘尺寸：3.5英寸硬磁盘；b)机箱高度为44.45mm的服务器可支持的硬盘数量应不少于4块</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13、网口速率和数量：网口速率和数量：配备网口数量不少于1个，且网口速率不少于1GE。</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14、显示接口：显示接口类型应不少于1种，如：VGA、DP、HDMI 等</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15、USB 接口：配备 USB 接口，USB3.0≥3个</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16、电源模块数量：≥1+1冗余</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17、电源功率：≥550W。电源符合GB/T 9813.3的有关规定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18、外观和结构：a)服务器的零部件应紧固无松</w:t>
            </w:r>
            <w:r>
              <w:rPr>
                <w:rFonts w:hint="eastAsia" w:ascii="宋体" w:hAnsi="宋体" w:cs="宋体"/>
                <w:i/>
                <w:color w:val="000000"/>
                <w:sz w:val="24"/>
                <w:szCs w:val="24"/>
                <w:highlight w:val="none"/>
                <w:u w:val="single"/>
              </w:rPr>
              <w:t xml:space="preserve">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19、尺寸（高×宽×深）：不大于（680*440*450mm长*宽*高）：设计应遵循标准化、系列化的要求；机箱的内部结构符合通用部件的安装需要。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20、环境适应性：气候环境适应性应符合GB/T9813.3 的有关规定，工作温度10～35℃，贮存运输温度-40～55℃；工作相对湿度35%～80%，贮存运输相对湿度20％～93%（40℃）；大气压86～106kPa</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21、机械环境适应性：机械环境适应性应符合 GB/T9813.3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22、噪声：符合GB/T 9813.3的有关规定，在产品说明中给出具体测试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23、主板外部接口种类：主板外部接口种类：支持 USB、显示、管理等接口、VGA、HDMI、USB3.0、PS/2接口、BMC管理端口。</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24、网络功能：支持网络连接、网络访问、数据交换和网络管控功能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25、计算处理：支持通用计算及虚拟化功能。处理器需集成整型计算单元、浮点计算单元、内存控制器、I/O 模块等，处理器与存储部件、网络部件、I/O部件等组成计算系统，提供数据处理、网络接入等计算相关功能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26、密码算法实现：CPU 芯片应符合 GM/T 0008 的相关规定，或芯片密码模块应符合 GB/T37092 或 GM/T 0028 的相关规定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27、电源热插拔：整机电源模块应具备热插拔功能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28、电源过流保护：支持过流及短路保护的功能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29、散热方式：支持风冷或液冷等散热方式</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i/>
                <w:color w:val="000000"/>
                <w:sz w:val="24"/>
                <w:szCs w:val="24"/>
                <w:highlight w:val="none"/>
                <w:u w:val="singl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i/>
                <w:color w:val="000000"/>
                <w:sz w:val="24"/>
                <w:szCs w:val="24"/>
                <w:highlight w:val="none"/>
                <w:u w:val="singl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31、BIOS 固件基础功能：a）支持查看固件版本、内存信息、主板信息、处理器信息和系统时间信息功能；b）支持上电初始化界面显示 CPU 信息、内存信息、固件</w:t>
            </w:r>
            <w:r>
              <w:rPr>
                <w:rFonts w:hint="eastAsia" w:ascii="宋体" w:hAnsi="宋体" w:cs="宋体"/>
                <w:i/>
                <w:color w:val="000000"/>
                <w:sz w:val="24"/>
                <w:szCs w:val="24"/>
                <w:highlight w:val="none"/>
                <w:u w:val="singl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32、远程控制：支持远程关机和重新启动功能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33、中文信息处理：符合 GB 18030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34、故障检测：支持故障检测功能，可以检测到具体的 FRU（内存、硬盘等）的故障并发出告警</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35、弱口令字典检查：支持弱口令字典检查功能，出现在弱口令字典中的字符串不能被设置为用户口令</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36、白名单访问控制：支持基于时间、IP 或 MAC 白名单访问控制</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37、二次鉴别：支持二次鉴别功能。对于用户配置、权限配置、公钥导入等重要的管理操作，已登录用户应通过二次鉴别后，才能执行操作</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38、研发过程安全：供应商承诺，生产商已建立从需求、设计、开发、测试、维护端到端的开发流程管理机制，输出和保存开发流程中每个阶段的产品需求清单、设计文档、开发文档、测试记录等材料，保证各个流程可追溯</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39、物理安全：安全要求应符合 GB 4943.1 的规定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40、限用物质的限量要求：限用物质的限量应符合 GB/T 26572的要求</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41、CPU 主频：≥1.86GHz</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42、单 CPU 核数：≥4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43、单 CPU 末级缓存容量：≥8MB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44、内存速率：≥2666MT/s</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45、电源能耗：符合 GB/T 9813.3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46、内存兼容性：适配 3 种及以上厂商的内存产品，且均不低于产品支持的内存规格</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47、固态存储兼容性：适配 3 种或以上厂商的固态存储产品，且均不低于产品支持的固态存储设备规格</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48、网卡兼容性：网卡应适配两种或以上厂商产品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49、功能卡兼容性：内置或适配符合 PCIe 的功能卡，如：网络功能卡、存储功能卡及图形显示功能卡</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50、外设兼容性：兼容多种主流生产商的外部设备，包括显示器、键盘、鼠标、闪存盘、移动硬盘、USB 光驱及 KVM 等，要求使用不同厂商的外部设备时，系统均能正常识别和安装驱动</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51、数据库兼容：兼容 3 个及以上厂商的数据库产品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52、中间件兼容：兼容 3 个及以上厂商的中间件产品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53、平台软件兼容：兼容 3 个及以上厂商的大数据平台</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54、整机可靠性：m1 值（MTBF 的不可接受值）不得低于 30000h</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55、风扇可靠性：风扇寿命应不低于 40000h</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56、部件可靠性：支持硬盘、电源、风扇热插拔(内置风扇除外)</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57、标志、包装、运输和贮存：符合 GB/T 9813.3 和商品包装政府采购需求标准的相关规定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58、服务响应：a)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59、培训服务：供应商提供培训材料、产品手册、培训视频等培训相关内容</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60、服务周期：a)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61、工具要求：供应商提供设置服务器硬件、辅助操作系统安装等功能的辅助工具和管理软件。且随附软件应具有合法授权或版权</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62、驱动安装升级指引：供应商提供出厂安装的配件所需的驱动程序，形式包括但不限于驱动光盘、驱动下载链接等。其他配件应提供指引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63、管理软件：具备资源管理、系统管理、性能监控、健康监控、基于网络控制、报警设置功能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64、厂家升级产品软件与扩容服务：供应商提供原厂级的部件/软件产品升级和扩容能力</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65、提供上门服务：供应商具备提供上门服务的能力</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66、抗干扰性：当产品部件出现供应风险时，应通知客户并提供风险应对方案确保产品的服务保障，必要时应停止相关受影响产品的销售</w:t>
            </w:r>
            <w:r/>
          </w:p>
          <w:p>
            <w:pPr>
              <w:jc w:val="left"/>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67、供应能力证明：供应商提供供应链稳定承诺书，确保产品的部件在产品服务周期内稳定供货</w:t>
            </w:r>
            <w:r/>
          </w:p>
          <w:p>
            <w:pPr>
              <w:jc w:val="left"/>
            </w:pPr>
            <w:r>
              <w:rPr>
                <w:rFonts w:hint="eastAsia" w:ascii="宋体" w:hAnsi="宋体"/>
                <w:i/>
                <w:iCs/>
                <w:sz w:val="24"/>
                <w:szCs w:val="24"/>
                <w:u w:val="single"/>
              </w:rPr>
              <w:t xml:space="preserve">【投标人提供承诺函加盖公章扫描上传】</w:t>
            </w:r>
            <w:r/>
          </w:p>
          <w:p>
            <w:pPr>
              <w:jc w:val="left"/>
              <w:rPr>
                <w:rFonts w:ascii="宋体" w:hAnsi="宋体" w:cs="宋体"/>
                <w:color w:val="000000"/>
                <w:sz w:val="24"/>
                <w:szCs w:val="24"/>
                <w:highlight w:val="none"/>
              </w:rPr>
            </w:pPr>
            <w:r>
              <w:rPr>
                <w:rFonts w:ascii="宋体" w:hAnsi="宋体" w:cs="宋体"/>
                <w:color w:val="000000"/>
                <w:sz w:val="24"/>
                <w:szCs w:val="24"/>
                <w:highlight w:val="none"/>
              </w:rPr>
              <w:t xml:space="preserve">软件功能：</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▲1、支持《国家教育考试网上巡查系统视频标准技术规范2017版》（须提供具有CMA检测标识的检测报告）</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▲2、支持多级/跨级SIP服务器级联，从校级到国家级逐级注册，可组成5级联网系统，信令逐级传输（须提供具有CMA检测标识的检测报告）</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3、支持部署扩展，在原有基础上增加校级到省级或校级到市级注册的路由，组成3-5级联网的可扩展系统</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4、支持标准 SIP2.0协议</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5、能将周边设备的IP、端口、域名等注册信息、视频信号等发送至上级服务器</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6、应自动解析具有规范命名的周边设备地址，并实时显示周边设备工作状态</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7、下级SIP网关服务器应通过连接上级SIP网关服务器的IP和端口，实现下级到上级的注册</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▲8、支持考场和所配置的监控摄像机点位对应功能（须提供具有CMA检测标识的检测报告）</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▲9、支持通过考场摄像机点位查询该点位所涉考场的考试人员信息（须提供具有CMA检测标识的检测报告）</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10、支持通过考生的准考证号定位该考生所在的考场的实时视频</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11、具有考生信息查询功能，可查询考点考场信息、座次信息、考生姓名、性别、准考证号、身份证号等</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12、在额定电压220V的90%~110%范围内变化时，应无需调整仍能正常工作</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13、高温：（+40±2）℃、2h，低温：（0±3）℃、2h；</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▲14、为方便统一管理和运维，红外人脸抓拍半球（巡考专用）、网上巡查综合管理平台、SIP网关网络存储服务器、流媒体存储服务器及解码器须为同一品牌（须提供承诺函并加盖投标人公章）</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highlight w:val="green"/>
              </w:rPr>
            </w:pPr>
            <w:r>
              <w:rPr>
                <w:rFonts w:hint="eastAsia" w:ascii="宋体" w:hAnsi="宋体" w:cs="宋体"/>
                <w:color w:val="000000"/>
                <w:sz w:val="24"/>
                <w:szCs w:val="24"/>
                <w:lang w:bidi="ar"/>
              </w:rPr>
              <w:t xml:space="preserve">流媒体存储服务器</w:t>
            </w:r>
            <w:r/>
          </w:p>
        </w:tc>
        <w:tc>
          <w:tcPr>
            <w:shd w:val="clear" w:color="auto" w:fill="ffffff"/>
            <w:tcW w:w="3592" w:type="pct"/>
            <w:vAlign w:val="center"/>
            <w:textDirection w:val="lrTb"/>
            <w:noWrap w:val="false"/>
          </w:tcPr>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1、CPU信息：配置≥1颗CPU，基频≥2.1GHz；每CPU核心≥16核</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2、主板支持的 CPU 和内存情况：至少支持2颗处理器，内存配置容量不低于16GB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3、主板内存槽数量：非板载内存的可扩展插槽数量应不少于24个</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4、主板存储接口：至少支持SATA、SAS、M.2、U.2等存储接口中的1种</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5、PCle插槽接口：符合PCle3.0或以上的高速串行计算机扩展总线标准，PCle的接口速率与位宽需保证向下兼容</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6、主板 PCle插槽数量及规格：a)高度大于44.45mm双路或以上服务器PCIe插槽或接口应不少于5个；b)单路服务器PCIe插槽或接口应不少于4个，可通过扩展卡进行插槽扩展。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7、内存数量：≥4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8、内存规格：≥DDR4</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9、内存通道：支持多个内存接口通道，每个通道可支持1DPC或2DPC，当支持2DPC时，印制电路板上应具备插槽的序号标识，具体通道数应在随机文件中明确</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10、硬磁盘实配容量：实配机械硬盘：集成SATA硬盘控制器；实配机械硬盘单盘容量≥4TB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11、硬盘实配数量：整机配置机械硬盘≥2块3.5寸4TB 7200转SATA III硬盘</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12、硬盘插槽数量及规格：a)配置的硬盘尺寸，如2.5英寸、3.5英寸硬磁盘；b)机箱高度为87mm的服务器可支持的硬盘数量应不少于12块</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13、网口速率和数量：网口速率和数量：配备网口数量不少于2个，且网口速率不少于1GE。</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14、显示接口：显示接口类型应不少于1种，如：VGA、DP、HDMI 等</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15、USB 接口：配备 USB 接口，USB3.0≥3个</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16、电源模块数量：≥1+1冗余</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17、电源功率：≥550W。电源符合GB/T 9813.3的有关规定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18、外观和结构：a)服务器的零部件应紧固无松</w:t>
            </w:r>
            <w:r>
              <w:rPr>
                <w:rFonts w:hint="eastAsia" w:ascii="宋体" w:hAnsi="宋体" w:cs="宋体"/>
                <w:i/>
                <w:color w:val="000000"/>
                <w:sz w:val="24"/>
                <w:szCs w:val="24"/>
                <w:highlight w:val="none"/>
                <w:u w:val="single"/>
              </w:rPr>
              <w:t xml:space="preserve">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19、尺寸（高×宽×深）：不大于（87*480*820mm高*宽*高深）：设计应遵循标准化、系列化的要求；机箱的内部结构符合通用部件的安装需要。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20、环境适应性：气候环境适应性应符合GB/T9813.3 的有关规定，工作温度10～35℃，贮存运输温度-40～55℃；工作相对湿度35%～80%，贮存运输相对湿度20％～93%（40℃）；大气压86～106kPa</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21、机械环境适应性：机械环境适应性应符合 GB/T9813.3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22、噪声：符合GB/T 9813.3的有关规定，在产品说明中给出具体测试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23、主板外部接口种类：主板外部接口种类：支持 USB、显示、管理等接口、VGA、HDMI、USB3.0、PS/2接口、BMC管理端口。</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24、网络功能：支持网络连接、网络访问、数据交换和网络管控功能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25、计算处理：支持通用计算及虚拟化功能。处理器需集成整型计算单元、浮点计算单元、内存控制器、I/O 模块等，处理器与存储部件、网络部件、I/O部件等组成计算系统，提供数据处理、网络接入等计算相关功能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26、密码算法实现：CPU 芯片应符合 GM/T 0008 的相关规定，或芯片密码模块应符合 GB/T37092 或 GM/T 0028 的相关规定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27、电源热插拔：整机电源模块应具备热插拔功能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28、电源过流保护：支持过流及短路保护的功能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29、散热方式：支持风冷或液冷等散热方式</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i/>
                <w:color w:val="000000"/>
                <w:sz w:val="24"/>
                <w:szCs w:val="24"/>
                <w:highlight w:val="none"/>
                <w:u w:val="singl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i/>
                <w:color w:val="000000"/>
                <w:sz w:val="24"/>
                <w:szCs w:val="24"/>
                <w:highlight w:val="none"/>
                <w:u w:val="singl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31、BIOS 固件基础功能：a）支持查看固件版本、内存信息、主板信息、处理器信息和系统时间信息功能；b）支持上电初始化界面显示 CPU 信息、内存信息、固件</w:t>
            </w:r>
            <w:r>
              <w:rPr>
                <w:rFonts w:hint="eastAsia" w:ascii="宋体" w:hAnsi="宋体" w:cs="宋体"/>
                <w:i/>
                <w:color w:val="000000"/>
                <w:sz w:val="24"/>
                <w:szCs w:val="24"/>
                <w:highlight w:val="none"/>
                <w:u w:val="singl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32、远程控制：支持远程关机和重新启动功能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33、中文信息处理：符合 GB 18030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34、故障检测：支持故障检测功能，可以检测到具体的 FRU（内存、硬盘等）的故障并发出告警</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35、弱口令字典检查：支持弱口令字典检查功能，出现在弱口令字典中的字符串不能被设置为用户口令</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36、白名单访问控制：支持基于时间、IP 或 MAC 白名单访问控制</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37、二次鉴别：支持二次鉴别功能。对于用户配置、权限配置、公钥导入等重要的管理操作，已登录用户应通过二次鉴别后，才能执行操作</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38、研发过程安全：供应商承诺，生产商已建立从需求、设计、开发、测试、维护端到端的开发流程管理机制，输出和保存开发流程中每个阶段的产品需求清单、设计文档、开发文档、测试记录等材料，保证各个流程可追溯</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39、物理安全：安全要求应符合 GB 4943.1 的规定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40、限用物质的限量要求：限用物质的限量应符合 GB/T 26572的要求</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41、CPU 主频：≥2.1GHz</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42、单 CPU 核数：≥16</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43、单 CPU 末级缓存容量：≥22MB</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44、内存速率：≥2666MT/s</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45、电源能耗：符合 GB/T 9813.3 的有关规定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46、内存兼容性：适配 3 种及以上厂商的内存产品，且均不低于产品支持的内存规格</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47、固态存储兼容性：适配 3 种或以上厂商的固态存储产品，且均不低于产品支持的固态存储设备规格</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48、网卡兼容性：网卡应适配两种或以上厂商产品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49、功能卡兼容性：内置或适配符合 PCIe 的功能卡，如：网络功能卡、存储功能卡及图形显示功能卡</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50、外设兼容性：兼容多种主流生产商的外部设备，包括显示器、键盘、鼠标、闪存盘、移动硬盘、USB 光驱及 KVM 等，要求使用不同厂商的外部设备时，系统均能正常识别和安装驱动</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51、数据库兼容：兼容 3 个及以上厂商的数据库产品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52、中间件兼容：兼容 3 个及以上厂商的中间件产品</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53、平台软件兼容：兼容 3 个及以上厂商的大数据平台</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54、整机可靠性：m1 值（MTBF 的不可接受值）不得低于 30000h</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55、风扇可靠性：风扇寿命应不低于 40000h</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56、部件可靠性：支持硬盘、电源、风扇热插拔(内置风扇除外)</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57、标志、包装、运输和贮存：符合 GB/T 9813.3 和商品包装政府采购需求标准的相关规定</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58、服务响应：a)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59、培训服务：供应商提供培训材料、产品手册、培训视频等培训相关内容</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60、服务周期：a)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61、工具要求：供应商提供设置服务器硬件、辅助操作系统安装等功能的辅助工具和管理软件。且随附软件应具有合法授权或版权</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62、驱动安装升级指引：供应商提供出厂安装的配件所需的驱动程序，形式包括但不限于驱动光盘、驱动下载链接等。其他配件应提供指引</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63、管理软件：具备资源管理、系统管理、性能监控、健康监控、基于网络控制、报警设置功能</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64、厂家升级产品软件与扩容服务：供应商提供原厂级的部件/软件产品升级和扩容能力</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65、提供上门服务：供应商具备提供上门服务的能力</w:t>
            </w:r>
            <w:r/>
          </w:p>
          <w:p>
            <w:pPr>
              <w:jc w:val="lef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66、抗干扰性：当产品部件出现供应风险时，应通知客户并提供风险应对方案确保产品的服务保障，必要时应停止相关受影响产品的销售</w:t>
            </w:r>
            <w:r/>
          </w:p>
          <w:p>
            <w:pPr>
              <w:jc w:val="left"/>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67、供应能力证明：供应商提供供应链稳定承诺书，确保产品的部件在产品服务周期内稳定供货</w:t>
            </w:r>
            <w:r/>
          </w:p>
          <w:p>
            <w:pPr>
              <w:jc w:val="left"/>
            </w:pPr>
            <w:r>
              <w:rPr>
                <w:rFonts w:hint="eastAsia" w:ascii="宋体" w:hAnsi="宋体"/>
                <w:i/>
                <w:iCs/>
                <w:sz w:val="24"/>
                <w:szCs w:val="24"/>
                <w:u w:val="single"/>
              </w:rPr>
              <w:t xml:space="preserve">【投标人提供承诺函加盖公章扫描上传】</w:t>
            </w:r>
            <w:r/>
          </w:p>
          <w:p>
            <w:pPr>
              <w:jc w:val="left"/>
              <w:rPr>
                <w:rFonts w:ascii="宋体" w:hAnsi="宋体" w:cs="宋体"/>
                <w:color w:val="000000"/>
                <w:sz w:val="24"/>
                <w:szCs w:val="24"/>
              </w:rPr>
            </w:pPr>
            <w:r>
              <w:rPr>
                <w:rFonts w:ascii="宋体" w:hAnsi="宋体" w:cs="宋体"/>
                <w:color w:val="000000"/>
                <w:sz w:val="24"/>
                <w:szCs w:val="24"/>
              </w:rPr>
              <w:t xml:space="preserve">软件功能：</w:t>
            </w:r>
            <w:r/>
          </w:p>
          <w:p>
            <w:pPr>
              <w:jc w:val="left"/>
              <w:rPr>
                <w:rFonts w:ascii="宋体" w:hAnsi="宋体" w:cs="宋体"/>
                <w:color w:val="000000"/>
                <w:sz w:val="24"/>
                <w:szCs w:val="24"/>
              </w:rPr>
            </w:pPr>
            <w:r>
              <w:rPr>
                <w:rFonts w:hint="eastAsia" w:ascii="宋体" w:hAnsi="宋体" w:cs="宋体"/>
                <w:color w:val="000000"/>
                <w:sz w:val="24"/>
                <w:szCs w:val="24"/>
              </w:rPr>
              <w:t xml:space="preserve">▲1、支持《国家教育考试网上巡查系统视频标准技术规范2017版》（须提供具有CMA检测标识的检测报告）</w:t>
            </w:r>
            <w:r/>
          </w:p>
          <w:p>
            <w:pPr>
              <w:jc w:val="left"/>
              <w:rPr>
                <w:rFonts w:ascii="宋体" w:hAnsi="宋体" w:cs="宋体"/>
                <w:color w:val="000000"/>
                <w:sz w:val="24"/>
                <w:szCs w:val="24"/>
              </w:rPr>
            </w:pPr>
            <w:r>
              <w:rPr>
                <w:rFonts w:hint="eastAsia" w:ascii="宋体" w:hAnsi="宋体" w:cs="宋体"/>
                <w:color w:val="000000"/>
                <w:sz w:val="24"/>
                <w:szCs w:val="24"/>
              </w:rPr>
              <w:t xml:space="preserve">2、≥2个10M/100M/1000M自适应以太网口，≥2个HDMI接口，≥2个VGA接口，≥2个RS-485接口，≥1个RS-232接口，≥1个BNC音频输出接口，≥2个USB2.0接口，≥1个USB3.0接口，≥1个eSATA接口，≥1路音频输入（JACK口），≥1路输出接口（JACK口），≥16路报警输入接口，≥4路报警输出接口</w:t>
            </w:r>
            <w:r/>
          </w:p>
          <w:p>
            <w:pPr>
              <w:jc w:val="left"/>
              <w:rPr>
                <w:rFonts w:ascii="宋体" w:hAnsi="宋体" w:cs="宋体"/>
                <w:color w:val="000000"/>
                <w:sz w:val="24"/>
                <w:szCs w:val="24"/>
              </w:rPr>
            </w:pPr>
            <w:r>
              <w:rPr>
                <w:rFonts w:hint="eastAsia" w:ascii="宋体" w:hAnsi="宋体" w:cs="宋体"/>
                <w:color w:val="000000"/>
                <w:sz w:val="24"/>
                <w:szCs w:val="24"/>
              </w:rPr>
              <w:t xml:space="preserve">3、TCP、UDP、HTTP、MUC、UPnP、DHCP、PPPoE、DDNS、NFS、FTP、NTP、RTSP、SMTP、HTTPS、SNMP等协议设置选项</w:t>
            </w:r>
            <w:r/>
          </w:p>
          <w:p>
            <w:pPr>
              <w:jc w:val="left"/>
              <w:rPr>
                <w:rFonts w:ascii="宋体" w:hAnsi="宋体" w:cs="宋体"/>
                <w:color w:val="000000"/>
                <w:sz w:val="24"/>
                <w:szCs w:val="24"/>
              </w:rPr>
            </w:pPr>
            <w:r>
              <w:rPr>
                <w:rFonts w:hint="eastAsia" w:ascii="宋体" w:hAnsi="宋体" w:cs="宋体"/>
                <w:color w:val="000000"/>
                <w:sz w:val="24"/>
                <w:szCs w:val="24"/>
              </w:rPr>
              <w:t xml:space="preserve">4、接入带宽≥400M，转发带宽≥200M</w:t>
            </w:r>
            <w:r/>
          </w:p>
          <w:p>
            <w:pPr>
              <w:jc w:val="left"/>
              <w:rPr>
                <w:rFonts w:ascii="宋体" w:hAnsi="宋体" w:cs="宋体"/>
                <w:color w:val="000000"/>
                <w:sz w:val="24"/>
                <w:szCs w:val="24"/>
              </w:rPr>
            </w:pPr>
            <w:r>
              <w:rPr>
                <w:rFonts w:hint="eastAsia" w:ascii="宋体" w:hAnsi="宋体" w:cs="宋体"/>
                <w:color w:val="000000"/>
                <w:sz w:val="24"/>
                <w:szCs w:val="24"/>
              </w:rPr>
              <w:t xml:space="preserve">▲5、可一键添加不同网段的前端摄像机（须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6、支持JB0D、RAID0、RAID1、RAID5、RAID6、RAID10模式</w:t>
            </w:r>
            <w:r/>
          </w:p>
          <w:p>
            <w:pPr>
              <w:jc w:val="left"/>
              <w:rPr>
                <w:rFonts w:ascii="宋体" w:hAnsi="宋体" w:cs="宋体"/>
                <w:color w:val="000000"/>
                <w:sz w:val="24"/>
                <w:szCs w:val="24"/>
              </w:rPr>
            </w:pPr>
            <w:r>
              <w:rPr>
                <w:rFonts w:hint="eastAsia" w:ascii="宋体" w:hAnsi="宋体" w:cs="宋体"/>
                <w:color w:val="000000"/>
                <w:sz w:val="24"/>
                <w:szCs w:val="24"/>
              </w:rPr>
              <w:t xml:space="preserve">7、支持自动识别硬盘容量，可查看磁盘组的总容量；支持S.M.A.R.T智能磁盘监测、坏道检测、健康状态检测，能监控硬盘的温度、震动、SATA链路的健康状态</w:t>
            </w:r>
            <w:r/>
          </w:p>
          <w:p>
            <w:pPr>
              <w:jc w:val="left"/>
              <w:rPr>
                <w:rFonts w:ascii="宋体" w:hAnsi="宋体" w:cs="宋体"/>
                <w:color w:val="000000"/>
                <w:sz w:val="24"/>
                <w:szCs w:val="24"/>
              </w:rPr>
            </w:pPr>
            <w:r>
              <w:rPr>
                <w:rFonts w:hint="eastAsia" w:ascii="宋体" w:hAnsi="宋体" w:cs="宋体"/>
                <w:color w:val="000000"/>
                <w:sz w:val="24"/>
                <w:szCs w:val="24"/>
              </w:rPr>
              <w:t xml:space="preserve">8、支持盘组配置，存储录像时只对工作盘进行读写，空闲硬盘处于休眠状态直到需要进行读写操作时才被唤醒</w:t>
            </w:r>
            <w:r/>
          </w:p>
          <w:p>
            <w:pPr>
              <w:jc w:val="left"/>
              <w:rPr>
                <w:rFonts w:ascii="宋体" w:hAnsi="宋体" w:cs="宋体"/>
                <w:color w:val="000000"/>
                <w:sz w:val="24"/>
                <w:szCs w:val="24"/>
              </w:rPr>
            </w:pPr>
            <w:r>
              <w:rPr>
                <w:rFonts w:hint="eastAsia" w:ascii="宋体" w:hAnsi="宋体" w:cs="宋体"/>
                <w:color w:val="000000"/>
                <w:sz w:val="24"/>
                <w:szCs w:val="24"/>
              </w:rPr>
              <w:t xml:space="preserve">9、支持监控级和企业级，不同容量的硬盘混插</w:t>
            </w:r>
            <w:r/>
          </w:p>
          <w:p>
            <w:pPr>
              <w:jc w:val="left"/>
              <w:rPr>
                <w:rFonts w:ascii="宋体" w:hAnsi="宋体" w:cs="宋体"/>
                <w:color w:val="000000"/>
                <w:sz w:val="24"/>
                <w:szCs w:val="24"/>
              </w:rPr>
            </w:pPr>
            <w:r>
              <w:rPr>
                <w:rFonts w:hint="eastAsia" w:ascii="宋体" w:hAnsi="宋体" w:cs="宋体"/>
                <w:color w:val="000000"/>
                <w:sz w:val="24"/>
                <w:szCs w:val="24"/>
              </w:rPr>
              <w:t xml:space="preserve">▲10、支持报警预录和报警延录功能，设备应预录报警触发前60s的视（音）频，发生报警时，可录制报警停止后10~600s的视频录像（须提供具有CMA认证的检测机构出具的检测报告，检测报告需体现相关指标）</w:t>
            </w:r>
            <w:r/>
          </w:p>
          <w:p>
            <w:pPr>
              <w:jc w:val="left"/>
              <w:rPr>
                <w:rFonts w:ascii="宋体" w:hAnsi="宋体" w:cs="宋体"/>
                <w:sz w:val="24"/>
                <w:szCs w:val="24"/>
              </w:rPr>
            </w:pPr>
            <w:r>
              <w:rPr>
                <w:rFonts w:hint="eastAsia" w:ascii="宋体" w:hAnsi="宋体" w:cs="宋体"/>
                <w:color w:val="000000"/>
                <w:sz w:val="24"/>
                <w:szCs w:val="24"/>
              </w:rPr>
              <w:t xml:space="preserve">▲11、支持以1/16、1/8、1/4、1/2、1、2、4、8、16、32、64、128、256、512倍速回放录像（须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color w:val="000000"/>
                <w:sz w:val="24"/>
                <w:szCs w:val="24"/>
              </w:rPr>
              <w:t xml:space="preserve">▲12、支持将接入的图像以多画面分割方式显示，可分割为1/3/4/6/8/9/10/13/16/20A/20B/25／32/36/40/64个画面（须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13、支持将网口工作模式设置为网络冗余、负载均衡、多址设定三种模式；支持将2个网口设置为不同网段的IP地址或同一IP地址</w:t>
            </w:r>
            <w:r/>
          </w:p>
          <w:p>
            <w:pPr>
              <w:jc w:val="left"/>
              <w:rPr>
                <w:rFonts w:ascii="宋体" w:hAnsi="宋体" w:cs="宋体"/>
                <w:color w:val="000000"/>
                <w:sz w:val="24"/>
                <w:szCs w:val="24"/>
              </w:rPr>
            </w:pPr>
            <w:r>
              <w:rPr>
                <w:rFonts w:hint="eastAsia" w:ascii="宋体" w:hAnsi="宋体" w:cs="宋体"/>
                <w:color w:val="000000"/>
                <w:sz w:val="24"/>
                <w:szCs w:val="24"/>
              </w:rPr>
              <w:t xml:space="preserve">14、满足本次建设的巡考专用接入管理</w:t>
            </w:r>
            <w:r/>
          </w:p>
          <w:p>
            <w:pPr>
              <w:jc w:val="left"/>
              <w:rPr>
                <w:rFonts w:ascii="宋体" w:hAnsi="宋体" w:cs="宋体"/>
                <w:color w:val="000000"/>
                <w:sz w:val="24"/>
                <w:szCs w:val="24"/>
              </w:rPr>
            </w:pPr>
            <w:r>
              <w:rPr>
                <w:rFonts w:hint="eastAsia" w:ascii="宋体" w:hAnsi="宋体" w:cs="宋体"/>
                <w:color w:val="000000"/>
                <w:sz w:val="24"/>
                <w:szCs w:val="24"/>
              </w:rPr>
              <w:t xml:space="preserve">15、为方便统一管理和运维，红外人脸抓拍半球（巡考专用）、网上巡查综合管理平台、SIP网关网络存储服务器、流媒体存储服务器及解码器须为同一品牌</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监控级硬盘</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1、8T监控级</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液晶拼接单元</w:t>
            </w:r>
            <w:r/>
          </w:p>
        </w:tc>
        <w:tc>
          <w:tcPr>
            <w:shd w:val="clear" w:color="auto" w:fill="auto"/>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1、液晶拼接显示单元尺寸≥49，拼缝≤3.5mm，分辨率≥1920X180 ，响应时间≤8ms</w:t>
            </w:r>
            <w:r/>
          </w:p>
          <w:p>
            <w:pPr>
              <w:jc w:val="left"/>
              <w:rPr>
                <w:rFonts w:ascii="宋体" w:hAnsi="宋体" w:cs="宋体"/>
                <w:color w:val="000000"/>
                <w:sz w:val="24"/>
                <w:szCs w:val="24"/>
              </w:rPr>
            </w:pPr>
            <w:r>
              <w:rPr>
                <w:rFonts w:hint="eastAsia" w:ascii="宋体" w:hAnsi="宋体" w:cs="宋体"/>
                <w:color w:val="000000"/>
                <w:sz w:val="24"/>
                <w:szCs w:val="24"/>
              </w:rPr>
              <w:t xml:space="preserve">2、液晶拼接显示单元亮度鉴定≥12级，亮度均匀性≥98%，白平衡误差不劣于±0.010，视角：水平≥178°，垂直≥178°</w:t>
            </w:r>
            <w:r/>
          </w:p>
          <w:p>
            <w:pPr>
              <w:jc w:val="left"/>
              <w:rPr>
                <w:rFonts w:ascii="宋体" w:hAnsi="宋体" w:cs="宋体"/>
                <w:color w:val="000000"/>
                <w:sz w:val="24"/>
                <w:szCs w:val="24"/>
              </w:rPr>
            </w:pPr>
            <w:r>
              <w:rPr>
                <w:rFonts w:hint="eastAsia" w:ascii="宋体" w:hAnsi="宋体" w:cs="宋体"/>
                <w:color w:val="000000"/>
                <w:sz w:val="24"/>
                <w:szCs w:val="24"/>
              </w:rPr>
              <w:t xml:space="preserve">3、色彩还原能力≥16.7M，ΔE≤0.9，色彩饱和度≥92%，屏幕带宽≥120MHz</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4、液晶拼接显示单元应具备灰度等级提升技术，使8bit液晶屏实现不低于10bit的显示效果，灰度等级从256级增加到不低于1024级，画面参差丰富、色彩逼真</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5、液晶拼接显示单元图像质量主观评价应达到《民用闭路监视电视系统工程技术规范》(GB 50198- 2011)规定的五级损伤评分等级四级以上的要求</w:t>
            </w:r>
            <w:r>
              <w:rPr>
                <w:rFonts w:hint="eastAsia" w:ascii="宋体" w:hAnsi="宋体" w:cs="宋体"/>
                <w:color w:val="000000"/>
                <w:sz w:val="24"/>
                <w:szCs w:val="24"/>
                <w:highlight w:val="none"/>
              </w:rPr>
              <w:tab/>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6、液晶拼接显示单元应采用原装屏体，色彩还原度达到JJG211-2005标准</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7、液晶拼接显示单元应具有十级灰阶色度、亮度校正功能，使各灰阶整墙一致性达到80%，具有检测并匹配与输入信号相同的颜色空间的功能，使显示画面不丢失灰、亮阶细节</w:t>
            </w:r>
            <w:r/>
          </w:p>
          <w:p>
            <w:pPr>
              <w:jc w:val="left"/>
              <w:rPr>
                <w:rFonts w:ascii="宋体" w:hAnsi="宋体" w:cs="宋体"/>
                <w:color w:val="000000"/>
                <w:sz w:val="24"/>
                <w:szCs w:val="24"/>
              </w:rPr>
            </w:pPr>
            <w:r>
              <w:rPr>
                <w:rFonts w:hint="eastAsia" w:ascii="宋体" w:hAnsi="宋体" w:cs="宋体"/>
                <w:color w:val="000000"/>
                <w:sz w:val="24"/>
                <w:szCs w:val="24"/>
              </w:rPr>
              <w:t xml:space="preserve">8、液晶拼接显示单元使用寿命≥60000小时，平均无故障时间≥60000小时</w:t>
            </w:r>
            <w:r>
              <w:rPr>
                <w:rFonts w:hint="eastAsia" w:ascii="宋体" w:hAnsi="宋体" w:cs="宋体"/>
                <w:color w:val="000000"/>
                <w:sz w:val="24"/>
                <w:szCs w:val="24"/>
              </w:rPr>
              <w:tab/>
            </w:r>
            <w:r/>
          </w:p>
          <w:p>
            <w:pPr>
              <w:jc w:val="left"/>
              <w:rPr>
                <w:rFonts w:ascii="宋体" w:hAnsi="宋体" w:cs="宋体"/>
                <w:color w:val="000000"/>
                <w:sz w:val="24"/>
                <w:szCs w:val="24"/>
              </w:rPr>
            </w:pPr>
            <w:r>
              <w:rPr>
                <w:rFonts w:hint="eastAsia" w:ascii="宋体" w:hAnsi="宋体" w:cs="宋体"/>
                <w:color w:val="000000"/>
                <w:sz w:val="24"/>
                <w:szCs w:val="24"/>
              </w:rPr>
              <w:t xml:space="preserve">9、液晶拼接单元防护等级不低于IP6X，抗震等级不低于8级</w:t>
            </w:r>
            <w:r/>
          </w:p>
          <w:p>
            <w:pPr>
              <w:jc w:val="left"/>
              <w:rPr>
                <w:rFonts w:ascii="宋体" w:hAnsi="宋体" w:cs="宋体"/>
                <w:color w:val="000000"/>
                <w:sz w:val="24"/>
                <w:szCs w:val="24"/>
              </w:rPr>
            </w:pPr>
            <w:r>
              <w:rPr>
                <w:rFonts w:hint="eastAsia" w:ascii="宋体" w:hAnsi="宋体" w:cs="宋体"/>
                <w:color w:val="000000"/>
                <w:sz w:val="24"/>
                <w:szCs w:val="24"/>
              </w:rPr>
              <w:t xml:space="preserve">10、禁止飞线屏设计</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解码器</w:t>
            </w:r>
            <w:r/>
          </w:p>
        </w:tc>
        <w:tc>
          <w:tcPr>
            <w:shd w:val="clear" w:color="auto" w:fill="auto"/>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▲1、支持不少于1对音频输入／输出接口、2个RJ45千兆网络接口、2个RS485、2个RS-232、2个USB2.0、1个USB3.0、2个HDMI输入接口、9个 HDMI输出接口，具有开关按键、复位键，支持不少于8路报警输入、8路报警输出（须</w:t>
            </w:r>
            <w:r>
              <w:rPr>
                <w:rFonts w:hint="eastAsia" w:ascii="宋体" w:hAnsi="宋体" w:cs="宋体"/>
                <w:sz w:val="24"/>
                <w:szCs w:val="24"/>
              </w:rPr>
              <w:t xml:space="preserve">提供具有CMA认证的检测机构出具的检测报告，</w:t>
            </w:r>
            <w:r>
              <w:rPr>
                <w:rFonts w:hint="eastAsia" w:ascii="宋体" w:hAnsi="宋体" w:cs="宋体"/>
                <w:color w:val="000000"/>
                <w:sz w:val="24"/>
                <w:szCs w:val="24"/>
              </w:rPr>
              <w:t xml:space="preserve">检测报告需体现相关指标</w:t>
            </w:r>
            <w:r>
              <w:rPr>
                <w:rFonts w:hint="eastAsia" w:ascii="宋体" w:hAnsi="宋体" w:cs="宋体"/>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2、支持不少于2路本地高清视频输入，不少于9路视频解码输出</w:t>
            </w:r>
            <w:r/>
          </w:p>
          <w:p>
            <w:pPr>
              <w:jc w:val="left"/>
              <w:rPr>
                <w:rFonts w:ascii="宋体" w:hAnsi="宋体" w:cs="宋体"/>
                <w:color w:val="000000"/>
                <w:sz w:val="24"/>
                <w:szCs w:val="24"/>
              </w:rPr>
            </w:pPr>
            <w:r>
              <w:rPr>
                <w:rFonts w:hint="eastAsia" w:ascii="宋体" w:hAnsi="宋体" w:cs="宋体"/>
                <w:color w:val="000000"/>
                <w:sz w:val="24"/>
                <w:szCs w:val="24"/>
              </w:rPr>
              <w:t xml:space="preserve">3、应支持 H.265、H.264（Baseline/Main/High Profile)、MPEG4、MJPEG 视频解码。应支持G.711A、G.711U、AAC、ADPCM音频解码</w:t>
            </w:r>
            <w:r/>
          </w:p>
          <w:p>
            <w:pPr>
              <w:jc w:val="left"/>
              <w:rPr>
                <w:rFonts w:ascii="宋体" w:hAnsi="宋体" w:cs="宋体"/>
                <w:color w:val="000000"/>
                <w:sz w:val="24"/>
                <w:szCs w:val="24"/>
              </w:rPr>
            </w:pPr>
            <w:r>
              <w:rPr>
                <w:rFonts w:hint="eastAsia" w:ascii="宋体" w:hAnsi="宋体" w:cs="宋体"/>
                <w:color w:val="000000"/>
                <w:sz w:val="24"/>
                <w:szCs w:val="24"/>
              </w:rPr>
              <w:t xml:space="preserve">▲4、解码能力最大支持整机解码通道不少于144路；支持不少于6 路12MP（4000×3072）、12路8MP（3840×2160）、18路5MP（2560×2048）、24路4MP（2560×1440）、33路3MP（2048×1536) 、48路1080P（1920×1080）、96路720P（1280×720）、144路960H（960×576）视频解码（须提供具有CMA认证的检测机构出具的检测报告，检测报告需体现相关指标）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▲5、视频输入信号经过设备解码输出后与原信号间的时间延迟应不高于170ms（须提供具有CMA认证的检测机构出具的检测报告，检测报告需体现相关指标）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6、应支持最大9个屏任意拼接，每屏应支持1/2/3/4/6/8/9/10/13/16/20/25/36/40/64固定分割</w:t>
            </w:r>
            <w:r/>
          </w:p>
          <w:p>
            <w:pPr>
              <w:jc w:val="left"/>
              <w:rPr>
                <w:rFonts w:ascii="宋体" w:hAnsi="宋体" w:cs="宋体"/>
                <w:color w:val="000000"/>
                <w:sz w:val="24"/>
                <w:szCs w:val="24"/>
              </w:rPr>
            </w:pPr>
            <w:r>
              <w:rPr>
                <w:rFonts w:hint="eastAsia" w:ascii="宋体" w:hAnsi="宋体" w:cs="宋体"/>
                <w:color w:val="000000"/>
                <w:sz w:val="24"/>
                <w:szCs w:val="24"/>
              </w:rPr>
              <w:t xml:space="preserve">7、解码输出应能根据输入通道的分辨率、码率、帧率的不同进行自适应调整输出的分辨率、码率和帧率</w:t>
            </w:r>
            <w:r/>
          </w:p>
          <w:p>
            <w:pPr>
              <w:jc w:val="left"/>
              <w:rPr>
                <w:rFonts w:ascii="宋体" w:hAnsi="宋体" w:cs="宋体"/>
                <w:color w:val="000000"/>
                <w:sz w:val="24"/>
                <w:szCs w:val="24"/>
              </w:rPr>
            </w:pPr>
            <w:r>
              <w:rPr>
                <w:rFonts w:hint="eastAsia" w:ascii="宋体" w:hAnsi="宋体" w:cs="宋体"/>
                <w:color w:val="000000"/>
                <w:sz w:val="24"/>
                <w:szCs w:val="24"/>
              </w:rPr>
              <w:t xml:space="preserve">▲8、HDMI输入支持不少于以下分辨率：3840×2160@30Hz、2560×1600@30Hz、1920×1080@60Hz、1920×1080@50Hz、1600×1200@60Hz、1680×1050@60Hz、1280× 1024@60Hz、1440×900@60Hz、1280×800@60Hz、1280×720@60Hz、1280×720@50Hz、1024×768@60Hz（提供具有CMA认证的检测机构出具的检测报告，检测报告需体现相关指标）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9、在浏览器下，应具有GB/T 28181、Onvif、RTP、RTSP设置选项</w:t>
            </w:r>
            <w:r/>
          </w:p>
          <w:p>
            <w:pPr>
              <w:jc w:val="left"/>
              <w:rPr>
                <w:rFonts w:ascii="宋体" w:hAnsi="宋体" w:cs="宋体"/>
                <w:color w:val="000000"/>
                <w:sz w:val="24"/>
                <w:szCs w:val="24"/>
              </w:rPr>
            </w:pPr>
            <w:r>
              <w:rPr>
                <w:rFonts w:hint="eastAsia" w:ascii="宋体" w:hAnsi="宋体" w:cs="宋体"/>
                <w:color w:val="000000"/>
                <w:sz w:val="24"/>
                <w:szCs w:val="24"/>
              </w:rPr>
              <w:t xml:space="preserve">10、应支持在解码输出的视频画面上叠加字符、汉字等</w:t>
            </w:r>
            <w:r/>
          </w:p>
          <w:p>
            <w:pPr>
              <w:jc w:val="left"/>
              <w:rPr>
                <w:rFonts w:ascii="宋体" w:hAnsi="宋体" w:cs="宋体"/>
                <w:color w:val="000000"/>
                <w:sz w:val="24"/>
                <w:szCs w:val="24"/>
              </w:rPr>
            </w:pPr>
            <w:r>
              <w:rPr>
                <w:rFonts w:hint="eastAsia" w:ascii="宋体" w:hAnsi="宋体" w:cs="宋体"/>
                <w:color w:val="000000"/>
                <w:sz w:val="24"/>
                <w:szCs w:val="24"/>
              </w:rPr>
              <w:t xml:space="preserve">11、应支持远程获取和配置参数，应支持远程导出和导入参数；应支持远程获取系统运行状态、系统日志；应支持远程重启、恢复默认配置、升级等日常维护</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显示单元安装支架</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1、前维护支架，便于维护</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作弊防控屏蔽终端</w:t>
            </w:r>
            <w:r/>
          </w:p>
        </w:tc>
        <w:tc>
          <w:tcPr>
            <w:shd w:val="clear" w:color="auto" w:fill="ffffff"/>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1、有效屏蔽移动、联通、电信 2G、3G、4G、5G(含独立广电5G)、2.4GWIFI、5.8GWIFI等无线作弊信号；内置独立12路，包含频率如下：</w:t>
            </w:r>
            <w:r/>
          </w:p>
          <w:p>
            <w:pPr>
              <w:jc w:val="left"/>
              <w:rPr>
                <w:rFonts w:ascii="宋体" w:hAnsi="宋体" w:cs="宋体"/>
                <w:color w:val="000000"/>
                <w:sz w:val="24"/>
                <w:szCs w:val="24"/>
              </w:rPr>
            </w:pPr>
            <w:r>
              <w:rPr>
                <w:rFonts w:hint="eastAsia" w:ascii="宋体" w:hAnsi="宋体" w:cs="宋体"/>
                <w:color w:val="000000"/>
                <w:sz w:val="24"/>
                <w:szCs w:val="24"/>
              </w:rPr>
              <w:t xml:space="preserve">850-894MHz/925-960 MHz /1800-1920 MHz /2010-2025 MHz /2110-2170 MHz /2300-2500 MHz /2510-2600 MHz /2600-2680 MHz /3300-3600 MHz /4800-5000 MHz /750-803 MHz /5715-5860 MHz</w:t>
            </w:r>
            <w:r/>
          </w:p>
          <w:p>
            <w:pPr>
              <w:jc w:val="left"/>
              <w:rPr>
                <w:rFonts w:ascii="宋体" w:hAnsi="宋体" w:cs="宋体"/>
                <w:color w:val="000000"/>
                <w:sz w:val="24"/>
                <w:szCs w:val="24"/>
              </w:rPr>
            </w:pPr>
            <w:r>
              <w:rPr>
                <w:rFonts w:hint="eastAsia" w:ascii="宋体" w:hAnsi="宋体" w:cs="宋体"/>
                <w:color w:val="000000"/>
                <w:sz w:val="24"/>
                <w:szCs w:val="24"/>
              </w:rPr>
              <w:t xml:space="preserve">2、采用内置高增益定向天线，不会补高频信号造成影响，进口功放、IC，发射功率</w:t>
            </w:r>
            <w:r/>
          </w:p>
          <w:p>
            <w:pPr>
              <w:jc w:val="left"/>
              <w:rPr>
                <w:rFonts w:ascii="宋体" w:hAnsi="宋体" w:cs="宋体"/>
                <w:color w:val="000000"/>
                <w:sz w:val="24"/>
                <w:szCs w:val="24"/>
              </w:rPr>
            </w:pPr>
            <w:r>
              <w:rPr>
                <w:rFonts w:hint="eastAsia" w:ascii="宋体" w:hAnsi="宋体" w:cs="宋体"/>
                <w:color w:val="000000"/>
                <w:sz w:val="24"/>
                <w:szCs w:val="24"/>
              </w:rPr>
              <w:t xml:space="preserve">3、采用仪器塑料外壳，机身自带人体工学设计把手，方便提拿</w:t>
            </w:r>
            <w:r/>
          </w:p>
          <w:p>
            <w:pPr>
              <w:jc w:val="left"/>
              <w:rPr>
                <w:rFonts w:ascii="宋体" w:hAnsi="宋体" w:cs="宋体"/>
                <w:color w:val="000000"/>
                <w:sz w:val="24"/>
                <w:szCs w:val="24"/>
              </w:rPr>
            </w:pPr>
            <w:r>
              <w:rPr>
                <w:rFonts w:hint="eastAsia" w:ascii="宋体" w:hAnsi="宋体" w:cs="宋体"/>
                <w:color w:val="000000"/>
                <w:sz w:val="24"/>
                <w:szCs w:val="24"/>
              </w:rPr>
              <w:t xml:space="preserve">4、每路平均发射功率4~5W，有效屏蔽距离：1～30 米</w:t>
            </w:r>
            <w:r/>
          </w:p>
          <w:p>
            <w:pPr>
              <w:jc w:val="left"/>
              <w:rPr>
                <w:rFonts w:ascii="宋体" w:hAnsi="宋体" w:cs="宋体"/>
                <w:color w:val="000000"/>
                <w:sz w:val="24"/>
                <w:szCs w:val="24"/>
              </w:rPr>
            </w:pPr>
            <w:r>
              <w:rPr>
                <w:rFonts w:hint="eastAsia" w:ascii="宋体" w:hAnsi="宋体" w:cs="宋体"/>
                <w:color w:val="000000"/>
                <w:sz w:val="24"/>
                <w:szCs w:val="24"/>
              </w:rPr>
              <w:t xml:space="preserve">5、仪器面板有至少 5 个LED工作指示灯显示 2G、3G、4G、5G 、WIFI、等各频段工作情况,以便观察机器是否工作正常</w:t>
            </w:r>
            <w:r/>
          </w:p>
          <w:p>
            <w:pPr>
              <w:jc w:val="left"/>
              <w:rPr>
                <w:rFonts w:ascii="宋体" w:hAnsi="宋体" w:cs="宋体"/>
                <w:color w:val="000000"/>
                <w:sz w:val="24"/>
                <w:szCs w:val="24"/>
              </w:rPr>
            </w:pPr>
            <w:r>
              <w:rPr>
                <w:rFonts w:hint="eastAsia" w:ascii="宋体" w:hAnsi="宋体" w:cs="宋体"/>
                <w:color w:val="000000"/>
                <w:sz w:val="24"/>
                <w:szCs w:val="24"/>
              </w:rPr>
              <w:t xml:space="preserve">6、设备一体化设计，内置天线及内置适配器，安装简易且保管方便，不易破坏</w:t>
            </w:r>
            <w:r/>
          </w:p>
          <w:p>
            <w:pPr>
              <w:jc w:val="left"/>
              <w:rPr>
                <w:rFonts w:ascii="宋体" w:hAnsi="宋体" w:cs="宋体"/>
                <w:color w:val="000000"/>
                <w:sz w:val="24"/>
                <w:szCs w:val="24"/>
              </w:rPr>
            </w:pPr>
            <w:r>
              <w:rPr>
                <w:rFonts w:hint="eastAsia" w:ascii="宋体" w:hAnsi="宋体" w:cs="宋体"/>
                <w:color w:val="000000"/>
                <w:sz w:val="24"/>
                <w:szCs w:val="24"/>
              </w:rPr>
              <w:t xml:space="preserve">7、内置静音风扇，保证考场环境无噪音干扰</w:t>
            </w:r>
            <w:r/>
          </w:p>
          <w:p>
            <w:pPr>
              <w:jc w:val="left"/>
              <w:rPr>
                <w:rFonts w:ascii="宋体" w:hAnsi="宋体" w:cs="宋体"/>
                <w:color w:val="000000"/>
                <w:sz w:val="24"/>
                <w:szCs w:val="24"/>
              </w:rPr>
            </w:pPr>
            <w:r>
              <w:rPr>
                <w:rFonts w:hint="eastAsia" w:ascii="宋体" w:hAnsi="宋体" w:cs="宋体"/>
                <w:color w:val="000000"/>
                <w:sz w:val="24"/>
                <w:szCs w:val="24"/>
              </w:rPr>
              <w:t xml:space="preserve">8、为保证人身和设备安全，设备须有接地装置</w:t>
            </w:r>
            <w:r/>
          </w:p>
          <w:p>
            <w:pPr>
              <w:jc w:val="left"/>
              <w:rPr>
                <w:rFonts w:ascii="宋体" w:hAnsi="宋体" w:cs="宋体"/>
                <w:color w:val="000000"/>
                <w:sz w:val="24"/>
                <w:szCs w:val="24"/>
              </w:rPr>
            </w:pPr>
            <w:r>
              <w:rPr>
                <w:rFonts w:hint="eastAsia" w:ascii="宋体" w:hAnsi="宋体" w:cs="宋体"/>
                <w:color w:val="000000"/>
                <w:sz w:val="24"/>
                <w:szCs w:val="24"/>
              </w:rPr>
              <w:t xml:space="preserve">9、支持平台管理</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19</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rPr>
              <w:t xml:space="preserve">作弊防控管理平台</w:t>
            </w:r>
            <w:r/>
          </w:p>
        </w:tc>
        <w:tc>
          <w:tcPr>
            <w:shd w:val="clear" w:color="auto" w:fill="ffffff"/>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1、可对本地所有的终端设备进行集中调试、查看和管理，支持分级管理，每个用户只能管理自己的设备，上级用户可以管理下级用户的设备</w:t>
            </w:r>
            <w:r/>
          </w:p>
          <w:p>
            <w:pPr>
              <w:jc w:val="left"/>
              <w:rPr>
                <w:rFonts w:ascii="宋体" w:hAnsi="宋体" w:cs="宋体"/>
                <w:color w:val="000000"/>
                <w:sz w:val="24"/>
                <w:szCs w:val="24"/>
              </w:rPr>
            </w:pPr>
            <w:r>
              <w:rPr>
                <w:rFonts w:hint="eastAsia" w:ascii="宋体" w:hAnsi="宋体" w:cs="宋体"/>
                <w:color w:val="000000"/>
                <w:sz w:val="24"/>
                <w:szCs w:val="24"/>
              </w:rPr>
              <w:t xml:space="preserve">2、设备上线，设置好设备IP后自动上线到管理员用户名下，管理员分配到具体用户下管理</w:t>
            </w:r>
            <w:r/>
          </w:p>
          <w:p>
            <w:pPr>
              <w:jc w:val="left"/>
              <w:rPr>
                <w:rFonts w:ascii="宋体" w:hAnsi="宋体" w:cs="宋体"/>
                <w:color w:val="000000"/>
                <w:sz w:val="24"/>
                <w:szCs w:val="24"/>
              </w:rPr>
            </w:pPr>
            <w:r>
              <w:rPr>
                <w:rFonts w:hint="eastAsia" w:ascii="宋体" w:hAnsi="宋体" w:cs="宋体"/>
                <w:color w:val="000000"/>
                <w:sz w:val="24"/>
                <w:szCs w:val="24"/>
              </w:rPr>
              <w:t xml:space="preserve">3、设备位置，设置每台设备的安装位置</w:t>
            </w:r>
            <w:r/>
          </w:p>
          <w:p>
            <w:pPr>
              <w:jc w:val="left"/>
              <w:rPr>
                <w:rFonts w:ascii="宋体" w:hAnsi="宋体" w:cs="宋体"/>
                <w:color w:val="000000"/>
                <w:sz w:val="24"/>
                <w:szCs w:val="24"/>
              </w:rPr>
            </w:pPr>
            <w:r>
              <w:rPr>
                <w:rFonts w:hint="eastAsia" w:ascii="宋体" w:hAnsi="宋体" w:cs="宋体"/>
                <w:color w:val="000000"/>
                <w:sz w:val="24"/>
                <w:szCs w:val="24"/>
              </w:rPr>
              <w:t xml:space="preserve">4、设备状态，实时上传设备的状态（电压/电流/功耗/温度）</w:t>
            </w:r>
            <w:r/>
          </w:p>
          <w:p>
            <w:pPr>
              <w:jc w:val="left"/>
              <w:rPr>
                <w:rFonts w:ascii="宋体" w:hAnsi="宋体" w:cs="宋体"/>
                <w:color w:val="000000"/>
                <w:sz w:val="24"/>
                <w:szCs w:val="24"/>
              </w:rPr>
            </w:pPr>
            <w:r>
              <w:rPr>
                <w:rFonts w:hint="eastAsia" w:ascii="宋体" w:hAnsi="宋体" w:cs="宋体"/>
                <w:color w:val="000000"/>
                <w:sz w:val="24"/>
                <w:szCs w:val="24"/>
              </w:rPr>
              <w:t xml:space="preserve">5、设备配置，远程配置设备参数</w:t>
            </w:r>
            <w:r/>
          </w:p>
          <w:p>
            <w:pPr>
              <w:jc w:val="left"/>
              <w:rPr>
                <w:rFonts w:ascii="宋体" w:hAnsi="宋体" w:cs="宋体"/>
                <w:color w:val="000000"/>
                <w:sz w:val="24"/>
                <w:szCs w:val="24"/>
              </w:rPr>
            </w:pPr>
            <w:r>
              <w:rPr>
                <w:rFonts w:hint="eastAsia" w:ascii="宋体" w:hAnsi="宋体" w:cs="宋体"/>
                <w:color w:val="000000"/>
                <w:sz w:val="24"/>
                <w:szCs w:val="24"/>
              </w:rPr>
              <w:t xml:space="preserve">6、定时开关，选择每台设备的开关机时间</w:t>
            </w:r>
            <w:r/>
          </w:p>
          <w:p>
            <w:pPr>
              <w:jc w:val="left"/>
              <w:rPr>
                <w:rFonts w:ascii="宋体" w:hAnsi="宋体" w:cs="宋体"/>
                <w:color w:val="000000"/>
                <w:sz w:val="24"/>
                <w:szCs w:val="24"/>
              </w:rPr>
            </w:pPr>
            <w:r>
              <w:rPr>
                <w:rFonts w:hint="eastAsia" w:ascii="宋体" w:hAnsi="宋体" w:cs="宋体"/>
                <w:color w:val="000000"/>
                <w:sz w:val="24"/>
                <w:szCs w:val="24"/>
              </w:rPr>
              <w:t xml:space="preserve">7、设备开关，全部开关机或者部分开关机</w:t>
            </w:r>
            <w:r/>
          </w:p>
          <w:p>
            <w:pPr>
              <w:jc w:val="left"/>
              <w:rPr>
                <w:rFonts w:ascii="宋体" w:hAnsi="宋体" w:cs="宋体"/>
                <w:color w:val="000000"/>
                <w:sz w:val="24"/>
                <w:szCs w:val="24"/>
              </w:rPr>
            </w:pPr>
            <w:r>
              <w:rPr>
                <w:rFonts w:hint="eastAsia" w:ascii="宋体" w:hAnsi="宋体" w:cs="宋体"/>
                <w:color w:val="000000"/>
                <w:sz w:val="24"/>
                <w:szCs w:val="24"/>
              </w:rPr>
              <w:t xml:space="preserve">8、系统日志，查询/下载/删除</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20</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平台服务器</w:t>
            </w:r>
            <w:r/>
          </w:p>
        </w:tc>
        <w:tc>
          <w:tcPr>
            <w:shd w:val="clear" w:color="auto" w:fill="ffffff"/>
            <w:tcW w:w="3592" w:type="pct"/>
            <w:vAlign w:val="center"/>
            <w:textDirection w:val="lrTb"/>
            <w:noWrap w:val="false"/>
          </w:tcPr>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1、CPU信息：配置≥1颗X86架构 CPU，基频≥3.4GHz；每CPU核心≥4核</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2、主板支持的CPU和内存情况：至少支持1颗处理器，内存配置容量不低于16GB</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3、主板内存槽数量：非板载内存的可扩展插槽数量应不少于4个</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4、主板存储接口：至少支持SATA、SAS、M.2、U.2等存储接口中的1种</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5、PCle插槽接口：符合PCle3.0或以上的高速串行计算机扩展总线标准，PCle的接口速率与位宽需保证向下兼容</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6、主板PCle插槽数量及规格：a)高度大于43.2mm双路或以上服务器PCIe插槽或接口应不少于5个；b)单路服务器PCIe插槽或接口应不少于2个，可通过扩展卡进行插槽扩展。</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7、内存数量：≥1</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8、内存规格：≥DDR4</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9、内存通道：支持多个内存接口通道，每个通道可支持1DPC或2DPC，当支持2DPC时，印制电路板上应具备插槽的序号标识，具体通道数应在随机文件中明确</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10、硬磁盘实配容量：磁盘实配容量：SSD：实配固态硬盘单盘容量≥480G SATA SSD；主板集成控制器；</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11、硬盘实配数量：整机配置固态硬盘≥1块。</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12、硬盘插槽数量及规格：a)配置的硬盘尺寸，如2.5英寸、3.5英寸硬磁盘；b)机箱高度为43.2mm的服务器可支持的硬盘数量应不少于4块</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13、网口速率和数量：网口速率和数量：配备网口数量不少于2个，且网口速率不少于1GE。</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14、显示接口：显示接口类型应不少于1种，如：VGA、DP、HDMI 等</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15、USB 接口：配备 USB 接口，USB3.0≥3个</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16、电源模块数量：≥1+1冗余</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17、电源功率：≥550W。电源符合GB/T 9813.3的有关规定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18、外观和结构：a)服务器的零部件应紧固无松</w:t>
            </w:r>
            <w:r>
              <w:rPr>
                <w:rFonts w:hint="eastAsia" w:ascii="宋体" w:hAnsi="宋体" w:cs="宋体"/>
                <w:i/>
                <w:sz w:val="24"/>
                <w:szCs w:val="24"/>
                <w:highlight w:val="none"/>
                <w:u w:val="single"/>
              </w:rPr>
              <w:t xml:space="preserve">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19、尺寸（高×宽×深）：不大于（43.2*438*551mm高*宽*深）：设计应遵循标准化、系列化的要求；机箱的内部结构符合通用部件的安装需要。</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20、环境适应性：气候环境适应性应符合GB/T9813.3 的有关规定，工作温度10～35℃，贮存运输温度-40～55℃；工作相对湿度35%～80%，贮存运输相对湿度20％～93%（40℃）；大气压86～106kPa</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21、机械环境适应性：机械环境适应性应符合 GB/T9813.3 的有关规定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22、噪声：符合GB/T 9813.3的有关规定，在产品说明中给出具体测试</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23、主板外部接口种类：主板外部接口种类：支持 USB、显示、管理等接口、VGA、HDMI、USB3.0、PS/2接口、BMC管理端口。</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24、网络功能：支持网络连接、网络访问、数据交换和网络管控功能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25、计算处理：支持通用计算及虚拟化功能。处理器需集成整型计算单元、浮点计算单元、内存控制器、I/O 模块等，处理器与存储部件、网络部件、I/O部件等组成计算系统，提供数据处理、网络接入等计算相关功能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26、密码算法实现：CPU 芯片应符合 GM/T 0008 的相关规定，或芯片密码模块应符合 GB/T37092 或 GM/T 0028 的相关规定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27、电源热插拔：整机电源模块应具备热插拔功能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28、电源过流保护：支持过流及短路保护的功能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29、散热方式：支持风冷或液冷等散热方式</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i/>
                <w:sz w:val="24"/>
                <w:szCs w:val="24"/>
                <w:highlight w:val="none"/>
                <w:u w:val="single"/>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i/>
                <w:sz w:val="24"/>
                <w:szCs w:val="24"/>
                <w:highlight w:val="none"/>
                <w:u w:val="single"/>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31、BIOS 固件基础功能：a）支持查看固件版本、内存信息、主板信息、处理器信息和系统时间信息功能；b）支持上电初始化界面显示 CPU 信息、内存信息、固件</w:t>
            </w:r>
            <w:r>
              <w:rPr>
                <w:rFonts w:hint="eastAsia" w:ascii="宋体" w:hAnsi="宋体" w:cs="宋体"/>
                <w:i/>
                <w:sz w:val="24"/>
                <w:szCs w:val="24"/>
                <w:highlight w:val="none"/>
                <w:u w:val="single"/>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32、远程控制：支持远程关机和重新启动功能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33、中文信息处理：符合 GB 18030 的有关规定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34、故障检测：支持故障检测功能，可以检测到具体的 FRU（内存、硬盘等）的故障并发出告警</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35、弱口令字典检查：支持弱口令字典检查功能，出现在弱口令字典中的字符串不能被设置为用户口令</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36、白名单访问控制：支持基于时间、IP 或 MAC 白名单访问控制</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37、二次鉴别：支持二次鉴别功能。对于用户配置、权限配置、公钥导入等重要的管理操作，已登录用户应通过二次鉴别后，才能执行操作</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38、研发过程安全：供应商承诺，生产商已建立从需求、设计、开发、测试、维护端到端的开发流程管理机制，输出和保存开发流程中每个阶段的产品需求清单、设计文档、开发文档、测试记录等材料，保证各个流程可追溯</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39、物理安全：安全要求应符合 GB 4943.1 的规定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40、限用物质的限量要求：限用物质的限量应符合 GB/T 26572的要求</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41、CPU 主频：≥3.4GHz</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42、单 CPU 核数：≥4</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43、单 CPU 末级缓存容量：≥8MB</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44、内存速率：≥2666MT/s</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45、电源能耗：符合 GB/T 9813.3 的有关规定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46、内存兼容性：适配 3 种及以上厂商的内存产品，且均不低于产品支持的内存规格</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47、固态存储兼容性：适配 3 种或以上厂商的固态存储产品，且均不低于产品支持的固态存储设备规格</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48、网卡兼容性：网卡应适配两种或以上厂商产品</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49、功能卡兼容性：内置或适配符合 PCIe 的功能卡，如：网络功能卡、存储功能卡及图形显示功能卡</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50、外设兼容性：兼容多种主流生产商的外部设备，包括显示器、键盘、鼠标、闪存盘、移动硬盘、USB 光驱及 KVM 等，要求使用不同厂商的外部设备时，系统均能正常识别和安装驱动</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51、数据库兼容：兼容 3 个及以上厂商的数据库产品</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52、中间件兼容：兼容 3 个及以上厂商的中间件产品</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53、平台软件兼容：兼容 3 个及以上厂商的大数据平台</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54、整机可靠性：m1 值（MTBF 的不可接受值）不得低于 30000h</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55、风扇可靠性：风扇寿命应不低于 40000h</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56、部件可靠性：支持硬盘、电源、风扇热插拔(内置风扇除外)</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57、标志、包装、运输和贮存：符合 GB/T 9813.3 和商品包装政府采购需求标准的相关规定</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58、服务响应：a)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59、培训服务：供应商提供培训材料、产品手册、培训视频等培训相关内容</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60、服务周期：a)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61、工具要求：供应商提供设置服务器硬件、辅助操作系统安装等功能的辅助工具和管理软件。且随附软件应具有合法授权或版权</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62、驱动安装升级指引：供应商提供出厂安装的配件所需的驱动程序，形式包括但不限于驱动光盘、驱动下载链接等。其他配件应提供指引</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63、管理软件：具备资源管理、系统管理、性能监控、健康监控、基于网络控制、报警设置功能</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64、厂家升级产品软件与扩容服务：供应商提供原厂级的部件/软件产品升级和扩容能力</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65、提供上门服务：供应商具备提供上门服务的能力</w:t>
            </w:r>
            <w:r/>
          </w:p>
          <w:p>
            <w:pPr>
              <w:jc w:val="left"/>
              <w:rPr>
                <w:rFonts w:ascii="宋体" w:hAnsi="宋体" w:cs="宋体"/>
                <w:i/>
                <w:sz w:val="24"/>
                <w:szCs w:val="24"/>
                <w:highlight w:val="none"/>
                <w:u w:val="single"/>
              </w:rPr>
            </w:pPr>
            <w:r>
              <w:rPr>
                <w:rFonts w:hint="eastAsia" w:ascii="宋体" w:hAnsi="宋体" w:cs="宋体"/>
                <w:i/>
                <w:sz w:val="24"/>
                <w:szCs w:val="24"/>
                <w:highlight w:val="none"/>
                <w:u w:val="single"/>
              </w:rPr>
              <w:t xml:space="preserve">66、抗干扰性：当产品部件出现供应风险时，应通知客户并提供风险应对方案确保产品的服务保障，必要时应停止相关受影响产品的销售</w:t>
            </w:r>
            <w:r/>
          </w:p>
          <w:p>
            <w:pPr>
              <w:jc w:val="left"/>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67、供应能力证明：供应商提供供应链稳定承诺书，确保产品的部件在产品服务周期内稳定供货</w:t>
            </w:r>
            <w:r/>
          </w:p>
          <w:p>
            <w:pPr>
              <w:jc w:val="left"/>
            </w:pPr>
            <w:r>
              <w:rPr>
                <w:rFonts w:hint="eastAsia" w:ascii="宋体" w:hAnsi="宋体"/>
                <w:i/>
                <w:iCs/>
                <w:sz w:val="24"/>
                <w:szCs w:val="24"/>
                <w:u w:val="single"/>
              </w:rPr>
              <w:t xml:space="preserve">【投标人提供承诺函加盖公章扫描上传】</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考生身份信息认证终端</w:t>
            </w:r>
            <w:r/>
          </w:p>
        </w:tc>
        <w:tc>
          <w:tcPr>
            <w:shd w:val="clear" w:color="auto" w:fill="auto"/>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1、认证方式:二代身份证、人脸识别、指纹三种认证，可自由组合操作系统</w:t>
            </w:r>
            <w:r/>
          </w:p>
          <w:p>
            <w:pPr>
              <w:jc w:val="left"/>
              <w:rPr>
                <w:rFonts w:ascii="宋体" w:hAnsi="宋体" w:cs="宋体"/>
                <w:color w:val="000000"/>
                <w:sz w:val="24"/>
                <w:szCs w:val="24"/>
              </w:rPr>
            </w:pPr>
            <w:r>
              <w:rPr>
                <w:rFonts w:hint="eastAsia" w:ascii="宋体" w:hAnsi="宋体" w:cs="宋体"/>
                <w:color w:val="000000"/>
                <w:sz w:val="24"/>
                <w:szCs w:val="24"/>
              </w:rPr>
              <w:t xml:space="preserve">2、安卓屏幕: ≥ 8英寸，分辨率1280×800，多点触控，文字、图片显示清晰扬声器:自带扬声器进行语音提示，音量可调</w:t>
            </w:r>
            <w:r/>
          </w:p>
          <w:p>
            <w:pPr>
              <w:jc w:val="left"/>
              <w:rPr>
                <w:rFonts w:ascii="宋体" w:hAnsi="宋体" w:cs="宋体"/>
                <w:color w:val="000000"/>
                <w:sz w:val="24"/>
                <w:szCs w:val="24"/>
              </w:rPr>
            </w:pPr>
            <w:r>
              <w:rPr>
                <w:rFonts w:hint="eastAsia" w:ascii="宋体" w:hAnsi="宋体" w:cs="宋体"/>
                <w:color w:val="000000"/>
                <w:sz w:val="24"/>
                <w:szCs w:val="24"/>
              </w:rPr>
              <w:t xml:space="preserve">3、CPU: 主频≥1.8GHz，四核四线程</w:t>
            </w:r>
            <w:r/>
          </w:p>
          <w:p>
            <w:pPr>
              <w:jc w:val="left"/>
              <w:rPr>
                <w:rFonts w:ascii="宋体" w:hAnsi="宋体" w:cs="宋体"/>
                <w:color w:val="000000"/>
                <w:sz w:val="24"/>
                <w:szCs w:val="24"/>
              </w:rPr>
            </w:pPr>
            <w:r>
              <w:rPr>
                <w:rFonts w:hint="eastAsia" w:ascii="宋体" w:hAnsi="宋体" w:cs="宋体"/>
                <w:color w:val="000000"/>
                <w:sz w:val="24"/>
                <w:szCs w:val="24"/>
              </w:rPr>
              <w:t xml:space="preserve">4、存储: 运行内存2GB;存储容量16GB供电: 10000mAh，3.7V</w:t>
            </w:r>
            <w:r/>
          </w:p>
          <w:p>
            <w:pPr>
              <w:jc w:val="left"/>
              <w:rPr>
                <w:rFonts w:ascii="宋体" w:hAnsi="宋体" w:cs="宋体"/>
                <w:color w:val="000000"/>
                <w:sz w:val="24"/>
                <w:szCs w:val="24"/>
              </w:rPr>
            </w:pPr>
            <w:r>
              <w:rPr>
                <w:rFonts w:hint="eastAsia" w:ascii="宋体" w:hAnsi="宋体" w:cs="宋体"/>
                <w:color w:val="000000"/>
                <w:sz w:val="24"/>
                <w:szCs w:val="24"/>
              </w:rPr>
              <w:t xml:space="preserve">5、联网功能: 支持 wiFi和以大网，同时支持蓝牙联网人脸验证时间≤2S/人，取像时间≤0.1S/人;人像验证准确率&gt;99%; 支持人脸自动定位</w:t>
            </w:r>
            <w:r/>
          </w:p>
          <w:p>
            <w:pPr>
              <w:jc w:val="left"/>
              <w:rPr>
                <w:rFonts w:ascii="宋体" w:hAnsi="宋体" w:cs="宋体"/>
                <w:color w:val="000000"/>
                <w:sz w:val="24"/>
                <w:szCs w:val="24"/>
              </w:rPr>
            </w:pPr>
            <w:r>
              <w:rPr>
                <w:rFonts w:hint="eastAsia" w:ascii="宋体" w:hAnsi="宋体" w:cs="宋体"/>
                <w:color w:val="000000"/>
                <w:sz w:val="24"/>
                <w:szCs w:val="24"/>
              </w:rPr>
              <w:t xml:space="preserve">▲6、摄像头: ≥800W像素前、后双置摄像头（提供具有CMA认证的检测机构出具的检测报告，检测报告需体现相关指标）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7、防水设计: IP54，能防水和防尘抗跌落</w:t>
            </w:r>
            <w:r/>
          </w:p>
          <w:p>
            <w:pPr>
              <w:jc w:val="left"/>
              <w:rPr>
                <w:rFonts w:ascii="宋体" w:hAnsi="宋体" w:cs="宋体"/>
                <w:color w:val="000000"/>
                <w:sz w:val="24"/>
                <w:szCs w:val="24"/>
              </w:rPr>
            </w:pPr>
            <w:r>
              <w:rPr>
                <w:rFonts w:hint="eastAsia" w:ascii="宋体" w:hAnsi="宋体" w:cs="宋体"/>
                <w:color w:val="000000"/>
                <w:sz w:val="24"/>
                <w:szCs w:val="24"/>
              </w:rPr>
              <w:t xml:space="preserve">8、安装方式:可手持，同时支持支架或壁挂式安装启动时间: &lt;30秒</w:t>
            </w:r>
            <w:r/>
          </w:p>
          <w:p>
            <w:pPr>
              <w:jc w:val="left"/>
              <w:rPr>
                <w:rFonts w:ascii="宋体" w:hAnsi="宋体" w:cs="宋体"/>
                <w:color w:val="000000"/>
                <w:sz w:val="24"/>
                <w:szCs w:val="24"/>
              </w:rPr>
            </w:pPr>
            <w:r>
              <w:rPr>
                <w:rFonts w:hint="eastAsia" w:ascii="宋体" w:hAnsi="宋体" w:cs="宋体"/>
                <w:color w:val="000000"/>
                <w:sz w:val="24"/>
                <w:szCs w:val="24"/>
              </w:rPr>
              <w:t xml:space="preserve">9、补光光源: 具备两个LED面光源补光组件(非点光源)</w:t>
            </w:r>
            <w:r/>
          </w:p>
          <w:p>
            <w:pPr>
              <w:jc w:val="left"/>
              <w:rPr>
                <w:rFonts w:ascii="宋体" w:hAnsi="宋体" w:cs="宋体"/>
                <w:color w:val="000000"/>
                <w:sz w:val="24"/>
                <w:szCs w:val="24"/>
              </w:rPr>
            </w:pPr>
            <w:r>
              <w:rPr>
                <w:rFonts w:hint="eastAsia" w:ascii="宋体" w:hAnsi="宋体" w:cs="宋体"/>
                <w:color w:val="000000"/>
                <w:sz w:val="24"/>
                <w:szCs w:val="24"/>
              </w:rPr>
              <w:t xml:space="preserve">10、身份证阅读模块: 符合公安部GA450-2013《台式居民身份证阅读器通用技术要求》</w:t>
            </w:r>
            <w:r/>
          </w:p>
          <w:p>
            <w:pPr>
              <w:jc w:val="left"/>
              <w:rPr>
                <w:rFonts w:ascii="宋体" w:hAnsi="宋体" w:cs="宋体"/>
                <w:color w:val="000000"/>
                <w:sz w:val="24"/>
                <w:szCs w:val="24"/>
              </w:rPr>
            </w:pPr>
            <w:r>
              <w:rPr>
                <w:rFonts w:hint="eastAsia" w:ascii="宋体" w:hAnsi="宋体" w:cs="宋体"/>
                <w:color w:val="000000"/>
                <w:sz w:val="24"/>
                <w:szCs w:val="24"/>
              </w:rPr>
              <w:t xml:space="preserve">11、指纹采集模块: 半导体电容传感器，只对活体指纹进行识别,采集用时&lt;1 秒符合公安部GA/T 1011-2012《居民身份证指纹采集器通用技术要求》</w:t>
            </w:r>
            <w:r/>
          </w:p>
          <w:p>
            <w:pPr>
              <w:jc w:val="left"/>
              <w:rPr>
                <w:rFonts w:ascii="宋体" w:hAnsi="宋体" w:cs="宋体"/>
                <w:color w:val="000000"/>
                <w:sz w:val="24"/>
                <w:szCs w:val="24"/>
              </w:rPr>
            </w:pPr>
            <w:r>
              <w:rPr>
                <w:rFonts w:hint="eastAsia" w:ascii="宋体" w:hAnsi="宋体" w:cs="宋体"/>
                <w:color w:val="000000"/>
                <w:sz w:val="24"/>
                <w:szCs w:val="24"/>
              </w:rPr>
              <w:t xml:space="preserve">▲12、通行指示灯：人脸识别认证设备带有不低于三种颜色通行指示灯，能够区分通过、不通过及需要复核三种状态（须提供具有CMA认证的检测机构出具的检测报告，检测报告需体现相关指标）</w:t>
            </w:r>
            <w:r/>
          </w:p>
          <w:p>
            <w:pPr>
              <w:jc w:val="left"/>
              <w:rPr>
                <w:rFonts w:ascii="宋体" w:hAnsi="宋体" w:cs="宋体"/>
                <w:color w:val="000000"/>
                <w:sz w:val="24"/>
                <w:szCs w:val="24"/>
              </w:rPr>
            </w:pPr>
            <w:r>
              <w:rPr>
                <w:rFonts w:hint="eastAsia" w:ascii="宋体" w:hAnsi="宋体" w:cs="宋体"/>
                <w:color w:val="000000"/>
                <w:sz w:val="24"/>
                <w:szCs w:val="24"/>
              </w:rPr>
              <w:t xml:space="preserve">13、系统须配套管理平台</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网络时钟终端</w:t>
            </w:r>
            <w:r/>
          </w:p>
        </w:tc>
        <w:tc>
          <w:tcPr>
            <w:shd w:val="clear" w:color="auto" w:fill="auto"/>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1、支持年月日、时间、星期、温度、湿度显示</w:t>
            </w:r>
            <w:r/>
          </w:p>
          <w:p>
            <w:pPr>
              <w:jc w:val="left"/>
              <w:rPr>
                <w:rFonts w:ascii="宋体" w:hAnsi="宋体" w:cs="宋体"/>
                <w:color w:val="000000"/>
                <w:sz w:val="24"/>
                <w:szCs w:val="24"/>
              </w:rPr>
            </w:pPr>
            <w:r>
              <w:rPr>
                <w:rFonts w:hint="eastAsia" w:ascii="宋体" w:hAnsi="宋体" w:cs="宋体"/>
                <w:color w:val="000000"/>
                <w:sz w:val="24"/>
                <w:szCs w:val="24"/>
              </w:rPr>
              <w:t xml:space="preserve">2、具有RS485接口</w:t>
            </w:r>
            <w:r/>
          </w:p>
          <w:p>
            <w:pPr>
              <w:jc w:val="left"/>
              <w:rPr>
                <w:rFonts w:ascii="宋体" w:hAnsi="宋体" w:cs="宋体"/>
                <w:color w:val="000000"/>
                <w:sz w:val="24"/>
                <w:szCs w:val="24"/>
              </w:rPr>
            </w:pPr>
            <w:r>
              <w:rPr>
                <w:rFonts w:hint="eastAsia" w:ascii="宋体" w:hAnsi="宋体" w:cs="宋体"/>
                <w:color w:val="000000"/>
                <w:sz w:val="24"/>
                <w:szCs w:val="24"/>
              </w:rPr>
              <w:t xml:space="preserve">3、静态数字显示，适于同步录音录像</w:t>
            </w:r>
            <w:r/>
          </w:p>
          <w:p>
            <w:pPr>
              <w:jc w:val="left"/>
              <w:rPr>
                <w:rFonts w:ascii="宋体" w:hAnsi="宋体" w:cs="宋体"/>
                <w:color w:val="000000"/>
                <w:sz w:val="24"/>
                <w:szCs w:val="24"/>
              </w:rPr>
            </w:pPr>
            <w:r>
              <w:rPr>
                <w:rFonts w:hint="eastAsia" w:ascii="宋体" w:hAnsi="宋体" w:cs="宋体"/>
                <w:color w:val="000000"/>
                <w:sz w:val="24"/>
                <w:szCs w:val="24"/>
              </w:rPr>
              <w:t xml:space="preserve">4、采用超高精度时钟，精度可达2PPM</w:t>
            </w:r>
            <w:r/>
          </w:p>
          <w:p>
            <w:pPr>
              <w:jc w:val="left"/>
              <w:rPr>
                <w:rFonts w:ascii="宋体" w:hAnsi="宋体" w:cs="宋体"/>
                <w:color w:val="000000"/>
                <w:sz w:val="24"/>
                <w:szCs w:val="24"/>
              </w:rPr>
            </w:pPr>
            <w:r>
              <w:rPr>
                <w:rFonts w:hint="eastAsia" w:ascii="宋体" w:hAnsi="宋体" w:cs="宋体"/>
                <w:color w:val="000000"/>
                <w:sz w:val="24"/>
                <w:szCs w:val="24"/>
              </w:rPr>
              <w:t xml:space="preserve">5、支持自动校准时钟，与摄像机时间同步</w:t>
            </w:r>
            <w:r/>
          </w:p>
          <w:p>
            <w:pPr>
              <w:jc w:val="left"/>
              <w:rPr>
                <w:rFonts w:ascii="宋体" w:hAnsi="宋体" w:cs="宋体"/>
                <w:color w:val="000000"/>
                <w:sz w:val="24"/>
                <w:szCs w:val="24"/>
              </w:rPr>
            </w:pPr>
            <w:r>
              <w:rPr>
                <w:rFonts w:hint="eastAsia" w:ascii="宋体" w:hAnsi="宋体" w:cs="宋体"/>
                <w:color w:val="000000"/>
                <w:sz w:val="24"/>
                <w:szCs w:val="24"/>
              </w:rPr>
              <w:t xml:space="preserve">6、支持温湿度和紧急情况报警设定及处理功能</w:t>
            </w:r>
            <w:r/>
          </w:p>
          <w:p>
            <w:pPr>
              <w:jc w:val="left"/>
              <w:rPr>
                <w:rFonts w:ascii="宋体" w:hAnsi="宋体" w:cs="宋体"/>
                <w:color w:val="000000"/>
                <w:sz w:val="24"/>
                <w:szCs w:val="24"/>
              </w:rPr>
            </w:pPr>
            <w:r>
              <w:rPr>
                <w:rFonts w:hint="eastAsia" w:ascii="宋体" w:hAnsi="宋体" w:cs="宋体"/>
                <w:color w:val="000000"/>
                <w:sz w:val="24"/>
                <w:szCs w:val="24"/>
              </w:rPr>
              <w:t xml:space="preserve">7、应采用低压供电，标配电源适配器</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23</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网络时钟管理平台、管理服务器（含软件）</w:t>
            </w:r>
            <w:r/>
          </w:p>
        </w:tc>
        <w:tc>
          <w:tcPr>
            <w:shd w:val="clear" w:color="auto" w:fill="auto"/>
            <w:tcW w:w="3592"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1、支持GPS及北斗定时信号建立时间参考</w:t>
            </w:r>
            <w:r/>
          </w:p>
          <w:p>
            <w:pPr>
              <w:jc w:val="left"/>
              <w:rPr>
                <w:rFonts w:ascii="宋体" w:hAnsi="宋体" w:cs="宋体"/>
                <w:color w:val="000000"/>
                <w:sz w:val="24"/>
                <w:szCs w:val="24"/>
              </w:rPr>
            </w:pPr>
            <w:r>
              <w:rPr>
                <w:rFonts w:hint="eastAsia" w:ascii="宋体" w:hAnsi="宋体" w:cs="宋体"/>
                <w:color w:val="000000"/>
                <w:sz w:val="24"/>
                <w:szCs w:val="24"/>
              </w:rPr>
              <w:t xml:space="preserve">2、提供1路NTP网络授时接口</w:t>
            </w:r>
            <w:r/>
          </w:p>
          <w:p>
            <w:pPr>
              <w:jc w:val="left"/>
              <w:rPr>
                <w:rFonts w:ascii="宋体" w:hAnsi="宋体" w:cs="宋体"/>
                <w:color w:val="000000"/>
                <w:sz w:val="24"/>
                <w:szCs w:val="24"/>
              </w:rPr>
            </w:pPr>
            <w:r>
              <w:rPr>
                <w:rFonts w:hint="eastAsia" w:ascii="宋体" w:hAnsi="宋体" w:cs="宋体"/>
                <w:color w:val="000000"/>
                <w:sz w:val="24"/>
                <w:szCs w:val="24"/>
              </w:rPr>
              <w:t xml:space="preserve">3、支持面板显示年月日时分秒、卫星颗数及工作状态</w:t>
            </w:r>
            <w:r/>
          </w:p>
          <w:p>
            <w:pPr>
              <w:jc w:val="left"/>
              <w:rPr>
                <w:rFonts w:ascii="宋体" w:hAnsi="宋体" w:cs="宋体"/>
                <w:color w:val="000000"/>
                <w:sz w:val="24"/>
                <w:szCs w:val="24"/>
              </w:rPr>
            </w:pPr>
            <w:r>
              <w:rPr>
                <w:rFonts w:hint="eastAsia" w:ascii="宋体" w:hAnsi="宋体" w:cs="宋体"/>
                <w:color w:val="000000"/>
                <w:sz w:val="24"/>
                <w:szCs w:val="24"/>
              </w:rPr>
              <w:t xml:space="preserve">4、支持windows、linux、unix、sun solaris、ibm aix等操作系统时间同步</w:t>
            </w:r>
            <w:r/>
          </w:p>
          <w:p>
            <w:pPr>
              <w:jc w:val="left"/>
              <w:rPr>
                <w:rFonts w:ascii="宋体" w:hAnsi="宋体" w:cs="宋体"/>
                <w:color w:val="000000"/>
                <w:sz w:val="24"/>
                <w:szCs w:val="24"/>
              </w:rPr>
            </w:pPr>
            <w:r>
              <w:rPr>
                <w:rFonts w:hint="eastAsia" w:ascii="宋体" w:hAnsi="宋体" w:cs="宋体"/>
                <w:color w:val="000000"/>
                <w:sz w:val="24"/>
                <w:szCs w:val="24"/>
              </w:rPr>
              <w:t xml:space="preserve">5、支持NTP v1.v2.v3&amp;v4(RFC1119&amp;1305),SNTP(RFC2030)等协议</w:t>
            </w:r>
            <w:r/>
          </w:p>
          <w:p>
            <w:pPr>
              <w:jc w:val="left"/>
              <w:rPr>
                <w:rFonts w:ascii="宋体" w:hAnsi="宋体" w:cs="宋体"/>
                <w:color w:val="000000"/>
                <w:sz w:val="24"/>
                <w:szCs w:val="24"/>
              </w:rPr>
            </w:pPr>
            <w:r>
              <w:rPr>
                <w:rFonts w:hint="eastAsia" w:ascii="宋体" w:hAnsi="宋体" w:cs="宋体"/>
                <w:color w:val="000000"/>
                <w:sz w:val="24"/>
                <w:szCs w:val="24"/>
              </w:rPr>
              <w:t xml:space="preserve">6、最大功率≤3W</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辅材</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1、水晶头、跳线、尾纤、钉子、卡子、胀塞、插头等相关辅材</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批</w:t>
            </w:r>
            <w:r/>
          </w:p>
        </w:tc>
      </w:tr>
      <w:tr>
        <w:trPr/>
        <w:tc>
          <w:tcPr>
            <w:shd w:val="clear" w:color="auto" w:fill="auto"/>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gridSpan w:val="2"/>
            <w:shd w:val="clear" w:color="auto" w:fill="auto"/>
            <w:tcW w:w="52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标准考场系统集成</w:t>
            </w:r>
            <w:r/>
          </w:p>
        </w:tc>
        <w:tc>
          <w:tcPr>
            <w:shd w:val="clear" w:color="auto" w:fill="auto"/>
            <w:tcW w:w="3592"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1、施工布线、设备安装、设备调试及系统集成</w:t>
            </w:r>
            <w:r/>
          </w:p>
        </w:tc>
        <w:tc>
          <w:tcPr>
            <w:gridSpan w:val="2"/>
            <w:shd w:val="clear" w:color="auto" w:fill="ffffff"/>
            <w:tcW w:w="30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ffffff"/>
            <w:tcW w:w="33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间</w:t>
            </w:r>
            <w:r/>
          </w:p>
        </w:tc>
      </w:tr>
      <w:tr>
        <w:trPr/>
        <w:tc>
          <w:tcPr>
            <w:gridSpan w:val="7"/>
            <w:tcW w:w="500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二、普通话测试机房</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普通话测试终端</w:t>
            </w:r>
            <w:r/>
          </w:p>
        </w:tc>
        <w:tc>
          <w:tcPr>
            <w:gridSpan w:val="3"/>
            <w:tcW w:w="3608"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一、硬件要求</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1.CPU：≥Intel I7-12700处理器(2.1GHz主频、25M 缓存)</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2.主板：≥Intel Q670及以上芯片组</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3.内存：≥8G DDR4 3200MHz 内存，提供4个内存槽位</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4.显卡：2G独显，性能不低于R520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5.声卡：集成声卡</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6.硬盘：≥512G M.2 NVME SSD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7.网卡：集成2×10/100/1000M以太网卡</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8.显示器：23.8显示器（与主机同一品牌），分辨率≥1920*1080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9.扩展槽：3个以上PCIE槽位</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10.键盘、鼠标 原厂防水键盘、抗菌鼠标</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11.接口：≥8个USB接口(其中至少2个USB 3.2 G2接口 )、≥3个视频输出接口</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12.电源：≥180W</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13.操作系统：预装Windows 正版操作系统</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14.安全特性：BIOS底层支持USB智能屏蔽技术，仅识别USB键盘、鼠标，无法识别USB读取设备，有效防止数据泄露</w:t>
            </w:r>
            <w:r/>
          </w:p>
          <w:p>
            <w:pPr>
              <w:jc w:val="left"/>
              <w:widowControl/>
              <w:rPr>
                <w:rFonts w:ascii="宋体" w:hAnsi="宋体" w:cs="宋体"/>
                <w:b/>
                <w:bCs/>
                <w:color w:val="000000"/>
                <w:sz w:val="24"/>
                <w:szCs w:val="24"/>
              </w:rPr>
            </w:pPr>
            <w:r>
              <w:rPr>
                <w:rFonts w:hint="eastAsia" w:ascii="宋体" w:hAnsi="宋体" w:cs="宋体"/>
                <w:color w:val="000000"/>
                <w:sz w:val="24"/>
                <w:szCs w:val="24"/>
                <w:lang w:bidi="ar"/>
              </w:rPr>
              <w:t xml:space="preserve">15.机箱：标准塔式机箱≥13L</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人脸采集摄像机</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1.产品类型：高清人脸采集摄像头</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2.感光元件：CMOS</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3.摄像头像素：200万</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4.动态分辨率：1080P</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5.最大帧频：30FPS</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6.接口类型：USB2.0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7.系统支持：WINDOWS XP/7/8/10,ANDROID8.1,LINUX4.14,macOS10.12</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8.镜头描述：定焦：3.6mm</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9.夜视功能：支持，单彩</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10.白平衡：自动</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头戴式耳机</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1、头戴式电脑耳机，全指向性麦克风，声卡5.1以上，3.5插孔式</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身份读卡器</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1.设备类型：台式居民身份证阅读器</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2.射频技术：完全兼容ISO-14443 TYPE B标准</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3.操作系统：Windows XP/7</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4.工作频率：13.56MHz±7kHz</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5.读卡距离：0-75px</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6.阅读时间：＜1s</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7.产品接口：USB2.0</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8.平均无故障工作时间：＞5000h</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定焦防暴半球网络摄像机</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1.（喊话功能）传感器类型：1/2.8英寸CMOS</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2.像素：200万</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3.最大分辨率：1920×1080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4.最低照度：0.002lux（彩色模式）；0.0002lux（黑白模式）；0lux（补光灯开启）</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5.最大补光距离：50m（红外视频监控距离）20m（暖光视频监控距离）2m（暖光人脸检测距离）</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6.补光灯：2颗（红外灯）;1颗（暖光灯）</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7.镜头类型：定焦</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8.镜头焦距：2.8mm</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9.镜头光圈：F1.6</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10.视场角：水平：106°；垂直：56°；对角：127°</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11.通用行为分析：物品遗留、物品搬移</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12.热度图：支持</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13.周界防范：绊线入侵；区域入侵；快速移动（三项均支持人车分类及精准检测）；徘徊检测；人员聚集；停车检测</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14.人脸检测：支持人脸检测；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车辆检测：支持机动车抓拍及报警联动，支持机动车号牌识别</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15.智能编码：H.264:支持;H.265:支持</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16.AI编码：H.264:支持（压缩率≥25%）；H.265:支持（压缩率≥25%）</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17.宽动态：120dB</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18.走廊模式：90°/270°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19.内置MIC：支持</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20.内置扬声器：支持</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21.报警事件：无SD卡、SD卡空间不足、SD卡出错、网络断开、IP冲突、非法访问、动态检测、SMD、视频遮挡、绊线入侵、区域入侵、快速移动、物品遗留、物品搬移、徘徊检测、人员聚集、停车检测、场景变更、音频异常侦测、电压检测、安全异常、人脸检测</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22.接入标准：ONVIF（Profile S &amp; Profile G &amp; Profile T）；CGI；GB/T28181-2022（双国标）；GA/T1400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23.预览最大用户数：20个（总带宽:80M）</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24.最大Micro SD卡：512GB</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25.其他功能：灯光报警、声音报警、智能补光</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26.供电方式：DC12V/PoE</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27.防护等级：IP67；IK10</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网络硬盘录像机</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1.主处理器：工业级微控制器</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2.操作系统：嵌入式Linux操作系统</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3.操作界面：Web，本地GUI</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4.接入路数：32路</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5.硬盘接口：8个SATA，单盘最大20T</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分辨率：32MP; 24MP; 16MP; 12MP; 8MP; 6MP; 5MP; 4MP; 3MP; 1080p; 960p; 720p; D1; CIF</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6.解码能力：不开智能 2</w:t>
            </w:r>
            <w:r>
              <w:rPr>
                <w:rFonts w:hint="eastAsia" w:ascii="宋体" w:hAnsi="宋体" w:cs="宋体"/>
                <w:color w:val="000000"/>
                <w:sz w:val="24"/>
                <w:szCs w:val="24"/>
                <w:lang w:bidi="ar"/>
              </w:rPr>
              <w:t xml:space="preserve">路32M@25fps; 2路24M@25fps; 4路 16 MP@30fps; 5路 12 MP@30fps; 8路 8 MP@30fps; 12路 5 MP@30fps; 16路 4 MP@30fps; 32路 1080p@30 fps解码。或开智能 1路 32 MP@25fps; 1路 24 MP@25fps; 2路 16 MP@30fps; 4路 12 MP@30fps; 6路 8 MP@30fps; 8路 5 MP@30fps; 12路 4 MP@30fps; 24路 1080p@30 fps解码</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7.多路回放：最大支持16路回放</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8.报警输入：16路</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9.报警输出：8路，其中1路12V1A ctrl输出</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10.画面分割：主屏: 1/4/8/9/16/25/36辅屏: 1/4/8/9/16</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11.前智能分析：支持前智能人脸检测、人像检测、人脸识别、周界防范、视频结构化（人、车、非机动车）、SMD、立体行为分析、人群分布、人数统计、热度图</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后智能分析：支持后智能人脸检测、人脸识别、周界防范、SMD</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12.音频输入：1路，RCA接口</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13.音频输出：2路，RCA接口</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14.HDMI接口：2个</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15.VGA接口：2个</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16.人脸检测前智能性能（路数）：16路</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17.人脸检测后智能性能（1080P）(路数)：2路，单路同时最多检测12张人脸</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18.人脸识别前智能性能（路数）：16路</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人脸识别后智能性能（1080P）(路数)：1.前端人脸检测+后端人脸比对支持16路，图片流人脸16张/秒2.后端人脸检测+后端人脸比对支持2路，视频流人脸12张/秒</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19.结构化前智能性能（路数）：8路</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  </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拾音话筒</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1、有线电容式；配合硬盘录像机使用</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个</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存储硬盘</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1.专为安防存储设计的监控级硬盘，质保≥三年</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2.支持单盘、RAID存储方式</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3.适用于XVR.NVR</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4.SATA接口、CMR磁记录方式</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5.单盘容量：6TB</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6.硬盘接口：SATA</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7.转速：5400RPM</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8.缓存：256MB</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块</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接入交换机</w:t>
            </w:r>
            <w:r/>
          </w:p>
        </w:tc>
        <w:tc>
          <w:tcPr>
            <w:gridSpan w:val="3"/>
            <w:tcW w:w="3608"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1.固化10/100/1000M以太网端口≥24，固化1G SFP光接口≥4个；整机最大可用业务千兆口28</w:t>
            </w:r>
            <w:r/>
          </w:p>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2.交换容量≥336Gbps/3.36Tbps；包转发率≥27Mpps/102Mpps</w:t>
            </w:r>
            <w:r/>
          </w:p>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3.支持IEEE 802、3af/at供电标准，单端口最大输出功率30W，整机最大输出功率≥370W</w:t>
            </w:r>
            <w:r/>
          </w:p>
          <w:p>
            <w:pPr>
              <w:jc w:val="left"/>
              <w:spacing w:line="240" w:lineRule="atLeast"/>
              <w:rPr>
                <w:rFonts w:ascii="宋体" w:hAnsi="宋体" w:cs="宋体"/>
                <w:color w:val="000000"/>
                <w:sz w:val="24"/>
                <w:szCs w:val="24"/>
              </w:rPr>
            </w:pPr>
            <w:r>
              <w:rPr>
                <w:rFonts w:hint="eastAsia" w:ascii="宋体" w:hAnsi="宋体" w:cs="宋体"/>
                <w:color w:val="000000"/>
                <w:sz w:val="24"/>
                <w:szCs w:val="24"/>
                <w:lang w:bidi="ar"/>
              </w:rPr>
              <w:t xml:space="preserve">4.支持≥16K MAC地址</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数据交换机</w:t>
            </w:r>
            <w:r/>
          </w:p>
        </w:tc>
        <w:tc>
          <w:tcPr>
            <w:gridSpan w:val="3"/>
            <w:tcW w:w="3608" w:type="pct"/>
            <w:vAlign w:val="center"/>
            <w:textDirection w:val="lrTb"/>
            <w:noWrap w:val="false"/>
          </w:tcPr>
          <w:p>
            <w:pPr>
              <w:jc w:val="left"/>
              <w:rPr>
                <w:rFonts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1.固化10/100/1000M以太网端口≥24，固化1G SFP光接口≥4个；整机最大可用业务千兆口28（提供官网截图证明并加盖投标人公章）</w:t>
            </w:r>
            <w:r/>
          </w:p>
          <w:p>
            <w:pPr>
              <w:jc w:val="left"/>
              <w:rPr>
                <w:rFonts w:ascii="宋体" w:hAnsi="宋体" w:cs="宋体"/>
                <w:sz w:val="24"/>
                <w:szCs w:val="24"/>
              </w:rPr>
            </w:pPr>
            <w:r>
              <w:rPr>
                <w:rFonts w:hint="eastAsia" w:ascii="宋体" w:hAnsi="宋体" w:cs="宋体"/>
                <w:sz w:val="24"/>
                <w:szCs w:val="24"/>
              </w:rPr>
              <w:t xml:space="preserve">2.交换性能≥336Gbps/3.36Tbps；包转发率≥96Mpps/126Mpps</w:t>
            </w:r>
            <w:r/>
          </w:p>
          <w:p>
            <w:pPr>
              <w:jc w:val="left"/>
              <w:rPr>
                <w:rFonts w:ascii="宋体" w:hAnsi="宋体" w:cs="宋体"/>
                <w:sz w:val="24"/>
                <w:szCs w:val="24"/>
              </w:rPr>
            </w:pPr>
            <w:r>
              <w:rPr>
                <w:rFonts w:hint="eastAsia" w:ascii="宋体" w:hAnsi="宋体" w:cs="宋体"/>
                <w:sz w:val="24"/>
                <w:szCs w:val="24"/>
              </w:rPr>
              <w:t xml:space="preserve">3.支持≥16K MAC地址</w:t>
            </w:r>
            <w:r/>
          </w:p>
          <w:p>
            <w:pPr>
              <w:jc w:val="left"/>
              <w:rPr>
                <w:rFonts w:ascii="宋体" w:hAnsi="宋体" w:cs="宋体"/>
                <w:sz w:val="24"/>
                <w:szCs w:val="24"/>
              </w:rPr>
            </w:pPr>
            <w:r>
              <w:rPr>
                <w:rFonts w:hint="eastAsia" w:ascii="宋体" w:hAnsi="宋体" w:cs="宋体"/>
                <w:sz w:val="24"/>
                <w:szCs w:val="24"/>
              </w:rPr>
              <w:t xml:space="preserve">4.支持MAC地址自动学习；支持源MAC地址过滤；支持接口MAC地址学习个数限制</w:t>
            </w:r>
            <w:r/>
          </w:p>
          <w:p>
            <w:pPr>
              <w:jc w:val="left"/>
              <w:rPr>
                <w:rFonts w:ascii="宋体" w:hAnsi="宋体" w:cs="宋体"/>
                <w:sz w:val="24"/>
                <w:szCs w:val="24"/>
              </w:rPr>
            </w:pPr>
            <w:r>
              <w:rPr>
                <w:rFonts w:hint="eastAsia" w:ascii="宋体" w:hAnsi="宋体" w:cs="宋体"/>
                <w:sz w:val="24"/>
                <w:szCs w:val="24"/>
              </w:rPr>
              <w:t xml:space="preserve">5.支持根据终端类型实现终端的准入，对非指定类型的终端接入，通过短信、手机APP等告警方式推送，并加入黑名单</w:t>
            </w:r>
            <w:r/>
          </w:p>
          <w:p>
            <w:pPr>
              <w:jc w:val="left"/>
              <w:rPr>
                <w:rFonts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6.支持查看终端在交换机端口离线次数、闲置时间、离线趋势,支持查看安全事件记录、终端类型异常记录、终端在端口迁移次数、终端地址异常记录等安全事件的记录统计（</w:t>
            </w:r>
            <w:r>
              <w:rPr>
                <w:rFonts w:hint="eastAsia" w:ascii="宋体" w:hAnsi="宋体" w:cs="宋体"/>
                <w:color w:val="000000"/>
                <w:sz w:val="24"/>
                <w:szCs w:val="24"/>
              </w:rPr>
              <w:t xml:space="preserve">须提供具有CMA认证的检测机构出具的检测报告</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7.支持终端类型库，基于指纹自动识别PC、路由器、摄像头设备、无线AP等（</w:t>
            </w:r>
            <w:r>
              <w:rPr>
                <w:rFonts w:hint="eastAsia" w:ascii="宋体" w:hAnsi="宋体" w:cs="宋体"/>
                <w:color w:val="000000"/>
                <w:sz w:val="24"/>
                <w:szCs w:val="24"/>
              </w:rPr>
              <w:t xml:space="preserve">须提供具有CMA认证的检测机构出具的检测报告</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sz w:val="24"/>
                <w:szCs w:val="24"/>
              </w:rPr>
              <w:t xml:space="preserve">8.支持SNMP v1/v2/v3、Telnet、RMON，支持通过命令行、Web、中文图形化配置软件等方式进行配置和管理</w:t>
            </w:r>
            <w:r/>
          </w:p>
          <w:p>
            <w:pPr>
              <w:jc w:val="left"/>
              <w:rPr>
                <w:rFonts w:ascii="宋体" w:hAnsi="宋体" w:cs="宋体"/>
                <w:sz w:val="24"/>
                <w:szCs w:val="24"/>
              </w:rPr>
            </w:pPr>
            <w:r>
              <w:rPr>
                <w:rFonts w:hint="eastAsia" w:ascii="宋体" w:hAnsi="宋体" w:cs="宋体"/>
                <w:sz w:val="24"/>
                <w:szCs w:val="24"/>
              </w:rPr>
              <w:t xml:space="preserve">9.支持生成树协议STP(IEEE 802.1d)，RSTP(IEEE 802.1w)和MSTP(IEEE 802.1s)，完全保证快速收敛，提高容错能力，保证网络的稳定运行和链路的负载均衡，合理使用网络通道，提供冗余链路利用率</w:t>
            </w:r>
            <w:r/>
          </w:p>
          <w:p>
            <w:pPr>
              <w:jc w:val="left"/>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10.为满足网络安全建设需求，交换机需满足《信息安全技术 交换机安全技术要求 GA/T 684-2007》,符合安全交换机标</w:t>
            </w:r>
            <w:r>
              <w:rPr>
                <w:rFonts w:hint="eastAsia" w:ascii="宋体" w:hAnsi="宋体" w:cs="宋体"/>
                <w:sz w:val="24"/>
                <w:szCs w:val="24"/>
                <w:highlight w:val="none"/>
              </w:rPr>
              <w:t xml:space="preserve">准（</w:t>
            </w:r>
            <w:r>
              <w:rPr>
                <w:rFonts w:hint="eastAsia" w:ascii="宋体" w:hAnsi="宋体" w:cs="宋体"/>
                <w:color w:val="000000"/>
                <w:sz w:val="24"/>
                <w:szCs w:val="24"/>
                <w:highlight w:val="none"/>
              </w:rPr>
              <w:t xml:space="preserve">提供具有CMA认证的检测机构出具的检测报告</w:t>
            </w:r>
            <w:r>
              <w:rPr>
                <w:rFonts w:hint="eastAsia" w:ascii="宋体" w:hAnsi="宋体" w:cs="宋体"/>
                <w:sz w:val="24"/>
                <w:szCs w:val="24"/>
                <w:highlight w:val="none"/>
              </w:rPr>
              <w:t xml:space="preserve">）</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A4黑白打印机</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1、产品类型：黑白激光打印机</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2、最大打印幅面：A4</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3、最高分辨率：1200×1200dpi（双束激光增强，300/600/1200/HQ1200）</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4、黑白打印速度：单面打印(A4/Letter)：34ppm，双面打印(A4)：8ppm</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5、处理器：600MHz；内存：128MB</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6、网络功能：无线/有线网络打印</w:t>
            </w:r>
            <w:r/>
          </w:p>
          <w:p>
            <w:p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7、无线功能：AirPrint，FX Print Utility for ios and Android，Mopria certified，WIFI直连，NFC</w:t>
            </w:r>
            <w:r/>
          </w:p>
          <w:p>
            <w:pPr>
              <w:jc w:val="left"/>
              <w:rPr>
                <w:rFonts w:hint="eastAsia" w:eastAsia="宋体"/>
                <w:lang w:eastAsia="zh-CN"/>
              </w:rPr>
            </w:pPr>
            <w:r>
              <w:rPr>
                <w:rFonts w:hint="eastAsia" w:ascii="宋体" w:hAnsi="宋体" w:eastAsia="宋体" w:cs="宋体"/>
                <w:i/>
                <w:iCs/>
                <w:color w:val="000000"/>
                <w:sz w:val="24"/>
                <w:szCs w:val="24"/>
                <w:highlight w:val="none"/>
                <w:u w:val="single"/>
                <w:lang w:eastAsia="zh-CN" w:bidi="ar"/>
              </w:rPr>
              <w:t xml:space="preserve">须提供所投产品</w:t>
            </w:r>
            <w:r>
              <w:rPr>
                <w:rFonts w:hint="eastAsia" w:ascii="宋体" w:hAnsi="宋体" w:cs="宋体"/>
                <w:i/>
                <w:iCs/>
                <w:color w:val="000000"/>
                <w:sz w:val="24"/>
                <w:szCs w:val="24"/>
                <w:highlight w:val="none"/>
                <w:u w:val="single"/>
                <w:lang w:eastAsia="zh-CN" w:bidi="ar"/>
              </w:rPr>
              <w:t xml:space="preserve">政府强制节能产品认证证书</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W w:w="513" w:type="pct"/>
            <w:vAlign w:val="center"/>
            <w:textDirection w:val="lrTb"/>
            <w:noWrap w:val="false"/>
          </w:tcPr>
          <w:p>
            <w:pPr>
              <w:jc w:val="center"/>
              <w:widowControl/>
              <w:rPr>
                <w:rFonts w:ascii="宋体" w:hAnsi="宋体" w:cs="宋体"/>
                <w:color w:val="000000"/>
                <w:sz w:val="24"/>
                <w:szCs w:val="24"/>
                <w:highlight w:val="yellow"/>
              </w:rPr>
            </w:pPr>
            <w:r>
              <w:rPr>
                <w:rFonts w:hint="eastAsia" w:ascii="宋体" w:hAnsi="宋体" w:cs="宋体"/>
                <w:color w:val="000000"/>
                <w:sz w:val="24"/>
                <w:szCs w:val="24"/>
                <w:lang w:bidi="ar"/>
              </w:rPr>
              <w:t xml:space="preserve">温度调节器</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1、匹数：5P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2、能效比：3.09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3、制冷量：12000W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4、制冷功率：4700W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5、制热量：13600W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6、制热功率：4200W </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7、清洁功能：自动清洁</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新风系统</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 新风量：低档1200/高档1500m³</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 风压：低档480Pa/高档500Pa</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 噪音低档52dB/高档55dB</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 功率：低档375W/高档510W</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 接管尺寸：管径250mm</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6. 含管道及安装</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考试区学生桌</w:t>
            </w:r>
            <w:r/>
          </w:p>
        </w:tc>
        <w:tc>
          <w:tcPr>
            <w:gridSpan w:val="3"/>
            <w:tcW w:w="3608" w:type="pct"/>
            <w:vAlign w:val="center"/>
            <w:textDirection w:val="lrTb"/>
            <w:noWrap w:val="false"/>
          </w:tcPr>
          <w:p>
            <w:pPr>
              <w:jc w:val="left"/>
              <w:widowControl/>
              <w:rPr>
                <w:rFonts w:ascii="宋体" w:hAnsi="宋体" w:cs="宋体"/>
                <w:color w:val="000000"/>
                <w:sz w:val="24"/>
                <w:szCs w:val="24"/>
                <w:highlight w:val="yellow"/>
              </w:rPr>
            </w:pPr>
            <w:r>
              <w:rPr>
                <w:rFonts w:hint="eastAsia" w:ascii="宋体" w:hAnsi="宋体" w:cs="宋体"/>
                <w:color w:val="000000"/>
                <w:sz w:val="24"/>
                <w:szCs w:val="24"/>
                <w:lang w:bidi="ar"/>
              </w:rPr>
              <w:t xml:space="preserve">1、桌子长度800mm宽度600mm高度750mm（长宽允许偏差</w:t>
            </w:r>
            <w:r>
              <w:rPr>
                <w:rFonts w:hint="eastAsia" w:ascii="仿宋" w:hAnsi="仿宋" w:eastAsia="仿宋" w:cs="仿宋"/>
                <w:color w:val="000000"/>
                <w:sz w:val="24"/>
                <w:szCs w:val="24"/>
                <w:lang w:bidi="ar"/>
              </w:rPr>
              <w:t xml:space="preserve">±</w:t>
            </w:r>
            <w:r>
              <w:rPr>
                <w:rFonts w:hint="eastAsia" w:ascii="宋体" w:hAnsi="宋体" w:cs="宋体"/>
                <w:color w:val="000000"/>
                <w:sz w:val="24"/>
                <w:szCs w:val="24"/>
                <w:lang w:bidi="ar"/>
              </w:rPr>
              <w:t xml:space="preserve">30mm）</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2、桌面25mm实木颗粒环保板，封边利用</w:t>
            </w:r>
            <w:r>
              <w:rPr>
                <w:rFonts w:hint="eastAsia" w:ascii="宋体" w:hAnsi="宋体" w:cs="宋体"/>
                <w:color w:val="000000"/>
                <w:sz w:val="24"/>
                <w:szCs w:val="24"/>
                <w:lang w:bidi="ar"/>
              </w:rPr>
              <w:t xml:space="preserve">28*2mm优质PVC同色封边带，对板材截面进行封边，粘力强，密封性好，E1级环保板可提供质检报告，架子加厚25mm钢方管，管壁厚度≥1.0mm，（不含表面喷涂后的厚度）架子中间放主机箱左右采用冷轧钢板(ST13/14),厚度≥500mm，设计有透气孔防止机箱过热，后背设有拉杆防止机箱掉落，使桌子更加牢固，机箱高度600mm，宽度200mm内径，下身铁架表面是经过磷化除锈除油处理后静电喷涂，喷后均匀，光洁度好，塑面经久耐用，表面垫固性粉末涂层，环保无毒害无气味，且耐候性强，桌脚为耐磨防滑尼龙脚垫。颜色：白色</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张</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highlight w:val="none"/>
                <w:lang w:bidi="ar"/>
              </w:rPr>
              <w:t xml:space="preserve">考试区学生椅</w:t>
            </w:r>
            <w:r/>
          </w:p>
        </w:tc>
        <w:tc>
          <w:tcPr>
            <w:gridSpan w:val="3"/>
            <w:tcW w:w="3608" w:type="pct"/>
            <w:vAlign w:val="center"/>
            <w:textDirection w:val="lrTb"/>
            <w:noWrap w:val="false"/>
          </w:tcPr>
          <w:p>
            <w:pPr>
              <w:jc w:val="left"/>
              <w:rPr>
                <w:rFonts w:ascii="宋体" w:hAnsi="宋体" w:cs="宋体"/>
                <w:color w:val="000000"/>
                <w:sz w:val="24"/>
                <w:szCs w:val="24"/>
              </w:rPr>
            </w:pPr>
            <w:r>
              <w:rPr>
                <w:rFonts w:ascii="宋体" w:hAnsi="宋体" w:cs="宋体"/>
                <w:color w:val="000000"/>
                <w:sz w:val="24"/>
                <w:szCs w:val="24"/>
              </w:rPr>
              <w:t xml:space="preserve">1.椅座连体全新工程聚丙PP材质，磨砂椅面</w:t>
            </w:r>
            <w:r/>
          </w:p>
          <w:p>
            <w:pPr>
              <w:jc w:val="left"/>
              <w:rPr>
                <w:rFonts w:ascii="宋体" w:hAnsi="宋体" w:cs="宋体"/>
                <w:color w:val="000000"/>
                <w:sz w:val="24"/>
                <w:szCs w:val="24"/>
              </w:rPr>
            </w:pPr>
            <w:r>
              <w:rPr>
                <w:rFonts w:ascii="宋体" w:hAnsi="宋体" w:cs="宋体"/>
                <w:color w:val="000000"/>
                <w:sz w:val="24"/>
                <w:szCs w:val="24"/>
              </w:rPr>
              <w:t xml:space="preserve">2.高密度回弹海绵，高档透气网布，2分纯棉</w:t>
            </w:r>
            <w:r/>
          </w:p>
          <w:p>
            <w:pPr>
              <w:jc w:val="left"/>
              <w:rPr>
                <w:rFonts w:ascii="宋体" w:hAnsi="宋体" w:cs="宋体"/>
                <w:color w:val="000000"/>
                <w:sz w:val="24"/>
                <w:szCs w:val="24"/>
              </w:rPr>
            </w:pPr>
            <w:r>
              <w:rPr>
                <w:rFonts w:ascii="宋体" w:hAnsi="宋体" w:cs="宋体"/>
                <w:color w:val="000000"/>
                <w:sz w:val="24"/>
                <w:szCs w:val="24"/>
              </w:rPr>
              <w:t xml:space="preserve">3.椅架喷涂，直径19mm</w:t>
            </w:r>
            <w:r>
              <w:rPr>
                <w:rFonts w:hint="eastAsia" w:ascii="宋体" w:hAnsi="宋体" w:cs="宋体"/>
                <w:color w:val="000000"/>
                <w:sz w:val="24"/>
                <w:szCs w:val="24"/>
              </w:rPr>
              <w:t xml:space="preserve">（允许偏差1mm）</w:t>
            </w:r>
            <w:r>
              <w:rPr>
                <w:rFonts w:ascii="宋体" w:hAnsi="宋体" w:cs="宋体"/>
                <w:color w:val="000000"/>
                <w:sz w:val="24"/>
                <w:szCs w:val="24"/>
              </w:rPr>
              <w:t xml:space="preserve">，厚度1.5mm</w:t>
            </w:r>
            <w:r>
              <w:rPr>
                <w:rFonts w:hint="eastAsia" w:ascii="宋体" w:hAnsi="宋体" w:cs="宋体"/>
                <w:color w:val="000000"/>
                <w:sz w:val="24"/>
                <w:szCs w:val="24"/>
              </w:rPr>
              <w:t xml:space="preserve">（允许偏差</w:t>
            </w:r>
            <w:r>
              <w:rPr>
                <w:rFonts w:hint="eastAsia" w:ascii="仿宋" w:hAnsi="仿宋" w:eastAsia="仿宋" w:cs="仿宋"/>
                <w:color w:val="000000"/>
                <w:sz w:val="24"/>
                <w:szCs w:val="24"/>
              </w:rPr>
              <w:t xml:space="preserve">±</w:t>
            </w:r>
            <w:r>
              <w:rPr>
                <w:rFonts w:hint="eastAsia" w:ascii="宋体" w:hAnsi="宋体" w:cs="宋体"/>
                <w:color w:val="000000"/>
                <w:sz w:val="24"/>
                <w:szCs w:val="24"/>
              </w:rPr>
              <w:t xml:space="preserve">0.1mm）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4.尺寸要求，</w:t>
            </w:r>
            <w:r>
              <w:rPr>
                <w:rFonts w:hint="eastAsia" w:ascii="宋体" w:hAnsi="宋体" w:cs="宋体"/>
                <w:color w:val="000000"/>
                <w:sz w:val="24"/>
                <w:szCs w:val="24"/>
                <w:highlight w:val="none"/>
              </w:rPr>
              <w:t xml:space="preserve">长宽高：490*460*850mm</w:t>
            </w:r>
            <w:r>
              <w:rPr>
                <w:rFonts w:hint="eastAsia" w:ascii="宋体" w:hAnsi="宋体" w:cs="宋体"/>
                <w:color w:val="000000"/>
                <w:sz w:val="24"/>
                <w:szCs w:val="24"/>
                <w:highlight w:val="none"/>
                <w:lang w:bidi="ar"/>
              </w:rPr>
              <w:t xml:space="preserve">（长宽允许偏差</w:t>
            </w:r>
            <w:r>
              <w:rPr>
                <w:rFonts w:hint="eastAsia" w:ascii="仿宋" w:hAnsi="仿宋" w:eastAsia="仿宋" w:cs="仿宋"/>
                <w:color w:val="000000"/>
                <w:sz w:val="24"/>
                <w:szCs w:val="24"/>
                <w:highlight w:val="none"/>
                <w:lang w:bidi="ar"/>
              </w:rPr>
              <w:t xml:space="preserve">±</w:t>
            </w:r>
            <w:r>
              <w:rPr>
                <w:rFonts w:hint="eastAsia" w:ascii="宋体" w:hAnsi="宋体" w:cs="宋体"/>
                <w:color w:val="000000"/>
                <w:sz w:val="24"/>
                <w:szCs w:val="24"/>
                <w:highlight w:val="none"/>
                <w:lang w:bidi="ar"/>
              </w:rPr>
              <w:t xml:space="preserve">20mm）</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把</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教师桌椅</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1、产品结构：钢木结构</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2、台面参数：采用25mm厚实木颗粒板，三聚氰胺饰面，具有抗污染、耐磨、防火特性</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3、框架结构：采用门字形钢架方管（60×60×1.5mm），连接杆尺寸为40×60×1.5mm，带底脚</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4、五金件：采用铝合金一字隐藏式拉手、阻尼铰链、五金轨道（三节滑轨）              </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5、桌面木纹，钢架白色,钢架外侧前挡板</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6、产品尺寸：2000×800×750mm（长×宽×高）（长宽允许偏差</w:t>
            </w:r>
            <w:r>
              <w:rPr>
                <w:rFonts w:hint="eastAsia" w:ascii="仿宋" w:hAnsi="仿宋" w:eastAsia="仿宋" w:cs="仿宋"/>
                <w:color w:val="000000"/>
                <w:sz w:val="24"/>
                <w:szCs w:val="24"/>
                <w:lang w:bidi="ar"/>
              </w:rPr>
              <w:t xml:space="preserve">±</w:t>
            </w:r>
            <w:r>
              <w:rPr>
                <w:rFonts w:hint="eastAsia" w:ascii="宋体" w:hAnsi="宋体" w:cs="宋体"/>
                <w:color w:val="000000"/>
                <w:sz w:val="24"/>
                <w:szCs w:val="24"/>
                <w:lang w:bidi="ar"/>
              </w:rPr>
              <w:t xml:space="preserve">30mm）</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网络机柜</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1、容量：22U</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2、门及门锁：玻璃门</w:t>
            </w:r>
            <w:r/>
          </w:p>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3、内含：8位10APDU插排一个</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4、外观参数</w:t>
            </w:r>
            <w:r/>
          </w:p>
          <w:p>
            <w:pPr>
              <w:jc w:val="left"/>
              <w:rPr>
                <w:rFonts w:ascii="宋体" w:hAnsi="宋体" w:cs="宋体"/>
                <w:color w:val="000000"/>
                <w:sz w:val="24"/>
                <w:szCs w:val="24"/>
              </w:rPr>
            </w:pPr>
            <w:r>
              <w:rPr>
                <w:rFonts w:hint="eastAsia" w:ascii="宋体" w:hAnsi="宋体" w:cs="宋体"/>
                <w:color w:val="000000"/>
                <w:sz w:val="24"/>
                <w:szCs w:val="24"/>
                <w:lang w:bidi="ar"/>
              </w:rPr>
              <w:t xml:space="preserve">高度：1166mm；宽度：600mm；深度：600mm</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智能电路管理系统</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1、通过无人值守管理考场电路，保证电气线路的安全</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考场文化布置</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1、根据普通话测试教室文化设计及采购人要求</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c>
          <w:tcPr>
            <w:tcW w:w="256"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W w:w="5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系统集成</w:t>
            </w:r>
            <w:r/>
          </w:p>
        </w:tc>
        <w:tc>
          <w:tcPr>
            <w:gridSpan w:val="3"/>
            <w:tcW w:w="3608"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1、清单内所有电脑、监控系统等设备需进行强弱电布线、安装、调试，并且连接到位外网、局域网畅通。以及系统内所含及并未列除的工程量。</w:t>
            </w:r>
            <w:r/>
          </w:p>
        </w:tc>
        <w:tc>
          <w:tcPr>
            <w:tcW w:w="29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tcW w:w="33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r>
    </w:tbl>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bookmarkStart w:id="186" w:name="_Toc9666"/>
      <w:r/>
      <w:bookmarkStart w:id="187" w:name="_Toc5710"/>
      <w:r/>
      <w:bookmarkStart w:id="188" w:name="_Toc120614281"/>
      <w:r>
        <w:rPr>
          <w:rFonts w:hint="eastAsia" w:ascii="宋体" w:hAnsi="宋体" w:cs="宋体"/>
          <w:b/>
          <w:bCs/>
          <w:color w:val="000000"/>
          <w:sz w:val="24"/>
          <w:szCs w:val="24"/>
        </w:rPr>
        <w:t xml:space="preserve">二、商务要求：</w:t>
      </w:r>
      <w:r/>
    </w:p>
    <w:p>
      <w:pPr>
        <w:ind w:firstLine="484"/>
        <w:spacing w:line="460" w:lineRule="exact"/>
        <w:rPr>
          <w:rFonts w:ascii="宋体" w:hAnsi="宋体" w:cs="宋体"/>
          <w:color w:val="000000"/>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(1)本次招标全部内容为“交钥匙”工程，一切费用均包含在报价内，请各投标人认真考虑其各种风险。除合同另有规定之外，伴随服务的费用均已含在合同价款中，采购人不再另行支付。</w:t>
      </w:r>
      <w:r/>
    </w:p>
    <w:p>
      <w:pPr>
        <w:ind w:firstLine="484"/>
        <w:spacing w:line="460" w:lineRule="exact"/>
        <w:rPr>
          <w:rFonts w:ascii="宋体" w:hAnsi="宋体" w:cs="宋体"/>
          <w:color w:val="000000"/>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(2)货物由中标人运至采购人指定地点，验收交货前存放及保管概由中标人负责。</w:t>
      </w:r>
      <w:r/>
    </w:p>
    <w:p>
      <w:pPr>
        <w:ind w:firstLine="484"/>
        <w:spacing w:line="460" w:lineRule="exact"/>
        <w:rPr>
          <w:rFonts w:ascii="宋体" w:hAnsi="宋体" w:cs="宋体"/>
          <w:color w:val="000000"/>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(3)设备材料的包装均应有良好的防湿、防锈、防潮、防雨、防腐及防碰撞的措施。凡由于包装不良造成的损失和由此产生的费用均由中标人承担。</w:t>
      </w:r>
      <w:r/>
    </w:p>
    <w:p>
      <w:pPr>
        <w:ind w:firstLine="484"/>
        <w:spacing w:line="460" w:lineRule="exact"/>
        <w:rPr>
          <w:rFonts w:ascii="宋体" w:hAnsi="宋体" w:cs="宋体"/>
          <w:color w:val="000000"/>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(4)所有货物、产品提供至少三年免费质保，质保期内全免费上门；免费质保期满后，中标人须以市场价中最低的价格（人工费、出厂价零配件费、其他材料费等）向采购人提供相关产品设备或服务，且中标人应保证采购人更换到原厂正宗零部件，保证维修配件的供应和及时维修，维修价格保持不变（政策调整因素除外），投标人需自行考虑相关费用。</w:t>
      </w:r>
      <w:r/>
    </w:p>
    <w:p>
      <w:pPr>
        <w:ind w:firstLine="484"/>
        <w:spacing w:line="460" w:lineRule="exact"/>
        <w:rPr>
          <w:rFonts w:ascii="宋体" w:hAnsi="宋体" w:cs="宋体"/>
          <w:color w:val="000000"/>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(5)供货、安装时间要求：自合同签订之日起30日内（除不可抗力、非乙方原因）全部供货及安装完毕，并完成全部验收、文档整理工作。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84"/>
        <w:spacing w:line="460" w:lineRule="exact"/>
        <w:rPr>
          <w:rFonts w:ascii="宋体" w:hAnsi="宋体" w:cs="宋体"/>
          <w:color w:val="000000"/>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rPr>
        <w:t xml:space="preserve">(6)中标人应免费对采购人技术人员进行操作、保养、维修等方面的培训，并且提供免费的技术咨询服务。</w:t>
      </w:r>
      <w:r/>
    </w:p>
    <w:p>
      <w:pPr>
        <w:ind w:firstLine="487"/>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三：项目实施要求</w:t>
      </w:r>
      <w:r/>
    </w:p>
    <w:p>
      <w:pPr>
        <w:ind w:firstLine="480"/>
        <w:spacing w:line="360" w:lineRule="auto"/>
        <w:rPr>
          <w:rFonts w:ascii="宋体" w:hAnsi="宋体" w:cs="宋体"/>
          <w:sz w:val="24"/>
        </w:rPr>
      </w:pPr>
      <w:r>
        <w:rPr>
          <w:rFonts w:hint="eastAsia" w:ascii="宋体" w:hAnsi="宋体" w:cs="宋体"/>
          <w:sz w:val="24"/>
        </w:rPr>
        <w:t xml:space="preserve">（1）投标人须充分了解采购人现状和业务需求，制定详细可行的项目实施规划方案，对项目计划与进度、项目质量、风险等进行总体管控与协调。</w:t>
      </w:r>
      <w:r/>
    </w:p>
    <w:p>
      <w:pPr>
        <w:ind w:firstLine="480"/>
        <w:spacing w:line="360" w:lineRule="auto"/>
        <w:rPr>
          <w:rFonts w:ascii="宋体" w:hAnsi="宋体" w:cs="宋体"/>
          <w:sz w:val="24"/>
        </w:rPr>
      </w:pPr>
      <w:r>
        <w:rPr>
          <w:rFonts w:hint="eastAsia" w:ascii="宋体" w:hAnsi="宋体" w:cs="宋体"/>
          <w:sz w:val="24"/>
        </w:rPr>
        <w:t xml:space="preserve">（2）投标人须针对本项目成立专门的实施团队，积极主动与采购人进行协调沟通，在规定的时间内，保证质量完成投标所提供设备的规划、安装、调试及投入运行，达成项目建设目标。</w:t>
      </w:r>
      <w:r/>
    </w:p>
    <w:p>
      <w:pPr>
        <w:ind w:firstLine="480"/>
        <w:spacing w:line="360" w:lineRule="auto"/>
        <w:rPr>
          <w:rFonts w:ascii="宋体" w:hAnsi="宋体" w:cs="宋体"/>
          <w:sz w:val="24"/>
        </w:rPr>
      </w:pPr>
      <w:r>
        <w:rPr>
          <w:rFonts w:hint="eastAsia" w:ascii="宋体" w:hAnsi="宋体" w:cs="宋体"/>
          <w:sz w:val="24"/>
        </w:rPr>
        <w:t xml:space="preserve">（3）投标人提供进度计划表，合理安排现场、现场安装等各项事宜，制定科学、合理、有针对性的进度控制方案及保障措施。</w:t>
      </w:r>
      <w:r/>
    </w:p>
    <w:p>
      <w:pPr>
        <w:ind w:firstLine="487"/>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四、项目人员要求</w:t>
      </w:r>
      <w:r/>
    </w:p>
    <w:p>
      <w:pPr>
        <w:rPr>
          <w:rFonts w:ascii="宋体" w:hAnsi="宋体" w:cs="宋体"/>
        </w:rPr>
      </w:pPr>
      <w:r>
        <w:rPr>
          <w:rFonts w:ascii="宋体" w:hAnsi="宋体" w:cs="宋体"/>
        </w:rPr>
      </w:r>
      <w:r/>
    </w:p>
    <w:p>
      <w:pPr>
        <w:ind w:firstLine="480"/>
        <w:spacing w:line="360" w:lineRule="auto"/>
        <w:rPr>
          <w:rFonts w:ascii="宋体" w:hAnsi="宋体" w:cs="宋体"/>
          <w:sz w:val="24"/>
        </w:rPr>
      </w:pPr>
      <w:r>
        <w:rPr>
          <w:rFonts w:hint="eastAsia" w:ascii="宋体" w:hAnsi="宋体" w:cs="宋体"/>
          <w:sz w:val="24"/>
        </w:rPr>
        <w:t xml:space="preserve">（1）项目团队成员专业分配合理，包括项目经理、技术负责人、设计、实施、测试等。</w:t>
      </w:r>
      <w:r/>
    </w:p>
    <w:p>
      <w:pPr>
        <w:ind w:firstLine="480"/>
        <w:spacing w:line="360" w:lineRule="auto"/>
        <w:rPr>
          <w:rFonts w:ascii="宋体" w:hAnsi="宋体" w:cs="宋体"/>
          <w:sz w:val="24"/>
        </w:rPr>
      </w:pPr>
      <w:r>
        <w:rPr>
          <w:rFonts w:hint="eastAsia" w:ascii="宋体" w:hAnsi="宋体" w:cs="宋体"/>
          <w:sz w:val="24"/>
        </w:rPr>
        <w:t xml:space="preserve">（2）投标人拟派项目经理（1人）：须具备丰富的项目管理经验，同时具备较强的沟通协调和管理能力，能依据采购人要求提供合理的、高效的服务。</w:t>
      </w:r>
      <w:r/>
    </w:p>
    <w:p>
      <w:pPr>
        <w:ind w:firstLine="480"/>
        <w:spacing w:line="360" w:lineRule="auto"/>
        <w:rPr>
          <w:rFonts w:ascii="宋体" w:hAnsi="宋体" w:cs="宋体"/>
          <w:sz w:val="24"/>
        </w:rPr>
      </w:pPr>
      <w:r>
        <w:rPr>
          <w:rFonts w:hint="eastAsia" w:ascii="宋体" w:hAnsi="宋体" w:cs="宋体"/>
          <w:sz w:val="24"/>
        </w:rPr>
        <w:t xml:space="preserve">（3）投标人拟派项目技术负责人（1人）：须具备扎实的专业知识和丰富的实践经验，精通智能化各系统架构、功能及安装方式，能及时准确的为采购人提供运维指导。</w:t>
      </w:r>
      <w:r/>
    </w:p>
    <w:p>
      <w:pPr>
        <w:ind w:firstLine="480"/>
        <w:spacing w:line="360" w:lineRule="auto"/>
        <w:rPr>
          <w:rFonts w:ascii="宋体" w:hAnsi="宋体" w:cs="宋体"/>
          <w:sz w:val="24"/>
        </w:rPr>
      </w:pPr>
      <w:r>
        <w:rPr>
          <w:rFonts w:hint="eastAsia" w:ascii="宋体" w:hAnsi="宋体" w:cs="宋体"/>
          <w:sz w:val="24"/>
        </w:rPr>
        <w:t xml:space="preserve">（4）建设期内，项目经理、技术负责人对项目建设和实施工作中出现的管理、协调和技术问题及时响应并提出具体的意见和解决方案，并负责督促落实。</w:t>
      </w:r>
      <w:r/>
    </w:p>
    <w:p>
      <w:pPr>
        <w:ind w:firstLine="480"/>
        <w:spacing w:line="360" w:lineRule="auto"/>
        <w:rPr>
          <w:rFonts w:ascii="宋体" w:hAnsi="宋体" w:cs="宋体"/>
          <w:sz w:val="24"/>
        </w:rPr>
      </w:pPr>
      <w:r>
        <w:rPr>
          <w:rFonts w:hint="eastAsia" w:ascii="宋体" w:hAnsi="宋体" w:cs="宋体"/>
          <w:sz w:val="24"/>
        </w:rPr>
        <w:t xml:space="preserve">（5）建设期内，中标人不得缩小项目人员组成或者其他资源，项目结束前核心人员不得更换或者中途退出，如有特殊原因需要更换人员，必须得到采购人同意。</w:t>
      </w:r>
      <w:r/>
    </w:p>
    <w:p>
      <w:pPr>
        <w:pStyle w:val="1033"/>
        <w:ind w:firstLine="0"/>
        <w:rPr>
          <w:rFonts w:ascii="宋体" w:hAnsi="宋体" w:eastAsia="宋体" w:cs="宋体"/>
          <w:b/>
          <w:bCs/>
          <w:szCs w:val="24"/>
        </w:rPr>
      </w:pPr>
      <w:r>
        <w:rPr>
          <w:rFonts w:hint="eastAsia" w:ascii="宋体" w:hAnsi="宋体" w:eastAsia="宋体" w:cs="宋体"/>
          <w:b/>
          <w:bCs/>
          <w:szCs w:val="24"/>
        </w:rPr>
        <w:t xml:space="preserve">五、售后服务要求</w:t>
      </w:r>
      <w:r/>
    </w:p>
    <w:p>
      <w:pPr>
        <w:ind w:firstLine="480"/>
        <w:spacing w:line="360" w:lineRule="auto"/>
        <w:rPr>
          <w:rFonts w:ascii="宋体" w:hAnsi="宋体" w:cs="宋体"/>
          <w:sz w:val="24"/>
        </w:rPr>
      </w:pPr>
      <w:r>
        <w:rPr>
          <w:rFonts w:hint="eastAsia" w:ascii="宋体" w:hAnsi="宋体" w:cs="宋体"/>
          <w:sz w:val="24"/>
        </w:rPr>
        <w:t xml:space="preserve">（1）培训</w:t>
      </w:r>
      <w:r/>
    </w:p>
    <w:p>
      <w:pPr>
        <w:ind w:firstLine="480"/>
        <w:jc w:val="left"/>
        <w:spacing w:line="360" w:lineRule="auto"/>
        <w:rPr>
          <w:rFonts w:ascii="宋体" w:hAnsi="宋体" w:cs="宋体"/>
          <w:sz w:val="24"/>
        </w:rPr>
      </w:pPr>
      <w:r>
        <w:rPr>
          <w:rFonts w:hint="eastAsia" w:ascii="宋体" w:hAnsi="宋体" w:cs="宋体"/>
          <w:sz w:val="24"/>
        </w:rPr>
        <w:t xml:space="preserve">中标人应提供完备的项目培训计划，具体包含培训时间、培训内容、培训计划等。中标人应为采购人提供包括但不限于下列几个方面的培训：</w:t>
      </w:r>
      <w:r/>
    </w:p>
    <w:p>
      <w:pPr>
        <w:ind w:firstLine="480"/>
        <w:jc w:val="left"/>
        <w:spacing w:line="360" w:lineRule="auto"/>
        <w:rPr>
          <w:rFonts w:ascii="宋体" w:hAnsi="宋体" w:cs="宋体"/>
          <w:sz w:val="24"/>
        </w:rPr>
      </w:pPr>
      <w:r>
        <w:rPr>
          <w:rFonts w:hint="eastAsia" w:ascii="宋体" w:hAnsi="宋体" w:cs="宋体"/>
          <w:sz w:val="24"/>
        </w:rPr>
        <w:t xml:space="preserve">1）硬件系统业务操作培训；</w:t>
      </w:r>
      <w:r/>
    </w:p>
    <w:p>
      <w:pPr>
        <w:ind w:firstLine="480"/>
        <w:jc w:val="left"/>
        <w:spacing w:line="360" w:lineRule="auto"/>
        <w:rPr>
          <w:rFonts w:ascii="宋体" w:hAnsi="宋体" w:cs="宋体"/>
          <w:sz w:val="24"/>
        </w:rPr>
      </w:pPr>
      <w:r>
        <w:rPr>
          <w:rFonts w:hint="eastAsia" w:ascii="宋体" w:hAnsi="宋体" w:cs="宋体"/>
          <w:sz w:val="24"/>
        </w:rPr>
        <w:t xml:space="preserve">2）软件系统业务操作培训；</w:t>
      </w:r>
      <w:r/>
    </w:p>
    <w:p>
      <w:pPr>
        <w:ind w:firstLine="480"/>
        <w:jc w:val="left"/>
        <w:spacing w:line="360" w:lineRule="auto"/>
        <w:rPr>
          <w:rFonts w:ascii="宋体" w:hAnsi="宋体" w:cs="宋体"/>
          <w:sz w:val="24"/>
        </w:rPr>
      </w:pPr>
      <w:r>
        <w:rPr>
          <w:rFonts w:hint="eastAsia" w:ascii="宋体" w:hAnsi="宋体" w:cs="宋体"/>
          <w:sz w:val="24"/>
        </w:rPr>
        <w:t xml:space="preserve">3）日常维保培训。</w:t>
      </w:r>
      <w:r/>
    </w:p>
    <w:p>
      <w:pPr>
        <w:ind w:firstLine="480"/>
        <w:jc w:val="left"/>
        <w:spacing w:line="360" w:lineRule="auto"/>
        <w:rPr>
          <w:rFonts w:ascii="宋体" w:hAnsi="宋体" w:cs="宋体"/>
          <w:sz w:val="24"/>
        </w:rPr>
      </w:pPr>
      <w:r>
        <w:rPr>
          <w:rFonts w:hint="eastAsia" w:ascii="宋体" w:hAnsi="宋体" w:cs="宋体"/>
          <w:sz w:val="24"/>
        </w:rPr>
        <w:t xml:space="preserve">中标人应提出上述培训的具体建议和详细方案，并确保能对采购人进行培训。</w:t>
      </w:r>
      <w:r/>
    </w:p>
    <w:p>
      <w:pPr>
        <w:ind w:firstLine="480"/>
        <w:keepLines/>
        <w:keepNext/>
        <w:spacing w:line="360" w:lineRule="auto"/>
        <w:rPr>
          <w:rFonts w:ascii="宋体" w:hAnsi="宋体" w:cs="宋体"/>
          <w:sz w:val="24"/>
        </w:rPr>
        <w:outlineLvl w:val="3"/>
      </w:pPr>
      <w:r>
        <w:rPr>
          <w:rFonts w:hint="eastAsia" w:ascii="宋体" w:hAnsi="宋体" w:cs="宋体"/>
          <w:sz w:val="24"/>
        </w:rPr>
        <w:t xml:space="preserve">（2）售后服务</w:t>
      </w:r>
      <w:r/>
    </w:p>
    <w:p>
      <w:pPr>
        <w:ind w:firstLine="480"/>
        <w:jc w:val="left"/>
        <w:spacing w:line="360" w:lineRule="auto"/>
        <w:rPr>
          <w:rFonts w:ascii="宋体" w:hAnsi="宋体" w:cs="宋体"/>
          <w:sz w:val="24"/>
        </w:rPr>
      </w:pPr>
      <w:r>
        <w:rPr>
          <w:rFonts w:hint="eastAsia" w:ascii="宋体" w:hAnsi="宋体" w:cs="宋体"/>
          <w:sz w:val="24"/>
        </w:rPr>
        <w:t xml:space="preserve">1）中标人应提供完备的售后服务方案，具体包含和售后服务方案（包括人员配备情况及解决问题的能力等），方案规划科学、严谨合理，精准到位且针对性强。</w:t>
      </w:r>
      <w:r/>
    </w:p>
    <w:p>
      <w:pPr>
        <w:ind w:firstLine="480"/>
        <w:jc w:val="left"/>
        <w:spacing w:line="360" w:lineRule="auto"/>
        <w:rPr>
          <w:rFonts w:ascii="宋体" w:hAnsi="宋体" w:cs="宋体"/>
          <w:sz w:val="24"/>
        </w:rPr>
      </w:pPr>
      <w:r>
        <w:rPr>
          <w:rFonts w:hint="eastAsia" w:ascii="宋体" w:hAnsi="宋体" w:cs="宋体"/>
          <w:sz w:val="24"/>
        </w:rPr>
        <w:t xml:space="preserve">2）项目中所含设备以及集成系统有3年的免费质保期，中标人在免费质保期内应设有专人维护，应充分考虑技术支持与售后服务，在质保期内，中标人须提供包括交付项目涉及产品软件免费升级在内的其他维护内容。</w:t>
      </w:r>
      <w:r/>
    </w:p>
    <w:p>
      <w:pPr>
        <w:ind w:firstLine="480"/>
        <w:spacing w:line="360" w:lineRule="auto"/>
        <w:rPr>
          <w:rFonts w:ascii="宋体" w:hAnsi="宋体" w:cs="宋体"/>
          <w:sz w:val="24"/>
        </w:rPr>
      </w:pPr>
      <w:r>
        <w:rPr>
          <w:rFonts w:hint="eastAsia" w:ascii="宋体" w:hAnsi="宋体" w:cs="宋体"/>
          <w:sz w:val="24"/>
        </w:rPr>
        <w:t xml:space="preserve">3）中标人需保证提供预防性、故障性维护和技术支持服务。</w:t>
      </w:r>
      <w:r/>
    </w:p>
    <w:p>
      <w:pPr>
        <w:ind w:firstLine="480"/>
        <w:jc w:val="left"/>
        <w:spacing w:line="360" w:lineRule="auto"/>
        <w:rPr>
          <w:rFonts w:ascii="宋体" w:hAnsi="宋体" w:cs="宋体"/>
          <w:sz w:val="24"/>
        </w:rPr>
      </w:pPr>
      <w:r>
        <w:rPr>
          <w:rFonts w:hint="eastAsia" w:ascii="宋体" w:hAnsi="宋体" w:cs="宋体"/>
          <w:sz w:val="24"/>
        </w:rPr>
        <w:t xml:space="preserve">4）中标人须本次采购的硬件和软件提供7*24小时技术支持。质保期内故障发生后，能够在30分钟内响应并提供应急解决方案，2小时到达现场进行处理，所有服务免费。</w:t>
      </w:r>
      <w:r/>
    </w:p>
    <w:p>
      <w:pPr>
        <w:ind w:firstLine="480"/>
        <w:jc w:val="left"/>
        <w:spacing w:line="360" w:lineRule="auto"/>
        <w:rPr>
          <w:rFonts w:ascii="宋体" w:hAnsi="宋体" w:cs="宋体"/>
          <w:sz w:val="24"/>
        </w:rPr>
      </w:pPr>
      <w:r>
        <w:rPr>
          <w:rFonts w:hint="eastAsia" w:ascii="宋体" w:hAnsi="宋体" w:cs="宋体"/>
          <w:sz w:val="24"/>
        </w:rPr>
        <w:t xml:space="preserve">5）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0"/>
        <w:jc w:val="left"/>
        <w:spacing w:line="360" w:lineRule="auto"/>
        <w:rPr>
          <w:rFonts w:ascii="宋体" w:hAnsi="宋体" w:cs="宋体"/>
          <w:sz w:val="24"/>
        </w:rPr>
      </w:pPr>
      <w:r>
        <w:rPr>
          <w:rFonts w:hint="eastAsia" w:ascii="宋体" w:hAnsi="宋体" w:cs="宋体"/>
          <w:sz w:val="24"/>
        </w:rPr>
        <w:t xml:space="preserve">6）中标人须提供全方位的、优质的、高效的质量保证体系，以及技术支持和售后服务。为采购人提供技术支持，其中包括系统维护、跟踪检测，保证产品的正常运行。</w:t>
      </w:r>
      <w:r/>
    </w:p>
    <w:p>
      <w:pPr>
        <w:ind w:firstLine="480"/>
        <w:jc w:val="left"/>
        <w:spacing w:line="360" w:lineRule="auto"/>
        <w:rPr>
          <w:rFonts w:ascii="宋体" w:hAnsi="宋体" w:cs="宋体"/>
          <w:sz w:val="24"/>
        </w:rPr>
      </w:pPr>
      <w:r>
        <w:rPr>
          <w:rFonts w:hint="eastAsia" w:ascii="宋体" w:hAnsi="宋体" w:cs="宋体"/>
          <w:sz w:val="24"/>
        </w:rPr>
        <w:t xml:space="preserve">7）中标人需提供本项目主要技术支持人员、售后服务人员一览表，含电话、微信、EMAIL联系方式。</w:t>
      </w:r>
      <w:r/>
    </w:p>
    <w:p>
      <w:pPr>
        <w:pStyle w:val="1033"/>
        <w:ind w:firstLine="0"/>
        <w:rPr>
          <w:rFonts w:ascii="宋体" w:hAnsi="宋体" w:eastAsia="宋体" w:cs="宋体"/>
          <w:b/>
          <w:bCs/>
          <w:szCs w:val="24"/>
        </w:rPr>
      </w:pPr>
      <w:r>
        <w:rPr>
          <w:rFonts w:hint="eastAsia" w:ascii="宋体" w:hAnsi="宋体" w:eastAsia="宋体" w:cs="宋体"/>
          <w:b/>
          <w:bCs/>
          <w:szCs w:val="24"/>
        </w:rPr>
        <w:t xml:space="preserve">六、其它要求</w:t>
      </w:r>
      <w:r/>
    </w:p>
    <w:p>
      <w:pPr>
        <w:ind w:firstLine="482"/>
        <w:jc w:val="left"/>
        <w:spacing w:line="360" w:lineRule="auto"/>
        <w:rPr>
          <w:rFonts w:ascii="宋体" w:hAnsi="宋体" w:cs="宋体"/>
          <w:b/>
          <w:bCs/>
          <w:i/>
          <w:iCs/>
          <w:sz w:val="24"/>
          <w:u w:val="single"/>
        </w:rPr>
      </w:pPr>
      <w:r>
        <w:rPr>
          <w:rFonts w:hint="eastAsia" w:ascii="宋体" w:hAnsi="宋体" w:cs="宋体"/>
          <w:b/>
          <w:bCs/>
          <w:i/>
          <w:iCs/>
          <w:sz w:val="24"/>
          <w:u w:val="single"/>
        </w:rPr>
        <w:t xml:space="preserve">本次项目要求投标人在投标文件中提供“本次所投标准化考场系统产品均能与扬州市教育考试院现有标准化考场平台无缝对接”的承诺函。</w:t>
      </w:r>
      <w:r/>
    </w:p>
    <w:p>
      <w:pPr>
        <w:pStyle w:val="919"/>
        <w:jc w:val="center"/>
        <w:rPr>
          <w:b/>
          <w:bCs/>
        </w:rPr>
      </w:pPr>
      <w:r>
        <w:rPr>
          <w:b/>
          <w:bCs/>
        </w:rPr>
      </w:r>
      <w:r/>
    </w:p>
    <w:p>
      <w:pPr>
        <w:rPr>
          <w:b/>
          <w:bCs/>
        </w:rPr>
      </w:pPr>
      <w:r>
        <w:rPr>
          <w:b/>
          <w:bCs/>
        </w:rPr>
      </w:r>
      <w:r/>
    </w:p>
    <w:p>
      <w:pPr>
        <w:pStyle w:val="719"/>
        <w:rPr>
          <w:b/>
          <w:bCs/>
        </w:rPr>
      </w:pPr>
      <w:r>
        <w:rPr>
          <w:b/>
          <w:bCs/>
        </w:rPr>
      </w:r>
      <w:r/>
    </w:p>
    <w:p>
      <w:pPr>
        <w:rPr>
          <w:b/>
          <w:bCs/>
        </w:rPr>
      </w:pPr>
      <w:r>
        <w:rPr>
          <w:b/>
          <w:bCs/>
        </w:rPr>
      </w:r>
      <w:r/>
    </w:p>
    <w:p>
      <w:pPr>
        <w:rPr>
          <w:b/>
          <w:bCs/>
        </w:rPr>
      </w:pPr>
      <w:r>
        <w:rPr>
          <w:b/>
          <w:bCs/>
        </w:rPr>
      </w:r>
      <w:r/>
    </w:p>
    <w:p>
      <w:pPr>
        <w:pStyle w:val="719"/>
        <w:jc w:val="center"/>
        <w:rPr>
          <w:b/>
          <w:bCs/>
        </w:rPr>
      </w:pPr>
      <w:r>
        <w:rPr>
          <w:b/>
          <w:bCs/>
        </w:rPr>
      </w:r>
      <w:r/>
    </w:p>
    <w:p>
      <w:pPr>
        <w:rPr>
          <w:b/>
          <w:bCs/>
        </w:rPr>
      </w:pPr>
      <w:r>
        <w:rPr>
          <w:b/>
          <w:bCs/>
        </w:rPr>
      </w:r>
      <w:r/>
    </w:p>
    <w:p>
      <w:pPr>
        <w:pStyle w:val="719"/>
        <w:rPr>
          <w:b/>
          <w:bCs/>
        </w:rPr>
      </w:pPr>
      <w:r>
        <w:rPr>
          <w:b/>
          <w:bCs/>
        </w:rPr>
      </w:r>
      <w:r/>
    </w:p>
    <w:p>
      <w:pPr>
        <w:rPr>
          <w:b/>
          <w:bCs/>
        </w:rPr>
      </w:pPr>
      <w:r>
        <w:rPr>
          <w:b/>
          <w:bCs/>
        </w:rPr>
      </w:r>
      <w:r/>
    </w:p>
    <w:p>
      <w:pPr>
        <w:pStyle w:val="719"/>
        <w:rPr>
          <w:b/>
          <w:bCs/>
        </w:rPr>
      </w:pPr>
      <w:r>
        <w:rPr>
          <w:b/>
          <w:bCs/>
        </w:rPr>
      </w:r>
      <w:r/>
    </w:p>
    <w:p>
      <w:pPr>
        <w:rPr>
          <w:b/>
          <w:bCs/>
        </w:rPr>
      </w:pPr>
      <w:r>
        <w:rPr>
          <w:b/>
          <w:bCs/>
        </w:rPr>
      </w:r>
      <w:r/>
    </w:p>
    <w:p>
      <w:pPr>
        <w:pStyle w:val="719"/>
        <w:rPr>
          <w:b/>
          <w:bCs/>
        </w:rPr>
      </w:pPr>
      <w:r>
        <w:rPr>
          <w:b/>
          <w:bCs/>
        </w:rPr>
      </w:r>
      <w:r/>
    </w:p>
    <w:p>
      <w:pPr>
        <w:rPr>
          <w:b/>
          <w:bCs/>
        </w:rPr>
      </w:pPr>
      <w:r>
        <w:rPr>
          <w:b/>
          <w:bCs/>
        </w:rPr>
      </w:r>
      <w:r/>
    </w:p>
    <w:p>
      <w:pPr>
        <w:pStyle w:val="719"/>
      </w:pPr>
      <w:r/>
      <w:r/>
    </w:p>
    <w:p>
      <w:r/>
      <w:bookmarkEnd w:id="186"/>
      <w:bookmarkEnd w:id="187"/>
      <w:r/>
    </w:p>
    <w:p>
      <w:pPr>
        <w:jc w:val="center"/>
        <w:rPr>
          <w:rFonts w:ascii="黑体" w:hAnsi="黑体" w:eastAsia="黑体" w:cs="黑体"/>
          <w:b/>
          <w:bCs/>
          <w:sz w:val="44"/>
          <w:szCs w:val="44"/>
        </w:rPr>
      </w:pPr>
      <w:r/>
      <w:bookmarkStart w:id="189" w:name="_Toc1918"/>
      <w:r>
        <w:rPr>
          <w:rFonts w:hint="eastAsia" w:ascii="黑体" w:hAnsi="黑体" w:eastAsia="黑体" w:cs="黑体"/>
          <w:b/>
          <w:bCs/>
          <w:sz w:val="44"/>
          <w:szCs w:val="44"/>
        </w:rPr>
        <w:t xml:space="preserve">第五章  评标方法与评标标准</w:t>
      </w:r>
      <w:bookmarkEnd w:id="189"/>
      <w:r/>
      <w:r/>
    </w:p>
    <w:p>
      <w:r/>
      <w:r/>
    </w:p>
    <w:p>
      <w:pPr>
        <w:pStyle w:val="1019"/>
        <w:ind w:firstLine="439"/>
        <w:rPr>
          <w:rFonts w:cs="Arial"/>
          <w:color w:val="0000ff"/>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cs="Arial"/>
          <w:color w:val="0000ff"/>
        </w:rPr>
        <w:t xml:space="preserve">中标候选人</w:t>
      </w:r>
      <w:r>
        <w:rPr>
          <w:rFonts w:hint="eastAsia" w:cs="Arial"/>
          <w:color w:val="0000ff"/>
        </w:rPr>
        <w:t xml:space="preserve">。本项目推荐三名中标候选人。</w:t>
      </w:r>
      <w:r/>
    </w:p>
    <w:p>
      <w:pPr>
        <w:pStyle w:val="1019"/>
        <w:ind w:firstLine="441"/>
        <w:rPr>
          <w:rFonts w:ascii="宋体" w:hAnsi="宋体"/>
          <w:b/>
          <w:highlight w:val="yellow"/>
        </w:rPr>
      </w:pPr>
      <w:r>
        <w:rPr>
          <w:rFonts w:hint="eastAsia" w:ascii="宋体" w:hAnsi="宋体"/>
          <w:b/>
        </w:rPr>
        <w:t xml:space="preserve">政府采购政策功能落实</w:t>
      </w:r>
      <w:r/>
    </w:p>
    <w:p>
      <w:pPr>
        <w:pStyle w:val="1019"/>
        <w:spacing w:line="0" w:lineRule="atLeast"/>
        <w:rPr>
          <w:rFonts w:ascii="宋体" w:hAnsi="宋体"/>
        </w:rPr>
      </w:pPr>
      <w:r>
        <w:rPr>
          <w:rFonts w:hint="eastAsia" w:ascii="宋体" w:hAnsi="宋体"/>
        </w:rPr>
        <w:t xml:space="preserve">1、小微型企业价格扣除</w:t>
      </w:r>
      <w:r/>
    </w:p>
    <w:p>
      <w:pPr>
        <w:pStyle w:val="1019"/>
        <w:ind w:firstLine="360"/>
        <w:spacing w:line="0" w:lineRule="atLeast"/>
        <w:rPr>
          <w:rFonts w:ascii="宋体" w:hAnsi="宋体"/>
        </w:rPr>
      </w:pPr>
      <w:r>
        <w:rPr>
          <w:rFonts w:hint="eastAsia" w:ascii="宋体" w:hAnsi="宋体"/>
          <w:color w:val="0000ff"/>
        </w:rPr>
        <w:t xml:space="preserve">（1） </w:t>
      </w:r>
      <w:r>
        <w:rPr>
          <w:rFonts w:hint="eastAsia" w:ascii="宋体" w:hAnsi="宋体"/>
        </w:rPr>
        <w:t xml:space="preserve">对小型和微型企业提供的服务给予</w:t>
      </w:r>
      <w:r>
        <w:rPr>
          <w:rFonts w:hint="eastAsia" w:ascii="宋体" w:hAnsi="宋体"/>
          <w:color w:val="0000ff"/>
          <w:u w:val="single"/>
        </w:rPr>
        <w:t xml:space="preserve">20%</w:t>
      </w:r>
      <w:r>
        <w:rPr>
          <w:rFonts w:hint="eastAsia" w:ascii="宋体" w:hAnsi="宋体"/>
        </w:rPr>
        <w:t xml:space="preserve">的扣除价格，用扣除后的价格参与评审。</w:t>
      </w:r>
      <w:r/>
    </w:p>
    <w:p>
      <w:pPr>
        <w:pStyle w:val="1019"/>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19"/>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19"/>
        <w:spacing w:line="0" w:lineRule="atLeast"/>
        <w:rPr>
          <w:rFonts w:ascii="宋体" w:hAnsi="宋体"/>
        </w:rPr>
      </w:pPr>
      <w:r>
        <w:rPr>
          <w:rFonts w:hint="eastAsia" w:ascii="宋体" w:hAnsi="宋体"/>
        </w:rPr>
        <w:t xml:space="preserve">2、残疾人福利单位价格扣除</w:t>
      </w:r>
      <w:r/>
    </w:p>
    <w:p>
      <w:pPr>
        <w:pStyle w:val="1019"/>
        <w:ind w:left="120" w:firstLine="360"/>
        <w:spacing w:line="0" w:lineRule="atLeast"/>
        <w:rPr>
          <w:rFonts w:ascii="宋体" w:hAnsi="宋体"/>
        </w:rPr>
      </w:pPr>
      <w:r>
        <w:rPr>
          <w:rFonts w:hint="eastAsia" w:ascii="宋体" w:hAnsi="宋体"/>
          <w:color w:val="0000ff"/>
        </w:rPr>
        <w:t xml:space="preserve">（1）</w:t>
      </w:r>
      <w:r>
        <w:rPr>
          <w:rFonts w:hint="eastAsia" w:ascii="宋体" w:hAnsi="宋体"/>
        </w:rPr>
        <w:t xml:space="preserve">对残疾人福利性单位视同小型、微型企业，给予</w:t>
      </w:r>
      <w:r>
        <w:rPr>
          <w:rFonts w:hint="eastAsia" w:ascii="宋体" w:hAnsi="宋体"/>
          <w:color w:val="0000ff"/>
          <w:u w:val="single"/>
        </w:rPr>
        <w:t xml:space="preserve">20%</w:t>
      </w:r>
      <w:r>
        <w:rPr>
          <w:rFonts w:hint="eastAsia" w:ascii="宋体" w:hAnsi="宋体"/>
        </w:rPr>
        <w:t xml:space="preserve">的价格扣除，用扣除后的价格参与评审。</w:t>
      </w:r>
      <w:r/>
    </w:p>
    <w:p>
      <w:pPr>
        <w:pStyle w:val="1019"/>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19"/>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19"/>
        <w:spacing w:line="0" w:lineRule="atLeast"/>
        <w:rPr>
          <w:rFonts w:ascii="宋体" w:hAnsi="宋体"/>
        </w:rPr>
      </w:pPr>
      <w:r>
        <w:rPr>
          <w:rFonts w:hint="eastAsia" w:ascii="宋体" w:hAnsi="宋体"/>
        </w:rPr>
        <w:t xml:space="preserve">3、监狱和戒毒企业价格扣除</w:t>
      </w:r>
      <w:r/>
    </w:p>
    <w:p>
      <w:pPr>
        <w:pStyle w:val="1019"/>
        <w:spacing w:line="0" w:lineRule="atLeast"/>
        <w:rPr>
          <w:rFonts w:ascii="宋体" w:hAnsi="宋体"/>
        </w:rPr>
      </w:pPr>
      <w:r>
        <w:rPr>
          <w:rFonts w:hint="eastAsia" w:ascii="宋体" w:hAnsi="宋体"/>
          <w:color w:val="0000ff"/>
        </w:rPr>
        <w:t xml:space="preserve">（1）</w:t>
      </w:r>
      <w:r>
        <w:rPr>
          <w:rFonts w:hint="eastAsia" w:ascii="宋体" w:hAnsi="宋体"/>
        </w:rPr>
        <w:t xml:space="preserve">对监狱和戒毒企业（简称监狱企业）视同小型、微型企业，给予</w:t>
      </w:r>
      <w:r>
        <w:rPr>
          <w:rFonts w:hint="eastAsia" w:ascii="宋体" w:hAnsi="宋体"/>
          <w:color w:val="0000ff"/>
          <w:u w:val="single"/>
        </w:rPr>
        <w:t xml:space="preserve">20%</w:t>
      </w:r>
      <w:r>
        <w:rPr>
          <w:rFonts w:hint="eastAsia" w:ascii="宋体" w:hAnsi="宋体"/>
        </w:rPr>
        <w:t xml:space="preserve">的价格扣除，用扣除后的价格参与评审。</w:t>
      </w:r>
      <w:r/>
    </w:p>
    <w:p>
      <w:pPr>
        <w:pStyle w:val="1019"/>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9"/>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9"/>
        <w:spacing w:line="400" w:lineRule="exact"/>
        <w:rPr>
          <w:rFonts w:ascii="宋体" w:hAnsi="宋体"/>
        </w:rPr>
      </w:pPr>
      <w:r>
        <w:rPr>
          <w:rFonts w:hint="eastAsia" w:ascii="宋体" w:hAnsi="宋体"/>
        </w:rPr>
        <w:t xml:space="preserve">4、残疾人福利单位、监狱企业属于小型、微型企业的，不重复享受政策。</w:t>
      </w:r>
      <w:r/>
    </w:p>
    <w:p>
      <w:pPr>
        <w:pStyle w:val="1019"/>
        <w:spacing w:line="400" w:lineRule="exact"/>
        <w:rPr>
          <w:rFonts w:ascii="宋体" w:hAnsi="宋体"/>
        </w:rPr>
      </w:pPr>
      <w:r>
        <w:rPr>
          <w:rFonts w:hint="eastAsia" w:ascii="宋体" w:hAnsi="宋体"/>
        </w:rPr>
        <w:t xml:space="preserve">5、</w:t>
      </w:r>
      <w:r>
        <w:rPr>
          <w:rFonts w:hint="eastAsia" w:ascii="宋体" w:hAnsi="宋体"/>
          <w:color w:val="0000ff"/>
        </w:rPr>
        <w:t xml:space="preserve">如果同意</w:t>
      </w:r>
      <w:r>
        <w:rPr>
          <w:rFonts w:hint="eastAsia" w:ascii="宋体" w:hAnsi="宋体"/>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9"/>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color w:val="0000ff"/>
          <w:u w:val="single"/>
        </w:rPr>
        <w:t xml:space="preserve">20%</w:t>
      </w:r>
      <w:r>
        <w:rPr>
          <w:rFonts w:hint="eastAsia" w:ascii="宋体" w:hAnsi="宋体"/>
        </w:rPr>
        <w:t xml:space="preserve">价格扣除，用扣除后的价格参与评审。</w:t>
      </w:r>
      <w:r/>
    </w:p>
    <w:p>
      <w:pPr>
        <w:pStyle w:val="1019"/>
        <w:ind w:firstLine="482"/>
        <w:spacing w:line="0" w:lineRule="atLeast"/>
        <w:rPr>
          <w:rFonts w:ascii="宋体" w:hAnsi="宋体"/>
          <w:b/>
        </w:rPr>
      </w:pPr>
      <w:r>
        <w:rPr>
          <w:rFonts w:ascii="宋体" w:hAnsi="宋体"/>
          <w:b/>
        </w:rPr>
      </w:r>
      <w:r/>
    </w:p>
    <w:p>
      <w:pPr>
        <w:pStyle w:val="1019"/>
        <w:ind w:firstLine="482"/>
        <w:spacing w:line="0" w:lineRule="atLeast"/>
        <w:rPr>
          <w:rFonts w:ascii="宋体" w:hAnsi="宋体"/>
          <w:b/>
        </w:rPr>
      </w:pPr>
      <w:r>
        <w:rPr>
          <w:rFonts w:hint="eastAsia" w:ascii="宋体" w:hAnsi="宋体"/>
          <w:b/>
        </w:rPr>
        <w:t xml:space="preserve">评标方法与评标标准</w:t>
      </w:r>
      <w:r/>
    </w:p>
    <w:p>
      <w:r/>
      <w:r/>
    </w:p>
    <w:tbl>
      <w:tblPr>
        <w:tblStyle w:val="728"/>
        <w:tblW w:w="4998" w:type="pct"/>
        <w:tblInd w:w="-116" w:type="dxa"/>
        <w:tblLayout w:type="autofit"/>
        <w:tblCellMar>
          <w:left w:w="108" w:type="dxa"/>
          <w:top w:w="0" w:type="dxa"/>
          <w:right w:w="108" w:type="dxa"/>
          <w:bottom w:w="0" w:type="dxa"/>
        </w:tblCellMar>
        <w:tblLook w:val="04A0" w:firstRow="1" w:lastRow="0" w:firstColumn="1" w:lastColumn="0" w:noHBand="0" w:noVBand="1"/>
      </w:tblPr>
      <w:tblGrid>
        <w:gridCol w:w="708"/>
        <w:gridCol w:w="8457"/>
      </w:tblGrid>
      <w:tr>
        <w:trPr>
          <w:trHeight w:val="72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b/>
                <w:bCs/>
                <w:color w:val="000000"/>
                <w:sz w:val="24"/>
                <w:szCs w:val="24"/>
              </w:rPr>
            </w:pPr>
            <w:r>
              <w:rPr>
                <w:rStyle w:val="1032"/>
                <w:rFonts w:hint="default"/>
                <w:sz w:val="24"/>
                <w:szCs w:val="24"/>
                <w:lang w:bidi="ar"/>
              </w:rPr>
              <w:t xml:space="preserve">项  目</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center"/>
              <w:widowControl/>
              <w:rPr>
                <w:rFonts w:ascii="宋体" w:hAnsi="宋体" w:cs="宋体"/>
                <w:b/>
                <w:bCs/>
                <w:color w:val="000000"/>
                <w:sz w:val="24"/>
                <w:szCs w:val="24"/>
              </w:rPr>
            </w:pPr>
            <w:r>
              <w:rPr>
                <w:rStyle w:val="1032"/>
                <w:rFonts w:hint="default"/>
                <w:sz w:val="24"/>
                <w:szCs w:val="24"/>
                <w:lang w:bidi="ar"/>
              </w:rPr>
              <w:t xml:space="preserve">评  分  标  准</w:t>
            </w:r>
            <w:r/>
          </w:p>
        </w:tc>
      </w:tr>
      <w:tr>
        <w:trPr>
          <w:trHeight w:val="1152"/>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价格（30分）</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以满足招标文件要求的最低投标报价为评标基准价，得满分30分，其他投标报价=（评标基准价/其他投标报价）×30×100%。</w:t>
            </w:r>
            <w:r>
              <w:rPr>
                <w:rFonts w:hint="eastAsia" w:ascii="宋体" w:hAnsi="宋体" w:cs="宋体"/>
                <w:color w:val="000000"/>
                <w:sz w:val="24"/>
                <w:szCs w:val="24"/>
                <w:lang w:bidi="ar"/>
              </w:rPr>
              <w:t xml:space="preserve">                                                       </w:t>
            </w:r>
            <w:r/>
          </w:p>
        </w:tc>
      </w:tr>
      <w:tr>
        <w:trPr>
          <w:trHeight w:val="1152"/>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技术参数（45分）</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lang w:bidi="ar"/>
              </w:rPr>
              <w:t xml:space="preserve">投标人所投产品技术参数完全满足或优于招标文件第四章第三项【采购清单】参数要求得分，打</w:t>
            </w:r>
            <w:r>
              <w:rPr>
                <w:rStyle w:val="1034"/>
                <w:rFonts w:hint="default"/>
                <w:sz w:val="24"/>
                <w:szCs w:val="24"/>
                <w:lang w:bidi="ar"/>
              </w:rPr>
              <w:t xml:space="preserve">▲</w:t>
            </w:r>
            <w:r>
              <w:rPr>
                <w:rFonts w:hint="eastAsia" w:ascii="宋体" w:hAnsi="宋体" w:cs="宋体"/>
                <w:color w:val="000000"/>
                <w:sz w:val="24"/>
                <w:szCs w:val="24"/>
                <w:lang w:bidi="ar"/>
              </w:rPr>
              <w:t xml:space="preserve">项每有一项负偏离扣1.5分，扣完为止。未按要求提供配套证明材料视为负偏离，其他以投标人提供的《技术参数响应及偏离表》的响应偏离情况为准。</w:t>
            </w:r>
            <w:r/>
          </w:p>
        </w:tc>
      </w:tr>
      <w:tr>
        <w:trPr>
          <w:trHeight w:val="1440"/>
        </w:trPr>
        <w:tc>
          <w:tcPr>
            <w:tcBorders>
              <w:top w:val="single" w:color="000000" w:sz="4" w:space="0"/>
              <w:left w:val="single" w:color="000000" w:sz="4" w:space="0"/>
              <w:right w:val="single" w:color="000000" w:sz="4" w:space="0"/>
            </w:tcBorders>
            <w:tcW w:w="386"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实施方案（10分）</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投标人提出的项目实施方案（包括但不限于采购需求内容）</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优于招标文件相关要求的，得5分；</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符合招标文件相关要求的，得3分；</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不符合招标文件要求或没有相关内容的，得0分</w:t>
            </w:r>
            <w:r/>
          </w:p>
        </w:tc>
      </w:tr>
      <w:tr>
        <w:trPr>
          <w:trHeight w:val="828"/>
        </w:trPr>
        <w:tc>
          <w:tcPr>
            <w:tcBorders>
              <w:left w:val="single" w:color="000000" w:sz="4" w:space="0"/>
              <w:bottom w:val="none" w:color="000000" w:sz="4" w:space="0"/>
              <w:right w:val="single" w:color="000000" w:sz="4" w:space="0"/>
            </w:tcBorders>
            <w:tcW w:w="386"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投标人提供售后服务方案（包括但不限于采购需求内容）</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优于招标文件相关要求的，得5分；</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符合招标文件相关要求的，得3分；</w:t>
            </w:r>
            <w:r/>
          </w:p>
          <w:p>
            <w:pPr>
              <w:jc w:val="left"/>
              <w:widowControl/>
              <w:rPr>
                <w:rFonts w:ascii="宋体" w:hAnsi="宋体" w:cs="宋体"/>
                <w:color w:val="000000"/>
                <w:sz w:val="24"/>
                <w:szCs w:val="24"/>
                <w:lang w:bidi="ar"/>
              </w:rPr>
            </w:pPr>
            <w:r>
              <w:rPr>
                <w:rFonts w:hint="eastAsia" w:ascii="宋体" w:hAnsi="宋体" w:cs="宋体"/>
                <w:color w:val="000000"/>
                <w:sz w:val="24"/>
                <w:szCs w:val="24"/>
              </w:rPr>
              <w:t xml:space="preserve">不符合招标文件要求或没有相关内容的，得0分</w:t>
            </w:r>
            <w:r/>
          </w:p>
        </w:tc>
      </w:tr>
      <w:tr>
        <w:trPr>
          <w:trHeight w:val="1267"/>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企业实力（</w:t>
            </w:r>
            <w:r>
              <w:rPr>
                <w:rFonts w:hint="eastAsia" w:ascii="宋体" w:hAnsi="宋体" w:cs="宋体"/>
                <w:b/>
                <w:bCs/>
                <w:color w:val="000000"/>
                <w:sz w:val="24"/>
                <w:szCs w:val="24"/>
                <w:highlight w:val="none"/>
                <w:lang w:val="en-US" w:eastAsia="zh-CN" w:bidi="ar"/>
              </w:rPr>
              <w:t xml:space="preserve">8</w:t>
            </w:r>
            <w:r>
              <w:rPr>
                <w:rFonts w:hint="eastAsia" w:ascii="宋体" w:hAnsi="宋体" w:cs="宋体"/>
                <w:b/>
                <w:bCs/>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1、投标人具备ISO27001信息安全管理体系认证证书、ISO9001质量管理体系认证证书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ISO27040存储安全管理体系认证证书、ISO27701隐私信息管理体系认证证书，</w:t>
            </w:r>
            <w:r>
              <w:rPr>
                <w:rFonts w:hint="eastAsia" w:ascii="宋体" w:hAnsi="宋体" w:cs="宋体"/>
                <w:bCs/>
                <w:color w:val="000000"/>
                <w:sz w:val="24"/>
                <w:szCs w:val="24"/>
                <w:highlight w:val="none"/>
              </w:rPr>
              <w:t xml:space="preserve">提供相关证书扫描件上传，每提供一份证书得1分，不提供不得分，满分</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p>
          <w:p>
            <w:pPr>
              <w:rPr>
                <w:rFonts w:ascii="宋体" w:hAnsi="宋体" w:cs="宋体"/>
                <w:bCs/>
                <w:color w:val="000000"/>
                <w:sz w:val="24"/>
                <w:szCs w:val="24"/>
                <w:highlight w:val="none"/>
              </w:rPr>
            </w:pPr>
            <w:r>
              <w:rPr>
                <w:rFonts w:hint="eastAsia" w:ascii="宋体" w:hAnsi="宋体" w:cs="宋体"/>
                <w:color w:val="000000"/>
                <w:sz w:val="24"/>
                <w:szCs w:val="24"/>
                <w:highlight w:val="none"/>
              </w:rPr>
              <w:t xml:space="preserve">2、投标人具有CCRC信息安全服务资质认证证书（安全集成）三级服务资质及以上的，</w:t>
            </w:r>
            <w:r>
              <w:rPr>
                <w:rFonts w:hint="eastAsia" w:ascii="宋体" w:hAnsi="宋体" w:cs="宋体"/>
                <w:bCs/>
                <w:color w:val="000000"/>
                <w:sz w:val="24"/>
                <w:szCs w:val="24"/>
                <w:highlight w:val="none"/>
              </w:rPr>
              <w:t xml:space="preserve">提供相关证书扫描件上传得1分，不提供不得分；</w:t>
            </w:r>
            <w:r/>
          </w:p>
          <w:p>
            <w:pPr>
              <w:rPr>
                <w:sz w:val="24"/>
                <w:szCs w:val="24"/>
                <w:highlight w:val="none"/>
              </w:rPr>
            </w:pPr>
            <w:r>
              <w:rPr>
                <w:rFonts w:hint="eastAsia" w:ascii="宋体" w:hAnsi="宋体" w:cs="宋体"/>
                <w:color w:val="000000"/>
                <w:sz w:val="24"/>
                <w:szCs w:val="24"/>
                <w:highlight w:val="none"/>
              </w:rPr>
              <w:t xml:space="preserve">3、投标人提供售后服务认证证书，</w:t>
            </w:r>
            <w:r>
              <w:rPr>
                <w:rFonts w:hint="eastAsia" w:ascii="宋体" w:hAnsi="宋体" w:cs="宋体"/>
                <w:bCs/>
                <w:color w:val="000000"/>
                <w:sz w:val="24"/>
                <w:szCs w:val="24"/>
                <w:highlight w:val="none"/>
              </w:rPr>
              <w:t xml:space="preserve">提供相关证书扫描件上传得1分，不提供不得分；</w:t>
            </w:r>
            <w:r/>
          </w:p>
          <w:p>
            <w:pPr>
              <w:jc w:val="left"/>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4、投标人具有</w:t>
            </w:r>
            <w:r>
              <w:rPr>
                <w:rFonts w:hint="eastAsia" w:ascii="宋体" w:hAnsi="宋体" w:cs="宋体"/>
                <w:color w:val="000000"/>
                <w:sz w:val="24"/>
                <w:szCs w:val="24"/>
                <w:highlight w:val="none"/>
                <w:lang w:val="zh-CN"/>
              </w:rPr>
              <w:t xml:space="preserve">信息技术服务标准（ITSS）运行维护二级及以</w:t>
            </w:r>
            <w:r>
              <w:rPr>
                <w:rFonts w:hint="eastAsia" w:ascii="宋体" w:hAnsi="宋体" w:cs="宋体"/>
                <w:color w:val="000000"/>
                <w:sz w:val="24"/>
                <w:szCs w:val="24"/>
                <w:highlight w:val="none"/>
              </w:rPr>
              <w:t xml:space="preserve">上得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bCs/>
                <w:color w:val="000000"/>
                <w:sz w:val="24"/>
                <w:szCs w:val="24"/>
                <w:highlight w:val="none"/>
              </w:rPr>
              <w:t xml:space="preserve">不提供不得分；</w:t>
            </w:r>
            <w:r/>
          </w:p>
          <w:p>
            <w:pPr>
              <w:jc w:val="left"/>
              <w:widowControl/>
              <w:rPr>
                <w:rFonts w:hint="eastAsia"/>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投标产品属于财政部、生态环境部公布的‘环境标志产品品目清单’范围内的，投标人提供国家确定的认证机构出具的、处于有效期内的该环境标志产品认证证书复印件的，有1个得0.5分，最多得1分。</w:t>
            </w:r>
            <w:r/>
          </w:p>
        </w:tc>
      </w:tr>
      <w:tr>
        <w:trPr>
          <w:trHeight w:val="576"/>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项目人员配置（4分）</w:t>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1、投标人拟派项目经理具备信息系统项目管理师证书、注册信息安全专业人员证书（CISP），每提供一个得0.5分，最高得1分。</w:t>
            </w:r>
            <w:r/>
          </w:p>
        </w:tc>
      </w:tr>
      <w:tr>
        <w:trPr>
          <w:trHeight w:val="57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2、投标人拟派技术负责人具备高级智能化系统集成项目经理证书、信息安全保障人员认证证书（CISAW）书，每提供一个得0.5分，最高得1分。</w:t>
            </w:r>
            <w:r/>
          </w:p>
        </w:tc>
      </w:tr>
      <w:tr>
        <w:trPr>
          <w:trHeight w:val="57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3、项目组成员具有网络规划设计师证书、系统规划与管理师证书、网络工程师、IT服务工程师，每提供一个得0.5分，最高得2分；</w:t>
            </w:r>
            <w:r/>
          </w:p>
        </w:tc>
      </w:tr>
      <w:tr>
        <w:trPr>
          <w:trHeight w:val="864"/>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注：1）上述人员必须为投标人正式员工，投标人为其缴纳的近三个月内任意一个月带二维码核验的社保、医保缴纳证明，原件扫描上传，不提供或提供不全不得分。2）项目组成员同一人具有多个证书按一个计。（提供相关证书扫描件上传）</w:t>
            </w:r>
            <w:r/>
          </w:p>
        </w:tc>
      </w:tr>
      <w:tr>
        <w:trPr>
          <w:trHeight w:val="576"/>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ascii="宋体" w:hAnsi="宋体" w:cs="宋体"/>
                <w:b/>
                <w:bCs/>
                <w:color w:val="000000"/>
                <w:sz w:val="24"/>
                <w:szCs w:val="24"/>
              </w:rPr>
            </w:pPr>
            <w:r/>
            <w:bookmarkStart w:id="216" w:name="_GoBack"/>
            <w:r>
              <w:rPr>
                <w:rFonts w:hint="eastAsia" w:ascii="宋体" w:hAnsi="宋体" w:cs="宋体"/>
                <w:b/>
                <w:bCs/>
                <w:color w:val="000000"/>
                <w:sz w:val="24"/>
                <w:szCs w:val="24"/>
                <w:highlight w:val="none"/>
                <w:lang w:bidi="ar"/>
              </w:rPr>
              <w:t xml:space="preserve">业绩（</w:t>
            </w:r>
            <w:r>
              <w:rPr>
                <w:rFonts w:hint="eastAsia" w:ascii="宋体" w:hAnsi="宋体" w:cs="宋体"/>
                <w:b/>
                <w:bCs/>
                <w:color w:val="000000"/>
                <w:sz w:val="24"/>
                <w:szCs w:val="24"/>
                <w:highlight w:val="none"/>
                <w:lang w:val="en-US" w:eastAsia="zh-CN" w:bidi="ar"/>
              </w:rPr>
              <w:t xml:space="preserve">3</w:t>
            </w:r>
            <w:r>
              <w:rPr>
                <w:rFonts w:hint="eastAsia" w:ascii="宋体" w:hAnsi="宋体" w:cs="宋体"/>
                <w:b/>
                <w:bCs/>
                <w:color w:val="000000"/>
                <w:sz w:val="24"/>
                <w:szCs w:val="24"/>
                <w:highlight w:val="none"/>
                <w:lang w:bidi="ar"/>
              </w:rPr>
              <w:t xml:space="preserve">分）</w:t>
            </w:r>
            <w:bookmarkEnd w:id="216"/>
            <w:r/>
            <w:r/>
          </w:p>
        </w:tc>
        <w:tc>
          <w:tcPr>
            <w:tcBorders>
              <w:top w:val="single" w:color="000000" w:sz="4" w:space="0"/>
              <w:left w:val="single" w:color="000000" w:sz="4" w:space="0"/>
              <w:bottom w:val="single" w:color="000000" w:sz="4" w:space="0"/>
              <w:right w:val="single" w:color="000000" w:sz="4" w:space="0"/>
            </w:tcBorders>
            <w:tcW w:w="4613"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投标人提供2021年1月1日至今类似业绩，每提供一项得1分，本项最高得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分。（以合同签定的时间为准，须提供合同，原件扫描上传）</w:t>
            </w:r>
            <w:r/>
          </w:p>
        </w:tc>
      </w:tr>
    </w:tbl>
    <w:p>
      <w:r/>
      <w:r/>
    </w:p>
    <w:p>
      <w:r/>
      <w:r/>
    </w:p>
    <w:p>
      <w:r/>
      <w:r/>
    </w:p>
    <w:p>
      <w:r/>
      <w:r/>
    </w:p>
    <w:p>
      <w:r/>
      <w:r/>
    </w:p>
    <w:p>
      <w:r/>
      <w:r/>
    </w:p>
    <w:p>
      <w:r/>
      <w:r/>
    </w:p>
    <w:p>
      <w:pPr>
        <w:jc w:val="center"/>
      </w:pPr>
      <w:r/>
      <w:r/>
    </w:p>
    <w:p>
      <w:pPr>
        <w:pStyle w:val="1035"/>
      </w:pPr>
      <w:r/>
      <w:r/>
    </w:p>
    <w:p>
      <w:r/>
      <w:r/>
    </w:p>
    <w:p>
      <w:pPr>
        <w:pStyle w:val="1035"/>
      </w:pPr>
      <w:r/>
      <w:r/>
    </w:p>
    <w:p>
      <w:r/>
      <w:r/>
    </w:p>
    <w:p>
      <w:pPr>
        <w:pStyle w:val="1035"/>
      </w:pPr>
      <w:r/>
      <w:r/>
    </w:p>
    <w:p>
      <w:r/>
      <w:r/>
    </w:p>
    <w:p>
      <w:pPr>
        <w:pStyle w:val="1035"/>
      </w:pPr>
      <w:r/>
      <w:r/>
    </w:p>
    <w:p>
      <w:r/>
      <w:r/>
    </w:p>
    <w:p>
      <w:pPr>
        <w:pStyle w:val="1035"/>
      </w:pPr>
      <w:r/>
      <w:r/>
    </w:p>
    <w:p>
      <w:r/>
      <w:r/>
    </w:p>
    <w:p>
      <w:pPr>
        <w:pStyle w:val="1035"/>
      </w:pPr>
      <w:r/>
      <w:r/>
    </w:p>
    <w:p>
      <w:r/>
      <w:r/>
    </w:p>
    <w:p>
      <w:pPr>
        <w:pStyle w:val="1035"/>
      </w:pPr>
      <w:r/>
      <w:r/>
    </w:p>
    <w:p>
      <w:r/>
      <w:r/>
    </w:p>
    <w:p>
      <w:pPr>
        <w:pStyle w:val="1035"/>
      </w:pPr>
      <w:r/>
      <w:r/>
    </w:p>
    <w:p>
      <w:r/>
      <w:r/>
    </w:p>
    <w:p>
      <w:pPr>
        <w:pStyle w:val="1035"/>
      </w:pPr>
      <w:r/>
      <w:r/>
    </w:p>
    <w:p>
      <w:r/>
      <w:r/>
    </w:p>
    <w:p>
      <w:r/>
      <w:r/>
    </w:p>
    <w:p>
      <w:r/>
      <w:r/>
    </w:p>
    <w:p>
      <w:r/>
      <w:r/>
    </w:p>
    <w:p>
      <w:r/>
      <w:r/>
    </w:p>
    <w:p>
      <w:pPr>
        <w:pStyle w:val="733"/>
        <w:numPr>
          <w:ilvl w:val="0"/>
          <w:numId w:val="0"/>
        </w:numPr>
      </w:pPr>
      <w:r/>
      <w:r/>
    </w:p>
    <w:p>
      <w:pPr>
        <w:pStyle w:val="733"/>
        <w:numPr>
          <w:ilvl w:val="0"/>
          <w:numId w:val="0"/>
        </w:numPr>
        <w:jc w:val="center"/>
      </w:pPr>
      <w:r/>
      <w:r/>
    </w:p>
    <w:p>
      <w:pPr>
        <w:pStyle w:val="733"/>
        <w:numPr>
          <w:ilvl w:val="0"/>
          <w:numId w:val="0"/>
        </w:numPr>
        <w:jc w:val="center"/>
      </w:pPr>
      <w:r/>
      <w:r/>
    </w:p>
    <w:p>
      <w:pPr>
        <w:pStyle w:val="919"/>
        <w:rPr>
          <w:b/>
          <w:bCs/>
        </w:rPr>
      </w:pPr>
      <w:r/>
      <w:bookmarkStart w:id="190" w:name="_Toc13255"/>
      <w:r/>
      <w:bookmarkStart w:id="191" w:name="_Toc27232"/>
      <w:r>
        <w:rPr>
          <w:rFonts w:hint="eastAsia"/>
          <w:b/>
          <w:bCs/>
        </w:rPr>
        <w:t xml:space="preserve">第六章  投标</w:t>
      </w:r>
      <w:bookmarkEnd w:id="184"/>
      <w:r/>
      <w:bookmarkEnd w:id="185"/>
      <w:r/>
      <w:bookmarkEnd w:id="188"/>
      <w:r>
        <w:rPr>
          <w:rFonts w:hint="eastAsia"/>
          <w:b/>
          <w:bCs/>
        </w:rPr>
        <w:t xml:space="preserve">文件格式</w:t>
      </w:r>
      <w:bookmarkEnd w:id="190"/>
      <w:r/>
      <w:bookmarkEnd w:id="191"/>
      <w:r>
        <w:rPr>
          <w:rFonts w:hint="eastAsia"/>
          <w:b/>
          <w:bCs/>
        </w:rPr>
        <w:t xml:space="preserve"> </w:t>
      </w:r>
      <w:r/>
    </w:p>
    <w:p>
      <w:pPr>
        <w:jc w:val="center"/>
        <w:rPr>
          <w:rFonts w:ascii="宋体" w:hAnsi="宋体"/>
          <w:b/>
          <w:sz w:val="72"/>
        </w:rPr>
      </w:pPr>
      <w:r/>
      <w:bookmarkStart w:id="192" w:name="_Hlt26671244"/>
      <w:r/>
      <w:bookmarkEnd w:id="192"/>
      <w:r/>
      <w:bookmarkStart w:id="193" w:name="_Hlt26955039"/>
      <w:r/>
      <w:bookmarkEnd w:id="193"/>
      <w:r/>
      <w:bookmarkStart w:id="194" w:name="_Toc120614282"/>
      <w:r/>
      <w:bookmarkStart w:id="195" w:name="_Toc49090576"/>
      <w:r/>
      <w:bookmarkStart w:id="196" w:name="_Toc26554094"/>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color w:val="0000ff"/>
          <w:sz w:val="24"/>
          <w:u w:val="single"/>
        </w:rPr>
      </w:pPr>
      <w:r>
        <w:rPr>
          <w:rFonts w:hint="eastAsia" w:ascii="宋体" w:hAnsi="宋体"/>
          <w:i/>
          <w:color w:val="0000ff"/>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color w:val="0000ff"/>
          <w:sz w:val="24"/>
        </w:rPr>
      </w:pPr>
      <w:r>
        <w:rPr>
          <w:rFonts w:hint="eastAsia" w:ascii="宋体" w:hAnsi="宋体"/>
          <w:color w:val="0000ff"/>
          <w:sz w:val="24"/>
        </w:rPr>
        <w:t xml:space="preserve">十、企业报价折扣证明（中小企业声明函、残疾人福利性单位声明函）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color w:val="0000ff"/>
          <w:sz w:val="24"/>
        </w:rPr>
      </w:pPr>
      <w:r>
        <w:rPr>
          <w:rFonts w:hint="eastAsia" w:ascii="宋体" w:hAnsi="宋体"/>
          <w:sz w:val="24"/>
        </w:rPr>
        <w:t xml:space="preserve">十二、投标分项报价表  </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color w:val="0000ff"/>
          <w:sz w:val="24"/>
        </w:rPr>
      </w:pPr>
      <w:r>
        <w:rPr>
          <w:rFonts w:hint="eastAsia" w:ascii="宋体" w:hAnsi="宋体"/>
          <w:iCs/>
          <w:color w:val="0000ff"/>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194"/>
      <w:r/>
      <w:bookmarkEnd w:id="195"/>
      <w:r/>
      <w:bookmarkEnd w:id="196"/>
      <w:r/>
      <w:r/>
    </w:p>
    <w:p>
      <w:pPr>
        <w:ind w:firstLine="480"/>
        <w:rPr>
          <w:rFonts w:ascii="宋体" w:hAnsi="宋体"/>
          <w:bCs/>
          <w:sz w:val="24"/>
        </w:rPr>
      </w:pPr>
      <w:r/>
      <w:bookmarkStart w:id="197"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21"/>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numPr>
          <w:ilvl w:val="0"/>
          <w:numId w:val="5"/>
        </w:numPr>
        <w:rPr>
          <w:rFonts w:ascii="黑体" w:hAnsi="黑体" w:eastAsia="黑体"/>
          <w:i/>
          <w:color w:val="0000ff"/>
          <w:sz w:val="32"/>
          <w:szCs w:val="32"/>
          <w:u w:val="single"/>
        </w:rPr>
      </w:pPr>
      <w:r>
        <w:rPr>
          <w:rFonts w:hint="eastAsia" w:ascii="黑体" w:hAnsi="黑体" w:eastAsia="黑体"/>
          <w:i/>
          <w:color w:val="0000ff"/>
          <w:sz w:val="32"/>
          <w:szCs w:val="32"/>
          <w:u w:val="single"/>
        </w:rPr>
        <w:t xml:space="preserve">供应商信用承诺函</w:t>
      </w:r>
      <w:r/>
    </w:p>
    <w:p>
      <w:pPr>
        <w:jc w:val="center"/>
        <w:spacing w:line="500" w:lineRule="exact"/>
        <w:rPr>
          <w:rFonts w:ascii="宋体" w:hAnsi="宋体" w:eastAsia="等线"/>
          <w:b/>
          <w:color w:val="0000ff"/>
          <w:sz w:val="24"/>
          <w:szCs w:val="24"/>
        </w:rPr>
      </w:pPr>
      <w:r>
        <w:rPr>
          <w:rFonts w:hint="eastAsia" w:ascii="宋体" w:hAnsi="宋体" w:eastAsia="等线"/>
          <w:b/>
          <w:color w:val="0000ff"/>
          <w:sz w:val="24"/>
          <w:szCs w:val="24"/>
        </w:rPr>
        <w:t xml:space="preserve">供应商信用承诺函</w:t>
      </w:r>
      <w:r/>
    </w:p>
    <w:p>
      <w:pPr>
        <w:spacing w:line="500" w:lineRule="exact"/>
        <w:rPr>
          <w:rFonts w:ascii="方正仿宋_GBK" w:hAnsi="等线" w:eastAsia="等线"/>
          <w:color w:val="0000ff"/>
          <w:sz w:val="24"/>
          <w:szCs w:val="24"/>
        </w:rPr>
      </w:pPr>
      <w:r>
        <w:rPr>
          <w:rFonts w:ascii="方正仿宋_GBK" w:hAnsi="等线" w:eastAsia="等线"/>
          <w:color w:val="0000ff"/>
          <w:sz w:val="24"/>
          <w:szCs w:val="24"/>
        </w:rPr>
      </w:r>
      <w:r/>
    </w:p>
    <w:p>
      <w:pPr>
        <w:spacing w:line="560" w:lineRule="exact"/>
        <w:rPr>
          <w:rFonts w:ascii="宋体" w:hAnsi="宋体" w:cs="宋体"/>
          <w:color w:val="0000ff"/>
          <w:sz w:val="24"/>
          <w:szCs w:val="24"/>
        </w:rPr>
      </w:pPr>
      <w:r>
        <w:rPr>
          <w:rFonts w:hint="eastAsia" w:ascii="宋体" w:hAnsi="宋体" w:cs="宋体"/>
          <w:color w:val="0000ff"/>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24"/>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4"/>
        <w:ind w:firstLine="480"/>
        <w:rPr>
          <w:sz w:val="24"/>
          <w:szCs w:val="24"/>
        </w:rPr>
      </w:pPr>
      <w:r>
        <w:rPr>
          <w:rFonts w:hint="eastAsia"/>
          <w:sz w:val="24"/>
          <w:szCs w:val="24"/>
        </w:rPr>
        <w:t xml:space="preserve">本授权书于______年____月____日起生效，特此声明。</w:t>
      </w:r>
      <w:r/>
    </w:p>
    <w:p>
      <w:pPr>
        <w:pStyle w:val="102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4"/>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2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24"/>
        <w:ind w:firstLine="480"/>
        <w:rPr>
          <w:sz w:val="24"/>
          <w:szCs w:val="24"/>
        </w:rPr>
      </w:pPr>
      <w:r>
        <w:rPr>
          <w:rFonts w:hint="eastAsia"/>
          <w:sz w:val="24"/>
          <w:szCs w:val="24"/>
        </w:rPr>
        <w:t xml:space="preserve">      日期：</w:t>
      </w:r>
      <w:bookmarkStart w:id="198" w:name="_Hlt26955070"/>
      <w:r/>
      <w:bookmarkEnd w:id="198"/>
      <w:r/>
      <w:bookmarkStart w:id="199" w:name="_格式3__银行出具的资信证明"/>
      <w:r/>
      <w:bookmarkEnd w:id="199"/>
      <w:r/>
      <w:bookmarkStart w:id="200" w:name="_Hlt26671380"/>
      <w:r/>
      <w:bookmarkEnd w:id="200"/>
      <w:r>
        <w:rPr>
          <w:rFonts w:hint="eastAsia"/>
          <w:sz w:val="24"/>
          <w:szCs w:val="24"/>
          <w:u w:val="single"/>
        </w:rPr>
        <w:t xml:space="preserve">                                         </w:t>
      </w:r>
      <w:r/>
    </w:p>
    <w:p>
      <w:pPr>
        <w:pStyle w:val="921"/>
        <w:rPr>
          <w:i/>
          <w:sz w:val="24"/>
          <w:szCs w:val="24"/>
          <w:u w:val="single"/>
        </w:rPr>
      </w:pPr>
      <w:r>
        <w:rPr>
          <w:i/>
          <w:sz w:val="24"/>
          <w:szCs w:val="24"/>
          <w:u w:val="single"/>
        </w:rPr>
      </w:r>
      <w:r/>
    </w:p>
    <w:p>
      <w:pPr>
        <w:rPr>
          <w:rFonts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九、投标函</w:t>
      </w:r>
      <w:r/>
    </w:p>
    <w:p>
      <w:pPr>
        <w:pStyle w:val="1019"/>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019"/>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19"/>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19"/>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1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1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9"/>
        <w:ind w:left="420"/>
        <w:spacing w:before="0" w:after="0" w:line="420" w:lineRule="exact"/>
        <w:rPr>
          <w:rFonts w:ascii="宋体" w:hAnsi="宋体"/>
          <w:szCs w:val="21"/>
        </w:rPr>
      </w:pPr>
      <w:r>
        <w:rPr>
          <w:rFonts w:hint="eastAsia" w:ascii="宋体" w:hAnsi="宋体"/>
          <w:szCs w:val="21"/>
        </w:rPr>
        <w:t xml:space="preserve">地          址：</w:t>
      </w:r>
      <w:r/>
    </w:p>
    <w:p>
      <w:pPr>
        <w:pStyle w:val="1019"/>
        <w:ind w:left="420"/>
        <w:spacing w:before="0" w:after="0" w:line="420" w:lineRule="exact"/>
        <w:rPr>
          <w:rFonts w:ascii="宋体" w:hAnsi="宋体"/>
          <w:szCs w:val="21"/>
        </w:rPr>
      </w:pPr>
      <w:r>
        <w:rPr>
          <w:rFonts w:hint="eastAsia" w:ascii="宋体" w:hAnsi="宋体"/>
          <w:szCs w:val="21"/>
        </w:rPr>
        <w:t xml:space="preserve">邮          编：</w:t>
      </w:r>
      <w:r/>
    </w:p>
    <w:p>
      <w:pPr>
        <w:pStyle w:val="1019"/>
        <w:ind w:left="420"/>
        <w:spacing w:before="0" w:after="0" w:line="420" w:lineRule="exact"/>
        <w:rPr>
          <w:rFonts w:ascii="宋体" w:hAnsi="宋体"/>
          <w:szCs w:val="21"/>
        </w:rPr>
      </w:pPr>
      <w:r>
        <w:rPr>
          <w:rFonts w:hint="eastAsia" w:ascii="宋体" w:hAnsi="宋体"/>
          <w:szCs w:val="21"/>
        </w:rPr>
        <w:t xml:space="preserve">电          话：</w:t>
      </w:r>
      <w:r/>
    </w:p>
    <w:p>
      <w:pPr>
        <w:pStyle w:val="1019"/>
        <w:ind w:left="420"/>
        <w:spacing w:before="0" w:after="0" w:line="420" w:lineRule="exact"/>
        <w:rPr>
          <w:rFonts w:ascii="宋体" w:hAnsi="宋体"/>
          <w:szCs w:val="21"/>
        </w:rPr>
      </w:pPr>
      <w:r>
        <w:rPr>
          <w:rFonts w:hint="eastAsia" w:ascii="宋体" w:hAnsi="宋体"/>
          <w:szCs w:val="21"/>
        </w:rPr>
        <w:t xml:space="preserve">传          真：</w:t>
      </w:r>
      <w:r/>
    </w:p>
    <w:p>
      <w:pPr>
        <w:pStyle w:val="1019"/>
        <w:ind w:left="420"/>
        <w:spacing w:before="0" w:after="0" w:line="420" w:lineRule="exact"/>
        <w:rPr>
          <w:rFonts w:ascii="宋体" w:hAnsi="宋体"/>
          <w:szCs w:val="21"/>
        </w:rPr>
      </w:pPr>
      <w:r>
        <w:rPr>
          <w:rFonts w:hint="eastAsia" w:ascii="宋体" w:hAnsi="宋体"/>
          <w:szCs w:val="21"/>
        </w:rPr>
        <w:t xml:space="preserve">投标人开户行：</w:t>
      </w:r>
      <w:r/>
    </w:p>
    <w:p>
      <w:pPr>
        <w:pStyle w:val="1019"/>
        <w:ind w:left="420"/>
        <w:spacing w:before="0" w:after="0" w:line="420" w:lineRule="exact"/>
        <w:rPr>
          <w:rFonts w:ascii="宋体" w:hAnsi="宋体"/>
          <w:szCs w:val="21"/>
        </w:rPr>
      </w:pPr>
      <w:r>
        <w:rPr>
          <w:rFonts w:hint="eastAsia" w:ascii="宋体" w:hAnsi="宋体"/>
          <w:szCs w:val="21"/>
        </w:rPr>
        <w:t xml:space="preserve">账          号： </w:t>
      </w:r>
      <w:r/>
    </w:p>
    <w:p>
      <w:pPr>
        <w:pStyle w:val="1019"/>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bookmarkStart w:id="201" w:name="_Toc150519795"/>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jc w:val="center"/>
        <w:rPr>
          <w:b/>
          <w:bCs/>
          <w:color w:val="0070c0"/>
        </w:rPr>
      </w:pPr>
      <w:r>
        <w:rPr>
          <w:rFonts w:hint="eastAsia"/>
          <w:b/>
          <w:bCs/>
          <w:color w:val="0070c0"/>
        </w:rPr>
        <w:t xml:space="preserve">中小微企业划型标准</w:t>
      </w:r>
      <w:bookmarkEnd w:id="201"/>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28"/>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十二、投标分项报价表（）</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532"/>
        <w:gridCol w:w="657"/>
        <w:gridCol w:w="682"/>
        <w:gridCol w:w="758"/>
        <w:gridCol w:w="1214"/>
        <w:gridCol w:w="649"/>
        <w:gridCol w:w="700"/>
        <w:gridCol w:w="67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2"/>
        </w:rPr>
        <w:t xml:space="preserve">“</w:t>
      </w:r>
      <w:r>
        <w:rPr>
          <w:rFonts w:ascii="宋体" w:hAnsi="宋体" w:cs="宋体"/>
          <w:color w:val="000000"/>
          <w:sz w:val="24"/>
        </w:rPr>
        <w:t xml:space="preserve">投标分项报价表</w:t>
      </w:r>
      <w:r>
        <w:rPr>
          <w:rFonts w:ascii="宋体" w:hAnsi="宋体" w:cs="宋体"/>
          <w:color w:val="000000"/>
          <w:sz w:val="22"/>
        </w:rPr>
        <w:t xml:space="preserve">”</w:t>
      </w:r>
      <w:r>
        <w:rPr>
          <w:rFonts w:ascii="宋体" w:hAnsi="宋体" w:cs="宋体"/>
          <w:color w:val="000000"/>
          <w:sz w:val="24"/>
        </w:rPr>
        <w:t xml:space="preserve">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197"/>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02" w:name="_Hlt26955054"/>
      <w:r/>
      <w:bookmarkEnd w:id="202"/>
      <w:r>
        <w:rPr>
          <w:rFonts w:hint="eastAsia" w:ascii="黑体" w:hAnsi="黑体" w:eastAsia="黑体"/>
          <w:b/>
          <w:sz w:val="32"/>
          <w:szCs w:val="32"/>
        </w:rPr>
        <w:t xml:space="preserve">十四、商务要求响应及偏离表（分包号：**）</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03" w:name="_Hlt26671372"/>
            <w:r/>
            <w:bookmarkEnd w:id="203"/>
            <w:r/>
            <w:bookmarkStart w:id="204" w:name="_Hlt26955064"/>
            <w:r/>
            <w:bookmarkEnd w:id="204"/>
            <w:r/>
            <w:bookmarkStart w:id="205" w:name="_Hlt26782999"/>
            <w:r/>
            <w:bookmarkEnd w:id="205"/>
            <w:r/>
            <w:bookmarkStart w:id="206" w:name="_Hlt26580838"/>
            <w:r/>
            <w:bookmarkEnd w:id="206"/>
            <w:r/>
            <w:bookmarkStart w:id="207" w:name="_Hlt24879081"/>
            <w:r/>
            <w:bookmarkEnd w:id="207"/>
            <w:r/>
            <w:bookmarkStart w:id="208" w:name="_Hlt26955056"/>
            <w:r/>
            <w:bookmarkEnd w:id="208"/>
            <w:r/>
            <w:bookmarkStart w:id="209" w:name="_Hlt26609391"/>
            <w:r/>
            <w:bookmarkEnd w:id="209"/>
            <w:r/>
            <w:bookmarkStart w:id="210" w:name="_Hlt26671343"/>
            <w:r/>
            <w:bookmarkEnd w:id="210"/>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21"/>
        <w:ind w:firstLine="0"/>
        <w:rPr>
          <w:rFonts w:ascii="宋体" w:hAnsi="宋体"/>
          <w:sz w:val="24"/>
        </w:rPr>
      </w:pPr>
      <w:r/>
      <w:bookmarkStart w:id="211" w:name="_Hlt26609389"/>
      <w:r/>
      <w:bookmarkEnd w:id="211"/>
      <w:r/>
      <w:bookmarkStart w:id="212" w:name="_Hlt26955066"/>
      <w:r/>
      <w:bookmarkEnd w:id="212"/>
      <w:r/>
      <w:bookmarkStart w:id="213" w:name="_Toc462564146"/>
      <w:r/>
      <w:bookmarkEnd w:id="213"/>
      <w:r/>
      <w:bookmarkStart w:id="214" w:name="_Hlt26671374"/>
      <w:r/>
      <w:bookmarkEnd w:id="214"/>
      <w:r/>
      <w:r/>
    </w:p>
    <w:p>
      <w:pPr>
        <w:jc w:val="center"/>
        <w:rPr>
          <w:rFonts w:ascii="黑体" w:hAnsi="黑体" w:eastAsia="黑体"/>
          <w:b/>
          <w:sz w:val="32"/>
          <w:szCs w:val="32"/>
        </w:rPr>
      </w:pPr>
      <w:r/>
      <w:bookmarkStart w:id="215" w:name="_格式2__法定代表人授权书"/>
      <w:r/>
      <w:bookmarkEnd w:id="215"/>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9"/>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019"/>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rPr>
          <w:rFonts w:ascii="黑体" w:hAnsi="黑体" w:eastAsia="黑体"/>
          <w:b/>
          <w:iCs/>
          <w:color w:val="0b5fd1"/>
          <w:sz w:val="32"/>
          <w:szCs w:val="32"/>
        </w:rPr>
      </w:pPr>
      <w:r>
        <w:rPr>
          <w:rFonts w:hint="eastAsia" w:ascii="黑体" w:hAnsi="黑体" w:eastAsia="黑体"/>
          <w:b/>
          <w:iCs/>
          <w:color w:val="0b5fd1"/>
          <w:sz w:val="32"/>
          <w:szCs w:val="32"/>
        </w:rPr>
        <w:t xml:space="preserve">十六、主要标的信息</w:t>
      </w:r>
      <w:r/>
    </w:p>
    <w:p>
      <w:pPr>
        <w:jc w:val="center"/>
        <w:spacing w:before="312" w:line="360" w:lineRule="auto"/>
        <w:rPr>
          <w:rFonts w:ascii="宋体" w:hAnsi="宋体"/>
          <w:b/>
          <w:color w:val="0b5fd1"/>
        </w:rPr>
      </w:pPr>
      <w:r>
        <w:rPr>
          <w:rFonts w:hint="eastAsia" w:ascii="宋体" w:hAnsi="宋体"/>
          <w:b/>
          <w:color w:val="0b5fd1"/>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1"/>
        <w:rPr>
          <w:sz w:val="24"/>
          <w:szCs w:val="24"/>
        </w:rPr>
      </w:pPr>
      <w:r>
        <w:rPr>
          <w:sz w:val="24"/>
          <w:szCs w:val="24"/>
        </w:rPr>
      </w:r>
      <w:r/>
    </w:p>
    <w:p>
      <w:pPr>
        <w:pStyle w:val="92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rFonts w:hint="eastAsia"/>
      </w:rPr>
      <w:t xml:space="preserve">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3">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7" w:default="1">
    <w:name w:val="Normal"/>
    <w:next w:val="719"/>
    <w:uiPriority w:val="0"/>
    <w:qFormat/>
    <w:pPr>
      <w:jc w:val="both"/>
      <w:widowControl w:val="off"/>
    </w:pPr>
    <w:rPr>
      <w:rFonts w:ascii="Times New Roman" w:hAnsi="Times New Roman" w:eastAsia="宋体" w:cs="Times New Roman"/>
      <w:sz w:val="21"/>
      <w:szCs w:val="21"/>
      <w:lang w:val="en-US" w:eastAsia="zh-CN" w:bidi="ar-SA"/>
    </w:rPr>
  </w:style>
  <w:style w:type="paragraph" w:styleId="718">
    <w:name w:val="Heading 1"/>
    <w:basedOn w:val="717"/>
    <w:next w:val="717"/>
    <w:link w:val="771"/>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72"/>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29"/>
    <w:link w:val="77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29"/>
    <w:link w:val="77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75"/>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7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7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79"/>
    <w:uiPriority w:val="9"/>
    <w:unhideWhenUsed/>
    <w:qFormat/>
    <w:pPr>
      <w:keepLines/>
      <w:keepNext/>
      <w:spacing w:before="320" w:after="200"/>
      <w:outlineLvl w:val="8"/>
    </w:pPr>
    <w:rPr>
      <w:rFonts w:ascii="Arial" w:hAnsi="Arial" w:eastAsia="Arial" w:cs="Arial"/>
      <w:i/>
      <w:iCs/>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Normal Indent"/>
    <w:basedOn w:val="717"/>
    <w:uiPriority w:val="0"/>
    <w:qFormat/>
    <w:pPr>
      <w:ind w:firstLine="420"/>
    </w:pPr>
  </w:style>
  <w:style w:type="paragraph" w:styleId="730">
    <w:name w:val="toc 7"/>
    <w:basedOn w:val="717"/>
    <w:next w:val="717"/>
    <w:uiPriority w:val="39"/>
    <w:unhideWhenUsed/>
    <w:qFormat/>
    <w:pPr>
      <w:ind w:left="1701"/>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7"/>
    <w:uiPriority w:val="0"/>
    <w:qFormat/>
    <w:pPr>
      <w:spacing w:after="120"/>
    </w:pPr>
    <w:rPr>
      <w:rFonts w:ascii="Calibri" w:hAnsi="Calibri"/>
      <w:szCs w:val="22"/>
    </w:rPr>
  </w:style>
  <w:style w:type="paragraph" w:styleId="733">
    <w:name w:val="List Bullet 2"/>
    <w:basedOn w:val="717"/>
    <w:uiPriority w:val="99"/>
    <w:semiHidden/>
    <w:unhideWhenUsed/>
    <w:qFormat/>
    <w:pPr>
      <w:numPr>
        <w:ilvl w:val="0"/>
        <w:numId w:val="1"/>
      </w:numPr>
    </w:pPr>
  </w:style>
  <w:style w:type="paragraph" w:styleId="734">
    <w:name w:val="toc 5"/>
    <w:basedOn w:val="717"/>
    <w:next w:val="717"/>
    <w:uiPriority w:val="39"/>
    <w:unhideWhenUsed/>
    <w:qFormat/>
    <w:pPr>
      <w:ind w:left="1134"/>
      <w:spacing w:after="57"/>
    </w:pPr>
  </w:style>
  <w:style w:type="paragraph" w:styleId="735">
    <w:name w:val="toc 3"/>
    <w:basedOn w:val="717"/>
    <w:next w:val="717"/>
    <w:uiPriority w:val="39"/>
    <w:unhideWhenUsed/>
    <w:qFormat/>
    <w:pPr>
      <w:ind w:left="567"/>
      <w:spacing w:after="57"/>
    </w:pPr>
  </w:style>
  <w:style w:type="paragraph" w:styleId="736">
    <w:name w:val="toc 8"/>
    <w:basedOn w:val="717"/>
    <w:next w:val="717"/>
    <w:uiPriority w:val="39"/>
    <w:unhideWhenUsed/>
    <w:qFormat/>
    <w:pPr>
      <w:ind w:left="1984"/>
      <w:spacing w:after="57"/>
    </w:pPr>
  </w:style>
  <w:style w:type="paragraph" w:styleId="737">
    <w:name w:val="endnote text"/>
    <w:basedOn w:val="717"/>
    <w:link w:val="917"/>
    <w:uiPriority w:val="99"/>
    <w:semiHidden/>
    <w:unhideWhenUsed/>
    <w:qFormat/>
    <w:rPr>
      <w:sz w:val="20"/>
    </w:rPr>
  </w:style>
  <w:style w:type="paragraph" w:styleId="738">
    <w:name w:val="Footer"/>
    <w:basedOn w:val="717"/>
    <w:link w:val="790"/>
    <w:uiPriority w:val="99"/>
    <w:unhideWhenUsed/>
    <w:qFormat/>
    <w:pPr>
      <w:tabs>
        <w:tab w:val="center" w:pos="7143" w:leader="none"/>
        <w:tab w:val="right" w:pos="14287" w:leader="none"/>
      </w:tabs>
    </w:pPr>
  </w:style>
  <w:style w:type="paragraph" w:styleId="739">
    <w:name w:val="Header"/>
    <w:basedOn w:val="717"/>
    <w:link w:val="788"/>
    <w:uiPriority w:val="99"/>
    <w:unhideWhenUsed/>
    <w:qFormat/>
    <w:pPr>
      <w:tabs>
        <w:tab w:val="center" w:pos="7143" w:leader="none"/>
        <w:tab w:val="right" w:pos="14287" w:leader="none"/>
      </w:tabs>
    </w:pPr>
  </w:style>
  <w:style w:type="paragraph" w:styleId="740">
    <w:name w:val="toc 1"/>
    <w:basedOn w:val="717"/>
    <w:next w:val="717"/>
    <w:uiPriority w:val="39"/>
    <w:unhideWhenUsed/>
    <w:qFormat/>
    <w:pPr>
      <w:spacing w:after="57"/>
    </w:pPr>
  </w:style>
  <w:style w:type="paragraph" w:styleId="741">
    <w:name w:val="toc 4"/>
    <w:basedOn w:val="717"/>
    <w:next w:val="717"/>
    <w:uiPriority w:val="39"/>
    <w:unhideWhenUsed/>
    <w:qFormat/>
    <w:pPr>
      <w:ind w:left="850"/>
      <w:spacing w:after="57"/>
    </w:pPr>
  </w:style>
  <w:style w:type="paragraph" w:styleId="742">
    <w:name w:val="Subtitle"/>
    <w:basedOn w:val="717"/>
    <w:next w:val="717"/>
    <w:link w:val="783"/>
    <w:uiPriority w:val="11"/>
    <w:qFormat/>
    <w:pPr>
      <w:spacing w:before="200" w:after="200"/>
    </w:pPr>
    <w:rPr>
      <w:sz w:val="24"/>
      <w:szCs w:val="24"/>
    </w:rPr>
  </w:style>
  <w:style w:type="paragraph" w:styleId="743">
    <w:name w:val="footnote text"/>
    <w:basedOn w:val="717"/>
    <w:link w:val="916"/>
    <w:uiPriority w:val="99"/>
    <w:semiHidden/>
    <w:unhideWhenUsed/>
    <w:qFormat/>
    <w:pPr>
      <w:spacing w:after="40"/>
    </w:pPr>
    <w:rPr>
      <w:sz w:val="18"/>
    </w:rPr>
  </w:style>
  <w:style w:type="paragraph" w:styleId="744">
    <w:name w:val="toc 6"/>
    <w:basedOn w:val="717"/>
    <w:next w:val="717"/>
    <w:uiPriority w:val="39"/>
    <w:unhideWhenUsed/>
    <w:qFormat/>
    <w:pPr>
      <w:ind w:left="1417"/>
      <w:spacing w:after="57"/>
    </w:pPr>
  </w:style>
  <w:style w:type="paragraph" w:styleId="745">
    <w:name w:val="table of figures"/>
    <w:basedOn w:val="717"/>
    <w:next w:val="717"/>
    <w:uiPriority w:val="99"/>
    <w:unhideWhenUsed/>
    <w:qFormat/>
  </w:style>
  <w:style w:type="paragraph" w:styleId="746">
    <w:name w:val="toc 2"/>
    <w:basedOn w:val="717"/>
    <w:next w:val="717"/>
    <w:uiPriority w:val="39"/>
    <w:unhideWhenUsed/>
    <w:qFormat/>
    <w:pPr>
      <w:ind w:left="283"/>
      <w:spacing w:after="57"/>
    </w:pPr>
  </w:style>
  <w:style w:type="paragraph" w:styleId="747">
    <w:name w:val="toc 9"/>
    <w:basedOn w:val="717"/>
    <w:next w:val="717"/>
    <w:uiPriority w:val="39"/>
    <w:unhideWhenUsed/>
    <w:qFormat/>
    <w:pPr>
      <w:ind w:left="2268"/>
      <w:spacing w:after="57"/>
    </w:pPr>
  </w:style>
  <w:style w:type="paragraph" w:styleId="748">
    <w:name w:val="Title"/>
    <w:basedOn w:val="717"/>
    <w:next w:val="717"/>
    <w:link w:val="782"/>
    <w:uiPriority w:val="10"/>
    <w:qFormat/>
    <w:pPr>
      <w:contextualSpacing/>
      <w:spacing w:before="300" w:after="200"/>
    </w:pPr>
    <w:rPr>
      <w:sz w:val="48"/>
      <w:szCs w:val="48"/>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character" w:styleId="753" w:customStyle="1">
    <w:name w:val="Heading 1 Char"/>
    <w:basedOn w:val="727"/>
    <w:uiPriority w:val="9"/>
    <w:qFormat/>
    <w:rPr>
      <w:rFonts w:ascii="Arial" w:hAnsi="Arial" w:eastAsia="Arial" w:cs="Arial"/>
      <w:sz w:val="40"/>
      <w:szCs w:val="40"/>
    </w:rPr>
  </w:style>
  <w:style w:type="character" w:styleId="754" w:customStyle="1">
    <w:name w:val="Heading 2 Char"/>
    <w:basedOn w:val="727"/>
    <w:uiPriority w:val="9"/>
    <w:qFormat/>
    <w:rPr>
      <w:rFonts w:ascii="Arial" w:hAnsi="Arial" w:eastAsia="Arial" w:cs="Arial"/>
      <w:sz w:val="34"/>
    </w:rPr>
  </w:style>
  <w:style w:type="character" w:styleId="755" w:customStyle="1">
    <w:name w:val="Heading 3 Char"/>
    <w:basedOn w:val="727"/>
    <w:uiPriority w:val="9"/>
    <w:qFormat/>
    <w:rPr>
      <w:rFonts w:ascii="Arial" w:hAnsi="Arial" w:eastAsia="Arial" w:cs="Arial"/>
      <w:sz w:val="30"/>
      <w:szCs w:val="30"/>
    </w:rPr>
  </w:style>
  <w:style w:type="character" w:styleId="756" w:customStyle="1">
    <w:name w:val="Heading 4 Char"/>
    <w:basedOn w:val="727"/>
    <w:uiPriority w:val="9"/>
    <w:qFormat/>
    <w:rPr>
      <w:rFonts w:ascii="Arial" w:hAnsi="Arial" w:eastAsia="Arial" w:cs="Arial"/>
      <w:b/>
      <w:bCs/>
      <w:sz w:val="26"/>
      <w:szCs w:val="26"/>
    </w:rPr>
  </w:style>
  <w:style w:type="character" w:styleId="757" w:customStyle="1">
    <w:name w:val="Heading 5 Char"/>
    <w:basedOn w:val="727"/>
    <w:uiPriority w:val="9"/>
    <w:qFormat/>
    <w:rPr>
      <w:rFonts w:ascii="Arial" w:hAnsi="Arial" w:eastAsia="Arial" w:cs="Arial"/>
      <w:b/>
      <w:bCs/>
      <w:sz w:val="24"/>
      <w:szCs w:val="24"/>
    </w:rPr>
  </w:style>
  <w:style w:type="character" w:styleId="758" w:customStyle="1">
    <w:name w:val="Heading 6 Char"/>
    <w:basedOn w:val="727"/>
    <w:uiPriority w:val="9"/>
    <w:qFormat/>
    <w:rPr>
      <w:rFonts w:ascii="Arial" w:hAnsi="Arial" w:eastAsia="Arial" w:cs="Arial"/>
      <w:b/>
      <w:bCs/>
      <w:sz w:val="22"/>
      <w:szCs w:val="22"/>
    </w:rPr>
  </w:style>
  <w:style w:type="character" w:styleId="759" w:customStyle="1">
    <w:name w:val="Heading 7 Char"/>
    <w:basedOn w:val="727"/>
    <w:uiPriority w:val="9"/>
    <w:qFormat/>
    <w:rPr>
      <w:rFonts w:ascii="Arial" w:hAnsi="Arial" w:eastAsia="Arial" w:cs="Arial"/>
      <w:b/>
      <w:bCs/>
      <w:i/>
      <w:iCs/>
      <w:sz w:val="22"/>
      <w:szCs w:val="22"/>
    </w:rPr>
  </w:style>
  <w:style w:type="character" w:styleId="760" w:customStyle="1">
    <w:name w:val="Heading 8 Char"/>
    <w:basedOn w:val="727"/>
    <w:uiPriority w:val="9"/>
    <w:qFormat/>
    <w:rPr>
      <w:rFonts w:ascii="Arial" w:hAnsi="Arial" w:eastAsia="Arial" w:cs="Arial"/>
      <w:i/>
      <w:iCs/>
      <w:sz w:val="22"/>
      <w:szCs w:val="22"/>
    </w:rPr>
  </w:style>
  <w:style w:type="character" w:styleId="761" w:customStyle="1">
    <w:name w:val="Heading 9 Char"/>
    <w:basedOn w:val="727"/>
    <w:uiPriority w:val="9"/>
    <w:qFormat/>
    <w:rPr>
      <w:rFonts w:ascii="Arial" w:hAnsi="Arial" w:eastAsia="Arial" w:cs="Arial"/>
      <w:i/>
      <w:iCs/>
      <w:sz w:val="21"/>
      <w:szCs w:val="21"/>
    </w:rPr>
  </w:style>
  <w:style w:type="character" w:styleId="762" w:customStyle="1">
    <w:name w:val="Title Char"/>
    <w:basedOn w:val="727"/>
    <w:uiPriority w:val="10"/>
    <w:qFormat/>
    <w:rPr>
      <w:sz w:val="48"/>
      <w:szCs w:val="48"/>
    </w:rPr>
  </w:style>
  <w:style w:type="character" w:styleId="763" w:customStyle="1">
    <w:name w:val="Subtitle Char"/>
    <w:basedOn w:val="727"/>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27"/>
    <w:uiPriority w:val="99"/>
    <w:qFormat/>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rPr>
      <w:rFonts w:ascii="Times New Roman" w:hAnsi="Times New Roman" w:eastAsia="宋体" w:cs="Times New Roman"/>
      <w:lang w:val="en-US" w:eastAsia="zh-CN" w:bidi="ar-SA"/>
    </w:rPr>
  </w:style>
  <w:style w:type="character" w:styleId="771" w:customStyle="1">
    <w:name w:val="标题 1 Char1"/>
    <w:link w:val="718"/>
    <w:uiPriority w:val="9"/>
    <w:qFormat/>
    <w:rPr>
      <w:rFonts w:ascii="Arial" w:hAnsi="Arial" w:eastAsia="Arial" w:cs="Arial"/>
      <w:sz w:val="40"/>
      <w:szCs w:val="40"/>
    </w:rPr>
  </w:style>
  <w:style w:type="character" w:styleId="772" w:customStyle="1">
    <w:name w:val="标题 2 Char1"/>
    <w:link w:val="719"/>
    <w:uiPriority w:val="9"/>
    <w:qFormat/>
    <w:rPr>
      <w:rFonts w:ascii="Arial" w:hAnsi="Arial" w:eastAsia="Arial" w:cs="Arial"/>
      <w:sz w:val="34"/>
    </w:rPr>
  </w:style>
  <w:style w:type="character" w:styleId="773" w:customStyle="1">
    <w:name w:val="标题 3 Char1"/>
    <w:link w:val="720"/>
    <w:uiPriority w:val="9"/>
    <w:qFormat/>
    <w:rPr>
      <w:rFonts w:ascii="Arial" w:hAnsi="Arial" w:eastAsia="Arial" w:cs="Arial"/>
      <w:sz w:val="30"/>
      <w:szCs w:val="30"/>
    </w:rPr>
  </w:style>
  <w:style w:type="character" w:styleId="774" w:customStyle="1">
    <w:name w:val="标题 4 Char1"/>
    <w:link w:val="721"/>
    <w:uiPriority w:val="9"/>
    <w:qFormat/>
    <w:rPr>
      <w:rFonts w:ascii="Arial" w:hAnsi="Arial" w:eastAsia="Arial" w:cs="Arial"/>
      <w:b/>
      <w:bCs/>
      <w:sz w:val="26"/>
      <w:szCs w:val="26"/>
    </w:rPr>
  </w:style>
  <w:style w:type="character" w:styleId="775" w:customStyle="1">
    <w:name w:val="标题 5 Char1"/>
    <w:link w:val="722"/>
    <w:uiPriority w:val="9"/>
    <w:qFormat/>
    <w:rPr>
      <w:rFonts w:ascii="Arial" w:hAnsi="Arial" w:eastAsia="Arial" w:cs="Arial"/>
      <w:b/>
      <w:bCs/>
      <w:sz w:val="24"/>
      <w:szCs w:val="24"/>
    </w:rPr>
  </w:style>
  <w:style w:type="character" w:styleId="776" w:customStyle="1">
    <w:name w:val="标题 6 Char1"/>
    <w:link w:val="723"/>
    <w:uiPriority w:val="9"/>
    <w:qFormat/>
    <w:rPr>
      <w:rFonts w:ascii="Arial" w:hAnsi="Arial" w:eastAsia="Arial" w:cs="Arial"/>
      <w:b/>
      <w:bCs/>
      <w:sz w:val="22"/>
      <w:szCs w:val="22"/>
    </w:rPr>
  </w:style>
  <w:style w:type="character" w:styleId="777" w:customStyle="1">
    <w:name w:val="标题 7 Char1"/>
    <w:link w:val="724"/>
    <w:uiPriority w:val="9"/>
    <w:qFormat/>
    <w:rPr>
      <w:rFonts w:ascii="Arial" w:hAnsi="Arial" w:eastAsia="Arial" w:cs="Arial"/>
      <w:b/>
      <w:bCs/>
      <w:i/>
      <w:iCs/>
      <w:sz w:val="22"/>
      <w:szCs w:val="22"/>
    </w:rPr>
  </w:style>
  <w:style w:type="character" w:styleId="778" w:customStyle="1">
    <w:name w:val="标题 8 Char1"/>
    <w:link w:val="725"/>
    <w:uiPriority w:val="9"/>
    <w:qFormat/>
    <w:rPr>
      <w:rFonts w:ascii="Arial" w:hAnsi="Arial" w:eastAsia="Arial" w:cs="Arial"/>
      <w:i/>
      <w:iCs/>
      <w:sz w:val="22"/>
      <w:szCs w:val="22"/>
    </w:rPr>
  </w:style>
  <w:style w:type="character" w:styleId="779" w:customStyle="1">
    <w:name w:val="标题 9 Char1"/>
    <w:link w:val="726"/>
    <w:uiPriority w:val="9"/>
    <w:qFormat/>
    <w:rPr>
      <w:rFonts w:ascii="Arial" w:hAnsi="Arial" w:eastAsia="Arial" w:cs="Arial"/>
      <w:i/>
      <w:iCs/>
      <w:sz w:val="21"/>
      <w:szCs w:val="21"/>
    </w:rPr>
  </w:style>
  <w:style w:type="paragraph" w:styleId="780">
    <w:name w:val="List Paragraph"/>
    <w:basedOn w:val="717"/>
    <w:uiPriority w:val="34"/>
    <w:qFormat/>
    <w:pPr>
      <w:contextualSpacing/>
      <w:ind w:left="720"/>
    </w:p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Char"/>
    <w:link w:val="748"/>
    <w:uiPriority w:val="10"/>
    <w:qFormat/>
    <w:rPr>
      <w:sz w:val="48"/>
      <w:szCs w:val="48"/>
    </w:rPr>
  </w:style>
  <w:style w:type="character" w:styleId="783" w:customStyle="1">
    <w:name w:val="副标题 Char"/>
    <w:link w:val="742"/>
    <w:uiPriority w:val="11"/>
    <w:qFormat/>
    <w:rPr>
      <w:sz w:val="24"/>
      <w:szCs w:val="24"/>
    </w:rPr>
  </w:style>
  <w:style w:type="paragraph" w:styleId="784">
    <w:name w:val="Quote"/>
    <w:basedOn w:val="717"/>
    <w:next w:val="717"/>
    <w:link w:val="785"/>
    <w:uiPriority w:val="29"/>
    <w:qFormat/>
    <w:pPr>
      <w:ind w:left="720" w:right="720"/>
    </w:pPr>
    <w:rPr>
      <w:i/>
    </w:rPr>
  </w:style>
  <w:style w:type="character" w:styleId="785" w:customStyle="1">
    <w:name w:val="引用 Char"/>
    <w:link w:val="784"/>
    <w:uiPriority w:val="29"/>
    <w:qFormat/>
    <w:rPr>
      <w:i/>
    </w:rPr>
  </w:style>
  <w:style w:type="paragraph" w:styleId="786">
    <w:name w:val="Intense Quote"/>
    <w:basedOn w:val="717"/>
    <w:next w:val="717"/>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1"/>
    <w:link w:val="739"/>
    <w:uiPriority w:val="99"/>
    <w:qFormat/>
  </w:style>
  <w:style w:type="character" w:styleId="789" w:customStyle="1">
    <w:name w:val="Footer Char"/>
    <w:uiPriority w:val="99"/>
    <w:qFormat/>
  </w:style>
  <w:style w:type="character" w:styleId="790" w:customStyle="1">
    <w:name w:val="页脚 Char1"/>
    <w:link w:val="738"/>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43"/>
    <w:uiPriority w:val="99"/>
    <w:qFormat/>
    <w:rPr>
      <w:sz w:val="18"/>
    </w:rPr>
  </w:style>
  <w:style w:type="character" w:styleId="917" w:customStyle="1">
    <w:name w:val="尾注文本 Char"/>
    <w:link w:val="737"/>
    <w:uiPriority w:val="99"/>
    <w:qFormat/>
    <w:rPr>
      <w:sz w:val="20"/>
    </w:rPr>
  </w:style>
  <w:style w:type="paragraph" w:styleId="918" w:customStyle="1">
    <w:name w:val="TOC 标题11"/>
    <w:uiPriority w:val="39"/>
    <w:unhideWhenUsed/>
    <w:qFormat/>
    <w:rPr>
      <w:rFonts w:ascii="Times New Roman" w:hAnsi="Times New Roman" w:eastAsia="宋体" w:cs="Times New Roman"/>
      <w:lang w:val="en-US" w:eastAsia="zh-CN" w:bidi="ar-SA"/>
    </w:rPr>
  </w:style>
  <w:style w:type="paragraph" w:styleId="919" w:customStyle="1">
    <w:name w:val="标题 11"/>
    <w:basedOn w:val="717"/>
    <w:next w:val="717"/>
    <w:link w:val="954"/>
    <w:uiPriority w:val="0"/>
    <w:qFormat/>
    <w:pPr>
      <w:jc w:val="center"/>
      <w:keepNext/>
      <w:outlineLvl w:val="0"/>
    </w:pPr>
    <w:rPr>
      <w:rFonts w:ascii="楷体_GB2312" w:hAnsi="楷体_GB2312" w:eastAsia="黑体"/>
      <w:sz w:val="44"/>
      <w:szCs w:val="28"/>
    </w:rPr>
  </w:style>
  <w:style w:type="paragraph" w:styleId="920" w:customStyle="1">
    <w:name w:val="标题 21"/>
    <w:basedOn w:val="717"/>
    <w:next w:val="921"/>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
    <w:basedOn w:val="717"/>
    <w:link w:val="960"/>
    <w:uiPriority w:val="0"/>
    <w:qFormat/>
    <w:pPr>
      <w:ind w:firstLine="420"/>
    </w:pPr>
  </w:style>
  <w:style w:type="paragraph" w:styleId="922" w:customStyle="1">
    <w:name w:val="标题 31"/>
    <w:basedOn w:val="717"/>
    <w:next w:val="717"/>
    <w:link w:val="931"/>
    <w:uiPriority w:val="0"/>
    <w:qFormat/>
    <w:pPr>
      <w:keepLines/>
      <w:keepNext/>
      <w:spacing w:before="260" w:after="260" w:line="416" w:lineRule="auto"/>
      <w:outlineLvl w:val="2"/>
    </w:pPr>
    <w:rPr>
      <w:b/>
      <w:bCs/>
      <w:sz w:val="32"/>
      <w:szCs w:val="32"/>
    </w:rPr>
  </w:style>
  <w:style w:type="paragraph" w:styleId="923" w:customStyle="1">
    <w:name w:val="标题 41"/>
    <w:basedOn w:val="717"/>
    <w:next w:val="921"/>
    <w:link w:val="974"/>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标题 51"/>
    <w:basedOn w:val="717"/>
    <w:next w:val="921"/>
    <w:link w:val="966"/>
    <w:uiPriority w:val="0"/>
    <w:qFormat/>
    <w:pPr>
      <w:keepNext/>
      <w:outlineLvl w:val="4"/>
    </w:pPr>
    <w:rPr>
      <w:rFonts w:ascii="宋体"/>
      <w:color w:val="000000"/>
      <w:sz w:val="28"/>
      <w:szCs w:val="28"/>
    </w:rPr>
  </w:style>
  <w:style w:type="paragraph" w:styleId="925" w:customStyle="1">
    <w:name w:val="标题 61"/>
    <w:basedOn w:val="717"/>
    <w:next w:val="717"/>
    <w:link w:val="94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26" w:customStyle="1">
    <w:name w:val="标题 71"/>
    <w:basedOn w:val="717"/>
    <w:next w:val="717"/>
    <w:link w:val="962"/>
    <w:uiPriority w:val="0"/>
    <w:qFormat/>
    <w:pPr>
      <w:numPr>
        <w:ilvl w:val="6"/>
        <w:numId w:val="2"/>
      </w:numPr>
      <w:keepLines/>
      <w:keepNext/>
      <w:spacing w:before="240" w:after="64" w:line="320" w:lineRule="auto"/>
      <w:outlineLvl w:val="6"/>
    </w:pPr>
    <w:rPr>
      <w:b/>
      <w:bCs/>
      <w:sz w:val="24"/>
      <w:szCs w:val="24"/>
    </w:rPr>
  </w:style>
  <w:style w:type="paragraph" w:styleId="927" w:customStyle="1">
    <w:name w:val="标题 81"/>
    <w:basedOn w:val="717"/>
    <w:next w:val="717"/>
    <w:link w:val="98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28" w:customStyle="1">
    <w:name w:val="标题 91"/>
    <w:basedOn w:val="717"/>
    <w:next w:val="717"/>
    <w:link w:val="964"/>
    <w:uiPriority w:val="0"/>
    <w:qFormat/>
    <w:pPr>
      <w:numPr>
        <w:ilvl w:val="8"/>
        <w:numId w:val="2"/>
      </w:numPr>
      <w:keepLines/>
      <w:keepNext/>
      <w:spacing w:before="240" w:after="64" w:line="320" w:lineRule="auto"/>
      <w:outlineLvl w:val="8"/>
    </w:pPr>
    <w:rPr>
      <w:rFonts w:ascii="Arial" w:hAnsi="Arial" w:eastAsia="黑体"/>
    </w:rPr>
  </w:style>
  <w:style w:type="character" w:styleId="929" w:customStyle="1">
    <w:name w:val="默认段落字体1"/>
    <w:uiPriority w:val="1"/>
    <w:unhideWhenUsed/>
    <w:qFormat/>
  </w:style>
  <w:style w:type="table" w:styleId="930" w:customStyle="1">
    <w:name w:val="普通表格1"/>
    <w:uiPriority w:val="99"/>
    <w:unhideWhenUsed/>
    <w:qFormat/>
    <w:tblPr>
      <w:tblCellMar>
        <w:left w:w="0" w:type="dxa"/>
        <w:top w:w="0" w:type="dxa"/>
        <w:right w:w="0" w:type="dxa"/>
        <w:bottom w:w="0" w:type="dxa"/>
      </w:tblCellMar>
    </w:tblPr>
  </w:style>
  <w:style w:type="character" w:styleId="931" w:customStyle="1">
    <w:name w:val="标题 3 Char"/>
    <w:link w:val="922"/>
    <w:uiPriority w:val="0"/>
    <w:qFormat/>
    <w:rPr>
      <w:rFonts w:ascii="Times New Roman" w:hAnsi="Times New Roman" w:eastAsia="宋体" w:cs="Times New Roman"/>
      <w:b/>
      <w:bCs/>
      <w:sz w:val="32"/>
      <w:szCs w:val="32"/>
    </w:rPr>
  </w:style>
  <w:style w:type="character" w:styleId="932" w:customStyle="1">
    <w:name w:val="标题 2 Char"/>
    <w:link w:val="920"/>
    <w:uiPriority w:val="0"/>
    <w:qFormat/>
    <w:rPr>
      <w:rFonts w:ascii="Arial" w:hAnsi="Arial" w:eastAsia="幼圆" w:cs="Arial"/>
      <w:b/>
      <w:bCs/>
      <w:sz w:val="44"/>
      <w:szCs w:val="44"/>
    </w:rPr>
  </w:style>
  <w:style w:type="character" w:styleId="933" w:customStyle="1">
    <w:name w:val="批注引用1"/>
    <w:uiPriority w:val="0"/>
    <w:semiHidden/>
    <w:qFormat/>
    <w:rPr>
      <w:sz w:val="21"/>
      <w:szCs w:val="21"/>
    </w:rPr>
  </w:style>
  <w:style w:type="character" w:styleId="934" w:customStyle="1">
    <w:name w:val="纯文本 Char"/>
    <w:link w:val="935"/>
    <w:uiPriority w:val="0"/>
    <w:qFormat/>
    <w:rPr>
      <w:rFonts w:ascii="宋体" w:hAnsi="Courier New" w:eastAsia="宋体" w:cs="Courier New"/>
      <w:szCs w:val="21"/>
    </w:rPr>
  </w:style>
  <w:style w:type="paragraph" w:styleId="935" w:customStyle="1">
    <w:name w:val="纯文本1"/>
    <w:basedOn w:val="717"/>
    <w:link w:val="934"/>
    <w:uiPriority w:val="0"/>
    <w:qFormat/>
    <w:rPr>
      <w:rFonts w:ascii="宋体" w:hAnsi="Courier New" w:cs="Courier New"/>
    </w:rPr>
  </w:style>
  <w:style w:type="character" w:styleId="936"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7" w:customStyle="1">
    <w:name w:val="文档结构图1"/>
    <w:basedOn w:val="717"/>
    <w:link w:val="936"/>
    <w:uiPriority w:val="0"/>
    <w:semiHidden/>
    <w:qFormat/>
    <w:pPr>
      <w:shd w:val="clear" w:color="auto" w:fill="000080"/>
    </w:pPr>
  </w:style>
  <w:style w:type="character" w:styleId="938" w:customStyle="1">
    <w:name w:val="要点1"/>
    <w:uiPriority w:val="0"/>
    <w:qFormat/>
    <w:rPr>
      <w:b/>
      <w:bCs/>
    </w:rPr>
  </w:style>
  <w:style w:type="character" w:styleId="939" w:customStyle="1">
    <w:name w:val="页脚 Char"/>
    <w:link w:val="940"/>
    <w:uiPriority w:val="0"/>
    <w:qFormat/>
    <w:rPr>
      <w:rFonts w:ascii="Times New Roman" w:hAnsi="Times New Roman" w:eastAsia="宋体" w:cs="Times New Roman"/>
      <w:sz w:val="18"/>
      <w:szCs w:val="18"/>
    </w:rPr>
  </w:style>
  <w:style w:type="paragraph" w:styleId="940" w:customStyle="1">
    <w:name w:val="页脚1"/>
    <w:basedOn w:val="717"/>
    <w:link w:val="939"/>
    <w:uiPriority w:val="0"/>
    <w:qFormat/>
    <w:pPr>
      <w:jc w:val="left"/>
      <w:tabs>
        <w:tab w:val="center" w:pos="4153" w:leader="none"/>
        <w:tab w:val="right" w:pos="8306" w:leader="none"/>
      </w:tabs>
    </w:pPr>
    <w:rPr>
      <w:sz w:val="18"/>
      <w:szCs w:val="18"/>
    </w:rPr>
  </w:style>
  <w:style w:type="character" w:styleId="941" w:customStyle="1">
    <w:name w:val="列出段落 Char"/>
    <w:link w:val="942"/>
    <w:uiPriority w:val="0"/>
    <w:qFormat/>
    <w:rPr>
      <w:rFonts w:ascii="Calibri" w:hAnsi="Calibri"/>
      <w:sz w:val="24"/>
      <w:szCs w:val="24"/>
      <w:lang w:eastAsia="en-US" w:bidi="en-US"/>
    </w:rPr>
  </w:style>
  <w:style w:type="paragraph" w:styleId="942" w:customStyle="1">
    <w:name w:val="列出段落1"/>
    <w:basedOn w:val="717"/>
    <w:link w:val="941"/>
    <w:uiPriority w:val="0"/>
    <w:qFormat/>
    <w:pPr>
      <w:contextualSpacing/>
      <w:ind w:left="720"/>
      <w:jc w:val="left"/>
      <w:widowControl/>
    </w:pPr>
    <w:rPr>
      <w:rFonts w:ascii="Calibri" w:hAnsi="Calibri"/>
      <w:sz w:val="24"/>
      <w:szCs w:val="24"/>
      <w:lang w:eastAsia="en-US" w:bidi="en-US"/>
    </w:rPr>
  </w:style>
  <w:style w:type="character" w:styleId="943" w:customStyle="1">
    <w:name w:val="标题 6 Char"/>
    <w:link w:val="925"/>
    <w:uiPriority w:val="0"/>
    <w:qFormat/>
    <w:rPr>
      <w:rFonts w:ascii="Arial" w:hAnsi="Arial" w:eastAsia="黑体" w:cs="Times New Roman"/>
      <w:b/>
      <w:bCs/>
      <w:sz w:val="24"/>
      <w:szCs w:val="24"/>
    </w:rPr>
  </w:style>
  <w:style w:type="character" w:styleId="944" w:customStyle="1">
    <w:name w:val="批注主题 Char"/>
    <w:link w:val="945"/>
    <w:uiPriority w:val="0"/>
    <w:semiHidden/>
    <w:qFormat/>
    <w:rPr>
      <w:rFonts w:ascii="Times New Roman" w:hAnsi="Times New Roman" w:eastAsia="宋体" w:cs="Times New Roman"/>
      <w:b/>
      <w:bCs/>
      <w:szCs w:val="21"/>
    </w:rPr>
  </w:style>
  <w:style w:type="paragraph" w:styleId="945" w:customStyle="1">
    <w:name w:val="批注主题1"/>
    <w:basedOn w:val="946"/>
    <w:next w:val="946"/>
    <w:link w:val="944"/>
    <w:uiPriority w:val="0"/>
    <w:semiHidden/>
    <w:qFormat/>
    <w:rPr>
      <w:b/>
      <w:bCs/>
    </w:rPr>
  </w:style>
  <w:style w:type="paragraph" w:styleId="946" w:customStyle="1">
    <w:name w:val="批注文字1"/>
    <w:basedOn w:val="717"/>
    <w:link w:val="965"/>
    <w:uiPriority w:val="0"/>
    <w:semiHidden/>
    <w:qFormat/>
    <w:pPr>
      <w:jc w:val="left"/>
    </w:pPr>
  </w:style>
  <w:style w:type="character" w:styleId="947" w:customStyle="1">
    <w:name w:val="正文文本 2 Char"/>
    <w:link w:val="948"/>
    <w:uiPriority w:val="0"/>
    <w:qFormat/>
    <w:rPr>
      <w:rFonts w:ascii="楷体_GB2312" w:hAnsi="Times New Roman" w:eastAsia="楷体_GB2312" w:cs="Times New Roman"/>
      <w:sz w:val="28"/>
      <w:szCs w:val="28"/>
    </w:rPr>
  </w:style>
  <w:style w:type="paragraph" w:styleId="948" w:customStyle="1">
    <w:name w:val="正文文本 21"/>
    <w:basedOn w:val="717"/>
    <w:link w:val="947"/>
    <w:uiPriority w:val="0"/>
    <w:qFormat/>
    <w:pPr>
      <w:jc w:val="center"/>
      <w:widowControl/>
    </w:pPr>
    <w:rPr>
      <w:rFonts w:ascii="楷体_GB2312" w:eastAsia="楷体_GB2312"/>
      <w:sz w:val="28"/>
      <w:szCs w:val="28"/>
    </w:rPr>
  </w:style>
  <w:style w:type="character" w:styleId="949" w:customStyle="1">
    <w:name w:val="正文首行缩进 Char"/>
    <w:link w:val="950"/>
    <w:uiPriority w:val="0"/>
    <w:qFormat/>
    <w:rPr>
      <w:rFonts w:ascii="仿宋_GB2312" w:hAnsi="Times New Roman" w:eastAsia="仿宋_GB2312" w:cs="Times New Roman"/>
      <w:sz w:val="30"/>
      <w:szCs w:val="30"/>
    </w:rPr>
  </w:style>
  <w:style w:type="paragraph" w:styleId="950" w:customStyle="1">
    <w:name w:val="正文首行缩进1"/>
    <w:basedOn w:val="717"/>
    <w:link w:val="949"/>
    <w:uiPriority w:val="0"/>
    <w:qFormat/>
    <w:pPr>
      <w:ind w:firstLine="200"/>
      <w:spacing w:line="360" w:lineRule="auto"/>
    </w:pPr>
    <w:rPr>
      <w:rFonts w:ascii="仿宋_GB2312" w:eastAsia="仿宋_GB2312"/>
      <w:sz w:val="30"/>
      <w:szCs w:val="30"/>
    </w:rPr>
  </w:style>
  <w:style w:type="character" w:styleId="951" w:customStyle="1">
    <w:name w:val="正文首行缩进 2 Char"/>
    <w:link w:val="952"/>
    <w:uiPriority w:val="0"/>
    <w:qFormat/>
    <w:rPr>
      <w:rFonts w:ascii="宋体" w:hAnsi="宋体" w:eastAsia="宋体" w:cs="Times New Roman"/>
      <w:sz w:val="32"/>
      <w:szCs w:val="20"/>
    </w:rPr>
  </w:style>
  <w:style w:type="paragraph" w:styleId="952" w:customStyle="1">
    <w:name w:val="正文首行缩进 21"/>
    <w:basedOn w:val="953"/>
    <w:link w:val="951"/>
    <w:uiPriority w:val="0"/>
    <w:qFormat/>
    <w:pPr>
      <w:ind w:firstLine="420"/>
      <w:spacing w:line="360" w:lineRule="auto"/>
    </w:pPr>
    <w:rPr>
      <w:rFonts w:ascii="宋体" w:hAnsi="宋体" w:eastAsia="宋体"/>
      <w:sz w:val="21"/>
      <w:szCs w:val="20"/>
    </w:rPr>
  </w:style>
  <w:style w:type="paragraph" w:styleId="953" w:customStyle="1">
    <w:name w:val="正文文本缩进1"/>
    <w:basedOn w:val="717"/>
    <w:link w:val="963"/>
    <w:uiPriority w:val="0"/>
    <w:qFormat/>
    <w:pPr>
      <w:ind w:firstLine="645"/>
    </w:pPr>
    <w:rPr>
      <w:rFonts w:ascii="楷体_GB2312" w:eastAsia="楷体_GB2312"/>
      <w:sz w:val="32"/>
      <w:szCs w:val="32"/>
    </w:rPr>
  </w:style>
  <w:style w:type="character" w:styleId="954" w:customStyle="1">
    <w:name w:val="标题 1 Char"/>
    <w:link w:val="919"/>
    <w:uiPriority w:val="0"/>
    <w:qFormat/>
    <w:rPr>
      <w:rFonts w:ascii="楷体_GB2312" w:hAnsi="楷体_GB2312" w:eastAsia="黑体" w:cs="Times New Roman"/>
      <w:sz w:val="44"/>
      <w:szCs w:val="28"/>
    </w:rPr>
  </w:style>
  <w:style w:type="character" w:styleId="955" w:customStyle="1">
    <w:name w:val="已访问的超链接1"/>
    <w:uiPriority w:val="0"/>
    <w:qFormat/>
    <w:rPr>
      <w:color w:val="800080"/>
      <w:u w:val="single"/>
    </w:rPr>
  </w:style>
  <w:style w:type="character" w:styleId="956" w:customStyle="1">
    <w:name w:val="正文文本 3 Char"/>
    <w:link w:val="957"/>
    <w:uiPriority w:val="0"/>
    <w:qFormat/>
    <w:rPr>
      <w:rFonts w:ascii="仿宋_GB2312" w:hAnsi="Arial" w:eastAsia="仿宋_GB2312" w:cs="Times New Roman"/>
      <w:sz w:val="32"/>
      <w:szCs w:val="32"/>
    </w:rPr>
  </w:style>
  <w:style w:type="paragraph" w:styleId="957" w:customStyle="1">
    <w:name w:val="正文文本 31"/>
    <w:basedOn w:val="717"/>
    <w:link w:val="956"/>
    <w:uiPriority w:val="0"/>
    <w:qFormat/>
    <w:rPr>
      <w:rFonts w:ascii="仿宋_GB2312" w:hAnsi="Arial" w:eastAsia="仿宋_GB2312"/>
      <w:sz w:val="32"/>
      <w:szCs w:val="32"/>
    </w:rPr>
  </w:style>
  <w:style w:type="character" w:styleId="958" w:customStyle="1">
    <w:name w:val="二级目录 Char"/>
    <w:link w:val="959"/>
    <w:uiPriority w:val="0"/>
    <w:qFormat/>
    <w:rPr>
      <w:b/>
      <w:sz w:val="30"/>
      <w:szCs w:val="28"/>
    </w:rPr>
  </w:style>
  <w:style w:type="paragraph" w:styleId="959" w:customStyle="1">
    <w:name w:val="二级目录"/>
    <w:next w:val="717"/>
    <w:link w:val="958"/>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0" w:customStyle="1">
    <w:name w:val="正文缩进 Char"/>
    <w:link w:val="921"/>
    <w:uiPriority w:val="0"/>
    <w:qFormat/>
    <w:rPr>
      <w:rFonts w:ascii="Times New Roman" w:hAnsi="Times New Roman" w:eastAsia="宋体" w:cs="Times New Roman"/>
      <w:szCs w:val="21"/>
    </w:rPr>
  </w:style>
  <w:style w:type="character" w:styleId="961" w:customStyle="1">
    <w:name w:val="页码1"/>
    <w:uiPriority w:val="0"/>
    <w:qFormat/>
  </w:style>
  <w:style w:type="character" w:styleId="962" w:customStyle="1">
    <w:name w:val="标题 7 Char"/>
    <w:link w:val="926"/>
    <w:uiPriority w:val="0"/>
    <w:qFormat/>
    <w:rPr>
      <w:rFonts w:ascii="Times New Roman" w:hAnsi="Times New Roman" w:eastAsia="宋体" w:cs="Times New Roman"/>
      <w:b/>
      <w:bCs/>
      <w:sz w:val="24"/>
      <w:szCs w:val="24"/>
    </w:rPr>
  </w:style>
  <w:style w:type="character" w:styleId="963" w:customStyle="1">
    <w:name w:val="正文文本缩进 Char"/>
    <w:link w:val="953"/>
    <w:uiPriority w:val="0"/>
    <w:qFormat/>
    <w:rPr>
      <w:rFonts w:ascii="楷体_GB2312" w:hAnsi="Times New Roman" w:eastAsia="楷体_GB2312" w:cs="Times New Roman"/>
      <w:sz w:val="32"/>
      <w:szCs w:val="32"/>
    </w:rPr>
  </w:style>
  <w:style w:type="character" w:styleId="964" w:customStyle="1">
    <w:name w:val="标题 9 Char"/>
    <w:link w:val="928"/>
    <w:uiPriority w:val="0"/>
    <w:qFormat/>
    <w:rPr>
      <w:rFonts w:ascii="Arial" w:hAnsi="Arial" w:eastAsia="黑体" w:cs="Times New Roman"/>
      <w:szCs w:val="21"/>
    </w:rPr>
  </w:style>
  <w:style w:type="character" w:styleId="965" w:customStyle="1">
    <w:name w:val="批注文字 Char"/>
    <w:link w:val="946"/>
    <w:uiPriority w:val="0"/>
    <w:semiHidden/>
    <w:qFormat/>
    <w:rPr>
      <w:rFonts w:ascii="Times New Roman" w:hAnsi="Times New Roman" w:eastAsia="宋体" w:cs="Times New Roman"/>
      <w:szCs w:val="21"/>
    </w:rPr>
  </w:style>
  <w:style w:type="character" w:styleId="966" w:customStyle="1">
    <w:name w:val="标题 5 Char"/>
    <w:link w:val="924"/>
    <w:uiPriority w:val="0"/>
    <w:qFormat/>
    <w:rPr>
      <w:rFonts w:ascii="宋体" w:hAnsi="Times New Roman" w:eastAsia="宋体" w:cs="Times New Roman"/>
      <w:color w:val="000000"/>
      <w:sz w:val="28"/>
      <w:szCs w:val="28"/>
    </w:rPr>
  </w:style>
  <w:style w:type="character" w:styleId="967" w:customStyle="1">
    <w:name w:val="正文文本缩进 2 Char"/>
    <w:link w:val="968"/>
    <w:uiPriority w:val="0"/>
    <w:qFormat/>
    <w:rPr>
      <w:rFonts w:ascii="Arial" w:hAnsi="Arial" w:eastAsia="仿宋_GB2312" w:cs="Arial"/>
      <w:sz w:val="32"/>
      <w:szCs w:val="32"/>
    </w:rPr>
  </w:style>
  <w:style w:type="paragraph" w:styleId="968" w:customStyle="1">
    <w:name w:val="正文文本缩进 21"/>
    <w:basedOn w:val="717"/>
    <w:link w:val="967"/>
    <w:uiPriority w:val="0"/>
    <w:qFormat/>
    <w:pPr>
      <w:ind w:left="630" w:firstLine="645"/>
    </w:pPr>
    <w:rPr>
      <w:rFonts w:ascii="Arial" w:hAnsi="Arial" w:eastAsia="仿宋_GB2312" w:cs="Arial"/>
      <w:sz w:val="32"/>
      <w:szCs w:val="32"/>
    </w:rPr>
  </w:style>
  <w:style w:type="character" w:styleId="969" w:customStyle="1">
    <w:name w:val="日期 Char"/>
    <w:link w:val="970"/>
    <w:uiPriority w:val="0"/>
    <w:qFormat/>
    <w:rPr>
      <w:rFonts w:ascii="Times New Roman" w:hAnsi="Times New Roman" w:eastAsia="宋体" w:cs="Times New Roman"/>
      <w:sz w:val="24"/>
      <w:szCs w:val="24"/>
    </w:rPr>
  </w:style>
  <w:style w:type="paragraph" w:styleId="970" w:customStyle="1">
    <w:name w:val="日期1"/>
    <w:basedOn w:val="717"/>
    <w:next w:val="717"/>
    <w:link w:val="969"/>
    <w:uiPriority w:val="0"/>
    <w:qFormat/>
    <w:rPr>
      <w:sz w:val="24"/>
      <w:szCs w:val="24"/>
    </w:rPr>
  </w:style>
  <w:style w:type="character" w:styleId="971" w:customStyle="1">
    <w:name w:val="超链接1"/>
    <w:uiPriority w:val="0"/>
    <w:qFormat/>
    <w:rPr>
      <w:color w:val="0000ff"/>
      <w:u w:val="single"/>
    </w:rPr>
  </w:style>
  <w:style w:type="character" w:styleId="972" w:customStyle="1">
    <w:name w:val="批注框文本 Char"/>
    <w:link w:val="973"/>
    <w:uiPriority w:val="0"/>
    <w:semiHidden/>
    <w:qFormat/>
    <w:rPr>
      <w:rFonts w:ascii="Times New Roman" w:hAnsi="Times New Roman" w:eastAsia="宋体" w:cs="Times New Roman"/>
      <w:sz w:val="18"/>
      <w:szCs w:val="18"/>
    </w:rPr>
  </w:style>
  <w:style w:type="paragraph" w:styleId="973" w:customStyle="1">
    <w:name w:val="批注框文本1"/>
    <w:basedOn w:val="717"/>
    <w:link w:val="972"/>
    <w:uiPriority w:val="0"/>
    <w:semiHidden/>
    <w:qFormat/>
    <w:rPr>
      <w:sz w:val="18"/>
      <w:szCs w:val="18"/>
    </w:rPr>
  </w:style>
  <w:style w:type="character" w:styleId="974" w:customStyle="1">
    <w:name w:val="标题 4 Char"/>
    <w:link w:val="923"/>
    <w:uiPriority w:val="0"/>
    <w:qFormat/>
    <w:rPr>
      <w:rFonts w:ascii="Arial" w:hAnsi="Arial" w:eastAsia="黑体" w:cs="Arial"/>
      <w:b/>
      <w:bCs/>
      <w:sz w:val="28"/>
      <w:szCs w:val="28"/>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页眉 Char"/>
    <w:link w:val="977"/>
    <w:uiPriority w:val="0"/>
    <w:qFormat/>
    <w:rPr>
      <w:rFonts w:ascii="Times New Roman" w:hAnsi="Times New Roman" w:eastAsia="宋体" w:cs="Times New Roman"/>
      <w:sz w:val="18"/>
      <w:szCs w:val="18"/>
    </w:rPr>
  </w:style>
  <w:style w:type="paragraph" w:styleId="977" w:customStyle="1">
    <w:name w:val="页眉1"/>
    <w:basedOn w:val="717"/>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正文文本 Char"/>
    <w:link w:val="979"/>
    <w:uiPriority w:val="0"/>
    <w:qFormat/>
    <w:rPr>
      <w:rFonts w:ascii="楷体_GB2312" w:hAnsi="Arial" w:eastAsia="楷体_GB2312" w:cs="Times New Roman"/>
      <w:sz w:val="28"/>
      <w:szCs w:val="28"/>
    </w:rPr>
  </w:style>
  <w:style w:type="paragraph" w:styleId="979" w:customStyle="1">
    <w:name w:val="正文文本1"/>
    <w:basedOn w:val="717"/>
    <w:next w:val="980"/>
    <w:link w:val="978"/>
    <w:uiPriority w:val="0"/>
    <w:qFormat/>
    <w:rPr>
      <w:rFonts w:ascii="楷体_GB2312" w:hAnsi="Arial" w:eastAsia="楷体_GB2312"/>
      <w:sz w:val="28"/>
      <w:szCs w:val="28"/>
    </w:rPr>
  </w:style>
  <w:style w:type="paragraph" w:styleId="980" w:customStyle="1">
    <w:name w:val="一级条标题"/>
    <w:basedOn w:val="717"/>
    <w:next w:val="981"/>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981" w:customStyle="1">
    <w:name w:val="段"/>
    <w:next w:val="717"/>
    <w:uiPriority w:val="0"/>
    <w:qFormat/>
    <w:pPr>
      <w:ind w:firstLine="200"/>
      <w:jc w:val="both"/>
      <w:spacing w:line="360" w:lineRule="auto"/>
    </w:pPr>
    <w:rPr>
      <w:rFonts w:ascii="Calibri" w:hAnsi="Calibri" w:eastAsia="宋体" w:cs="Times New Roman"/>
      <w:sz w:val="24"/>
      <w:lang w:val="en-US" w:eastAsia="zh-CN" w:bidi="ar-SA"/>
    </w:rPr>
  </w:style>
  <w:style w:type="character" w:styleId="982" w:customStyle="1">
    <w:name w:val="正文文本缩进 3 Char"/>
    <w:link w:val="983"/>
    <w:uiPriority w:val="0"/>
    <w:qFormat/>
    <w:rPr>
      <w:rFonts w:ascii="Arial" w:hAnsi="Arial" w:eastAsia="仿宋_GB2312" w:cs="Arial"/>
      <w:color w:val="ffff00"/>
      <w:sz w:val="32"/>
      <w:szCs w:val="32"/>
    </w:rPr>
  </w:style>
  <w:style w:type="paragraph" w:styleId="983" w:customStyle="1">
    <w:name w:val="正文文本缩进 31"/>
    <w:basedOn w:val="717"/>
    <w:link w:val="982"/>
    <w:uiPriority w:val="0"/>
    <w:qFormat/>
    <w:pPr>
      <w:ind w:left="645" w:firstLine="645"/>
    </w:pPr>
    <w:rPr>
      <w:rFonts w:ascii="Arial" w:hAnsi="Arial" w:eastAsia="仿宋_GB2312" w:cs="Arial"/>
      <w:color w:val="ffff00"/>
      <w:sz w:val="32"/>
      <w:szCs w:val="32"/>
    </w:rPr>
  </w:style>
  <w:style w:type="character" w:styleId="984" w:customStyle="1">
    <w:name w:val="标题 8 Char"/>
    <w:link w:val="927"/>
    <w:uiPriority w:val="0"/>
    <w:qFormat/>
    <w:rPr>
      <w:rFonts w:ascii="Arial" w:hAnsi="Arial" w:eastAsia="黑体" w:cs="Times New Roman"/>
      <w:sz w:val="24"/>
      <w:szCs w:val="24"/>
    </w:rPr>
  </w:style>
  <w:style w:type="paragraph" w:styleId="985"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标题1"/>
    <w:basedOn w:val="717"/>
    <w:next w:val="7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目录 31"/>
    <w:basedOn w:val="717"/>
    <w:next w:val="717"/>
    <w:uiPriority w:val="0"/>
    <w:semiHidden/>
    <w:qFormat/>
    <w:pPr>
      <w:ind w:left="420"/>
      <w:jc w:val="left"/>
    </w:pPr>
    <w:rPr>
      <w:i/>
      <w:iCs/>
      <w:szCs w:val="24"/>
    </w:rPr>
  </w:style>
  <w:style w:type="paragraph" w:styleId="989" w:customStyle="1">
    <w:name w:val="font6"/>
    <w:basedOn w:val="717"/>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30"/>
    <w:basedOn w:val="717"/>
    <w:uiPriority w:val="0"/>
    <w:qFormat/>
    <w:pPr>
      <w:jc w:val="center"/>
      <w:spacing w:before="100" w:beforeAutospacing="1" w:after="100" w:afterAutospacing="1"/>
      <w:widowControl/>
    </w:pPr>
    <w:rPr>
      <w:rFonts w:ascii="宋体" w:hAnsi="宋体"/>
      <w:b/>
      <w:bCs/>
      <w:sz w:val="36"/>
      <w:szCs w:val="36"/>
    </w:rPr>
  </w:style>
  <w:style w:type="paragraph" w:styleId="991" w:customStyle="1">
    <w:name w:val="font5"/>
    <w:basedOn w:val="717"/>
    <w:uiPriority w:val="0"/>
    <w:qFormat/>
    <w:pPr>
      <w:jc w:val="left"/>
      <w:spacing w:before="100" w:beforeAutospacing="1" w:after="100" w:afterAutospacing="1"/>
      <w:widowControl/>
    </w:pPr>
    <w:rPr>
      <w:rFonts w:hint="eastAsia" w:ascii="宋体" w:hAnsi="宋体"/>
      <w:sz w:val="28"/>
      <w:szCs w:val="28"/>
    </w:rPr>
  </w:style>
  <w:style w:type="paragraph" w:styleId="992"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customStyle="1">
    <w:name w:val="列表 31"/>
    <w:basedOn w:val="717"/>
    <w:uiPriority w:val="0"/>
    <w:qFormat/>
    <w:pPr>
      <w:ind w:left="100" w:hanging="200"/>
    </w:pPr>
  </w:style>
  <w:style w:type="paragraph" w:styleId="994" w:customStyle="1">
    <w:name w:val="列表1"/>
    <w:basedOn w:val="717"/>
    <w:uiPriority w:val="0"/>
    <w:qFormat/>
    <w:pPr>
      <w:ind w:left="200" w:hanging="200"/>
    </w:pPr>
  </w:style>
  <w:style w:type="paragraph" w:styleId="995" w:customStyle="1">
    <w:name w:val="Char Char Char Char"/>
    <w:basedOn w:val="937"/>
    <w:uiPriority w:val="0"/>
    <w:qFormat/>
    <w:pPr>
      <w:spacing w:line="360" w:lineRule="auto"/>
    </w:pPr>
    <w:rPr>
      <w:rFonts w:ascii="Tahoma" w:hAnsi="Tahoma"/>
      <w:sz w:val="24"/>
      <w:szCs w:val="24"/>
    </w:rPr>
  </w:style>
  <w:style w:type="paragraph" w:styleId="996" w:customStyle="1">
    <w:name w:val="目录 81"/>
    <w:basedOn w:val="717"/>
    <w:next w:val="717"/>
    <w:uiPriority w:val="0"/>
    <w:semiHidden/>
    <w:qFormat/>
    <w:pPr>
      <w:ind w:left="1470"/>
      <w:jc w:val="left"/>
    </w:pPr>
  </w:style>
  <w:style w:type="paragraph" w:styleId="997" w:customStyle="1">
    <w:name w:val="修订1"/>
    <w:uiPriority w:val="99"/>
    <w:semiHidden/>
    <w:qFormat/>
    <w:rPr>
      <w:rFonts w:ascii="Times New Roman" w:hAnsi="Times New Roman" w:eastAsia="宋体" w:cs="Times New Roman"/>
      <w:sz w:val="21"/>
      <w:szCs w:val="21"/>
      <w:lang w:val="en-US" w:eastAsia="zh-CN" w:bidi="ar-SA"/>
    </w:rPr>
  </w:style>
  <w:style w:type="paragraph" w:styleId="998" w:customStyle="1">
    <w:name w:val="列表 21"/>
    <w:basedOn w:val="717"/>
    <w:uiPriority w:val="0"/>
    <w:qFormat/>
    <w:pPr>
      <w:ind w:left="100" w:hanging="200"/>
    </w:pPr>
  </w:style>
  <w:style w:type="paragraph" w:styleId="999"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目录 51"/>
    <w:basedOn w:val="717"/>
    <w:next w:val="717"/>
    <w:uiPriority w:val="0"/>
    <w:semiHidden/>
    <w:qFormat/>
    <w:pPr>
      <w:ind w:left="840"/>
      <w:jc w:val="left"/>
    </w:pPr>
  </w:style>
  <w:style w:type="paragraph" w:styleId="1001" w:customStyle="1">
    <w:name w:val="普通(网站)1"/>
    <w:basedOn w:val="717"/>
    <w:uiPriority w:val="99"/>
    <w:qFormat/>
    <w:pPr>
      <w:jc w:val="left"/>
      <w:spacing w:before="100" w:beforeAutospacing="1" w:after="100" w:afterAutospacing="1"/>
      <w:widowControl/>
    </w:pPr>
    <w:rPr>
      <w:rFonts w:ascii="宋体" w:hAnsi="宋体" w:cs="宋体"/>
      <w:sz w:val="24"/>
      <w:szCs w:val="24"/>
    </w:rPr>
  </w:style>
  <w:style w:type="paragraph" w:styleId="1002" w:customStyle="1">
    <w:name w:val="Char Char Char Char Char Char Char Char"/>
    <w:basedOn w:val="717"/>
    <w:uiPriority w:val="0"/>
    <w:qFormat/>
    <w:pPr>
      <w:jc w:val="left"/>
      <w:spacing w:after="160" w:line="240" w:lineRule="exact"/>
      <w:widowControl/>
    </w:pPr>
    <w:rPr>
      <w:rFonts w:ascii="Verdana" w:hAnsi="Verdana"/>
      <w:sz w:val="20"/>
      <w:szCs w:val="20"/>
      <w:lang w:eastAsia="en-US"/>
    </w:rPr>
  </w:style>
  <w:style w:type="paragraph" w:styleId="1003" w:customStyle="1">
    <w:name w:val="font7"/>
    <w:basedOn w:val="717"/>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索引 11"/>
    <w:basedOn w:val="717"/>
    <w:next w:val="717"/>
    <w:uiPriority w:val="0"/>
    <w:semiHidden/>
    <w:qFormat/>
    <w:pPr>
      <w:spacing w:line="240" w:lineRule="atLeast"/>
    </w:pPr>
    <w:rPr>
      <w:b/>
      <w:bCs/>
    </w:rPr>
  </w:style>
  <w:style w:type="paragraph" w:styleId="1005" w:customStyle="1">
    <w:name w:val="目录 61"/>
    <w:basedOn w:val="717"/>
    <w:next w:val="717"/>
    <w:uiPriority w:val="0"/>
    <w:semiHidden/>
    <w:qFormat/>
    <w:pPr>
      <w:ind w:left="1050"/>
      <w:jc w:val="left"/>
    </w:pPr>
  </w:style>
  <w:style w:type="paragraph" w:styleId="1006" w:customStyle="1">
    <w:name w:val="Char Char Char Char Char Char Char Char1"/>
    <w:basedOn w:val="717"/>
    <w:uiPriority w:val="0"/>
    <w:qFormat/>
    <w:pPr>
      <w:jc w:val="left"/>
      <w:spacing w:after="160" w:line="240" w:lineRule="exact"/>
      <w:widowControl/>
    </w:pPr>
    <w:rPr>
      <w:rFonts w:ascii="Verdana" w:hAnsi="Verdana"/>
      <w:sz w:val="20"/>
      <w:szCs w:val="20"/>
      <w:lang w:eastAsia="en-US"/>
    </w:rPr>
  </w:style>
  <w:style w:type="paragraph" w:styleId="1007" w:customStyle="1">
    <w:name w:val="table_lines"/>
    <w:basedOn w:val="717"/>
    <w:uiPriority w:val="0"/>
    <w:qFormat/>
    <w:pPr>
      <w:jc w:val="left"/>
      <w:widowControl/>
    </w:pPr>
    <w:rPr>
      <w:sz w:val="20"/>
      <w:szCs w:val="20"/>
      <w:lang w:val="de-DE" w:eastAsia="de-DE"/>
    </w:rPr>
  </w:style>
  <w:style w:type="paragraph" w:styleId="1008" w:customStyle="1">
    <w:name w:val="Char"/>
    <w:basedOn w:val="937"/>
    <w:uiPriority w:val="0"/>
    <w:qFormat/>
    <w:rPr>
      <w:rFonts w:ascii="Tahoma" w:hAnsi="Tahoma"/>
      <w:sz w:val="24"/>
      <w:szCs w:val="24"/>
    </w:rPr>
  </w:style>
  <w:style w:type="paragraph" w:styleId="100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11" w:customStyle="1">
    <w:name w:val="图表目录1"/>
    <w:basedOn w:val="717"/>
    <w:next w:val="717"/>
    <w:uiPriority w:val="0"/>
    <w:semiHidden/>
    <w:qFormat/>
    <w:pPr>
      <w:ind w:left="840" w:hanging="420"/>
    </w:pPr>
  </w:style>
  <w:style w:type="paragraph" w:styleId="1012" w:customStyle="1">
    <w:name w:val="Body Text(ch)"/>
    <w:basedOn w:val="717"/>
    <w:next w:val="979"/>
    <w:uiPriority w:val="0"/>
    <w:qFormat/>
    <w:pPr>
      <w:spacing w:after="120"/>
    </w:pPr>
    <w:rPr>
      <w:rFonts w:ascii="宋体" w:hAnsi="Arial"/>
      <w:bCs/>
      <w:iCs/>
      <w:szCs w:val="24"/>
    </w:rPr>
  </w:style>
  <w:style w:type="paragraph" w:styleId="1013" w:customStyle="1">
    <w:name w:val="目录 91"/>
    <w:basedOn w:val="717"/>
    <w:next w:val="717"/>
    <w:uiPriority w:val="0"/>
    <w:semiHidden/>
    <w:qFormat/>
    <w:pPr>
      <w:ind w:left="1680"/>
      <w:jc w:val="left"/>
    </w:pPr>
  </w:style>
  <w:style w:type="paragraph" w:styleId="1014" w:customStyle="1">
    <w:name w:val="目录 11"/>
    <w:basedOn w:val="717"/>
    <w:next w:val="717"/>
    <w:uiPriority w:val="0"/>
    <w:semiHidden/>
    <w:qFormat/>
    <w:pPr>
      <w:jc w:val="left"/>
      <w:spacing w:before="120" w:after="120" w:line="400" w:lineRule="exact"/>
      <w:tabs>
        <w:tab w:val="right" w:pos="8720" w:leader="dot"/>
      </w:tabs>
    </w:pPr>
    <w:rPr>
      <w:rFonts w:ascii="宋体" w:hAnsi="宋体"/>
      <w:caps/>
      <w:sz w:val="24"/>
      <w:szCs w:val="24"/>
    </w:rPr>
  </w:style>
  <w:style w:type="paragraph" w:styleId="1015"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customStyle="1">
    <w:name w:val="目录 21"/>
    <w:basedOn w:val="717"/>
    <w:next w:val="717"/>
    <w:uiPriority w:val="0"/>
    <w:semiHidden/>
    <w:qFormat/>
    <w:pPr>
      <w:ind w:left="210"/>
      <w:jc w:val="left"/>
    </w:pPr>
    <w:rPr>
      <w:smallCaps/>
      <w:szCs w:val="24"/>
    </w:rPr>
  </w:style>
  <w:style w:type="paragraph" w:styleId="1017" w:customStyle="1">
    <w:name w:val="普通 (Web)"/>
    <w:basedOn w:val="717"/>
    <w:uiPriority w:val="0"/>
    <w:qFormat/>
    <w:pPr>
      <w:jc w:val="left"/>
      <w:spacing w:before="100" w:beforeAutospacing="1" w:after="100" w:afterAutospacing="1"/>
      <w:widowControl/>
    </w:pPr>
    <w:rPr>
      <w:rFonts w:ascii="宋体" w:hAnsi="宋体"/>
      <w:sz w:val="24"/>
      <w:szCs w:val="24"/>
    </w:rPr>
  </w:style>
  <w:style w:type="paragraph" w:styleId="1018" w:customStyle="1">
    <w:name w:val="列出段落2"/>
    <w:basedOn w:val="717"/>
    <w:uiPriority w:val="0"/>
    <w:qFormat/>
    <w:pPr>
      <w:contextualSpacing/>
      <w:ind w:left="720"/>
      <w:jc w:val="left"/>
      <w:widowControl/>
    </w:pPr>
    <w:rPr>
      <w:rFonts w:ascii="Calibri" w:hAnsi="Calibri"/>
      <w:sz w:val="24"/>
      <w:szCs w:val="24"/>
      <w:lang w:eastAsia="en-US" w:bidi="en-US"/>
    </w:rPr>
  </w:style>
  <w:style w:type="paragraph" w:styleId="1019"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1020" w:customStyle="1">
    <w:name w:val="目录 71"/>
    <w:basedOn w:val="717"/>
    <w:next w:val="717"/>
    <w:uiPriority w:val="0"/>
    <w:semiHidden/>
    <w:qFormat/>
    <w:pPr>
      <w:ind w:left="1260"/>
      <w:jc w:val="left"/>
    </w:pPr>
  </w:style>
  <w:style w:type="paragraph" w:styleId="1021" w:customStyle="1">
    <w:name w:val="目录 41"/>
    <w:basedOn w:val="717"/>
    <w:next w:val="717"/>
    <w:uiPriority w:val="0"/>
    <w:semiHidden/>
    <w:qFormat/>
    <w:pPr>
      <w:ind w:left="630"/>
      <w:jc w:val="left"/>
    </w:pPr>
  </w:style>
  <w:style w:type="paragraph" w:styleId="1022"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customStyle="1">
    <w:name w:val="Char1"/>
    <w:basedOn w:val="717"/>
    <w:uiPriority w:val="0"/>
    <w:qFormat/>
    <w:pPr>
      <w:ind w:firstLine="200"/>
      <w:tabs>
        <w:tab w:val="left" w:pos="360" w:leader="none"/>
      </w:tabs>
    </w:pPr>
    <w:rPr>
      <w:sz w:val="28"/>
      <w:szCs w:val="30"/>
    </w:rPr>
  </w:style>
  <w:style w:type="paragraph" w:styleId="1025" w:customStyle="1">
    <w:name w:val="4"/>
    <w:basedOn w:val="717"/>
    <w:next w:val="983"/>
    <w:uiPriority w:val="0"/>
    <w:qFormat/>
    <w:pPr>
      <w:ind w:firstLine="420"/>
      <w:spacing w:line="360" w:lineRule="auto"/>
    </w:pPr>
    <w:rPr>
      <w:color w:val="ff0000"/>
      <w:sz w:val="24"/>
      <w:szCs w:val="24"/>
    </w:rPr>
  </w:style>
  <w:style w:type="paragraph" w:styleId="1026" w:customStyle="1">
    <w:name w:val="Char Char Char Char Char Char Char Char Char Char"/>
    <w:basedOn w:val="717"/>
    <w:uiPriority w:val="0"/>
    <w:qFormat/>
    <w:pPr>
      <w:spacing w:line="360" w:lineRule="auto"/>
    </w:pPr>
    <w:rPr>
      <w:sz w:val="24"/>
      <w:szCs w:val="20"/>
    </w:rPr>
  </w:style>
  <w:style w:type="paragraph" w:styleId="1027" w:customStyle="1">
    <w:name w:val="样式1"/>
    <w:basedOn w:val="717"/>
    <w:uiPriority w:val="0"/>
    <w:qFormat/>
    <w:pPr>
      <w:numPr>
        <w:ilvl w:val="0"/>
        <w:numId w:val="4"/>
      </w:numPr>
    </w:pPr>
    <w:rPr>
      <w:rFonts w:ascii="宋体" w:hAnsi="宋体"/>
    </w:rPr>
  </w:style>
  <w:style w:type="paragraph" w:styleId="1028" w:customStyle="1">
    <w:name w:val="标题3"/>
    <w:basedOn w:val="717"/>
    <w:next w:val="717"/>
    <w:uiPriority w:val="0"/>
    <w:qFormat/>
    <w:pPr>
      <w:ind w:firstLine="624"/>
      <w:spacing w:line="590" w:lineRule="atLeast"/>
    </w:pPr>
    <w:rPr>
      <w:rFonts w:ascii="方正黑体_GBK" w:eastAsia="方正黑体_GBK"/>
      <w:sz w:val="32"/>
      <w:szCs w:val="32"/>
    </w:rPr>
  </w:style>
  <w:style w:type="paragraph" w:styleId="1029" w:customStyle="1">
    <w:name w:val="Char Char Char Char1"/>
    <w:basedOn w:val="937"/>
    <w:uiPriority w:val="0"/>
    <w:qFormat/>
    <w:pPr>
      <w:spacing w:line="360" w:lineRule="auto"/>
    </w:pPr>
    <w:rPr>
      <w:rFonts w:ascii="Tahoma" w:hAnsi="Tahoma"/>
      <w:sz w:val="24"/>
      <w:szCs w:val="24"/>
    </w:rPr>
  </w:style>
  <w:style w:type="paragraph" w:styleId="1030" w:customStyle="1">
    <w:name w:val="table_1stline"/>
    <w:basedOn w:val="717"/>
    <w:uiPriority w:val="0"/>
    <w:qFormat/>
    <w:pPr>
      <w:jc w:val="left"/>
      <w:spacing w:before="120"/>
      <w:widowControl/>
    </w:pPr>
    <w:rPr>
      <w:bCs/>
      <w:sz w:val="20"/>
      <w:szCs w:val="20"/>
      <w:lang w:val="de-DE" w:eastAsia="de-DE"/>
    </w:rPr>
  </w:style>
  <w:style w:type="table" w:styleId="1031" w:customStyle="1">
    <w:name w:val="网格型1"/>
    <w:basedOn w:val="930"/>
    <w:uiPriority w:val="0"/>
    <w:qFormat/>
    <w:pPr>
      <w:jc w:val="both"/>
      <w:widowControl w:val="off"/>
    </w:pPr>
    <w:tblPr/>
  </w:style>
  <w:style w:type="character" w:styleId="1032" w:customStyle="1">
    <w:name w:val="font11"/>
    <w:basedOn w:val="727"/>
    <w:uiPriority w:val="0"/>
    <w:qFormat/>
    <w:rPr>
      <w:rFonts w:hint="eastAsia" w:ascii="宋体" w:hAnsi="宋体" w:eastAsia="宋体" w:cs="宋体"/>
      <w:color w:val="000000"/>
      <w:sz w:val="20"/>
      <w:szCs w:val="20"/>
      <w:u w:val="none"/>
    </w:rPr>
  </w:style>
  <w:style w:type="paragraph" w:styleId="1033" w:customStyle="1">
    <w:name w:val="正文1"/>
    <w:basedOn w:val="717"/>
    <w:next w:val="979"/>
    <w:uiPriority w:val="99"/>
    <w:qFormat/>
    <w:pPr>
      <w:ind w:firstLine="480"/>
      <w:spacing w:line="440" w:lineRule="exact"/>
    </w:pPr>
    <w:rPr>
      <w:rFonts w:ascii="微软雅黑" w:hAnsi="微软雅黑" w:eastAsia="微软雅黑"/>
      <w:sz w:val="24"/>
      <w:szCs w:val="20"/>
    </w:rPr>
  </w:style>
  <w:style w:type="character" w:styleId="1034" w:customStyle="1">
    <w:name w:val="font51"/>
    <w:uiPriority w:val="0"/>
    <w:qFormat/>
    <w:rPr>
      <w:rFonts w:hint="eastAsia" w:ascii="宋体" w:hAnsi="宋体" w:eastAsia="宋体" w:cs="宋体"/>
      <w:color w:val="000000"/>
      <w:sz w:val="21"/>
      <w:szCs w:val="21"/>
      <w:u w:val="none"/>
    </w:rPr>
  </w:style>
  <w:style w:type="paragraph" w:styleId="1035" w:customStyle="1">
    <w:name w:val="Default"/>
    <w:next w:val="717"/>
    <w:uiPriority w:val="0"/>
    <w:qFormat/>
    <w:pPr>
      <w:widowControl w:val="off"/>
    </w:pPr>
    <w:rPr>
      <w:rFonts w:ascii="宋体" w:hAnsi="Times New Roman" w:eastAsia="宋体" w:cs="宋体"/>
      <w:color w:val="000000"/>
      <w:sz w:val="24"/>
      <w:szCs w:val="24"/>
      <w:lang w:val="en-US" w:eastAsia="zh-CN" w:bidi="ar-SA"/>
    </w:rPr>
  </w:style>
  <w:style w:type="numbering" w:styleId="15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3</cp:revision>
  <dcterms:created xsi:type="dcterms:W3CDTF">2024-06-26T09:12:00Z</dcterms:created>
  <dcterms:modified xsi:type="dcterms:W3CDTF">2024-07-01T01:42:37Z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FFB8BF93CF39460DB5E59C73F1B2F200_13</vt:lpwstr>
  </property>
</Properties>
</file>